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eastAsia="黑体" w:hint="eastAsia"/>
          <w:color w:val="000000"/>
          <w:sz w:val="72"/>
          <w:szCs w:val="72"/>
        </w:rPr>
        <w:t>2022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96476"/>
      <w:bookmarkStart w:id="8" w:name="_Toc15306268"/>
      <w:bookmarkStart w:id="9" w:name="_Toc15377194"/>
      <w:bookmarkStart w:id="10" w:name="_Toc15396598"/>
      <w:bookmarkStart w:id="11" w:name="_Toc15378442"/>
      <w:bookmarkEnd w:id="0"/>
      <w:r>
        <w:rPr>
          <w:rFonts w:ascii="方正小标宋简体" w:eastAsia="方正小标宋简体" w:hint="eastAsia"/>
          <w:color w:val="000000"/>
          <w:sz w:val="72"/>
          <w:szCs w:val="72"/>
        </w:rPr>
        <w:t>金川县档案馆部门决算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pStyle w:val="21"/>
        <w:tabs>
          <w:tab w:val="right" w:leader="dot" w:pos="8296"/>
        </w:tabs>
        <w:ind w:left="420" w:firstLineChars="550" w:firstLine="1540"/>
        <w:jc w:val="both"/>
        <w:rPr>
          <w:rFonts w:ascii="Times New Roman" w:hAnsi="Times New Roman"/>
        </w:rPr>
      </w:pPr>
      <w:r>
        <w:rPr>
          <w:rFonts w:ascii="Times New Roman" w:hAnsi="Times New Roman"/>
        </w:rPr>
        <w:t>公开时间：2022年</w:t>
      </w:r>
      <w:r>
        <w:rPr>
          <w:rFonts w:ascii="Times New Roman" w:hAnsi="Times New Roman" w:hint="eastAsia"/>
        </w:rPr>
        <w:t>8</w:t>
      </w:r>
      <w:r>
        <w:rPr>
          <w:rFonts w:ascii="Times New Roman" w:hAnsi="Times New Roman"/>
        </w:rPr>
        <w:t>月</w:t>
      </w:r>
      <w:r>
        <w:rPr>
          <w:rFonts w:ascii="Times New Roman" w:hAnsi="Times New Roman" w:hint="eastAsia"/>
        </w:rPr>
        <w:t>23</w:t>
      </w:r>
      <w:r>
        <w:rPr>
          <w:rFonts w:ascii="Times New Roman" w:hAnsi="Times New Roman"/>
        </w:rPr>
        <w:t>日</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5"/>
        <w:ind w:leftChars="0" w:left="0" w:firstLineChars="0" w:firstLine="0"/>
      </w:pPr>
    </w:p>
    <w:p>
      <w:pPr>
        <w:pStyle w:val="21"/>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2"/>
        <w:tabs>
          <w:tab w:val="right" w:leader="dot" w:pos="8296"/>
        </w:tabs>
        <w:rPr>
          <w:rFonts w:ascii="仿宋" w:eastAsia="仿宋"/>
          <w:sz w:val="28"/>
          <w:szCs w:val="28"/>
        </w:rPr>
      </w:pPr>
      <w:r>
        <w:fldChar w:fldCharType="begin"/>
      </w:r>
      <w:r>
        <w:instrText>Hyperlink \l "_Toc15396600"</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fldChar w:fldCharType="end"/>
      </w:r>
    </w:p>
    <w:p>
      <w:pPr>
        <w:pStyle w:val="17"/>
        <w:tabs>
          <w:tab w:val="right" w:leader="dot" w:pos="8296"/>
        </w:tabs>
        <w:ind w:leftChars="0" w:left="0" w:firstLineChars="200" w:firstLine="560"/>
        <w:rPr>
          <w:rFonts w:eastAsia="仿宋"/>
        </w:rPr>
      </w:pPr>
      <w:r>
        <w:rPr>
          <w:rFonts w:ascii="仿宋" w:eastAsia="仿宋" w:hint="eastAsia"/>
          <w:sz w:val="28"/>
          <w:szCs w:val="28"/>
        </w:rPr>
        <w:t>（一）主要职能</w:t>
      </w:r>
      <w:r>
        <w:rPr>
          <w:rFonts w:ascii="仿宋" w:eastAsia="仿宋"/>
          <w:sz w:val="28"/>
          <w:szCs w:val="28"/>
        </w:rPr>
        <w:t>………………………………………</w:t>
      </w:r>
      <w:r>
        <w:rPr>
          <w:rFonts w:ascii="仿宋" w:eastAsia="仿宋" w:hint="eastAsia"/>
          <w:sz w:val="28"/>
          <w:szCs w:val="28"/>
        </w:rPr>
        <w:t>.</w:t>
      </w:r>
      <w:r>
        <w:rPr>
          <w:rFonts w:ascii="仿宋" w:eastAsia="仿宋"/>
          <w:sz w:val="28"/>
          <w:szCs w:val="28"/>
        </w:rPr>
        <w:t>……………</w:t>
      </w:r>
      <w:r>
        <w:rPr>
          <w:rFonts w:ascii="仿宋" w:eastAsia="仿宋" w:hint="eastAsia"/>
          <w:sz w:val="28"/>
          <w:szCs w:val="28"/>
        </w:rPr>
        <w:t>4</w:t>
      </w:r>
    </w:p>
    <w:p>
      <w:pPr>
        <w:pStyle w:val="17"/>
        <w:tabs>
          <w:tab w:val="right" w:leader="dot" w:pos="8296"/>
        </w:tabs>
        <w:ind w:leftChars="0" w:left="0" w:firstLineChars="200" w:firstLine="560"/>
      </w:pPr>
      <w:r>
        <w:rPr>
          <w:rFonts w:ascii="仿宋" w:eastAsia="仿宋" w:hint="eastAsia"/>
          <w:sz w:val="28"/>
          <w:szCs w:val="28"/>
        </w:rPr>
        <w:t>（二）2022年重点工作完成情况</w:t>
      </w:r>
      <w:r>
        <w:rPr>
          <w:rFonts w:ascii="仿宋" w:eastAsia="仿宋"/>
          <w:sz w:val="28"/>
          <w:szCs w:val="28"/>
        </w:rPr>
        <w:t>……………………………</w:t>
      </w:r>
      <w:r>
        <w:rPr>
          <w:rFonts w:ascii="仿宋" w:eastAsia="仿宋" w:hint="eastAsia"/>
          <w:sz w:val="28"/>
          <w:szCs w:val="28"/>
        </w:rPr>
        <w:t>..  4</w:t>
      </w:r>
      <w:r>
        <w:rPr>
          <w:rFonts w:ascii="仿宋" w:eastAsia="仿宋"/>
          <w:sz w:val="28"/>
          <w:szCs w:val="28"/>
        </w:rPr>
        <w:t xml:space="preserve"> </w:t>
      </w:r>
    </w:p>
    <w:p>
      <w:pPr>
        <w:pStyle w:val="22"/>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4</w:t>
      </w:r>
      <w:r>
        <w:fldChar w:fldCharType="end"/>
      </w:r>
    </w:p>
    <w:p>
      <w:pPr>
        <w:pStyle w:val="21"/>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22"/>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5</w:t>
      </w:r>
      <w:r>
        <w:fldChar w:fldCharType="end"/>
      </w:r>
    </w:p>
    <w:p>
      <w:pPr>
        <w:pStyle w:val="22"/>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t>6</w:t>
      </w:r>
      <w:r>
        <w:fldChar w:fldCharType="end"/>
      </w:r>
    </w:p>
    <w:p>
      <w:pPr>
        <w:pStyle w:val="22"/>
        <w:tabs>
          <w:tab w:val="right" w:leader="dot" w:pos="8296"/>
        </w:tabs>
        <w:rPr>
          <w:rFonts w:ascii="仿宋" w:eastAsia="仿宋" w:cs="Arial"/>
          <w:sz w:val="28"/>
          <w:szCs w:val="28"/>
        </w:rPr>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6</w:t>
      </w:r>
      <w:r>
        <w:fldChar w:fldCharType="end"/>
      </w:r>
    </w:p>
    <w:p>
      <w:pPr>
        <w:pStyle w:val="22"/>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t>7</w:t>
      </w:r>
      <w:r>
        <w:fldChar w:fldCharType="end"/>
      </w:r>
    </w:p>
    <w:p>
      <w:pPr>
        <w:pStyle w:val="22"/>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fldChar w:fldCharType="end"/>
      </w:r>
    </w:p>
    <w:p>
      <w:pPr>
        <w:pStyle w:val="22"/>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fldChar w:fldCharType="end"/>
      </w:r>
      <w:r>
        <w:rPr>
          <w:rFonts w:ascii="仿宋" w:eastAsia="仿宋"/>
          <w:sz w:val="28"/>
          <w:szCs w:val="28"/>
        </w:rPr>
        <w:t>9</w:t>
      </w:r>
    </w:p>
    <w:p>
      <w:pPr>
        <w:pStyle w:val="22"/>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0</w:t>
      </w:r>
    </w:p>
    <w:p>
      <w:pPr>
        <w:pStyle w:val="22"/>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2"/>
        <w:tabs>
          <w:tab w:val="right" w:leader="dot" w:pos="8296"/>
        </w:tabs>
        <w:rPr>
          <w:rFonts w:ascii="仿宋" w:eastAsia="仿宋"/>
          <w:sz w:val="28"/>
          <w:szCs w:val="28"/>
        </w:rPr>
      </w:pPr>
      <w:r>
        <w:fldChar w:fldCharType="begin"/>
      </w:r>
      <w:r>
        <w:instrText>Hyperlink \l "_Toc15396611"</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2"/>
        <w:tabs>
          <w:tab w:val="right" w:leader="dot" w:pos="8296"/>
        </w:tabs>
        <w:rPr>
          <w:rFonts w:ascii="仿宋" w:eastAsia="仿宋" w:cs="Arial"/>
          <w:sz w:val="28"/>
          <w:szCs w:val="28"/>
        </w:rPr>
      </w:pPr>
      <w:r>
        <w:fldChar w:fldCharType="begin"/>
      </w:r>
      <w:r>
        <w:instrText>Hyperlink \l "_Toc15396612"</w:instrText>
      </w:r>
      <w:r>
        <w:fldChar w:fldCharType="separate"/>
      </w:r>
      <w:r>
        <w:rPr>
          <w:rFonts w:ascii="仿宋" w:eastAsia="仿宋" w:hint="eastAsia"/>
          <w:sz w:val="28"/>
          <w:szCs w:val="28"/>
        </w:rPr>
        <w:t>十</w:t>
      </w:r>
      <w:r>
        <w:rPr>
          <w:rFonts w:ascii="仿宋" w:eastAsia="仿宋" w:hint="eastAsia"/>
          <w:bCs/>
          <w:sz w:val="28"/>
          <w:szCs w:val="28"/>
        </w:rPr>
        <w:t>、其他重要事项的情况说明</w:t>
      </w:r>
      <w:r>
        <w:rPr>
          <w:rFonts w:ascii="仿宋" w:eastAsia="仿宋"/>
          <w:sz w:val="28"/>
          <w:szCs w:val="28"/>
        </w:rPr>
        <w:tab/>
      </w:r>
      <w:r>
        <w:rPr>
          <w:rFonts w:ascii="仿宋" w:eastAsia="仿宋" w:hint="eastAsia"/>
          <w:sz w:val="28"/>
          <w:szCs w:val="28"/>
        </w:rPr>
        <w:t>1</w:t>
      </w:r>
      <w:r>
        <w:fldChar w:fldCharType="end"/>
      </w:r>
      <w:r>
        <w:rPr>
          <w:rFonts w:ascii="仿宋" w:eastAsia="仿宋"/>
          <w:sz w:val="28"/>
          <w:szCs w:val="28"/>
        </w:rPr>
        <w:t>3</w:t>
      </w:r>
    </w:p>
    <w:p>
      <w:pPr>
        <w:pStyle w:val="21"/>
        <w:tabs>
          <w:tab w:val="right" w:leader="dot" w:pos="8296"/>
        </w:tabs>
        <w:rPr>
          <w:rFonts w:cs="Arial"/>
        </w:rPr>
      </w:pPr>
      <w:r>
        <w:fldChar w:fldCharType="begin"/>
      </w:r>
      <w:r>
        <w:instrText>Hyperlink \l "_Toc15396613"</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fldChar w:fldCharType="end"/>
      </w:r>
      <w:r>
        <w:rPr>
          <w:rFonts w:hint="eastAsia"/>
        </w:rPr>
        <w:t>3</w:t>
      </w:r>
    </w:p>
    <w:p>
      <w:pPr>
        <w:pStyle w:val="21"/>
        <w:tabs>
          <w:tab w:val="right" w:leader="dot" w:pos="8296"/>
        </w:tabs>
        <w:jc w:val="both"/>
      </w:pPr>
      <w:r>
        <w:rPr>
          <w:color w:val="000000"/>
          <w:sz w:val="24"/>
        </w:rPr>
        <w:fldChar w:fldCharType="end"/>
      </w:r>
      <w:r>
        <w:fldChar w:fldCharType="begin"/>
      </w:r>
      <w:r>
        <w:instrText xml:space="preserve"> TOC \o "1-2" \h \u </w:instrText>
      </w:r>
      <w:r>
        <w:fldChar w:fldCharType="separate"/>
      </w:r>
    </w:p>
    <w:p>
      <w:pPr>
        <w:pStyle w:val="21"/>
        <w:tabs>
          <w:tab w:val="right" w:leader="dot" w:pos="8296"/>
        </w:tabs>
        <w:adjustRightInd w:val="0"/>
        <w:snapToGrid w:val="0"/>
        <w:spacing w:before="0" w:line="440" w:lineRule="exact"/>
        <w:jc w:val="left"/>
      </w:pPr>
      <w:r>
        <w:fldChar w:fldCharType="begin"/>
      </w:r>
      <w:r>
        <w:instrText>Hyperlink \l "_Toc26843623"</w:instrText>
      </w:r>
      <w:r>
        <w:fldChar w:fldCharType="separate"/>
      </w:r>
      <w:r>
        <w:t>第</w:t>
      </w:r>
      <w:r>
        <w:rPr>
          <w:bCs/>
        </w:rPr>
        <w:t xml:space="preserve">四部分 </w:t>
      </w:r>
      <w:r>
        <w:rPr>
          <w:rFonts w:hint="eastAsia"/>
          <w:bCs/>
        </w:rPr>
        <w:t>附件 部门整体绩效评价</w:t>
      </w:r>
      <w:r>
        <w:tab/>
      </w:r>
      <w:r>
        <w:rPr>
          <w:rFonts w:hint="eastAsia"/>
        </w:rPr>
        <w:t>15</w:t>
      </w:r>
      <w:r>
        <w:fldChar w:fldCharType="end"/>
      </w:r>
    </w:p>
    <w:p>
      <w:pPr>
        <w:pStyle w:val="21"/>
        <w:tabs>
          <w:tab w:val="right" w:leader="dot" w:pos="8296"/>
        </w:tabs>
        <w:adjustRightInd w:val="0"/>
        <w:snapToGrid w:val="0"/>
        <w:spacing w:before="0" w:line="440" w:lineRule="exact"/>
        <w:jc w:val="left"/>
      </w:pPr>
      <w:r>
        <w:fldChar w:fldCharType="begin"/>
      </w:r>
      <w:r>
        <w:instrText>Hyperlink \l "_Toc26843625"</w:instrText>
      </w:r>
      <w:r>
        <w:fldChar w:fldCharType="separate"/>
      </w:r>
      <w:r>
        <w:t>第</w:t>
      </w:r>
      <w:r>
        <w:rPr>
          <w:bCs/>
        </w:rPr>
        <w:t>五部分 附表</w:t>
      </w:r>
      <w:r>
        <w:tab/>
      </w:r>
      <w:r>
        <w:rPr>
          <w:rFonts w:hint="eastAsia"/>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"_Toc26843626"</w:instrText>
      </w:r>
      <w:r>
        <w:fldChar w:fldCharType="separate"/>
      </w:r>
      <w:r>
        <w:rPr>
          <w:rFonts w:ascii="仿宋" w:eastAsia="仿宋"/>
          <w:sz w:val="28"/>
          <w:szCs w:val="28"/>
        </w:rPr>
        <w:t>一、收入支出决算总表</w:t>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"_Toc26843627"</w:instrText>
      </w:r>
      <w:r>
        <w:fldChar w:fldCharType="separate"/>
      </w:r>
      <w:r>
        <w:rPr>
          <w:rFonts w:ascii="仿宋" w:eastAsia="仿宋"/>
          <w:sz w:val="28"/>
          <w:szCs w:val="28"/>
        </w:rPr>
        <w:t>二、收</w:t>
      </w:r>
      <w:r>
        <w:rPr>
          <w:rFonts w:ascii="仿宋" w:eastAsia="仿宋"/>
          <w:bCs/>
          <w:sz w:val="28"/>
          <w:szCs w:val="28"/>
        </w:rPr>
        <w:t>入决算表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"_Toc26843628"</w:instrText>
      </w:r>
      <w:r>
        <w:fldChar w:fldCharType="separate"/>
      </w:r>
      <w:r>
        <w:rPr>
          <w:rFonts w:ascii="仿宋" w:eastAsia="仿宋"/>
          <w:bCs/>
          <w:sz w:val="28"/>
          <w:szCs w:val="28"/>
        </w:rPr>
        <w:t>三、</w:t>
      </w:r>
      <w:r>
        <w:rPr>
          <w:rFonts w:ascii="仿宋" w:eastAsia="仿宋"/>
          <w:sz w:val="28"/>
          <w:szCs w:val="28"/>
        </w:rPr>
        <w:t>支</w:t>
      </w:r>
      <w:r>
        <w:rPr>
          <w:rFonts w:ascii="仿宋" w:eastAsia="仿宋"/>
          <w:bCs/>
          <w:sz w:val="28"/>
          <w:szCs w:val="28"/>
        </w:rPr>
        <w:t>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"_Toc26843629"</w:instrText>
      </w:r>
      <w:r>
        <w:fldChar w:fldCharType="separate"/>
      </w:r>
      <w:r>
        <w:rPr>
          <w:rFonts w:ascii="仿宋" w:eastAsia="仿宋"/>
          <w:bCs/>
          <w:sz w:val="28"/>
          <w:szCs w:val="28"/>
        </w:rPr>
        <w:t>四、</w:t>
      </w:r>
      <w:r>
        <w:rPr>
          <w:rFonts w:ascii="仿宋" w:eastAsia="仿宋"/>
          <w:sz w:val="28"/>
          <w:szCs w:val="28"/>
        </w:rPr>
        <w:t>财</w:t>
      </w:r>
      <w:r>
        <w:rPr>
          <w:rFonts w:ascii="仿宋" w:eastAsia="仿宋"/>
          <w:bCs/>
          <w:sz w:val="28"/>
          <w:szCs w:val="28"/>
        </w:rPr>
        <w:t>政拨款收入支出决算总表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"_Toc26843630"</w:instrText>
      </w:r>
      <w:r>
        <w:fldChar w:fldCharType="separate"/>
      </w:r>
      <w:r>
        <w:rPr>
          <w:rFonts w:ascii="仿宋" w:eastAsia="仿宋"/>
          <w:bCs/>
          <w:sz w:val="28"/>
          <w:szCs w:val="28"/>
        </w:rPr>
        <w:t>五、</w:t>
      </w:r>
      <w:r>
        <w:rPr>
          <w:rFonts w:ascii="仿宋" w:eastAsia="仿宋"/>
          <w:sz w:val="28"/>
          <w:szCs w:val="28"/>
        </w:rPr>
        <w:t>财</w:t>
      </w:r>
      <w:r>
        <w:rPr>
          <w:rFonts w:ascii="仿宋" w:eastAsia="仿宋"/>
          <w:bCs/>
          <w:sz w:val="28"/>
          <w:szCs w:val="28"/>
        </w:rPr>
        <w:t>政拨款支出决算明细表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"_Toc26843631"</w:instrText>
      </w:r>
      <w:r>
        <w:fldChar w:fldCharType="separate"/>
      </w:r>
      <w:r>
        <w:rPr>
          <w:rFonts w:ascii="仿宋" w:eastAsia="仿宋"/>
          <w:bCs/>
          <w:sz w:val="28"/>
          <w:szCs w:val="28"/>
        </w:rPr>
        <w:t>六、</w:t>
      </w:r>
      <w:r>
        <w:rPr>
          <w:rFonts w:ascii="仿宋" w:eastAsia="仿宋"/>
          <w:sz w:val="28"/>
          <w:szCs w:val="28"/>
        </w:rPr>
        <w:t>一</w:t>
      </w:r>
      <w:r>
        <w:rPr>
          <w:rFonts w:ascii="仿宋" w:eastAsia="仿宋"/>
          <w:bCs/>
          <w:sz w:val="28"/>
          <w:szCs w:val="28"/>
        </w:rPr>
        <w:t>般公共预算财政拨款支出决算表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"_Toc26843632"</w:instrText>
      </w:r>
      <w:r>
        <w:fldChar w:fldCharType="separate"/>
      </w:r>
      <w:r>
        <w:rPr>
          <w:rFonts w:ascii="仿宋" w:eastAsia="仿宋"/>
          <w:bCs/>
          <w:sz w:val="28"/>
          <w:szCs w:val="28"/>
        </w:rPr>
        <w:t>七、</w:t>
      </w:r>
      <w:r>
        <w:rPr>
          <w:rFonts w:ascii="仿宋" w:eastAsia="仿宋"/>
          <w:sz w:val="28"/>
          <w:szCs w:val="28"/>
        </w:rPr>
        <w:t>一</w:t>
      </w:r>
      <w:r>
        <w:rPr>
          <w:rFonts w:ascii="仿宋" w:eastAsia="仿宋"/>
          <w:bCs/>
          <w:sz w:val="28"/>
          <w:szCs w:val="28"/>
        </w:rPr>
        <w:t>般公共预算财政拨款支出决算明细表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"_Toc26843633"</w:instrText>
      </w:r>
      <w:r>
        <w:fldChar w:fldCharType="separate"/>
      </w:r>
      <w:r>
        <w:rPr>
          <w:rFonts w:ascii="仿宋" w:eastAsia="仿宋"/>
          <w:bCs/>
          <w:sz w:val="28"/>
          <w:szCs w:val="28"/>
        </w:rPr>
        <w:t>八、</w:t>
      </w:r>
      <w:r>
        <w:rPr>
          <w:rFonts w:ascii="仿宋" w:eastAsia="仿宋"/>
          <w:sz w:val="28"/>
          <w:szCs w:val="28"/>
        </w:rPr>
        <w:t>一</w:t>
      </w:r>
      <w:r>
        <w:rPr>
          <w:rFonts w:ascii="仿宋" w:eastAsia="仿宋"/>
          <w:bCs/>
          <w:sz w:val="28"/>
          <w:szCs w:val="28"/>
        </w:rPr>
        <w:t>般公共预算财政拨款基本支出决算</w:t>
      </w:r>
      <w:r>
        <w:rPr>
          <w:rFonts w:ascii="仿宋" w:eastAsia="仿宋" w:hint="eastAsia"/>
          <w:bCs/>
          <w:sz w:val="28"/>
          <w:szCs w:val="28"/>
          <w:lang w:eastAsia="zh-CN"/>
        </w:rPr>
        <w:t>明细</w:t>
      </w:r>
      <w:r>
        <w:rPr>
          <w:rFonts w:ascii="仿宋" w:eastAsia="仿宋"/>
          <w:bCs/>
          <w:sz w:val="28"/>
          <w:szCs w:val="28"/>
        </w:rPr>
        <w:t>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"_Toc26843634"</w:instrText>
      </w:r>
      <w:r>
        <w:fldChar w:fldCharType="separate"/>
      </w:r>
      <w:r>
        <w:rPr>
          <w:rFonts w:ascii="仿宋" w:eastAsia="仿宋"/>
          <w:bCs/>
          <w:sz w:val="28"/>
          <w:szCs w:val="28"/>
        </w:rPr>
        <w:t>九、</w:t>
      </w:r>
      <w:r>
        <w:rPr>
          <w:rFonts w:ascii="仿宋" w:eastAsia="仿宋"/>
          <w:sz w:val="28"/>
          <w:szCs w:val="28"/>
        </w:rPr>
        <w:t>一</w:t>
      </w:r>
      <w:r>
        <w:rPr>
          <w:rFonts w:ascii="仿宋" w:eastAsia="仿宋"/>
          <w:bCs/>
          <w:sz w:val="28"/>
          <w:szCs w:val="28"/>
        </w:rPr>
        <w:t>般公共预算财政拨款项目支出决算表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"_Toc26843635"</w:instrText>
      </w:r>
      <w:r>
        <w:fldChar w:fldCharType="separate"/>
      </w:r>
      <w:r>
        <w:rPr>
          <w:rFonts w:ascii="仿宋" w:eastAsia="仿宋"/>
          <w:bCs/>
          <w:sz w:val="28"/>
          <w:szCs w:val="28"/>
        </w:rPr>
        <w:t>十、</w:t>
      </w:r>
      <w:r>
        <w:rPr>
          <w:rFonts w:ascii="仿宋" w:eastAsia="仿宋" w:hint="eastAsia"/>
          <w:sz w:val="28"/>
          <w:szCs w:val="28"/>
          <w:lang w:eastAsia="zh-CN"/>
        </w:rPr>
        <w:t>政府性基金预算财政拨款收入支出决算表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"_Toc26843636"</w:instrText>
      </w:r>
      <w:r>
        <w:fldChar w:fldCharType="separate"/>
      </w:r>
      <w:r>
        <w:rPr>
          <w:rFonts w:ascii="仿宋" w:eastAsia="仿宋"/>
          <w:bCs/>
          <w:sz w:val="28"/>
          <w:szCs w:val="28"/>
        </w:rPr>
        <w:t>十一、</w:t>
      </w:r>
      <w:r>
        <w:rPr>
          <w:rFonts w:ascii="仿宋" w:eastAsia="仿宋" w:hint="eastAsia"/>
          <w:sz w:val="28"/>
          <w:szCs w:val="28"/>
          <w:lang w:eastAsia="zh-CN"/>
        </w:rPr>
        <w:t>国有资本经营预算财政拨款收入支出决算表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"_Toc26843637"</w:instrText>
      </w:r>
      <w:r>
        <w:fldChar w:fldCharType="separate"/>
      </w:r>
      <w:r>
        <w:rPr>
          <w:rFonts w:ascii="仿宋" w:eastAsia="仿宋"/>
          <w:bCs/>
          <w:sz w:val="28"/>
          <w:szCs w:val="28"/>
        </w:rPr>
        <w:t>十二、</w:t>
      </w:r>
      <w:r>
        <w:rPr>
          <w:rFonts w:ascii="仿宋" w:eastAsia="仿宋" w:hint="eastAsia"/>
          <w:sz w:val="28"/>
          <w:szCs w:val="28"/>
          <w:lang w:eastAsia="zh-CN"/>
        </w:rPr>
        <w:t>国有资本经营预算财政拨款支出决算表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fldChar w:fldCharType="begin"/>
      </w:r>
      <w:r>
        <w:instrText>Hyperlink \l "_Toc26843638"</w:instrText>
      </w:r>
      <w:r>
        <w:fldChar w:fldCharType="separate"/>
      </w:r>
      <w:r>
        <w:rPr>
          <w:rFonts w:ascii="仿宋" w:eastAsia="仿宋"/>
          <w:bCs/>
          <w:sz w:val="28"/>
          <w:szCs w:val="28"/>
        </w:rPr>
        <w:t>十三、</w:t>
      </w:r>
      <w:r>
        <w:rPr>
          <w:rFonts w:ascii="仿宋" w:eastAsia="仿宋" w:hint="eastAsia"/>
          <w:sz w:val="28"/>
          <w:szCs w:val="28"/>
          <w:lang w:eastAsia="zh-CN"/>
        </w:rPr>
        <w:t>财政拨款“三公”经费支出决算表</w:t>
      </w:r>
      <w:r>
        <w:rPr>
          <w:rFonts w:ascii="仿宋" w:eastAsia="仿宋"/>
          <w:sz w:val="28"/>
          <w:szCs w:val="28"/>
        </w:rPr>
        <w:tab/>
      </w:r>
      <w:r>
        <w:rPr>
          <w:rFonts w:ascii="仿宋" w:eastAsia="仿宋" w:hint="eastAsia"/>
          <w:sz w:val="28"/>
          <w:szCs w:val="28"/>
        </w:rPr>
        <w:t>21</w:t>
      </w:r>
      <w:r>
        <w:fldChar w:fldCharType="end"/>
      </w:r>
    </w:p>
    <w:p>
      <w:pPr>
        <w:pStyle w:val="22"/>
        <w:tabs>
          <w:tab w:val="right" w:leader="dot" w:pos="8296"/>
        </w:tabs>
        <w:adjustRightInd w:val="0"/>
        <w:snapToGrid w:val="0"/>
        <w:spacing w:line="440" w:lineRule="exact"/>
        <w:jc w:val="left"/>
        <w:rPr>
          <w:rFonts w:ascii="仿宋" w:eastAsia="仿宋"/>
          <w:sz w:val="28"/>
          <w:szCs w:val="28"/>
        </w:rPr>
      </w:pPr>
      <w:r>
        <w:rPr>
          <w:rFonts w:ascii="仿宋" w:eastAsia="仿宋"/>
          <w:sz w:val="28"/>
          <w:szCs w:val="28"/>
        </w:rPr>
        <w:fldChar w:fldCharType="end"/>
      </w:r>
    </w:p>
    <w:p>
      <w:pPr>
        <w:widowControl/>
        <w:jc w:val="left"/>
        <w:rPr>
          <w:rFonts w:ascii="仿宋" w:eastAsia="仿宋"/>
          <w:color w:val="000000"/>
          <w:sz w:val="28"/>
          <w:szCs w:val="28"/>
        </w:rPr>
      </w:pP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spacing w:line="720" w:lineRule="exact"/>
        <w:ind w:firstLineChars="200" w:firstLine="600"/>
        <w:rPr>
          <w:rFonts w:ascii="仿宋_GB2312" w:eastAsia="仿宋_GB2312" w:cs="仿宋_GB2312"/>
          <w:b/>
          <w:bCs/>
          <w:sz w:val="30"/>
          <w:szCs w:val="30"/>
        </w:rPr>
      </w:pPr>
      <w:bookmarkStart w:id="18" w:name="_Toc15377199"/>
      <w:bookmarkStart w:id="19" w:name="_Toc15378446"/>
      <w:bookmarkEnd w:id="16"/>
      <w:bookmarkEnd w:id="17"/>
      <w:r>
        <w:rPr>
          <w:rFonts w:ascii="仿宋_GB2312" w:eastAsia="仿宋_GB2312" w:cs="仿宋_GB2312" w:hint="eastAsia"/>
          <w:b/>
          <w:bCs/>
          <w:sz w:val="30"/>
          <w:szCs w:val="30"/>
        </w:rPr>
        <w:t>（一）主要职能</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二是制定全县档案事业发展的中长期规划和年度计划并组织实施。</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三是依法对全县区域内各类馆及机关、团体、企事业单位和其他组织的档案工作进行指导、监督、检查和协调。</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四是组织指导全县档案理论、档案科研和档案宣传工作，逐步实现档案管理的标准化、科学化和现代化。</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五是负责全县档案人员的业务指导；指导全县档案人员队伍建设；负责全县档案专业技术职务评审工作的组织实施。</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六是依法保管、保护、鉴定和提供利用档案；依法向社会开放档案、编研、编辑、公布档案史料。</w:t>
      </w:r>
    </w:p>
    <w:p>
      <w:pPr>
        <w:pStyle w:val="2"/>
        <w:spacing w:before="0" w:after="0" w:line="240" w:lineRule="auto"/>
        <w:ind w:firstLineChars="100" w:firstLine="320"/>
        <w:rPr>
          <w:rFonts w:ascii="楷体" w:eastAsia="楷体" w:cs="楷体"/>
          <w:color w:val="000000"/>
        </w:rPr>
      </w:pPr>
      <w:bookmarkStart w:id="20" w:name="_Toc15377200"/>
      <w:bookmarkStart w:id="21" w:name="_Toc15396601"/>
      <w:bookmarkEnd w:id="18"/>
      <w:bookmarkEnd w:id="19"/>
      <w:r>
        <w:rPr>
          <w:rFonts w:ascii="楷体" w:eastAsia="楷体" w:cs="楷体" w:hint="eastAsia"/>
          <w:color w:val="000000"/>
        </w:rPr>
        <w:t>（二）2022年重点工作完成情况</w:t>
      </w:r>
    </w:p>
    <w:p>
      <w:pPr>
        <w:ind w:firstLineChars="200" w:firstLine="640"/>
        <w:rPr>
          <w:rStyle w:val="2Char"/>
          <w:rFonts w:ascii="黑体" w:eastAsia="黑体"/>
          <w:b w:val="0"/>
          <w:bCs w:val="0"/>
        </w:rPr>
      </w:pPr>
      <w:r>
        <w:rPr>
          <w:rFonts w:ascii="仿宋" w:eastAsia="仿宋" w:cs="仿宋" w:hint="eastAsia"/>
          <w:sz w:val="32"/>
          <w:szCs w:val="32"/>
        </w:rPr>
        <w:t>2022年我县认真学习贯彻了《阿坝州档案事业发展“十四五”规划》和《阿坝州档案“八五”法治宣传教育规划》，结合我县实际开展了“十四五”档案事业发展规划自评工作，针对存在的问题进行了整改。我县按照《阿坝州档案“八五”法治宣传教育规划》认真贯彻了《中华人民共和国档案法》和《四川省&lt;中华人民共和国档案法&gt;实施办法》，充分利用“6.9”国际档案日和“12.4”全国法制宣传日，举办了档案法制宣传活动。一是发放档案宣传册。用发放图文并茂的档案宣传册的方式，向社会公众广泛宣传了档案工作。二是播放档案宣传片。在政府广场电子显示屏上滚动播放了档案宣传片，传播档案行业文化，进一步提高了社会对档案的认知度，拉近了档案与广大人民群众的距离。三是开展珍贵档案展览。档案馆将馆藏的部分清朝档案、红色档案和实物档案进行了展览，吸引不少群众前来观展，增强了广大群众的档案意识。</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spacing w:line="540" w:lineRule="exact"/>
        <w:ind w:firstLineChars="250" w:firstLine="750"/>
        <w:rPr>
          <w:rFonts w:ascii="仿宋_GB2312" w:eastAsia="仿宋_GB2312" w:cs="仿宋_GB2312"/>
          <w:sz w:val="30"/>
          <w:szCs w:val="30"/>
        </w:rPr>
      </w:pPr>
      <w:bookmarkStart w:id="22" w:name="_Toc15396602"/>
      <w:bookmarkStart w:id="23" w:name="_Toc15377204"/>
      <w:r>
        <w:rPr>
          <w:rFonts w:ascii="仿宋_GB2312" w:eastAsia="仿宋_GB2312" w:cs="仿宋_GB2312" w:hint="eastAsia"/>
          <w:sz w:val="30"/>
          <w:szCs w:val="30"/>
        </w:rPr>
        <w:t>我馆为县委直属正科级事业单位，由县委办代管，保留参公管理。内设办公室、档案接收征集保管利用股、档案开发编辑信息技术股。人员编制数7人，年末实有在职7人，退休4人，遗属1人。</w:t>
      </w:r>
    </w:p>
    <w:p>
      <w:pPr>
        <w:snapToGrid w:val="0"/>
        <w:spacing w:line="360" w:lineRule="auto"/>
        <w:rPr>
          <w:rFonts w:ascii="楷体" w:eastAsia="楷体" w:cs="楷体"/>
          <w:b/>
          <w:bCs/>
          <w:sz w:val="30"/>
          <w:szCs w:val="30"/>
        </w:rPr>
      </w:pP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2"/>
      <w:bookmarkEnd w:id="23"/>
    </w:p>
    <w:p>
      <w:pPr>
        <w:pStyle w:val="30"/>
        <w:numPr>
          <w:ilvl w:val="0"/>
          <w:numId w:val="1"/>
        </w:numPr>
        <w:ind w:left="0" w:firstLineChars="0" w:firstLine="0"/>
        <w:outlineLvl w:val="1"/>
        <w:rPr>
          <w:rStyle w:val="2Char"/>
          <w:rFonts w:ascii="黑体" w:eastAsia="黑体"/>
          <w:b w:val="0"/>
        </w:rPr>
      </w:pPr>
      <w:bookmarkStart w:id="24" w:name="_Toc15377205"/>
      <w:bookmarkStart w:id="25"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2022年度总收入195.58万元，较上年收入增加25.24万元，增加14.82%。增加的主要原因是2022年正常的人员经费上升、工资调整等。</w:t>
      </w:r>
    </w:p>
    <w:p>
      <w:pPr>
        <w:snapToGrid w:val="0"/>
        <w:spacing w:line="520" w:lineRule="exact"/>
        <w:ind w:firstLineChars="200" w:firstLine="632"/>
        <w:rPr>
          <w:rFonts w:ascii="仿宋_GB2312" w:eastAsia="仿宋_GB2312"/>
          <w:spacing w:val="-2"/>
          <w:sz w:val="32"/>
          <w:szCs w:val="32"/>
        </w:rPr>
      </w:pPr>
      <w:r>
        <w:rPr>
          <w:rFonts w:ascii="仿宋_GB2312" w:eastAsia="仿宋_GB2312" w:hint="eastAsia"/>
          <w:spacing w:val="-2"/>
          <w:sz w:val="32"/>
          <w:szCs w:val="32"/>
        </w:rPr>
        <w:t>2022年总支出</w:t>
      </w:r>
      <w:r>
        <w:rPr>
          <w:rFonts w:ascii="仿宋_GB2312" w:eastAsia="仿宋_GB2312" w:hint="eastAsia"/>
          <w:color w:val="000000"/>
          <w:spacing w:val="-2"/>
          <w:sz w:val="32"/>
          <w:szCs w:val="32"/>
        </w:rPr>
        <w:t>195.58</w:t>
      </w:r>
      <w:r>
        <w:rPr>
          <w:rFonts w:ascii="仿宋_GB2312" w:eastAsia="仿宋_GB2312" w:hint="eastAsia"/>
          <w:spacing w:val="-2"/>
          <w:sz w:val="32"/>
          <w:szCs w:val="32"/>
        </w:rPr>
        <w:t>万元，较上年支出</w:t>
      </w:r>
      <w:r>
        <w:rPr>
          <w:rFonts w:ascii="仿宋_GB2312" w:eastAsia="仿宋_GB2312" w:hint="eastAsia"/>
          <w:color w:val="000000"/>
          <w:spacing w:val="-2"/>
          <w:sz w:val="32"/>
          <w:szCs w:val="32"/>
        </w:rPr>
        <w:t>增加25.24</w:t>
      </w:r>
      <w:r>
        <w:rPr>
          <w:rFonts w:ascii="仿宋_GB2312" w:eastAsia="仿宋_GB2312" w:hint="eastAsia"/>
          <w:spacing w:val="-2"/>
          <w:sz w:val="32"/>
          <w:szCs w:val="32"/>
        </w:rPr>
        <w:t>万元，</w:t>
      </w:r>
      <w:r>
        <w:rPr>
          <w:rFonts w:ascii="仿宋_GB2312" w:eastAsia="仿宋_GB2312" w:hint="eastAsia"/>
          <w:color w:val="000000"/>
          <w:spacing w:val="-2"/>
          <w:sz w:val="32"/>
          <w:szCs w:val="32"/>
        </w:rPr>
        <w:t>增加14.82%</w:t>
      </w:r>
      <w:r>
        <w:rPr>
          <w:rFonts w:ascii="仿宋_GB2312" w:eastAsia="仿宋_GB2312" w:hint="eastAsia"/>
          <w:spacing w:val="-2"/>
          <w:sz w:val="32"/>
          <w:szCs w:val="32"/>
        </w:rPr>
        <w:t>。主要原因是</w:t>
      </w:r>
      <w:r>
        <w:rPr>
          <w:rFonts w:ascii="仿宋_GB2312" w:eastAsia="仿宋_GB2312" w:hint="eastAsia"/>
          <w:color w:val="000000"/>
          <w:spacing w:val="-2"/>
          <w:sz w:val="32"/>
          <w:szCs w:val="32"/>
        </w:rPr>
        <w:t>2022年正常的人员经费上升、工资调整等</w:t>
      </w:r>
      <w:r>
        <w:rPr>
          <w:rFonts w:ascii="仿宋_GB2312" w:eastAsia="仿宋_GB2312" w:hint="eastAsia"/>
          <w:spacing w:val="-2"/>
          <w:sz w:val="32"/>
          <w:szCs w:val="32"/>
        </w:rPr>
        <w:t>。</w:t>
      </w:r>
    </w:p>
    <w:p>
      <w:pPr>
        <w:snapToGrid w:val="0"/>
        <w:spacing w:line="520" w:lineRule="exact"/>
        <w:ind w:firstLineChars="200" w:firstLine="420"/>
        <w:rPr>
          <w:rFonts w:ascii="仿宋_GB2312" w:eastAsia="仿宋_GB2312"/>
          <w:spacing w:val="-2"/>
          <w:sz w:val="32"/>
          <w:szCs w:val="32"/>
        </w:rPr>
      </w:pPr>
      <w:r>
        <w:drawing>
          <wp:anchor distT="0" distB="0" distL="114300" distR="114300" simplePos="0" relativeHeight="18" behindDoc="0" locked="0" layoutInCell="1" hidden="0" allowOverlap="1">
            <wp:simplePos x="0" y="0"/>
            <wp:positionH relativeFrom="column">
              <wp:posOffset>422910</wp:posOffset>
            </wp:positionH>
            <wp:positionV relativeFrom="paragraph">
              <wp:posOffset>210184</wp:posOffset>
            </wp:positionV>
            <wp:extent cx="4572000" cy="2743200"/>
            <wp:effectExtent l="0" t="0" r="0" b="0"/>
            <wp:wrapTopAndBottom/>
            <wp:docPr id="1"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ind w:firstLineChars="200" w:firstLine="640"/>
        <w:rPr>
          <w:rStyle w:val="2Char"/>
          <w:rFonts w:ascii="黑体" w:eastAsia="黑体"/>
          <w:b w:val="0"/>
        </w:rPr>
      </w:pPr>
      <w:bookmarkStart w:id="26" w:name="_Toc15377206"/>
      <w:bookmarkStart w:id="27" w:name="_Toc15396604"/>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Style w:val="2Char"/>
          <w:rFonts w:ascii="黑体" w:eastAsia="黑体"/>
          <w:b w:val="0"/>
        </w:rPr>
      </w:pPr>
      <w:r>
        <w:rPr>
          <w:rFonts w:ascii="仿宋" w:eastAsia="仿宋" w:hint="eastAsia"/>
          <w:color w:val="000000"/>
          <w:sz w:val="32"/>
          <w:szCs w:val="32"/>
        </w:rPr>
        <w:t>2022年总收入195.58万元，其中：一般公共预算财政拨款收入195.58万元，占100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8" w:name="_Toc15396605"/>
      <w:bookmarkStart w:id="29" w:name="_Toc15377207"/>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2022年本年总支出195.58万元，其中：基本支出189.48万元，占96.88%；项目支出6.10万元，占3.12%；上缴上级支出0万元，占0%；经营支出0万元，占0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420"/>
        <w:rPr>
          <w:rFonts w:ascii="仿宋_GB2312" w:eastAsia="仿宋_GB2312"/>
          <w:color w:val="FF0000"/>
          <w:sz w:val="32"/>
          <w:szCs w:val="32"/>
        </w:rPr>
      </w:pPr>
      <w:r>
        <w:drawing>
          <wp:anchor distT="0" distB="0" distL="114300" distR="114300" simplePos="0" relativeHeight="2" behindDoc="1" locked="0" layoutInCell="1" hidden="0" allowOverlap="1">
            <wp:simplePos x="0" y="0"/>
            <wp:positionH relativeFrom="column">
              <wp:posOffset>480060</wp:posOffset>
            </wp:positionH>
            <wp:positionV relativeFrom="paragraph">
              <wp:posOffset>356870</wp:posOffset>
            </wp:positionV>
            <wp:extent cx="4572000" cy="2743200"/>
            <wp:effectExtent l="0" t="0" r="0" b="0"/>
            <wp:wrapNone/>
            <wp:docPr id="2" name="图表 2"/>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Fonts w:ascii="黑体" w:eastAsia="黑体"/>
          <w:color w:val="000000"/>
          <w:sz w:val="32"/>
          <w:szCs w:val="32"/>
        </w:rPr>
      </w:pPr>
      <w:bookmarkStart w:id="30" w:name="_Toc15377208"/>
      <w:bookmarkStart w:id="31" w:name="_Toc15396606"/>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napToGrid w:val="0"/>
        <w:spacing w:line="520" w:lineRule="exact"/>
        <w:ind w:firstLineChars="200" w:firstLine="640"/>
        <w:rPr>
          <w:rFonts w:ascii="仿宋" w:eastAsia="仿宋"/>
          <w:color w:val="FF0000"/>
          <w:sz w:val="32"/>
          <w:szCs w:val="32"/>
        </w:rPr>
      </w:pPr>
      <w:r>
        <w:rPr>
          <w:rFonts w:ascii="仿宋" w:eastAsia="仿宋" w:hint="eastAsia"/>
          <w:color w:val="000000"/>
          <w:sz w:val="32"/>
          <w:szCs w:val="32"/>
        </w:rPr>
        <w:t>2022年财政拨款收入195.58万元。与2022年相比，一般公共预算财政拨款收入较上年增加25.24万元，增加14.82%。增加的主要原因是</w:t>
      </w:r>
      <w:r>
        <w:rPr>
          <w:rFonts w:ascii="仿宋_GB2312" w:eastAsia="仿宋_GB2312" w:hint="eastAsia"/>
          <w:color w:val="000000"/>
          <w:spacing w:val="-2"/>
          <w:sz w:val="32"/>
          <w:szCs w:val="32"/>
        </w:rPr>
        <w:t>2022年正常的人员经费上升、工资调整等。</w:t>
      </w:r>
      <w:r>
        <w:rPr>
          <w:rFonts w:ascii="仿宋" w:eastAsia="仿宋" w:hint="eastAsia"/>
          <w:color w:val="000000"/>
          <w:sz w:val="32"/>
          <w:szCs w:val="32"/>
        </w:rPr>
        <w:t>2022年财政拨款支出195.58万元，</w:t>
      </w:r>
      <w:r>
        <w:rPr>
          <w:rFonts w:ascii="仿宋" w:eastAsia="仿宋" w:hint="eastAsia"/>
          <w:sz w:val="32"/>
          <w:szCs w:val="32"/>
        </w:rPr>
        <w:t>较上年支出增加</w:t>
      </w:r>
      <w:r>
        <w:rPr>
          <w:rFonts w:ascii="仿宋" w:eastAsia="仿宋" w:hint="eastAsia"/>
          <w:color w:val="000000"/>
          <w:sz w:val="32"/>
          <w:szCs w:val="32"/>
        </w:rPr>
        <w:t>25.24</w:t>
      </w:r>
      <w:r>
        <w:rPr>
          <w:rFonts w:ascii="仿宋" w:eastAsia="仿宋" w:hint="eastAsia"/>
          <w:sz w:val="32"/>
          <w:szCs w:val="32"/>
        </w:rPr>
        <w:t>万元，增加</w:t>
      </w:r>
      <w:r>
        <w:rPr>
          <w:rFonts w:ascii="仿宋" w:eastAsia="仿宋" w:hint="eastAsia"/>
          <w:color w:val="000000"/>
          <w:sz w:val="32"/>
          <w:szCs w:val="32"/>
        </w:rPr>
        <w:t>14.82</w:t>
      </w:r>
      <w:r>
        <w:rPr>
          <w:rFonts w:ascii="仿宋" w:eastAsia="仿宋" w:hint="eastAsia"/>
          <w:sz w:val="32"/>
          <w:szCs w:val="32"/>
        </w:rPr>
        <w:t>%</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bookmarkStart w:id="32" w:name="_Toc15396607"/>
      <w:bookmarkStart w:id="33"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_GB2312" w:eastAsia="仿宋_GB2312"/>
          <w:color w:val="FF0000"/>
          <w:spacing w:val="-2"/>
          <w:sz w:val="32"/>
          <w:szCs w:val="32"/>
        </w:rPr>
      </w:pPr>
      <w:r>
        <w:rPr>
          <w:rFonts w:ascii="仿宋" w:eastAsia="仿宋" w:hint="eastAsia"/>
          <w:color w:val="000000"/>
          <w:sz w:val="32"/>
          <w:szCs w:val="32"/>
        </w:rPr>
        <w:t>2022年</w:t>
      </w:r>
      <w:r>
        <w:rPr>
          <w:rFonts w:ascii="仿宋_GB2312" w:eastAsia="仿宋_GB2312" w:hint="eastAsia"/>
          <w:spacing w:val="-2"/>
          <w:sz w:val="32"/>
          <w:szCs w:val="32"/>
        </w:rPr>
        <w:t>一般公共预算财政拨款支出195.58万元，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。与2021年相比，一般公共预算财政拨款</w:t>
      </w:r>
      <w:r>
        <w:rPr>
          <w:rFonts w:ascii="仿宋_GB2312" w:eastAsia="仿宋_GB2312" w:hint="eastAsia"/>
          <w:spacing w:val="-2"/>
          <w:sz w:val="32"/>
          <w:szCs w:val="32"/>
        </w:rPr>
        <w:t>支出</w:t>
      </w:r>
      <w:r>
        <w:rPr>
          <w:rFonts w:ascii="仿宋" w:eastAsia="仿宋" w:hint="eastAsia"/>
          <w:sz w:val="32"/>
          <w:szCs w:val="32"/>
        </w:rPr>
        <w:t>增加</w:t>
      </w:r>
      <w:r>
        <w:rPr>
          <w:rFonts w:ascii="仿宋" w:eastAsia="仿宋" w:hint="eastAsia"/>
          <w:color w:val="000000"/>
          <w:sz w:val="32"/>
          <w:szCs w:val="32"/>
        </w:rPr>
        <w:t>25.24</w:t>
      </w:r>
      <w:r>
        <w:rPr>
          <w:rFonts w:ascii="仿宋" w:eastAsia="仿宋" w:hint="eastAsia"/>
          <w:sz w:val="32"/>
          <w:szCs w:val="32"/>
        </w:rPr>
        <w:t>万元</w:t>
      </w:r>
      <w:r>
        <w:rPr>
          <w:rFonts w:ascii="仿宋_GB2312" w:eastAsia="仿宋_GB2312" w:hint="eastAsia"/>
          <w:spacing w:val="-2"/>
          <w:sz w:val="32"/>
          <w:szCs w:val="32"/>
        </w:rPr>
        <w:t>，</w:t>
      </w:r>
      <w:r>
        <w:rPr>
          <w:rFonts w:ascii="仿宋" w:eastAsia="仿宋" w:hint="eastAsia"/>
          <w:sz w:val="32"/>
          <w:szCs w:val="32"/>
        </w:rPr>
        <w:t>增加14.82%</w:t>
      </w:r>
      <w:r>
        <w:rPr>
          <w:rFonts w:ascii="仿宋_GB2312" w:eastAsia="仿宋_GB2312" w:hint="eastAsia"/>
          <w:spacing w:val="-2"/>
          <w:sz w:val="32"/>
          <w:szCs w:val="32"/>
        </w:rPr>
        <w:t>。主要原因是</w:t>
      </w:r>
      <w:r>
        <w:rPr>
          <w:rFonts w:ascii="仿宋_GB2312" w:eastAsia="仿宋_GB2312" w:hint="eastAsia"/>
          <w:color w:val="000000"/>
          <w:spacing w:val="-2"/>
          <w:sz w:val="32"/>
          <w:szCs w:val="32"/>
        </w:rPr>
        <w:t>2022年正常的人员经费上升、工资调整等。</w:t>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40"/>
        <w:rPr>
          <w:rFonts w:ascii="仿宋" w:eastAsia="仿宋"/>
          <w:b/>
          <w:color w:val="000000"/>
          <w:sz w:val="32"/>
          <w:szCs w:val="32"/>
        </w:rPr>
      </w:pP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hint="eastAsia"/>
          <w:color w:val="000000"/>
          <w:sz w:val="32"/>
          <w:szCs w:val="32"/>
        </w:rPr>
        <w:t>2022年一般公共预算财政拨款支出</w:t>
      </w:r>
      <w:r>
        <w:rPr>
          <w:rFonts w:ascii="仿宋_GB2312" w:eastAsia="仿宋_GB2312" w:hint="eastAsia"/>
          <w:spacing w:val="-2"/>
          <w:sz w:val="32"/>
          <w:szCs w:val="32"/>
        </w:rPr>
        <w:t>195.58</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支出156.13万元，占79.83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教育支出</w:t>
      </w:r>
      <w:r>
        <w:rPr>
          <w:rFonts w:ascii="仿宋" w:eastAsia="仿宋" w:hint="eastAsia"/>
          <w:color w:val="000000"/>
          <w:sz w:val="32"/>
          <w:szCs w:val="32"/>
        </w:rPr>
        <w:t>0.6万元，占0.31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支出19.55万元，占10</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卫生健康支出8.18</w:t>
      </w:r>
      <w:r>
        <w:rPr>
          <w:rFonts w:ascii="仿宋" w:eastAsia="仿宋" w:hint="eastAsia"/>
          <w:color w:val="000000"/>
          <w:sz w:val="32"/>
          <w:szCs w:val="32"/>
        </w:rPr>
        <w:t>万元，占4.18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住房保障支出11.12</w:t>
      </w:r>
      <w:r>
        <w:rPr>
          <w:rFonts w:ascii="仿宋" w:eastAsia="仿宋" w:hint="eastAsia"/>
          <w:color w:val="000000"/>
          <w:sz w:val="32"/>
          <w:szCs w:val="32"/>
        </w:rPr>
        <w:t>万元，占5.68</w:t>
      </w:r>
      <w:r>
        <w:rPr>
          <w:rFonts w:ascii="仿宋" w:eastAsia="仿宋"/>
          <w:color w:val="000000"/>
          <w:sz w:val="32"/>
          <w:szCs w:val="32"/>
        </w:rPr>
        <w:t>%</w:t>
      </w:r>
      <w:r>
        <w:rPr>
          <w:rFonts w:ascii="仿宋" w:eastAsia="仿宋" w:hint="eastAsia"/>
          <w:color w:val="000000"/>
          <w:sz w:val="32"/>
          <w:szCs w:val="32"/>
        </w:rPr>
        <w:t>。</w:t>
      </w:r>
    </w:p>
    <w:p>
      <w:pPr>
        <w:spacing w:line="600" w:lineRule="exact"/>
        <w:outlineLvl w:val="2"/>
        <w:rPr>
          <w:rFonts w:ascii="仿宋" w:eastAsia="仿宋"/>
          <w:b/>
          <w:color w:val="000000"/>
          <w:sz w:val="32"/>
          <w:szCs w:val="32"/>
        </w:rPr>
      </w:pPr>
      <w:bookmarkStart w:id="36" w:name="_Toc15378460"/>
      <w:bookmarkStart w:id="37" w:name="_Toc15377444"/>
      <w:bookmarkStart w:id="38" w:name="_Toc15377213"/>
      <w:r>
        <w:drawing>
          <wp:anchor distT="0" distB="0" distL="114300" distR="114300" simplePos="0" relativeHeight="4" behindDoc="1" locked="0" layoutInCell="1" hidden="0" allowOverlap="1">
            <wp:simplePos x="0" y="0"/>
            <wp:positionH relativeFrom="column">
              <wp:posOffset>470535</wp:posOffset>
            </wp:positionH>
            <wp:positionV relativeFrom="paragraph">
              <wp:posOffset>156210</wp:posOffset>
            </wp:positionV>
            <wp:extent cx="4572000" cy="2743200"/>
            <wp:effectExtent l="0" t="0" r="0" b="0"/>
            <wp:wrapNone/>
            <wp:docPr id="3" name="图表 3"/>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39" w:name="_Toc15377212"/>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2022年一般公共年初预算数为114.99万元，收入决算数为</w:t>
      </w:r>
      <w:r>
        <w:rPr>
          <w:rFonts w:ascii="仿宋_GB2312" w:eastAsia="仿宋_GB2312" w:hint="eastAsia"/>
          <w:spacing w:val="-2"/>
          <w:sz w:val="32"/>
          <w:szCs w:val="32"/>
        </w:rPr>
        <w:t>195.58</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36"/>
      <w:bookmarkEnd w:id="37"/>
      <w:bookmarkEnd w:id="38"/>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1.一般公共服务（类）档案事务（款）行政运行（项）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支出决算为156.13万元，完成预算100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教育支出（类）进修及培训（款）培训支出（项）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支出决算为0.60万元，完成预算100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3</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支出决算为13.04万元，完成预算100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rPr>
        <w:t>4</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支出决算为6.07万元，完成预算100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5.卫生健康支出（类）行政事业单位医疗（款）行政单位医疗（项）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支出决算为4.74万元，完成预算100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rPr>
        <w:t>6.卫生健康支出（类）行政事业单位医疗（款）公务员医疗补助（项）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支出决算为2.11万元，完成预算100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bCs/>
          <w:color w:val="000000"/>
          <w:sz w:val="32"/>
          <w:szCs w:val="32"/>
        </w:rPr>
      </w:pPr>
      <w:bookmarkStart w:id="40" w:name="_Toc15396608"/>
      <w:bookmarkStart w:id="41" w:name="_Toc15377214"/>
      <w:r>
        <w:rPr>
          <w:rStyle w:val="24"/>
          <w:rFonts w:ascii="仿宋" w:eastAsia="仿宋" w:hint="eastAsia"/>
          <w:bCs/>
          <w:color w:val="000000"/>
          <w:sz w:val="32"/>
          <w:szCs w:val="32"/>
        </w:rPr>
        <w:t>7.住房保障（类）住房改革支出（款）住房公积金（项）：</w:t>
      </w:r>
      <w:r>
        <w:rPr>
          <w:rStyle w:val="24"/>
          <w:rFonts w:ascii="仿宋" w:eastAsia="仿宋" w:hint="eastAsia"/>
          <w:b w:val="0"/>
          <w:bCs/>
          <w:color w:val="000000"/>
          <w:sz w:val="32"/>
          <w:szCs w:val="32"/>
        </w:rPr>
        <w:t>支出决算为2.11万元，完成预算100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rPr>
        <w:t>2022年一般公共预算财政拨款基本支出189.48万元，其中：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177.84万元，主要包括：基本工资34.86万元、津贴补贴35.34万元、奖金25.38万元、伙食补助费0万元、机关事业单位基本养老保险缴费13.04万元、职业年金缴费6.52万元、职工基本医疗保险缴费6.07万元、公务员医疗补助缴费2.11万元、其他社会保障缴费1.22万元、住房公积金11.12万元、抚恤金21.23万元、生活补助5.34万元、奖励金15.61万元。</w:t>
      </w:r>
      <w:r>
        <w:rPr>
          <w:rFonts w:ascii="仿宋" w:eastAsia="仿宋"/>
          <w:color w:val="000000"/>
          <w:sz w:val="32"/>
          <w:szCs w:val="32"/>
        </w:rPr>
        <w:br/>
      </w:r>
      <w:r>
        <w:rPr>
          <w:rFonts w:ascii="仿宋" w:eastAsia="仿宋" w:hint="eastAsia"/>
          <w:color w:val="000000"/>
          <w:sz w:val="32"/>
          <w:szCs w:val="32"/>
        </w:rPr>
        <w:t>　　公用经费11.64万元，主要包括：办公费4.63万元、水费0.07万元、电费0.40万元、邮电费0.10万元、差旅费3.30万元、维修（护）费0.29万元、会议费0.40万元、福利费0.25万元、其他交通费2.20万元。</w:t>
      </w:r>
    </w:p>
    <w:p>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hint="eastAsia"/>
          <w:color w:val="000000"/>
          <w:sz w:val="32"/>
          <w:szCs w:val="32"/>
        </w:rPr>
        <w:t>2022年“三公”经费财政拨款支出决算为0万元，完成预算0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hint="eastAsia"/>
          <w:color w:val="000000"/>
          <w:sz w:val="32"/>
          <w:szCs w:val="32"/>
        </w:rPr>
        <w:t>2022年“三公”经费财政拨款支出</w:t>
      </w:r>
      <w:r>
        <w:rPr>
          <w:rFonts w:ascii="仿宋" w:eastAsia="仿宋" w:hint="eastAsia"/>
          <w:sz w:val="32"/>
          <w:szCs w:val="32"/>
        </w:rPr>
        <w:t>决算0万元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；公务用车购置及运行维护费支出决算0万元，占0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color w:val="000000"/>
          <w:sz w:val="32"/>
          <w:szCs w:val="32"/>
        </w:rPr>
      </w:pP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sz w:val="32"/>
          <w:szCs w:val="32"/>
        </w:rPr>
        <w:t>全年安排因公出国（境）团组0次，出国（境）0人。因</w:t>
      </w:r>
      <w:r>
        <w:rPr>
          <w:rFonts w:ascii="仿宋_GB2312" w:eastAsia="仿宋_GB2312" w:hint="eastAsia"/>
          <w:color w:val="000000"/>
          <w:sz w:val="32"/>
          <w:szCs w:val="32"/>
        </w:rPr>
        <w:t>公出国（境）支出决算比2021年</w:t>
      </w:r>
      <w:r>
        <w:rPr>
          <w:rFonts w:ascii="仿宋_GB2312" w:eastAsia="仿宋_GB2312" w:cs="仿宋" w:hint="eastAsia"/>
          <w:color w:val="000000"/>
          <w:sz w:val="32"/>
          <w:szCs w:val="32"/>
        </w:rPr>
        <w:t>增加0万元，</w:t>
      </w:r>
    </w:p>
    <w:p>
      <w:pPr>
        <w:numPr>
          <w:ilvl w:val="0"/>
          <w:numId w:val="2"/>
        </w:numPr>
        <w:spacing w:line="600" w:lineRule="exact"/>
        <w:ind w:left="0"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公务用车购置及运行维护费支出决算比2021年增加0万元</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0万元。</w:t>
      </w:r>
      <w:r>
        <w:rPr>
          <w:rFonts w:ascii="仿宋_GB2312" w:eastAsia="仿宋_GB2312" w:hint="eastAsia"/>
          <w:color w:val="000000"/>
          <w:sz w:val="32"/>
          <w:szCs w:val="32"/>
        </w:rPr>
        <w:t>主要用我单位所需的公务用车燃料费、维修费、过路过桥费、保险费等支出。</w:t>
      </w:r>
    </w:p>
    <w:p>
      <w:pPr>
        <w:numPr>
          <w:ilvl w:val="0"/>
          <w:numId w:val="3"/>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4"/>
          <w:rFonts w:ascii="仿宋" w:eastAsia="仿宋" w:hint="eastAsia"/>
          <w:b w:val="0"/>
          <w:bCs/>
          <w:color w:val="000000"/>
          <w:sz w:val="32"/>
          <w:szCs w:val="32"/>
        </w:rPr>
        <w:t>完成预算0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2022年政府性基金预算拨款支出0万元。</w:t>
      </w:r>
    </w:p>
    <w:p>
      <w:pPr>
        <w:numPr>
          <w:ilvl w:val="0"/>
          <w:numId w:val="4"/>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2022年国有资本经营预算拨款支出0万元。</w:t>
      </w:r>
    </w:p>
    <w:p>
      <w:pPr>
        <w:spacing w:line="600" w:lineRule="exact"/>
        <w:ind w:firstLineChars="200" w:firstLine="640"/>
        <w:outlineLvl w:val="1"/>
        <w:rPr>
          <w:rStyle w:val="2Char"/>
          <w:rFonts w:ascii="黑体" w:eastAsia="黑体" w:hint="eastAsia"/>
          <w:b w:val="0"/>
        </w:rPr>
      </w:pPr>
      <w:r>
        <w:rPr>
          <w:rStyle w:val="2Char"/>
          <w:rFonts w:ascii="黑体" w:eastAsia="黑体" w:hint="eastAsia"/>
          <w:b w:val="0"/>
        </w:rPr>
        <w:t>十、其他重要事项的情况说明</w:t>
      </w:r>
    </w:p>
    <w:p>
      <w:pPr>
        <w:spacing w:line="600" w:lineRule="exact"/>
        <w:ind w:firstLineChars="200" w:firstLine="640"/>
        <w:outlineLvl w:val="1"/>
        <w:rPr>
          <w:rFonts w:ascii="仿宋_GB2312" w:eastAsia="仿宋_GB2312" w:cs="仿宋_GB2312"/>
          <w:color w:val="000000"/>
          <w:sz w:val="32"/>
          <w:szCs w:val="32"/>
        </w:rPr>
      </w:pPr>
      <w:r>
        <w:rPr>
          <w:rFonts w:ascii="仿宋_GB2312" w:eastAsia="仿宋_GB2312" w:cs="仿宋_GB2312" w:hint="eastAsia"/>
          <w:color w:val="FF0000"/>
          <w:sz w:val="32"/>
          <w:szCs w:val="32"/>
        </w:rPr>
        <w:t>　</w:t>
      </w:r>
      <w:r>
        <w:rPr>
          <w:rFonts w:ascii="仿宋_GB2312" w:eastAsia="仿宋_GB2312" w:cs="仿宋_GB2312" w:hint="eastAsia"/>
          <w:sz w:val="32"/>
          <w:szCs w:val="32"/>
        </w:rPr>
        <w:t>根据预算绩效管理要求，我单位在年初预算编制阶段，开展了预算事前绩效评估，编制了部门整体绩效目标。</w:t>
      </w:r>
      <w:bookmarkStart w:id="50" w:name="_Toc15396612"/>
      <w:bookmarkStart w:id="51" w:name="_Toc15377221"/>
    </w:p>
    <w:p>
      <w:pPr>
        <w:spacing w:line="600" w:lineRule="exact"/>
        <w:ind w:firstLineChars="200" w:firstLine="640"/>
        <w:outlineLvl w:val="2"/>
        <w:rPr>
          <w:rFonts w:ascii="仿宋" w:eastAsia="仿宋"/>
          <w:color w:val="000000"/>
          <w:sz w:val="32"/>
          <w:szCs w:val="32"/>
        </w:rPr>
      </w:pPr>
      <w:bookmarkStart w:id="52" w:name="_Toc15377222"/>
      <w:bookmarkEnd w:id="50"/>
      <w:bookmarkEnd w:id="51"/>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2022年，金川县档案馆运行经费支出11.64万元，比</w:t>
      </w:r>
      <w:r>
        <w:rPr>
          <w:rFonts w:ascii="仿宋_GB2312" w:eastAsia="仿宋_GB2312"/>
          <w:color w:val="000000"/>
          <w:sz w:val="32"/>
          <w:szCs w:val="32"/>
        </w:rPr>
        <w:t>20</w:t>
      </w:r>
      <w:r>
        <w:rPr>
          <w:rFonts w:ascii="仿宋_GB2312" w:eastAsia="仿宋_GB2312" w:hint="eastAsia"/>
          <w:color w:val="000000"/>
          <w:sz w:val="32"/>
          <w:szCs w:val="32"/>
        </w:rPr>
        <w:t>21年减少0.37万元。主要原因为今年会议费经费支出减少。</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spacing w:line="600" w:lineRule="exact"/>
        <w:ind w:firstLineChars="200" w:firstLine="640"/>
        <w:rPr>
          <w:rFonts w:ascii="仿宋" w:eastAsia="仿宋"/>
          <w:b/>
          <w:sz w:val="32"/>
          <w:szCs w:val="32"/>
        </w:rPr>
      </w:pPr>
      <w:r>
        <w:rPr>
          <w:rFonts w:ascii="仿宋_GB2312" w:eastAsia="仿宋_GB2312" w:hint="eastAsia"/>
          <w:color w:val="000000"/>
          <w:sz w:val="32"/>
          <w:szCs w:val="32"/>
        </w:rPr>
        <w:t>2022年，政府采购支出总额0万元，其中：政府采购货物支出0万元、政府采购服务支出0万元。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4"/>
      <w:r>
        <w:rPr>
          <w:rFonts w:ascii="仿宋" w:eastAsia="仿宋" w:hint="eastAsia"/>
          <w:b/>
          <w:color w:val="000000"/>
          <w:sz w:val="32"/>
          <w:szCs w:val="32"/>
        </w:rPr>
        <w:t>（三）国有资产占有使用情况</w:t>
      </w:r>
      <w:bookmarkEnd w:id="54"/>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截至2022年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日，共有车辆0辆，为日常工作及应急保障用车。</w:t>
      </w:r>
      <w:r>
        <w:rPr>
          <w:rFonts w:ascii="仿宋_GB2312" w:eastAsia="仿宋_GB2312" w:hint="eastAsia"/>
          <w:b/>
          <w:color w:val="000000"/>
          <w:sz w:val="32"/>
          <w:szCs w:val="32"/>
        </w:rPr>
        <w:t xml:space="preserve">    </w:t>
      </w:r>
    </w:p>
    <w:p>
      <w:pPr>
        <w:numPr>
          <w:ilvl w:val="0"/>
          <w:numId w:val="5"/>
        </w:numPr>
        <w:spacing w:line="600" w:lineRule="exact"/>
        <w:ind w:left="0" w:firstLineChars="150" w:firstLine="660"/>
        <w:jc w:val="center"/>
        <w:outlineLvl w:val="0"/>
        <w:rPr>
          <w:rStyle w:val="1Char"/>
          <w:rFonts w:ascii="黑体" w:eastAsia="黑体"/>
          <w:b w:val="0"/>
        </w:rPr>
      </w:pPr>
      <w:bookmarkStart w:id="55" w:name="_Toc15377225"/>
      <w:bookmarkStart w:id="56" w:name="_Toc15396613"/>
      <w:r>
        <w:rPr>
          <w:rFonts w:ascii="黑体" w:eastAsia="黑体" w:hint="eastAsia"/>
          <w:b/>
          <w:color w:val="000000"/>
          <w:sz w:val="44"/>
          <w:szCs w:val="44"/>
        </w:rPr>
        <w:t>名</w:t>
      </w:r>
      <w:r>
        <w:rPr>
          <w:rStyle w:val="1Char"/>
          <w:rFonts w:ascii="黑体" w:eastAsia="黑体" w:hint="eastAsia"/>
          <w:b w:val="0"/>
        </w:rPr>
        <w:t>词解释</w:t>
      </w:r>
      <w:bookmarkEnd w:id="55"/>
      <w:bookmarkEnd w:id="56"/>
    </w:p>
    <w:p>
      <w:pPr>
        <w:pStyle w:val="29"/>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一般公共服务（类）档案事务（款）行政运行（项）：指行政单位的基本支出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rPr>
          <w:rStyle w:val="1Char"/>
          <w:rFonts w:ascii="仿宋" w:eastAsia="仿宋"/>
          <w:b w:val="0"/>
          <w:bCs w:val="0"/>
          <w:sz w:val="32"/>
          <w:szCs w:val="32"/>
        </w:rPr>
      </w:pPr>
      <w:bookmarkStart w:id="59" w:name="_Toc15396615"/>
    </w:p>
    <w:p>
      <w:pPr>
        <w:rPr>
          <w:rStyle w:val="1Char"/>
          <w:rFonts w:ascii="仿宋" w:eastAsia="仿宋"/>
          <w:b w:val="0"/>
          <w:bCs w:val="0"/>
          <w:sz w:val="32"/>
          <w:szCs w:val="32"/>
        </w:rPr>
      </w:pPr>
    </w:p>
    <w:p>
      <w:pPr>
        <w:keepNext w:val="0"/>
        <w:widowControl w:val="0"/>
        <w:rPr>
          <w:rStyle w:val="1Char"/>
          <w:rFonts w:ascii="仿宋" w:eastAsia="仿宋"/>
          <w:b w:val="0"/>
          <w:bCs w:val="0"/>
          <w:sz w:val="32"/>
          <w:szCs w:val="32"/>
        </w:rPr>
      </w:pPr>
      <w:r>
        <w:rPr>
          <w:rStyle w:val="1Char"/>
          <w:rFonts w:ascii="仿宋" w:eastAsia="仿宋"/>
          <w:b w:val="0"/>
          <w:bCs w:val="0"/>
          <w:sz w:val="32"/>
          <w:szCs w:val="32"/>
        </w:rPr>
        <w:br w:type="page"/>
      </w:r>
    </w:p>
    <w:p>
      <w:pPr>
        <w:spacing w:line="576" w:lineRule="exact"/>
        <w:jc w:val="center"/>
        <w:outlineLvl w:val="0"/>
        <w:rPr>
          <w:rFonts w:eastAsia="黑体" w:hint="eastAsia"/>
          <w:sz w:val="44"/>
          <w:szCs w:val="44"/>
        </w:rPr>
      </w:pPr>
      <w:bookmarkStart w:id="60" w:name="_Toc26843623"/>
    </w:p>
    <w:p>
      <w:pPr>
        <w:spacing w:line="576" w:lineRule="exact"/>
        <w:jc w:val="center"/>
        <w:outlineLvl w:val="0"/>
        <w:rPr>
          <w:rStyle w:val="1Char"/>
          <w:rFonts w:eastAsia="黑体"/>
          <w:b w:val="0"/>
        </w:rPr>
      </w:pPr>
      <w:r>
        <w:rPr>
          <w:rFonts w:eastAsia="黑体"/>
          <w:sz w:val="44"/>
          <w:szCs w:val="44"/>
        </w:rPr>
        <w:t>第</w:t>
      </w:r>
      <w:r>
        <w:rPr>
          <w:rStyle w:val="1Char"/>
          <w:rFonts w:eastAsia="黑体"/>
        </w:rPr>
        <w:t>四部分 附件</w:t>
      </w:r>
      <w:bookmarkEnd w:id="60"/>
    </w:p>
    <w:p>
      <w:pPr>
        <w:spacing w:line="576" w:lineRule="exact"/>
        <w:jc w:val="left"/>
        <w:outlineLvl w:val="0"/>
        <w:rPr>
          <w:rFonts w:eastAsia="方正小标宋简体"/>
          <w:sz w:val="40"/>
          <w:szCs w:val="44"/>
        </w:rPr>
      </w:pPr>
      <w:bookmarkStart w:id="61" w:name="_Toc26843624"/>
      <w:r>
        <w:rPr>
          <w:rFonts w:eastAsia="黑体"/>
          <w:sz w:val="32"/>
          <w:szCs w:val="32"/>
        </w:rPr>
        <w:t>附</w:t>
      </w:r>
      <w:r>
        <w:rPr>
          <w:rFonts w:eastAsia="黑体"/>
          <w:sz w:val="28"/>
          <w:szCs w:val="32"/>
        </w:rPr>
        <w:t>件</w:t>
      </w:r>
      <w:bookmarkEnd w:id="61"/>
    </w:p>
    <w:p>
      <w:pPr>
        <w:widowControl/>
        <w:spacing w:line="560" w:lineRule="exact"/>
        <w:contextualSpacing/>
        <w:jc w:val="center"/>
        <w:rPr>
          <w:rFonts w:ascii="宋体" w:hint="eastAsia"/>
          <w:b/>
          <w:sz w:val="44"/>
          <w:szCs w:val="44"/>
          <w:shd w:val="clear" w:color="auto" w:fill="FFFFFF"/>
        </w:rPr>
      </w:pPr>
      <w:r>
        <w:rPr>
          <w:rFonts w:ascii="宋体" w:hint="eastAsia"/>
          <w:b/>
          <w:sz w:val="44"/>
          <w:szCs w:val="44"/>
          <w:shd w:val="clear" w:color="auto" w:fill="FFFFFF"/>
        </w:rPr>
        <w:t>金川县档案馆</w:t>
      </w:r>
    </w:p>
    <w:p>
      <w:pPr>
        <w:widowControl/>
        <w:spacing w:line="560" w:lineRule="exact"/>
        <w:contextualSpacing/>
        <w:jc w:val="center"/>
        <w:rPr>
          <w:rFonts w:ascii="宋体"/>
          <w:b/>
          <w:sz w:val="44"/>
          <w:szCs w:val="44"/>
          <w:shd w:val="clear" w:color="auto" w:fill="FFFFFF"/>
        </w:rPr>
      </w:pPr>
      <w:r>
        <w:rPr>
          <w:rFonts w:ascii="宋体" w:hint="eastAsia"/>
          <w:b/>
          <w:sz w:val="44"/>
          <w:szCs w:val="44"/>
          <w:shd w:val="clear" w:color="auto" w:fill="FFFFFF"/>
        </w:rPr>
        <w:t>2022年整体支出绩效评价报告</w:t>
      </w:r>
    </w:p>
    <w:p>
      <w:pPr>
        <w:widowControl/>
        <w:spacing w:line="560" w:lineRule="exact"/>
        <w:contextualSpacing/>
        <w:jc w:val="center"/>
        <w:rPr>
          <w:rFonts w:ascii="宋体"/>
          <w:b/>
          <w:sz w:val="44"/>
          <w:szCs w:val="44"/>
          <w:shd w:val="clear" w:color="auto" w:fill="FFFFFF"/>
        </w:rPr>
      </w:pP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根据《金川县财政局关于开展2022年部门、政策和项目支出绩效评价工作的通知》（金财监绩〔2022〕22号）文件要求，现就我馆2022年部门整体支出绩效情况报告如下：</w:t>
      </w:r>
    </w:p>
    <w:p>
      <w:pPr>
        <w:spacing w:line="576" w:lineRule="exact"/>
        <w:ind w:firstLineChars="200" w:firstLine="640"/>
        <w:rPr>
          <w:rFonts w:ascii="黑体" w:eastAsia="黑体" w:hint="eastAsia"/>
          <w:sz w:val="32"/>
          <w:szCs w:val="32"/>
        </w:rPr>
      </w:pPr>
      <w:r>
        <w:rPr>
          <w:rFonts w:ascii="黑体" w:eastAsia="黑体" w:hint="eastAsia"/>
          <w:sz w:val="32"/>
          <w:szCs w:val="32"/>
        </w:rPr>
        <w:t>一、部门概况</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（一）机构职能</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1.贯彻执行《中华人民共和国档案法》以及党和国家有关档案工作的方针、政策；起草全县档案工作的地方性法规和规章草案，制定全县档案工作规范性文件及全县档案事业发展规划并负责组织实施。</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2.监督、检查档案法律、法规的贯彻执行，依法查处档案违法行为。</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3.组织、指导全县档案编研和档案宣传工作，逐步实现档案管理的标准化、规范化和现代化。4.负责全县档案工作人员业务培训，加强档案工作人员队伍建设。</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5.接收、征集和集中统一管理县级党政机关、群众团体、直属企事业单位的重要档案资料和有关历史档案，确保档案资料的齐全、完整、安全。</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6.积极开发、充分利用档案信息资源，负责全县档案目录数据库、图片资料库建设，建立全县档案资源信息网络。</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（二）机构组成</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金川县档案馆于1960年7月8日正式建立,它是在原县委和县人委两个档案室的基础上扩建的。1980年6月27日，经县委批准成立金川县档案管理局，县档案管理局和县档案馆合署办公，局馆合一，均为县委和县革委的直属机构。1987年，金川县档案局列入政府编制序列，1997年，金川县档案局列入县政府直属事业局。截至目前，现馆藏各门类档案3万余卷（件），资料5336卷（册），民清珍贵重点档案57卷，珍贵像章、徽章等500余枚（件）。是金川县档案安全保管的基地、利用档案开展爱国主义教育的基地、档案信息服务的中心和档案提供利用的中心。共设有保管编研股，业务指导股，办公室。</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（三）人员概况</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1.编制情况。</w:t>
      </w:r>
      <w:r>
        <w:rPr>
          <w:rFonts w:ascii="仿宋_GB2312" w:eastAsia="仿宋_GB2312" w:hint="eastAsia"/>
          <w:sz w:val="32"/>
          <w:szCs w:val="32"/>
        </w:rPr>
        <w:t>金川县档案馆编制数7人，其中：参公编7人</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2.人员情况。</w:t>
      </w:r>
      <w:r>
        <w:rPr>
          <w:rFonts w:ascii="仿宋_GB2312" w:eastAsia="仿宋_GB2312" w:hint="eastAsia"/>
          <w:sz w:val="32"/>
          <w:szCs w:val="32"/>
        </w:rPr>
        <w:t>2021年末在职职工7人，退休人员5人，遗属人员1人。</w:t>
      </w:r>
    </w:p>
    <w:p>
      <w:pPr>
        <w:spacing w:line="576" w:lineRule="exact"/>
        <w:ind w:firstLineChars="200" w:firstLine="640"/>
        <w:rPr>
          <w:rFonts w:ascii="黑体" w:eastAsia="黑体" w:hint="eastAsia"/>
          <w:sz w:val="32"/>
          <w:szCs w:val="32"/>
        </w:rPr>
      </w:pPr>
      <w:r>
        <w:rPr>
          <w:rFonts w:ascii="黑体" w:eastAsia="黑体" w:hint="eastAsia"/>
          <w:sz w:val="32"/>
          <w:szCs w:val="32"/>
        </w:rPr>
        <w:t>二、部门财政资金收支情况</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（一）2021年度总收入170.26万元，其中一般公共预算财政拨款170.26万元，政府性基金预算拨款0万元。</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（二）2021年度总支出170.26万元。其中商品和服务支出17.91万元，工资福利支出104.06万元，对个人和家庭补助支出48.29万元。</w:t>
      </w:r>
    </w:p>
    <w:p>
      <w:pPr>
        <w:spacing w:line="576" w:lineRule="exact"/>
        <w:ind w:firstLineChars="200" w:firstLine="640"/>
        <w:rPr>
          <w:rFonts w:ascii="黑体" w:eastAsia="黑体" w:hint="eastAsia"/>
          <w:sz w:val="32"/>
          <w:szCs w:val="32"/>
        </w:rPr>
      </w:pPr>
      <w:r>
        <w:rPr>
          <w:rFonts w:ascii="黑体" w:eastAsia="黑体" w:hint="eastAsia"/>
          <w:sz w:val="32"/>
          <w:szCs w:val="32"/>
        </w:rPr>
        <w:t>三、部门整体预算绩效管理情况</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（一）预算编制情况</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按照综合预算编制原则，保证预算编制质量，档案馆所有收入和支出均纳入财政预算管理，公用经费按人员数编制预算，其它经费严格按照《</w:t>
      </w:r>
      <w:r>
        <w:rPr>
          <w:rFonts w:ascii="仿宋_GB2312" w:eastAsia="仿宋_GB2312"/>
          <w:sz w:val="32"/>
          <w:szCs w:val="32"/>
        </w:rPr>
        <w:t>中华人民共和国</w:t>
      </w:r>
      <w:r>
        <w:rPr>
          <w:rFonts w:ascii="仿宋_GB2312" w:eastAsia="仿宋_GB2312" w:hint="eastAsia"/>
          <w:sz w:val="32"/>
          <w:szCs w:val="32"/>
        </w:rPr>
        <w:t>预算法》执行。</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2022年预算情况：2022年预算按照编制人数7人编制人员经费，经费合计115万元，一是人员经费预算为102.65万元；二是公用经费预算为12.35万元。</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（二）预算管理情况</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1.加强预算资金拨付管理。</w:t>
      </w:r>
      <w:r>
        <w:rPr>
          <w:rFonts w:ascii="仿宋_GB2312" w:eastAsia="仿宋_GB2312" w:hint="eastAsia"/>
          <w:sz w:val="32"/>
          <w:szCs w:val="32"/>
        </w:rPr>
        <w:t>人员经费是按月拨付，公用经费是按季度拨付。</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2.加强预算的中期评估。</w:t>
      </w:r>
      <w:r>
        <w:rPr>
          <w:rFonts w:ascii="仿宋_GB2312" w:eastAsia="仿宋_GB2312" w:hint="eastAsia"/>
          <w:sz w:val="32"/>
          <w:szCs w:val="32"/>
        </w:rPr>
        <w:t>根据《</w:t>
      </w:r>
      <w:r>
        <w:rPr>
          <w:rFonts w:ascii="仿宋_GB2312" w:eastAsia="仿宋_GB2312"/>
          <w:sz w:val="32"/>
          <w:szCs w:val="32"/>
        </w:rPr>
        <w:t>中华人民共和国</w:t>
      </w:r>
      <w:r>
        <w:rPr>
          <w:rFonts w:ascii="仿宋_GB2312" w:eastAsia="仿宋_GB2312" w:hint="eastAsia"/>
          <w:sz w:val="32"/>
          <w:szCs w:val="32"/>
        </w:rPr>
        <w:t>预算法》以及部门预算编制重点，结合本单位工作实际，编制2022年预算表，定期分析财政预算执情况，有效规范和使用财政预算资金，确保财政资金不铺张浪费，积极发挥财政资金的使用效益。</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3.加强“三公”经费管理。</w:t>
      </w:r>
      <w:r>
        <w:rPr>
          <w:rFonts w:ascii="仿宋_GB2312" w:eastAsia="仿宋_GB2312" w:hint="eastAsia"/>
          <w:sz w:val="32"/>
          <w:szCs w:val="32"/>
        </w:rPr>
        <w:t>金川县档案馆2021年度 “三公”经费财政拨款支出决算为0万元。</w:t>
      </w:r>
    </w:p>
    <w:p>
      <w:pPr>
        <w:spacing w:line="576" w:lineRule="exact"/>
        <w:ind w:firstLineChars="200" w:firstLine="640"/>
        <w:rPr>
          <w:rFonts w:ascii="仿宋_GB2312" w:eastAsia="仿宋_GB2312" w:hint="eastAsia"/>
          <w:b/>
          <w:sz w:val="32"/>
          <w:szCs w:val="32"/>
        </w:rPr>
      </w:pPr>
      <w:r>
        <w:rPr>
          <w:rFonts w:ascii="仿宋_GB2312" w:eastAsia="仿宋_GB2312" w:hint="eastAsia"/>
          <w:b/>
          <w:sz w:val="32"/>
          <w:szCs w:val="32"/>
        </w:rPr>
        <w:t>（三）综合管理情况</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1.政府采购方面。</w:t>
      </w:r>
      <w:r>
        <w:rPr>
          <w:rFonts w:ascii="仿宋_GB2312" w:eastAsia="仿宋_GB2312" w:hint="eastAsia"/>
          <w:sz w:val="32"/>
          <w:szCs w:val="32"/>
        </w:rPr>
        <w:t>加强政府采购管理，我馆凡涉及办公设备等采购一律严格按照采购程序办理，没有未批先购的情况。</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2.固定资产管理方面。</w:t>
      </w:r>
      <w:r>
        <w:rPr>
          <w:rFonts w:ascii="仿宋_GB2312" w:eastAsia="仿宋_GB2312" w:hint="eastAsia"/>
          <w:sz w:val="32"/>
          <w:szCs w:val="32"/>
        </w:rPr>
        <w:t>加强固定资管理。一是建立资产管理系统，确保资产不流失，并积极发挥资产的使用效益；二是建立资产使用</w:t>
      </w:r>
      <w:r>
        <w:rPr>
          <w:rFonts w:ascii="仿宋_GB2312" w:eastAsia="仿宋_GB2312"/>
          <w:sz w:val="32"/>
          <w:szCs w:val="32"/>
        </w:rPr>
        <w:t>台账</w:t>
      </w:r>
      <w:r>
        <w:rPr>
          <w:rFonts w:ascii="仿宋_GB2312" w:eastAsia="仿宋_GB2312" w:hint="eastAsia"/>
          <w:sz w:val="32"/>
          <w:szCs w:val="32"/>
        </w:rPr>
        <w:t>，实行谁使用谁管理，特别是调离职工所使用的办公设备，实行先移交资产再办理调离手续，有效保证办公设备等资产不流失；三是定期或不定期的开展资产检查和使用情况，防止资产“重使用轻管理”，特别是办公设备管理方面切实做到能用尽用，杜绝重复购置。截止2021年底，固定资产账面数362.6万元，固定资产账面数据和固定资产管理系统数据一致。</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3.内控制度建立方面。</w:t>
      </w:r>
      <w:r>
        <w:rPr>
          <w:rFonts w:ascii="仿宋_GB2312" w:eastAsia="仿宋_GB2312" w:hint="eastAsia"/>
          <w:sz w:val="32"/>
          <w:szCs w:val="32"/>
        </w:rPr>
        <w:t>内控制度管理：按照国家的法律法规加强预算管理，不断完善内控制度并良好执行，本单位没有出现廉政风险或发生重大责任事故。</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4.信息公开方面。</w:t>
      </w:r>
      <w:r>
        <w:rPr>
          <w:rFonts w:ascii="仿宋_GB2312" w:eastAsia="仿宋_GB2312" w:hint="eastAsia"/>
          <w:sz w:val="32"/>
          <w:szCs w:val="32"/>
        </w:rPr>
        <w:t>根据要求，我馆财政预（决）算情况、三公经费使用情况每年都在金川县政府中心的信息网站进行公开。</w:t>
      </w:r>
    </w:p>
    <w:p>
      <w:pPr>
        <w:spacing w:line="576" w:lineRule="exact"/>
        <w:ind w:firstLineChars="200" w:firstLine="640"/>
        <w:rPr>
          <w:rFonts w:ascii="黑体" w:eastAsia="黑体" w:hint="eastAsia"/>
          <w:sz w:val="32"/>
          <w:szCs w:val="32"/>
        </w:rPr>
      </w:pPr>
      <w:r>
        <w:rPr>
          <w:rFonts w:ascii="黑体" w:eastAsia="黑体" w:hint="eastAsia"/>
          <w:sz w:val="32"/>
          <w:szCs w:val="32"/>
        </w:rPr>
        <w:t>四、评价结论及建议</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通过加强预算收支的管理，不断建立健全内部管理制度，理顺内部管理流程，部门整体支出管理情况得到了提升。部门整体支出绩效情况如下：</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（一）本年预算安排控制较好，控制在预算编制以内，无“三公”经费预算。</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（二）预算执行方面，支出总额控制在预算总额以内；本年无转移资金支付，不存在截留或滞留专项资金情况。　</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（三）项目产出及社会效益评价</w:t>
      </w:r>
    </w:p>
    <w:p>
      <w:pPr>
        <w:spacing w:line="576" w:lineRule="exact"/>
        <w:ind w:firstLineChars="200" w:firstLine="640"/>
        <w:rPr>
          <w:rFonts w:ascii="仿宋_GB2312" w:eastAsia="仿宋_GB2312" w:hint="eastAsia"/>
          <w:sz w:val="32"/>
          <w:szCs w:val="32"/>
        </w:rPr>
      </w:pPr>
      <w:r>
        <w:rPr>
          <w:rFonts w:ascii="仿宋_GB2312" w:eastAsia="仿宋_GB2312" w:hint="eastAsia"/>
          <w:sz w:val="32"/>
          <w:szCs w:val="32"/>
        </w:rPr>
        <w:t>2021年我馆狠抓重点工作，较好的完成了各项目标任务，取得了较好的社会效益。主要绩效如下：一是高度重视，加强档案工作组织领导。为抓好全年档案工作的统一部署，我馆及时制定印发了《全县档案工作目标管理考评内容与评分细则》，对抓好今年档案工作进行了专题研究和具体安排。加强档案的收集和利用，加强档案规范化管理；服务机关企事业单位、服务广大群众，进一步明确了工作方向，为促进并推动全县档案事业的发展打下良好的基础。二是创新工作方式，改进档案服务工作。我局不断拓展档案工作交流平台，创新工作方法，实行工作人员首问责任、限时服务、文明办公服务承诺等措施，进一步丰富了各单位之间的交流方式，提高了档案业务沟通效率，提升了档案利用率，推进了档案工作规范化发展。三是丰富档案馆藏，有效提高档案利用效率。四是加强业务指导，推进档案管理规范化。五是完善基础设施，确保档案保管安全措施到位。</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1.评价结论。</w:t>
      </w:r>
      <w:r>
        <w:rPr>
          <w:rFonts w:ascii="仿宋_GB2312" w:eastAsia="仿宋_GB2312" w:hint="eastAsia"/>
          <w:sz w:val="32"/>
          <w:szCs w:val="32"/>
        </w:rPr>
        <w:t xml:space="preserve">我馆高度重视此次绩效评价工作，召开了专门的会议研究和安排此项工作，责任到人，确保工作按质按量完成。在实施的过程中，按照金财监绩[2022]22号文件的要求，结合我部门财政支出的实际情况，认真对照评价标准进行自评打分，对存在的不足进行梳理整改。 财务支出基本符合相关要求规定，充分发挥了财政资金的作用，档案工作取得了较大的进步，在经济效益、社会效益、生态效益等方面发挥了积极作用。 </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2.存在问题。</w:t>
      </w:r>
      <w:r>
        <w:rPr>
          <w:rFonts w:ascii="仿宋_GB2312" w:eastAsia="仿宋_GB2312" w:hint="eastAsia"/>
          <w:sz w:val="32"/>
          <w:szCs w:val="32"/>
        </w:rPr>
        <w:t>在资金的使用和安排上取得了较好的预算执行结果，但仍存在预算管理不够完善，资金使用不够科学等问题，我部门认真梳理存在的问题，改进提高工作效率。 一是资金的使用还不完全符合科学性，效益性，基本支出占比较大。 二是固定资产管理不够完善,处置不够规范，有些应报废的固定资产没有及时申报报废。三是全县档案部门信息化建设程度仍比较低，着力推进信息化建设势在必行。</w:t>
      </w:r>
    </w:p>
    <w:p>
      <w:pPr>
        <w:spacing w:line="576" w:lineRule="exact"/>
        <w:ind w:firstLineChars="200" w:firstLine="640"/>
        <w:rPr>
          <w:rFonts w:ascii="仿宋_GB2312" w:eastAsia="仿宋_GB2312" w:hint="eastAsia"/>
          <w:sz w:val="32"/>
          <w:szCs w:val="32"/>
        </w:rPr>
      </w:pPr>
      <w:r>
        <w:rPr>
          <w:rFonts w:ascii="仿宋_GB2312" w:eastAsia="仿宋_GB2312" w:hint="eastAsia"/>
          <w:b/>
          <w:sz w:val="32"/>
          <w:szCs w:val="32"/>
        </w:rPr>
        <w:t>3.改进建议。</w:t>
      </w:r>
      <w:r>
        <w:rPr>
          <w:rFonts w:ascii="仿宋_GB2312" w:eastAsia="仿宋_GB2312" w:hint="eastAsia"/>
          <w:sz w:val="32"/>
          <w:szCs w:val="32"/>
        </w:rPr>
        <w:t>一是严格按照《</w:t>
      </w:r>
      <w:r>
        <w:rPr>
          <w:rFonts w:ascii="仿宋_GB2312" w:eastAsia="仿宋_GB2312"/>
          <w:sz w:val="32"/>
          <w:szCs w:val="32"/>
        </w:rPr>
        <w:t>中华人民共和国</w:t>
      </w:r>
      <w:bookmarkStart w:id="62" w:name="_GoBack"/>
      <w:bookmarkEnd w:id="62"/>
      <w:r>
        <w:rPr>
          <w:rFonts w:ascii="仿宋_GB2312" w:eastAsia="仿宋_GB2312" w:hint="eastAsia"/>
          <w:sz w:val="32"/>
          <w:szCs w:val="32"/>
        </w:rPr>
        <w:t>会计法》、《行政单位会计制度》、《行政单位财务规则》等规定执行财务核算，并结合实际情况，完整、准确地披露相关信息，尽可能地做到决算与预算相衔接。二是进一步加强内部控制，注重资金管理的事前、事中、事后的全过程监督，加强资金使用效率。三资产的核销与报废应加强管理，严格按照《固定资产管理办法》的规定加强固定资产管理，及时办理登记、报废等手续，每年对资产进行及时盘点和清查，真正做到账实相符。</w:t>
      </w:r>
    </w:p>
    <w:p>
      <w:pPr>
        <w:pStyle w:val="2"/>
        <w:rPr>
          <w:rStyle w:val="1Char"/>
          <w:rFonts w:ascii="仿宋" w:eastAsia="仿宋"/>
          <w:b w:val="0"/>
          <w:bCs w:val="0"/>
          <w:sz w:val="32"/>
          <w:szCs w:val="32"/>
        </w:rPr>
      </w:pPr>
    </w:p>
    <w:p>
      <w:pPr>
        <w:pStyle w:val="2"/>
        <w:rPr>
          <w:rFonts w:ascii="仿宋" w:eastAsia="仿宋" w:hint="eastAsia"/>
          <w:color w:val="000000"/>
        </w:rPr>
      </w:pPr>
      <w:bookmarkEnd w:id="57"/>
      <w:bookmarkEnd w:id="58"/>
      <w:bookmarkEnd w:id="59"/>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rPr>
          <w:rFonts w:hint="eastAsia"/>
        </w:rPr>
      </w:pPr>
    </w:p>
    <w:p>
      <w:pPr>
        <w:pStyle w:val="15"/>
        <w:rPr>
          <w:rFonts w:hint="eastAsia"/>
        </w:rPr>
      </w:pPr>
    </w:p>
    <w:p>
      <w:pPr>
        <w:spacing w:line="576" w:lineRule="exact"/>
        <w:jc w:val="center"/>
        <w:outlineLvl w:val="0"/>
        <w:rPr>
          <w:rFonts w:eastAsia="仿宋"/>
        </w:rPr>
      </w:pPr>
      <w:bookmarkStart w:id="63" w:name="_Toc15396618"/>
      <w:bookmarkStart w:id="64" w:name="_Toc26843625"/>
      <w:r>
        <w:rPr>
          <w:rFonts w:eastAsia="黑体"/>
          <w:sz w:val="44"/>
          <w:szCs w:val="44"/>
        </w:rPr>
        <w:t>第</w:t>
      </w:r>
      <w:r>
        <w:rPr>
          <w:rStyle w:val="1Char"/>
          <w:rFonts w:eastAsia="黑体"/>
        </w:rPr>
        <w:t>五部分 附表</w:t>
      </w:r>
      <w:bookmarkStart w:id="65" w:name="_Toc15396619"/>
      <w:bookmarkEnd w:id="63"/>
      <w:bookmarkEnd w:id="64"/>
    </w:p>
    <w:p>
      <w:pPr>
        <w:pStyle w:val="2"/>
        <w:spacing w:line="576" w:lineRule="exact"/>
        <w:rPr>
          <w:rFonts w:ascii="Times New Roman" w:eastAsia="仿宋" w:hAnsi="Times New Roman"/>
        </w:rPr>
      </w:pPr>
      <w:bookmarkStart w:id="66" w:name="_Toc26843626"/>
      <w:r>
        <w:rPr>
          <w:rFonts w:ascii="Times New Roman" w:eastAsia="仿宋" w:hAnsi="Times New Roman"/>
          <w:b w:val="0"/>
        </w:rPr>
        <w:t>一、收</w:t>
      </w:r>
      <w:r>
        <w:rPr>
          <w:rStyle w:val="2Char"/>
          <w:rFonts w:ascii="Times New Roman" w:eastAsia="仿宋" w:hAnsi="Times New Roman"/>
          <w:b/>
          <w:bCs/>
        </w:rPr>
        <w:t>入支出决算总表</w:t>
      </w:r>
      <w:bookmarkEnd w:id="65"/>
      <w:bookmarkEnd w:id="66"/>
    </w:p>
    <w:p>
      <w:pPr>
        <w:pStyle w:val="2"/>
        <w:spacing w:line="576" w:lineRule="exact"/>
        <w:rPr>
          <w:rFonts w:ascii="Times New Roman" w:eastAsia="仿宋" w:hAnsi="Times New Roman"/>
        </w:rPr>
      </w:pPr>
      <w:bookmarkStart w:id="67" w:name="_Toc26843627"/>
      <w:bookmarkStart w:id="68" w:name="_Toc15396620"/>
      <w:r>
        <w:rPr>
          <w:rFonts w:ascii="Times New Roman" w:eastAsia="仿宋" w:hAnsi="Times New Roman"/>
          <w:b w:val="0"/>
        </w:rPr>
        <w:t>二、收</w:t>
      </w:r>
      <w:r>
        <w:rPr>
          <w:rStyle w:val="2Char"/>
          <w:rFonts w:ascii="Times New Roman" w:eastAsia="仿宋" w:hAnsi="Times New Roman"/>
          <w:b/>
          <w:bCs/>
        </w:rPr>
        <w:t>入决算表</w:t>
      </w:r>
      <w:bookmarkEnd w:id="67"/>
      <w:bookmarkEnd w:id="68"/>
    </w:p>
    <w:p>
      <w:pPr>
        <w:pStyle w:val="2"/>
        <w:spacing w:line="576" w:lineRule="exact"/>
        <w:rPr>
          <w:rFonts w:ascii="Times New Roman" w:eastAsia="仿宋" w:hAnsi="Times New Roman"/>
        </w:rPr>
      </w:pPr>
      <w:bookmarkStart w:id="69" w:name="_Toc26843628"/>
      <w:bookmarkStart w:id="70" w:name="_Toc15396621"/>
      <w:r>
        <w:rPr>
          <w:rStyle w:val="2Char"/>
          <w:rFonts w:ascii="Times New Roman" w:eastAsia="仿宋" w:hAnsi="Times New Roman"/>
          <w:b/>
          <w:bCs/>
        </w:rPr>
        <w:t>三、</w:t>
      </w:r>
      <w:r>
        <w:rPr>
          <w:rFonts w:ascii="Times New Roman" w:eastAsia="仿宋" w:hAnsi="Times New Roman"/>
          <w:b w:val="0"/>
        </w:rPr>
        <w:t>支</w:t>
      </w:r>
      <w:r>
        <w:rPr>
          <w:rStyle w:val="2Char"/>
          <w:rFonts w:ascii="Times New Roman" w:eastAsia="仿宋" w:hAnsi="Times New Roman"/>
          <w:b/>
          <w:bCs/>
        </w:rPr>
        <w:t>出决算表</w:t>
      </w:r>
      <w:bookmarkEnd w:id="69"/>
      <w:bookmarkEnd w:id="70"/>
    </w:p>
    <w:p>
      <w:pPr>
        <w:pStyle w:val="2"/>
        <w:spacing w:line="576" w:lineRule="exact"/>
        <w:rPr>
          <w:rFonts w:ascii="Times New Roman" w:eastAsia="仿宋" w:hAnsi="Times New Roman"/>
          <w:b w:val="0"/>
        </w:rPr>
      </w:pPr>
      <w:bookmarkStart w:id="71" w:name="_Toc26843629"/>
      <w:bookmarkStart w:id="72" w:name="_Toc15396622"/>
      <w:r>
        <w:rPr>
          <w:rStyle w:val="2Char"/>
          <w:rFonts w:ascii="Times New Roman" w:eastAsia="仿宋" w:hAnsi="Times New Roman"/>
          <w:b/>
          <w:bCs/>
        </w:rPr>
        <w:t>四、</w:t>
      </w:r>
      <w:r>
        <w:rPr>
          <w:rFonts w:ascii="Times New Roman" w:eastAsia="仿宋" w:hAnsi="Times New Roman"/>
          <w:b w:val="0"/>
        </w:rPr>
        <w:t>财</w:t>
      </w:r>
      <w:r>
        <w:rPr>
          <w:rStyle w:val="2Char"/>
          <w:rFonts w:ascii="Times New Roman" w:eastAsia="仿宋" w:hAnsi="Times New Roman"/>
          <w:b/>
          <w:bCs/>
        </w:rPr>
        <w:t>政拨款收入支出决算总表</w:t>
      </w:r>
      <w:bookmarkEnd w:id="71"/>
      <w:bookmarkEnd w:id="72"/>
    </w:p>
    <w:p>
      <w:pPr>
        <w:pStyle w:val="2"/>
        <w:spacing w:line="576" w:lineRule="exact"/>
        <w:rPr>
          <w:rStyle w:val="2Char"/>
          <w:rFonts w:ascii="Times New Roman" w:eastAsia="仿宋" w:hAnsi="Times New Roman"/>
          <w:b w:val="0"/>
          <w:bCs w:val="0"/>
        </w:rPr>
      </w:pPr>
      <w:bookmarkStart w:id="73" w:name="_Toc15396623"/>
      <w:bookmarkStart w:id="74" w:name="_Toc26843630"/>
      <w:r>
        <w:rPr>
          <w:rStyle w:val="2Char"/>
          <w:rFonts w:ascii="Times New Roman" w:eastAsia="仿宋" w:hAnsi="Times New Roman"/>
          <w:b/>
          <w:bCs/>
        </w:rPr>
        <w:t>五、</w:t>
      </w:r>
      <w:r>
        <w:rPr>
          <w:rFonts w:ascii="Times New Roman" w:eastAsia="仿宋" w:hAnsi="Times New Roman"/>
          <w:b w:val="0"/>
        </w:rPr>
        <w:t>财</w:t>
      </w:r>
      <w:r>
        <w:rPr>
          <w:rStyle w:val="2Char"/>
          <w:rFonts w:ascii="Times New Roman" w:eastAsia="仿宋" w:hAnsi="Times New Roman"/>
          <w:b/>
          <w:bCs/>
        </w:rPr>
        <w:t>政拨款支出决算明细表</w:t>
      </w:r>
      <w:bookmarkStart w:id="75" w:name="_Toc15396624"/>
      <w:bookmarkEnd w:id="73"/>
      <w:bookmarkEnd w:id="74"/>
    </w:p>
    <w:p>
      <w:pPr>
        <w:pStyle w:val="2"/>
        <w:spacing w:line="576" w:lineRule="exact"/>
        <w:rPr>
          <w:rFonts w:ascii="Times New Roman" w:eastAsia="仿宋" w:hAnsi="Times New Roman"/>
        </w:rPr>
      </w:pPr>
      <w:bookmarkStart w:id="76" w:name="_Toc26843631"/>
      <w:r>
        <w:rPr>
          <w:rStyle w:val="2Char"/>
          <w:rFonts w:ascii="Times New Roman" w:eastAsia="仿宋" w:hAnsi="Times New Roman"/>
          <w:b/>
          <w:bCs/>
        </w:rPr>
        <w:t>六、</w:t>
      </w:r>
      <w:r>
        <w:rPr>
          <w:rFonts w:ascii="Times New Roman" w:eastAsia="仿宋" w:hAnsi="Times New Roman"/>
          <w:b w:val="0"/>
        </w:rPr>
        <w:t>一</w:t>
      </w:r>
      <w:r>
        <w:rPr>
          <w:rStyle w:val="2Char"/>
          <w:rFonts w:ascii="Times New Roman" w:eastAsia="仿宋" w:hAnsi="Times New Roman"/>
          <w:b/>
          <w:bCs/>
        </w:rPr>
        <w:t>般公共预算财政拨款支出决算表</w:t>
      </w:r>
      <w:bookmarkEnd w:id="75"/>
      <w:bookmarkEnd w:id="76"/>
    </w:p>
    <w:p>
      <w:pPr>
        <w:pStyle w:val="2"/>
        <w:spacing w:line="576" w:lineRule="exact"/>
        <w:rPr>
          <w:rFonts w:ascii="Times New Roman" w:eastAsia="仿宋" w:hAnsi="Times New Roman"/>
        </w:rPr>
      </w:pPr>
      <w:bookmarkStart w:id="77" w:name="_Toc15396625"/>
      <w:bookmarkStart w:id="78" w:name="_Toc26843632"/>
      <w:r>
        <w:rPr>
          <w:rStyle w:val="2Char"/>
          <w:rFonts w:ascii="Times New Roman" w:eastAsia="仿宋" w:hAnsi="Times New Roman"/>
          <w:b/>
          <w:bCs/>
        </w:rPr>
        <w:t>七、</w:t>
      </w:r>
      <w:r>
        <w:rPr>
          <w:rFonts w:ascii="Times New Roman" w:eastAsia="仿宋" w:hAnsi="Times New Roman"/>
          <w:b w:val="0"/>
        </w:rPr>
        <w:t>一</w:t>
      </w:r>
      <w:r>
        <w:rPr>
          <w:rStyle w:val="2Char"/>
          <w:rFonts w:ascii="Times New Roman" w:eastAsia="仿宋" w:hAnsi="Times New Roman"/>
          <w:b/>
          <w:bCs/>
        </w:rPr>
        <w:t>般公共预算财政拨款支出决算明细表</w:t>
      </w:r>
      <w:bookmarkEnd w:id="77"/>
      <w:bookmarkEnd w:id="78"/>
    </w:p>
    <w:p>
      <w:pPr>
        <w:pStyle w:val="2"/>
        <w:spacing w:line="576" w:lineRule="exact"/>
        <w:rPr>
          <w:rFonts w:ascii="Times New Roman" w:eastAsia="仿宋" w:hAnsi="Times New Roman"/>
        </w:rPr>
      </w:pPr>
      <w:bookmarkStart w:id="79" w:name="_Toc26843633"/>
      <w:bookmarkStart w:id="80" w:name="_Toc15396626"/>
      <w:r>
        <w:rPr>
          <w:rStyle w:val="2Char"/>
          <w:rFonts w:ascii="Times New Roman" w:eastAsia="仿宋" w:hAnsi="Times New Roman"/>
          <w:b/>
          <w:bCs/>
        </w:rPr>
        <w:t>八、</w:t>
      </w:r>
      <w:r>
        <w:rPr>
          <w:rFonts w:ascii="Times New Roman" w:eastAsia="仿宋" w:hAnsi="Times New Roman"/>
          <w:b w:val="0"/>
        </w:rPr>
        <w:t>一</w:t>
      </w:r>
      <w:r>
        <w:rPr>
          <w:rStyle w:val="2Char"/>
          <w:rFonts w:ascii="Times New Roman" w:eastAsia="仿宋" w:hAnsi="Times New Roman"/>
          <w:b/>
          <w:bCs/>
        </w:rPr>
        <w:t>般公共预算财政拨款基本支出决</w:t>
      </w:r>
      <w:r>
        <w:rPr>
          <w:rStyle w:val="2Char"/>
          <w:rFonts w:ascii="Times New Roman" w:eastAsia="仿宋" w:hAnsi="Times New Roman" w:hint="eastAsia"/>
          <w:b/>
          <w:bCs/>
          <w:lang w:eastAsia="zh-CN"/>
        </w:rPr>
        <w:t>算明细</w:t>
      </w:r>
      <w:r>
        <w:rPr>
          <w:rStyle w:val="2Char"/>
          <w:rFonts w:ascii="Times New Roman" w:eastAsia="仿宋" w:hAnsi="Times New Roman"/>
          <w:b/>
          <w:bCs/>
        </w:rPr>
        <w:t>表</w:t>
      </w:r>
      <w:bookmarkEnd w:id="79"/>
      <w:bookmarkEnd w:id="80"/>
    </w:p>
    <w:p>
      <w:pPr>
        <w:pStyle w:val="2"/>
        <w:spacing w:line="576" w:lineRule="exact"/>
        <w:rPr>
          <w:rFonts w:ascii="Times New Roman" w:eastAsia="仿宋" w:hAnsi="Times New Roman"/>
        </w:rPr>
      </w:pPr>
      <w:bookmarkStart w:id="81" w:name="_Toc15396627"/>
      <w:bookmarkStart w:id="82" w:name="_Toc26843634"/>
      <w:r>
        <w:rPr>
          <w:rStyle w:val="2Char"/>
          <w:rFonts w:ascii="Times New Roman" w:eastAsia="仿宋" w:hAnsi="Times New Roman"/>
          <w:b/>
          <w:bCs/>
        </w:rPr>
        <w:t>九、</w:t>
      </w:r>
      <w:r>
        <w:rPr>
          <w:rFonts w:ascii="Times New Roman" w:eastAsia="仿宋" w:hAnsi="Times New Roman"/>
          <w:b w:val="0"/>
        </w:rPr>
        <w:t>一</w:t>
      </w:r>
      <w:r>
        <w:rPr>
          <w:rStyle w:val="2Char"/>
          <w:rFonts w:ascii="Times New Roman" w:eastAsia="仿宋" w:hAnsi="Times New Roman"/>
          <w:b/>
          <w:bCs/>
        </w:rPr>
        <w:t>般公共预算财政拨款项目支出决算表</w:t>
      </w:r>
      <w:bookmarkEnd w:id="81"/>
      <w:bookmarkEnd w:id="82"/>
    </w:p>
    <w:p>
      <w:pPr>
        <w:pStyle w:val="2"/>
        <w:spacing w:line="576" w:lineRule="exact"/>
        <w:rPr>
          <w:rFonts w:ascii="Times New Roman" w:eastAsia="仿宋" w:hAnsi="Times New Roman"/>
        </w:rPr>
      </w:pPr>
      <w:bookmarkStart w:id="83" w:name="_Toc15396628"/>
      <w:bookmarkStart w:id="84" w:name="_Toc26843635"/>
      <w:r>
        <w:rPr>
          <w:rStyle w:val="2Char"/>
          <w:rFonts w:ascii="Times New Roman" w:eastAsia="仿宋" w:hAnsi="Times New Roman"/>
          <w:b/>
          <w:bCs/>
        </w:rPr>
        <w:t>十、</w:t>
      </w:r>
      <w:r>
        <w:rPr>
          <w:rFonts w:ascii="Times New Roman" w:eastAsia="仿宋" w:hAnsi="Times New Roman"/>
          <w:b w:val="0"/>
        </w:rPr>
        <w:t>政</w:t>
      </w:r>
      <w:r>
        <w:rPr>
          <w:rStyle w:val="2Char"/>
          <w:rFonts w:ascii="Times New Roman" w:eastAsia="仿宋" w:hAnsi="Times New Roman"/>
          <w:b/>
          <w:bCs/>
        </w:rPr>
        <w:t>府性基金预算财政拨款收入支出决算表</w:t>
      </w:r>
    </w:p>
    <w:p>
      <w:pPr>
        <w:pStyle w:val="2"/>
        <w:spacing w:line="576" w:lineRule="exact"/>
        <w:rPr>
          <w:rStyle w:val="2Char"/>
          <w:rFonts w:ascii="Times New Roman" w:eastAsia="仿宋" w:hAnsi="Times New Roman"/>
          <w:b w:val="0"/>
          <w:bCs w:val="0"/>
        </w:rPr>
      </w:pPr>
      <w:bookmarkStart w:id="85" w:name="_Toc26843636"/>
      <w:bookmarkStart w:id="86" w:name="_Toc15396629"/>
      <w:bookmarkEnd w:id="83"/>
      <w:bookmarkEnd w:id="84"/>
      <w:r>
        <w:rPr>
          <w:rStyle w:val="2Char"/>
          <w:rFonts w:ascii="Times New Roman" w:eastAsia="仿宋" w:hAnsi="Times New Roman"/>
          <w:b/>
          <w:bCs/>
        </w:rPr>
        <w:t>十一、</w:t>
      </w:r>
      <w:r>
        <w:rPr>
          <w:rFonts w:ascii="Times New Roman" w:eastAsia="仿宋" w:hAnsi="Times New Roman"/>
          <w:b w:val="0"/>
        </w:rPr>
        <w:t>国</w:t>
      </w:r>
      <w:r>
        <w:rPr>
          <w:rStyle w:val="2Char"/>
          <w:rFonts w:ascii="Times New Roman" w:eastAsia="仿宋" w:hAnsi="Times New Roman"/>
          <w:b/>
          <w:bCs/>
        </w:rPr>
        <w:t>有资本经营预算财政拨款收入支出决算表</w:t>
      </w:r>
    </w:p>
    <w:p>
      <w:pPr>
        <w:spacing w:line="576" w:lineRule="exact"/>
        <w:rPr>
          <w:rStyle w:val="2Char"/>
          <w:rFonts w:eastAsia="仿宋"/>
        </w:rPr>
      </w:pPr>
      <w:bookmarkStart w:id="87" w:name="_Toc26843637"/>
      <w:bookmarkStart w:id="88" w:name="_Toc15396630"/>
      <w:bookmarkEnd w:id="85"/>
      <w:bookmarkEnd w:id="86"/>
      <w:r>
        <w:rPr>
          <w:rStyle w:val="2Char"/>
          <w:rFonts w:ascii="Times New Roman" w:eastAsia="仿宋" w:hAnsi="Times New Roman"/>
          <w:b/>
          <w:bCs/>
        </w:rPr>
        <w:t>十二、</w:t>
      </w:r>
      <w:r>
        <w:rPr>
          <w:rStyle w:val="2Char"/>
          <w:rFonts w:eastAsia="仿宋"/>
        </w:rPr>
        <w:t>国有资本经营预算财政拨款支出决算表</w:t>
      </w:r>
    </w:p>
    <w:p>
      <w:pPr>
        <w:pStyle w:val="2"/>
        <w:spacing w:line="576" w:lineRule="exact"/>
        <w:rPr>
          <w:rStyle w:val="2Char"/>
          <w:rFonts w:ascii="Times New Roman" w:eastAsia="仿宋" w:hAnsi="Times New Roman"/>
          <w:b w:val="0"/>
          <w:bCs w:val="0"/>
        </w:rPr>
      </w:pPr>
      <w:bookmarkStart w:id="89" w:name="_Toc15396631"/>
      <w:bookmarkStart w:id="90" w:name="_Toc26843638"/>
      <w:bookmarkEnd w:id="87"/>
      <w:bookmarkEnd w:id="88"/>
      <w:r>
        <w:rPr>
          <w:rStyle w:val="2Char"/>
          <w:rFonts w:ascii="Times New Roman" w:eastAsia="仿宋" w:hAnsi="Times New Roman"/>
          <w:b/>
          <w:bCs/>
        </w:rPr>
        <w:t>十三、</w:t>
      </w:r>
      <w:bookmarkEnd w:id="89"/>
      <w:bookmarkEnd w:id="90"/>
      <w:r>
        <w:rPr>
          <w:rStyle w:val="2Char"/>
          <w:rFonts w:ascii="Times New Roman" w:eastAsia="仿宋" w:hAnsi="Times New Roman" w:hint="eastAsia"/>
          <w:b/>
          <w:bCs/>
        </w:rPr>
        <w:t>财政拨款“三公”经费支出决算表</w:t>
      </w:r>
    </w:p>
    <w:p>
      <w:pPr>
        <w:pStyle w:val="15"/>
      </w:pPr>
    </w:p>
    <w:p>
      <w:pPr>
        <w:rPr>
          <w:rFonts w:hint="eastAsia"/>
        </w:rPr>
      </w:pPr>
    </w:p>
    <w:p>
      <w:pPr>
        <w:pStyle w:val="15"/>
        <w:ind w:leftChars="0" w:left="0" w:firstLineChars="0" w:firstLine="0"/>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微软雅黑"/>
    <w:panose1 w:val="00000000000000000000"/>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仿宋">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568821752"/>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3</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6C2B87D3"/>
    <w:multiLevelType w:val="singleLevel"/>
    <w:tmpl w:val="6C2B87D3"/>
    <w:lvl w:ilvl="0">
      <w:start w:val="1"/>
      <w:numFmt w:val="decimal"/>
      <w:lvlRestart w:val="0"/>
      <w:lvlText w:val="%1."/>
      <w:lvlJc w:val="left"/>
      <w:pPr>
        <w:ind w:left="0" w:hanging="0"/>
      </w:pPr>
    </w:lvl>
  </w:abstractNum>
  <w:abstractNum w:abstractNumId="2">
    <w:nsid w:val="78D72DD4"/>
    <w:multiLevelType w:val="singleLevel"/>
    <w:tmpl w:val="78D72DD4"/>
    <w:lvl w:ilvl="0">
      <w:start w:val="3"/>
      <w:numFmt w:val="decimal"/>
      <w:lvlRestart w:val="0"/>
      <w:lvlText w:val="%1."/>
      <w:lvlJc w:val="left"/>
      <w:pPr>
        <w:ind w:left="0" w:hanging="0"/>
      </w:pPr>
    </w:lvl>
  </w:abstractNum>
  <w:abstractNum w:abstractNumId="3">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4">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spacing w:before="100" w:beforeAutospacing="1" w:after="100" w:afterAutospacing="1"/>
      <w:ind w:leftChars="200" w:left="400" w:hangingChars="200" w:hanging="200"/>
    </w:pPr>
    <w:rPr>
      <w:kern w:val="0"/>
      <w:sz w:val="20"/>
      <w:szCs w:val="21"/>
    </w:r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spacing w:before="100" w:beforeAutospacing="1" w:after="100" w:afterAutospacing="1"/>
      <w:jc w:val="left"/>
    </w:pPr>
    <w:rPr>
      <w:kern w:val="0"/>
      <w:sz w:val="24"/>
    </w:rPr>
  </w:style>
  <w:style w:type="character" w:styleId="24">
    <w:name w:val="Strong"/>
    <w:basedOn w:val="10"/>
    <w:rPr>
      <w:b/>
    </w:rPr>
  </w:style>
  <w:style w:type="character" w:styleId="25">
    <w:name w:val="Hyperlink"/>
    <w:basedOn w:val="10"/>
    <w:rPr>
      <w:color w:val="0000FF"/>
      <w:u w:val="single"/>
    </w:rPr>
  </w:style>
  <w:style w:type="character" w:customStyle="1" w:styleId="26">
    <w:name w:val="Header Char"/>
    <w:basedOn w:val="10"/>
    <w:rPr>
      <w:rFonts w:ascii="Times New Roman" w:hAnsi="Times New Roman"/>
      <w:sz w:val="18"/>
      <w:szCs w:val="18"/>
    </w:rPr>
  </w:style>
  <w:style w:type="character" w:customStyle="1" w:styleId="27">
    <w:name w:val="Footer Char"/>
    <w:basedOn w:val="10"/>
    <w:rPr>
      <w:rFonts w:ascii="Times New Roman" w:hAnsi="Times New Roman"/>
      <w:sz w:val="18"/>
      <w:szCs w:val="18"/>
    </w:rPr>
  </w:style>
  <w:style w:type="character" w:customStyle="1" w:styleId="28">
    <w:name w:val="Body Text Char"/>
    <w:basedOn w:val="10"/>
    <w:rPr>
      <w:rFonts w:ascii="Times New Roman" w:hAnsi="Times New Roman"/>
      <w:szCs w:val="24"/>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0">
    <w:name w:val="List Paragraph"/>
    <w:basedOn w:val="0"/>
    <w:pPr>
      <w:ind w:firstLineChars="200" w:firstLine="200"/>
    </w:pPr>
  </w:style>
  <w:style w:type="paragraph" w:customStyle="1" w:styleId="31">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2022年决算收支对比图</a:t>
            </a:r>
          </a:p>
        </c:rich>
      </c:tx>
      <c:layout/>
      <c:overlay val="0"/>
      <c:spPr>
        <a:noFill/>
        <a:ln>
          <a:noFill/>
        </a:ln>
      </c:spPr>
    </c:title>
    <c:autoTitleDeleted val="1"/>
    <c:plotArea>
      <c:layout/>
      <c:barChart>
        <c:barDir val="col"/>
        <c:grouping val="clustered"/>
        <c:varyColors val="0"/>
        <c:ser>
          <c:idx val="0"/>
          <c:order val="0"/>
          <c:tx>
            <c:v>2022年决算收支对比图</c:v>
          </c:tx>
          <c:spPr>
            <a:solidFill>
              <a:srgbClr val="4F81BD"/>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LblPos val="outEnd"/>
              <c:delete val="1"/>
            </c:dLbl>
            <c:dLblPos val="outEnd"/>
            <c:showLegendKey val="0"/>
            <c:showVal val="0"/>
            <c:showCatName val="0"/>
            <c:showSerName val="0"/>
            <c:showPercent val="0"/>
            <c:showBubbleSize val="0"/>
            <c:showLeaderLines val="0"/>
          </c:dLbls>
          <c:cat>
            <c:strLit>
              <c:ptCount val="4"/>
              <c:pt idx="0">
                <c:v>2022年度财政拨款收入</c:v>
              </c:pt>
              <c:pt idx="1">
                <c:v>2021年度财政拨款收入</c:v>
              </c:pt>
              <c:pt idx="2">
                <c:v>2022年度财政拨款支出</c:v>
              </c:pt>
              <c:pt idx="3">
                <c:v>2021年度财政拨款支出</c:v>
              </c:pt>
            </c:strLit>
          </c:cat>
          <c:val>
            <c:numRef>
              <c:f/>
              <c:numCache>
                <c:formatCode>General</c:formatCode>
                <c:ptCount val="4"/>
                <c:pt idx="0">
                  <c:v>195.58</c:v>
                </c:pt>
                <c:pt idx="1">
                  <c:v>170.26</c:v>
                </c:pt>
                <c:pt idx="2">
                  <c:v>195.58</c:v>
                </c:pt>
                <c:pt idx="3">
                  <c:v>170.26</c:v>
                </c:pt>
              </c:numCache>
            </c:numRef>
          </c:val>
        </c:ser>
        <c:gapWidth val="150"/>
        <c:axId val="0"/>
        <c:axId val="1"/>
      </c:barChart>
      <c:cat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2022年决算支出情况</a:t>
            </a:r>
          </a:p>
        </c:rich>
      </c:tx>
      <c:layout/>
      <c:overlay val="0"/>
      <c:spPr>
        <a:noFill/>
        <a:ln>
          <a:noFill/>
        </a:ln>
      </c:spPr>
    </c:title>
    <c:autoTitleDeleted val="1"/>
    <c:plotArea>
      <c:layout/>
      <c:pieChart>
        <c:varyColors val="1"/>
        <c:ser>
          <c:idx val="0"/>
          <c:order val="0"/>
          <c:tx>
            <c:v>2022年决算支出情况</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 sourceLinked="0"/>
            <c:dLblPos val="inEnd"/>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195.58</c:v>
                </c:pt>
                <c:pt idx="1">
                  <c:v>6.1</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一般公共预算财政拨款支出决算结构情况</a:t>
            </a:r>
          </a:p>
        </c:rich>
      </c:tx>
      <c:layout/>
      <c:overlay val="0"/>
      <c:spPr>
        <a:noFill/>
        <a:ln>
          <a:noFill/>
        </a:ln>
      </c:spPr>
    </c:title>
    <c:autoTitleDeleted val="1"/>
    <c:plotArea>
      <c:layout/>
      <c:pieChart>
        <c:varyColors val="1"/>
        <c:ser>
          <c:idx val="0"/>
          <c:order val="0"/>
          <c:tx>
            <c:v>一般公共预算财政拨款支出决算结构情况</c:v>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2"/>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3"/>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dLbl>
              <c:idx val="4"/>
              <c:numFmt formatCode="General" sourceLinked="0"/>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delete val="1"/>
            </c:dLbl>
            <c:showLegendKey val="0"/>
            <c:showVal val="0"/>
            <c:showCatName val="0"/>
            <c:showSerName val="0"/>
            <c:showPercent val="0"/>
            <c:showBubbleSize val="0"/>
            <c:showLeaderLines val="0"/>
          </c:dLbls>
          <c:cat>
            <c:strLit>
              <c:ptCount val="5"/>
              <c:pt idx="0">
                <c:v>一般公共服务（类）支出</c:v>
              </c:pt>
              <c:pt idx="1">
                <c:v>社会保障和就业（类）支出</c:v>
              </c:pt>
              <c:pt idx="2">
                <c:v>卫生健康支出</c:v>
              </c:pt>
              <c:pt idx="3">
                <c:v>住房保障支出</c:v>
              </c:pt>
              <c:pt idx="4">
                <c:v>教育支出</c:v>
              </c:pt>
            </c:strLit>
          </c:cat>
          <c:val>
            <c:numRef>
              <c:f/>
              <c:numCache>
                <c:formatCode>General</c:formatCode>
                <c:ptCount val="5"/>
                <c:pt idx="0">
                  <c:v>156.13</c:v>
                </c:pt>
                <c:pt idx="1">
                  <c:v>19.55</c:v>
                </c:pt>
                <c:pt idx="2">
                  <c:v>8.18</c:v>
                </c:pt>
                <c:pt idx="3">
                  <c:v>11.12</c:v>
                </c:pt>
                <c:pt idx="4">
                  <c:v>0.6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TotalTime>
  <Application>Yozo_Office27021597764231179</Application>
  <Pages>22</Pages>
  <Words>7502</Words>
  <Characters>8144</Characters>
  <Lines>447</Lines>
  <Paragraphs>173</Paragraphs>
  <CharactersWithSpaces>8220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31</cp:revision>
  <cp:lastPrinted>2023-08-23T08:26:00Z</cp:lastPrinted>
  <dcterms:created xsi:type="dcterms:W3CDTF">2019-08-01T01:14:00Z</dcterms:created>
  <dcterms:modified xsi:type="dcterms:W3CDTF">2023-08-30T07:23:20Z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7446358C982B43FBBF5486ACE152A102</vt:lpwstr>
  </property>
</Properties>
</file>