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eastAsia="方正小标宋简体"/>
          <w:color w:val="000000"/>
          <w:sz w:val="72"/>
          <w:szCs w:val="72"/>
        </w:rPr>
      </w:pPr>
      <w:bookmarkStart w:id="0" w:name="_Toc15306267"/>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adjustRightInd w:val="0"/>
        <w:snapToGrid w:val="0"/>
        <w:spacing w:line="360" w:lineRule="auto"/>
        <w:jc w:val="center"/>
        <w:outlineLvl w:val="0"/>
        <w:rPr>
          <w:rFonts w:ascii="方正小标宋简体" w:eastAsia="方正小标宋简体"/>
          <w:color w:val="000000"/>
          <w:sz w:val="72"/>
          <w:szCs w:val="72"/>
        </w:rPr>
      </w:pPr>
      <w:bookmarkStart w:id="1" w:name="_Toc15378441"/>
      <w:bookmarkStart w:id="2" w:name="_Toc15377425"/>
      <w:bookmarkStart w:id="3" w:name="_Toc15377193"/>
      <w:bookmarkStart w:id="4" w:name="_Toc15396597"/>
      <w:bookmarkStart w:id="5" w:name="_Toc15396475"/>
      <w:r>
        <w:rPr>
          <w:rFonts w:hint="eastAsia" w:ascii="黑体" w:eastAsia="黑体"/>
          <w:color w:val="000000"/>
          <w:sz w:val="72"/>
          <w:szCs w:val="72"/>
        </w:rPr>
        <w:t>2020</w:t>
      </w:r>
      <w:r>
        <w:rPr>
          <w:rFonts w:hint="eastAsia" w:ascii="方正小标宋简体" w:eastAsia="方正小标宋简体"/>
          <w:color w:val="000000"/>
          <w:sz w:val="72"/>
          <w:szCs w:val="72"/>
        </w:rPr>
        <w:t>年度</w:t>
      </w:r>
      <w:bookmarkEnd w:id="1"/>
      <w:bookmarkEnd w:id="2"/>
      <w:bookmarkEnd w:id="3"/>
      <w:bookmarkEnd w:id="4"/>
      <w:bookmarkEnd w:id="5"/>
    </w:p>
    <w:bookmarkEnd w:id="0"/>
    <w:p>
      <w:pPr>
        <w:adjustRightInd w:val="0"/>
        <w:snapToGrid w:val="0"/>
        <w:spacing w:line="360" w:lineRule="auto"/>
        <w:jc w:val="center"/>
        <w:outlineLvl w:val="0"/>
        <w:rPr>
          <w:rFonts w:ascii="方正小标宋简体" w:eastAsia="方正小标宋简体"/>
          <w:color w:val="000000"/>
          <w:sz w:val="72"/>
          <w:szCs w:val="72"/>
        </w:rPr>
      </w:pPr>
      <w:bookmarkStart w:id="6" w:name="_Toc15377194"/>
      <w:bookmarkStart w:id="7" w:name="_Toc15378442"/>
      <w:bookmarkStart w:id="8" w:name="_Toc15396598"/>
      <w:bookmarkStart w:id="9" w:name="_Toc15396476"/>
      <w:bookmarkStart w:id="10" w:name="_Toc15377426"/>
      <w:bookmarkStart w:id="11" w:name="_Toc15306268"/>
      <w:r>
        <w:rPr>
          <w:rFonts w:hint="eastAsia" w:ascii="方正小标宋简体" w:eastAsia="方正小标宋简体"/>
          <w:color w:val="000000"/>
          <w:sz w:val="72"/>
          <w:szCs w:val="72"/>
        </w:rPr>
        <w:t>金川县档案馆部门决算</w:t>
      </w:r>
      <w:bookmarkEnd w:id="6"/>
      <w:bookmarkEnd w:id="7"/>
      <w:bookmarkEnd w:id="8"/>
      <w:bookmarkEnd w:id="9"/>
      <w:bookmarkEnd w:id="10"/>
      <w:bookmarkEnd w:id="11"/>
    </w:p>
    <w:p>
      <w:pPr>
        <w:widowControl/>
        <w:jc w:val="center"/>
        <w:rPr>
          <w:rFonts w:ascii="方正小标宋简体" w:eastAsia="方正小标宋简体"/>
          <w:color w:val="000000"/>
          <w:sz w:val="36"/>
          <w:szCs w:val="36"/>
        </w:rPr>
      </w:pPr>
    </w:p>
    <w:p>
      <w:pPr>
        <w:widowControl/>
        <w:jc w:val="center"/>
        <w:rPr>
          <w:rFonts w:ascii="方正小标宋简体" w:eastAsia="方正小标宋简体"/>
          <w:color w:val="000000"/>
          <w:sz w:val="36"/>
          <w:szCs w:val="36"/>
        </w:rPr>
      </w:pPr>
    </w:p>
    <w:p>
      <w:pPr>
        <w:widowControl/>
        <w:jc w:val="center"/>
        <w:rPr>
          <w:rFonts w:ascii="方正小标宋简体" w:eastAsia="方正小标宋简体"/>
          <w:color w:val="000000"/>
          <w:sz w:val="36"/>
          <w:szCs w:val="36"/>
        </w:rPr>
      </w:pPr>
    </w:p>
    <w:p>
      <w:pPr>
        <w:widowControl/>
        <w:jc w:val="center"/>
        <w:rPr>
          <w:rFonts w:ascii="黑体" w:eastAsia="黑体"/>
          <w:color w:val="000000"/>
          <w:sz w:val="48"/>
          <w:szCs w:val="48"/>
        </w:rPr>
      </w:pPr>
      <w:r>
        <w:rPr>
          <w:rFonts w:ascii="方正小标宋简体" w:eastAsia="方正小标宋简体"/>
          <w:color w:val="000000"/>
          <w:sz w:val="36"/>
          <w:szCs w:val="36"/>
        </w:rPr>
        <w:br w:type="page"/>
      </w:r>
      <w:r>
        <w:rPr>
          <w:rFonts w:hint="eastAsia" w:ascii="黑体" w:eastAsia="黑体"/>
          <w:color w:val="000000"/>
          <w:sz w:val="48"/>
          <w:szCs w:val="48"/>
        </w:rPr>
        <w:t>目录</w:t>
      </w:r>
    </w:p>
    <w:p>
      <w:pPr>
        <w:widowControl/>
        <w:jc w:val="center"/>
        <w:rPr>
          <w:rFonts w:ascii="黑体" w:eastAsia="黑体" w:cs="Arial"/>
          <w:sz w:val="28"/>
          <w:szCs w:val="28"/>
        </w:rPr>
      </w:pPr>
      <w:r>
        <w:rPr>
          <w:rFonts w:ascii="黑体" w:eastAsia="黑体"/>
          <w:color w:val="000000"/>
          <w:sz w:val="48"/>
          <w:szCs w:val="48"/>
        </w:rPr>
        <w:fldChar w:fldCharType="begin"/>
      </w:r>
      <w:r>
        <w:rPr>
          <w:rFonts w:ascii="黑体" w:eastAsia="黑体"/>
          <w:color w:val="000000"/>
          <w:sz w:val="48"/>
          <w:szCs w:val="48"/>
        </w:rPr>
        <w:instrText xml:space="preserve"> TOC \o "1-2" \h \z \u </w:instrText>
      </w:r>
      <w:r>
        <w:rPr>
          <w:rFonts w:ascii="黑体" w:eastAsia="黑体"/>
          <w:color w:val="000000"/>
          <w:sz w:val="48"/>
          <w:szCs w:val="48"/>
        </w:rPr>
        <w:fldChar w:fldCharType="separate"/>
      </w:r>
    </w:p>
    <w:p>
      <w:pPr>
        <w:pStyle w:val="10"/>
      </w:pPr>
      <w:r>
        <w:rPr>
          <w:rFonts w:hint="eastAsia"/>
        </w:rPr>
        <w:t>公开时间：2021年8月3日</w:t>
      </w:r>
    </w:p>
    <w:p/>
    <w:p/>
    <w:p/>
    <w:p/>
    <w:p>
      <w:pPr>
        <w:pStyle w:val="10"/>
        <w:rPr>
          <w:rFonts w:cs="Arial"/>
        </w:rPr>
      </w:pPr>
      <w:r>
        <w:fldChar w:fldCharType="begin"/>
      </w:r>
      <w:r>
        <w:instrText xml:space="preserve"> HYPERLINK \l "_Toc15396599" </w:instrText>
      </w:r>
      <w:r>
        <w:fldChar w:fldCharType="separate"/>
      </w:r>
      <w:r>
        <w:rPr>
          <w:rFonts w:hint="eastAsia"/>
        </w:rPr>
        <w:t>第一部分</w:t>
      </w:r>
      <w:r>
        <w:t xml:space="preserve"> </w:t>
      </w:r>
      <w:r>
        <w:rPr>
          <w:rFonts w:hint="eastAsia"/>
        </w:rPr>
        <w:t>部门概况</w:t>
      </w:r>
      <w:r>
        <w:tab/>
      </w:r>
      <w:r>
        <w:rPr>
          <w:rFonts w:hint="eastAsia"/>
        </w:rPr>
        <w:t>4</w:t>
      </w:r>
      <w:r>
        <w:rPr>
          <w:rFonts w:hint="eastAsia"/>
        </w:rPr>
        <w:fldChar w:fldCharType="end"/>
      </w:r>
    </w:p>
    <w:p>
      <w:pPr>
        <w:pStyle w:val="11"/>
        <w:ind w:left="420"/>
        <w:rPr>
          <w:rFonts w:ascii="仿宋" w:eastAsia="仿宋" w:cs="Arial"/>
          <w:sz w:val="28"/>
          <w:szCs w:val="28"/>
        </w:rPr>
      </w:pPr>
      <w:r>
        <w:fldChar w:fldCharType="begin"/>
      </w:r>
      <w:r>
        <w:instrText xml:space="preserve"> HYPERLINK \l "_Toc15396600" </w:instrText>
      </w:r>
      <w:r>
        <w:fldChar w:fldCharType="separate"/>
      </w:r>
      <w:r>
        <w:rPr>
          <w:rFonts w:hint="eastAsia" w:ascii="仿宋" w:eastAsia="仿宋"/>
          <w:sz w:val="28"/>
          <w:szCs w:val="28"/>
        </w:rPr>
        <w:t>一、基本职能及主要工作</w:t>
      </w:r>
      <w:r>
        <w:rPr>
          <w:rFonts w:ascii="仿宋" w:eastAsia="仿宋"/>
          <w:sz w:val="28"/>
          <w:szCs w:val="28"/>
        </w:rPr>
        <w:tab/>
      </w:r>
      <w:r>
        <w:rPr>
          <w:rFonts w:hint="eastAsia" w:ascii="仿宋" w:eastAsia="仿宋"/>
          <w:sz w:val="28"/>
          <w:szCs w:val="28"/>
        </w:rPr>
        <w:t>4</w:t>
      </w:r>
      <w:r>
        <w:rPr>
          <w:rFonts w:hint="eastAsia" w:ascii="仿宋" w:eastAsia="仿宋"/>
          <w:sz w:val="28"/>
          <w:szCs w:val="28"/>
        </w:rPr>
        <w:fldChar w:fldCharType="end"/>
      </w:r>
    </w:p>
    <w:p>
      <w:pPr>
        <w:pStyle w:val="11"/>
        <w:ind w:left="420"/>
        <w:rPr>
          <w:rFonts w:ascii="仿宋" w:eastAsia="仿宋" w:cs="Arial"/>
          <w:sz w:val="28"/>
          <w:szCs w:val="28"/>
        </w:rPr>
      </w:pPr>
      <w:r>
        <w:fldChar w:fldCharType="begin"/>
      </w:r>
      <w:r>
        <w:instrText xml:space="preserve"> HYPERLINK \l "_Toc15396601" </w:instrText>
      </w:r>
      <w:r>
        <w:fldChar w:fldCharType="separate"/>
      </w:r>
      <w:r>
        <w:rPr>
          <w:rFonts w:hint="eastAsia" w:ascii="仿宋" w:eastAsia="仿宋"/>
          <w:sz w:val="28"/>
          <w:szCs w:val="28"/>
        </w:rPr>
        <w:t>二、机构设置</w:t>
      </w:r>
      <w:r>
        <w:rPr>
          <w:rFonts w:ascii="仿宋" w:eastAsia="仿宋"/>
          <w:sz w:val="28"/>
          <w:szCs w:val="28"/>
        </w:rPr>
        <w:tab/>
      </w:r>
      <w:r>
        <w:rPr>
          <w:rFonts w:hint="eastAsia" w:ascii="仿宋" w:eastAsia="仿宋"/>
          <w:sz w:val="28"/>
          <w:szCs w:val="28"/>
        </w:rPr>
        <w:t>4</w:t>
      </w:r>
      <w:r>
        <w:rPr>
          <w:rFonts w:hint="eastAsia" w:ascii="仿宋" w:eastAsia="仿宋"/>
          <w:sz w:val="28"/>
          <w:szCs w:val="28"/>
        </w:rPr>
        <w:fldChar w:fldCharType="end"/>
      </w:r>
    </w:p>
    <w:p>
      <w:pPr>
        <w:pStyle w:val="10"/>
      </w:pPr>
      <w:r>
        <w:fldChar w:fldCharType="begin"/>
      </w:r>
      <w:r>
        <w:instrText xml:space="preserve"> HYPERLINK \l "_Toc15396602" </w:instrText>
      </w:r>
      <w:r>
        <w:fldChar w:fldCharType="separate"/>
      </w:r>
      <w:r>
        <w:rPr>
          <w:rFonts w:hint="eastAsia"/>
        </w:rPr>
        <w:t>第二部分</w:t>
      </w:r>
      <w:r>
        <w:t xml:space="preserve"> </w:t>
      </w:r>
      <w:r>
        <w:rPr>
          <w:rFonts w:hint="eastAsia"/>
        </w:rPr>
        <w:t>部门决算情况说明</w:t>
      </w:r>
      <w:r>
        <w:tab/>
      </w:r>
      <w:r>
        <w:rPr>
          <w:rFonts w:hint="eastAsia"/>
        </w:rPr>
        <w:t>5</w:t>
      </w:r>
      <w:r>
        <w:rPr>
          <w:rFonts w:hint="eastAsia"/>
        </w:rPr>
        <w:fldChar w:fldCharType="end"/>
      </w:r>
    </w:p>
    <w:p>
      <w:pPr>
        <w:pStyle w:val="11"/>
        <w:ind w:left="420"/>
        <w:rPr>
          <w:rFonts w:ascii="仿宋" w:eastAsia="仿宋" w:cs="Arial"/>
          <w:sz w:val="28"/>
          <w:szCs w:val="28"/>
        </w:rPr>
      </w:pPr>
      <w:r>
        <w:fldChar w:fldCharType="begin"/>
      </w:r>
      <w:r>
        <w:instrText xml:space="preserve"> HYPERLINK \l "_Toc15396603" </w:instrText>
      </w:r>
      <w:r>
        <w:fldChar w:fldCharType="separate"/>
      </w:r>
      <w:r>
        <w:rPr>
          <w:rFonts w:hint="eastAsia" w:ascii="仿宋" w:eastAsia="仿宋"/>
          <w:bCs/>
          <w:sz w:val="28"/>
          <w:szCs w:val="28"/>
        </w:rPr>
        <w:t>一、</w:t>
      </w:r>
      <w:r>
        <w:rPr>
          <w:rFonts w:hint="eastAsia" w:ascii="仿宋" w:eastAsia="仿宋"/>
          <w:sz w:val="28"/>
          <w:szCs w:val="28"/>
        </w:rPr>
        <w:t>收</w:t>
      </w:r>
      <w:r>
        <w:rPr>
          <w:rFonts w:hint="eastAsia" w:ascii="仿宋" w:eastAsia="仿宋"/>
          <w:bCs/>
          <w:sz w:val="28"/>
          <w:szCs w:val="28"/>
        </w:rPr>
        <w:t>入支出决算总体情况说明</w:t>
      </w:r>
      <w:r>
        <w:rPr>
          <w:rFonts w:ascii="仿宋" w:eastAsia="仿宋"/>
          <w:sz w:val="28"/>
          <w:szCs w:val="28"/>
        </w:rPr>
        <w:tab/>
      </w:r>
      <w:r>
        <w:rPr>
          <w:rFonts w:hint="eastAsia" w:ascii="仿宋" w:eastAsia="仿宋"/>
          <w:sz w:val="28"/>
          <w:szCs w:val="28"/>
        </w:rPr>
        <w:t>5</w:t>
      </w:r>
      <w:r>
        <w:rPr>
          <w:rFonts w:hint="eastAsia" w:ascii="仿宋" w:eastAsia="仿宋"/>
          <w:sz w:val="28"/>
          <w:szCs w:val="28"/>
        </w:rPr>
        <w:fldChar w:fldCharType="end"/>
      </w:r>
    </w:p>
    <w:p>
      <w:pPr>
        <w:pStyle w:val="11"/>
        <w:ind w:left="420"/>
        <w:rPr>
          <w:rFonts w:ascii="仿宋" w:eastAsia="仿宋" w:cs="Arial"/>
          <w:sz w:val="28"/>
          <w:szCs w:val="28"/>
        </w:rPr>
      </w:pPr>
      <w:r>
        <w:fldChar w:fldCharType="begin"/>
      </w:r>
      <w:r>
        <w:instrText xml:space="preserve"> HYPERLINK \l "_Toc15396604" </w:instrText>
      </w:r>
      <w:r>
        <w:fldChar w:fldCharType="separate"/>
      </w:r>
      <w:r>
        <w:rPr>
          <w:rFonts w:hint="eastAsia" w:ascii="仿宋" w:eastAsia="仿宋"/>
          <w:bCs/>
          <w:sz w:val="28"/>
          <w:szCs w:val="28"/>
        </w:rPr>
        <w:t>二、</w:t>
      </w:r>
      <w:r>
        <w:rPr>
          <w:rFonts w:hint="eastAsia" w:ascii="仿宋" w:eastAsia="仿宋"/>
          <w:sz w:val="28"/>
          <w:szCs w:val="28"/>
        </w:rPr>
        <w:t>收</w:t>
      </w:r>
      <w:r>
        <w:rPr>
          <w:rFonts w:hint="eastAsia" w:ascii="仿宋" w:eastAsia="仿宋"/>
          <w:bCs/>
          <w:sz w:val="28"/>
          <w:szCs w:val="28"/>
        </w:rPr>
        <w:t>入决算情况说明</w:t>
      </w:r>
      <w:r>
        <w:rPr>
          <w:rFonts w:ascii="仿宋" w:eastAsia="仿宋"/>
          <w:sz w:val="28"/>
          <w:szCs w:val="28"/>
        </w:rPr>
        <w:tab/>
      </w:r>
      <w:r>
        <w:rPr>
          <w:rFonts w:hint="eastAsia" w:ascii="仿宋" w:eastAsia="仿宋"/>
          <w:sz w:val="28"/>
          <w:szCs w:val="28"/>
        </w:rPr>
        <w:t>5</w:t>
      </w:r>
      <w:r>
        <w:rPr>
          <w:rFonts w:hint="eastAsia" w:ascii="仿宋" w:eastAsia="仿宋"/>
          <w:sz w:val="28"/>
          <w:szCs w:val="28"/>
        </w:rPr>
        <w:fldChar w:fldCharType="end"/>
      </w:r>
    </w:p>
    <w:p>
      <w:pPr>
        <w:pStyle w:val="11"/>
        <w:ind w:left="420"/>
        <w:rPr>
          <w:rFonts w:ascii="仿宋" w:eastAsia="仿宋" w:cs="Arial"/>
          <w:sz w:val="28"/>
          <w:szCs w:val="28"/>
        </w:rPr>
      </w:pPr>
      <w:r>
        <w:fldChar w:fldCharType="begin"/>
      </w:r>
      <w:r>
        <w:instrText xml:space="preserve"> HYPERLINK \l "_Toc15396605" </w:instrText>
      </w:r>
      <w:r>
        <w:fldChar w:fldCharType="separate"/>
      </w:r>
      <w:r>
        <w:rPr>
          <w:rFonts w:hint="eastAsia" w:ascii="仿宋" w:eastAsia="仿宋"/>
          <w:bCs/>
          <w:sz w:val="28"/>
          <w:szCs w:val="28"/>
        </w:rPr>
        <w:t>三、</w:t>
      </w:r>
      <w:r>
        <w:rPr>
          <w:rFonts w:hint="eastAsia" w:ascii="仿宋" w:eastAsia="仿宋"/>
          <w:sz w:val="28"/>
          <w:szCs w:val="28"/>
        </w:rPr>
        <w:t>支</w:t>
      </w:r>
      <w:r>
        <w:rPr>
          <w:rFonts w:hint="eastAsia" w:ascii="仿宋" w:eastAsia="仿宋"/>
          <w:bCs/>
          <w:sz w:val="28"/>
          <w:szCs w:val="28"/>
        </w:rPr>
        <w:t>出决算情况说明</w:t>
      </w:r>
      <w:r>
        <w:rPr>
          <w:rFonts w:ascii="仿宋" w:eastAsia="仿宋"/>
          <w:sz w:val="28"/>
          <w:szCs w:val="28"/>
        </w:rPr>
        <w:tab/>
      </w:r>
      <w:r>
        <w:rPr>
          <w:rFonts w:hint="eastAsia" w:ascii="仿宋" w:eastAsia="仿宋"/>
          <w:sz w:val="28"/>
          <w:szCs w:val="28"/>
        </w:rPr>
        <w:t>6</w:t>
      </w:r>
      <w:r>
        <w:rPr>
          <w:rFonts w:hint="eastAsia" w:ascii="仿宋" w:eastAsia="仿宋"/>
          <w:sz w:val="28"/>
          <w:szCs w:val="28"/>
        </w:rPr>
        <w:fldChar w:fldCharType="end"/>
      </w:r>
    </w:p>
    <w:p>
      <w:pPr>
        <w:pStyle w:val="11"/>
        <w:ind w:left="420"/>
        <w:rPr>
          <w:rFonts w:ascii="仿宋" w:eastAsia="仿宋" w:cs="Arial"/>
          <w:sz w:val="28"/>
          <w:szCs w:val="28"/>
        </w:rPr>
      </w:pPr>
      <w:r>
        <w:fldChar w:fldCharType="begin"/>
      </w:r>
      <w:r>
        <w:instrText xml:space="preserve"> HYPERLINK \l "_Toc15396606" </w:instrText>
      </w:r>
      <w:r>
        <w:fldChar w:fldCharType="separate"/>
      </w:r>
      <w:r>
        <w:rPr>
          <w:rFonts w:hint="eastAsia" w:ascii="仿宋" w:eastAsia="仿宋"/>
          <w:sz w:val="28"/>
          <w:szCs w:val="28"/>
        </w:rPr>
        <w:t>四、财</w:t>
      </w:r>
      <w:r>
        <w:rPr>
          <w:rFonts w:hint="eastAsia" w:ascii="仿宋" w:eastAsia="仿宋"/>
          <w:bCs/>
          <w:sz w:val="28"/>
          <w:szCs w:val="28"/>
        </w:rPr>
        <w:t>政拨款收入支出决算总体情况说明</w:t>
      </w:r>
      <w:r>
        <w:rPr>
          <w:rFonts w:ascii="仿宋" w:eastAsia="仿宋"/>
          <w:sz w:val="28"/>
          <w:szCs w:val="28"/>
        </w:rPr>
        <w:tab/>
      </w:r>
      <w:r>
        <w:rPr>
          <w:rFonts w:hint="eastAsia" w:ascii="仿宋" w:eastAsia="仿宋"/>
          <w:sz w:val="28"/>
          <w:szCs w:val="28"/>
        </w:rPr>
        <w:t>6</w:t>
      </w:r>
      <w:r>
        <w:rPr>
          <w:rFonts w:hint="eastAsia" w:ascii="仿宋" w:eastAsia="仿宋"/>
          <w:sz w:val="28"/>
          <w:szCs w:val="28"/>
        </w:rPr>
        <w:fldChar w:fldCharType="end"/>
      </w:r>
    </w:p>
    <w:p>
      <w:pPr>
        <w:pStyle w:val="11"/>
        <w:ind w:left="420"/>
        <w:rPr>
          <w:rFonts w:ascii="仿宋" w:eastAsia="仿宋" w:cs="Arial"/>
          <w:sz w:val="28"/>
          <w:szCs w:val="28"/>
        </w:rPr>
      </w:pPr>
      <w:r>
        <w:fldChar w:fldCharType="begin"/>
      </w:r>
      <w:r>
        <w:instrText xml:space="preserve"> HYPERLINK \l "_Toc15396607" </w:instrText>
      </w:r>
      <w:r>
        <w:fldChar w:fldCharType="separate"/>
      </w:r>
      <w:r>
        <w:rPr>
          <w:rFonts w:hint="eastAsia" w:ascii="仿宋" w:eastAsia="仿宋"/>
          <w:sz w:val="28"/>
          <w:szCs w:val="28"/>
        </w:rPr>
        <w:t>五、一</w:t>
      </w:r>
      <w:r>
        <w:rPr>
          <w:rFonts w:hint="eastAsia" w:ascii="仿宋" w:eastAsia="仿宋"/>
          <w:bCs/>
          <w:sz w:val="28"/>
          <w:szCs w:val="28"/>
        </w:rPr>
        <w:t>般公共预算财政拨款支出决算情况说明</w:t>
      </w:r>
      <w:r>
        <w:rPr>
          <w:rFonts w:ascii="仿宋" w:eastAsia="仿宋"/>
          <w:sz w:val="28"/>
          <w:szCs w:val="28"/>
        </w:rPr>
        <w:tab/>
      </w:r>
      <w:r>
        <w:rPr>
          <w:rFonts w:hint="eastAsia" w:ascii="仿宋" w:eastAsia="仿宋"/>
          <w:sz w:val="28"/>
          <w:szCs w:val="28"/>
        </w:rPr>
        <w:t>7</w:t>
      </w:r>
      <w:r>
        <w:rPr>
          <w:rFonts w:hint="eastAsia" w:ascii="仿宋" w:eastAsia="仿宋"/>
          <w:sz w:val="28"/>
          <w:szCs w:val="28"/>
        </w:rPr>
        <w:fldChar w:fldCharType="end"/>
      </w:r>
    </w:p>
    <w:p>
      <w:pPr>
        <w:pStyle w:val="11"/>
        <w:ind w:left="420"/>
        <w:rPr>
          <w:rFonts w:ascii="仿宋" w:eastAsia="仿宋" w:cs="Arial"/>
          <w:sz w:val="28"/>
          <w:szCs w:val="28"/>
        </w:rPr>
      </w:pPr>
      <w:r>
        <w:fldChar w:fldCharType="begin"/>
      </w:r>
      <w:r>
        <w:instrText xml:space="preserve"> HYPERLINK \l "_Toc15396608" </w:instrText>
      </w:r>
      <w:r>
        <w:fldChar w:fldCharType="separate"/>
      </w:r>
      <w:r>
        <w:rPr>
          <w:rFonts w:hint="eastAsia" w:ascii="仿宋" w:eastAsia="仿宋"/>
          <w:sz w:val="28"/>
          <w:szCs w:val="28"/>
        </w:rPr>
        <w:t>六、一</w:t>
      </w:r>
      <w:r>
        <w:rPr>
          <w:rFonts w:hint="eastAsia" w:ascii="仿宋" w:eastAsia="仿宋"/>
          <w:bCs/>
          <w:sz w:val="28"/>
          <w:szCs w:val="28"/>
        </w:rPr>
        <w:t>般公共预算财政拨款基本支出决算情况说明</w:t>
      </w:r>
      <w:r>
        <w:rPr>
          <w:rFonts w:ascii="仿宋" w:eastAsia="仿宋"/>
          <w:sz w:val="28"/>
          <w:szCs w:val="28"/>
        </w:rPr>
        <w:tab/>
      </w:r>
      <w:r>
        <w:rPr>
          <w:rFonts w:ascii="仿宋" w:eastAsia="仿宋"/>
          <w:sz w:val="28"/>
          <w:szCs w:val="28"/>
        </w:rPr>
        <w:fldChar w:fldCharType="end"/>
      </w:r>
      <w:r>
        <w:rPr>
          <w:rFonts w:hint="eastAsia" w:ascii="仿宋" w:eastAsia="仿宋"/>
          <w:sz w:val="28"/>
          <w:szCs w:val="28"/>
        </w:rPr>
        <w:t>8</w:t>
      </w:r>
    </w:p>
    <w:p>
      <w:pPr>
        <w:pStyle w:val="11"/>
        <w:ind w:left="420"/>
        <w:rPr>
          <w:rFonts w:ascii="仿宋" w:eastAsia="仿宋" w:cs="Arial"/>
          <w:sz w:val="28"/>
          <w:szCs w:val="28"/>
        </w:rPr>
      </w:pPr>
      <w:r>
        <w:fldChar w:fldCharType="begin"/>
      </w:r>
      <w:r>
        <w:instrText xml:space="preserve"> HYPERLINK \l "_Toc15396609" </w:instrText>
      </w:r>
      <w:r>
        <w:fldChar w:fldCharType="separate"/>
      </w:r>
      <w:r>
        <w:rPr>
          <w:rFonts w:hint="eastAsia" w:ascii="仿宋" w:eastAsia="仿宋"/>
          <w:sz w:val="28"/>
          <w:szCs w:val="28"/>
        </w:rPr>
        <w:t>七、</w:t>
      </w:r>
      <w:r>
        <w:rPr>
          <w:rFonts w:ascii="仿宋" w:eastAsia="仿宋"/>
          <w:sz w:val="28"/>
          <w:szCs w:val="28"/>
        </w:rPr>
        <w:t>“</w:t>
      </w:r>
      <w:r>
        <w:rPr>
          <w:rFonts w:hint="eastAsia" w:ascii="仿宋" w:eastAsia="仿宋"/>
          <w:bCs/>
          <w:sz w:val="28"/>
          <w:szCs w:val="28"/>
        </w:rPr>
        <w:t>三公”经费财政拨款支出决算情况说明</w:t>
      </w:r>
      <w:r>
        <w:rPr>
          <w:rFonts w:ascii="仿宋" w:eastAsia="仿宋"/>
          <w:sz w:val="28"/>
          <w:szCs w:val="28"/>
        </w:rPr>
        <w:tab/>
      </w:r>
      <w:r>
        <w:rPr>
          <w:rFonts w:hint="eastAsia" w:ascii="仿宋" w:eastAsia="仿宋"/>
          <w:sz w:val="28"/>
          <w:szCs w:val="28"/>
        </w:rPr>
        <w:t>1</w:t>
      </w:r>
      <w:r>
        <w:rPr>
          <w:rFonts w:hint="eastAsia" w:ascii="仿宋" w:eastAsia="仿宋"/>
          <w:sz w:val="28"/>
          <w:szCs w:val="28"/>
        </w:rPr>
        <w:fldChar w:fldCharType="end"/>
      </w:r>
      <w:r>
        <w:rPr>
          <w:rFonts w:hint="eastAsia" w:ascii="仿宋" w:eastAsia="仿宋"/>
          <w:sz w:val="28"/>
          <w:szCs w:val="28"/>
        </w:rPr>
        <w:t>0</w:t>
      </w:r>
    </w:p>
    <w:p>
      <w:pPr>
        <w:pStyle w:val="11"/>
        <w:ind w:left="420"/>
        <w:rPr>
          <w:rFonts w:ascii="仿宋" w:eastAsia="仿宋" w:cs="Arial"/>
          <w:sz w:val="28"/>
          <w:szCs w:val="28"/>
        </w:rPr>
      </w:pPr>
      <w:r>
        <w:fldChar w:fldCharType="begin"/>
      </w:r>
      <w:r>
        <w:instrText xml:space="preserve"> HYPERLINK \l "_Toc15396610" </w:instrText>
      </w:r>
      <w:r>
        <w:fldChar w:fldCharType="separate"/>
      </w:r>
      <w:r>
        <w:rPr>
          <w:rFonts w:hint="eastAsia" w:ascii="仿宋" w:eastAsia="仿宋"/>
          <w:sz w:val="28"/>
          <w:szCs w:val="28"/>
        </w:rPr>
        <w:t>八、</w:t>
      </w:r>
      <w:r>
        <w:rPr>
          <w:rFonts w:hint="eastAsia" w:ascii="仿宋" w:eastAsia="仿宋"/>
          <w:bCs/>
          <w:sz w:val="28"/>
          <w:szCs w:val="28"/>
        </w:rPr>
        <w:t>政府性基金预算支出决算情况说明</w:t>
      </w:r>
      <w:r>
        <w:rPr>
          <w:rFonts w:ascii="仿宋" w:eastAsia="仿宋"/>
          <w:sz w:val="28"/>
          <w:szCs w:val="28"/>
        </w:rPr>
        <w:tab/>
      </w:r>
      <w:r>
        <w:rPr>
          <w:rFonts w:hint="eastAsia" w:ascii="仿宋" w:eastAsia="仿宋"/>
          <w:sz w:val="28"/>
          <w:szCs w:val="28"/>
        </w:rPr>
        <w:t>1</w:t>
      </w:r>
      <w:r>
        <w:rPr>
          <w:rFonts w:hint="eastAsia" w:ascii="仿宋" w:eastAsia="仿宋"/>
          <w:sz w:val="28"/>
          <w:szCs w:val="28"/>
        </w:rPr>
        <w:fldChar w:fldCharType="end"/>
      </w:r>
      <w:r>
        <w:rPr>
          <w:rFonts w:hint="eastAsia" w:ascii="仿宋" w:eastAsia="仿宋"/>
          <w:sz w:val="28"/>
          <w:szCs w:val="28"/>
        </w:rPr>
        <w:t>1</w:t>
      </w:r>
    </w:p>
    <w:p>
      <w:pPr>
        <w:pStyle w:val="11"/>
        <w:ind w:left="420"/>
        <w:rPr>
          <w:rFonts w:ascii="仿宋" w:eastAsia="仿宋"/>
          <w:sz w:val="28"/>
          <w:szCs w:val="28"/>
        </w:rPr>
      </w:pPr>
      <w:r>
        <w:fldChar w:fldCharType="begin"/>
      </w:r>
      <w:r>
        <w:instrText xml:space="preserve"> HYPERLINK \l "_Toc15396611" </w:instrText>
      </w:r>
      <w:r>
        <w:fldChar w:fldCharType="separate"/>
      </w:r>
      <w:r>
        <w:rPr>
          <w:rFonts w:hint="eastAsia" w:ascii="仿宋" w:eastAsia="仿宋"/>
          <w:bCs/>
          <w:sz w:val="28"/>
          <w:szCs w:val="28"/>
        </w:rPr>
        <w:t>九、</w:t>
      </w:r>
      <w:r>
        <w:rPr>
          <w:rFonts w:hint="eastAsia" w:ascii="仿宋" w:eastAsia="仿宋"/>
          <w:sz w:val="28"/>
          <w:szCs w:val="28"/>
        </w:rPr>
        <w:t xml:space="preserve"> 国</w:t>
      </w:r>
      <w:r>
        <w:rPr>
          <w:rFonts w:hint="eastAsia" w:ascii="仿宋" w:eastAsia="仿宋"/>
          <w:bCs/>
          <w:sz w:val="28"/>
          <w:szCs w:val="28"/>
        </w:rPr>
        <w:t>有资本经营预算支出决算情况说明</w:t>
      </w:r>
      <w:r>
        <w:rPr>
          <w:rFonts w:ascii="仿宋" w:eastAsia="仿宋"/>
          <w:sz w:val="28"/>
          <w:szCs w:val="28"/>
        </w:rPr>
        <w:tab/>
      </w:r>
      <w:r>
        <w:rPr>
          <w:rFonts w:hint="eastAsia" w:ascii="仿宋" w:eastAsia="仿宋"/>
          <w:sz w:val="28"/>
          <w:szCs w:val="28"/>
        </w:rPr>
        <w:t>1</w:t>
      </w:r>
      <w:r>
        <w:rPr>
          <w:rFonts w:hint="eastAsia" w:ascii="仿宋" w:eastAsia="仿宋"/>
          <w:sz w:val="28"/>
          <w:szCs w:val="28"/>
        </w:rPr>
        <w:fldChar w:fldCharType="end"/>
      </w:r>
      <w:r>
        <w:rPr>
          <w:rFonts w:hint="eastAsia" w:ascii="仿宋" w:eastAsia="仿宋"/>
          <w:sz w:val="28"/>
          <w:szCs w:val="28"/>
        </w:rPr>
        <w:t>1</w:t>
      </w:r>
    </w:p>
    <w:p>
      <w:pPr>
        <w:pStyle w:val="11"/>
        <w:ind w:left="420"/>
        <w:rPr>
          <w:rFonts w:ascii="仿宋" w:eastAsia="仿宋"/>
          <w:sz w:val="28"/>
          <w:szCs w:val="28"/>
        </w:rPr>
      </w:pPr>
      <w:r>
        <w:rPr>
          <w:rStyle w:val="16"/>
          <w:rFonts w:hint="eastAsia" w:ascii="仿宋" w:eastAsia="仿宋"/>
          <w:bCs/>
          <w:sz w:val="28"/>
          <w:szCs w:val="28"/>
        </w:rPr>
        <w:t xml:space="preserve"> 十、预算绩效情况说明..................................11</w:t>
      </w:r>
    </w:p>
    <w:p/>
    <w:p>
      <w:pPr>
        <w:pStyle w:val="11"/>
        <w:ind w:left="420"/>
        <w:rPr>
          <w:rFonts w:ascii="仿宋" w:eastAsia="仿宋" w:cs="Arial"/>
          <w:sz w:val="28"/>
          <w:szCs w:val="28"/>
        </w:rPr>
      </w:pPr>
      <w:r>
        <w:fldChar w:fldCharType="begin"/>
      </w:r>
      <w:r>
        <w:instrText xml:space="preserve"> HYPERLINK \l "_Toc15396612" </w:instrText>
      </w:r>
      <w:r>
        <w:fldChar w:fldCharType="separate"/>
      </w:r>
      <w:r>
        <w:rPr>
          <w:rFonts w:hint="eastAsia" w:ascii="仿宋" w:eastAsia="仿宋"/>
          <w:sz w:val="28"/>
          <w:szCs w:val="28"/>
        </w:rPr>
        <w:t>十</w:t>
      </w:r>
      <w:r>
        <w:rPr>
          <w:rFonts w:hint="eastAsia" w:ascii="仿宋" w:eastAsia="仿宋"/>
          <w:bCs/>
          <w:sz w:val="28"/>
          <w:szCs w:val="28"/>
        </w:rPr>
        <w:t>一、其他重要事项的情况说明</w:t>
      </w:r>
      <w:r>
        <w:rPr>
          <w:rFonts w:ascii="仿宋" w:eastAsia="仿宋"/>
          <w:sz w:val="28"/>
          <w:szCs w:val="28"/>
        </w:rPr>
        <w:tab/>
      </w:r>
      <w:r>
        <w:rPr>
          <w:rFonts w:hint="eastAsia" w:ascii="仿宋" w:eastAsia="仿宋"/>
          <w:sz w:val="28"/>
          <w:szCs w:val="28"/>
        </w:rPr>
        <w:t>1</w:t>
      </w:r>
      <w:r>
        <w:rPr>
          <w:rFonts w:hint="eastAsia" w:ascii="仿宋" w:eastAsia="仿宋"/>
          <w:sz w:val="28"/>
          <w:szCs w:val="28"/>
        </w:rPr>
        <w:fldChar w:fldCharType="end"/>
      </w:r>
      <w:r>
        <w:rPr>
          <w:rFonts w:hint="eastAsia" w:ascii="仿宋" w:eastAsia="仿宋"/>
          <w:sz w:val="28"/>
          <w:szCs w:val="28"/>
        </w:rPr>
        <w:t>2</w:t>
      </w:r>
    </w:p>
    <w:p>
      <w:pPr>
        <w:pStyle w:val="10"/>
        <w:rPr>
          <w:rFonts w:cs="Arial"/>
        </w:rPr>
      </w:pPr>
      <w:r>
        <w:fldChar w:fldCharType="begin"/>
      </w:r>
      <w:r>
        <w:instrText xml:space="preserve"> HYPERLINK \l "_Toc15396613" </w:instrText>
      </w:r>
      <w:r>
        <w:fldChar w:fldCharType="separate"/>
      </w:r>
      <w:r>
        <w:rPr>
          <w:rFonts w:hint="eastAsia"/>
          <w:bCs/>
          <w:kern w:val="44"/>
        </w:rPr>
        <w:t>第三部分</w:t>
      </w:r>
      <w:r>
        <w:rPr>
          <w:rFonts w:hint="eastAsia"/>
        </w:rPr>
        <w:t xml:space="preserve"> 名</w:t>
      </w:r>
      <w:r>
        <w:rPr>
          <w:rFonts w:hint="eastAsia"/>
          <w:bCs/>
          <w:kern w:val="44"/>
        </w:rPr>
        <w:t>词解释</w:t>
      </w:r>
      <w:r>
        <w:tab/>
      </w:r>
      <w:r>
        <w:rPr>
          <w:rFonts w:hint="eastAsia"/>
        </w:rPr>
        <w:t>1</w:t>
      </w:r>
      <w:r>
        <w:rPr>
          <w:rFonts w:hint="eastAsia"/>
        </w:rPr>
        <w:fldChar w:fldCharType="end"/>
      </w:r>
      <w:r>
        <w:rPr>
          <w:rFonts w:hint="eastAsia"/>
        </w:rPr>
        <w:t>3</w:t>
      </w:r>
    </w:p>
    <w:p>
      <w:pPr>
        <w:pStyle w:val="10"/>
        <w:rPr>
          <w:rFonts w:cs="Arial"/>
        </w:rPr>
      </w:pPr>
      <w:r>
        <w:fldChar w:fldCharType="begin"/>
      </w:r>
      <w:r>
        <w:instrText xml:space="preserve"> HYPERLINK \l "_Toc15396614" </w:instrText>
      </w:r>
      <w:r>
        <w:fldChar w:fldCharType="separate"/>
      </w:r>
      <w:r>
        <w:rPr>
          <w:rFonts w:hint="eastAsia"/>
        </w:rPr>
        <w:t>第</w:t>
      </w:r>
      <w:r>
        <w:rPr>
          <w:rFonts w:hint="eastAsia"/>
          <w:bCs/>
          <w:kern w:val="44"/>
        </w:rPr>
        <w:t>四部分</w:t>
      </w:r>
      <w:r>
        <w:rPr>
          <w:bCs/>
          <w:kern w:val="44"/>
        </w:rPr>
        <w:t xml:space="preserve"> </w:t>
      </w:r>
      <w:r>
        <w:rPr>
          <w:rFonts w:hint="eastAsia"/>
          <w:bCs/>
          <w:kern w:val="44"/>
        </w:rPr>
        <w:t>附件</w:t>
      </w:r>
      <w:r>
        <w:tab/>
      </w:r>
      <w:r>
        <w:rPr>
          <w:rFonts w:hint="eastAsia"/>
        </w:rPr>
        <w:t>1</w:t>
      </w:r>
      <w:r>
        <w:rPr>
          <w:rFonts w:hint="eastAsia"/>
        </w:rPr>
        <w:fldChar w:fldCharType="end"/>
      </w:r>
      <w:r>
        <w:rPr>
          <w:rFonts w:hint="eastAsia"/>
        </w:rPr>
        <w:t>6</w:t>
      </w:r>
    </w:p>
    <w:p>
      <w:pPr>
        <w:pStyle w:val="11"/>
        <w:ind w:left="420"/>
        <w:rPr>
          <w:rFonts w:ascii="仿宋" w:eastAsia="仿宋" w:cs="Arial"/>
          <w:sz w:val="28"/>
          <w:szCs w:val="28"/>
        </w:rPr>
      </w:pPr>
      <w:r>
        <w:fldChar w:fldCharType="begin"/>
      </w:r>
      <w:r>
        <w:instrText xml:space="preserve"> HYPERLINK \l "_Toc15396615" </w:instrText>
      </w:r>
      <w:r>
        <w:fldChar w:fldCharType="separate"/>
      </w:r>
      <w:r>
        <w:rPr>
          <w:rFonts w:hint="eastAsia" w:ascii="仿宋" w:eastAsia="仿宋"/>
          <w:kern w:val="44"/>
          <w:sz w:val="28"/>
          <w:szCs w:val="28"/>
        </w:rPr>
        <w:t>附件</w:t>
      </w:r>
      <w:r>
        <w:rPr>
          <w:rFonts w:ascii="仿宋" w:eastAsia="仿宋"/>
          <w:kern w:val="44"/>
          <w:sz w:val="28"/>
          <w:szCs w:val="28"/>
        </w:rPr>
        <w:t>1</w:t>
      </w:r>
      <w:r>
        <w:rPr>
          <w:rFonts w:ascii="仿宋" w:eastAsia="仿宋"/>
          <w:sz w:val="28"/>
          <w:szCs w:val="28"/>
        </w:rPr>
        <w:tab/>
      </w:r>
      <w:r>
        <w:rPr>
          <w:rFonts w:hint="eastAsia" w:ascii="仿宋" w:eastAsia="仿宋"/>
          <w:sz w:val="28"/>
          <w:szCs w:val="28"/>
        </w:rPr>
        <w:t>1</w:t>
      </w:r>
      <w:r>
        <w:rPr>
          <w:rFonts w:hint="eastAsia" w:ascii="仿宋" w:eastAsia="仿宋"/>
          <w:sz w:val="28"/>
          <w:szCs w:val="28"/>
        </w:rPr>
        <w:fldChar w:fldCharType="end"/>
      </w:r>
      <w:r>
        <w:rPr>
          <w:rFonts w:hint="eastAsia" w:ascii="仿宋" w:eastAsia="仿宋"/>
          <w:sz w:val="28"/>
          <w:szCs w:val="28"/>
        </w:rPr>
        <w:t>6</w:t>
      </w:r>
    </w:p>
    <w:p>
      <w:pPr>
        <w:pStyle w:val="10"/>
        <w:rPr>
          <w:rFonts w:cs="Arial"/>
        </w:rPr>
      </w:pPr>
      <w:r>
        <w:fldChar w:fldCharType="begin"/>
      </w:r>
      <w:r>
        <w:instrText xml:space="preserve"> HYPERLINK \l "_Toc15396618" </w:instrText>
      </w:r>
      <w:r>
        <w:fldChar w:fldCharType="separate"/>
      </w:r>
      <w:r>
        <w:rPr>
          <w:rFonts w:hint="eastAsia"/>
        </w:rPr>
        <w:t>第</w:t>
      </w:r>
      <w:r>
        <w:rPr>
          <w:rFonts w:hint="eastAsia"/>
          <w:bCs/>
          <w:kern w:val="44"/>
        </w:rPr>
        <w:t>五部分</w:t>
      </w:r>
      <w:r>
        <w:rPr>
          <w:bCs/>
          <w:kern w:val="44"/>
        </w:rPr>
        <w:t xml:space="preserve"> </w:t>
      </w:r>
      <w:r>
        <w:rPr>
          <w:rFonts w:hint="eastAsia"/>
          <w:bCs/>
          <w:kern w:val="44"/>
        </w:rPr>
        <w:t>附表</w:t>
      </w:r>
      <w:r>
        <w:tab/>
      </w:r>
      <w:r>
        <w:rPr>
          <w:rFonts w:hint="eastAsia"/>
        </w:rPr>
        <w:t>2</w:t>
      </w:r>
      <w:r>
        <w:rPr>
          <w:rFonts w:hint="eastAsia"/>
        </w:rPr>
        <w:fldChar w:fldCharType="end"/>
      </w:r>
      <w:r>
        <w:rPr>
          <w:rFonts w:hint="eastAsia"/>
        </w:rPr>
        <w:t>6</w:t>
      </w:r>
    </w:p>
    <w:p>
      <w:pPr>
        <w:pStyle w:val="11"/>
        <w:ind w:left="420"/>
        <w:rPr>
          <w:rFonts w:ascii="仿宋" w:eastAsia="仿宋" w:cs="Arial"/>
          <w:sz w:val="28"/>
          <w:szCs w:val="28"/>
        </w:rPr>
      </w:pPr>
      <w:r>
        <w:rPr>
          <w:rFonts w:hint="eastAsia" w:ascii="仿宋" w:eastAsia="仿宋"/>
          <w:sz w:val="28"/>
          <w:szCs w:val="28"/>
        </w:rPr>
        <w:t>一、</w:t>
      </w:r>
      <w:r>
        <w:fldChar w:fldCharType="begin"/>
      </w:r>
      <w:r>
        <w:instrText xml:space="preserve"> HYPERLINK \l "_Toc15396619" </w:instrText>
      </w:r>
      <w:r>
        <w:fldChar w:fldCharType="separate"/>
      </w:r>
      <w:r>
        <w:rPr>
          <w:rFonts w:hint="eastAsia" w:ascii="仿宋" w:eastAsia="仿宋"/>
          <w:sz w:val="28"/>
          <w:szCs w:val="28"/>
        </w:rPr>
        <w:t>收入支出决算总表</w:t>
      </w:r>
      <w:r>
        <w:rPr>
          <w:rFonts w:ascii="仿宋" w:eastAsia="仿宋"/>
          <w:sz w:val="28"/>
          <w:szCs w:val="28"/>
        </w:rPr>
        <w:tab/>
      </w:r>
      <w:r>
        <w:rPr>
          <w:rFonts w:hint="eastAsia" w:ascii="仿宋" w:eastAsia="仿宋"/>
          <w:sz w:val="28"/>
          <w:szCs w:val="28"/>
        </w:rPr>
        <w:t>26</w:t>
      </w:r>
      <w:r>
        <w:rPr>
          <w:rFonts w:hint="eastAsia" w:ascii="仿宋" w:eastAsia="仿宋"/>
          <w:sz w:val="28"/>
          <w:szCs w:val="28"/>
        </w:rPr>
        <w:fldChar w:fldCharType="end"/>
      </w:r>
    </w:p>
    <w:p>
      <w:pPr>
        <w:pStyle w:val="11"/>
        <w:ind w:left="420"/>
        <w:rPr>
          <w:rFonts w:ascii="仿宋" w:eastAsia="仿宋" w:cs="Arial"/>
          <w:sz w:val="28"/>
          <w:szCs w:val="28"/>
        </w:rPr>
      </w:pPr>
      <w:r>
        <w:rPr>
          <w:rFonts w:hint="eastAsia" w:ascii="仿宋" w:eastAsia="仿宋"/>
          <w:sz w:val="28"/>
          <w:szCs w:val="28"/>
        </w:rPr>
        <w:t>二、</w:t>
      </w:r>
      <w:r>
        <w:fldChar w:fldCharType="begin"/>
      </w:r>
      <w:r>
        <w:instrText xml:space="preserve"> HYPERLINK \l "_Toc15396620" </w:instrText>
      </w:r>
      <w:r>
        <w:fldChar w:fldCharType="separate"/>
      </w:r>
      <w:r>
        <w:rPr>
          <w:rFonts w:hint="eastAsia" w:ascii="仿宋" w:eastAsia="仿宋"/>
          <w:sz w:val="28"/>
          <w:szCs w:val="28"/>
        </w:rPr>
        <w:t>收入总表</w:t>
      </w:r>
      <w:r>
        <w:rPr>
          <w:rFonts w:ascii="仿宋" w:eastAsia="仿宋"/>
          <w:sz w:val="28"/>
          <w:szCs w:val="28"/>
        </w:rPr>
        <w:tab/>
      </w:r>
      <w:r>
        <w:rPr>
          <w:rFonts w:hint="eastAsia" w:ascii="仿宋" w:eastAsia="仿宋"/>
          <w:sz w:val="28"/>
          <w:szCs w:val="28"/>
        </w:rPr>
        <w:t>2</w:t>
      </w:r>
      <w:r>
        <w:rPr>
          <w:rFonts w:hint="eastAsia" w:ascii="仿宋" w:eastAsia="仿宋"/>
          <w:sz w:val="28"/>
          <w:szCs w:val="28"/>
        </w:rPr>
        <w:fldChar w:fldCharType="end"/>
      </w:r>
      <w:r>
        <w:rPr>
          <w:rFonts w:hint="eastAsia" w:ascii="仿宋" w:eastAsia="仿宋"/>
          <w:sz w:val="28"/>
          <w:szCs w:val="28"/>
        </w:rPr>
        <w:t>6</w:t>
      </w:r>
    </w:p>
    <w:p>
      <w:pPr>
        <w:pStyle w:val="11"/>
        <w:ind w:left="420"/>
        <w:rPr>
          <w:rFonts w:ascii="仿宋" w:eastAsia="仿宋" w:cs="Arial"/>
          <w:sz w:val="28"/>
          <w:szCs w:val="28"/>
        </w:rPr>
      </w:pPr>
      <w:r>
        <w:rPr>
          <w:rFonts w:hint="eastAsia" w:ascii="仿宋" w:eastAsia="仿宋"/>
          <w:sz w:val="28"/>
          <w:szCs w:val="28"/>
        </w:rPr>
        <w:t>三、</w:t>
      </w:r>
      <w:r>
        <w:fldChar w:fldCharType="begin"/>
      </w:r>
      <w:r>
        <w:instrText xml:space="preserve"> HYPERLINK \l "_Toc15396621" </w:instrText>
      </w:r>
      <w:r>
        <w:fldChar w:fldCharType="separate"/>
      </w:r>
      <w:r>
        <w:rPr>
          <w:rFonts w:hint="eastAsia" w:ascii="仿宋" w:eastAsia="仿宋"/>
          <w:sz w:val="28"/>
          <w:szCs w:val="28"/>
        </w:rPr>
        <w:t>支出总表</w:t>
      </w:r>
      <w:r>
        <w:rPr>
          <w:rFonts w:ascii="仿宋" w:eastAsia="仿宋"/>
          <w:sz w:val="28"/>
          <w:szCs w:val="28"/>
        </w:rPr>
        <w:tab/>
      </w:r>
      <w:r>
        <w:rPr>
          <w:rFonts w:hint="eastAsia" w:ascii="仿宋" w:eastAsia="仿宋"/>
          <w:sz w:val="28"/>
          <w:szCs w:val="28"/>
        </w:rPr>
        <w:t>2</w:t>
      </w:r>
      <w:r>
        <w:rPr>
          <w:rFonts w:hint="eastAsia" w:ascii="仿宋" w:eastAsia="仿宋"/>
          <w:sz w:val="28"/>
          <w:szCs w:val="28"/>
        </w:rPr>
        <w:fldChar w:fldCharType="end"/>
      </w:r>
      <w:r>
        <w:rPr>
          <w:rFonts w:hint="eastAsia" w:ascii="仿宋" w:eastAsia="仿宋"/>
          <w:sz w:val="28"/>
          <w:szCs w:val="28"/>
        </w:rPr>
        <w:t>6</w:t>
      </w:r>
    </w:p>
    <w:p>
      <w:pPr>
        <w:pStyle w:val="11"/>
        <w:ind w:left="420"/>
        <w:rPr>
          <w:rFonts w:ascii="仿宋" w:eastAsia="仿宋" w:cs="Arial"/>
          <w:sz w:val="28"/>
          <w:szCs w:val="28"/>
        </w:rPr>
      </w:pPr>
      <w:r>
        <w:rPr>
          <w:rFonts w:hint="eastAsia" w:ascii="仿宋" w:eastAsia="仿宋"/>
          <w:sz w:val="28"/>
          <w:szCs w:val="28"/>
        </w:rPr>
        <w:t>四、</w:t>
      </w:r>
      <w:r>
        <w:fldChar w:fldCharType="begin"/>
      </w:r>
      <w:r>
        <w:instrText xml:space="preserve"> HYPERLINK \l "_Toc15396622" </w:instrText>
      </w:r>
      <w:r>
        <w:fldChar w:fldCharType="separate"/>
      </w:r>
      <w:r>
        <w:rPr>
          <w:rFonts w:hint="eastAsia" w:ascii="仿宋" w:eastAsia="仿宋"/>
          <w:sz w:val="28"/>
          <w:szCs w:val="28"/>
        </w:rPr>
        <w:t>财政拨款收入支出决算总表</w:t>
      </w:r>
      <w:r>
        <w:rPr>
          <w:rFonts w:ascii="仿宋" w:eastAsia="仿宋"/>
          <w:sz w:val="28"/>
          <w:szCs w:val="28"/>
        </w:rPr>
        <w:tab/>
      </w:r>
      <w:r>
        <w:rPr>
          <w:rFonts w:hint="eastAsia" w:ascii="仿宋" w:eastAsia="仿宋"/>
          <w:sz w:val="28"/>
          <w:szCs w:val="28"/>
        </w:rPr>
        <w:t>2</w:t>
      </w:r>
      <w:r>
        <w:rPr>
          <w:rFonts w:hint="eastAsia" w:ascii="仿宋" w:eastAsia="仿宋"/>
          <w:sz w:val="28"/>
          <w:szCs w:val="28"/>
        </w:rPr>
        <w:fldChar w:fldCharType="end"/>
      </w:r>
      <w:r>
        <w:rPr>
          <w:rFonts w:hint="eastAsia" w:ascii="仿宋" w:eastAsia="仿宋"/>
          <w:sz w:val="28"/>
          <w:szCs w:val="28"/>
        </w:rPr>
        <w:t>6</w:t>
      </w:r>
    </w:p>
    <w:p>
      <w:pPr>
        <w:pStyle w:val="11"/>
        <w:ind w:left="420"/>
        <w:rPr>
          <w:rFonts w:ascii="仿宋" w:eastAsia="仿宋"/>
          <w:sz w:val="28"/>
          <w:szCs w:val="28"/>
        </w:rPr>
      </w:pPr>
      <w:r>
        <w:rPr>
          <w:rFonts w:hint="eastAsia" w:ascii="仿宋" w:eastAsia="仿宋"/>
          <w:sz w:val="28"/>
          <w:szCs w:val="28"/>
        </w:rPr>
        <w:t>五、</w:t>
      </w:r>
      <w:r>
        <w:fldChar w:fldCharType="begin"/>
      </w:r>
      <w:r>
        <w:instrText xml:space="preserve"> HYPERLINK \l "_Toc15396623" </w:instrText>
      </w:r>
      <w:r>
        <w:fldChar w:fldCharType="separate"/>
      </w:r>
      <w:r>
        <w:rPr>
          <w:rFonts w:hint="eastAsia" w:ascii="仿宋" w:eastAsia="仿宋"/>
          <w:sz w:val="28"/>
          <w:szCs w:val="28"/>
        </w:rPr>
        <w:t>财政拨款支出决算明细表（政府经济分类科目）</w:t>
      </w:r>
      <w:r>
        <w:rPr>
          <w:rFonts w:ascii="仿宋" w:eastAsia="仿宋"/>
          <w:sz w:val="28"/>
          <w:szCs w:val="28"/>
        </w:rPr>
        <w:tab/>
      </w:r>
      <w:r>
        <w:rPr>
          <w:rFonts w:hint="eastAsia" w:ascii="仿宋" w:eastAsia="仿宋"/>
          <w:sz w:val="28"/>
          <w:szCs w:val="28"/>
        </w:rPr>
        <w:t>2</w:t>
      </w:r>
      <w:r>
        <w:rPr>
          <w:rFonts w:hint="eastAsia" w:ascii="仿宋" w:eastAsia="仿宋"/>
          <w:sz w:val="28"/>
          <w:szCs w:val="28"/>
        </w:rPr>
        <w:fldChar w:fldCharType="end"/>
      </w:r>
      <w:r>
        <w:rPr>
          <w:rFonts w:hint="eastAsia" w:ascii="仿宋" w:eastAsia="仿宋"/>
          <w:sz w:val="28"/>
          <w:szCs w:val="28"/>
        </w:rPr>
        <w:t>6</w:t>
      </w:r>
    </w:p>
    <w:p>
      <w:pPr>
        <w:pStyle w:val="11"/>
        <w:ind w:left="420"/>
        <w:rPr>
          <w:rFonts w:ascii="仿宋" w:eastAsia="仿宋" w:cs="Arial"/>
          <w:sz w:val="28"/>
          <w:szCs w:val="28"/>
        </w:rPr>
      </w:pPr>
      <w:r>
        <w:rPr>
          <w:rFonts w:hint="eastAsia" w:ascii="仿宋" w:eastAsia="仿宋"/>
          <w:sz w:val="28"/>
          <w:szCs w:val="28"/>
        </w:rPr>
        <w:t>六、</w:t>
      </w:r>
      <w:r>
        <w:fldChar w:fldCharType="begin"/>
      </w:r>
      <w:r>
        <w:instrText xml:space="preserve"> HYPERLINK \l "_Toc15396624" </w:instrText>
      </w:r>
      <w:r>
        <w:fldChar w:fldCharType="separate"/>
      </w:r>
      <w:r>
        <w:rPr>
          <w:rFonts w:hint="eastAsia" w:ascii="仿宋" w:eastAsia="仿宋"/>
          <w:sz w:val="28"/>
          <w:szCs w:val="28"/>
        </w:rPr>
        <w:t>一般公共预算财政拨款支出决算表</w:t>
      </w:r>
      <w:r>
        <w:rPr>
          <w:rFonts w:ascii="仿宋" w:eastAsia="仿宋"/>
          <w:sz w:val="28"/>
          <w:szCs w:val="28"/>
        </w:rPr>
        <w:tab/>
      </w:r>
      <w:r>
        <w:rPr>
          <w:rFonts w:hint="eastAsia" w:ascii="仿宋" w:eastAsia="仿宋"/>
          <w:sz w:val="28"/>
          <w:szCs w:val="28"/>
        </w:rPr>
        <w:t>2</w:t>
      </w:r>
      <w:r>
        <w:rPr>
          <w:rFonts w:hint="eastAsia" w:ascii="仿宋" w:eastAsia="仿宋"/>
          <w:sz w:val="28"/>
          <w:szCs w:val="28"/>
        </w:rPr>
        <w:fldChar w:fldCharType="end"/>
      </w:r>
      <w:r>
        <w:rPr>
          <w:rFonts w:hint="eastAsia" w:ascii="仿宋" w:eastAsia="仿宋"/>
          <w:sz w:val="28"/>
          <w:szCs w:val="28"/>
        </w:rPr>
        <w:t>6</w:t>
      </w:r>
    </w:p>
    <w:p>
      <w:pPr>
        <w:pStyle w:val="11"/>
        <w:ind w:left="420"/>
        <w:rPr>
          <w:rFonts w:ascii="仿宋" w:eastAsia="仿宋" w:cs="Arial"/>
          <w:sz w:val="28"/>
          <w:szCs w:val="28"/>
        </w:rPr>
      </w:pPr>
      <w:r>
        <w:rPr>
          <w:rFonts w:hint="eastAsia" w:ascii="仿宋" w:eastAsia="仿宋"/>
          <w:sz w:val="28"/>
          <w:szCs w:val="28"/>
        </w:rPr>
        <w:t>七、</w:t>
      </w:r>
      <w:r>
        <w:fldChar w:fldCharType="begin"/>
      </w:r>
      <w:r>
        <w:instrText xml:space="preserve"> HYPERLINK \l "_Toc15396625" </w:instrText>
      </w:r>
      <w:r>
        <w:fldChar w:fldCharType="separate"/>
      </w:r>
      <w:r>
        <w:rPr>
          <w:rFonts w:hint="eastAsia" w:ascii="仿宋" w:eastAsia="仿宋"/>
          <w:sz w:val="28"/>
          <w:szCs w:val="28"/>
        </w:rPr>
        <w:t>一般公共预算财政拨款支出决算明细表</w:t>
      </w:r>
      <w:r>
        <w:rPr>
          <w:rFonts w:ascii="仿宋" w:eastAsia="仿宋"/>
          <w:sz w:val="28"/>
          <w:szCs w:val="28"/>
        </w:rPr>
        <w:tab/>
      </w:r>
      <w:r>
        <w:rPr>
          <w:rFonts w:hint="eastAsia" w:ascii="仿宋" w:eastAsia="仿宋"/>
          <w:sz w:val="28"/>
          <w:szCs w:val="28"/>
        </w:rPr>
        <w:t>2</w:t>
      </w:r>
      <w:r>
        <w:rPr>
          <w:rFonts w:hint="eastAsia" w:ascii="仿宋" w:eastAsia="仿宋"/>
          <w:sz w:val="28"/>
          <w:szCs w:val="28"/>
        </w:rPr>
        <w:fldChar w:fldCharType="end"/>
      </w:r>
      <w:r>
        <w:rPr>
          <w:rFonts w:hint="eastAsia" w:ascii="仿宋" w:eastAsia="仿宋"/>
          <w:sz w:val="28"/>
          <w:szCs w:val="28"/>
        </w:rPr>
        <w:t>6</w:t>
      </w:r>
    </w:p>
    <w:p>
      <w:pPr>
        <w:pStyle w:val="11"/>
        <w:ind w:left="420"/>
        <w:rPr>
          <w:rFonts w:ascii="仿宋" w:eastAsia="仿宋" w:cs="Arial"/>
          <w:sz w:val="28"/>
          <w:szCs w:val="28"/>
        </w:rPr>
      </w:pPr>
      <w:r>
        <w:rPr>
          <w:rFonts w:hint="eastAsia" w:ascii="仿宋" w:eastAsia="仿宋"/>
          <w:sz w:val="28"/>
          <w:szCs w:val="28"/>
        </w:rPr>
        <w:t>八、</w:t>
      </w:r>
      <w:r>
        <w:fldChar w:fldCharType="begin"/>
      </w:r>
      <w:r>
        <w:instrText xml:space="preserve"> HYPERLINK \l "_Toc15396626" </w:instrText>
      </w:r>
      <w:r>
        <w:fldChar w:fldCharType="separate"/>
      </w:r>
      <w:r>
        <w:rPr>
          <w:rFonts w:hint="eastAsia" w:ascii="仿宋" w:eastAsia="仿宋"/>
          <w:sz w:val="28"/>
          <w:szCs w:val="28"/>
        </w:rPr>
        <w:t>一般公共预算财政拨款基本支出决算表</w:t>
      </w:r>
      <w:r>
        <w:rPr>
          <w:rFonts w:ascii="仿宋" w:eastAsia="仿宋"/>
          <w:sz w:val="28"/>
          <w:szCs w:val="28"/>
        </w:rPr>
        <w:tab/>
      </w:r>
      <w:r>
        <w:rPr>
          <w:rFonts w:hint="eastAsia" w:ascii="仿宋" w:eastAsia="仿宋"/>
          <w:sz w:val="28"/>
          <w:szCs w:val="28"/>
        </w:rPr>
        <w:t>2</w:t>
      </w:r>
      <w:r>
        <w:rPr>
          <w:rFonts w:hint="eastAsia" w:ascii="仿宋" w:eastAsia="仿宋"/>
          <w:sz w:val="28"/>
          <w:szCs w:val="28"/>
        </w:rPr>
        <w:fldChar w:fldCharType="end"/>
      </w:r>
      <w:r>
        <w:rPr>
          <w:rFonts w:hint="eastAsia" w:ascii="仿宋" w:eastAsia="仿宋"/>
          <w:sz w:val="28"/>
          <w:szCs w:val="28"/>
        </w:rPr>
        <w:t>6</w:t>
      </w:r>
    </w:p>
    <w:p>
      <w:pPr>
        <w:pStyle w:val="11"/>
        <w:ind w:left="420"/>
        <w:rPr>
          <w:rFonts w:ascii="仿宋" w:eastAsia="仿宋" w:cs="Arial"/>
          <w:sz w:val="28"/>
          <w:szCs w:val="28"/>
        </w:rPr>
      </w:pPr>
      <w:r>
        <w:rPr>
          <w:rFonts w:hint="eastAsia" w:ascii="仿宋" w:eastAsia="仿宋"/>
          <w:sz w:val="28"/>
          <w:szCs w:val="28"/>
        </w:rPr>
        <w:t>九、</w:t>
      </w:r>
      <w:r>
        <w:fldChar w:fldCharType="begin"/>
      </w:r>
      <w:r>
        <w:instrText xml:space="preserve"> HYPERLINK \l "_Toc15396627" </w:instrText>
      </w:r>
      <w:r>
        <w:fldChar w:fldCharType="separate"/>
      </w:r>
      <w:r>
        <w:rPr>
          <w:rFonts w:hint="eastAsia" w:ascii="仿宋" w:eastAsia="仿宋"/>
          <w:sz w:val="28"/>
          <w:szCs w:val="28"/>
        </w:rPr>
        <w:t>一般公共预算财政拨款项目支出决算表</w:t>
      </w:r>
      <w:r>
        <w:rPr>
          <w:rFonts w:ascii="仿宋" w:eastAsia="仿宋"/>
          <w:sz w:val="28"/>
          <w:szCs w:val="28"/>
        </w:rPr>
        <w:tab/>
      </w:r>
      <w:r>
        <w:rPr>
          <w:rFonts w:hint="eastAsia" w:ascii="仿宋" w:eastAsia="仿宋"/>
          <w:sz w:val="28"/>
          <w:szCs w:val="28"/>
        </w:rPr>
        <w:t>2</w:t>
      </w:r>
      <w:r>
        <w:rPr>
          <w:rFonts w:hint="eastAsia" w:ascii="仿宋" w:eastAsia="仿宋"/>
          <w:sz w:val="28"/>
          <w:szCs w:val="28"/>
        </w:rPr>
        <w:fldChar w:fldCharType="end"/>
      </w:r>
      <w:r>
        <w:rPr>
          <w:rFonts w:hint="eastAsia" w:ascii="仿宋" w:eastAsia="仿宋"/>
          <w:sz w:val="28"/>
          <w:szCs w:val="28"/>
        </w:rPr>
        <w:t>6</w:t>
      </w:r>
    </w:p>
    <w:p>
      <w:pPr>
        <w:pStyle w:val="11"/>
        <w:ind w:left="420"/>
        <w:rPr>
          <w:rFonts w:ascii="仿宋" w:eastAsia="仿宋" w:cs="Arial"/>
          <w:sz w:val="28"/>
          <w:szCs w:val="28"/>
        </w:rPr>
      </w:pPr>
      <w:r>
        <w:rPr>
          <w:rFonts w:hint="eastAsia" w:ascii="仿宋" w:eastAsia="仿宋"/>
          <w:sz w:val="28"/>
          <w:szCs w:val="28"/>
        </w:rPr>
        <w:t>十、</w:t>
      </w:r>
      <w:r>
        <w:fldChar w:fldCharType="begin"/>
      </w:r>
      <w:r>
        <w:instrText xml:space="preserve"> HYPERLINK \l "_Toc15396628" </w:instrText>
      </w:r>
      <w:r>
        <w:fldChar w:fldCharType="separate"/>
      </w:r>
      <w:r>
        <w:rPr>
          <w:rFonts w:hint="eastAsia" w:ascii="仿宋" w:eastAsia="仿宋"/>
          <w:sz w:val="28"/>
          <w:szCs w:val="28"/>
        </w:rPr>
        <w:t>一般公共预算财政拨款“三公”经费支出决算表</w:t>
      </w:r>
      <w:r>
        <w:rPr>
          <w:rFonts w:ascii="仿宋" w:eastAsia="仿宋"/>
          <w:sz w:val="28"/>
          <w:szCs w:val="28"/>
        </w:rPr>
        <w:tab/>
      </w:r>
      <w:r>
        <w:rPr>
          <w:rFonts w:hint="eastAsia" w:ascii="仿宋" w:eastAsia="仿宋"/>
          <w:sz w:val="28"/>
          <w:szCs w:val="28"/>
        </w:rPr>
        <w:t>2</w:t>
      </w:r>
      <w:r>
        <w:rPr>
          <w:rFonts w:hint="eastAsia" w:ascii="仿宋" w:eastAsia="仿宋"/>
          <w:sz w:val="28"/>
          <w:szCs w:val="28"/>
        </w:rPr>
        <w:fldChar w:fldCharType="end"/>
      </w:r>
      <w:r>
        <w:rPr>
          <w:rFonts w:hint="eastAsia" w:ascii="仿宋" w:eastAsia="仿宋"/>
          <w:sz w:val="28"/>
          <w:szCs w:val="28"/>
        </w:rPr>
        <w:t>6</w:t>
      </w:r>
    </w:p>
    <w:p>
      <w:pPr>
        <w:pStyle w:val="11"/>
        <w:ind w:left="420"/>
        <w:rPr>
          <w:rFonts w:ascii="仿宋" w:eastAsia="仿宋" w:cs="Arial"/>
          <w:sz w:val="28"/>
          <w:szCs w:val="28"/>
        </w:rPr>
      </w:pPr>
      <w:r>
        <w:rPr>
          <w:rFonts w:hint="eastAsia" w:ascii="仿宋" w:eastAsia="仿宋"/>
          <w:sz w:val="28"/>
          <w:szCs w:val="28"/>
        </w:rPr>
        <w:t>十一、</w:t>
      </w:r>
      <w:r>
        <w:fldChar w:fldCharType="begin"/>
      </w:r>
      <w:r>
        <w:instrText xml:space="preserve"> HYPERLINK \l "_Toc15396629" </w:instrText>
      </w:r>
      <w:r>
        <w:fldChar w:fldCharType="separate"/>
      </w:r>
      <w:r>
        <w:rPr>
          <w:rFonts w:hint="eastAsia" w:ascii="仿宋" w:eastAsia="仿宋"/>
          <w:sz w:val="28"/>
          <w:szCs w:val="28"/>
        </w:rPr>
        <w:t>封面代码</w:t>
      </w:r>
      <w:r>
        <w:rPr>
          <w:rFonts w:ascii="仿宋" w:eastAsia="仿宋"/>
          <w:sz w:val="28"/>
          <w:szCs w:val="28"/>
        </w:rPr>
        <w:tab/>
      </w:r>
      <w:r>
        <w:rPr>
          <w:rFonts w:hint="eastAsia" w:ascii="仿宋" w:eastAsia="仿宋"/>
          <w:sz w:val="28"/>
          <w:szCs w:val="28"/>
        </w:rPr>
        <w:t>2</w:t>
      </w:r>
      <w:r>
        <w:rPr>
          <w:rFonts w:hint="eastAsia" w:ascii="仿宋" w:eastAsia="仿宋"/>
          <w:sz w:val="28"/>
          <w:szCs w:val="28"/>
        </w:rPr>
        <w:fldChar w:fldCharType="end"/>
      </w:r>
      <w:r>
        <w:rPr>
          <w:rFonts w:hint="eastAsia" w:ascii="仿宋" w:eastAsia="仿宋"/>
          <w:sz w:val="28"/>
          <w:szCs w:val="28"/>
        </w:rPr>
        <w:t>6</w:t>
      </w:r>
    </w:p>
    <w:p>
      <w:pPr>
        <w:widowControl/>
        <w:jc w:val="left"/>
        <w:rPr>
          <w:rFonts w:ascii="仿宋" w:eastAsia="仿宋"/>
          <w:color w:val="000000"/>
          <w:sz w:val="24"/>
        </w:rPr>
      </w:pPr>
      <w:r>
        <w:rPr>
          <w:rFonts w:ascii="仿宋" w:eastAsia="仿宋"/>
          <w:color w:val="000000"/>
          <w:sz w:val="24"/>
        </w:rPr>
        <w:fldChar w:fldCharType="end"/>
      </w:r>
    </w:p>
    <w:p>
      <w:pPr>
        <w:widowControl/>
        <w:jc w:val="left"/>
        <w:rPr>
          <w:rFonts w:ascii="黑体" w:eastAsia="黑体"/>
          <w:bCs/>
          <w:kern w:val="44"/>
          <w:sz w:val="44"/>
          <w:szCs w:val="44"/>
        </w:rPr>
      </w:pPr>
      <w:bookmarkStart w:id="12" w:name="_Toc15377196"/>
      <w:bookmarkStart w:id="13" w:name="_Toc15396599"/>
      <w:r>
        <w:rPr>
          <w:rFonts w:ascii="黑体" w:eastAsia="黑体"/>
          <w:b/>
        </w:rPr>
        <w:br w:type="page"/>
      </w:r>
    </w:p>
    <w:p>
      <w:pPr>
        <w:pStyle w:val="2"/>
        <w:jc w:val="center"/>
        <w:rPr>
          <w:rFonts w:ascii="黑体" w:eastAsia="黑体"/>
          <w:color w:val="000000"/>
          <w:sz w:val="32"/>
          <w:szCs w:val="32"/>
        </w:rPr>
      </w:pPr>
      <w:r>
        <w:rPr>
          <w:rFonts w:hint="eastAsia" w:ascii="黑体" w:eastAsia="黑体"/>
          <w:b w:val="0"/>
        </w:rPr>
        <w:t xml:space="preserve">第一部分 </w:t>
      </w:r>
      <w:r>
        <w:rPr>
          <w:rStyle w:val="17"/>
          <w:rFonts w:hint="eastAsia" w:ascii="黑体" w:eastAsia="黑体"/>
          <w:b w:val="0"/>
          <w:bCs w:val="0"/>
        </w:rPr>
        <w:t>部门概况</w:t>
      </w:r>
      <w:bookmarkEnd w:id="12"/>
      <w:bookmarkEnd w:id="13"/>
    </w:p>
    <w:p>
      <w:pPr>
        <w:pStyle w:val="3"/>
        <w:spacing w:before="0" w:after="0" w:line="240" w:lineRule="auto"/>
        <w:ind w:left="640" w:hanging="640" w:hangingChars="200"/>
        <w:rPr>
          <w:rStyle w:val="18"/>
          <w:rFonts w:ascii="黑体" w:eastAsia="黑体"/>
          <w:b w:val="0"/>
          <w:bCs w:val="0"/>
        </w:rPr>
      </w:pPr>
      <w:bookmarkStart w:id="14" w:name="_Toc15396600"/>
      <w:bookmarkStart w:id="15" w:name="_Toc15377197"/>
      <w:r>
        <w:rPr>
          <w:rFonts w:hint="eastAsia" w:ascii="黑体" w:eastAsia="黑体"/>
          <w:b w:val="0"/>
          <w:color w:val="000000"/>
        </w:rPr>
        <w:t>一、基</w:t>
      </w:r>
      <w:r>
        <w:rPr>
          <w:rStyle w:val="18"/>
          <w:rFonts w:hint="eastAsia" w:ascii="黑体" w:eastAsia="黑体"/>
          <w:b w:val="0"/>
          <w:bCs w:val="0"/>
        </w:rPr>
        <w:t>本职能及主要工作</w:t>
      </w:r>
      <w:bookmarkEnd w:id="14"/>
      <w:bookmarkEnd w:id="15"/>
      <w:bookmarkStart w:id="16" w:name="_Toc15377198"/>
      <w:bookmarkStart w:id="17" w:name="_Toc15378445"/>
    </w:p>
    <w:bookmarkEnd w:id="16"/>
    <w:bookmarkEnd w:id="17"/>
    <w:p>
      <w:pPr>
        <w:spacing w:line="720" w:lineRule="exact"/>
        <w:ind w:firstLine="600" w:firstLineChars="200"/>
        <w:rPr>
          <w:rFonts w:ascii="仿宋_GB2312" w:hAnsi="仿宋_GB2312" w:eastAsia="仿宋_GB2312" w:cs="仿宋_GB2312"/>
          <w:sz w:val="30"/>
          <w:szCs w:val="30"/>
        </w:rPr>
      </w:pPr>
      <w:bookmarkStart w:id="18" w:name="_Toc15377199"/>
      <w:bookmarkStart w:id="19" w:name="_Toc15378446"/>
      <w:r>
        <w:rPr>
          <w:rFonts w:hint="eastAsia" w:ascii="仿宋_GB2312" w:hAnsi="仿宋_GB2312" w:eastAsia="仿宋_GB2312" w:cs="仿宋_GB2312"/>
          <w:sz w:val="30"/>
          <w:szCs w:val="30"/>
        </w:rPr>
        <w:t>一是贯彻执行《中华人民共和国档案法》以及党和国家有关档案工作的方针、政策；对全县档案工作履行统筹规划、宏观管理；起草全县档案工作的规范性文件和规章草案，完善档案管理的政策和规章制度；监督、检查档案法律法规的贯彻执行，依法查处档案违法行为。</w:t>
      </w:r>
    </w:p>
    <w:p>
      <w:pPr>
        <w:spacing w:line="720" w:lineRule="exact"/>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二是制定全县档案事业发展的中长期规划和年度计划并组织实施。</w:t>
      </w:r>
    </w:p>
    <w:p>
      <w:pPr>
        <w:spacing w:line="720" w:lineRule="exact"/>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三是依法对全县区域内各类馆及机关、团体、企事业单位和其他组织的档案工作进行指导、监督、检查和协调。</w:t>
      </w:r>
    </w:p>
    <w:p>
      <w:pPr>
        <w:spacing w:line="720" w:lineRule="exact"/>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四是组织指导全县档案理论、档案科研和档案宣传工作，逐步实现档案管理的标准化、科学化和现代化。</w:t>
      </w:r>
    </w:p>
    <w:p>
      <w:pPr>
        <w:spacing w:line="720" w:lineRule="exact"/>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五是负责全县档案人员的业务指导；指导全县档案人员队伍建设；负责全县档案专业技术职务评审工作的组织实施。</w:t>
      </w:r>
    </w:p>
    <w:p>
      <w:pPr>
        <w:spacing w:line="720" w:lineRule="exact"/>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六是依法保管、保护、鉴定和提供利用档案；依法向社会开放档案、编研、编辑、公布档案史料。</w:t>
      </w:r>
    </w:p>
    <w:bookmarkEnd w:id="18"/>
    <w:bookmarkEnd w:id="19"/>
    <w:p>
      <w:pPr>
        <w:spacing w:line="578" w:lineRule="exact"/>
        <w:ind w:firstLine="640" w:firstLineChars="200"/>
        <w:rPr>
          <w:rStyle w:val="18"/>
          <w:b w:val="0"/>
          <w:bCs w:val="0"/>
        </w:rPr>
      </w:pPr>
      <w:bookmarkStart w:id="20" w:name="_Toc15396601"/>
      <w:bookmarkStart w:id="21" w:name="_Toc15377200"/>
      <w:r>
        <w:rPr>
          <w:rStyle w:val="18"/>
          <w:rFonts w:hint="eastAsia" w:ascii="黑体" w:eastAsia="黑体"/>
          <w:b w:val="0"/>
          <w:bCs w:val="0"/>
        </w:rPr>
        <w:t>二、机构设置</w:t>
      </w:r>
      <w:bookmarkEnd w:id="20"/>
      <w:bookmarkEnd w:id="21"/>
    </w:p>
    <w:p>
      <w:pPr>
        <w:spacing w:line="540" w:lineRule="exact"/>
        <w:ind w:firstLine="750" w:firstLineChars="250"/>
        <w:rPr>
          <w:rFonts w:ascii="仿宋_GB2312" w:hAnsi="仿宋_GB2312" w:eastAsia="仿宋_GB2312" w:cs="仿宋_GB2312"/>
          <w:sz w:val="30"/>
          <w:szCs w:val="30"/>
        </w:rPr>
      </w:pPr>
      <w:bookmarkStart w:id="22" w:name="_Toc15377204"/>
      <w:bookmarkStart w:id="23" w:name="_Toc15396602"/>
      <w:r>
        <w:rPr>
          <w:rFonts w:hint="eastAsia" w:ascii="仿宋_GB2312" w:hAnsi="仿宋_GB2312" w:eastAsia="仿宋_GB2312" w:cs="仿宋_GB2312"/>
          <w:sz w:val="30"/>
          <w:szCs w:val="30"/>
        </w:rPr>
        <w:t>我馆为县委直属正科级事业单位，由县委办代管，保留参公管理。内设办公室、档案接收征集保管利用股、档案开发编辑信息技术股。在职7人，退休5人，遗属2人。</w:t>
      </w:r>
    </w:p>
    <w:p>
      <w:pPr>
        <w:snapToGrid w:val="0"/>
        <w:spacing w:line="360" w:lineRule="auto"/>
        <w:rPr>
          <w:rFonts w:ascii="楷体" w:hAnsi="楷体" w:eastAsia="楷体" w:cs="楷体"/>
          <w:b/>
          <w:bCs/>
          <w:sz w:val="30"/>
          <w:szCs w:val="30"/>
        </w:rPr>
      </w:pPr>
    </w:p>
    <w:p>
      <w:pPr>
        <w:pStyle w:val="2"/>
        <w:ind w:right="440"/>
        <w:jc w:val="right"/>
      </w:pPr>
      <w:r>
        <w:rPr>
          <w:rFonts w:hint="eastAsia" w:ascii="黑体" w:eastAsia="黑体"/>
          <w:b w:val="0"/>
          <w:color w:val="000000"/>
        </w:rPr>
        <w:t>第二部分</w:t>
      </w:r>
      <w:r>
        <w:rPr>
          <w:rFonts w:hint="eastAsia" w:ascii="黑体" w:eastAsia="黑体"/>
          <w:color w:val="000000"/>
        </w:rPr>
        <w:t xml:space="preserve"> </w:t>
      </w:r>
      <w:r>
        <w:rPr>
          <w:rStyle w:val="17"/>
          <w:rFonts w:hint="eastAsia" w:ascii="黑体" w:eastAsia="黑体"/>
          <w:b w:val="0"/>
          <w:bCs w:val="0"/>
        </w:rPr>
        <w:t>2020年度部门决算情况说明</w:t>
      </w:r>
      <w:bookmarkEnd w:id="22"/>
      <w:bookmarkEnd w:id="23"/>
    </w:p>
    <w:p>
      <w:pPr>
        <w:pStyle w:val="23"/>
        <w:numPr>
          <w:ilvl w:val="0"/>
          <w:numId w:val="1"/>
        </w:numPr>
        <w:ind w:left="0" w:firstLine="0" w:firstLineChars="0"/>
        <w:outlineLvl w:val="1"/>
        <w:rPr>
          <w:rStyle w:val="18"/>
          <w:rFonts w:ascii="黑体" w:eastAsia="黑体"/>
          <w:b w:val="0"/>
        </w:rPr>
      </w:pPr>
      <w:bookmarkStart w:id="24" w:name="_Toc15396603"/>
      <w:bookmarkStart w:id="25" w:name="_Toc15377205"/>
      <w:r>
        <w:rPr>
          <w:rFonts w:hint="eastAsia" w:ascii="黑体" w:eastAsia="黑体"/>
          <w:color w:val="000000"/>
          <w:sz w:val="32"/>
          <w:szCs w:val="32"/>
        </w:rPr>
        <w:t>收</w:t>
      </w:r>
      <w:r>
        <w:rPr>
          <w:rStyle w:val="18"/>
          <w:rFonts w:hint="eastAsia" w:ascii="黑体" w:eastAsia="黑体"/>
          <w:b w:val="0"/>
        </w:rPr>
        <w:t>入支出决算总体情况说明</w:t>
      </w:r>
      <w:bookmarkEnd w:id="24"/>
      <w:bookmarkEnd w:id="25"/>
    </w:p>
    <w:p>
      <w:pPr>
        <w:snapToGrid w:val="0"/>
        <w:spacing w:line="520" w:lineRule="exact"/>
        <w:ind w:firstLine="640" w:firstLineChars="200"/>
        <w:rPr>
          <w:rFonts w:ascii="仿宋_GB2312" w:eastAsia="仿宋_GB2312"/>
          <w:color w:val="000000"/>
          <w:spacing w:val="-2"/>
          <w:sz w:val="32"/>
          <w:szCs w:val="32"/>
        </w:rPr>
      </w:pPr>
      <w:r>
        <w:rPr>
          <w:rStyle w:val="18"/>
          <w:rFonts w:ascii="黑体" w:eastAsia="黑体"/>
          <w:b w:val="0"/>
        </w:rPr>
        <w:drawing>
          <wp:anchor distT="0" distB="0" distL="114300" distR="114300" simplePos="0" relativeHeight="251659264" behindDoc="1" locked="0" layoutInCell="1" allowOverlap="1">
            <wp:simplePos x="0" y="0"/>
            <wp:positionH relativeFrom="column">
              <wp:posOffset>61595</wp:posOffset>
            </wp:positionH>
            <wp:positionV relativeFrom="paragraph">
              <wp:posOffset>1817370</wp:posOffset>
            </wp:positionV>
            <wp:extent cx="5080000" cy="3810000"/>
            <wp:effectExtent l="4445" t="4445" r="20955" b="14605"/>
            <wp:wrapThrough wrapText="bothSides">
              <wp:wrapPolygon>
                <wp:start x="-19" y="-25"/>
                <wp:lineTo x="-19" y="21575"/>
                <wp:lineTo x="21527" y="21575"/>
                <wp:lineTo x="21527" y="-25"/>
                <wp:lineTo x="-19" y="-25"/>
              </wp:wrapPolygon>
            </wp:wrapThrough>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r>
        <w:rPr>
          <w:rFonts w:hint="eastAsia" w:ascii="仿宋_GB2312" w:eastAsia="仿宋_GB2312"/>
          <w:color w:val="000000"/>
          <w:spacing w:val="-2"/>
          <w:sz w:val="32"/>
          <w:szCs w:val="32"/>
        </w:rPr>
        <w:t>2020年度总收入130.03万元，较上年收入减少6.29万元，减少4.61%。减少的主要原因是2020年退休一人。</w:t>
      </w:r>
    </w:p>
    <w:p>
      <w:pPr>
        <w:snapToGrid w:val="0"/>
        <w:spacing w:line="520" w:lineRule="exact"/>
        <w:ind w:firstLine="632" w:firstLineChars="200"/>
        <w:rPr>
          <w:rFonts w:ascii="仿宋" w:eastAsia="仿宋"/>
          <w:sz w:val="32"/>
          <w:szCs w:val="32"/>
        </w:rPr>
      </w:pPr>
      <w:r>
        <w:rPr>
          <w:rFonts w:hint="eastAsia" w:ascii="仿宋_GB2312" w:eastAsia="仿宋_GB2312"/>
          <w:spacing w:val="-2"/>
          <w:sz w:val="32"/>
          <w:szCs w:val="32"/>
        </w:rPr>
        <w:t>2020年总支出130.03万元，较上年支出减少27.14万元，减少17.26%。主要原因是2020年支出包含了上年结转项目。</w:t>
      </w:r>
    </w:p>
    <w:p>
      <w:pPr>
        <w:spacing w:line="600" w:lineRule="exact"/>
        <w:ind w:firstLine="640" w:firstLineChars="200"/>
        <w:rPr>
          <w:rStyle w:val="18"/>
          <w:rFonts w:ascii="黑体" w:eastAsia="黑体"/>
          <w:b w:val="0"/>
        </w:rPr>
      </w:pPr>
      <w:bookmarkStart w:id="26" w:name="_Toc15377206"/>
      <w:bookmarkStart w:id="27" w:name="_Toc15396604"/>
      <w:r>
        <w:rPr>
          <w:rFonts w:hint="eastAsia" w:ascii="黑体" w:eastAsia="黑体"/>
          <w:color w:val="000000"/>
          <w:sz w:val="32"/>
          <w:szCs w:val="32"/>
        </w:rPr>
        <w:t>二、收入决</w:t>
      </w:r>
      <w:r>
        <w:rPr>
          <w:rStyle w:val="18"/>
          <w:rFonts w:hint="eastAsia" w:ascii="黑体" w:eastAsia="黑体"/>
          <w:b w:val="0"/>
        </w:rPr>
        <w:t>算情况说明</w:t>
      </w:r>
      <w:bookmarkEnd w:id="26"/>
      <w:bookmarkEnd w:id="27"/>
    </w:p>
    <w:p>
      <w:pPr>
        <w:spacing w:line="600" w:lineRule="exact"/>
        <w:ind w:firstLine="640" w:firstLineChars="200"/>
        <w:outlineLvl w:val="1"/>
        <w:rPr>
          <w:rStyle w:val="18"/>
          <w:rFonts w:ascii="黑体" w:eastAsia="黑体"/>
          <w:b w:val="0"/>
        </w:rPr>
      </w:pPr>
      <w:r>
        <w:rPr>
          <w:rFonts w:hint="eastAsia" w:ascii="仿宋" w:eastAsia="仿宋"/>
          <w:color w:val="000000"/>
          <w:sz w:val="32"/>
          <w:szCs w:val="32"/>
        </w:rPr>
        <w:t>2020年总收入130.03万元，其中：一般公共预算财政拨款收入130.03万元，占100</w:t>
      </w:r>
      <w:r>
        <w:rPr>
          <w:rFonts w:ascii="仿宋" w:eastAsia="仿宋"/>
          <w:color w:val="000000"/>
          <w:sz w:val="32"/>
          <w:szCs w:val="32"/>
        </w:rPr>
        <w:t>%</w:t>
      </w:r>
      <w:r>
        <w:rPr>
          <w:rFonts w:hint="eastAsia" w:ascii="仿宋" w:eastAsia="仿宋"/>
          <w:color w:val="000000"/>
          <w:sz w:val="32"/>
          <w:szCs w:val="32"/>
        </w:rPr>
        <w:t>；政府性基金预算财政拨款收入0万元，占0</w:t>
      </w:r>
      <w:r>
        <w:rPr>
          <w:rFonts w:ascii="仿宋" w:eastAsia="仿宋"/>
          <w:color w:val="000000"/>
          <w:sz w:val="32"/>
          <w:szCs w:val="32"/>
        </w:rPr>
        <w:t>%</w:t>
      </w:r>
      <w:r>
        <w:rPr>
          <w:rFonts w:hint="eastAsia" w:ascii="仿宋" w:eastAsia="仿宋"/>
          <w:color w:val="000000"/>
          <w:sz w:val="32"/>
          <w:szCs w:val="32"/>
        </w:rPr>
        <w:t>；国有资本经营预算财政拨款收入0万元，占0</w:t>
      </w:r>
      <w:r>
        <w:rPr>
          <w:rFonts w:ascii="仿宋" w:eastAsia="仿宋"/>
          <w:color w:val="000000"/>
          <w:sz w:val="32"/>
          <w:szCs w:val="32"/>
        </w:rPr>
        <w:t>%</w:t>
      </w:r>
      <w:r>
        <w:rPr>
          <w:rFonts w:hint="eastAsia" w:ascii="仿宋" w:eastAsia="仿宋"/>
          <w:color w:val="000000"/>
          <w:sz w:val="32"/>
          <w:szCs w:val="32"/>
        </w:rPr>
        <w:t>；事业收入0万元，占0</w:t>
      </w:r>
      <w:r>
        <w:rPr>
          <w:rFonts w:ascii="仿宋" w:eastAsia="仿宋"/>
          <w:color w:val="000000"/>
          <w:sz w:val="32"/>
          <w:szCs w:val="32"/>
        </w:rPr>
        <w:t>%</w:t>
      </w:r>
      <w:r>
        <w:rPr>
          <w:rFonts w:hint="eastAsia" w:ascii="仿宋" w:eastAsia="仿宋"/>
          <w:color w:val="000000"/>
          <w:sz w:val="32"/>
          <w:szCs w:val="32"/>
        </w:rPr>
        <w:t>；经营收入0万元，占0</w:t>
      </w:r>
      <w:r>
        <w:rPr>
          <w:rFonts w:ascii="仿宋" w:eastAsia="仿宋"/>
          <w:color w:val="000000"/>
          <w:sz w:val="32"/>
          <w:szCs w:val="32"/>
        </w:rPr>
        <w:t>%</w:t>
      </w:r>
      <w:r>
        <w:rPr>
          <w:rFonts w:hint="eastAsia" w:ascii="仿宋" w:eastAsia="仿宋"/>
          <w:color w:val="000000"/>
          <w:sz w:val="32"/>
          <w:szCs w:val="32"/>
        </w:rPr>
        <w:t>；附属单位上缴收入0万元，占0</w:t>
      </w:r>
      <w:r>
        <w:rPr>
          <w:rFonts w:ascii="仿宋" w:eastAsia="仿宋"/>
          <w:color w:val="000000"/>
          <w:sz w:val="32"/>
          <w:szCs w:val="32"/>
        </w:rPr>
        <w:t>%</w:t>
      </w:r>
      <w:r>
        <w:rPr>
          <w:rFonts w:hint="eastAsia" w:ascii="仿宋" w:eastAsia="仿宋"/>
          <w:color w:val="000000"/>
          <w:sz w:val="32"/>
          <w:szCs w:val="32"/>
        </w:rPr>
        <w:t>；其他收入0万元，占0%</w:t>
      </w:r>
      <w:bookmarkStart w:id="28" w:name="_Toc15377207"/>
      <w:bookmarkStart w:id="29" w:name="_Toc15396605"/>
      <w:r>
        <w:rPr>
          <w:rFonts w:hint="eastAsia" w:ascii="黑体" w:eastAsia="黑体"/>
          <w:color w:val="000000"/>
          <w:sz w:val="32"/>
          <w:szCs w:val="32"/>
        </w:rPr>
        <w:t>三、支出决</w:t>
      </w:r>
      <w:r>
        <w:rPr>
          <w:rStyle w:val="18"/>
          <w:rFonts w:hint="eastAsia" w:ascii="黑体" w:eastAsia="黑体"/>
          <w:b w:val="0"/>
        </w:rPr>
        <w:t>算情况说明</w:t>
      </w:r>
      <w:bookmarkEnd w:id="28"/>
      <w:bookmarkEnd w:id="29"/>
    </w:p>
    <w:p>
      <w:pPr>
        <w:spacing w:line="600" w:lineRule="exact"/>
        <w:ind w:firstLine="640"/>
        <w:rPr>
          <w:rFonts w:ascii="仿宋" w:eastAsia="仿宋"/>
          <w:color w:val="000000"/>
          <w:sz w:val="32"/>
          <w:szCs w:val="32"/>
          <w:shd w:val="pct10" w:color="auto" w:fill="FFFFFF"/>
        </w:rPr>
      </w:pPr>
      <w:r>
        <w:rPr>
          <w:rFonts w:hint="eastAsia" w:ascii="仿宋" w:eastAsia="仿宋"/>
          <w:color w:val="000000"/>
          <w:sz w:val="32"/>
          <w:szCs w:val="32"/>
          <w:shd w:val="pct10" w:color="auto" w:fill="FFFFFF"/>
        </w:rPr>
        <w:drawing>
          <wp:anchor distT="0" distB="0" distL="114300" distR="114300" simplePos="0" relativeHeight="251660288" behindDoc="1" locked="0" layoutInCell="1" allowOverlap="1">
            <wp:simplePos x="0" y="0"/>
            <wp:positionH relativeFrom="column">
              <wp:posOffset>118745</wp:posOffset>
            </wp:positionH>
            <wp:positionV relativeFrom="paragraph">
              <wp:posOffset>1767205</wp:posOffset>
            </wp:positionV>
            <wp:extent cx="4803775" cy="3571875"/>
            <wp:effectExtent l="4445" t="5080" r="11430" b="4445"/>
            <wp:wrapTight wrapText="bothSides">
              <wp:wrapPolygon>
                <wp:start x="-20" y="-31"/>
                <wp:lineTo x="-20" y="21512"/>
                <wp:lineTo x="21566" y="21512"/>
                <wp:lineTo x="21566" y="-31"/>
                <wp:lineTo x="-20" y="-31"/>
              </wp:wrapPolygon>
            </wp:wrapTight>
            <wp:docPr id="8"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r>
        <w:rPr>
          <w:rFonts w:hint="eastAsia" w:ascii="仿宋" w:eastAsia="仿宋"/>
          <w:color w:val="000000"/>
          <w:sz w:val="32"/>
          <w:szCs w:val="32"/>
        </w:rPr>
        <w:t>2020年本年总支出130.03万元，其中：基本支出126.31万元，占97.14%；项目支出3.73万元，占2.86%；上缴上级支出0万元，占0%；经营支出0万元，占0</w:t>
      </w:r>
      <w:r>
        <w:rPr>
          <w:rFonts w:ascii="仿宋" w:eastAsia="仿宋"/>
          <w:color w:val="000000"/>
          <w:sz w:val="32"/>
          <w:szCs w:val="32"/>
        </w:rPr>
        <w:t>%</w:t>
      </w:r>
      <w:r>
        <w:rPr>
          <w:rFonts w:hint="eastAsia" w:ascii="仿宋" w:eastAsia="仿宋"/>
          <w:color w:val="000000"/>
          <w:sz w:val="32"/>
          <w:szCs w:val="32"/>
        </w:rPr>
        <w:t>；对附属单位补助支出0万元，占0</w:t>
      </w:r>
      <w:r>
        <w:rPr>
          <w:rFonts w:ascii="仿宋" w:eastAsia="仿宋"/>
          <w:color w:val="000000"/>
          <w:sz w:val="32"/>
          <w:szCs w:val="32"/>
        </w:rPr>
        <w:t>%</w:t>
      </w:r>
      <w:r>
        <w:rPr>
          <w:rFonts w:hint="eastAsia" w:ascii="仿宋" w:eastAsia="仿宋"/>
          <w:color w:val="000000"/>
          <w:sz w:val="32"/>
          <w:szCs w:val="32"/>
        </w:rPr>
        <w:t>。</w:t>
      </w:r>
    </w:p>
    <w:p>
      <w:pPr>
        <w:spacing w:line="600" w:lineRule="exact"/>
        <w:ind w:firstLine="640" w:firstLineChars="200"/>
        <w:rPr>
          <w:rFonts w:ascii="仿宋_GB2312" w:eastAsia="仿宋_GB2312"/>
          <w:color w:val="FF0000"/>
          <w:sz w:val="32"/>
          <w:szCs w:val="32"/>
        </w:rPr>
      </w:pPr>
    </w:p>
    <w:p>
      <w:pPr>
        <w:spacing w:line="600" w:lineRule="exact"/>
        <w:ind w:firstLine="640" w:firstLineChars="200"/>
        <w:outlineLvl w:val="1"/>
        <w:rPr>
          <w:rStyle w:val="18"/>
          <w:rFonts w:ascii="黑体" w:eastAsia="黑体"/>
          <w:b w:val="0"/>
        </w:rPr>
      </w:pPr>
      <w:bookmarkStart w:id="30" w:name="_Toc15377208"/>
      <w:bookmarkStart w:id="31" w:name="_Toc15396606"/>
      <w:r>
        <w:rPr>
          <w:rFonts w:hint="eastAsia" w:ascii="黑体" w:eastAsia="黑体"/>
          <w:color w:val="000000"/>
          <w:sz w:val="32"/>
          <w:szCs w:val="32"/>
        </w:rPr>
        <w:t>四、财</w:t>
      </w:r>
      <w:r>
        <w:rPr>
          <w:rStyle w:val="18"/>
          <w:rFonts w:hint="eastAsia" w:ascii="黑体" w:eastAsia="黑体"/>
          <w:b w:val="0"/>
        </w:rPr>
        <w:t>政拨款收入支出决算总体情况说明</w:t>
      </w:r>
      <w:bookmarkEnd w:id="30"/>
      <w:bookmarkEnd w:id="31"/>
    </w:p>
    <w:p>
      <w:pPr>
        <w:snapToGrid w:val="0"/>
        <w:spacing w:line="520" w:lineRule="exact"/>
        <w:ind w:firstLine="640" w:firstLineChars="200"/>
        <w:rPr>
          <w:rFonts w:ascii="仿宋" w:eastAsia="仿宋"/>
          <w:sz w:val="32"/>
          <w:szCs w:val="32"/>
        </w:rPr>
      </w:pPr>
      <w:r>
        <w:rPr>
          <w:rFonts w:hint="eastAsia" w:ascii="仿宋" w:eastAsia="仿宋"/>
          <w:color w:val="000000"/>
          <w:sz w:val="32"/>
          <w:szCs w:val="32"/>
        </w:rPr>
        <w:t>2020年财政拨款收入130.03万元。与2019年相比，一般公共预算财政拨款收入</w:t>
      </w:r>
      <w:r>
        <w:rPr>
          <w:rFonts w:hint="eastAsia" w:ascii="仿宋_GB2312" w:eastAsia="仿宋_GB2312"/>
          <w:color w:val="000000"/>
          <w:spacing w:val="-2"/>
          <w:sz w:val="32"/>
          <w:szCs w:val="32"/>
        </w:rPr>
        <w:t>减少6.29万元，减少4.61%。减少的主要原因是2020年退休一人。</w:t>
      </w:r>
      <w:r>
        <w:rPr>
          <w:rFonts w:hint="eastAsia" w:ascii="仿宋" w:eastAsia="仿宋"/>
          <w:color w:val="000000"/>
          <w:sz w:val="32"/>
          <w:szCs w:val="32"/>
        </w:rPr>
        <w:t>2020年财政拨款支出130.03万元，</w:t>
      </w:r>
      <w:r>
        <w:rPr>
          <w:rFonts w:hint="eastAsia" w:ascii="仿宋_GB2312" w:eastAsia="仿宋_GB2312"/>
          <w:spacing w:val="-2"/>
          <w:sz w:val="32"/>
          <w:szCs w:val="32"/>
        </w:rPr>
        <w:t>支出减少27.14万元，减少17.26%。主要原因是2020年支出包含了上年结转项目。</w:t>
      </w:r>
      <w:bookmarkStart w:id="74" w:name="_GoBack"/>
      <w:bookmarkEnd w:id="74"/>
    </w:p>
    <w:p>
      <w:pPr>
        <w:spacing w:line="600" w:lineRule="exact"/>
        <w:ind w:firstLine="640" w:firstLineChars="200"/>
        <w:rPr>
          <w:rStyle w:val="18"/>
          <w:rFonts w:ascii="黑体" w:eastAsia="黑体"/>
          <w:b w:val="0"/>
        </w:rPr>
      </w:pPr>
      <w:bookmarkStart w:id="32" w:name="_Toc15396607"/>
      <w:bookmarkStart w:id="33" w:name="_Toc15377209"/>
      <w:r>
        <w:rPr>
          <w:rFonts w:hint="eastAsia" w:ascii="黑体" w:eastAsia="黑体"/>
          <w:color w:val="000000"/>
          <w:sz w:val="32"/>
          <w:szCs w:val="32"/>
        </w:rPr>
        <w:t>五、</w:t>
      </w:r>
      <w:r>
        <w:rPr>
          <w:rFonts w:hint="eastAsia" w:ascii="黑体" w:eastAsia="黑体"/>
          <w:b/>
          <w:color w:val="000000"/>
          <w:sz w:val="32"/>
          <w:szCs w:val="32"/>
        </w:rPr>
        <w:t>一</w:t>
      </w:r>
      <w:r>
        <w:rPr>
          <w:rStyle w:val="18"/>
          <w:rFonts w:hint="eastAsia" w:ascii="黑体" w:eastAsia="黑体"/>
          <w:b w:val="0"/>
        </w:rPr>
        <w:t>般公共预算财政拨款支出决算情况说明</w:t>
      </w:r>
      <w:bookmarkEnd w:id="32"/>
      <w:bookmarkEnd w:id="33"/>
    </w:p>
    <w:p>
      <w:pPr>
        <w:spacing w:line="600" w:lineRule="exact"/>
        <w:ind w:firstLine="643" w:firstLineChars="200"/>
        <w:outlineLvl w:val="2"/>
        <w:rPr>
          <w:rFonts w:ascii="仿宋" w:eastAsia="仿宋"/>
          <w:b/>
          <w:color w:val="000000"/>
          <w:sz w:val="32"/>
          <w:szCs w:val="32"/>
        </w:rPr>
      </w:pPr>
      <w:bookmarkStart w:id="34" w:name="_Toc15377210"/>
      <w:r>
        <w:rPr>
          <w:rFonts w:hint="eastAsia" w:ascii="仿宋" w:eastAsia="仿宋"/>
          <w:b/>
          <w:color w:val="000000"/>
          <w:sz w:val="32"/>
          <w:szCs w:val="32"/>
        </w:rPr>
        <w:t>（一）一般公共预算财政拨款支出决算总体情况</w:t>
      </w:r>
      <w:bookmarkEnd w:id="34"/>
    </w:p>
    <w:p>
      <w:pPr>
        <w:snapToGrid w:val="0"/>
        <w:spacing w:line="5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rPr>
        <w:t>2020年</w:t>
      </w:r>
      <w:r>
        <w:rPr>
          <w:rFonts w:hint="eastAsia" w:ascii="仿宋_GB2312" w:hAnsi="仿宋_GB2312" w:eastAsia="仿宋_GB2312" w:cs="仿宋_GB2312"/>
          <w:spacing w:val="-2"/>
          <w:sz w:val="32"/>
          <w:szCs w:val="32"/>
        </w:rPr>
        <w:t>一般公共预算财政拨款支出130.03万元，</w:t>
      </w:r>
      <w:r>
        <w:rPr>
          <w:rFonts w:hint="eastAsia" w:ascii="仿宋_GB2312" w:hAnsi="仿宋_GB2312" w:eastAsia="仿宋_GB2312" w:cs="仿宋_GB2312"/>
          <w:color w:val="000000"/>
          <w:sz w:val="32"/>
          <w:szCs w:val="32"/>
        </w:rPr>
        <w:t>占本年总支出的100%。与2019年相比，一般公共预算财政拨款</w:t>
      </w:r>
      <w:bookmarkStart w:id="35" w:name="_Toc15377211"/>
      <w:r>
        <w:rPr>
          <w:rFonts w:hint="eastAsia" w:ascii="仿宋_GB2312" w:hAnsi="仿宋_GB2312" w:eastAsia="仿宋_GB2312" w:cs="仿宋_GB2312"/>
          <w:color w:val="000000"/>
          <w:sz w:val="32"/>
          <w:szCs w:val="32"/>
        </w:rPr>
        <w:t>支出减少</w:t>
      </w:r>
      <w:r>
        <w:rPr>
          <w:rFonts w:hint="eastAsia" w:ascii="仿宋_GB2312" w:hAnsi="仿宋_GB2312" w:eastAsia="仿宋_GB2312" w:cs="仿宋_GB2312"/>
          <w:spacing w:val="-2"/>
          <w:sz w:val="32"/>
          <w:szCs w:val="32"/>
        </w:rPr>
        <w:t>27.14万元，减少17.26%。主要原因是2020年支出包含了上年结转项目。</w:t>
      </w:r>
    </w:p>
    <w:p>
      <w:pPr>
        <w:snapToGrid w:val="0"/>
        <w:spacing w:line="520" w:lineRule="exact"/>
        <w:ind w:firstLine="643" w:firstLineChars="200"/>
        <w:rPr>
          <w:rFonts w:ascii="仿宋" w:eastAsia="仿宋"/>
          <w:b/>
          <w:color w:val="000000"/>
          <w:sz w:val="32"/>
          <w:szCs w:val="32"/>
        </w:rPr>
      </w:pPr>
      <w:r>
        <w:rPr>
          <w:rFonts w:hint="eastAsia" w:ascii="仿宋" w:eastAsia="仿宋"/>
          <w:b/>
          <w:color w:val="000000"/>
          <w:sz w:val="32"/>
          <w:szCs w:val="32"/>
        </w:rPr>
        <w:t>（二）一般公共预算财政拨款支出决算结构情况</w:t>
      </w:r>
      <w:bookmarkEnd w:id="35"/>
    </w:p>
    <w:p>
      <w:pPr>
        <w:spacing w:line="600" w:lineRule="exact"/>
        <w:ind w:firstLine="640"/>
        <w:rPr>
          <w:rFonts w:ascii="仿宋" w:eastAsia="仿宋"/>
          <w:color w:val="000000"/>
          <w:sz w:val="32"/>
          <w:szCs w:val="32"/>
        </w:rPr>
      </w:pPr>
      <w:r>
        <w:rPr>
          <w:rFonts w:hint="eastAsia" w:ascii="仿宋" w:eastAsia="仿宋"/>
          <w:color w:val="000000"/>
          <w:sz w:val="32"/>
          <w:szCs w:val="32"/>
        </w:rPr>
        <w:t>2020年一般公共预算财政拨款支出130.03万元，主要用于以下方面</w:t>
      </w:r>
      <w:r>
        <w:rPr>
          <w:rFonts w:ascii="仿宋" w:eastAsia="仿宋"/>
          <w:color w:val="000000"/>
          <w:sz w:val="32"/>
          <w:szCs w:val="32"/>
        </w:rPr>
        <w:t>:</w:t>
      </w:r>
      <w:r>
        <w:rPr>
          <w:rFonts w:hint="eastAsia" w:ascii="仿宋" w:eastAsia="仿宋"/>
          <w:b/>
          <w:color w:val="000000"/>
          <w:sz w:val="32"/>
          <w:szCs w:val="32"/>
        </w:rPr>
        <w:t>一般公共服务（类）</w:t>
      </w:r>
      <w:r>
        <w:rPr>
          <w:rFonts w:hint="eastAsia" w:ascii="仿宋" w:eastAsia="仿宋"/>
          <w:color w:val="000000"/>
          <w:sz w:val="32"/>
          <w:szCs w:val="32"/>
        </w:rPr>
        <w:t>支出100.77万元，占77.50</w:t>
      </w:r>
      <w:r>
        <w:rPr>
          <w:rFonts w:ascii="仿宋" w:eastAsia="仿宋"/>
          <w:color w:val="000000"/>
          <w:sz w:val="32"/>
          <w:szCs w:val="32"/>
        </w:rPr>
        <w:t>%</w:t>
      </w:r>
      <w:r>
        <w:rPr>
          <w:rFonts w:hint="eastAsia" w:ascii="仿宋" w:eastAsia="仿宋"/>
          <w:color w:val="000000"/>
          <w:sz w:val="32"/>
          <w:szCs w:val="32"/>
        </w:rPr>
        <w:t>；</w:t>
      </w:r>
      <w:r>
        <w:rPr>
          <w:rFonts w:hint="eastAsia" w:ascii="仿宋" w:eastAsia="仿宋"/>
          <w:b/>
          <w:bCs/>
          <w:color w:val="000000"/>
          <w:sz w:val="32"/>
          <w:szCs w:val="32"/>
        </w:rPr>
        <w:t>教育支出</w:t>
      </w:r>
      <w:r>
        <w:rPr>
          <w:rFonts w:hint="eastAsia" w:ascii="仿宋" w:eastAsia="仿宋"/>
          <w:color w:val="000000"/>
          <w:sz w:val="32"/>
          <w:szCs w:val="32"/>
        </w:rPr>
        <w:t>0.5万元，占0.38</w:t>
      </w:r>
      <w:r>
        <w:rPr>
          <w:rFonts w:ascii="仿宋" w:eastAsia="仿宋"/>
          <w:color w:val="000000"/>
          <w:sz w:val="32"/>
          <w:szCs w:val="32"/>
        </w:rPr>
        <w:t>%</w:t>
      </w:r>
      <w:r>
        <w:rPr>
          <w:rFonts w:hint="eastAsia" w:ascii="仿宋" w:eastAsia="仿宋"/>
          <w:color w:val="000000"/>
          <w:sz w:val="32"/>
          <w:szCs w:val="32"/>
        </w:rPr>
        <w:t>；</w:t>
      </w:r>
      <w:r>
        <w:rPr>
          <w:rFonts w:hint="eastAsia" w:ascii="仿宋" w:eastAsia="仿宋"/>
          <w:b/>
          <w:color w:val="000000"/>
          <w:sz w:val="32"/>
          <w:szCs w:val="32"/>
        </w:rPr>
        <w:t>社会保障和就业（类）</w:t>
      </w:r>
      <w:r>
        <w:rPr>
          <w:rFonts w:hint="eastAsia" w:ascii="仿宋" w:eastAsia="仿宋"/>
          <w:color w:val="000000"/>
          <w:sz w:val="32"/>
          <w:szCs w:val="32"/>
        </w:rPr>
        <w:t>支出13.70万元，占10.54</w:t>
      </w:r>
      <w:r>
        <w:rPr>
          <w:rFonts w:ascii="仿宋" w:eastAsia="仿宋"/>
          <w:color w:val="000000"/>
          <w:sz w:val="32"/>
          <w:szCs w:val="32"/>
        </w:rPr>
        <w:t>%</w:t>
      </w:r>
      <w:r>
        <w:rPr>
          <w:rFonts w:hint="eastAsia" w:ascii="仿宋" w:eastAsia="仿宋"/>
          <w:color w:val="000000"/>
          <w:sz w:val="32"/>
          <w:szCs w:val="32"/>
        </w:rPr>
        <w:t>；</w:t>
      </w:r>
      <w:r>
        <w:rPr>
          <w:rFonts w:hint="eastAsia" w:ascii="仿宋" w:eastAsia="仿宋"/>
          <w:b/>
          <w:bCs/>
          <w:color w:val="000000"/>
          <w:sz w:val="32"/>
          <w:szCs w:val="32"/>
        </w:rPr>
        <w:t>卫生健康支出</w:t>
      </w:r>
      <w:r>
        <w:rPr>
          <w:rFonts w:hint="eastAsia" w:ascii="仿宋" w:eastAsia="仿宋"/>
          <w:color w:val="000000"/>
          <w:sz w:val="32"/>
          <w:szCs w:val="32"/>
        </w:rPr>
        <w:t>6.1万元，占4.7</w:t>
      </w:r>
      <w:r>
        <w:rPr>
          <w:rFonts w:ascii="仿宋" w:eastAsia="仿宋"/>
          <w:color w:val="000000"/>
          <w:sz w:val="32"/>
          <w:szCs w:val="32"/>
        </w:rPr>
        <w:t>%</w:t>
      </w:r>
      <w:r>
        <w:rPr>
          <w:rFonts w:hint="eastAsia" w:ascii="仿宋" w:eastAsia="仿宋"/>
          <w:color w:val="000000"/>
          <w:sz w:val="32"/>
          <w:szCs w:val="32"/>
        </w:rPr>
        <w:t>；</w:t>
      </w:r>
      <w:r>
        <w:rPr>
          <w:rFonts w:hint="eastAsia" w:ascii="仿宋" w:eastAsia="仿宋"/>
          <w:b/>
          <w:bCs/>
          <w:color w:val="000000"/>
          <w:sz w:val="32"/>
          <w:szCs w:val="32"/>
        </w:rPr>
        <w:t>住房保障支出</w:t>
      </w:r>
      <w:r>
        <w:rPr>
          <w:rFonts w:hint="eastAsia" w:ascii="仿宋" w:eastAsia="仿宋"/>
          <w:color w:val="000000"/>
          <w:sz w:val="32"/>
          <w:szCs w:val="32"/>
        </w:rPr>
        <w:t>8.96万元，占6.78</w:t>
      </w:r>
      <w:r>
        <w:rPr>
          <w:rFonts w:ascii="仿宋" w:eastAsia="仿宋"/>
          <w:color w:val="000000"/>
          <w:sz w:val="32"/>
          <w:szCs w:val="32"/>
        </w:rPr>
        <w:t>%</w:t>
      </w:r>
      <w:r>
        <w:rPr>
          <w:rFonts w:hint="eastAsia" w:ascii="仿宋" w:eastAsia="仿宋"/>
          <w:color w:val="000000"/>
          <w:sz w:val="32"/>
          <w:szCs w:val="32"/>
        </w:rPr>
        <w:t>。</w:t>
      </w:r>
    </w:p>
    <w:p>
      <w:pPr>
        <w:spacing w:line="600" w:lineRule="exact"/>
        <w:ind w:firstLine="8320" w:firstLineChars="2600"/>
        <w:outlineLvl w:val="2"/>
        <w:rPr>
          <w:rFonts w:ascii="仿宋" w:eastAsia="仿宋"/>
          <w:b/>
          <w:color w:val="000000"/>
          <w:sz w:val="32"/>
          <w:szCs w:val="32"/>
        </w:rPr>
      </w:pPr>
      <w:bookmarkStart w:id="36" w:name="_Toc15378460"/>
      <w:bookmarkStart w:id="37" w:name="_Toc15377213"/>
      <w:bookmarkStart w:id="38" w:name="_Toc15377444"/>
      <w:r>
        <w:rPr>
          <w:rFonts w:hint="eastAsia" w:ascii="仿宋" w:eastAsia="仿宋"/>
          <w:color w:val="000000"/>
          <w:sz w:val="32"/>
          <w:szCs w:val="32"/>
        </w:rPr>
        <w:drawing>
          <wp:anchor distT="0" distB="0" distL="114300" distR="114300" simplePos="0" relativeHeight="251661312" behindDoc="1" locked="0" layoutInCell="1" allowOverlap="1">
            <wp:simplePos x="0" y="0"/>
            <wp:positionH relativeFrom="column">
              <wp:posOffset>-128905</wp:posOffset>
            </wp:positionH>
            <wp:positionV relativeFrom="paragraph">
              <wp:posOffset>311150</wp:posOffset>
            </wp:positionV>
            <wp:extent cx="5080000" cy="3810000"/>
            <wp:effectExtent l="4445" t="4445" r="20955" b="14605"/>
            <wp:wrapTight wrapText="bothSides">
              <wp:wrapPolygon>
                <wp:start x="-19" y="-25"/>
                <wp:lineTo x="-19" y="21575"/>
                <wp:lineTo x="21527" y="21575"/>
                <wp:lineTo x="21527" y="-25"/>
                <wp:lineTo x="-19" y="-25"/>
              </wp:wrapPolygon>
            </wp:wrapTight>
            <wp:docPr id="9"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pPr>
        <w:spacing w:line="600" w:lineRule="exact"/>
        <w:ind w:firstLine="8353" w:firstLineChars="2600"/>
        <w:outlineLvl w:val="2"/>
        <w:rPr>
          <w:rFonts w:ascii="仿宋" w:eastAsia="仿宋"/>
          <w:b/>
          <w:color w:val="000000"/>
          <w:sz w:val="32"/>
          <w:szCs w:val="32"/>
        </w:rPr>
      </w:pPr>
    </w:p>
    <w:p>
      <w:pPr>
        <w:spacing w:line="600" w:lineRule="exact"/>
        <w:ind w:firstLine="643" w:firstLineChars="200"/>
        <w:outlineLvl w:val="2"/>
        <w:rPr>
          <w:rFonts w:ascii="仿宋" w:eastAsia="仿宋"/>
          <w:b/>
          <w:color w:val="000000"/>
          <w:sz w:val="32"/>
          <w:szCs w:val="32"/>
        </w:rPr>
      </w:pPr>
      <w:bookmarkStart w:id="39" w:name="_Toc15377212"/>
      <w:r>
        <w:rPr>
          <w:rFonts w:hint="eastAsia" w:ascii="仿宋" w:eastAsia="仿宋"/>
          <w:b/>
          <w:color w:val="000000"/>
          <w:sz w:val="32"/>
          <w:szCs w:val="32"/>
        </w:rPr>
        <w:t>（三）一般公共预算财政拨款支出决算具体情况</w:t>
      </w:r>
      <w:bookmarkEnd w:id="39"/>
    </w:p>
    <w:p>
      <w:pPr>
        <w:spacing w:line="600" w:lineRule="exact"/>
        <w:outlineLvl w:val="2"/>
        <w:rPr>
          <w:rFonts w:ascii="仿宋" w:eastAsia="仿宋"/>
          <w:bCs/>
          <w:color w:val="FF0000"/>
          <w:sz w:val="32"/>
          <w:szCs w:val="32"/>
        </w:rPr>
      </w:pPr>
      <w:r>
        <w:rPr>
          <w:rFonts w:hint="eastAsia" w:ascii="仿宋" w:eastAsia="仿宋"/>
          <w:bCs/>
          <w:color w:val="000000"/>
          <w:sz w:val="32"/>
          <w:szCs w:val="32"/>
        </w:rPr>
        <w:t xml:space="preserve">    2020年一般公共预算数为116.10万元，支出决算数为130.03万元，完</w:t>
      </w:r>
      <w:r>
        <w:rPr>
          <w:rStyle w:val="15"/>
          <w:rFonts w:hint="eastAsia" w:ascii="仿宋" w:eastAsia="仿宋"/>
          <w:b w:val="0"/>
          <w:bCs/>
          <w:color w:val="000000"/>
          <w:sz w:val="32"/>
          <w:szCs w:val="32"/>
        </w:rPr>
        <w:t>成预算100</w:t>
      </w:r>
      <w:r>
        <w:rPr>
          <w:rStyle w:val="15"/>
          <w:rFonts w:ascii="仿宋" w:eastAsia="仿宋"/>
          <w:b w:val="0"/>
          <w:bCs/>
          <w:color w:val="000000"/>
          <w:sz w:val="32"/>
          <w:szCs w:val="32"/>
        </w:rPr>
        <w:t>%</w:t>
      </w:r>
      <w:r>
        <w:rPr>
          <w:rStyle w:val="15"/>
          <w:rFonts w:hint="eastAsia" w:ascii="仿宋" w:eastAsia="仿宋"/>
          <w:b w:val="0"/>
          <w:bCs/>
          <w:color w:val="000000"/>
          <w:sz w:val="32"/>
          <w:szCs w:val="32"/>
        </w:rPr>
        <w:t>。其中：</w:t>
      </w:r>
      <w:bookmarkEnd w:id="36"/>
      <w:bookmarkEnd w:id="37"/>
      <w:bookmarkEnd w:id="38"/>
    </w:p>
    <w:p>
      <w:pPr>
        <w:spacing w:line="600" w:lineRule="exact"/>
        <w:ind w:firstLine="643" w:firstLineChars="200"/>
        <w:rPr>
          <w:rStyle w:val="15"/>
          <w:rFonts w:ascii="仿宋" w:eastAsia="仿宋"/>
          <w:b w:val="0"/>
          <w:bCs/>
          <w:color w:val="000000"/>
          <w:sz w:val="32"/>
          <w:szCs w:val="32"/>
        </w:rPr>
      </w:pPr>
      <w:r>
        <w:rPr>
          <w:rStyle w:val="15"/>
          <w:rFonts w:hint="eastAsia" w:ascii="仿宋" w:eastAsia="仿宋"/>
          <w:bCs/>
          <w:color w:val="000000"/>
          <w:sz w:val="32"/>
          <w:szCs w:val="32"/>
        </w:rPr>
        <w:t>1.一般公共服务（类）档案事务（款）行政运行（项）</w:t>
      </w:r>
      <w:r>
        <w:rPr>
          <w:rStyle w:val="15"/>
          <w:rFonts w:ascii="仿宋" w:eastAsia="仿宋"/>
          <w:bCs/>
          <w:color w:val="000000"/>
          <w:sz w:val="32"/>
          <w:szCs w:val="32"/>
        </w:rPr>
        <w:t>:</w:t>
      </w:r>
      <w:r>
        <w:rPr>
          <w:rStyle w:val="15"/>
          <w:rFonts w:ascii="仿宋" w:eastAsia="仿宋"/>
          <w:b w:val="0"/>
          <w:bCs/>
          <w:color w:val="000000"/>
          <w:sz w:val="32"/>
          <w:szCs w:val="32"/>
        </w:rPr>
        <w:t xml:space="preserve"> </w:t>
      </w:r>
      <w:r>
        <w:rPr>
          <w:rStyle w:val="15"/>
          <w:rFonts w:hint="eastAsia" w:ascii="仿宋" w:eastAsia="仿宋"/>
          <w:b w:val="0"/>
          <w:bCs/>
          <w:color w:val="000000"/>
          <w:sz w:val="32"/>
          <w:szCs w:val="32"/>
        </w:rPr>
        <w:t>支出决算为100.77万元，完成预算100</w:t>
      </w:r>
      <w:r>
        <w:rPr>
          <w:rStyle w:val="15"/>
          <w:rFonts w:ascii="仿宋" w:eastAsia="仿宋"/>
          <w:b w:val="0"/>
          <w:bCs/>
          <w:color w:val="000000"/>
          <w:sz w:val="32"/>
          <w:szCs w:val="32"/>
        </w:rPr>
        <w:t>%</w:t>
      </w:r>
      <w:r>
        <w:rPr>
          <w:rStyle w:val="15"/>
          <w:rFonts w:hint="eastAsia" w:ascii="仿宋" w:eastAsia="仿宋"/>
          <w:b w:val="0"/>
          <w:bCs/>
          <w:color w:val="000000"/>
          <w:sz w:val="32"/>
          <w:szCs w:val="32"/>
        </w:rPr>
        <w:t>，</w:t>
      </w:r>
    </w:p>
    <w:p>
      <w:pPr>
        <w:spacing w:line="600" w:lineRule="exact"/>
        <w:ind w:firstLine="643" w:firstLineChars="200"/>
        <w:rPr>
          <w:rStyle w:val="15"/>
          <w:rFonts w:ascii="仿宋" w:eastAsia="仿宋"/>
          <w:b w:val="0"/>
          <w:bCs/>
          <w:color w:val="000000"/>
          <w:sz w:val="32"/>
          <w:szCs w:val="32"/>
        </w:rPr>
      </w:pPr>
      <w:r>
        <w:rPr>
          <w:rStyle w:val="15"/>
          <w:rFonts w:ascii="仿宋" w:eastAsia="仿宋"/>
          <w:bCs/>
          <w:color w:val="000000"/>
          <w:sz w:val="32"/>
          <w:szCs w:val="32"/>
        </w:rPr>
        <w:t>2.</w:t>
      </w:r>
      <w:r>
        <w:rPr>
          <w:rStyle w:val="15"/>
          <w:rFonts w:hint="eastAsia" w:ascii="仿宋" w:eastAsia="仿宋"/>
          <w:bCs/>
          <w:color w:val="000000"/>
          <w:sz w:val="32"/>
          <w:szCs w:val="32"/>
        </w:rPr>
        <w:t>教育支出（类）进修及培训（款）培训支出（项）</w:t>
      </w:r>
      <w:r>
        <w:rPr>
          <w:rStyle w:val="15"/>
          <w:rFonts w:ascii="仿宋" w:eastAsia="仿宋"/>
          <w:bCs/>
          <w:color w:val="000000"/>
          <w:sz w:val="32"/>
          <w:szCs w:val="32"/>
        </w:rPr>
        <w:t>:</w:t>
      </w:r>
      <w:r>
        <w:rPr>
          <w:rStyle w:val="15"/>
          <w:rFonts w:ascii="仿宋" w:eastAsia="仿宋"/>
          <w:b w:val="0"/>
          <w:bCs/>
          <w:color w:val="000000"/>
          <w:sz w:val="32"/>
          <w:szCs w:val="32"/>
        </w:rPr>
        <w:t xml:space="preserve"> </w:t>
      </w:r>
      <w:r>
        <w:rPr>
          <w:rStyle w:val="15"/>
          <w:rFonts w:hint="eastAsia" w:ascii="仿宋" w:eastAsia="仿宋"/>
          <w:b w:val="0"/>
          <w:bCs/>
          <w:color w:val="000000"/>
          <w:sz w:val="32"/>
          <w:szCs w:val="32"/>
        </w:rPr>
        <w:t>支出决算为0.5万元，完成预算100</w:t>
      </w:r>
      <w:r>
        <w:rPr>
          <w:rStyle w:val="15"/>
          <w:rFonts w:ascii="仿宋" w:eastAsia="仿宋"/>
          <w:b w:val="0"/>
          <w:bCs/>
          <w:color w:val="000000"/>
          <w:sz w:val="32"/>
          <w:szCs w:val="32"/>
        </w:rPr>
        <w:t>%</w:t>
      </w:r>
      <w:r>
        <w:rPr>
          <w:rStyle w:val="15"/>
          <w:rFonts w:hint="eastAsia" w:ascii="仿宋" w:eastAsia="仿宋"/>
          <w:b w:val="0"/>
          <w:bCs/>
          <w:color w:val="000000"/>
          <w:sz w:val="32"/>
          <w:szCs w:val="32"/>
        </w:rPr>
        <w:t>。</w:t>
      </w:r>
    </w:p>
    <w:p>
      <w:pPr>
        <w:spacing w:line="600" w:lineRule="exact"/>
        <w:ind w:firstLine="643" w:firstLineChars="200"/>
        <w:rPr>
          <w:rFonts w:ascii="仿宋" w:eastAsia="仿宋"/>
          <w:b/>
          <w:color w:val="000000"/>
          <w:sz w:val="32"/>
          <w:szCs w:val="32"/>
        </w:rPr>
      </w:pPr>
      <w:r>
        <w:rPr>
          <w:rStyle w:val="15"/>
          <w:rFonts w:hint="eastAsia" w:ascii="仿宋" w:eastAsia="仿宋"/>
          <w:bCs/>
          <w:color w:val="000000"/>
          <w:sz w:val="32"/>
          <w:szCs w:val="32"/>
        </w:rPr>
        <w:t>3</w:t>
      </w:r>
      <w:r>
        <w:rPr>
          <w:rStyle w:val="15"/>
          <w:rFonts w:ascii="仿宋" w:eastAsia="仿宋"/>
          <w:bCs/>
          <w:color w:val="000000"/>
          <w:sz w:val="32"/>
          <w:szCs w:val="32"/>
        </w:rPr>
        <w:t>.</w:t>
      </w:r>
      <w:r>
        <w:rPr>
          <w:rStyle w:val="15"/>
          <w:rFonts w:ascii="仿宋" w:eastAsia="仿宋"/>
          <w:b w:val="0"/>
          <w:bCs/>
          <w:color w:val="000000"/>
          <w:sz w:val="32"/>
          <w:szCs w:val="32"/>
        </w:rPr>
        <w:t xml:space="preserve"> </w:t>
      </w:r>
      <w:r>
        <w:rPr>
          <w:rStyle w:val="15"/>
          <w:rFonts w:hint="eastAsia" w:ascii="仿宋" w:eastAsia="仿宋"/>
          <w:bCs/>
          <w:color w:val="000000"/>
          <w:sz w:val="32"/>
          <w:szCs w:val="32"/>
        </w:rPr>
        <w:t>社会保障和就业（类）行政事业单位离退休（款）机关事业单位基本养老保险缴费支出（项）</w:t>
      </w:r>
      <w:r>
        <w:rPr>
          <w:rStyle w:val="15"/>
          <w:rFonts w:ascii="仿宋" w:eastAsia="仿宋"/>
          <w:bCs/>
          <w:color w:val="000000"/>
          <w:sz w:val="32"/>
          <w:szCs w:val="32"/>
        </w:rPr>
        <w:t>:</w:t>
      </w:r>
      <w:r>
        <w:rPr>
          <w:rStyle w:val="15"/>
          <w:rFonts w:ascii="仿宋" w:eastAsia="仿宋"/>
          <w:b w:val="0"/>
          <w:bCs/>
          <w:color w:val="000000"/>
          <w:sz w:val="32"/>
          <w:szCs w:val="32"/>
        </w:rPr>
        <w:t xml:space="preserve"> </w:t>
      </w:r>
      <w:r>
        <w:rPr>
          <w:rStyle w:val="15"/>
          <w:rFonts w:hint="eastAsia" w:ascii="仿宋" w:eastAsia="仿宋"/>
          <w:b w:val="0"/>
          <w:bCs/>
          <w:color w:val="000000"/>
          <w:sz w:val="32"/>
          <w:szCs w:val="32"/>
        </w:rPr>
        <w:t>支出决算为9.13万元，完成预算100</w:t>
      </w:r>
      <w:r>
        <w:rPr>
          <w:rStyle w:val="15"/>
          <w:rFonts w:ascii="仿宋" w:eastAsia="仿宋"/>
          <w:b w:val="0"/>
          <w:bCs/>
          <w:color w:val="000000"/>
          <w:sz w:val="32"/>
          <w:szCs w:val="32"/>
        </w:rPr>
        <w:t>%</w:t>
      </w:r>
      <w:r>
        <w:rPr>
          <w:rStyle w:val="15"/>
          <w:rFonts w:hint="eastAsia" w:ascii="仿宋" w:eastAsia="仿宋"/>
          <w:b w:val="0"/>
          <w:bCs/>
          <w:color w:val="000000"/>
          <w:sz w:val="32"/>
          <w:szCs w:val="32"/>
        </w:rPr>
        <w:t>，决算数等于预算数。</w:t>
      </w:r>
    </w:p>
    <w:p>
      <w:pPr>
        <w:spacing w:line="600" w:lineRule="exact"/>
        <w:ind w:firstLine="643" w:firstLineChars="200"/>
        <w:rPr>
          <w:rFonts w:ascii="仿宋" w:eastAsia="仿宋"/>
          <w:b/>
          <w:color w:val="000000"/>
          <w:sz w:val="32"/>
          <w:szCs w:val="32"/>
        </w:rPr>
      </w:pPr>
      <w:r>
        <w:rPr>
          <w:rStyle w:val="15"/>
          <w:rFonts w:hint="eastAsia" w:ascii="仿宋" w:eastAsia="仿宋"/>
          <w:bCs/>
          <w:color w:val="000000"/>
          <w:sz w:val="32"/>
          <w:szCs w:val="32"/>
        </w:rPr>
        <w:t>4</w:t>
      </w:r>
      <w:r>
        <w:rPr>
          <w:rStyle w:val="15"/>
          <w:rFonts w:ascii="仿宋" w:eastAsia="仿宋"/>
          <w:bCs/>
          <w:color w:val="000000"/>
          <w:sz w:val="32"/>
          <w:szCs w:val="32"/>
        </w:rPr>
        <w:t>.</w:t>
      </w:r>
      <w:r>
        <w:rPr>
          <w:rStyle w:val="15"/>
          <w:rFonts w:hint="eastAsia" w:ascii="仿宋" w:eastAsia="仿宋"/>
          <w:bCs/>
          <w:color w:val="000000"/>
          <w:sz w:val="32"/>
          <w:szCs w:val="32"/>
        </w:rPr>
        <w:t>社会保障和就业（类）行政事业单位离退休（款）机关事业单位基本职业年金缴费支出（项）</w:t>
      </w:r>
      <w:r>
        <w:rPr>
          <w:rStyle w:val="15"/>
          <w:rFonts w:ascii="仿宋" w:eastAsia="仿宋"/>
          <w:bCs/>
          <w:color w:val="000000"/>
          <w:sz w:val="32"/>
          <w:szCs w:val="32"/>
        </w:rPr>
        <w:t>:</w:t>
      </w:r>
      <w:r>
        <w:rPr>
          <w:rStyle w:val="15"/>
          <w:rFonts w:hint="eastAsia" w:ascii="仿宋" w:eastAsia="仿宋"/>
          <w:b w:val="0"/>
          <w:bCs/>
          <w:color w:val="000000"/>
          <w:sz w:val="32"/>
          <w:szCs w:val="32"/>
        </w:rPr>
        <w:t>支出决算为4.57万元，完成预算100</w:t>
      </w:r>
      <w:r>
        <w:rPr>
          <w:rStyle w:val="15"/>
          <w:rFonts w:ascii="仿宋" w:eastAsia="仿宋"/>
          <w:b w:val="0"/>
          <w:bCs/>
          <w:color w:val="000000"/>
          <w:sz w:val="32"/>
          <w:szCs w:val="32"/>
        </w:rPr>
        <w:t>%</w:t>
      </w:r>
      <w:r>
        <w:rPr>
          <w:rStyle w:val="15"/>
          <w:rFonts w:hint="eastAsia" w:ascii="仿宋" w:eastAsia="仿宋"/>
          <w:b w:val="0"/>
          <w:bCs/>
          <w:color w:val="000000"/>
          <w:sz w:val="32"/>
          <w:szCs w:val="32"/>
        </w:rPr>
        <w:t>，决算数等于预算数。</w:t>
      </w:r>
    </w:p>
    <w:p>
      <w:pPr>
        <w:spacing w:line="600" w:lineRule="exact"/>
        <w:ind w:firstLine="643" w:firstLineChars="200"/>
        <w:rPr>
          <w:rFonts w:ascii="仿宋" w:eastAsia="仿宋"/>
          <w:color w:val="000000"/>
          <w:sz w:val="32"/>
          <w:szCs w:val="32"/>
        </w:rPr>
      </w:pPr>
      <w:r>
        <w:rPr>
          <w:rStyle w:val="15"/>
          <w:rFonts w:hint="eastAsia" w:ascii="仿宋" w:eastAsia="仿宋"/>
          <w:bCs/>
          <w:color w:val="000000"/>
          <w:sz w:val="32"/>
          <w:szCs w:val="32"/>
        </w:rPr>
        <w:t>5.卫生健康支出（类）行政事业单位医疗（款）行政单位医疗（项）</w:t>
      </w:r>
      <w:r>
        <w:rPr>
          <w:rStyle w:val="15"/>
          <w:rFonts w:ascii="仿宋" w:eastAsia="仿宋"/>
          <w:bCs/>
          <w:color w:val="000000"/>
          <w:sz w:val="32"/>
          <w:szCs w:val="32"/>
        </w:rPr>
        <w:t>:</w:t>
      </w:r>
      <w:r>
        <w:rPr>
          <w:rStyle w:val="15"/>
          <w:rFonts w:hint="eastAsia" w:ascii="仿宋" w:eastAsia="仿宋"/>
          <w:b w:val="0"/>
          <w:bCs/>
          <w:color w:val="000000"/>
          <w:sz w:val="32"/>
          <w:szCs w:val="32"/>
        </w:rPr>
        <w:t>支出决算为4万元，完成预算100</w:t>
      </w:r>
      <w:r>
        <w:rPr>
          <w:rStyle w:val="15"/>
          <w:rFonts w:ascii="仿宋" w:eastAsia="仿宋"/>
          <w:b w:val="0"/>
          <w:bCs/>
          <w:color w:val="000000"/>
          <w:sz w:val="32"/>
          <w:szCs w:val="32"/>
        </w:rPr>
        <w:t>%</w:t>
      </w:r>
      <w:r>
        <w:rPr>
          <w:rStyle w:val="15"/>
          <w:rFonts w:hint="eastAsia" w:ascii="仿宋" w:eastAsia="仿宋"/>
          <w:b w:val="0"/>
          <w:bCs/>
          <w:color w:val="000000"/>
          <w:sz w:val="32"/>
          <w:szCs w:val="32"/>
        </w:rPr>
        <w:t>，决算数等于预算数。</w:t>
      </w:r>
    </w:p>
    <w:p>
      <w:pPr>
        <w:spacing w:line="600" w:lineRule="exact"/>
        <w:ind w:firstLine="643" w:firstLineChars="200"/>
        <w:rPr>
          <w:rFonts w:ascii="仿宋" w:eastAsia="仿宋"/>
          <w:color w:val="000000"/>
          <w:sz w:val="32"/>
          <w:szCs w:val="32"/>
        </w:rPr>
      </w:pPr>
      <w:r>
        <w:rPr>
          <w:rStyle w:val="15"/>
          <w:rFonts w:hint="eastAsia" w:ascii="仿宋" w:eastAsia="仿宋"/>
          <w:bCs/>
          <w:color w:val="000000"/>
          <w:sz w:val="32"/>
          <w:szCs w:val="32"/>
        </w:rPr>
        <w:t>6.卫生健康支出（类）行政事业单位医疗（款）公务员医疗补助（项）</w:t>
      </w:r>
      <w:r>
        <w:rPr>
          <w:rStyle w:val="15"/>
          <w:rFonts w:ascii="仿宋" w:eastAsia="仿宋"/>
          <w:bCs/>
          <w:color w:val="000000"/>
          <w:sz w:val="32"/>
          <w:szCs w:val="32"/>
        </w:rPr>
        <w:t>:</w:t>
      </w:r>
      <w:r>
        <w:rPr>
          <w:rStyle w:val="15"/>
          <w:rFonts w:hint="eastAsia" w:ascii="仿宋" w:eastAsia="仿宋"/>
          <w:b w:val="0"/>
          <w:bCs/>
          <w:color w:val="000000"/>
          <w:sz w:val="32"/>
          <w:szCs w:val="32"/>
        </w:rPr>
        <w:t>支出决算为1.88万元，完成预算100</w:t>
      </w:r>
      <w:r>
        <w:rPr>
          <w:rStyle w:val="15"/>
          <w:rFonts w:ascii="仿宋" w:eastAsia="仿宋"/>
          <w:b w:val="0"/>
          <w:bCs/>
          <w:color w:val="000000"/>
          <w:sz w:val="32"/>
          <w:szCs w:val="32"/>
        </w:rPr>
        <w:t>%</w:t>
      </w:r>
      <w:r>
        <w:rPr>
          <w:rStyle w:val="15"/>
          <w:rFonts w:hint="eastAsia" w:ascii="仿宋" w:eastAsia="仿宋"/>
          <w:b w:val="0"/>
          <w:bCs/>
          <w:color w:val="000000"/>
          <w:sz w:val="32"/>
          <w:szCs w:val="32"/>
        </w:rPr>
        <w:t>，决算数等于预算数。</w:t>
      </w:r>
    </w:p>
    <w:p>
      <w:pPr>
        <w:spacing w:line="600" w:lineRule="exact"/>
        <w:ind w:firstLine="643" w:firstLineChars="200"/>
        <w:rPr>
          <w:rStyle w:val="15"/>
          <w:rFonts w:ascii="仿宋" w:eastAsia="仿宋"/>
          <w:bCs/>
          <w:color w:val="000000"/>
          <w:sz w:val="32"/>
          <w:szCs w:val="32"/>
        </w:rPr>
      </w:pPr>
      <w:bookmarkStart w:id="40" w:name="_Toc15377214"/>
      <w:bookmarkStart w:id="41" w:name="_Toc15396608"/>
      <w:r>
        <w:rPr>
          <w:rStyle w:val="15"/>
          <w:rFonts w:hint="eastAsia" w:ascii="仿宋" w:eastAsia="仿宋"/>
          <w:bCs/>
          <w:color w:val="000000"/>
          <w:sz w:val="32"/>
          <w:szCs w:val="32"/>
        </w:rPr>
        <w:t>7.住房保障（类）住房改革支出（款）住房公积金（项）：</w:t>
      </w:r>
      <w:r>
        <w:rPr>
          <w:rStyle w:val="15"/>
          <w:rFonts w:hint="eastAsia" w:ascii="仿宋" w:eastAsia="仿宋"/>
          <w:b w:val="0"/>
          <w:bCs/>
          <w:color w:val="000000"/>
          <w:sz w:val="32"/>
          <w:szCs w:val="32"/>
        </w:rPr>
        <w:t>支出决算为8.96万元，完成预算100</w:t>
      </w:r>
      <w:r>
        <w:rPr>
          <w:rStyle w:val="15"/>
          <w:rFonts w:ascii="仿宋" w:eastAsia="仿宋"/>
          <w:b w:val="0"/>
          <w:bCs/>
          <w:color w:val="000000"/>
          <w:sz w:val="32"/>
          <w:szCs w:val="32"/>
        </w:rPr>
        <w:t>%</w:t>
      </w:r>
      <w:r>
        <w:rPr>
          <w:rStyle w:val="15"/>
          <w:rFonts w:hint="eastAsia" w:ascii="仿宋" w:eastAsia="仿宋"/>
          <w:b w:val="0"/>
          <w:bCs/>
          <w:color w:val="000000"/>
          <w:sz w:val="32"/>
          <w:szCs w:val="32"/>
        </w:rPr>
        <w:t>，决算数等于预算数。</w:t>
      </w:r>
    </w:p>
    <w:p>
      <w:pPr>
        <w:spacing w:line="600" w:lineRule="exact"/>
        <w:ind w:firstLine="640"/>
        <w:rPr>
          <w:rStyle w:val="18"/>
        </w:rPr>
      </w:pPr>
      <w:r>
        <w:rPr>
          <w:rFonts w:hint="eastAsia" w:ascii="黑体" w:eastAsia="黑体"/>
          <w:color w:val="000000"/>
          <w:sz w:val="32"/>
          <w:szCs w:val="32"/>
        </w:rPr>
        <w:t>六</w:t>
      </w:r>
      <w:r>
        <w:rPr>
          <w:rFonts w:hint="eastAsia" w:ascii="黑体" w:eastAsia="黑体"/>
          <w:b/>
          <w:color w:val="000000"/>
          <w:sz w:val="32"/>
          <w:szCs w:val="32"/>
        </w:rPr>
        <w:t>、一</w:t>
      </w:r>
      <w:r>
        <w:rPr>
          <w:rStyle w:val="18"/>
          <w:rFonts w:hint="eastAsia" w:ascii="黑体" w:eastAsia="黑体"/>
          <w:b w:val="0"/>
        </w:rPr>
        <w:t>般公共预算财政拨款基本支出决算情况说明</w:t>
      </w:r>
      <w:bookmarkEnd w:id="40"/>
      <w:bookmarkEnd w:id="41"/>
      <w:r>
        <w:rPr>
          <w:rStyle w:val="18"/>
          <w:rFonts w:ascii="黑体" w:eastAsia="黑体"/>
          <w:b w:val="0"/>
        </w:rPr>
        <w:tab/>
      </w:r>
    </w:p>
    <w:p>
      <w:pPr>
        <w:spacing w:line="600" w:lineRule="exact"/>
        <w:ind w:firstLine="645"/>
        <w:rPr>
          <w:rFonts w:ascii="仿宋" w:eastAsia="仿宋"/>
          <w:color w:val="000000"/>
          <w:sz w:val="32"/>
          <w:szCs w:val="32"/>
        </w:rPr>
      </w:pPr>
      <w:r>
        <w:rPr>
          <w:rFonts w:hint="eastAsia" w:ascii="仿宋" w:eastAsia="仿宋"/>
          <w:color w:val="000000"/>
          <w:sz w:val="32"/>
          <w:szCs w:val="32"/>
        </w:rPr>
        <w:t>2020年一般公共预算财政拨款基本支出126.3万元，其中：</w:t>
      </w:r>
    </w:p>
    <w:p>
      <w:pPr>
        <w:spacing w:line="600" w:lineRule="exact"/>
        <w:ind w:firstLine="645"/>
        <w:rPr>
          <w:rFonts w:hint="eastAsia" w:ascii="仿宋" w:eastAsia="仿宋"/>
          <w:color w:val="000000"/>
          <w:sz w:val="32"/>
          <w:szCs w:val="32"/>
          <w:lang w:eastAsia="zh-CN"/>
        </w:rPr>
      </w:pPr>
      <w:r>
        <w:rPr>
          <w:rFonts w:ascii="仿宋" w:eastAsia="仿宋"/>
          <w:color w:val="000000"/>
          <w:sz w:val="32"/>
          <w:szCs w:val="32"/>
        </w:rPr>
        <w:drawing>
          <wp:anchor distT="0" distB="0" distL="114300" distR="114300" simplePos="0" relativeHeight="251662336" behindDoc="1" locked="0" layoutInCell="1" allowOverlap="1">
            <wp:simplePos x="0" y="0"/>
            <wp:positionH relativeFrom="column">
              <wp:posOffset>42545</wp:posOffset>
            </wp:positionH>
            <wp:positionV relativeFrom="paragraph">
              <wp:posOffset>2728595</wp:posOffset>
            </wp:positionV>
            <wp:extent cx="5080000" cy="3810000"/>
            <wp:effectExtent l="4445" t="4445" r="20955" b="14605"/>
            <wp:wrapTight wrapText="bothSides">
              <wp:wrapPolygon>
                <wp:start x="-19" y="-25"/>
                <wp:lineTo x="-19" y="21575"/>
                <wp:lineTo x="21527" y="21575"/>
                <wp:lineTo x="21527" y="-25"/>
                <wp:lineTo x="-19" y="-25"/>
              </wp:wrapPolygon>
            </wp:wrapTight>
            <wp:docPr id="10" name="图表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r>
        <w:rPr>
          <w:rFonts w:hint="eastAsia" w:ascii="仿宋" w:eastAsia="仿宋"/>
          <w:color w:val="000000"/>
          <w:sz w:val="32"/>
          <w:szCs w:val="32"/>
        </w:rPr>
        <w:t>人员经费114.21万元，主要包括：基本工资27.34万元、津贴补贴31.83万元、奖金2.25万元、伙食补助费0万元、机关事业单位基本养老保险缴费9.13万元、职业年金缴费4.57万元、职工基本医疗保险缴费4.0万元、公务员医疗补助缴费1.88万元、其他社会保障缴费0.7万元、住房公积金8.96万元、其他对个人和家庭的补助支出23.56万元等。</w:t>
      </w:r>
    </w:p>
    <w:p>
      <w:pPr>
        <w:spacing w:line="600" w:lineRule="exact"/>
        <w:ind w:firstLine="645"/>
        <w:rPr>
          <w:rFonts w:ascii="仿宋" w:eastAsia="仿宋"/>
          <w:color w:val="000000"/>
          <w:sz w:val="32"/>
          <w:szCs w:val="32"/>
        </w:rPr>
      </w:pPr>
      <w:r>
        <w:rPr>
          <w:rFonts w:hint="eastAsia" w:ascii="仿宋" w:eastAsia="仿宋"/>
          <w:color w:val="000000"/>
          <w:sz w:val="32"/>
          <w:szCs w:val="32"/>
        </w:rPr>
        <w:t>公用经费15.82万元，主要包括：办公费8.02万元、水费0.1万元、电费0.4万元、邮电费0.1万元、取暖费0.2万元、差旅费5.5万元、维修（护）费1万元、培训费0.5万元、</w:t>
      </w:r>
    </w:p>
    <w:p>
      <w:pPr>
        <w:spacing w:line="600" w:lineRule="exact"/>
        <w:ind w:firstLine="640" w:firstLineChars="200"/>
        <w:outlineLvl w:val="1"/>
        <w:rPr>
          <w:rStyle w:val="18"/>
          <w:rFonts w:ascii="黑体" w:eastAsia="黑体"/>
          <w:b w:val="0"/>
        </w:rPr>
      </w:pPr>
      <w:bookmarkStart w:id="42" w:name="_Toc15396609"/>
      <w:bookmarkStart w:id="43" w:name="_Toc15377215"/>
      <w:r>
        <w:rPr>
          <w:rFonts w:hint="eastAsia" w:ascii="黑体" w:eastAsia="黑体"/>
          <w:color w:val="000000"/>
          <w:sz w:val="32"/>
          <w:szCs w:val="32"/>
        </w:rPr>
        <w:t>七、</w:t>
      </w:r>
      <w:r>
        <w:rPr>
          <w:rStyle w:val="18"/>
          <w:rFonts w:hint="eastAsia" w:ascii="黑体" w:eastAsia="黑体"/>
        </w:rPr>
        <w:t>“</w:t>
      </w:r>
      <w:r>
        <w:rPr>
          <w:rStyle w:val="18"/>
          <w:rFonts w:hint="eastAsia" w:ascii="黑体" w:eastAsia="黑体"/>
          <w:b w:val="0"/>
        </w:rPr>
        <w:t>三公”经费财政拨款支出决算情况说明</w:t>
      </w:r>
      <w:bookmarkEnd w:id="42"/>
      <w:bookmarkEnd w:id="43"/>
    </w:p>
    <w:p>
      <w:pPr>
        <w:spacing w:line="600" w:lineRule="exact"/>
        <w:ind w:firstLine="640"/>
        <w:outlineLvl w:val="2"/>
        <w:rPr>
          <w:rFonts w:ascii="仿宋" w:eastAsia="仿宋"/>
          <w:b/>
          <w:color w:val="000000"/>
          <w:sz w:val="32"/>
          <w:szCs w:val="32"/>
        </w:rPr>
      </w:pPr>
      <w:bookmarkStart w:id="44" w:name="_Toc15377216"/>
      <w:r>
        <w:rPr>
          <w:rFonts w:hint="eastAsia" w:ascii="仿宋" w:eastAsia="仿宋"/>
          <w:b/>
          <w:color w:val="000000"/>
          <w:sz w:val="32"/>
          <w:szCs w:val="32"/>
        </w:rPr>
        <w:t>（一）“三公”经费财政拨款支出决算总体情况说明</w:t>
      </w:r>
      <w:bookmarkEnd w:id="44"/>
    </w:p>
    <w:p>
      <w:pPr>
        <w:spacing w:line="600" w:lineRule="exact"/>
        <w:ind w:firstLine="640"/>
        <w:rPr>
          <w:rFonts w:ascii="仿宋" w:eastAsia="仿宋"/>
          <w:color w:val="000000"/>
          <w:sz w:val="32"/>
          <w:szCs w:val="32"/>
        </w:rPr>
      </w:pPr>
      <w:r>
        <w:rPr>
          <w:rFonts w:hint="eastAsia" w:ascii="仿宋" w:eastAsia="仿宋"/>
          <w:color w:val="000000"/>
          <w:sz w:val="32"/>
          <w:szCs w:val="32"/>
        </w:rPr>
        <w:t>2020年“三公”经费财政拨款支出决算为0万元，完成预算0</w:t>
      </w:r>
      <w:r>
        <w:rPr>
          <w:rFonts w:ascii="仿宋" w:eastAsia="仿宋"/>
          <w:color w:val="000000"/>
          <w:sz w:val="32"/>
          <w:szCs w:val="32"/>
        </w:rPr>
        <w:t>%</w:t>
      </w:r>
      <w:r>
        <w:rPr>
          <w:rFonts w:hint="eastAsia" w:ascii="仿宋" w:eastAsia="仿宋"/>
          <w:color w:val="000000"/>
          <w:sz w:val="32"/>
          <w:szCs w:val="32"/>
        </w:rPr>
        <w:t>，决算数与预算数持平。</w:t>
      </w:r>
    </w:p>
    <w:p>
      <w:pPr>
        <w:spacing w:line="600" w:lineRule="exact"/>
        <w:ind w:firstLine="640"/>
        <w:outlineLvl w:val="2"/>
        <w:rPr>
          <w:rFonts w:ascii="仿宋" w:eastAsia="仿宋"/>
          <w:b/>
          <w:color w:val="000000"/>
          <w:sz w:val="32"/>
          <w:szCs w:val="32"/>
        </w:rPr>
      </w:pPr>
      <w:bookmarkStart w:id="45" w:name="_Toc15377217"/>
      <w:r>
        <w:rPr>
          <w:rFonts w:hint="eastAsia" w:ascii="仿宋" w:eastAsia="仿宋"/>
          <w:b/>
          <w:color w:val="000000"/>
          <w:sz w:val="32"/>
          <w:szCs w:val="32"/>
        </w:rPr>
        <w:t>（二）“三公”经费财政拨款支出决算具体情况说明</w:t>
      </w:r>
      <w:bookmarkEnd w:id="45"/>
    </w:p>
    <w:p>
      <w:pPr>
        <w:spacing w:line="600" w:lineRule="exact"/>
        <w:ind w:firstLine="640"/>
        <w:rPr>
          <w:rFonts w:ascii="仿宋" w:eastAsia="仿宋"/>
          <w:color w:val="000000"/>
          <w:sz w:val="32"/>
          <w:szCs w:val="32"/>
        </w:rPr>
      </w:pPr>
      <w:r>
        <w:rPr>
          <w:rFonts w:hint="eastAsia" w:ascii="仿宋" w:eastAsia="仿宋"/>
          <w:color w:val="000000"/>
          <w:sz w:val="32"/>
          <w:szCs w:val="32"/>
        </w:rPr>
        <w:t>2020年“三公”经费财政拨款支出</w:t>
      </w:r>
      <w:r>
        <w:rPr>
          <w:rFonts w:hint="eastAsia" w:ascii="仿宋" w:eastAsia="仿宋"/>
          <w:sz w:val="32"/>
          <w:szCs w:val="32"/>
        </w:rPr>
        <w:t>决算0万元</w:t>
      </w:r>
      <w:r>
        <w:rPr>
          <w:rFonts w:hint="eastAsia" w:ascii="仿宋" w:eastAsia="仿宋"/>
          <w:color w:val="000000"/>
          <w:sz w:val="32"/>
          <w:szCs w:val="32"/>
        </w:rPr>
        <w:t>，其中：因公出国（境）费支出决算0万元，占0</w:t>
      </w:r>
      <w:r>
        <w:rPr>
          <w:rFonts w:ascii="仿宋" w:eastAsia="仿宋"/>
          <w:color w:val="000000"/>
          <w:sz w:val="32"/>
          <w:szCs w:val="32"/>
        </w:rPr>
        <w:t>%</w:t>
      </w:r>
      <w:r>
        <w:rPr>
          <w:rFonts w:hint="eastAsia" w:ascii="仿宋" w:eastAsia="仿宋"/>
          <w:color w:val="000000"/>
          <w:sz w:val="32"/>
          <w:szCs w:val="32"/>
        </w:rPr>
        <w:t>；公务用车购置及运行维护费支出决算0万元，占0</w:t>
      </w:r>
      <w:r>
        <w:rPr>
          <w:rFonts w:ascii="仿宋" w:eastAsia="仿宋"/>
          <w:color w:val="000000"/>
          <w:sz w:val="32"/>
          <w:szCs w:val="32"/>
        </w:rPr>
        <w:t>%</w:t>
      </w:r>
      <w:r>
        <w:rPr>
          <w:rFonts w:hint="eastAsia" w:ascii="仿宋" w:eastAsia="仿宋"/>
          <w:color w:val="000000"/>
          <w:sz w:val="32"/>
          <w:szCs w:val="32"/>
        </w:rPr>
        <w:t>；公务接待费支出决算0万元，占0</w:t>
      </w:r>
      <w:r>
        <w:rPr>
          <w:rFonts w:ascii="仿宋" w:eastAsia="仿宋"/>
          <w:color w:val="000000"/>
          <w:sz w:val="32"/>
          <w:szCs w:val="32"/>
        </w:rPr>
        <w:t>%</w:t>
      </w:r>
      <w:r>
        <w:rPr>
          <w:rFonts w:hint="eastAsia" w:ascii="仿宋" w:eastAsia="仿宋"/>
          <w:color w:val="000000"/>
          <w:sz w:val="32"/>
          <w:szCs w:val="32"/>
        </w:rPr>
        <w:t>。具体情况如下：</w:t>
      </w:r>
    </w:p>
    <w:p>
      <w:pPr>
        <w:spacing w:line="600" w:lineRule="exact"/>
        <w:ind w:firstLine="640"/>
        <w:rPr>
          <w:rFonts w:ascii="仿宋" w:eastAsia="仿宋"/>
          <w:color w:val="000000"/>
          <w:sz w:val="32"/>
          <w:szCs w:val="32"/>
        </w:rPr>
      </w:pPr>
    </w:p>
    <w:p>
      <w:pPr>
        <w:numPr>
          <w:ilvl w:val="0"/>
          <w:numId w:val="2"/>
        </w:numPr>
        <w:spacing w:line="600" w:lineRule="exact"/>
        <w:ind w:firstLine="640"/>
        <w:rPr>
          <w:rFonts w:ascii="仿宋_GB2312" w:eastAsia="仿宋_GB2312" w:cs="仿宋"/>
          <w:color w:val="000000"/>
          <w:sz w:val="32"/>
          <w:szCs w:val="32"/>
        </w:rPr>
      </w:pPr>
      <w:r>
        <w:rPr>
          <w:rFonts w:hint="eastAsia" w:ascii="仿宋_GB2312" w:eastAsia="仿宋_GB2312"/>
          <w:b/>
          <w:color w:val="000000"/>
          <w:sz w:val="32"/>
          <w:szCs w:val="32"/>
        </w:rPr>
        <w:t>因公出国（境）经费支出</w:t>
      </w:r>
      <w:r>
        <w:rPr>
          <w:rFonts w:hint="eastAsia" w:ascii="仿宋_GB2312" w:eastAsia="仿宋_GB2312"/>
          <w:color w:val="000000"/>
          <w:sz w:val="32"/>
          <w:szCs w:val="32"/>
        </w:rPr>
        <w:t>0万元，</w:t>
      </w:r>
      <w:r>
        <w:rPr>
          <w:rStyle w:val="15"/>
          <w:rFonts w:hint="eastAsia" w:ascii="仿宋" w:eastAsia="仿宋"/>
          <w:b w:val="0"/>
          <w:bCs/>
          <w:color w:val="000000"/>
          <w:sz w:val="32"/>
          <w:szCs w:val="32"/>
        </w:rPr>
        <w:t>完成预算0</w:t>
      </w:r>
      <w:r>
        <w:rPr>
          <w:rStyle w:val="15"/>
          <w:rFonts w:ascii="仿宋" w:eastAsia="仿宋"/>
          <w:b w:val="0"/>
          <w:bCs/>
          <w:color w:val="000000"/>
          <w:sz w:val="32"/>
          <w:szCs w:val="32"/>
        </w:rPr>
        <w:t>%</w:t>
      </w:r>
      <w:r>
        <w:rPr>
          <w:rStyle w:val="15"/>
          <w:rFonts w:hint="eastAsia" w:ascii="仿宋" w:eastAsia="仿宋"/>
          <w:b w:val="0"/>
          <w:bCs/>
          <w:color w:val="000000"/>
          <w:sz w:val="32"/>
          <w:szCs w:val="32"/>
        </w:rPr>
        <w:t>。</w:t>
      </w:r>
      <w:r>
        <w:rPr>
          <w:rFonts w:hint="eastAsia" w:ascii="仿宋_GB2312" w:eastAsia="仿宋_GB2312"/>
          <w:sz w:val="32"/>
          <w:szCs w:val="32"/>
        </w:rPr>
        <w:t>全年安排因公出国（境）团组0次，出国（境）0人。因</w:t>
      </w:r>
      <w:r>
        <w:rPr>
          <w:rFonts w:hint="eastAsia" w:ascii="仿宋_GB2312" w:eastAsia="仿宋_GB2312"/>
          <w:color w:val="000000"/>
          <w:sz w:val="32"/>
          <w:szCs w:val="32"/>
        </w:rPr>
        <w:t>公出国（境）支出决算比</w:t>
      </w:r>
      <w:r>
        <w:rPr>
          <w:rFonts w:ascii="仿宋_GB2312" w:eastAsia="仿宋_GB2312"/>
          <w:color w:val="000000"/>
          <w:sz w:val="32"/>
          <w:szCs w:val="32"/>
        </w:rPr>
        <w:t>201</w:t>
      </w:r>
      <w:r>
        <w:rPr>
          <w:rFonts w:hint="eastAsia" w:ascii="仿宋_GB2312" w:eastAsia="仿宋_GB2312"/>
          <w:color w:val="000000"/>
          <w:sz w:val="32"/>
          <w:szCs w:val="32"/>
        </w:rPr>
        <w:t>9年</w:t>
      </w:r>
      <w:r>
        <w:rPr>
          <w:rFonts w:hint="eastAsia" w:ascii="仿宋_GB2312" w:eastAsia="仿宋_GB2312" w:cs="仿宋"/>
          <w:color w:val="000000"/>
          <w:sz w:val="32"/>
          <w:szCs w:val="32"/>
        </w:rPr>
        <w:t>增加0万元，</w:t>
      </w:r>
    </w:p>
    <w:p>
      <w:pPr>
        <w:numPr>
          <w:ilvl w:val="0"/>
          <w:numId w:val="2"/>
        </w:numPr>
        <w:spacing w:line="600" w:lineRule="exact"/>
        <w:ind w:firstLine="640"/>
        <w:rPr>
          <w:rFonts w:ascii="仿宋_GB2312" w:eastAsia="仿宋_GB2312"/>
          <w:b/>
          <w:sz w:val="32"/>
          <w:szCs w:val="32"/>
        </w:rPr>
      </w:pPr>
      <w:r>
        <w:rPr>
          <w:rFonts w:ascii="仿宋_GB2312" w:eastAsia="仿宋_GB2312"/>
          <w:b/>
          <w:color w:val="000000"/>
          <w:sz w:val="32"/>
          <w:szCs w:val="32"/>
        </w:rPr>
        <w:t>2.</w:t>
      </w:r>
      <w:r>
        <w:rPr>
          <w:rFonts w:hint="eastAsia" w:ascii="仿宋_GB2312" w:eastAsia="仿宋_GB2312"/>
          <w:b/>
          <w:color w:val="000000"/>
          <w:sz w:val="32"/>
          <w:szCs w:val="32"/>
        </w:rPr>
        <w:t>公务</w:t>
      </w:r>
      <w:r>
        <w:rPr>
          <w:rFonts w:hint="eastAsia" w:ascii="仿宋_GB2312" w:eastAsia="仿宋_GB2312"/>
          <w:b/>
          <w:sz w:val="32"/>
          <w:szCs w:val="32"/>
        </w:rPr>
        <w:t>用车</w:t>
      </w:r>
      <w:r>
        <w:rPr>
          <w:rFonts w:hint="eastAsia" w:ascii="仿宋_GB2312" w:eastAsia="仿宋_GB2312"/>
          <w:b/>
          <w:color w:val="000000"/>
          <w:sz w:val="32"/>
          <w:szCs w:val="32"/>
        </w:rPr>
        <w:t>购置及运行维护费支出</w:t>
      </w:r>
      <w:r>
        <w:rPr>
          <w:rFonts w:hint="eastAsia" w:ascii="仿宋_GB2312" w:eastAsia="仿宋_GB2312"/>
          <w:color w:val="000000"/>
          <w:sz w:val="32"/>
          <w:szCs w:val="32"/>
        </w:rPr>
        <w:t>0万元,</w:t>
      </w:r>
      <w:r>
        <w:rPr>
          <w:rStyle w:val="15"/>
          <w:rFonts w:hint="eastAsia" w:ascii="仿宋" w:eastAsia="仿宋"/>
          <w:b w:val="0"/>
          <w:bCs/>
          <w:color w:val="000000"/>
          <w:sz w:val="32"/>
          <w:szCs w:val="32"/>
        </w:rPr>
        <w:t>完成预算0</w:t>
      </w:r>
      <w:r>
        <w:rPr>
          <w:rStyle w:val="15"/>
          <w:rFonts w:ascii="仿宋" w:eastAsia="仿宋"/>
          <w:b w:val="0"/>
          <w:bCs/>
          <w:color w:val="000000"/>
          <w:sz w:val="32"/>
          <w:szCs w:val="32"/>
        </w:rPr>
        <w:t>%</w:t>
      </w:r>
      <w:r>
        <w:rPr>
          <w:rStyle w:val="15"/>
          <w:rFonts w:hint="eastAsia" w:asci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ascii="仿宋_GB2312" w:eastAsia="仿宋_GB2312"/>
          <w:color w:val="000000"/>
          <w:sz w:val="32"/>
          <w:szCs w:val="32"/>
        </w:rPr>
        <w:t>20</w:t>
      </w:r>
      <w:r>
        <w:rPr>
          <w:rFonts w:hint="eastAsia" w:ascii="仿宋_GB2312" w:eastAsia="仿宋_GB2312"/>
          <w:color w:val="000000"/>
          <w:sz w:val="32"/>
          <w:szCs w:val="32"/>
        </w:rPr>
        <w:t>19年增加0万元</w:t>
      </w:r>
      <w:r>
        <w:rPr>
          <w:rFonts w:hint="eastAsia" w:ascii="仿宋_GB2312" w:eastAsia="仿宋_GB2312"/>
          <w:sz w:val="32"/>
          <w:szCs w:val="32"/>
        </w:rPr>
        <w:t>。</w:t>
      </w:r>
    </w:p>
    <w:p>
      <w:pPr>
        <w:autoSpaceDE w:val="0"/>
        <w:autoSpaceDN w:val="0"/>
        <w:adjustRightInd w:val="0"/>
        <w:spacing w:line="600" w:lineRule="exact"/>
        <w:ind w:firstLine="640" w:firstLineChars="200"/>
        <w:jc w:val="left"/>
        <w:rPr>
          <w:rFonts w:ascii="仿宋_GB2312" w:eastAsia="仿宋_GB2312"/>
          <w:b/>
          <w:color w:val="000000"/>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rPr>
        <w:t>0万元。全年按规定更新购置公务用车0辆。截至</w:t>
      </w:r>
      <w:r>
        <w:rPr>
          <w:rFonts w:ascii="仿宋_GB2312" w:eastAsia="仿宋_GB2312"/>
          <w:color w:val="000000"/>
          <w:sz w:val="32"/>
          <w:szCs w:val="32"/>
        </w:rPr>
        <w:t>201</w:t>
      </w:r>
      <w:r>
        <w:rPr>
          <w:rFonts w:hint="eastAsia" w:ascii="仿宋_GB2312" w:eastAsia="仿宋_GB2312"/>
          <w:color w:val="000000"/>
          <w:sz w:val="32"/>
          <w:szCs w:val="32"/>
        </w:rPr>
        <w:t>9年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日，共有车辆0辆，其中：部级领导干部用车0辆、主要领导干部用车0辆、机要通信用车0辆、应急保障用车0辆、执法执勤用车0辆、特种专业技术用车0辆、离退休干部用车0辆、其他用车0辆；</w:t>
      </w:r>
    </w:p>
    <w:p>
      <w:p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sz w:val="32"/>
          <w:szCs w:val="32"/>
        </w:rPr>
        <w:t>0万元。</w:t>
      </w:r>
      <w:r>
        <w:rPr>
          <w:rFonts w:hint="eastAsia" w:ascii="仿宋_GB2312" w:eastAsia="仿宋_GB2312"/>
          <w:color w:val="000000"/>
          <w:sz w:val="32"/>
          <w:szCs w:val="32"/>
        </w:rPr>
        <w:t>主要用我单位所需的公务用车燃料费、维修费、过路过桥费、保险费等支出。</w:t>
      </w:r>
    </w:p>
    <w:p>
      <w:pPr>
        <w:numPr>
          <w:ilvl w:val="0"/>
          <w:numId w:val="3"/>
        </w:numPr>
        <w:spacing w:line="600" w:lineRule="exact"/>
        <w:ind w:firstLine="640"/>
        <w:rPr>
          <w:rFonts w:ascii="仿宋_GB2312" w:eastAsia="仿宋_GB2312" w:cs="仿宋"/>
          <w:color w:val="000000"/>
          <w:sz w:val="32"/>
          <w:szCs w:val="32"/>
        </w:rPr>
      </w:pPr>
      <w:r>
        <w:rPr>
          <w:rFonts w:hint="eastAsia" w:ascii="仿宋_GB2312" w:eastAsia="仿宋_GB2312"/>
          <w:b/>
          <w:color w:val="000000"/>
          <w:sz w:val="32"/>
          <w:szCs w:val="32"/>
        </w:rPr>
        <w:t>公务接待费支出</w:t>
      </w:r>
      <w:r>
        <w:rPr>
          <w:rFonts w:hint="eastAsia" w:ascii="仿宋_GB2312" w:eastAsia="仿宋_GB2312"/>
          <w:color w:val="000000"/>
          <w:sz w:val="32"/>
          <w:szCs w:val="32"/>
        </w:rPr>
        <w:t>0万元，</w:t>
      </w:r>
      <w:r>
        <w:rPr>
          <w:rStyle w:val="15"/>
          <w:rFonts w:hint="eastAsia" w:ascii="仿宋" w:eastAsia="仿宋"/>
          <w:b w:val="0"/>
          <w:bCs/>
          <w:color w:val="000000"/>
          <w:sz w:val="32"/>
          <w:szCs w:val="32"/>
        </w:rPr>
        <w:t>完成预算0</w:t>
      </w:r>
      <w:r>
        <w:rPr>
          <w:rStyle w:val="15"/>
          <w:rFonts w:ascii="仿宋" w:eastAsia="仿宋"/>
          <w:b w:val="0"/>
          <w:bCs/>
          <w:color w:val="000000"/>
          <w:sz w:val="32"/>
          <w:szCs w:val="32"/>
        </w:rPr>
        <w:t>%</w:t>
      </w:r>
      <w:r>
        <w:rPr>
          <w:rStyle w:val="15"/>
          <w:rFonts w:hint="eastAsia" w:ascii="仿宋" w:eastAsia="仿宋"/>
          <w:b w:val="0"/>
          <w:bCs/>
          <w:color w:val="000000"/>
          <w:sz w:val="32"/>
          <w:szCs w:val="32"/>
        </w:rPr>
        <w:t>。</w:t>
      </w:r>
      <w:r>
        <w:rPr>
          <w:rFonts w:hint="eastAsia" w:ascii="仿宋_GB2312" w:eastAsia="仿宋_GB2312" w:cs="仿宋"/>
          <w:color w:val="000000"/>
          <w:sz w:val="32"/>
          <w:szCs w:val="32"/>
        </w:rPr>
        <w:t>公务接待费0万元，较上年减少0万元，减少0%。</w:t>
      </w:r>
    </w:p>
    <w:p>
      <w:pPr>
        <w:spacing w:line="600" w:lineRule="exact"/>
        <w:ind w:firstLine="640"/>
        <w:outlineLvl w:val="1"/>
        <w:rPr>
          <w:rFonts w:ascii="仿宋_GB2312" w:eastAsia="仿宋_GB2312"/>
          <w:color w:val="000000"/>
          <w:sz w:val="32"/>
          <w:szCs w:val="32"/>
        </w:rPr>
      </w:pPr>
      <w:r>
        <w:rPr>
          <w:rFonts w:hint="eastAsia" w:ascii="仿宋" w:eastAsia="仿宋"/>
          <w:b/>
          <w:color w:val="000000"/>
          <w:sz w:val="32"/>
          <w:szCs w:val="32"/>
        </w:rPr>
        <w:t>外事接待支出</w:t>
      </w:r>
      <w:r>
        <w:rPr>
          <w:rFonts w:hint="eastAsia" w:ascii="仿宋" w:eastAsia="仿宋"/>
          <w:color w:val="000000"/>
          <w:sz w:val="32"/>
          <w:szCs w:val="32"/>
        </w:rPr>
        <w:t>0</w:t>
      </w:r>
      <w:r>
        <w:rPr>
          <w:rFonts w:hint="eastAsia" w:ascii="仿宋_GB2312" w:eastAsia="仿宋_GB2312"/>
          <w:color w:val="000000"/>
          <w:sz w:val="32"/>
          <w:szCs w:val="32"/>
        </w:rPr>
        <w:t>万元，外事接待0批次，0人，共计支出0万元。</w:t>
      </w:r>
      <w:bookmarkStart w:id="46" w:name="_Toc15396610"/>
      <w:bookmarkStart w:id="47" w:name="_Toc15377218"/>
    </w:p>
    <w:p>
      <w:pPr>
        <w:spacing w:line="600" w:lineRule="exact"/>
        <w:ind w:firstLine="640"/>
        <w:outlineLvl w:val="1"/>
        <w:rPr>
          <w:rStyle w:val="18"/>
          <w:rFonts w:ascii="黑体" w:eastAsia="黑体"/>
        </w:rPr>
      </w:pPr>
      <w:r>
        <w:rPr>
          <w:rFonts w:hint="eastAsia" w:ascii="黑体" w:eastAsia="黑体"/>
          <w:color w:val="000000"/>
          <w:sz w:val="32"/>
          <w:szCs w:val="32"/>
        </w:rPr>
        <w:t>八、</w:t>
      </w:r>
      <w:r>
        <w:rPr>
          <w:rStyle w:val="18"/>
          <w:rFonts w:hint="eastAsia" w:ascii="黑体" w:eastAsia="黑体"/>
          <w:b w:val="0"/>
        </w:rPr>
        <w:t>政府性基金预算支出决算情况说明</w:t>
      </w:r>
      <w:bookmarkEnd w:id="46"/>
      <w:bookmarkEnd w:id="47"/>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w:t>
      </w:r>
      <w:r>
        <w:rPr>
          <w:rFonts w:hint="eastAsia" w:ascii="仿宋_GB2312" w:eastAsia="仿宋_GB2312"/>
          <w:color w:val="000000"/>
          <w:sz w:val="32"/>
          <w:szCs w:val="32"/>
        </w:rPr>
        <w:t>20年政府性基金预算拨款支出0万元。</w:t>
      </w:r>
    </w:p>
    <w:p>
      <w:pPr>
        <w:numPr>
          <w:ilvl w:val="0"/>
          <w:numId w:val="4"/>
        </w:numPr>
        <w:spacing w:line="600" w:lineRule="exact"/>
        <w:ind w:firstLine="640"/>
        <w:outlineLvl w:val="1"/>
        <w:rPr>
          <w:rStyle w:val="18"/>
          <w:rFonts w:ascii="黑体" w:eastAsia="黑体"/>
          <w:b w:val="0"/>
        </w:rPr>
      </w:pPr>
      <w:bookmarkStart w:id="48" w:name="_Toc15396611"/>
      <w:bookmarkStart w:id="49" w:name="_Toc15377219"/>
      <w:r>
        <w:rPr>
          <w:rStyle w:val="18"/>
          <w:rFonts w:hint="eastAsia" w:ascii="黑体" w:eastAsia="黑体"/>
          <w:b w:val="0"/>
        </w:rPr>
        <w:t>国有资本经营预算支出决算情况说明</w:t>
      </w:r>
      <w:bookmarkEnd w:id="48"/>
      <w:bookmarkEnd w:id="49"/>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w:t>
      </w:r>
      <w:r>
        <w:rPr>
          <w:rFonts w:hint="eastAsia" w:ascii="仿宋_GB2312" w:eastAsia="仿宋_GB2312"/>
          <w:color w:val="000000"/>
          <w:sz w:val="32"/>
          <w:szCs w:val="32"/>
        </w:rPr>
        <w:t>20年国有资本经营预算拨款支出0万元。</w:t>
      </w:r>
    </w:p>
    <w:p>
      <w:pPr>
        <w:pStyle w:val="23"/>
        <w:numPr>
          <w:ilvl w:val="0"/>
          <w:numId w:val="5"/>
        </w:numPr>
        <w:spacing w:line="580" w:lineRule="exact"/>
        <w:ind w:firstLineChars="0"/>
        <w:rPr>
          <w:rStyle w:val="18"/>
          <w:rFonts w:ascii="黑体" w:eastAsia="黑体"/>
          <w:b w:val="0"/>
        </w:rPr>
      </w:pPr>
      <w:r>
        <w:rPr>
          <w:rStyle w:val="18"/>
          <w:rFonts w:hint="eastAsia" w:ascii="黑体" w:eastAsia="黑体"/>
          <w:b w:val="0"/>
        </w:rPr>
        <w:t>预算绩效情况说明</w:t>
      </w:r>
    </w:p>
    <w:p>
      <w:pPr>
        <w:widowControl/>
        <w:shd w:val="clear" w:color="auto" w:fill="FFFFFF"/>
        <w:spacing w:line="560" w:lineRule="atLeast"/>
        <w:ind w:firstLine="640"/>
        <w:jc w:val="left"/>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1、本年预算安排控制较好，控制在预算编制以内，无“三公”经费预算。</w:t>
      </w:r>
    </w:p>
    <w:p>
      <w:pPr>
        <w:widowControl/>
        <w:shd w:val="clear" w:color="auto" w:fill="FFFFFF"/>
        <w:spacing w:line="560" w:lineRule="atLeast"/>
        <w:ind w:firstLine="640"/>
        <w:rPr>
          <w:rFonts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2、预算执行方面，支出总额控制在预算总额以内；本年无转</w:t>
      </w:r>
      <w:r>
        <w:rPr>
          <w:rFonts w:hint="eastAsia" w:ascii="仿宋_GB2312" w:hAnsi="仿宋_GB2312" w:eastAsia="仿宋_GB2312" w:cs="仿宋_GB2312"/>
          <w:color w:val="000000"/>
          <w:sz w:val="32"/>
          <w:szCs w:val="32"/>
        </w:rPr>
        <w:t>移资金支付，不存在截留或滞留专项资金情况。　</w:t>
      </w:r>
    </w:p>
    <w:p>
      <w:pPr>
        <w:pStyle w:val="12"/>
        <w:spacing w:before="0" w:beforeAutospacing="0" w:after="0" w:afterAutospacing="0" w:line="560" w:lineRule="exact"/>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3、项目产出及社会效益评价</w:t>
      </w:r>
    </w:p>
    <w:p>
      <w:pPr>
        <w:autoSpaceDE w:val="0"/>
        <w:spacing w:line="360" w:lineRule="auto"/>
        <w:ind w:firstLine="640" w:firstLineChars="200"/>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rPr>
        <w:t>2020年，2021年上半年我馆狠抓重点工作，</w:t>
      </w:r>
      <w:r>
        <w:rPr>
          <w:rFonts w:hint="eastAsia" w:ascii="仿宋_GB2312" w:hAnsi="仿宋_GB2312" w:eastAsia="仿宋_GB2312" w:cs="仿宋_GB2312"/>
          <w:color w:val="000000"/>
          <w:sz w:val="32"/>
          <w:szCs w:val="32"/>
          <w:lang w:eastAsia="zh-CN"/>
        </w:rPr>
        <w:t>较好地完成</w:t>
      </w:r>
      <w:r>
        <w:rPr>
          <w:rFonts w:hint="eastAsia" w:ascii="仿宋_GB2312" w:hAnsi="仿宋_GB2312" w:eastAsia="仿宋_GB2312" w:cs="仿宋_GB2312"/>
          <w:color w:val="000000"/>
          <w:sz w:val="32"/>
          <w:szCs w:val="32"/>
        </w:rPr>
        <w:t>了各项目标任务，取得了较好的社会效益。主要绩效如下：一是高度重视，加强档案工作组织领导。为抓好全年档案工作的统一部署，我馆及时制定印发了《全县档案工作目标管理考评内容与评分细则》，对抓好今年档案工作进行了专题研究和具体安排。加强档案的收集和利用，加强档案规范化管理；服务机关企事业单位、服务广大群众，进一步明确了工作方向，为促进并推动全县档案事业的发展打下良好的基础。二是创新工作方式，改进档案服务工作。我局不断拓展档案工作交流平台，创新工作方法，实行工作人员首问责任、限时服务、文明办公服务承诺等措施，进一步丰富了各单位之间的交流方式，提高了档案业务沟通效率，提升了档案利用率，推进了档案工作规范化发展。三是丰富档案馆藏，有效提高档案利用效率。四是加强业务指导，推进档案管理规范化。五是完善基础设施，确保档案保管安全措施到位。</w:t>
      </w:r>
    </w:p>
    <w:p>
      <w:pPr>
        <w:numPr>
          <w:ilvl w:val="0"/>
          <w:numId w:val="6"/>
        </w:numPr>
        <w:spacing w:line="580" w:lineRule="exact"/>
        <w:ind w:firstLine="643" w:firstLineChars="200"/>
        <w:rPr>
          <w:rFonts w:ascii="仿宋" w:eastAsia="仿宋" w:cs="仿宋_GB2312"/>
          <w:sz w:val="32"/>
          <w:szCs w:val="32"/>
        </w:rPr>
      </w:pPr>
      <w:r>
        <w:rPr>
          <w:rFonts w:hint="eastAsia" w:ascii="仿宋" w:eastAsia="仿宋" w:cs="楷体_GB2312"/>
          <w:b/>
          <w:bCs/>
          <w:sz w:val="32"/>
          <w:szCs w:val="32"/>
        </w:rPr>
        <w:t>部门开展绩效评价结果。</w:t>
      </w:r>
    </w:p>
    <w:p>
      <w:pPr>
        <w:spacing w:line="600" w:lineRule="exact"/>
        <w:ind w:firstLine="640" w:firstLineChars="200"/>
        <w:outlineLvl w:val="1"/>
        <w:rPr>
          <w:rFonts w:ascii="仿宋_GB2312" w:hAnsi="仿宋_GB2312" w:eastAsia="仿宋_GB2312" w:cs="仿宋_GB2312"/>
          <w:color w:val="000000"/>
          <w:sz w:val="32"/>
          <w:szCs w:val="32"/>
        </w:rPr>
      </w:pPr>
      <w:bookmarkStart w:id="50" w:name="_Toc15396612"/>
      <w:bookmarkStart w:id="51" w:name="_Toc15377221"/>
      <w:r>
        <w:rPr>
          <w:rFonts w:hint="eastAsia" w:ascii="仿宋_GB2312" w:hAnsi="仿宋_GB2312" w:eastAsia="仿宋_GB2312" w:cs="仿宋_GB2312"/>
          <w:color w:val="000000"/>
          <w:sz w:val="32"/>
          <w:szCs w:val="32"/>
        </w:rPr>
        <w:t>我馆高度重视此次绩效评价工作，召开了专门的会议研究和安排此项工作，责任到人，确保工作按质按量完成。在实施的过程中，按照金财监绩[2021]26号文件的要求，结合我部门财政支出的实际情况，认真对照评价标准进行自评打分，对存在的不足进行梳理整改。 财务支出基本符合相关要求规定，充分发挥了财政资金的作用，档案工作取得了较大的进步，在经济效益、社会效益、生态效益等方面发挥了积极作用。</w:t>
      </w:r>
    </w:p>
    <w:p>
      <w:pPr>
        <w:spacing w:line="600" w:lineRule="exact"/>
        <w:ind w:firstLine="640" w:firstLineChars="200"/>
        <w:outlineLvl w:val="1"/>
        <w:rPr>
          <w:rStyle w:val="18"/>
          <w:rFonts w:ascii="黑体" w:eastAsia="黑体"/>
        </w:rPr>
      </w:pPr>
      <w:r>
        <w:rPr>
          <w:rFonts w:hint="eastAsia" w:ascii="黑体" w:eastAsia="黑体"/>
          <w:color w:val="000000"/>
          <w:sz w:val="32"/>
          <w:szCs w:val="32"/>
        </w:rPr>
        <w:t>十</w:t>
      </w:r>
      <w:r>
        <w:rPr>
          <w:rStyle w:val="18"/>
          <w:rFonts w:hint="eastAsia" w:ascii="黑体" w:eastAsia="黑体"/>
        </w:rPr>
        <w:t>一、</w:t>
      </w:r>
      <w:r>
        <w:rPr>
          <w:rStyle w:val="18"/>
          <w:rFonts w:hint="eastAsia" w:ascii="黑体" w:eastAsia="黑体"/>
          <w:b w:val="0"/>
        </w:rPr>
        <w:t>其他重要事项的情况说明</w:t>
      </w:r>
      <w:bookmarkEnd w:id="50"/>
      <w:bookmarkEnd w:id="51"/>
    </w:p>
    <w:p>
      <w:pPr>
        <w:spacing w:line="600" w:lineRule="exact"/>
        <w:ind w:firstLine="643" w:firstLineChars="200"/>
        <w:outlineLvl w:val="2"/>
        <w:rPr>
          <w:rFonts w:ascii="仿宋" w:eastAsia="仿宋"/>
          <w:color w:val="000000"/>
          <w:sz w:val="32"/>
          <w:szCs w:val="32"/>
        </w:rPr>
      </w:pPr>
      <w:bookmarkStart w:id="52" w:name="_Toc15377222"/>
      <w:r>
        <w:rPr>
          <w:rFonts w:hint="eastAsia" w:ascii="仿宋" w:eastAsia="仿宋"/>
          <w:b/>
          <w:color w:val="000000"/>
          <w:sz w:val="32"/>
          <w:szCs w:val="32"/>
        </w:rPr>
        <w:t>（一）机关运行经费支出情况</w:t>
      </w:r>
      <w:bookmarkEnd w:id="52"/>
    </w:p>
    <w:p>
      <w:pPr>
        <w:spacing w:line="60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2020年，金川县档案馆运行经费支出12.32万元，比</w:t>
      </w:r>
      <w:r>
        <w:rPr>
          <w:rFonts w:ascii="仿宋_GB2312" w:eastAsia="仿宋_GB2312"/>
          <w:color w:val="000000"/>
          <w:sz w:val="32"/>
          <w:szCs w:val="32"/>
        </w:rPr>
        <w:t>201</w:t>
      </w:r>
      <w:r>
        <w:rPr>
          <w:rFonts w:hint="eastAsia" w:ascii="仿宋_GB2312" w:eastAsia="仿宋_GB2312"/>
          <w:color w:val="000000"/>
          <w:sz w:val="32"/>
          <w:szCs w:val="32"/>
        </w:rPr>
        <w:t>9年减少3.23万元。</w:t>
      </w:r>
      <w:r>
        <w:rPr>
          <w:rFonts w:hint="eastAsia" w:ascii="仿宋_GB2312" w:eastAsia="仿宋_GB2312"/>
          <w:sz w:val="32"/>
          <w:szCs w:val="32"/>
        </w:rPr>
        <w:t>主要原因为退休一人。</w:t>
      </w:r>
    </w:p>
    <w:p>
      <w:pPr>
        <w:autoSpaceDE w:val="0"/>
        <w:autoSpaceDN w:val="0"/>
        <w:adjustRightInd w:val="0"/>
        <w:spacing w:line="600" w:lineRule="exact"/>
        <w:ind w:firstLine="643" w:firstLineChars="200"/>
        <w:jc w:val="left"/>
        <w:outlineLvl w:val="2"/>
        <w:rPr>
          <w:rFonts w:ascii="仿宋" w:eastAsia="仿宋"/>
          <w:b/>
          <w:color w:val="000000"/>
          <w:sz w:val="32"/>
          <w:szCs w:val="32"/>
        </w:rPr>
      </w:pPr>
      <w:bookmarkStart w:id="53" w:name="_Toc15377223"/>
      <w:r>
        <w:rPr>
          <w:rFonts w:hint="eastAsia" w:ascii="仿宋" w:eastAsia="仿宋"/>
          <w:b/>
          <w:color w:val="000000"/>
          <w:sz w:val="32"/>
          <w:szCs w:val="32"/>
        </w:rPr>
        <w:t>（二）政府采购支出情况</w:t>
      </w:r>
      <w:bookmarkEnd w:id="53"/>
    </w:p>
    <w:p>
      <w:pPr>
        <w:spacing w:line="600" w:lineRule="exact"/>
        <w:ind w:firstLine="640" w:firstLineChars="200"/>
        <w:rPr>
          <w:rFonts w:ascii="仿宋" w:eastAsia="仿宋"/>
          <w:b/>
          <w:sz w:val="32"/>
          <w:szCs w:val="32"/>
        </w:rPr>
      </w:pPr>
      <w:r>
        <w:rPr>
          <w:rFonts w:ascii="仿宋_GB2312" w:eastAsia="仿宋_GB2312"/>
          <w:color w:val="000000"/>
          <w:sz w:val="32"/>
          <w:szCs w:val="32"/>
        </w:rPr>
        <w:t>20</w:t>
      </w:r>
      <w:r>
        <w:rPr>
          <w:rFonts w:hint="eastAsia" w:ascii="仿宋_GB2312" w:eastAsia="仿宋_GB2312"/>
          <w:color w:val="000000"/>
          <w:sz w:val="32"/>
          <w:szCs w:val="32"/>
        </w:rPr>
        <w:t>20年，政府采购支出总额0万元，其中：政府采购货物支出0万元、政府采购服务支出0万元。</w:t>
      </w:r>
    </w:p>
    <w:p>
      <w:pPr>
        <w:autoSpaceDE w:val="0"/>
        <w:autoSpaceDN w:val="0"/>
        <w:adjustRightInd w:val="0"/>
        <w:spacing w:line="600" w:lineRule="exact"/>
        <w:ind w:firstLine="643" w:firstLineChars="200"/>
        <w:jc w:val="left"/>
        <w:outlineLvl w:val="2"/>
        <w:rPr>
          <w:rFonts w:ascii="仿宋" w:eastAsia="仿宋"/>
          <w:b/>
          <w:color w:val="000000"/>
          <w:sz w:val="32"/>
          <w:szCs w:val="32"/>
        </w:rPr>
      </w:pPr>
      <w:bookmarkStart w:id="54" w:name="_Toc15377224"/>
      <w:r>
        <w:rPr>
          <w:rFonts w:hint="eastAsia" w:ascii="仿宋" w:eastAsia="仿宋"/>
          <w:b/>
          <w:color w:val="000000"/>
          <w:sz w:val="32"/>
          <w:szCs w:val="32"/>
        </w:rPr>
        <w:t>（三）国有资产占有使用情况</w:t>
      </w:r>
      <w:bookmarkEnd w:id="54"/>
    </w:p>
    <w:p>
      <w:pPr>
        <w:widowControl/>
        <w:ind w:firstLine="640" w:firstLineChars="200"/>
        <w:jc w:val="left"/>
        <w:rPr>
          <w:rFonts w:ascii="仿宋_GB2312" w:eastAsia="仿宋_GB2312"/>
          <w:b/>
          <w:color w:val="00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w:t>
      </w:r>
      <w:r>
        <w:rPr>
          <w:rFonts w:hint="eastAsia" w:ascii="仿宋_GB2312" w:eastAsia="仿宋_GB2312"/>
          <w:color w:val="000000"/>
          <w:sz w:val="32"/>
          <w:szCs w:val="32"/>
        </w:rPr>
        <w:t>20年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日，共有车辆0辆，为日常工作及应急保障用车。</w:t>
      </w:r>
      <w:r>
        <w:rPr>
          <w:rFonts w:hint="eastAsia" w:ascii="仿宋_GB2312" w:eastAsia="仿宋_GB2312"/>
          <w:b/>
          <w:color w:val="000000"/>
          <w:sz w:val="32"/>
          <w:szCs w:val="32"/>
        </w:rPr>
        <w:t xml:space="preserve">    </w:t>
      </w:r>
    </w:p>
    <w:p>
      <w:pPr>
        <w:numPr>
          <w:ilvl w:val="0"/>
          <w:numId w:val="7"/>
        </w:numPr>
        <w:spacing w:line="600" w:lineRule="exact"/>
        <w:ind w:firstLine="663" w:firstLineChars="150"/>
        <w:jc w:val="center"/>
        <w:outlineLvl w:val="0"/>
        <w:rPr>
          <w:rStyle w:val="17"/>
          <w:rFonts w:ascii="黑体" w:eastAsia="黑体"/>
          <w:b w:val="0"/>
        </w:rPr>
      </w:pPr>
      <w:bookmarkStart w:id="55" w:name="_Toc15377225"/>
      <w:bookmarkStart w:id="56" w:name="_Toc15396613"/>
      <w:r>
        <w:rPr>
          <w:rFonts w:hint="eastAsia" w:ascii="黑体" w:eastAsia="黑体"/>
          <w:b/>
          <w:color w:val="000000"/>
          <w:sz w:val="44"/>
          <w:szCs w:val="44"/>
        </w:rPr>
        <w:t>名</w:t>
      </w:r>
      <w:r>
        <w:rPr>
          <w:rStyle w:val="17"/>
          <w:rFonts w:hint="eastAsia" w:ascii="黑体" w:eastAsia="黑体"/>
          <w:b w:val="0"/>
        </w:rPr>
        <w:t>词解释</w:t>
      </w:r>
      <w:bookmarkEnd w:id="55"/>
      <w:bookmarkEnd w:id="56"/>
    </w:p>
    <w:p>
      <w:pPr>
        <w:pStyle w:val="22"/>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22"/>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pPr>
        <w:pStyle w:val="22"/>
        <w:spacing w:line="560"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pPr>
        <w:pStyle w:val="22"/>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其他收入：指单位取得的除上述收入以外的各项收入。主要是银行存款利息和伙食团缴费等。</w:t>
      </w:r>
      <w:r>
        <w:rPr>
          <w:rFonts w:ascii="仿宋_GB2312" w:eastAsia="仿宋_GB2312"/>
          <w:sz w:val="32"/>
          <w:szCs w:val="32"/>
        </w:rPr>
        <w:t xml:space="preserve"> </w:t>
      </w:r>
    </w:p>
    <w:p>
      <w:pPr>
        <w:pStyle w:val="22"/>
        <w:spacing w:line="560" w:lineRule="exact"/>
        <w:ind w:firstLine="640" w:firstLineChars="200"/>
        <w:rPr>
          <w:rFonts w:ascii="仿宋_GB2312" w:eastAsia="仿宋_GB2312"/>
          <w:sz w:val="32"/>
          <w:szCs w:val="32"/>
        </w:rPr>
      </w:pPr>
      <w:r>
        <w:rPr>
          <w:rFonts w:ascii="仿宋_GB2312" w:eastAsia="仿宋_GB2312"/>
          <w:sz w:val="32"/>
          <w:szCs w:val="32"/>
        </w:rPr>
        <w:t xml:space="preserve">5. </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22"/>
        <w:spacing w:line="560" w:lineRule="exact"/>
        <w:ind w:firstLine="640" w:firstLineChars="200"/>
        <w:rPr>
          <w:rFonts w:ascii="仿宋_GB2312" w:eastAsia="仿宋_GB2312"/>
          <w:sz w:val="32"/>
          <w:szCs w:val="32"/>
        </w:rPr>
      </w:pPr>
      <w:r>
        <w:rPr>
          <w:rFonts w:hint="eastAsia" w:ascii="仿宋_GB2312" w:eastAsia="仿宋_GB2312"/>
          <w:sz w:val="32"/>
          <w:szCs w:val="32"/>
        </w:rPr>
        <w:t>6</w:t>
      </w:r>
      <w:r>
        <w:rPr>
          <w:rFonts w:ascii="仿宋_GB2312" w:eastAsia="仿宋_GB2312"/>
          <w:sz w:val="32"/>
          <w:szCs w:val="32"/>
        </w:rPr>
        <w:t>.</w:t>
      </w:r>
      <w:r>
        <w:rPr>
          <w:rFonts w:hint="eastAsia" w:ascii="仿宋_GB2312" w:eastAsia="仿宋_GB2312"/>
          <w:sz w:val="32"/>
          <w:szCs w:val="32"/>
        </w:rPr>
        <w:t>结余分配：指事业单位按照事业单位会计制度的规定从非财政补助结余中分配的事业基金和职工福利基金等。</w:t>
      </w:r>
    </w:p>
    <w:p>
      <w:pPr>
        <w:pStyle w:val="22"/>
        <w:spacing w:line="560" w:lineRule="exact"/>
        <w:ind w:firstLine="640" w:firstLineChars="200"/>
        <w:rPr>
          <w:rFonts w:ascii="仿宋_GB2312" w:eastAsia="仿宋_GB2312"/>
          <w:sz w:val="32"/>
          <w:szCs w:val="32"/>
        </w:rPr>
      </w:pPr>
      <w:r>
        <w:rPr>
          <w:rFonts w:hint="eastAsia" w:ascii="仿宋_GB2312" w:eastAsia="仿宋_GB2312"/>
          <w:sz w:val="32"/>
          <w:szCs w:val="32"/>
        </w:rPr>
        <w:t>7、年末结转和结余：指单位按有关规定结转到下年或以后年度继续使用的资金。</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8</w:t>
      </w:r>
      <w:r>
        <w:rPr>
          <w:rFonts w:ascii="仿宋_GB2312" w:eastAsia="仿宋_GB2312"/>
          <w:color w:val="000000"/>
          <w:sz w:val="32"/>
          <w:szCs w:val="32"/>
        </w:rPr>
        <w:t>.</w:t>
      </w:r>
      <w:r>
        <w:rPr>
          <w:rFonts w:hint="eastAsia" w:ascii="仿宋_GB2312" w:eastAsia="仿宋_GB2312" w:cs="仿宋"/>
          <w:color w:val="000000"/>
          <w:kern w:val="0"/>
          <w:sz w:val="32"/>
          <w:szCs w:val="32"/>
        </w:rPr>
        <w:t>一般公共服务（类）档案事务（款）行政运行（项）：指行政单位的基本支出</w:t>
      </w:r>
      <w:r>
        <w:rPr>
          <w:rFonts w:hint="eastAsia" w:ascii="仿宋_GB2312" w:eastAsia="仿宋_GB2312"/>
          <w:color w:val="000000"/>
          <w:sz w:val="32"/>
          <w:szCs w:val="32"/>
        </w:rPr>
        <w:t>。</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9</w:t>
      </w:r>
      <w:r>
        <w:rPr>
          <w:rFonts w:ascii="仿宋_GB2312" w:eastAsia="仿宋_GB2312"/>
          <w:color w:val="000000"/>
          <w:sz w:val="32"/>
          <w:szCs w:val="32"/>
        </w:rPr>
        <w:t>.</w:t>
      </w:r>
      <w:r>
        <w:rPr>
          <w:rFonts w:hint="eastAsia" w:ascii="仿宋_GB2312" w:eastAsia="仿宋_GB2312" w:cs="仿宋"/>
          <w:color w:val="000000"/>
          <w:kern w:val="0"/>
          <w:sz w:val="32"/>
          <w:szCs w:val="32"/>
        </w:rPr>
        <w:t>教育（类）其他教育支出（款）其他教育支出（项）：</w:t>
      </w:r>
      <w:r>
        <w:rPr>
          <w:rFonts w:hint="eastAsia" w:ascii="仿宋_GB2312" w:eastAsia="仿宋_GB2312"/>
          <w:color w:val="000000"/>
          <w:sz w:val="32"/>
          <w:szCs w:val="32"/>
        </w:rPr>
        <w:t>除</w:t>
      </w:r>
      <w:r>
        <w:rPr>
          <w:rFonts w:hint="eastAsia" w:ascii="仿宋_GB2312" w:eastAsia="仿宋_GB2312"/>
          <w:color w:val="000000"/>
          <w:sz w:val="32"/>
          <w:szCs w:val="32"/>
          <w:lang w:eastAsia="zh-CN"/>
        </w:rPr>
        <w:t>上述</w:t>
      </w:r>
      <w:r>
        <w:rPr>
          <w:rFonts w:hint="eastAsia" w:ascii="仿宋_GB2312" w:eastAsia="仿宋_GB2312"/>
          <w:color w:val="000000"/>
          <w:sz w:val="32"/>
          <w:szCs w:val="32"/>
        </w:rPr>
        <w:t>项目以外用于教育管理事务方面的支出。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10</w:t>
      </w:r>
      <w:r>
        <w:rPr>
          <w:rFonts w:ascii="仿宋_GB2312" w:eastAsia="仿宋_GB2312"/>
          <w:color w:val="000000"/>
          <w:sz w:val="32"/>
          <w:szCs w:val="32"/>
        </w:rPr>
        <w:t>.</w:t>
      </w:r>
      <w:r>
        <w:rPr>
          <w:rFonts w:hint="eastAsia" w:ascii="仿宋_GB2312" w:eastAsia="仿宋_GB2312" w:cs="仿宋"/>
          <w:color w:val="000000"/>
          <w:kern w:val="0"/>
          <w:sz w:val="32"/>
          <w:szCs w:val="32"/>
        </w:rPr>
        <w:t>社会保障和就业（类）行政事业单位离退休（款）机关事业单位基本养老保险缴费支出（项）：</w:t>
      </w:r>
      <w:r>
        <w:rPr>
          <w:rFonts w:hint="eastAsia" w:ascii="仿宋_GB2312" w:eastAsia="仿宋_GB2312"/>
          <w:color w:val="000000"/>
          <w:sz w:val="32"/>
          <w:szCs w:val="32"/>
        </w:rPr>
        <w:t>指单位为职工缴纳的基本养老保险费。</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11</w:t>
      </w:r>
      <w:r>
        <w:rPr>
          <w:rFonts w:ascii="仿宋_GB2312" w:eastAsia="仿宋_GB2312"/>
          <w:color w:val="000000"/>
          <w:sz w:val="32"/>
          <w:szCs w:val="32"/>
        </w:rPr>
        <w:t>.</w:t>
      </w:r>
      <w:r>
        <w:rPr>
          <w:rFonts w:hint="eastAsia" w:ascii="仿宋_GB2312" w:eastAsia="仿宋_GB2312" w:cs="仿宋"/>
          <w:color w:val="000000"/>
          <w:kern w:val="0"/>
          <w:sz w:val="32"/>
          <w:szCs w:val="32"/>
        </w:rPr>
        <w:t>社会保障和就业（类）行政事业单位离退休（款）机关事业单位基本职业年金缴费支出（项）：</w:t>
      </w:r>
      <w:r>
        <w:rPr>
          <w:rFonts w:hint="eastAsia" w:ascii="仿宋_GB2312" w:eastAsia="仿宋_GB2312"/>
          <w:color w:val="000000"/>
          <w:sz w:val="32"/>
          <w:szCs w:val="32"/>
        </w:rPr>
        <w:t>指单位为职工实际缴纳的职业年金。</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12</w:t>
      </w:r>
      <w:r>
        <w:rPr>
          <w:rFonts w:ascii="仿宋_GB2312" w:eastAsia="仿宋_GB2312"/>
          <w:color w:val="000000"/>
          <w:sz w:val="32"/>
          <w:szCs w:val="32"/>
        </w:rPr>
        <w:t>.</w:t>
      </w:r>
      <w:r>
        <w:rPr>
          <w:rFonts w:hint="eastAsia" w:ascii="仿宋_GB2312" w:eastAsia="仿宋_GB2312"/>
          <w:color w:val="000000"/>
          <w:sz w:val="32"/>
          <w:szCs w:val="32"/>
        </w:rPr>
        <w:t>医疗卫生与计划生育（类）行政事业单位医疗（款）行政单位医疗（项）：指反映职工缴纳的基本医疗保险费。</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13</w:t>
      </w:r>
      <w:r>
        <w:rPr>
          <w:rFonts w:ascii="仿宋_GB2312" w:eastAsia="仿宋_GB2312"/>
          <w:color w:val="000000"/>
          <w:sz w:val="32"/>
          <w:szCs w:val="32"/>
        </w:rPr>
        <w:t>.</w:t>
      </w:r>
      <w:r>
        <w:rPr>
          <w:rFonts w:hint="eastAsia" w:ascii="仿宋_GB2312" w:eastAsia="仿宋_GB2312"/>
          <w:color w:val="000000"/>
          <w:sz w:val="32"/>
          <w:szCs w:val="32"/>
        </w:rPr>
        <w:t>医疗卫生与计划生育（类）行政事业单位医疗（款）公务员医疗补助（项）：指按规定可享受公务员医疗补助单位为职工缴纳的公务员医疗补助费。</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14</w:t>
      </w:r>
      <w:r>
        <w:rPr>
          <w:rFonts w:ascii="仿宋_GB2312" w:eastAsia="仿宋_GB2312"/>
          <w:color w:val="000000"/>
          <w:sz w:val="32"/>
          <w:szCs w:val="32"/>
        </w:rPr>
        <w:t>.</w:t>
      </w:r>
      <w:r>
        <w:rPr>
          <w:rFonts w:hint="eastAsia" w:ascii="仿宋_GB2312" w:eastAsia="仿宋_GB2312"/>
          <w:color w:val="000000"/>
          <w:sz w:val="32"/>
          <w:szCs w:val="32"/>
        </w:rPr>
        <w:t>住房保障（类）住房改革支出（款）住房公积金（项）：指单位按规定为职工缴纳的住房公积金。</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15</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16</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pStyle w:val="22"/>
        <w:spacing w:line="560" w:lineRule="exact"/>
        <w:ind w:firstLine="640" w:firstLineChars="200"/>
        <w:rPr>
          <w:rFonts w:ascii="仿宋_GB2312" w:eastAsia="仿宋_GB2312"/>
          <w:sz w:val="32"/>
          <w:szCs w:val="32"/>
        </w:rPr>
      </w:pPr>
      <w:r>
        <w:rPr>
          <w:rFonts w:hint="eastAsia" w:ascii="仿宋_GB2312" w:eastAsia="仿宋_GB2312"/>
          <w:sz w:val="32"/>
          <w:szCs w:val="32"/>
        </w:rPr>
        <w:t>17</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2"/>
        <w:spacing w:line="560" w:lineRule="exact"/>
        <w:ind w:firstLine="640" w:firstLineChars="200"/>
        <w:rPr>
          <w:rFonts w:ascii="仿宋_GB2312" w:eastAsia="仿宋_GB2312"/>
          <w:sz w:val="32"/>
          <w:szCs w:val="32"/>
        </w:rPr>
      </w:pPr>
      <w:r>
        <w:rPr>
          <w:rFonts w:hint="eastAsia" w:ascii="仿宋_GB2312" w:eastAsia="仿宋_GB2312"/>
          <w:sz w:val="32"/>
          <w:szCs w:val="32"/>
        </w:rPr>
        <w:t>18</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outlineLvl w:val="0"/>
        <w:rPr>
          <w:rFonts w:ascii="黑体" w:eastAsia="黑体"/>
          <w:color w:val="000000"/>
          <w:sz w:val="44"/>
          <w:szCs w:val="44"/>
        </w:rPr>
      </w:pPr>
      <w:bookmarkStart w:id="57" w:name="_Toc15396614"/>
      <w:bookmarkStart w:id="58" w:name="_Toc15377226"/>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pStyle w:val="3"/>
        <w:rPr>
          <w:rStyle w:val="17"/>
          <w:rFonts w:ascii="仿宋" w:eastAsia="仿宋"/>
          <w:b w:val="0"/>
          <w:bCs w:val="0"/>
          <w:sz w:val="32"/>
          <w:szCs w:val="32"/>
        </w:rPr>
      </w:pPr>
      <w:bookmarkStart w:id="59" w:name="_Toc15396615"/>
    </w:p>
    <w:p>
      <w:pPr>
        <w:rPr>
          <w:rStyle w:val="17"/>
          <w:rFonts w:ascii="仿宋" w:eastAsia="仿宋"/>
          <w:b w:val="0"/>
          <w:bCs w:val="0"/>
          <w:sz w:val="32"/>
          <w:szCs w:val="32"/>
        </w:rPr>
      </w:pPr>
    </w:p>
    <w:p>
      <w:pPr>
        <w:rPr>
          <w:rStyle w:val="17"/>
          <w:rFonts w:ascii="仿宋" w:eastAsia="仿宋"/>
          <w:b w:val="0"/>
          <w:bCs w:val="0"/>
          <w:sz w:val="32"/>
          <w:szCs w:val="32"/>
        </w:rPr>
      </w:pPr>
    </w:p>
    <w:p>
      <w:pPr>
        <w:pStyle w:val="3"/>
        <w:rPr>
          <w:rStyle w:val="17"/>
          <w:rFonts w:ascii="仿宋" w:eastAsia="仿宋"/>
          <w:b w:val="0"/>
          <w:bCs w:val="0"/>
          <w:sz w:val="32"/>
          <w:szCs w:val="32"/>
        </w:rPr>
      </w:pPr>
    </w:p>
    <w:p>
      <w:pPr>
        <w:pStyle w:val="3"/>
        <w:rPr>
          <w:rStyle w:val="17"/>
          <w:rFonts w:ascii="仿宋" w:eastAsia="仿宋"/>
          <w:b w:val="0"/>
          <w:bCs w:val="0"/>
          <w:sz w:val="32"/>
          <w:szCs w:val="32"/>
        </w:rPr>
      </w:pPr>
      <w:r>
        <w:rPr>
          <w:rStyle w:val="17"/>
          <w:rFonts w:hint="eastAsia" w:ascii="仿宋" w:eastAsia="仿宋"/>
          <w:b w:val="0"/>
          <w:bCs w:val="0"/>
          <w:sz w:val="32"/>
          <w:szCs w:val="32"/>
        </w:rPr>
        <w:t>附件1</w:t>
      </w:r>
      <w:bookmarkEnd w:id="59"/>
    </w:p>
    <w:p>
      <w:pPr>
        <w:numPr>
          <w:ilvl w:val="0"/>
          <w:numId w:val="7"/>
        </w:numPr>
        <w:spacing w:line="600" w:lineRule="exact"/>
        <w:ind w:firstLine="660" w:firstLineChars="150"/>
        <w:jc w:val="center"/>
        <w:outlineLvl w:val="0"/>
        <w:rPr>
          <w:rStyle w:val="17"/>
          <w:rFonts w:ascii="黑体" w:eastAsia="黑体"/>
          <w:b w:val="0"/>
        </w:rPr>
      </w:pPr>
      <w:r>
        <w:rPr>
          <w:rStyle w:val="17"/>
          <w:rFonts w:hint="eastAsia" w:ascii="黑体" w:eastAsia="黑体"/>
          <w:b w:val="0"/>
        </w:rPr>
        <w:t>附件</w:t>
      </w:r>
      <w:bookmarkEnd w:id="57"/>
    </w:p>
    <w:p>
      <w:pPr>
        <w:outlineLvl w:val="0"/>
        <w:rPr>
          <w:rStyle w:val="17"/>
          <w:rFonts w:ascii="黑体" w:eastAsia="黑体"/>
          <w:b w:val="0"/>
        </w:rPr>
      </w:pPr>
    </w:p>
    <w:bookmarkEnd w:id="58"/>
    <w:p>
      <w:pPr>
        <w:autoSpaceDE w:val="0"/>
        <w:snapToGrid w:val="0"/>
        <w:spacing w:line="680" w:lineRule="exact"/>
        <w:ind w:firstLine="420" w:firstLineChars="200"/>
        <w:jc w:val="center"/>
        <w:rPr>
          <w:rFonts w:ascii="方正小标宋_GBK" w:hAnsi="方正小标宋_GBK" w:eastAsia="方正小标宋_GBK" w:cs="方正小标宋_GBK"/>
        </w:rPr>
      </w:pPr>
      <w:bookmarkStart w:id="60" w:name="_Toc15396618"/>
      <w:bookmarkStart w:id="61" w:name="_Toc15396619"/>
      <w:r>
        <w:rPr>
          <w:rFonts w:hint="eastAsia" w:ascii="方正小标宋_GBK" w:hAnsi="方正小标宋_GBK" w:eastAsia="方正小标宋_GBK" w:cs="方正小标宋_GBK"/>
        </w:rPr>
        <w:t>金川县档案馆2021年部门整体支出绩效评价报告</w:t>
      </w:r>
    </w:p>
    <w:p>
      <w:pPr>
        <w:autoSpaceDE w:val="0"/>
        <w:snapToGrid w:val="0"/>
        <w:spacing w:line="360" w:lineRule="auto"/>
        <w:ind w:firstLine="640" w:firstLineChars="200"/>
        <w:rPr>
          <w:rFonts w:eastAsia="仿宋_GB2312"/>
          <w:sz w:val="32"/>
          <w:szCs w:val="32"/>
        </w:rPr>
      </w:pPr>
    </w:p>
    <w:p>
      <w:pPr>
        <w:autoSpaceDE w:val="0"/>
        <w:snapToGrid w:val="0"/>
        <w:spacing w:line="360" w:lineRule="auto"/>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为了贯彻落实《预算法》和《中共中央、国务院全面实施绩效管理的意见》，根据《金川县财政局关于开展2021年部门、政策和项目支出绩效评价工作的通知》（金财监绩〔2021〕26号）文件要求，现就我馆2021年部门整体支出绩效情况报告如下：</w:t>
      </w:r>
    </w:p>
    <w:p>
      <w:pPr>
        <w:autoSpaceDE w:val="0"/>
        <w:snapToGrid w:val="0"/>
        <w:spacing w:line="360" w:lineRule="auto"/>
        <w:ind w:firstLine="643"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一、部门概况</w:t>
      </w:r>
    </w:p>
    <w:p>
      <w:pPr>
        <w:autoSpaceDE w:val="0"/>
        <w:snapToGrid w:val="0"/>
        <w:spacing w:line="360" w:lineRule="auto"/>
        <w:ind w:firstLine="643"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（一）机构职能</w:t>
      </w:r>
    </w:p>
    <w:p>
      <w:pPr>
        <w:spacing w:line="520" w:lineRule="exact"/>
        <w:ind w:left="199" w:leftChars="95" w:firstLine="700" w:firstLineChars="200"/>
        <w:rPr>
          <w:rFonts w:hint="eastAsia" w:ascii="仿宋_GB2312" w:hAnsi="仿宋_GB2312" w:eastAsia="仿宋_GB2312" w:cs="仿宋_GB2312"/>
          <w:color w:val="000000"/>
          <w:spacing w:val="15"/>
          <w:sz w:val="32"/>
          <w:szCs w:val="32"/>
          <w:lang w:eastAsia="zh-CN"/>
        </w:rPr>
      </w:pPr>
      <w:r>
        <w:rPr>
          <w:rFonts w:hint="eastAsia" w:ascii="仿宋_GB2312" w:hAnsi="仿宋_GB2312" w:eastAsia="仿宋_GB2312" w:cs="仿宋_GB2312"/>
          <w:color w:val="000000"/>
          <w:spacing w:val="15"/>
          <w:sz w:val="32"/>
          <w:szCs w:val="32"/>
        </w:rPr>
        <w:t>1、贯彻执行《中华人民共和国档案法》以及党和国家有关档案工作的方针、政策；起草全县档案工作的地方性法规和规章草案，制定全县档案工作规范性文件及全县档案事业发展规划并负责组织实施。</w:t>
      </w:r>
    </w:p>
    <w:p>
      <w:pPr>
        <w:spacing w:line="520" w:lineRule="exact"/>
        <w:ind w:left="199" w:leftChars="95" w:firstLine="700" w:firstLineChars="200"/>
        <w:rPr>
          <w:rFonts w:hint="eastAsia" w:ascii="仿宋_GB2312" w:hAnsi="仿宋_GB2312" w:eastAsia="仿宋_GB2312" w:cs="仿宋_GB2312"/>
          <w:color w:val="000000"/>
          <w:spacing w:val="15"/>
          <w:sz w:val="32"/>
          <w:szCs w:val="32"/>
          <w:lang w:eastAsia="zh-CN"/>
        </w:rPr>
      </w:pPr>
      <w:r>
        <w:rPr>
          <w:rFonts w:hint="eastAsia" w:ascii="仿宋_GB2312" w:hAnsi="仿宋_GB2312" w:eastAsia="仿宋_GB2312" w:cs="仿宋_GB2312"/>
          <w:color w:val="000000"/>
          <w:spacing w:val="15"/>
          <w:sz w:val="32"/>
          <w:szCs w:val="32"/>
        </w:rPr>
        <w:t>     2、监督、检查档案法律、法规的贯彻执行，依法查处档案违法行为。</w:t>
      </w:r>
    </w:p>
    <w:p>
      <w:pPr>
        <w:spacing w:line="520" w:lineRule="exact"/>
        <w:ind w:left="199" w:leftChars="95" w:firstLine="700" w:firstLineChars="200"/>
        <w:rPr>
          <w:rFonts w:hint="eastAsia" w:ascii="仿宋_GB2312" w:hAnsi="仿宋_GB2312" w:eastAsia="仿宋_GB2312" w:cs="仿宋_GB2312"/>
          <w:color w:val="000000"/>
          <w:spacing w:val="15"/>
          <w:sz w:val="32"/>
          <w:szCs w:val="32"/>
          <w:lang w:eastAsia="zh-CN"/>
        </w:rPr>
      </w:pPr>
      <w:r>
        <w:rPr>
          <w:rFonts w:hint="eastAsia" w:ascii="仿宋_GB2312" w:hAnsi="仿宋_GB2312" w:eastAsia="仿宋_GB2312" w:cs="仿宋_GB2312"/>
          <w:color w:val="000000"/>
          <w:spacing w:val="15"/>
          <w:sz w:val="32"/>
          <w:szCs w:val="32"/>
        </w:rPr>
        <w:t>     3、组织、指导全县档案编研和档案宣传工作，逐步实现档案管理的标准化、规范化和现代化。</w:t>
      </w:r>
    </w:p>
    <w:p>
      <w:pPr>
        <w:spacing w:line="520" w:lineRule="exact"/>
        <w:ind w:left="199" w:leftChars="95" w:firstLine="700" w:firstLineChars="200"/>
        <w:rPr>
          <w:rFonts w:hint="eastAsia" w:ascii="仿宋_GB2312" w:hAnsi="仿宋_GB2312" w:eastAsia="仿宋_GB2312" w:cs="仿宋_GB2312"/>
          <w:color w:val="000000"/>
          <w:spacing w:val="15"/>
          <w:sz w:val="32"/>
          <w:szCs w:val="32"/>
          <w:lang w:eastAsia="zh-CN"/>
        </w:rPr>
      </w:pPr>
      <w:r>
        <w:rPr>
          <w:rFonts w:hint="eastAsia" w:ascii="仿宋_GB2312" w:hAnsi="仿宋_GB2312" w:eastAsia="仿宋_GB2312" w:cs="仿宋_GB2312"/>
          <w:color w:val="000000"/>
          <w:spacing w:val="15"/>
          <w:sz w:val="32"/>
          <w:szCs w:val="32"/>
        </w:rPr>
        <w:t>     4、负责全县档案工作人员业务培训，加强档案工作人员队伍建设。</w:t>
      </w:r>
    </w:p>
    <w:p>
      <w:pPr>
        <w:spacing w:line="520" w:lineRule="exact"/>
        <w:ind w:left="199" w:leftChars="95" w:firstLine="700" w:firstLineChars="200"/>
        <w:rPr>
          <w:rFonts w:hint="eastAsia" w:ascii="仿宋_GB2312" w:hAnsi="仿宋_GB2312" w:eastAsia="仿宋_GB2312" w:cs="仿宋_GB2312"/>
          <w:color w:val="000000"/>
          <w:spacing w:val="15"/>
          <w:sz w:val="32"/>
          <w:szCs w:val="32"/>
          <w:lang w:eastAsia="zh-CN"/>
        </w:rPr>
      </w:pPr>
      <w:r>
        <w:rPr>
          <w:rFonts w:hint="eastAsia" w:ascii="仿宋_GB2312" w:hAnsi="仿宋_GB2312" w:eastAsia="仿宋_GB2312" w:cs="仿宋_GB2312"/>
          <w:color w:val="000000"/>
          <w:spacing w:val="15"/>
          <w:sz w:val="32"/>
          <w:szCs w:val="32"/>
        </w:rPr>
        <w:t>     5、接收、征集和集中统一管理县级党政机关、群众团体、直属企事业单位的重要档案资料和有关历史档案，确保档案资料的齐全、完整、安全。</w:t>
      </w:r>
    </w:p>
    <w:p>
      <w:pPr>
        <w:spacing w:line="520" w:lineRule="exact"/>
        <w:ind w:left="199" w:leftChars="95" w:firstLine="700" w:firstLineChars="200"/>
        <w:rPr>
          <w:rFonts w:ascii="仿宋_GB2312" w:hAnsi="仿宋_GB2312" w:eastAsia="仿宋_GB2312" w:cs="仿宋_GB2312"/>
          <w:color w:val="000000"/>
          <w:spacing w:val="15"/>
          <w:sz w:val="32"/>
          <w:szCs w:val="32"/>
        </w:rPr>
      </w:pPr>
      <w:r>
        <w:rPr>
          <w:rFonts w:hint="eastAsia" w:ascii="仿宋_GB2312" w:hAnsi="仿宋_GB2312" w:eastAsia="仿宋_GB2312" w:cs="仿宋_GB2312"/>
          <w:color w:val="000000"/>
          <w:spacing w:val="15"/>
          <w:sz w:val="32"/>
          <w:szCs w:val="32"/>
        </w:rPr>
        <w:t>     6、积极开发、充分利用档案信息资源，负责全县档案目录数据库、图片资料库建设，建立全县档案资源信息网络。</w:t>
      </w:r>
    </w:p>
    <w:p>
      <w:pPr>
        <w:autoSpaceDE w:val="0"/>
        <w:snapToGrid w:val="0"/>
        <w:spacing w:line="360" w:lineRule="auto"/>
        <w:ind w:firstLine="640" w:firstLineChars="200"/>
        <w:rPr>
          <w:rFonts w:ascii="仿宋_GB2312" w:hAnsi="仿宋_GB2312" w:eastAsia="仿宋_GB2312" w:cs="仿宋_GB2312"/>
          <w:sz w:val="32"/>
          <w:szCs w:val="32"/>
        </w:rPr>
      </w:pPr>
    </w:p>
    <w:p>
      <w:pPr>
        <w:autoSpaceDE w:val="0"/>
        <w:snapToGrid w:val="0"/>
        <w:spacing w:line="360" w:lineRule="auto"/>
        <w:ind w:firstLine="643"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（二）机构组成</w:t>
      </w:r>
    </w:p>
    <w:p>
      <w:pPr>
        <w:spacing w:line="520" w:lineRule="exact"/>
        <w:ind w:left="199" w:leftChars="95" w:firstLine="480" w:firstLineChars="150"/>
        <w:rPr>
          <w:rFonts w:ascii="仿宋_GB2312" w:hAnsi="仿宋_GB2312" w:eastAsia="仿宋_GB2312" w:cs="仿宋_GB2312"/>
          <w:color w:val="000000"/>
          <w:spacing w:val="15"/>
          <w:sz w:val="32"/>
          <w:szCs w:val="32"/>
        </w:rPr>
      </w:pPr>
      <w:r>
        <w:rPr>
          <w:rFonts w:hint="eastAsia" w:ascii="仿宋_GB2312" w:hAnsi="仿宋_GB2312" w:eastAsia="仿宋_GB2312" w:cs="仿宋_GB2312"/>
          <w:color w:val="000000"/>
          <w:sz w:val="32"/>
          <w:szCs w:val="32"/>
        </w:rPr>
        <w:t>金川县档案馆于1960年7月8日正式建立,它是在原县委和县人委两个档案室的基础上扩建的。1980年6月27日，经县委批准成立金川县档案管理局，县档案管理局和县档案馆合署办公，局馆合一，均为县委和县革委的直属机构。1987年，金川县档案局列入政府编制序列，1997年，金川县档案局列入县政府直属事业局。</w:t>
      </w:r>
      <w:r>
        <w:rPr>
          <w:rFonts w:hint="eastAsia" w:ascii="仿宋_GB2312" w:hAnsi="仿宋_GB2312" w:eastAsia="仿宋_GB2312" w:cs="仿宋_GB2312"/>
          <w:color w:val="000000"/>
          <w:spacing w:val="15"/>
          <w:sz w:val="32"/>
          <w:szCs w:val="32"/>
        </w:rPr>
        <w:t>截至目前，</w:t>
      </w:r>
      <w:r>
        <w:rPr>
          <w:rFonts w:hint="eastAsia" w:ascii="仿宋_GB2312" w:hAnsi="仿宋_GB2312" w:eastAsia="仿宋_GB2312" w:cs="仿宋_GB2312"/>
          <w:sz w:val="32"/>
          <w:szCs w:val="32"/>
        </w:rPr>
        <w:t>现馆藏各门类档案3万余卷（件），资料5336卷（册），民清珍贵重点档案57卷，珍贵像章、徽章等500余枚（件）。</w:t>
      </w:r>
      <w:r>
        <w:rPr>
          <w:rFonts w:hint="eastAsia" w:ascii="仿宋_GB2312" w:hAnsi="仿宋_GB2312" w:eastAsia="仿宋_GB2312" w:cs="仿宋_GB2312"/>
          <w:spacing w:val="15"/>
          <w:sz w:val="32"/>
          <w:szCs w:val="32"/>
        </w:rPr>
        <w:t>是金川县档案安全保管</w:t>
      </w:r>
      <w:r>
        <w:rPr>
          <w:rFonts w:hint="eastAsia" w:ascii="仿宋_GB2312" w:hAnsi="仿宋_GB2312" w:eastAsia="仿宋_GB2312" w:cs="仿宋_GB2312"/>
          <w:color w:val="000000"/>
          <w:spacing w:val="15"/>
          <w:sz w:val="32"/>
          <w:szCs w:val="32"/>
        </w:rPr>
        <w:t>的基地、利用档案开展爱国主义教育的基地、档案信息服务的中心和档案提供利用的中心。共设有保管编研股，业务指导股，办公室。</w:t>
      </w:r>
    </w:p>
    <w:p>
      <w:pPr>
        <w:autoSpaceDE w:val="0"/>
        <w:snapToGrid w:val="0"/>
        <w:spacing w:line="360" w:lineRule="auto"/>
        <w:ind w:firstLine="643"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（三）人员概况</w:t>
      </w:r>
    </w:p>
    <w:p>
      <w:pPr>
        <w:tabs>
          <w:tab w:val="left" w:pos="5430"/>
        </w:tabs>
        <w:autoSpaceDE w:val="0"/>
        <w:snapToGrid w:val="0"/>
        <w:spacing w:line="360" w:lineRule="auto"/>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1、编制情况</w:t>
      </w:r>
      <w:r>
        <w:rPr>
          <w:rFonts w:hint="eastAsia" w:ascii="仿宋_GB2312" w:hAnsi="仿宋_GB2312" w:eastAsia="仿宋_GB2312" w:cs="仿宋_GB2312"/>
          <w:sz w:val="32"/>
          <w:szCs w:val="32"/>
        </w:rPr>
        <w:tab/>
      </w:r>
    </w:p>
    <w:p>
      <w:pPr>
        <w:autoSpaceDE w:val="0"/>
        <w:snapToGrid w:val="0"/>
        <w:spacing w:line="360" w:lineRule="auto"/>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金川县档案馆编制数7人，其中：参公编7人</w:t>
      </w:r>
    </w:p>
    <w:p>
      <w:pPr>
        <w:autoSpaceDE w:val="0"/>
        <w:snapToGrid w:val="0"/>
        <w:spacing w:line="360" w:lineRule="auto"/>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2、人员情况</w:t>
      </w:r>
    </w:p>
    <w:p>
      <w:pPr>
        <w:autoSpaceDE w:val="0"/>
        <w:snapToGrid w:val="0"/>
        <w:spacing w:line="360" w:lineRule="auto"/>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2020年末在职职工7人，退休人员5人，遗嘱人员2人。</w:t>
      </w:r>
    </w:p>
    <w:p>
      <w:pPr>
        <w:autoSpaceDE w:val="0"/>
        <w:snapToGrid w:val="0"/>
        <w:spacing w:line="360" w:lineRule="auto"/>
        <w:ind w:firstLine="643"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二、财政资金收支情况</w:t>
      </w:r>
    </w:p>
    <w:p>
      <w:pPr>
        <w:autoSpaceDE w:val="0"/>
        <w:snapToGrid w:val="0"/>
        <w:spacing w:line="360" w:lineRule="auto"/>
        <w:ind w:firstLine="643"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（一）2020年收入情况</w:t>
      </w:r>
    </w:p>
    <w:p>
      <w:pPr>
        <w:autoSpaceDE w:val="0"/>
        <w:spacing w:line="360" w:lineRule="auto"/>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2020年收入130.03万元。其中：其中:一般公共预算财政拨款收入130.03万元,占100%。</w:t>
      </w:r>
    </w:p>
    <w:p>
      <w:pPr>
        <w:autoSpaceDE w:val="0"/>
        <w:spacing w:line="360" w:lineRule="auto"/>
        <w:ind w:firstLine="643"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（二）2020年支出情况：</w:t>
      </w:r>
    </w:p>
    <w:p>
      <w:pPr>
        <w:autoSpaceDE w:val="0"/>
        <w:spacing w:line="360" w:lineRule="auto"/>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1、2020年总支出130.03万元。</w:t>
      </w:r>
    </w:p>
    <w:p>
      <w:pPr>
        <w:autoSpaceDE w:val="0"/>
        <w:spacing w:line="360" w:lineRule="auto"/>
        <w:ind w:firstLine="320" w:firstLineChars="100"/>
        <w:rPr>
          <w:rFonts w:ascii="仿宋_GB2312" w:hAnsi="仿宋_GB2312" w:eastAsia="仿宋_GB2312" w:cs="仿宋_GB2312"/>
          <w:sz w:val="32"/>
          <w:szCs w:val="32"/>
        </w:rPr>
      </w:pPr>
      <w:r>
        <w:rPr>
          <w:rFonts w:hint="eastAsia" w:ascii="仿宋_GB2312" w:hAnsi="仿宋_GB2312" w:eastAsia="仿宋_GB2312" w:cs="仿宋_GB2312"/>
          <w:sz w:val="32"/>
          <w:szCs w:val="32"/>
        </w:rPr>
        <w:t>（1）基本支出126.30万元，其中：</w:t>
      </w:r>
    </w:p>
    <w:p>
      <w:pPr>
        <w:autoSpaceDE w:val="0"/>
        <w:spacing w:line="360" w:lineRule="auto"/>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1、人员经费支出114.21万元。其中：</w:t>
      </w:r>
    </w:p>
    <w:p>
      <w:pPr>
        <w:autoSpaceDE w:val="0"/>
        <w:spacing w:line="360" w:lineRule="auto"/>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行政基本工资27.34万元、津贴补贴31.83万元、年终一次性奖金2.25万元，其他社会保障缴费0.70万元，机关事业单位基本养老保险费9.13万元，机关事业单位职业年金4.57万元，职工基本医疗保险缴费4.00万元，公务员医疗补助1.88万元，住房保障8.96万元，生活补助2.46万元，奖励金21.10万元。</w:t>
      </w:r>
    </w:p>
    <w:p>
      <w:pPr>
        <w:numPr>
          <w:ilvl w:val="0"/>
          <w:numId w:val="8"/>
        </w:numPr>
        <w:autoSpaceDE w:val="0"/>
        <w:spacing w:line="360" w:lineRule="auto"/>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公用经费15.82万元。其中：</w:t>
      </w:r>
    </w:p>
    <w:p>
      <w:pPr>
        <w:autoSpaceDE w:val="0"/>
        <w:spacing w:line="360" w:lineRule="auto"/>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办公费8.02万元、水费0.1万元，电费0.4万元、邮电费0.1万元、</w:t>
      </w:r>
      <w:r>
        <w:rPr>
          <w:rFonts w:hint="eastAsia" w:ascii="仿宋_GB2312" w:hAnsi="仿宋_GB2312" w:eastAsia="仿宋_GB2312" w:cs="仿宋_GB2312"/>
          <w:sz w:val="32"/>
          <w:szCs w:val="32"/>
          <w:lang w:eastAsia="zh-CN"/>
        </w:rPr>
        <w:t>取暖费</w:t>
      </w:r>
      <w:r>
        <w:rPr>
          <w:rFonts w:hint="eastAsia" w:ascii="仿宋_GB2312" w:hAnsi="仿宋_GB2312" w:eastAsia="仿宋_GB2312" w:cs="仿宋_GB2312"/>
          <w:sz w:val="32"/>
          <w:szCs w:val="32"/>
        </w:rPr>
        <w:t>0.2万元，差旅费5.5万元、维修费1万元、培训费0.5</w:t>
      </w:r>
    </w:p>
    <w:p>
      <w:pPr>
        <w:autoSpaceDE w:val="0"/>
        <w:spacing w:line="360" w:lineRule="auto"/>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（2）、项目支出3.73万元，其中：</w:t>
      </w:r>
    </w:p>
    <w:p>
      <w:pPr>
        <w:autoSpaceDE w:val="0"/>
        <w:spacing w:line="360" w:lineRule="auto"/>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档案馆办公费3万元，培训费0.5万元</w:t>
      </w:r>
    </w:p>
    <w:p>
      <w:pPr>
        <w:autoSpaceDE w:val="0"/>
        <w:spacing w:line="360" w:lineRule="auto"/>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（2）2021年1月至6月支出88.04万元。</w:t>
      </w:r>
    </w:p>
    <w:p>
      <w:pPr>
        <w:autoSpaceDE w:val="0"/>
        <w:spacing w:line="360" w:lineRule="auto"/>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1、人员经费支出：82.95万元。其中：</w:t>
      </w:r>
    </w:p>
    <w:p>
      <w:pPr>
        <w:autoSpaceDE w:val="0"/>
        <w:spacing w:line="360" w:lineRule="auto"/>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基本工资15.40万元，津贴补贴18.62万元，其他社会保障缴费0.07万元，其他工资福利支出0.2万元，医疗保障2.37万元，公务员医疗补助1.11万元，住房保障4.95万元，机关事业单位基本养老保险费5.42万元，机关事业单位职业年金2.71万元，目标奖32.10万元。</w:t>
      </w:r>
    </w:p>
    <w:p>
      <w:pPr>
        <w:autoSpaceDE w:val="0"/>
        <w:spacing w:line="360" w:lineRule="auto"/>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2、公用经费支出5.09万元。其中：</w:t>
      </w:r>
    </w:p>
    <w:p>
      <w:pPr>
        <w:autoSpaceDE w:val="0"/>
        <w:spacing w:line="360" w:lineRule="auto"/>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办公费1.88万元，电费0.2万元，差旅费1.22万元，维修费0.21万元，其他交通费1.58</w:t>
      </w:r>
    </w:p>
    <w:p>
      <w:pPr>
        <w:autoSpaceDE w:val="0"/>
        <w:spacing w:line="360" w:lineRule="auto"/>
        <w:ind w:firstLine="643"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三、预算资金管理情况</w:t>
      </w:r>
    </w:p>
    <w:p>
      <w:pPr>
        <w:autoSpaceDE w:val="0"/>
        <w:spacing w:line="360" w:lineRule="auto"/>
        <w:ind w:firstLine="643"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（一）预算编制情况</w:t>
      </w:r>
    </w:p>
    <w:p>
      <w:pPr>
        <w:autoSpaceDE w:val="0"/>
        <w:spacing w:line="360" w:lineRule="auto"/>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按照综合预算编制原则，保证预算编制质量，档案馆所有收入和支出均纳入财政预算管理，公用经费按人员数编制预算，</w:t>
      </w:r>
      <w:r>
        <w:rPr>
          <w:rFonts w:hint="eastAsia" w:ascii="仿宋_GB2312" w:hAnsi="仿宋_GB2312" w:eastAsia="仿宋_GB2312" w:cs="仿宋_GB2312"/>
          <w:sz w:val="32"/>
          <w:szCs w:val="32"/>
          <w:lang w:eastAsia="zh-CN"/>
        </w:rPr>
        <w:t>其他</w:t>
      </w:r>
      <w:r>
        <w:rPr>
          <w:rFonts w:hint="eastAsia" w:ascii="仿宋_GB2312" w:hAnsi="仿宋_GB2312" w:eastAsia="仿宋_GB2312" w:cs="仿宋_GB2312"/>
          <w:sz w:val="32"/>
          <w:szCs w:val="32"/>
        </w:rPr>
        <w:t>经费严格按照《预算法》执行。</w:t>
      </w:r>
    </w:p>
    <w:p>
      <w:pPr>
        <w:autoSpaceDE w:val="0"/>
        <w:spacing w:line="360" w:lineRule="auto"/>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2021年预算情况：</w:t>
      </w:r>
    </w:p>
    <w:p>
      <w:pPr>
        <w:autoSpaceDE w:val="0"/>
        <w:spacing w:line="360" w:lineRule="auto"/>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2021年预算按照编制人数7人编制人员经费，经费合计116.43万元，一是人员经费预算为103.61万元；二是公用经费预算为12.82万元。</w:t>
      </w:r>
    </w:p>
    <w:p>
      <w:pPr>
        <w:autoSpaceDE w:val="0"/>
        <w:spacing w:line="360" w:lineRule="auto"/>
        <w:ind w:firstLine="643"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（二）预算管理情况</w:t>
      </w:r>
    </w:p>
    <w:p>
      <w:pPr>
        <w:autoSpaceDE w:val="0"/>
        <w:spacing w:line="360" w:lineRule="auto"/>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1、加强预算资金拨付管理。人员经费是按月</w:t>
      </w:r>
      <w:r>
        <w:rPr>
          <w:rFonts w:hint="eastAsia" w:ascii="仿宋_GB2312" w:hAnsi="仿宋_GB2312" w:eastAsia="仿宋_GB2312" w:cs="仿宋_GB2312"/>
          <w:sz w:val="32"/>
          <w:szCs w:val="32"/>
          <w:lang w:eastAsia="zh-CN"/>
        </w:rPr>
        <w:t>拨付</w:t>
      </w:r>
      <w:r>
        <w:rPr>
          <w:rFonts w:hint="eastAsia" w:ascii="仿宋_GB2312" w:hAnsi="仿宋_GB2312" w:eastAsia="仿宋_GB2312" w:cs="仿宋_GB2312"/>
          <w:sz w:val="32"/>
          <w:szCs w:val="32"/>
        </w:rPr>
        <w:t>，公用经费是按季度</w:t>
      </w:r>
      <w:r>
        <w:rPr>
          <w:rFonts w:hint="eastAsia" w:ascii="仿宋_GB2312" w:hAnsi="仿宋_GB2312" w:eastAsia="仿宋_GB2312" w:cs="仿宋_GB2312"/>
          <w:sz w:val="32"/>
          <w:szCs w:val="32"/>
          <w:lang w:eastAsia="zh-CN"/>
        </w:rPr>
        <w:t>拨付</w:t>
      </w:r>
      <w:r>
        <w:rPr>
          <w:rFonts w:hint="eastAsia" w:ascii="仿宋_GB2312" w:hAnsi="仿宋_GB2312" w:eastAsia="仿宋_GB2312" w:cs="仿宋_GB2312"/>
          <w:sz w:val="32"/>
          <w:szCs w:val="32"/>
        </w:rPr>
        <w:t>。</w:t>
      </w:r>
    </w:p>
    <w:p>
      <w:pPr>
        <w:widowControl/>
        <w:autoSpaceDE w:val="0"/>
        <w:spacing w:line="360" w:lineRule="auto"/>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2、加强预算的中期评估。根据《预算法》以及部门预算编制重点，结合本单位工作实际，编制2021年预算表，定期分析财政预算</w:t>
      </w:r>
      <w:r>
        <w:rPr>
          <w:rFonts w:hint="eastAsia" w:ascii="仿宋_GB2312" w:hAnsi="仿宋_GB2312" w:eastAsia="仿宋_GB2312" w:cs="仿宋_GB2312"/>
          <w:sz w:val="32"/>
          <w:szCs w:val="32"/>
          <w:lang w:eastAsia="zh-CN"/>
        </w:rPr>
        <w:t>执行</w:t>
      </w:r>
      <w:r>
        <w:rPr>
          <w:rFonts w:hint="eastAsia" w:ascii="仿宋_GB2312" w:hAnsi="仿宋_GB2312" w:eastAsia="仿宋_GB2312" w:cs="仿宋_GB2312"/>
          <w:sz w:val="32"/>
          <w:szCs w:val="32"/>
        </w:rPr>
        <w:t>情况，有效规范和使用财政预算资金，确保财政资金不铺张浪费，积极发挥财政资金的使用效益。</w:t>
      </w:r>
    </w:p>
    <w:p>
      <w:pPr>
        <w:autoSpaceDE w:val="0"/>
        <w:spacing w:line="360" w:lineRule="auto"/>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3、加强“三公”经费管理。金川县档案馆2021年度1-6月份“三公”经费财政拨款支出决算为0万元。</w:t>
      </w:r>
    </w:p>
    <w:p>
      <w:pPr>
        <w:autoSpaceDE w:val="0"/>
        <w:spacing w:line="360" w:lineRule="auto"/>
        <w:ind w:firstLine="643"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（三）综合管理情况</w:t>
      </w:r>
    </w:p>
    <w:p>
      <w:pPr>
        <w:autoSpaceDE w:val="0"/>
        <w:spacing w:line="360" w:lineRule="auto"/>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1、政府采购方面</w:t>
      </w:r>
    </w:p>
    <w:p>
      <w:pPr>
        <w:autoSpaceDE w:val="0"/>
        <w:spacing w:line="360" w:lineRule="auto"/>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加强政府采购管理，我馆凡涉及到办公设备等采购一律严格按照采购程序办理，没有未批先购的情况。</w:t>
      </w:r>
    </w:p>
    <w:p>
      <w:pPr>
        <w:autoSpaceDE w:val="0"/>
        <w:spacing w:line="360" w:lineRule="auto"/>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2、固定资产管理方面</w:t>
      </w:r>
    </w:p>
    <w:p>
      <w:pPr>
        <w:autoSpaceDE w:val="0"/>
        <w:spacing w:line="360" w:lineRule="auto"/>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加强固定资</w:t>
      </w:r>
      <w:r>
        <w:rPr>
          <w:rFonts w:hint="eastAsia" w:ascii="仿宋_GB2312" w:hAnsi="仿宋_GB2312" w:eastAsia="仿宋_GB2312" w:cs="仿宋_GB2312"/>
          <w:sz w:val="32"/>
          <w:szCs w:val="32"/>
          <w:lang w:val="en-US" w:eastAsia="zh-CN"/>
        </w:rPr>
        <w:t>产</w:t>
      </w:r>
      <w:r>
        <w:rPr>
          <w:rFonts w:hint="eastAsia" w:ascii="仿宋_GB2312" w:hAnsi="仿宋_GB2312" w:eastAsia="仿宋_GB2312" w:cs="仿宋_GB2312"/>
          <w:sz w:val="32"/>
          <w:szCs w:val="32"/>
        </w:rPr>
        <w:t>管理。一是建立资产管理系统，确保资产不流失，并积极发挥资产的使用效益；二是建立资产使用</w:t>
      </w:r>
      <w:r>
        <w:rPr>
          <w:rFonts w:hint="eastAsia" w:ascii="仿宋_GB2312" w:hAnsi="仿宋_GB2312" w:eastAsia="仿宋_GB2312" w:cs="仿宋_GB2312"/>
          <w:sz w:val="32"/>
          <w:szCs w:val="32"/>
          <w:lang w:eastAsia="zh-CN"/>
        </w:rPr>
        <w:t>台账</w:t>
      </w:r>
      <w:r>
        <w:rPr>
          <w:rFonts w:hint="eastAsia" w:ascii="仿宋_GB2312" w:hAnsi="仿宋_GB2312" w:eastAsia="仿宋_GB2312" w:cs="仿宋_GB2312"/>
          <w:sz w:val="32"/>
          <w:szCs w:val="32"/>
        </w:rPr>
        <w:t>，实行谁使用谁管理，特别是调离职工所使用的办公设备，实行先移交资产再办理调离手续，有效保证办公设备等资产不流失；三是定期或</w:t>
      </w:r>
      <w:r>
        <w:rPr>
          <w:rFonts w:hint="eastAsia" w:ascii="仿宋_GB2312" w:hAnsi="仿宋_GB2312" w:eastAsia="仿宋_GB2312" w:cs="仿宋_GB2312"/>
          <w:sz w:val="32"/>
          <w:szCs w:val="32"/>
          <w:lang w:eastAsia="zh-CN"/>
        </w:rPr>
        <w:t>不定期地开展</w:t>
      </w:r>
      <w:r>
        <w:rPr>
          <w:rFonts w:hint="eastAsia" w:ascii="仿宋_GB2312" w:hAnsi="仿宋_GB2312" w:eastAsia="仿宋_GB2312" w:cs="仿宋_GB2312"/>
          <w:sz w:val="32"/>
          <w:szCs w:val="32"/>
        </w:rPr>
        <w:t>资产检查和使用情况，防止资产“重使用轻管理”，特别是办公设备管理方面切实做到能用尽用，杜绝重复购置。截止2021年7月19日，固定资产账面数250.56万元，固定资产账面数据和固定资产管理系统数据一致。</w:t>
      </w:r>
    </w:p>
    <w:p>
      <w:pPr>
        <w:autoSpaceDE w:val="0"/>
        <w:spacing w:line="360" w:lineRule="auto"/>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3、内控制度建立方面</w:t>
      </w:r>
    </w:p>
    <w:p>
      <w:pPr>
        <w:ind w:firstLine="640" w:firstLineChars="200"/>
        <w:jc w:val="left"/>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sz w:val="32"/>
          <w:szCs w:val="32"/>
        </w:rPr>
        <w:t>内控制度管理：</w:t>
      </w:r>
      <w:r>
        <w:rPr>
          <w:rFonts w:hint="eastAsia" w:ascii="仿宋_GB2312" w:hAnsi="仿宋_GB2312" w:eastAsia="仿宋_GB2312" w:cs="仿宋_GB2312"/>
          <w:color w:val="000000"/>
          <w:kern w:val="0"/>
          <w:sz w:val="32"/>
          <w:szCs w:val="32"/>
        </w:rPr>
        <w:t>按照国家的法律法规加强预算管理，不断完善内控制度并良好执行，本单位没有出现廉政风险或发生重大责任事故。</w:t>
      </w:r>
    </w:p>
    <w:p>
      <w:pPr>
        <w:autoSpaceDE w:val="0"/>
        <w:spacing w:line="360" w:lineRule="auto"/>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4、信息公开方面</w:t>
      </w:r>
    </w:p>
    <w:p>
      <w:pPr>
        <w:autoSpaceDE w:val="0"/>
        <w:spacing w:line="360" w:lineRule="auto"/>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根据要求，我馆财政预（决）算情况、三公经费使用情况每年都在金川县政府中心的信息网站进行公开。</w:t>
      </w:r>
    </w:p>
    <w:p>
      <w:pPr>
        <w:pStyle w:val="12"/>
        <w:shd w:val="clear" w:color="auto" w:fill="FFFFFF"/>
        <w:spacing w:before="0" w:beforeAutospacing="0" w:after="0" w:afterAutospacing="0" w:line="560" w:lineRule="exact"/>
        <w:ind w:firstLine="643" w:firstLineChars="200"/>
        <w:jc w:val="both"/>
        <w:rPr>
          <w:rFonts w:ascii="仿宋_GB2312" w:hAnsi="仿宋_GB2312" w:eastAsia="仿宋_GB2312" w:cs="仿宋_GB2312"/>
          <w:b/>
          <w:bCs/>
          <w:color w:val="000000"/>
          <w:sz w:val="32"/>
          <w:szCs w:val="32"/>
        </w:rPr>
      </w:pPr>
      <w:r>
        <w:rPr>
          <w:rFonts w:hint="eastAsia" w:ascii="仿宋_GB2312" w:hAnsi="仿宋_GB2312" w:eastAsia="仿宋_GB2312" w:cs="仿宋_GB2312"/>
          <w:b/>
          <w:bCs/>
          <w:color w:val="000000"/>
          <w:sz w:val="32"/>
          <w:szCs w:val="32"/>
        </w:rPr>
        <w:t>四、评价结论及建议</w:t>
      </w:r>
    </w:p>
    <w:p>
      <w:pPr>
        <w:widowControl/>
        <w:shd w:val="clear" w:color="auto" w:fill="FFFFFF"/>
        <w:spacing w:line="560" w:lineRule="atLeast"/>
        <w:ind w:firstLine="480"/>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通过加强预算收支的管理，不断建立健全内部管理制度，理顺内部管理流程，部门整体支出管理情况得到了提升。部门整体支出绩效情况如下：</w:t>
      </w:r>
    </w:p>
    <w:p>
      <w:pPr>
        <w:widowControl/>
        <w:shd w:val="clear" w:color="auto" w:fill="FFFFFF"/>
        <w:spacing w:line="560" w:lineRule="atLeast"/>
        <w:ind w:firstLine="640"/>
        <w:jc w:val="left"/>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1、本年预算安排控制较好，控制在预算编制以内，无“三公”经费预算。</w:t>
      </w:r>
    </w:p>
    <w:p>
      <w:pPr>
        <w:widowControl/>
        <w:shd w:val="clear" w:color="auto" w:fill="FFFFFF"/>
        <w:spacing w:line="560" w:lineRule="atLeast"/>
        <w:ind w:firstLine="640"/>
        <w:rPr>
          <w:rFonts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2、预算执行方面，支出总额控制在预算总额以内；本年无转</w:t>
      </w:r>
      <w:r>
        <w:rPr>
          <w:rFonts w:hint="eastAsia" w:ascii="仿宋_GB2312" w:hAnsi="仿宋_GB2312" w:eastAsia="仿宋_GB2312" w:cs="仿宋_GB2312"/>
          <w:color w:val="000000"/>
          <w:sz w:val="32"/>
          <w:szCs w:val="32"/>
        </w:rPr>
        <w:t>移资金支付，不存在截留或滞留专项资金情况。　</w:t>
      </w:r>
    </w:p>
    <w:p>
      <w:pPr>
        <w:pStyle w:val="12"/>
        <w:spacing w:before="0" w:beforeAutospacing="0" w:after="0" w:afterAutospacing="0" w:line="560" w:lineRule="exact"/>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3、项目产出及社会效益评价</w:t>
      </w:r>
    </w:p>
    <w:p>
      <w:pPr>
        <w:autoSpaceDE w:val="0"/>
        <w:spacing w:line="360" w:lineRule="auto"/>
        <w:ind w:firstLine="640" w:firstLineChars="200"/>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rPr>
        <w:t>2020年，2021年上半年我馆狠抓重点工作，</w:t>
      </w:r>
      <w:r>
        <w:rPr>
          <w:rFonts w:hint="eastAsia" w:ascii="仿宋_GB2312" w:hAnsi="仿宋_GB2312" w:eastAsia="仿宋_GB2312" w:cs="仿宋_GB2312"/>
          <w:color w:val="000000"/>
          <w:sz w:val="32"/>
          <w:szCs w:val="32"/>
          <w:lang w:eastAsia="zh-CN"/>
        </w:rPr>
        <w:t>较好地完成</w:t>
      </w:r>
      <w:r>
        <w:rPr>
          <w:rFonts w:hint="eastAsia" w:ascii="仿宋_GB2312" w:hAnsi="仿宋_GB2312" w:eastAsia="仿宋_GB2312" w:cs="仿宋_GB2312"/>
          <w:color w:val="000000"/>
          <w:sz w:val="32"/>
          <w:szCs w:val="32"/>
        </w:rPr>
        <w:t>了各项目标任务，取得了较好的社会效益。主要绩效如下：一是高度重视，加强档案工作组织领导。为抓好全年档案工作的统一部署，我馆及时制定印发了《全县档案工作目标管理考评内容与评分细则》，对抓好今年档案工作进行了专题研究和具体安排。加强档案的收集和利用，加强档案规范化管理；服务机关企事业单位、服务广大群众，进一步明确了工作方向，为促进并推动全县档案事业的发展打下良好的基础。二是创新工作方式，改进档案服务工作。我局不断拓展档案工作交流平台，创新工作方法，实行工作人员首问责任、限时服务、文明办公服务承诺等措施，进一步丰富了各单位之间的交流方式，提高了档案业务沟通效率，提升了档案利用率，推进了档案工作规范化发展。三是丰富档案馆藏，有效提高档案利用效率。四是加强业务指导，推进档案管理规范化。五是完善基础设施，确保档案保管安全措施到位。</w:t>
      </w:r>
    </w:p>
    <w:p>
      <w:pPr>
        <w:autoSpaceDE w:val="0"/>
        <w:snapToGrid w:val="0"/>
        <w:spacing w:line="560" w:lineRule="exact"/>
        <w:ind w:firstLine="643"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（一）评价结论。</w:t>
      </w:r>
    </w:p>
    <w:p>
      <w:pPr>
        <w:pStyle w:val="12"/>
        <w:shd w:val="clear" w:color="auto" w:fill="FFFFFF"/>
        <w:spacing w:before="0" w:beforeAutospacing="0" w:after="0" w:afterAutospacing="0" w:line="560" w:lineRule="exact"/>
        <w:ind w:firstLine="630"/>
        <w:jc w:val="both"/>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xml:space="preserve">我馆高度重视此次绩效评价工作，召开了专门的会议研究和安排此项工作，责任到人，确保工作按质按量完成。在实施的过程中，按照金财监绩[2021]26号文件的要求，结合我部门财政支出的实际情况，认真对照评价标准进行自评打分，对存在的不足进行梳理整改。 财务支出基本符合相关要求规定，充分发挥了财政资金的作用，档案工作取得了较大的进步，在经济效益、社会效益、生态效益等方面发挥了积极作用。 </w:t>
      </w:r>
    </w:p>
    <w:p>
      <w:pPr>
        <w:pStyle w:val="12"/>
        <w:shd w:val="clear" w:color="auto" w:fill="FFFFFF"/>
        <w:spacing w:before="0" w:beforeAutospacing="0" w:after="0" w:afterAutospacing="0" w:line="560" w:lineRule="exact"/>
        <w:ind w:firstLine="482" w:firstLineChars="150"/>
        <w:jc w:val="both"/>
        <w:rPr>
          <w:rFonts w:ascii="仿宋_GB2312" w:hAnsi="仿宋_GB2312" w:eastAsia="仿宋_GB2312" w:cs="仿宋_GB2312"/>
          <w:b/>
          <w:bCs/>
          <w:color w:val="000000"/>
          <w:sz w:val="32"/>
          <w:szCs w:val="32"/>
        </w:rPr>
      </w:pPr>
      <w:r>
        <w:rPr>
          <w:rFonts w:hint="eastAsia" w:ascii="仿宋_GB2312" w:hAnsi="仿宋_GB2312" w:eastAsia="仿宋_GB2312" w:cs="仿宋_GB2312"/>
          <w:b/>
          <w:bCs/>
          <w:color w:val="000000"/>
          <w:sz w:val="32"/>
          <w:szCs w:val="32"/>
        </w:rPr>
        <w:t xml:space="preserve">（二）存在问题 </w:t>
      </w:r>
    </w:p>
    <w:p>
      <w:pPr>
        <w:pStyle w:val="12"/>
        <w:shd w:val="clear" w:color="auto" w:fill="FFFFFF"/>
        <w:spacing w:before="0" w:beforeAutospacing="0" w:after="0" w:afterAutospacing="0" w:line="560" w:lineRule="exact"/>
        <w:ind w:firstLine="800" w:firstLineChars="250"/>
        <w:jc w:val="both"/>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xml:space="preserve">在资金的使用和安排上取得了较好的预算执行结果，但仍存在预算管理不够完善，资金使用不够科学等问题，我部门认真梳理存在的问题，改进提高工作效率。 </w:t>
      </w:r>
    </w:p>
    <w:p>
      <w:pPr>
        <w:pStyle w:val="12"/>
        <w:shd w:val="clear" w:color="auto" w:fill="FFFFFF"/>
        <w:spacing w:before="0" w:beforeAutospacing="0" w:after="0" w:afterAutospacing="0" w:line="560" w:lineRule="exact"/>
        <w:ind w:firstLine="800" w:firstLineChars="250"/>
        <w:jc w:val="both"/>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xml:space="preserve">1、资金的使用还不完全符合科学性，效益性，基本支出占比较大。 </w:t>
      </w:r>
    </w:p>
    <w:p>
      <w:pPr>
        <w:pStyle w:val="12"/>
        <w:shd w:val="clear" w:color="auto" w:fill="FFFFFF"/>
        <w:spacing w:before="0" w:beforeAutospacing="0" w:after="0" w:afterAutospacing="0" w:line="560" w:lineRule="exact"/>
        <w:ind w:firstLine="800" w:firstLineChars="250"/>
        <w:jc w:val="both"/>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xml:space="preserve">2、固定资产管理不够完善,处置不够规范，有些应报废的固定资产没有及时申报报废。 </w:t>
      </w:r>
    </w:p>
    <w:p>
      <w:pPr>
        <w:widowControl/>
        <w:shd w:val="clear" w:color="auto" w:fill="FFFFFF"/>
        <w:spacing w:before="100" w:beforeAutospacing="1" w:after="100" w:afterAutospacing="1" w:line="600" w:lineRule="atLeast"/>
        <w:ind w:firstLine="800" w:firstLineChars="250"/>
        <w:jc w:val="left"/>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sz w:val="32"/>
          <w:szCs w:val="32"/>
        </w:rPr>
        <w:t>3、</w:t>
      </w:r>
      <w:r>
        <w:rPr>
          <w:rFonts w:hint="eastAsia" w:ascii="仿宋_GB2312" w:hAnsi="仿宋_GB2312" w:eastAsia="仿宋_GB2312" w:cs="仿宋_GB2312"/>
          <w:color w:val="000000"/>
          <w:kern w:val="0"/>
          <w:sz w:val="32"/>
          <w:szCs w:val="32"/>
        </w:rPr>
        <w:t>全</w:t>
      </w:r>
      <w:r>
        <w:rPr>
          <w:rFonts w:hint="eastAsia" w:ascii="仿宋_GB2312" w:hAnsi="仿宋_GB2312" w:eastAsia="仿宋_GB2312" w:cs="仿宋_GB2312"/>
          <w:color w:val="000000"/>
          <w:sz w:val="32"/>
          <w:szCs w:val="32"/>
        </w:rPr>
        <w:t>县</w:t>
      </w:r>
      <w:r>
        <w:rPr>
          <w:rFonts w:hint="eastAsia" w:ascii="仿宋_GB2312" w:hAnsi="仿宋_GB2312" w:eastAsia="仿宋_GB2312" w:cs="仿宋_GB2312"/>
          <w:color w:val="000000"/>
          <w:kern w:val="0"/>
          <w:sz w:val="32"/>
          <w:szCs w:val="32"/>
        </w:rPr>
        <w:t>档案部门信息化建设程度仍比较低，着力推进信息化建设势在必行。</w:t>
      </w:r>
    </w:p>
    <w:p>
      <w:pPr>
        <w:widowControl/>
        <w:shd w:val="clear" w:color="auto" w:fill="FFFFFF"/>
        <w:spacing w:before="100" w:beforeAutospacing="1" w:after="100" w:afterAutospacing="1" w:line="600" w:lineRule="atLeast"/>
        <w:ind w:firstLine="480"/>
        <w:jc w:val="left"/>
        <w:rPr>
          <w:rStyle w:val="15"/>
          <w:rFonts w:ascii="仿宋_GB2312" w:hAnsi="仿宋_GB2312" w:eastAsia="仿宋_GB2312" w:cs="仿宋_GB2312"/>
          <w:bCs/>
          <w:color w:val="000000"/>
          <w:kern w:val="0"/>
          <w:sz w:val="32"/>
          <w:szCs w:val="32"/>
        </w:rPr>
      </w:pPr>
      <w:r>
        <w:rPr>
          <w:rStyle w:val="15"/>
          <w:rFonts w:hint="eastAsia" w:ascii="仿宋_GB2312" w:hAnsi="仿宋_GB2312" w:eastAsia="仿宋_GB2312" w:cs="仿宋_GB2312"/>
          <w:bCs/>
          <w:color w:val="000000"/>
          <w:sz w:val="32"/>
          <w:szCs w:val="32"/>
        </w:rPr>
        <w:t>（三）改进建议</w:t>
      </w:r>
    </w:p>
    <w:p>
      <w:pPr>
        <w:pStyle w:val="12"/>
        <w:spacing w:before="0" w:beforeAutospacing="0" w:after="0" w:afterAutospacing="0" w:line="560" w:lineRule="exact"/>
        <w:ind w:firstLine="800" w:firstLineChars="25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1、严格按照《会计法》、《行政单位会计制度》、《行政单位财务规则》等规定执行财务核算，并结合实际情况，完整、准确地披露相关信息，尽可能地做到决算与预算相衔接。</w:t>
      </w:r>
    </w:p>
    <w:p>
      <w:pPr>
        <w:pStyle w:val="12"/>
        <w:spacing w:before="0" w:beforeAutospacing="0" w:after="0" w:afterAutospacing="0" w:line="56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xml:space="preserve">2、进一步加强内部控制，注重资金管理的事前、事中、事后的全过程监督，加强资金使用效率。 </w:t>
      </w:r>
    </w:p>
    <w:p>
      <w:pPr>
        <w:pStyle w:val="12"/>
        <w:spacing w:before="0" w:beforeAutospacing="0" w:after="0" w:afterAutospacing="0" w:line="560" w:lineRule="exact"/>
        <w:ind w:firstLine="645"/>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xml:space="preserve">3、资产的核销与报废应加强管理，严格按照《固定资产管理办法》的规定加强固定资产管理，及时办理登记、报废等手续，每年对资产进行及时盘点和清查，真正做到账实相符。       </w:t>
      </w:r>
    </w:p>
    <w:p>
      <w:pPr>
        <w:pStyle w:val="12"/>
        <w:spacing w:before="0" w:beforeAutospacing="0" w:after="0" w:afterAutospacing="0" w:line="560" w:lineRule="exact"/>
        <w:ind w:firstLine="645"/>
        <w:rPr>
          <w:rFonts w:ascii="仿宋_GB2312" w:hAnsi="仿宋_GB2312" w:eastAsia="仿宋_GB2312" w:cs="仿宋_GB2312"/>
          <w:color w:val="000000"/>
          <w:sz w:val="32"/>
          <w:szCs w:val="32"/>
        </w:rPr>
      </w:pPr>
    </w:p>
    <w:p>
      <w:pPr>
        <w:pStyle w:val="12"/>
        <w:spacing w:before="0" w:beforeAutospacing="0" w:after="0" w:afterAutospacing="0" w:line="560" w:lineRule="exact"/>
        <w:ind w:firstLine="645"/>
        <w:jc w:val="right"/>
        <w:rPr>
          <w:rFonts w:ascii="仿宋_GB2312" w:hAnsi="仿宋_GB2312" w:eastAsia="仿宋_GB2312" w:cs="仿宋_GB2312"/>
          <w:color w:val="000000"/>
          <w:sz w:val="32"/>
          <w:szCs w:val="32"/>
        </w:rPr>
      </w:pPr>
    </w:p>
    <w:p>
      <w:pPr>
        <w:pStyle w:val="12"/>
        <w:spacing w:before="0" w:beforeAutospacing="0" w:after="0" w:afterAutospacing="0" w:line="560" w:lineRule="exact"/>
        <w:ind w:firstLine="645"/>
        <w:jc w:val="right"/>
        <w:rPr>
          <w:rFonts w:ascii="仿宋_GB2312" w:hAnsi="仿宋_GB2312" w:eastAsia="仿宋_GB2312" w:cs="仿宋_GB2312"/>
          <w:color w:val="000000"/>
          <w:sz w:val="32"/>
          <w:szCs w:val="32"/>
        </w:rPr>
      </w:pPr>
    </w:p>
    <w:p>
      <w:pPr>
        <w:pStyle w:val="12"/>
        <w:spacing w:before="0" w:beforeAutospacing="0" w:after="0" w:afterAutospacing="0" w:line="560" w:lineRule="exact"/>
        <w:ind w:firstLine="645"/>
        <w:jc w:val="right"/>
        <w:rPr>
          <w:rFonts w:ascii="仿宋_GB2312" w:hAnsi="仿宋_GB2312" w:eastAsia="仿宋_GB2312" w:cs="仿宋_GB2312"/>
          <w:color w:val="000000"/>
          <w:sz w:val="32"/>
          <w:szCs w:val="32"/>
        </w:rPr>
      </w:pPr>
    </w:p>
    <w:p>
      <w:pPr>
        <w:pStyle w:val="12"/>
        <w:spacing w:before="0" w:beforeAutospacing="0" w:after="0" w:afterAutospacing="0" w:line="560" w:lineRule="exact"/>
        <w:ind w:firstLine="645"/>
        <w:jc w:val="right"/>
        <w:rPr>
          <w:rFonts w:ascii="仿宋_GB2312" w:hAnsi="仿宋_GB2312" w:eastAsia="仿宋_GB2312" w:cs="仿宋_GB2312"/>
          <w:color w:val="000000"/>
          <w:sz w:val="32"/>
          <w:szCs w:val="32"/>
        </w:rPr>
      </w:pPr>
    </w:p>
    <w:p>
      <w:pPr>
        <w:pStyle w:val="12"/>
        <w:spacing w:before="0" w:beforeAutospacing="0" w:after="0" w:afterAutospacing="0" w:line="560" w:lineRule="exact"/>
        <w:ind w:firstLine="645"/>
        <w:jc w:val="right"/>
        <w:rPr>
          <w:rFonts w:ascii="仿宋_GB2312" w:hAnsi="仿宋_GB2312" w:eastAsia="仿宋_GB2312" w:cs="仿宋_GB2312"/>
          <w:color w:val="000000"/>
          <w:sz w:val="32"/>
          <w:szCs w:val="32"/>
        </w:rPr>
      </w:pPr>
    </w:p>
    <w:p>
      <w:pPr>
        <w:pStyle w:val="12"/>
        <w:spacing w:before="0" w:beforeAutospacing="0" w:after="0" w:afterAutospacing="0" w:line="560" w:lineRule="exact"/>
        <w:ind w:firstLine="645"/>
        <w:jc w:val="right"/>
        <w:rPr>
          <w:rFonts w:ascii="仿宋_GB2312" w:hAnsi="仿宋_GB2312" w:eastAsia="仿宋_GB2312" w:cs="仿宋_GB2312"/>
          <w:color w:val="000000"/>
          <w:sz w:val="32"/>
          <w:szCs w:val="32"/>
        </w:rPr>
      </w:pPr>
    </w:p>
    <w:p>
      <w:pPr>
        <w:pStyle w:val="12"/>
        <w:spacing w:before="0" w:beforeAutospacing="0" w:after="0" w:afterAutospacing="0" w:line="560" w:lineRule="exact"/>
        <w:ind w:firstLine="645"/>
        <w:jc w:val="right"/>
        <w:rPr>
          <w:rFonts w:ascii="仿宋_GB2312" w:hAnsi="仿宋_GB2312" w:eastAsia="仿宋_GB2312" w:cs="仿宋_GB2312"/>
          <w:color w:val="000000"/>
          <w:sz w:val="32"/>
          <w:szCs w:val="32"/>
        </w:rPr>
      </w:pPr>
    </w:p>
    <w:p>
      <w:pPr>
        <w:pStyle w:val="12"/>
        <w:spacing w:before="0" w:beforeAutospacing="0" w:after="0" w:afterAutospacing="0" w:line="560" w:lineRule="exact"/>
        <w:ind w:firstLine="645"/>
        <w:jc w:val="right"/>
        <w:rPr>
          <w:rFonts w:ascii="仿宋_GB2312" w:hAnsi="仿宋_GB2312" w:eastAsia="仿宋_GB2312" w:cs="仿宋_GB2312"/>
          <w:color w:val="000000"/>
          <w:sz w:val="32"/>
          <w:szCs w:val="32"/>
        </w:rPr>
      </w:pPr>
    </w:p>
    <w:p>
      <w:pPr>
        <w:pStyle w:val="12"/>
        <w:spacing w:before="0" w:beforeAutospacing="0" w:after="0" w:afterAutospacing="0" w:line="560" w:lineRule="exact"/>
        <w:ind w:firstLine="645"/>
        <w:jc w:val="right"/>
        <w:rPr>
          <w:rFonts w:ascii="仿宋_GB2312" w:hAnsi="仿宋_GB2312" w:eastAsia="仿宋_GB2312" w:cs="仿宋_GB2312"/>
          <w:color w:val="000000"/>
          <w:sz w:val="32"/>
          <w:szCs w:val="32"/>
        </w:rPr>
      </w:pPr>
    </w:p>
    <w:p>
      <w:pPr>
        <w:pStyle w:val="12"/>
        <w:spacing w:before="0" w:beforeAutospacing="0" w:after="0" w:afterAutospacing="0" w:line="560" w:lineRule="exact"/>
        <w:ind w:firstLine="645"/>
        <w:jc w:val="right"/>
        <w:rPr>
          <w:rFonts w:ascii="仿宋_GB2312" w:hAnsi="仿宋_GB2312" w:eastAsia="仿宋_GB2312" w:cs="仿宋_GB2312"/>
          <w:color w:val="000000"/>
          <w:sz w:val="32"/>
          <w:szCs w:val="32"/>
        </w:rPr>
      </w:pPr>
    </w:p>
    <w:p>
      <w:pPr>
        <w:pStyle w:val="12"/>
        <w:spacing w:before="0" w:beforeAutospacing="0" w:after="0" w:afterAutospacing="0" w:line="560" w:lineRule="exact"/>
        <w:ind w:firstLine="645"/>
        <w:jc w:val="right"/>
        <w:rPr>
          <w:rFonts w:ascii="仿宋_GB2312" w:hAnsi="仿宋_GB2312" w:eastAsia="仿宋_GB2312" w:cs="仿宋_GB2312"/>
          <w:color w:val="000000"/>
          <w:sz w:val="32"/>
          <w:szCs w:val="32"/>
        </w:rPr>
      </w:pPr>
    </w:p>
    <w:p>
      <w:pPr>
        <w:pStyle w:val="12"/>
        <w:spacing w:before="0" w:beforeAutospacing="0" w:after="0" w:afterAutospacing="0" w:line="560" w:lineRule="exact"/>
        <w:ind w:firstLine="645"/>
        <w:jc w:val="right"/>
        <w:rPr>
          <w:rFonts w:ascii="仿宋_GB2312" w:hAnsi="仿宋_GB2312" w:eastAsia="仿宋_GB2312" w:cs="仿宋_GB2312"/>
          <w:color w:val="000000"/>
          <w:sz w:val="32"/>
          <w:szCs w:val="32"/>
        </w:rPr>
      </w:pPr>
    </w:p>
    <w:p>
      <w:pPr>
        <w:pStyle w:val="12"/>
        <w:spacing w:before="0" w:beforeAutospacing="0" w:after="0" w:afterAutospacing="0" w:line="560" w:lineRule="exact"/>
        <w:ind w:firstLine="645"/>
        <w:jc w:val="right"/>
        <w:rPr>
          <w:rFonts w:ascii="仿宋_GB2312" w:hAnsi="仿宋_GB2312" w:eastAsia="仿宋_GB2312" w:cs="仿宋_GB2312"/>
          <w:color w:val="000000"/>
          <w:sz w:val="32"/>
          <w:szCs w:val="32"/>
        </w:rPr>
      </w:pPr>
    </w:p>
    <w:p>
      <w:pPr>
        <w:pStyle w:val="12"/>
        <w:spacing w:before="0" w:beforeAutospacing="0" w:after="0" w:afterAutospacing="0" w:line="560" w:lineRule="exact"/>
        <w:ind w:firstLine="645"/>
        <w:jc w:val="right"/>
        <w:rPr>
          <w:rFonts w:ascii="仿宋_GB2312" w:hAnsi="仿宋_GB2312" w:eastAsia="仿宋_GB2312" w:cs="仿宋_GB2312"/>
          <w:color w:val="000000"/>
          <w:sz w:val="32"/>
          <w:szCs w:val="32"/>
        </w:rPr>
      </w:pPr>
    </w:p>
    <w:p>
      <w:pPr>
        <w:pStyle w:val="12"/>
        <w:spacing w:before="0" w:beforeAutospacing="0" w:after="0" w:afterAutospacing="0" w:line="560" w:lineRule="exact"/>
        <w:ind w:firstLine="645"/>
        <w:jc w:val="right"/>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xml:space="preserve">金川县档案馆    </w:t>
      </w:r>
    </w:p>
    <w:p>
      <w:pPr>
        <w:pStyle w:val="12"/>
        <w:spacing w:before="0" w:beforeAutospacing="0" w:after="0" w:afterAutospacing="0" w:line="560" w:lineRule="exact"/>
        <w:ind w:firstLine="645"/>
        <w:jc w:val="right"/>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2021年7月23日</w:t>
      </w:r>
    </w:p>
    <w:p>
      <w:pPr>
        <w:spacing w:line="560" w:lineRule="exact"/>
        <w:rPr>
          <w:rFonts w:ascii="仿宋_GB2312" w:hAnsi="仿宋_GB2312" w:eastAsia="仿宋_GB2312" w:cs="仿宋_GB2312"/>
          <w:color w:val="000000"/>
          <w:sz w:val="32"/>
          <w:szCs w:val="32"/>
        </w:rPr>
      </w:pPr>
    </w:p>
    <w:p>
      <w:pPr>
        <w:spacing w:line="360" w:lineRule="auto"/>
        <w:rPr>
          <w:sz w:val="32"/>
          <w:szCs w:val="32"/>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Style w:val="17"/>
          <w:rFonts w:ascii="黑体" w:eastAsia="黑体"/>
          <w:b w:val="0"/>
        </w:rPr>
      </w:pPr>
      <w:r>
        <w:rPr>
          <w:rFonts w:hint="eastAsia" w:ascii="黑体" w:eastAsia="黑体"/>
          <w:color w:val="000000"/>
          <w:sz w:val="44"/>
          <w:szCs w:val="44"/>
        </w:rPr>
        <w:t>第</w:t>
      </w:r>
      <w:r>
        <w:rPr>
          <w:rStyle w:val="17"/>
          <w:rFonts w:hint="eastAsia" w:ascii="黑体" w:eastAsia="黑体"/>
          <w:b w:val="0"/>
        </w:rPr>
        <w:t>五部分 附表</w:t>
      </w:r>
      <w:bookmarkEnd w:id="60"/>
    </w:p>
    <w:p>
      <w:pPr>
        <w:pStyle w:val="3"/>
        <w:rPr>
          <w:rFonts w:ascii="仿宋" w:eastAsia="仿宋"/>
          <w:color w:val="000000"/>
        </w:rPr>
      </w:pPr>
      <w:r>
        <w:rPr>
          <w:rFonts w:hint="eastAsia" w:ascii="仿宋" w:eastAsia="仿宋"/>
          <w:b w:val="0"/>
          <w:color w:val="000000"/>
        </w:rPr>
        <w:t>一、收</w:t>
      </w:r>
      <w:r>
        <w:rPr>
          <w:rStyle w:val="18"/>
          <w:rFonts w:hint="eastAsia" w:ascii="仿宋" w:eastAsia="仿宋"/>
          <w:b w:val="0"/>
          <w:bCs w:val="0"/>
        </w:rPr>
        <w:t>入支出决算总表</w:t>
      </w:r>
      <w:bookmarkEnd w:id="61"/>
    </w:p>
    <w:p>
      <w:pPr>
        <w:pStyle w:val="3"/>
        <w:rPr>
          <w:rFonts w:ascii="仿宋" w:eastAsia="仿宋"/>
          <w:color w:val="000000"/>
        </w:rPr>
      </w:pPr>
      <w:bookmarkStart w:id="62" w:name="_Toc15396620"/>
      <w:r>
        <w:rPr>
          <w:rFonts w:hint="eastAsia" w:ascii="仿宋" w:eastAsia="仿宋"/>
          <w:b w:val="0"/>
          <w:color w:val="000000"/>
        </w:rPr>
        <w:t>二、收</w:t>
      </w:r>
      <w:r>
        <w:rPr>
          <w:rStyle w:val="18"/>
          <w:rFonts w:hint="eastAsia" w:ascii="仿宋" w:eastAsia="仿宋"/>
          <w:b w:val="0"/>
          <w:bCs w:val="0"/>
        </w:rPr>
        <w:t>入总表</w:t>
      </w:r>
      <w:bookmarkEnd w:id="62"/>
    </w:p>
    <w:p>
      <w:pPr>
        <w:pStyle w:val="3"/>
        <w:rPr>
          <w:rFonts w:ascii="仿宋" w:eastAsia="仿宋"/>
          <w:color w:val="000000"/>
        </w:rPr>
      </w:pPr>
      <w:bookmarkStart w:id="63" w:name="_Toc15396621"/>
      <w:r>
        <w:rPr>
          <w:rStyle w:val="18"/>
          <w:rFonts w:hint="eastAsia" w:ascii="仿宋" w:eastAsia="仿宋"/>
          <w:b w:val="0"/>
          <w:bCs w:val="0"/>
        </w:rPr>
        <w:t>三、</w:t>
      </w:r>
      <w:r>
        <w:rPr>
          <w:rFonts w:hint="eastAsia" w:ascii="仿宋" w:eastAsia="仿宋"/>
          <w:b w:val="0"/>
          <w:color w:val="000000"/>
        </w:rPr>
        <w:t>支</w:t>
      </w:r>
      <w:r>
        <w:rPr>
          <w:rStyle w:val="18"/>
          <w:rFonts w:hint="eastAsia" w:ascii="仿宋" w:eastAsia="仿宋"/>
          <w:b w:val="0"/>
          <w:bCs w:val="0"/>
        </w:rPr>
        <w:t>出总表</w:t>
      </w:r>
      <w:bookmarkEnd w:id="63"/>
    </w:p>
    <w:p>
      <w:pPr>
        <w:pStyle w:val="3"/>
        <w:rPr>
          <w:rFonts w:ascii="仿宋" w:eastAsia="仿宋"/>
          <w:b w:val="0"/>
          <w:color w:val="000000"/>
        </w:rPr>
      </w:pPr>
      <w:bookmarkStart w:id="64" w:name="_Toc15396622"/>
      <w:r>
        <w:rPr>
          <w:rStyle w:val="18"/>
          <w:rFonts w:hint="eastAsia" w:ascii="仿宋" w:eastAsia="仿宋"/>
          <w:b w:val="0"/>
          <w:bCs w:val="0"/>
        </w:rPr>
        <w:t>四、</w:t>
      </w:r>
      <w:r>
        <w:rPr>
          <w:rFonts w:hint="eastAsia" w:ascii="仿宋" w:eastAsia="仿宋"/>
          <w:b w:val="0"/>
          <w:color w:val="000000"/>
        </w:rPr>
        <w:t>财</w:t>
      </w:r>
      <w:r>
        <w:rPr>
          <w:rStyle w:val="18"/>
          <w:rFonts w:hint="eastAsia" w:ascii="仿宋" w:eastAsia="仿宋"/>
          <w:b w:val="0"/>
          <w:bCs w:val="0"/>
        </w:rPr>
        <w:t>政拨款收入支出决算总表</w:t>
      </w:r>
      <w:bookmarkEnd w:id="64"/>
    </w:p>
    <w:p>
      <w:pPr>
        <w:pStyle w:val="3"/>
        <w:rPr>
          <w:rFonts w:ascii="仿宋" w:eastAsia="仿宋"/>
          <w:color w:val="000000"/>
        </w:rPr>
      </w:pPr>
      <w:bookmarkStart w:id="65" w:name="_Toc15396623"/>
      <w:r>
        <w:rPr>
          <w:rStyle w:val="18"/>
          <w:rFonts w:hint="eastAsia" w:ascii="仿宋" w:eastAsia="仿宋"/>
          <w:b w:val="0"/>
          <w:bCs w:val="0"/>
        </w:rPr>
        <w:t>五、</w:t>
      </w:r>
      <w:r>
        <w:rPr>
          <w:rFonts w:hint="eastAsia" w:ascii="仿宋" w:eastAsia="仿宋"/>
          <w:b w:val="0"/>
          <w:color w:val="000000"/>
        </w:rPr>
        <w:t>财</w:t>
      </w:r>
      <w:r>
        <w:rPr>
          <w:rStyle w:val="18"/>
          <w:rFonts w:hint="eastAsia" w:ascii="仿宋" w:eastAsia="仿宋"/>
          <w:b w:val="0"/>
          <w:bCs w:val="0"/>
        </w:rPr>
        <w:t>政拨款支出决算明细表（政府经济分类科目）</w:t>
      </w:r>
      <w:bookmarkEnd w:id="65"/>
    </w:p>
    <w:p>
      <w:pPr>
        <w:pStyle w:val="3"/>
        <w:rPr>
          <w:rFonts w:ascii="仿宋" w:eastAsia="仿宋"/>
          <w:color w:val="000000"/>
        </w:rPr>
      </w:pPr>
      <w:bookmarkStart w:id="66" w:name="_Toc15396624"/>
      <w:r>
        <w:rPr>
          <w:rStyle w:val="18"/>
          <w:rFonts w:hint="eastAsia" w:ascii="仿宋" w:eastAsia="仿宋"/>
          <w:b w:val="0"/>
          <w:bCs w:val="0"/>
        </w:rPr>
        <w:t>六、</w:t>
      </w:r>
      <w:r>
        <w:rPr>
          <w:rFonts w:hint="eastAsia" w:ascii="仿宋" w:eastAsia="仿宋"/>
          <w:b w:val="0"/>
          <w:color w:val="000000"/>
        </w:rPr>
        <w:t>一</w:t>
      </w:r>
      <w:r>
        <w:rPr>
          <w:rStyle w:val="18"/>
          <w:rFonts w:hint="eastAsia" w:ascii="仿宋" w:eastAsia="仿宋"/>
          <w:b w:val="0"/>
          <w:bCs w:val="0"/>
        </w:rPr>
        <w:t>般公共预算财政拨款支出决算表</w:t>
      </w:r>
      <w:bookmarkEnd w:id="66"/>
    </w:p>
    <w:p>
      <w:pPr>
        <w:pStyle w:val="3"/>
        <w:rPr>
          <w:rFonts w:ascii="仿宋" w:eastAsia="仿宋"/>
          <w:color w:val="000000"/>
        </w:rPr>
      </w:pPr>
      <w:bookmarkStart w:id="67" w:name="_Toc15396625"/>
      <w:r>
        <w:rPr>
          <w:rStyle w:val="18"/>
          <w:rFonts w:hint="eastAsia" w:ascii="仿宋" w:eastAsia="仿宋"/>
          <w:b w:val="0"/>
          <w:bCs w:val="0"/>
        </w:rPr>
        <w:t>七、</w:t>
      </w:r>
      <w:r>
        <w:rPr>
          <w:rFonts w:hint="eastAsia" w:ascii="仿宋" w:eastAsia="仿宋"/>
          <w:b w:val="0"/>
          <w:color w:val="000000"/>
        </w:rPr>
        <w:t>一</w:t>
      </w:r>
      <w:r>
        <w:rPr>
          <w:rStyle w:val="18"/>
          <w:rFonts w:hint="eastAsia" w:ascii="仿宋" w:eastAsia="仿宋"/>
          <w:b w:val="0"/>
          <w:bCs w:val="0"/>
        </w:rPr>
        <w:t>般公共预算财政拨款支出决算明细表</w:t>
      </w:r>
      <w:bookmarkEnd w:id="67"/>
    </w:p>
    <w:p>
      <w:pPr>
        <w:pStyle w:val="3"/>
        <w:rPr>
          <w:rFonts w:ascii="仿宋" w:eastAsia="仿宋"/>
          <w:color w:val="000000"/>
        </w:rPr>
      </w:pPr>
      <w:bookmarkStart w:id="68" w:name="_Toc15396626"/>
      <w:r>
        <w:rPr>
          <w:rStyle w:val="18"/>
          <w:rFonts w:hint="eastAsia" w:ascii="仿宋" w:eastAsia="仿宋"/>
          <w:b w:val="0"/>
          <w:bCs w:val="0"/>
        </w:rPr>
        <w:t>八、</w:t>
      </w:r>
      <w:r>
        <w:rPr>
          <w:rFonts w:hint="eastAsia" w:ascii="仿宋" w:eastAsia="仿宋"/>
          <w:b w:val="0"/>
          <w:color w:val="000000"/>
        </w:rPr>
        <w:t>一</w:t>
      </w:r>
      <w:r>
        <w:rPr>
          <w:rStyle w:val="18"/>
          <w:rFonts w:hint="eastAsia" w:ascii="仿宋" w:eastAsia="仿宋"/>
          <w:b w:val="0"/>
          <w:bCs w:val="0"/>
        </w:rPr>
        <w:t>般公共预算财政拨款基本支出决算表</w:t>
      </w:r>
      <w:bookmarkEnd w:id="68"/>
    </w:p>
    <w:p>
      <w:pPr>
        <w:pStyle w:val="3"/>
        <w:rPr>
          <w:rFonts w:ascii="仿宋" w:eastAsia="仿宋"/>
          <w:color w:val="000000"/>
        </w:rPr>
      </w:pPr>
      <w:bookmarkStart w:id="69" w:name="_Toc15396627"/>
      <w:r>
        <w:rPr>
          <w:rStyle w:val="18"/>
          <w:rFonts w:hint="eastAsia" w:ascii="仿宋" w:eastAsia="仿宋"/>
          <w:b w:val="0"/>
          <w:bCs w:val="0"/>
        </w:rPr>
        <w:t>九、</w:t>
      </w:r>
      <w:r>
        <w:rPr>
          <w:rFonts w:hint="eastAsia" w:ascii="仿宋" w:eastAsia="仿宋"/>
          <w:b w:val="0"/>
          <w:color w:val="000000"/>
        </w:rPr>
        <w:t>一</w:t>
      </w:r>
      <w:r>
        <w:rPr>
          <w:rStyle w:val="18"/>
          <w:rFonts w:hint="eastAsia" w:ascii="仿宋" w:eastAsia="仿宋"/>
          <w:b w:val="0"/>
          <w:bCs w:val="0"/>
        </w:rPr>
        <w:t>般公共预算财政拨款项目支出决算表</w:t>
      </w:r>
      <w:bookmarkEnd w:id="69"/>
    </w:p>
    <w:p>
      <w:pPr>
        <w:pStyle w:val="3"/>
        <w:rPr>
          <w:rFonts w:ascii="仿宋" w:eastAsia="仿宋"/>
          <w:color w:val="000000"/>
        </w:rPr>
      </w:pPr>
      <w:bookmarkStart w:id="70" w:name="_Toc15396628"/>
      <w:r>
        <w:rPr>
          <w:rStyle w:val="18"/>
          <w:rFonts w:hint="eastAsia" w:ascii="仿宋" w:eastAsia="仿宋"/>
          <w:b w:val="0"/>
          <w:bCs w:val="0"/>
        </w:rPr>
        <w:t>十、</w:t>
      </w:r>
      <w:r>
        <w:rPr>
          <w:rFonts w:hint="eastAsia" w:ascii="仿宋" w:eastAsia="仿宋"/>
          <w:b w:val="0"/>
          <w:color w:val="000000"/>
        </w:rPr>
        <w:t>一</w:t>
      </w:r>
      <w:r>
        <w:rPr>
          <w:rStyle w:val="18"/>
          <w:rFonts w:hint="eastAsia" w:ascii="仿宋" w:eastAsia="仿宋"/>
          <w:b w:val="0"/>
          <w:bCs w:val="0"/>
        </w:rPr>
        <w:t>般公共预算财政拨款“三公”经费支出决算表</w:t>
      </w:r>
      <w:bookmarkEnd w:id="70"/>
    </w:p>
    <w:p>
      <w:pPr>
        <w:pStyle w:val="3"/>
        <w:rPr>
          <w:rFonts w:ascii="仿宋" w:eastAsia="仿宋"/>
          <w:color w:val="000000"/>
        </w:rPr>
      </w:pPr>
      <w:bookmarkStart w:id="71" w:name="_Toc15396629"/>
      <w:r>
        <w:rPr>
          <w:rStyle w:val="18"/>
          <w:rFonts w:hint="eastAsia" w:ascii="仿宋" w:eastAsia="仿宋"/>
          <w:b w:val="0"/>
          <w:bCs w:val="0"/>
        </w:rPr>
        <w:t>十一、</w:t>
      </w:r>
      <w:r>
        <w:rPr>
          <w:rFonts w:hint="eastAsia" w:ascii="仿宋" w:eastAsia="仿宋"/>
          <w:b w:val="0"/>
          <w:color w:val="000000"/>
        </w:rPr>
        <w:t>政</w:t>
      </w:r>
      <w:r>
        <w:rPr>
          <w:rStyle w:val="18"/>
          <w:rFonts w:hint="eastAsia" w:ascii="仿宋" w:eastAsia="仿宋"/>
          <w:b w:val="0"/>
          <w:bCs w:val="0"/>
        </w:rPr>
        <w:t>府性基金预算财政拨款收入支出决算表</w:t>
      </w:r>
      <w:bookmarkEnd w:id="71"/>
    </w:p>
    <w:p>
      <w:pPr>
        <w:pStyle w:val="3"/>
        <w:rPr>
          <w:rFonts w:ascii="仿宋" w:eastAsia="仿宋"/>
          <w:color w:val="000000"/>
        </w:rPr>
      </w:pPr>
      <w:bookmarkStart w:id="72" w:name="_Toc15396630"/>
      <w:r>
        <w:rPr>
          <w:rStyle w:val="18"/>
          <w:rFonts w:hint="eastAsia" w:ascii="仿宋" w:eastAsia="仿宋"/>
          <w:b w:val="0"/>
          <w:bCs w:val="0"/>
        </w:rPr>
        <w:t>十二、</w:t>
      </w:r>
      <w:r>
        <w:rPr>
          <w:rFonts w:hint="eastAsia" w:ascii="仿宋" w:eastAsia="仿宋"/>
          <w:b w:val="0"/>
          <w:color w:val="000000"/>
        </w:rPr>
        <w:t>政</w:t>
      </w:r>
      <w:r>
        <w:rPr>
          <w:rStyle w:val="18"/>
          <w:rFonts w:hint="eastAsia" w:ascii="仿宋" w:eastAsia="仿宋"/>
          <w:b w:val="0"/>
          <w:bCs w:val="0"/>
        </w:rPr>
        <w:t>府性基金预算财政拨款“三公”经费支出决算表</w:t>
      </w:r>
      <w:bookmarkEnd w:id="72"/>
    </w:p>
    <w:p>
      <w:pPr>
        <w:pStyle w:val="3"/>
        <w:rPr>
          <w:rFonts w:ascii="仿宋" w:eastAsia="仿宋"/>
          <w:color w:val="000000"/>
        </w:rPr>
      </w:pPr>
      <w:bookmarkStart w:id="73" w:name="_Toc15396631"/>
      <w:r>
        <w:rPr>
          <w:rStyle w:val="18"/>
          <w:rFonts w:hint="eastAsia" w:ascii="仿宋" w:eastAsia="仿宋"/>
          <w:b w:val="0"/>
          <w:bCs w:val="0"/>
        </w:rPr>
        <w:t>十三、</w:t>
      </w:r>
      <w:r>
        <w:rPr>
          <w:rFonts w:hint="eastAsia" w:ascii="仿宋" w:eastAsia="仿宋"/>
          <w:b w:val="0"/>
          <w:color w:val="000000"/>
        </w:rPr>
        <w:t>国</w:t>
      </w:r>
      <w:r>
        <w:rPr>
          <w:rStyle w:val="18"/>
          <w:rFonts w:hint="eastAsia" w:ascii="仿宋" w:eastAsia="仿宋"/>
          <w:b w:val="0"/>
          <w:bCs w:val="0"/>
        </w:rPr>
        <w:t>有资本经营预算支出决算表</w:t>
      </w:r>
      <w:bookmarkEnd w:id="73"/>
    </w:p>
    <w:sectPr>
      <w:headerReference r:id="rId3" w:type="default"/>
      <w:footerReference r:id="rId4" w:type="default"/>
      <w:pgSz w:w="11906" w:h="16838"/>
      <w:pgMar w:top="1440" w:right="1800" w:bottom="1440" w:left="1800"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微软雅黑"/>
    <w:panose1 w:val="00000000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Arial">
    <w:panose1 w:val="020B0604020202020204"/>
    <w:charset w:val="00"/>
    <w:family w:val="swiss"/>
    <w:pitch w:val="default"/>
    <w:sig w:usb0="E0002EFF" w:usb1="C000785B" w:usb2="00000009" w:usb3="00000000" w:csb0="400001FF" w:csb1="FFFF0000"/>
  </w:font>
  <w:font w:name="楷体">
    <w:panose1 w:val="02010609060101010101"/>
    <w:charset w:val="86"/>
    <w:family w:val="modern"/>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00" w:usb3="00000000" w:csb0="00040000" w:csb1="00000000"/>
  </w:font>
  <w:font w:name="方正小标宋_GBK">
    <w:altName w:val="微软雅黑"/>
    <w:panose1 w:val="00000000000000000000"/>
    <w:charset w:val="86"/>
    <w:family w:val="auto"/>
    <w:pitch w:val="default"/>
    <w:sig w:usb0="00000000" w:usb1="00000000" w:usb2="00000000" w:usb3="00000000" w:csb0="00040000"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144439983"/>
      <w:docPartList>
        <w:docPartGallery w:val="Quick Parts"/>
      </w:docPartList>
    </w:sdtPr>
    <w:sdtContent>
      <w:p>
        <w:pPr>
          <w:pStyle w:val="8"/>
          <w:jc w:val="center"/>
        </w:pPr>
        <w:r>
          <w:fldChar w:fldCharType="begin"/>
        </w:r>
        <w:r>
          <w:instrText xml:space="preserve">PAGE   \* MERGEFORMAT</w:instrText>
        </w:r>
        <w:r>
          <w:fldChar w:fldCharType="separate"/>
        </w:r>
        <w:r>
          <w:rPr>
            <w:lang w:val="zh-CN"/>
          </w:rPr>
          <w:t>20</w:t>
        </w:r>
        <w:r>
          <w:fldChar w:fldCharType="end"/>
        </w:r>
      </w:p>
    </w:sdtContent>
  </w:sdt>
  <w:p>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88260E8"/>
    <w:multiLevelType w:val="singleLevel"/>
    <w:tmpl w:val="C88260E8"/>
    <w:lvl w:ilvl="0" w:tentative="0">
      <w:start w:val="2"/>
      <w:numFmt w:val="decimal"/>
      <w:suff w:val="nothing"/>
      <w:lvlText w:val="%1、"/>
      <w:lvlJc w:val="left"/>
    </w:lvl>
  </w:abstractNum>
  <w:abstractNum w:abstractNumId="1">
    <w:nsid w:val="CF652CEC"/>
    <w:multiLevelType w:val="singleLevel"/>
    <w:tmpl w:val="CF652CEC"/>
    <w:lvl w:ilvl="0" w:tentative="0">
      <w:start w:val="9"/>
      <w:numFmt w:val="chineseCounting"/>
      <w:suff w:val="nothing"/>
      <w:lvlText w:val="%1、"/>
      <w:lvlJc w:val="left"/>
      <w:pPr>
        <w:tabs>
          <w:tab w:val="left" w:pos="0"/>
        </w:tabs>
        <w:ind w:left="0" w:firstLine="0"/>
      </w:pPr>
      <w:rPr>
        <w:rFonts w:hint="eastAsia"/>
      </w:rPr>
    </w:lvl>
  </w:abstractNum>
  <w:abstractNum w:abstractNumId="2">
    <w:nsid w:val="E2FA047D"/>
    <w:multiLevelType w:val="singleLevel"/>
    <w:tmpl w:val="E2FA047D"/>
    <w:lvl w:ilvl="0" w:tentative="0">
      <w:start w:val="3"/>
      <w:numFmt w:val="chineseCounting"/>
      <w:suff w:val="space"/>
      <w:lvlText w:val="第%1部分"/>
      <w:lvlJc w:val="left"/>
      <w:pPr>
        <w:tabs>
          <w:tab w:val="left" w:pos="0"/>
        </w:tabs>
        <w:ind w:left="0" w:firstLine="0"/>
      </w:pPr>
      <w:rPr>
        <w:rFonts w:hint="eastAsia"/>
      </w:rPr>
    </w:lvl>
  </w:abstractNum>
  <w:abstractNum w:abstractNumId="3">
    <w:nsid w:val="EC0BEF30"/>
    <w:multiLevelType w:val="singleLevel"/>
    <w:tmpl w:val="EC0BEF30"/>
    <w:lvl w:ilvl="0" w:tentative="0">
      <w:start w:val="1"/>
      <w:numFmt w:val="chineseCounting"/>
      <w:suff w:val="nothing"/>
      <w:lvlText w:val="（%1）"/>
      <w:lvlJc w:val="left"/>
      <w:pPr>
        <w:tabs>
          <w:tab w:val="left" w:pos="0"/>
        </w:tabs>
        <w:ind w:left="0" w:firstLine="0"/>
      </w:pPr>
      <w:rPr>
        <w:rFonts w:hint="eastAsia" w:ascii="楷体_GB2312" w:hAnsi="楷体_GB2312" w:eastAsia="楷体_GB2312" w:cs="楷体_GB2312"/>
        <w:b/>
        <w:bCs/>
        <w:sz w:val="32"/>
        <w:szCs w:val="32"/>
      </w:rPr>
    </w:lvl>
  </w:abstractNum>
  <w:abstractNum w:abstractNumId="4">
    <w:nsid w:val="1272550B"/>
    <w:multiLevelType w:val="multilevel"/>
    <w:tmpl w:val="1272550B"/>
    <w:lvl w:ilvl="0" w:tentative="0">
      <w:start w:val="1"/>
      <w:numFmt w:val="japaneseCounting"/>
      <w:lvlText w:val="%1、"/>
      <w:lvlJc w:val="left"/>
      <w:pPr>
        <w:tabs>
          <w:tab w:val="left" w:pos="0"/>
        </w:tabs>
        <w:ind w:left="1360" w:hanging="720"/>
      </w:pPr>
      <w:rPr>
        <w:rFonts w:hint="default"/>
        <w:b w:val="0"/>
      </w:rPr>
    </w:lvl>
    <w:lvl w:ilvl="1" w:tentative="0">
      <w:start w:val="1"/>
      <w:numFmt w:val="lowerLetter"/>
      <w:lvlText w:val="%2)"/>
      <w:lvlJc w:val="left"/>
      <w:pPr>
        <w:tabs>
          <w:tab w:val="left" w:pos="0"/>
        </w:tabs>
        <w:ind w:left="1480" w:hanging="420"/>
      </w:pPr>
    </w:lvl>
    <w:lvl w:ilvl="2" w:tentative="0">
      <w:start w:val="1"/>
      <w:numFmt w:val="lowerRoman"/>
      <w:lvlText w:val="%3."/>
      <w:lvlJc w:val="right"/>
      <w:pPr>
        <w:tabs>
          <w:tab w:val="left" w:pos="0"/>
        </w:tabs>
        <w:ind w:left="1900" w:hanging="420"/>
      </w:pPr>
    </w:lvl>
    <w:lvl w:ilvl="3" w:tentative="0">
      <w:start w:val="1"/>
      <w:numFmt w:val="decimal"/>
      <w:lvlText w:val="%4."/>
      <w:lvlJc w:val="left"/>
      <w:pPr>
        <w:tabs>
          <w:tab w:val="left" w:pos="0"/>
        </w:tabs>
        <w:ind w:left="2320" w:hanging="420"/>
      </w:pPr>
    </w:lvl>
    <w:lvl w:ilvl="4" w:tentative="0">
      <w:start w:val="1"/>
      <w:numFmt w:val="lowerLetter"/>
      <w:lvlText w:val="%5)"/>
      <w:lvlJc w:val="left"/>
      <w:pPr>
        <w:tabs>
          <w:tab w:val="left" w:pos="0"/>
        </w:tabs>
        <w:ind w:left="2740" w:hanging="420"/>
      </w:pPr>
    </w:lvl>
    <w:lvl w:ilvl="5" w:tentative="0">
      <w:start w:val="1"/>
      <w:numFmt w:val="lowerRoman"/>
      <w:lvlText w:val="%6."/>
      <w:lvlJc w:val="right"/>
      <w:pPr>
        <w:tabs>
          <w:tab w:val="left" w:pos="0"/>
        </w:tabs>
        <w:ind w:left="3160" w:hanging="420"/>
      </w:pPr>
    </w:lvl>
    <w:lvl w:ilvl="6" w:tentative="0">
      <w:start w:val="1"/>
      <w:numFmt w:val="decimal"/>
      <w:lvlText w:val="%7."/>
      <w:lvlJc w:val="left"/>
      <w:pPr>
        <w:tabs>
          <w:tab w:val="left" w:pos="0"/>
        </w:tabs>
        <w:ind w:left="3580" w:hanging="420"/>
      </w:pPr>
    </w:lvl>
    <w:lvl w:ilvl="7" w:tentative="0">
      <w:start w:val="1"/>
      <w:numFmt w:val="lowerLetter"/>
      <w:lvlText w:val="%8)"/>
      <w:lvlJc w:val="left"/>
      <w:pPr>
        <w:tabs>
          <w:tab w:val="left" w:pos="0"/>
        </w:tabs>
        <w:ind w:left="4000" w:hanging="420"/>
      </w:pPr>
    </w:lvl>
    <w:lvl w:ilvl="8" w:tentative="0">
      <w:start w:val="1"/>
      <w:numFmt w:val="lowerRoman"/>
      <w:lvlText w:val="%9."/>
      <w:lvlJc w:val="right"/>
      <w:pPr>
        <w:tabs>
          <w:tab w:val="left" w:pos="0"/>
        </w:tabs>
        <w:ind w:left="4420" w:hanging="420"/>
      </w:pPr>
    </w:lvl>
  </w:abstractNum>
  <w:abstractNum w:abstractNumId="5">
    <w:nsid w:val="17F426B7"/>
    <w:multiLevelType w:val="multilevel"/>
    <w:tmpl w:val="17F426B7"/>
    <w:lvl w:ilvl="0" w:tentative="0">
      <w:start w:val="10"/>
      <w:numFmt w:val="japaneseCounting"/>
      <w:lvlText w:val="%1、"/>
      <w:lvlJc w:val="left"/>
      <w:pPr>
        <w:tabs>
          <w:tab w:val="left" w:pos="0"/>
        </w:tabs>
        <w:ind w:left="1429" w:hanging="720"/>
      </w:pPr>
      <w:rPr>
        <w:rFonts w:hint="default"/>
      </w:rPr>
    </w:lvl>
    <w:lvl w:ilvl="1" w:tentative="0">
      <w:start w:val="1"/>
      <w:numFmt w:val="lowerLetter"/>
      <w:lvlText w:val="%2)"/>
      <w:lvlJc w:val="left"/>
      <w:pPr>
        <w:tabs>
          <w:tab w:val="left" w:pos="0"/>
        </w:tabs>
        <w:ind w:left="1549" w:hanging="420"/>
      </w:pPr>
    </w:lvl>
    <w:lvl w:ilvl="2" w:tentative="0">
      <w:start w:val="1"/>
      <w:numFmt w:val="lowerRoman"/>
      <w:lvlText w:val="%3."/>
      <w:lvlJc w:val="right"/>
      <w:pPr>
        <w:tabs>
          <w:tab w:val="left" w:pos="0"/>
        </w:tabs>
        <w:ind w:left="1969" w:hanging="420"/>
      </w:pPr>
    </w:lvl>
    <w:lvl w:ilvl="3" w:tentative="0">
      <w:start w:val="1"/>
      <w:numFmt w:val="decimal"/>
      <w:lvlText w:val="%4."/>
      <w:lvlJc w:val="left"/>
      <w:pPr>
        <w:tabs>
          <w:tab w:val="left" w:pos="0"/>
        </w:tabs>
        <w:ind w:left="2389" w:hanging="420"/>
      </w:pPr>
    </w:lvl>
    <w:lvl w:ilvl="4" w:tentative="0">
      <w:start w:val="1"/>
      <w:numFmt w:val="lowerLetter"/>
      <w:lvlText w:val="%5)"/>
      <w:lvlJc w:val="left"/>
      <w:pPr>
        <w:tabs>
          <w:tab w:val="left" w:pos="0"/>
        </w:tabs>
        <w:ind w:left="2809" w:hanging="420"/>
      </w:pPr>
    </w:lvl>
    <w:lvl w:ilvl="5" w:tentative="0">
      <w:start w:val="1"/>
      <w:numFmt w:val="lowerRoman"/>
      <w:lvlText w:val="%6."/>
      <w:lvlJc w:val="right"/>
      <w:pPr>
        <w:tabs>
          <w:tab w:val="left" w:pos="0"/>
        </w:tabs>
        <w:ind w:left="3229" w:hanging="420"/>
      </w:pPr>
    </w:lvl>
    <w:lvl w:ilvl="6" w:tentative="0">
      <w:start w:val="1"/>
      <w:numFmt w:val="decimal"/>
      <w:lvlText w:val="%7."/>
      <w:lvlJc w:val="left"/>
      <w:pPr>
        <w:tabs>
          <w:tab w:val="left" w:pos="0"/>
        </w:tabs>
        <w:ind w:left="3649" w:hanging="420"/>
      </w:pPr>
    </w:lvl>
    <w:lvl w:ilvl="7" w:tentative="0">
      <w:start w:val="1"/>
      <w:numFmt w:val="lowerLetter"/>
      <w:lvlText w:val="%8)"/>
      <w:lvlJc w:val="left"/>
      <w:pPr>
        <w:tabs>
          <w:tab w:val="left" w:pos="0"/>
        </w:tabs>
        <w:ind w:left="4069" w:hanging="420"/>
      </w:pPr>
    </w:lvl>
    <w:lvl w:ilvl="8" w:tentative="0">
      <w:start w:val="1"/>
      <w:numFmt w:val="lowerRoman"/>
      <w:lvlText w:val="%9."/>
      <w:lvlJc w:val="right"/>
      <w:pPr>
        <w:tabs>
          <w:tab w:val="left" w:pos="0"/>
        </w:tabs>
        <w:ind w:left="4489" w:hanging="420"/>
      </w:pPr>
    </w:lvl>
  </w:abstractNum>
  <w:abstractNum w:abstractNumId="6">
    <w:nsid w:val="6C2B87D3"/>
    <w:multiLevelType w:val="singleLevel"/>
    <w:tmpl w:val="6C2B87D3"/>
    <w:lvl w:ilvl="0" w:tentative="0">
      <w:start w:val="1"/>
      <w:numFmt w:val="decimal"/>
      <w:lvlText w:val="%1."/>
      <w:lvlJc w:val="left"/>
      <w:pPr>
        <w:tabs>
          <w:tab w:val="left" w:pos="312"/>
        </w:tabs>
      </w:pPr>
    </w:lvl>
  </w:abstractNum>
  <w:abstractNum w:abstractNumId="7">
    <w:nsid w:val="78D72DD4"/>
    <w:multiLevelType w:val="singleLevel"/>
    <w:tmpl w:val="78D72DD4"/>
    <w:lvl w:ilvl="0" w:tentative="0">
      <w:start w:val="3"/>
      <w:numFmt w:val="decimal"/>
      <w:lvlText w:val="%1."/>
      <w:lvlJc w:val="left"/>
      <w:pPr>
        <w:tabs>
          <w:tab w:val="left" w:pos="0"/>
        </w:tabs>
        <w:ind w:left="0" w:firstLine="0"/>
      </w:pPr>
    </w:lvl>
  </w:abstractNum>
  <w:num w:numId="1">
    <w:abstractNumId w:val="4"/>
  </w:num>
  <w:num w:numId="2">
    <w:abstractNumId w:val="6"/>
  </w:num>
  <w:num w:numId="3">
    <w:abstractNumId w:val="7"/>
  </w:num>
  <w:num w:numId="4">
    <w:abstractNumId w:val="1"/>
  </w:num>
  <w:num w:numId="5">
    <w:abstractNumId w:val="5"/>
  </w:num>
  <w:num w:numId="6">
    <w:abstractNumId w:val="3"/>
  </w:num>
  <w:num w:numId="7">
    <w:abstractNumId w:val="2"/>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1"/>
  <w:bordersDoNotSurroundFooter w:val="1"/>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2"/>
  </w:compat>
  <w:rsids>
    <w:rsidRoot w:val="003B1ECB"/>
    <w:rsid w:val="003B1ECB"/>
    <w:rsid w:val="008117FE"/>
    <w:rsid w:val="008A229B"/>
    <w:rsid w:val="00A21AC0"/>
    <w:rsid w:val="089155EC"/>
    <w:rsid w:val="0AD5627F"/>
    <w:rsid w:val="12834949"/>
    <w:rsid w:val="1CCA637A"/>
    <w:rsid w:val="23A51B1C"/>
    <w:rsid w:val="2B572107"/>
    <w:rsid w:val="2C614D50"/>
    <w:rsid w:val="2D1919B9"/>
    <w:rsid w:val="33ED6F50"/>
    <w:rsid w:val="42252B85"/>
    <w:rsid w:val="726B3EDE"/>
    <w:rsid w:val="72B520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7"/>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18"/>
    <w:uiPriority w:val="0"/>
    <w:pPr>
      <w:keepNext/>
      <w:keepLines/>
      <w:spacing w:before="260" w:after="260" w:line="415" w:lineRule="auto"/>
      <w:outlineLvl w:val="1"/>
    </w:pPr>
    <w:rPr>
      <w:rFonts w:ascii="Cambria" w:hAnsi="Cambria"/>
      <w:b/>
      <w:bCs/>
      <w:sz w:val="32"/>
      <w:szCs w:val="32"/>
    </w:rPr>
  </w:style>
  <w:style w:type="paragraph" w:styleId="4">
    <w:name w:val="heading 3"/>
    <w:basedOn w:val="1"/>
    <w:next w:val="1"/>
    <w:qFormat/>
    <w:uiPriority w:val="0"/>
    <w:pPr>
      <w:keepNext/>
      <w:keepLines/>
      <w:spacing w:before="260" w:after="260" w:line="415" w:lineRule="auto"/>
      <w:outlineLvl w:val="2"/>
    </w:pPr>
    <w:rPr>
      <w:b/>
      <w:bCs/>
      <w:sz w:val="32"/>
      <w:szCs w:val="32"/>
    </w:rPr>
  </w:style>
  <w:style w:type="character" w:default="1" w:styleId="14">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5">
    <w:name w:val="Body Text"/>
    <w:basedOn w:val="1"/>
    <w:qFormat/>
    <w:uiPriority w:val="0"/>
    <w:pPr>
      <w:spacing w:beforeLines="30"/>
    </w:pPr>
    <w:rPr>
      <w:rFonts w:ascii="仿宋_GB2312" w:eastAsia="仿宋_GB2312"/>
      <w:kern w:val="0"/>
      <w:sz w:val="30"/>
    </w:rPr>
  </w:style>
  <w:style w:type="paragraph" w:styleId="6">
    <w:name w:val="toc 3"/>
    <w:basedOn w:val="1"/>
    <w:next w:val="1"/>
    <w:qFormat/>
    <w:uiPriority w:val="0"/>
    <w:pPr>
      <w:tabs>
        <w:tab w:val="right" w:leader="dot" w:pos="8296"/>
      </w:tabs>
      <w:ind w:left="400" w:leftChars="400"/>
    </w:pPr>
  </w:style>
  <w:style w:type="paragraph" w:styleId="7">
    <w:name w:val="Balloon Text"/>
    <w:basedOn w:val="1"/>
    <w:qFormat/>
    <w:uiPriority w:val="0"/>
    <w:rPr>
      <w:sz w:val="18"/>
      <w:szCs w:val="18"/>
    </w:rPr>
  </w:style>
  <w:style w:type="paragraph" w:styleId="8">
    <w:name w:val="footer"/>
    <w:basedOn w:val="1"/>
    <w:qFormat/>
    <w:uiPriority w:val="0"/>
    <w:pPr>
      <w:tabs>
        <w:tab w:val="center" w:pos="4153"/>
        <w:tab w:val="right" w:pos="8306"/>
      </w:tabs>
      <w:snapToGrid w:val="0"/>
      <w:jc w:val="left"/>
    </w:pPr>
    <w:rPr>
      <w:rFonts w:ascii="Calibri" w:hAnsi="Calibri"/>
      <w:kern w:val="0"/>
      <w:sz w:val="18"/>
      <w:szCs w:val="18"/>
    </w:rPr>
  </w:style>
  <w:style w:type="paragraph" w:styleId="9">
    <w:name w:val="header"/>
    <w:basedOn w:val="1"/>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0">
    <w:name w:val="toc 1"/>
    <w:basedOn w:val="1"/>
    <w:next w:val="1"/>
    <w:qFormat/>
    <w:uiPriority w:val="0"/>
    <w:pPr>
      <w:tabs>
        <w:tab w:val="right" w:leader="dot" w:pos="8296"/>
      </w:tabs>
      <w:spacing w:before="93"/>
      <w:jc w:val="center"/>
    </w:pPr>
    <w:rPr>
      <w:rFonts w:ascii="仿宋" w:eastAsia="仿宋"/>
      <w:sz w:val="28"/>
      <w:szCs w:val="28"/>
    </w:rPr>
  </w:style>
  <w:style w:type="paragraph" w:styleId="11">
    <w:name w:val="toc 2"/>
    <w:basedOn w:val="1"/>
    <w:next w:val="1"/>
    <w:qFormat/>
    <w:uiPriority w:val="0"/>
    <w:pPr>
      <w:tabs>
        <w:tab w:val="right" w:leader="dot" w:pos="8296"/>
      </w:tabs>
      <w:ind w:left="200" w:leftChars="200"/>
    </w:pPr>
  </w:style>
  <w:style w:type="paragraph" w:styleId="12">
    <w:name w:val="Normal (Web)"/>
    <w:basedOn w:val="1"/>
    <w:qFormat/>
    <w:uiPriority w:val="0"/>
    <w:pPr>
      <w:spacing w:before="100" w:beforeAutospacing="1" w:after="100" w:afterAutospacing="1"/>
      <w:jc w:val="left"/>
    </w:pPr>
    <w:rPr>
      <w:kern w:val="0"/>
      <w:sz w:val="24"/>
    </w:rPr>
  </w:style>
  <w:style w:type="character" w:styleId="15">
    <w:name w:val="Strong"/>
    <w:basedOn w:val="14"/>
    <w:qFormat/>
    <w:uiPriority w:val="0"/>
    <w:rPr>
      <w:b/>
    </w:rPr>
  </w:style>
  <w:style w:type="character" w:styleId="16">
    <w:name w:val="Hyperlink"/>
    <w:basedOn w:val="14"/>
    <w:qFormat/>
    <w:uiPriority w:val="0"/>
    <w:rPr>
      <w:color w:val="0000FF"/>
      <w:u w:val="single"/>
    </w:rPr>
  </w:style>
  <w:style w:type="character" w:customStyle="1" w:styleId="17">
    <w:name w:val="标题 1 Char"/>
    <w:basedOn w:val="14"/>
    <w:link w:val="2"/>
    <w:qFormat/>
    <w:uiPriority w:val="0"/>
    <w:rPr>
      <w:rFonts w:ascii="Times New Roman" w:hAnsi="Times New Roman" w:eastAsia="宋体" w:cs="Times New Roman"/>
      <w:b/>
      <w:bCs/>
      <w:kern w:val="44"/>
      <w:sz w:val="44"/>
      <w:szCs w:val="44"/>
      <w:lang w:val="en-US" w:eastAsia="zh-CN" w:bidi="ar-SA"/>
    </w:rPr>
  </w:style>
  <w:style w:type="character" w:customStyle="1" w:styleId="18">
    <w:name w:val="标题 2 Char"/>
    <w:basedOn w:val="14"/>
    <w:link w:val="3"/>
    <w:qFormat/>
    <w:uiPriority w:val="0"/>
    <w:rPr>
      <w:rFonts w:ascii="Cambria" w:hAnsi="Cambria" w:eastAsia="宋体" w:cs="Times New Roman"/>
      <w:b/>
      <w:bCs/>
      <w:kern w:val="2"/>
      <w:sz w:val="32"/>
      <w:szCs w:val="32"/>
      <w:lang w:val="en-US" w:eastAsia="zh-CN" w:bidi="ar-SA"/>
    </w:rPr>
  </w:style>
  <w:style w:type="character" w:customStyle="1" w:styleId="19">
    <w:name w:val="Header Char"/>
    <w:basedOn w:val="14"/>
    <w:qFormat/>
    <w:uiPriority w:val="0"/>
    <w:rPr>
      <w:rFonts w:ascii="Times New Roman" w:hAnsi="Times New Roman"/>
      <w:sz w:val="18"/>
      <w:szCs w:val="18"/>
    </w:rPr>
  </w:style>
  <w:style w:type="character" w:customStyle="1" w:styleId="20">
    <w:name w:val="Footer Char"/>
    <w:basedOn w:val="14"/>
    <w:qFormat/>
    <w:uiPriority w:val="0"/>
    <w:rPr>
      <w:rFonts w:ascii="Times New Roman" w:hAnsi="Times New Roman"/>
      <w:sz w:val="18"/>
      <w:szCs w:val="18"/>
    </w:rPr>
  </w:style>
  <w:style w:type="character" w:customStyle="1" w:styleId="21">
    <w:name w:val="Body Text Char"/>
    <w:basedOn w:val="14"/>
    <w:qFormat/>
    <w:uiPriority w:val="0"/>
    <w:rPr>
      <w:rFonts w:ascii="Times New Roman" w:hAnsi="Times New Roman"/>
      <w:szCs w:val="24"/>
    </w:rPr>
  </w:style>
  <w:style w:type="paragraph" w:customStyle="1" w:styleId="22">
    <w:name w:val="Default"/>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paragraph" w:styleId="23">
    <w:name w:val="List Paragraph"/>
    <w:basedOn w:val="1"/>
    <w:qFormat/>
    <w:uiPriority w:val="0"/>
    <w:pPr>
      <w:ind w:firstLine="200" w:firstLineChars="200"/>
    </w:pPr>
  </w:style>
  <w:style w:type="paragraph" w:customStyle="1" w:styleId="24">
    <w:name w:val="TOC 标题1"/>
    <w:basedOn w:val="2"/>
    <w:next w:val="1"/>
    <w:qFormat/>
    <w:uiPriority w:val="0"/>
    <w:pPr>
      <w:widowControl/>
      <w:spacing w:before="480" w:after="0" w:line="276" w:lineRule="auto"/>
      <w:jc w:val="left"/>
      <w:outlineLvl w:val="9"/>
    </w:pPr>
    <w:rPr>
      <w:rFonts w:ascii="Cambria" w:hAnsi="Cambria"/>
      <w:color w:val="376092"/>
      <w:kern w:val="0"/>
      <w:sz w:val="28"/>
      <w:szCs w:val="28"/>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xlsx"/></Relationships>
</file>

<file path=word/charts/_rels/chart2.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3.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_rels/chart4.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总收支</a:t>
            </a:r>
          </a:p>
        </c:rich>
      </c:tx>
      <c:layout/>
      <c:overlay val="0"/>
      <c:spPr>
        <a:noFill/>
        <a:ln>
          <a:noFill/>
        </a:ln>
        <a:effectLst/>
      </c:spPr>
    </c:title>
    <c:autoTitleDeleted val="0"/>
    <c:plotArea>
      <c:layout>
        <c:manualLayout>
          <c:layoutTarget val="inner"/>
          <c:xMode val="edge"/>
          <c:yMode val="edge"/>
          <c:x val="0.091075"/>
          <c:y val="0.005"/>
          <c:w val="0.905175"/>
          <c:h val="0.7169"/>
        </c:manualLayout>
      </c:layout>
      <c:barChart>
        <c:barDir val="col"/>
        <c:grouping val="clustered"/>
        <c:varyColors val="0"/>
        <c:ser>
          <c:idx val="0"/>
          <c:order val="0"/>
          <c:tx>
            <c:strRef>
              <c:f>Sheet1!$B$1</c:f>
              <c:strCache>
                <c:ptCount val="1"/>
                <c:pt idx="0">
                  <c:v>2019年</c:v>
                </c:pt>
              </c:strCache>
            </c:strRef>
          </c:tx>
          <c:spPr>
            <a:solidFill>
              <a:schemeClr val="accent1"/>
            </a:solidFill>
            <a:ln>
              <a:noFill/>
            </a:ln>
            <a:effectLst/>
          </c:spPr>
          <c:invertIfNegative val="0"/>
          <c:dLbls>
            <c:delete val="1"/>
          </c:dLbls>
          <c:cat>
            <c:strRef>
              <c:f>Sheet1!$A$2:$A$3</c:f>
              <c:strCache>
                <c:ptCount val="2"/>
                <c:pt idx="0">
                  <c:v>总收入</c:v>
                </c:pt>
                <c:pt idx="1">
                  <c:v>总支出</c:v>
                </c:pt>
              </c:strCache>
            </c:strRef>
          </c:cat>
          <c:val>
            <c:numRef>
              <c:f>Sheet1!$B$2:$B$3</c:f>
              <c:numCache>
                <c:formatCode>General</c:formatCode>
                <c:ptCount val="2"/>
                <c:pt idx="0">
                  <c:v>136.32</c:v>
                </c:pt>
                <c:pt idx="1">
                  <c:v>157.17</c:v>
                </c:pt>
              </c:numCache>
            </c:numRef>
          </c:val>
        </c:ser>
        <c:ser>
          <c:idx val="1"/>
          <c:order val="1"/>
          <c:tx>
            <c:strRef>
              <c:f>Sheet1!$C$1</c:f>
              <c:strCache>
                <c:ptCount val="1"/>
                <c:pt idx="0">
                  <c:v>2020年</c:v>
                </c:pt>
              </c:strCache>
            </c:strRef>
          </c:tx>
          <c:spPr>
            <a:solidFill>
              <a:schemeClr val="accent2"/>
            </a:solidFill>
            <a:ln>
              <a:noFill/>
            </a:ln>
            <a:effectLst/>
          </c:spPr>
          <c:invertIfNegative val="0"/>
          <c:dLbls>
            <c:delete val="1"/>
          </c:dLbls>
          <c:cat>
            <c:strRef>
              <c:f>Sheet1!$A$2:$A$3</c:f>
              <c:strCache>
                <c:ptCount val="2"/>
                <c:pt idx="0">
                  <c:v>总收入</c:v>
                </c:pt>
                <c:pt idx="1">
                  <c:v>总支出</c:v>
                </c:pt>
              </c:strCache>
            </c:strRef>
          </c:cat>
          <c:val>
            <c:numRef>
              <c:f>Sheet1!$C$2:$C$3</c:f>
              <c:numCache>
                <c:formatCode>General</c:formatCode>
                <c:ptCount val="2"/>
                <c:pt idx="0">
                  <c:v>130.03</c:v>
                </c:pt>
                <c:pt idx="1">
                  <c:v>130.03</c:v>
                </c:pt>
              </c:numCache>
            </c:numRef>
          </c:val>
        </c:ser>
        <c:dLbls>
          <c:showLegendKey val="0"/>
          <c:showVal val="0"/>
          <c:showCatName val="0"/>
          <c:showSerName val="0"/>
          <c:showPercent val="0"/>
          <c:showBubbleSize val="0"/>
        </c:dLbls>
        <c:gapWidth val="219"/>
        <c:overlap val="-27"/>
        <c:axId val="116975488"/>
        <c:axId val="116977024"/>
      </c:barChart>
      <c:catAx>
        <c:axId val="116975488"/>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16977024"/>
        <c:crosses val="autoZero"/>
        <c:auto val="1"/>
        <c:lblAlgn val="ctr"/>
        <c:lblOffset val="100"/>
        <c:noMultiLvlLbl val="0"/>
      </c:catAx>
      <c:valAx>
        <c:axId val="11697702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16975488"/>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总支出</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delete val="1"/>
          </c:dLbls>
          <c:cat>
            <c:strRef>
              <c:f>Sheet1!$A$2:$A$3</c:f>
              <c:strCache>
                <c:ptCount val="2"/>
                <c:pt idx="0">
                  <c:v>基本支出</c:v>
                </c:pt>
                <c:pt idx="1">
                  <c:v>项目支出</c:v>
                </c:pt>
              </c:strCache>
            </c:strRef>
          </c:cat>
          <c:val>
            <c:numRef>
              <c:f>Sheet1!$B$2:$B$3</c:f>
              <c:numCache>
                <c:formatCode>0.00%</c:formatCode>
                <c:ptCount val="2"/>
                <c:pt idx="0">
                  <c:v>0.9714</c:v>
                </c:pt>
                <c:pt idx="1">
                  <c:v>0.0286</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支出决算结构情况</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delete val="1"/>
          </c:dLbls>
          <c:cat>
            <c:strRef>
              <c:f>Sheet1!$A$2:$A$5</c:f>
              <c:strCache>
                <c:ptCount val="4"/>
                <c:pt idx="0">
                  <c:v>一般公共服务</c:v>
                </c:pt>
                <c:pt idx="1">
                  <c:v>教育支出</c:v>
                </c:pt>
                <c:pt idx="2">
                  <c:v>社会保障和就业</c:v>
                </c:pt>
                <c:pt idx="3">
                  <c:v>卫生健康支出</c:v>
                </c:pt>
              </c:strCache>
            </c:strRef>
          </c:cat>
          <c:val>
            <c:numRef>
              <c:f>Sheet1!$B$2:$B$5</c:f>
              <c:numCache>
                <c:formatCode>0.00%</c:formatCode>
                <c:ptCount val="4"/>
                <c:pt idx="0">
                  <c:v>0.775</c:v>
                </c:pt>
                <c:pt idx="1">
                  <c:v>0.0038</c:v>
                </c:pt>
                <c:pt idx="2">
                  <c:v>0.1054</c:v>
                </c:pt>
                <c:pt idx="3" c:formatCode="0%">
                  <c:v>0.047</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基本支出情况</a:t>
            </a:r>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系列 1</c:v>
                </c:pt>
              </c:strCache>
            </c:strRef>
          </c:tx>
          <c:spPr>
            <a:solidFill>
              <a:schemeClr val="accent1"/>
            </a:solidFill>
            <a:ln>
              <a:noFill/>
            </a:ln>
            <a:effectLst/>
          </c:spPr>
          <c:invertIfNegative val="0"/>
          <c:dLbls>
            <c:delete val="1"/>
          </c:dLbls>
          <c:cat>
            <c:strRef>
              <c:f>Sheet1!$A$2:$A$10</c:f>
              <c:strCache>
                <c:ptCount val="9"/>
                <c:pt idx="0">
                  <c:v>基本工资</c:v>
                </c:pt>
                <c:pt idx="1">
                  <c:v>津贴补贴</c:v>
                </c:pt>
                <c:pt idx="2">
                  <c:v>职业年金</c:v>
                </c:pt>
                <c:pt idx="3">
                  <c:v>奖金</c:v>
                </c:pt>
                <c:pt idx="4">
                  <c:v>医疗保险</c:v>
                </c:pt>
                <c:pt idx="5">
                  <c:v>医疗补助</c:v>
                </c:pt>
                <c:pt idx="6">
                  <c:v>其他社会保障</c:v>
                </c:pt>
                <c:pt idx="7">
                  <c:v>住房公积金</c:v>
                </c:pt>
                <c:pt idx="8">
                  <c:v>养老保险</c:v>
                </c:pt>
              </c:strCache>
            </c:strRef>
          </c:cat>
          <c:val>
            <c:numRef>
              <c:f>Sheet1!$B$2:$B$11</c:f>
              <c:numCache>
                <c:formatCode>General</c:formatCode>
                <c:ptCount val="10"/>
                <c:pt idx="0">
                  <c:v>27.34</c:v>
                </c:pt>
                <c:pt idx="1">
                  <c:v>31.83</c:v>
                </c:pt>
                <c:pt idx="2">
                  <c:v>4.57</c:v>
                </c:pt>
                <c:pt idx="3">
                  <c:v>2.25</c:v>
                </c:pt>
                <c:pt idx="4">
                  <c:v>4</c:v>
                </c:pt>
                <c:pt idx="5">
                  <c:v>1.9</c:v>
                </c:pt>
                <c:pt idx="6">
                  <c:v>0.7</c:v>
                </c:pt>
                <c:pt idx="7">
                  <c:v>8.96</c:v>
                </c:pt>
                <c:pt idx="8">
                  <c:v>9.13</c:v>
                </c:pt>
                <c:pt idx="9">
                  <c:v>23.56</c:v>
                </c:pt>
              </c:numCache>
            </c:numRef>
          </c:val>
        </c:ser>
        <c:ser>
          <c:idx val="1"/>
          <c:order val="1"/>
          <c:tx>
            <c:strRef>
              <c:f>Sheet1!#REF!</c:f>
              <c:strCache>
                <c:ptCount val="1"/>
                <c:pt idx="0">
                  <c:v/>
                </c:pt>
              </c:strCache>
            </c:strRef>
          </c:tx>
          <c:spPr>
            <a:solidFill>
              <a:schemeClr val="accent2"/>
            </a:solidFill>
            <a:ln>
              <a:noFill/>
            </a:ln>
            <a:effectLst/>
          </c:spPr>
          <c:invertIfNegative val="0"/>
          <c:dLbls>
            <c:delete val="1"/>
          </c:dLbls>
          <c:cat>
            <c:strRef>
              <c:f>Sheet1!$A$2:$A$10</c:f>
              <c:strCache>
                <c:ptCount val="9"/>
                <c:pt idx="0">
                  <c:v>基本工资</c:v>
                </c:pt>
                <c:pt idx="1">
                  <c:v>津贴补贴</c:v>
                </c:pt>
                <c:pt idx="2">
                  <c:v>职业年金</c:v>
                </c:pt>
                <c:pt idx="3">
                  <c:v>奖金</c:v>
                </c:pt>
                <c:pt idx="4">
                  <c:v>医疗保险</c:v>
                </c:pt>
                <c:pt idx="5">
                  <c:v>医疗补助</c:v>
                </c:pt>
                <c:pt idx="6">
                  <c:v>其他社会保障</c:v>
                </c:pt>
                <c:pt idx="7">
                  <c:v>住房公积金</c:v>
                </c:pt>
                <c:pt idx="8">
                  <c:v>养老保险</c:v>
                </c:pt>
              </c:strCache>
            </c:strRef>
          </c:cat>
          <c:val>
            <c:numRef>
              <c:f>Sheet1!#REF!</c:f>
              <c:numCache>
                <c:formatCode>General</c:formatCode>
                <c:ptCount val="1"/>
                <c:pt idx="0">
                  <c:v>1</c:v>
                </c:pt>
              </c:numCache>
            </c:numRef>
          </c:val>
        </c:ser>
        <c:ser>
          <c:idx val="2"/>
          <c:order val="2"/>
          <c:tx>
            <c:strRef>
              <c:f>Sheet1!#REF!</c:f>
              <c:strCache>
                <c:ptCount val="1"/>
                <c:pt idx="0">
                  <c:v/>
                </c:pt>
              </c:strCache>
            </c:strRef>
          </c:tx>
          <c:spPr>
            <a:solidFill>
              <a:schemeClr val="accent3"/>
            </a:solidFill>
            <a:ln>
              <a:noFill/>
            </a:ln>
            <a:effectLst/>
          </c:spPr>
          <c:invertIfNegative val="0"/>
          <c:dLbls>
            <c:delete val="1"/>
          </c:dLbls>
          <c:cat>
            <c:strRef>
              <c:f>Sheet1!$A$2:$A$10</c:f>
              <c:strCache>
                <c:ptCount val="9"/>
                <c:pt idx="0">
                  <c:v>基本工资</c:v>
                </c:pt>
                <c:pt idx="1">
                  <c:v>津贴补贴</c:v>
                </c:pt>
                <c:pt idx="2">
                  <c:v>职业年金</c:v>
                </c:pt>
                <c:pt idx="3">
                  <c:v>奖金</c:v>
                </c:pt>
                <c:pt idx="4">
                  <c:v>医疗保险</c:v>
                </c:pt>
                <c:pt idx="5">
                  <c:v>医疗补助</c:v>
                </c:pt>
                <c:pt idx="6">
                  <c:v>其他社会保障</c:v>
                </c:pt>
                <c:pt idx="7">
                  <c:v>住房公积金</c:v>
                </c:pt>
                <c:pt idx="8">
                  <c:v>养老保险</c:v>
                </c:pt>
              </c:strCache>
            </c:strRef>
          </c:cat>
          <c:val>
            <c:numRef>
              <c:f>Sheet1!#REF!</c:f>
              <c:numCache>
                <c:formatCode>General</c:formatCode>
                <c:ptCount val="1"/>
                <c:pt idx="0">
                  <c:v>1</c:v>
                </c:pt>
              </c:numCache>
            </c:numRef>
          </c:val>
        </c:ser>
        <c:dLbls>
          <c:showLegendKey val="0"/>
          <c:showVal val="0"/>
          <c:showCatName val="0"/>
          <c:showSerName val="0"/>
          <c:showPercent val="0"/>
          <c:showBubbleSize val="0"/>
        </c:dLbls>
        <c:gapWidth val="219"/>
        <c:overlap val="-27"/>
        <c:axId val="123002880"/>
        <c:axId val="123004416"/>
      </c:barChart>
      <c:catAx>
        <c:axId val="123002880"/>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23004416"/>
        <c:crosses val="autoZero"/>
        <c:auto val="1"/>
        <c:lblAlgn val="ctr"/>
        <c:lblOffset val="100"/>
        <c:noMultiLvlLbl val="0"/>
      </c:catAx>
      <c:valAx>
        <c:axId val="1230044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23002880"/>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26</Pages>
  <Words>8145</Words>
  <Characters>2053</Characters>
  <Lines>17</Lines>
  <Paragraphs>20</Paragraphs>
  <TotalTime>5</TotalTime>
  <ScaleCrop>false</ScaleCrop>
  <LinksUpToDate>false</LinksUpToDate>
  <CharactersWithSpaces>10178</CharactersWithSpaces>
  <Application>WPS Office_11.1.0.10938_F1E327BC-269C-435d-A152-05C5408002CA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2019-08-01T01:14:00Z</dcterms:created>
  <dc:creator>张彬茜</dc:creator>
  <cp:lastModifiedBy>平淡无奇</cp:lastModifiedBy>
  <cp:lastPrinted>2021-09-22T08:47:00Z</cp:lastPrinted>
  <dcterms:modified xsi:type="dcterms:W3CDTF">2021-09-27T03:53:15Z</dcterms:modified>
  <dc:title>四川省***</dc:title>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7446358C982B43FBBF5486ACE152A102</vt:lpwstr>
  </property>
</Properties>
</file>