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2024年政法委部门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年，我单位部门预算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589.81</w:t>
      </w:r>
      <w:r>
        <w:rPr>
          <w:rFonts w:ascii="仿宋_GB2312" w:eastAsia="仿宋_GB2312" w:cs="仿宋_GB2312" w:hint="eastAsia"/>
          <w:sz w:val="32"/>
          <w:szCs w:val="32"/>
        </w:rPr>
        <w:t>万元 ，均严格按绩效管理要求实现项目绩效目标管理，其中重点项目预算3个，现将情况说明如下：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完成了202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年本级部门预算整体绩效目标申报和3个重点项目预算绩效目标申报，并编报3个重点项目预算事前绩效评估报告。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组织、协调有关部门开展对外宣传工作，参与重大对外宣传活动；统筹协调全县意识形态工作，规划、组织与制作重点对外宣传品，制定对外新闻传播的计划；收集综合国内外信息；培训对外宣传干部，联络境外新闻媒体。拟定并组织全省精神文明建设总体规划；协调、指导各有关部门开展精神文明建设活动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重点项目1：维稳经费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项目年度绩效目标：全面提升政法工作能力水平，提高执法司法公信力，增强人民群众安全感和满意度，为全面建成小康金川、美丽金川营造安全稳定的社会环境、公正规范的法治环境。使日常工作顺利开展。 维护社会和谐稳定发展，保障人民生命安全。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个、成本指标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个、效益指标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个和满意度指标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eastAsia="zh-CN"/>
        </w:rPr>
      </w:pPr>
      <w:r>
        <w:rPr>
          <w:rFonts w:ascii="仿宋_GB2312" w:eastAsia="仿宋_GB2312" w:cs="仿宋_GB2312" w:hint="eastAsia"/>
          <w:sz w:val="32"/>
          <w:szCs w:val="32"/>
        </w:rPr>
        <w:t>重点项目2：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信息化建设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按照“网格统一划分、资源统一整合、人员统一调配、信息统一采集、工作统一要求”推进全要素网格，结合乡镇行政区划调整和村级建制调整改革“后半篇”文章，统一调整优化网格，专兼职网格管理员配备到位，实现全域覆盖；有效整合各类网格力量，细化网格管理员职责清单，完善网格化服务管理运行机制，实现常态运行。各级综治中心汇聚社会治理要素，网格化服务管理体系健全，服务管理规范高效，做到“信息掌握到位、矛盾化解到位、治安防控到位、特殊人群管理到位、便民服务到位”，使全州社会治理更加精细和精准，社会治理现代化水平明显提升，保持全州社会大局持续平安和谐稳定。绩效指标设置情况：细化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个、成本指标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个、效益指标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个和满意度指标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eastAsia="zh-CN"/>
        </w:rPr>
      </w:pPr>
      <w:r>
        <w:rPr>
          <w:rFonts w:ascii="仿宋_GB2312" w:eastAsia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：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特勤业务</w:t>
      </w:r>
    </w:p>
    <w:p>
      <w:pPr>
        <w:pStyle w:val="15"/>
        <w:tabs>
          <w:tab w:val="center" w:pos="4153"/>
          <w:tab w:val="right" w:pos="8306"/>
        </w:tabs>
        <w:ind w:firstLineChars="200" w:firstLine="640"/>
        <w:rPr>
          <w:rFonts w:ascii="仿宋_GB2312" w:eastAsia="仿宋_GB2312" w:cs="仿宋_GB2312" w:hint="eastAsia"/>
          <w:sz w:val="32"/>
          <w:szCs w:val="32"/>
          <w:lang w:eastAsia="zh-CN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收集研判各类情报信息，上报舆情专刊，管控出境回流等重点人员；加强护照集中管理，截</w:t>
      </w:r>
      <w:r>
        <w:rPr>
          <w:rFonts w:ascii="仿宋_GB2312" w:eastAsia="仿宋_GB2312" w:cs="仿宋_GB2312"/>
          <w:sz w:val="32"/>
          <w:szCs w:val="32"/>
          <w:lang w:eastAsia="zh-CN"/>
        </w:rPr>
        <w:t>至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目前，我县普通护照的总存量等工作；加强反邪教工作和国安人民防线工作，认真开展“4.15”国安宣传工作，确保国家安全和政治稳定。强化社会面依法常态化治理这一主要抓手，深入推进平安、法治、队伍“三项建设”，全面提升政法工作能力水平，提高执法司法公信力，增强人民群众安全感和满意度，为全面建成小康金川、美丽金川营造安全稳定的社会环境、公正规范的法治环境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个，包括产出指标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个、成本指标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个、效益指标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个和满意度指标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zUzMDcxMTZmNmJiZWE0MTFiZmYwYjYzOTdkZDQxNzA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3</Pages>
  <Words>1089</Words>
  <Characters>1106</Characters>
  <Lines>52</Lines>
  <Paragraphs>16</Paragraphs>
  <CharactersWithSpaces>1109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2024-03-11T07:18:28Z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345AAF6B48B64272BE84127AE7DDF83F_13</vt:lpwstr>
  </property>
</Properties>
</file>