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Times New Roman" w:eastAsia="方正小标宋简体" w:cs="Times New Roman" w:hAnsi="Times New Roman"/>
          <w:sz w:val="72"/>
          <w:szCs w:val="72"/>
        </w:rPr>
      </w:pPr>
      <w:bookmarkStart w:id="0" w:name="_Toc15377425"/>
      <w:bookmarkStart w:id="1" w:name="_Toc15377193"/>
      <w:bookmarkStart w:id="2" w:name="_Toc15396475"/>
      <w:bookmarkStart w:id="3" w:name="_Toc15396597"/>
      <w:bookmarkStart w:id="4" w:name="_Toc15378441"/>
      <w:bookmarkStart w:id="5" w:name="_Toc15306267"/>
    </w:p>
    <w:p>
      <w:pPr>
        <w:spacing w:line="600" w:lineRule="exact"/>
        <w:jc w:val="center"/>
        <w:outlineLvl w:val="0"/>
        <w:rPr>
          <w:rFonts w:ascii="Times New Roman" w:eastAsia="方正小标宋简体" w:cs="Times New Roman" w:hAnsi="Times New Roman"/>
          <w:sz w:val="72"/>
          <w:szCs w:val="72"/>
        </w:rPr>
      </w:pPr>
    </w:p>
    <w:p>
      <w:pPr>
        <w:spacing w:line="600" w:lineRule="exact"/>
        <w:jc w:val="center"/>
        <w:outlineLvl w:val="0"/>
        <w:rPr>
          <w:rFonts w:ascii="Times New Roman" w:eastAsia="方正小标宋简体" w:cs="Times New Roman" w:hAnsi="Times New Roman"/>
          <w:sz w:val="72"/>
          <w:szCs w:val="72"/>
        </w:rPr>
      </w:pPr>
    </w:p>
    <w:p>
      <w:pPr>
        <w:spacing w:line="600" w:lineRule="exact"/>
        <w:jc w:val="center"/>
        <w:outlineLvl w:val="0"/>
        <w:rPr>
          <w:rFonts w:ascii="Times New Roman" w:eastAsia="方正小标宋简体" w:cs="Times New Roman" w:hAnsi="Times New Roman"/>
          <w:sz w:val="72"/>
          <w:szCs w:val="72"/>
        </w:rPr>
      </w:pPr>
    </w:p>
    <w:p>
      <w:pPr>
        <w:adjustRightInd w:val="0"/>
        <w:snapToGrid w:val="0"/>
        <w:spacing w:line="360" w:lineRule="auto"/>
        <w:jc w:val="center"/>
        <w:outlineLvl w:val="0"/>
        <w:rPr>
          <w:rFonts w:ascii="Times New Roman" w:eastAsia="方正小标宋简体" w:cs="Times New Roman" w:hAnsi="Times New Roman"/>
          <w:sz w:val="72"/>
          <w:szCs w:val="72"/>
        </w:rPr>
      </w:pPr>
      <w:bookmarkStart w:id="6" w:name="_Toc26843601"/>
      <w:r>
        <w:rPr>
          <w:rFonts w:ascii="Times New Roman" w:eastAsia="方正小标宋简体" w:cs="Times New Roman" w:hAnsi="Times New Roman"/>
          <w:sz w:val="72"/>
          <w:szCs w:val="72"/>
        </w:rPr>
        <w:t>202</w:t>
      </w:r>
      <w:r>
        <w:rPr>
          <w:rFonts w:eastAsia="方正小标宋简体" w:cs="Times New Roman" w:hint="eastAsia"/>
          <w:sz w:val="72"/>
          <w:szCs w:val="72"/>
          <w:lang w:val="en-US" w:eastAsia="zh-CN"/>
        </w:rPr>
        <w:t>2</w:t>
      </w:r>
      <w:r>
        <w:rPr>
          <w:rFonts w:ascii="Times New Roman" w:eastAsia="方正小标宋简体" w:cs="Times New Roman" w:hAnsi="Times New Roman"/>
          <w:sz w:val="72"/>
          <w:szCs w:val="72"/>
        </w:rPr>
        <w:t>年度</w:t>
      </w:r>
      <w:bookmarkEnd w:id="0"/>
      <w:bookmarkEnd w:id="1"/>
      <w:bookmarkEnd w:id="2"/>
      <w:bookmarkEnd w:id="3"/>
      <w:bookmarkEnd w:id="4"/>
      <w:bookmarkEnd w:id="6"/>
    </w:p>
    <w:p>
      <w:pPr>
        <w:adjustRightInd w:val="0"/>
        <w:snapToGrid w:val="0"/>
        <w:spacing w:line="360" w:lineRule="auto"/>
        <w:jc w:val="center"/>
        <w:outlineLvl w:val="0"/>
        <w:rPr>
          <w:rFonts w:ascii="Times New Roman" w:eastAsia="方正小标宋简体" w:cs="Times New Roman" w:hAnsi="Times New Roman" w:hint="eastAsia"/>
          <w:sz w:val="72"/>
          <w:szCs w:val="72"/>
          <w:lang w:eastAsia="zh-CN"/>
        </w:rPr>
      </w:pPr>
      <w:bookmarkStart w:id="7" w:name="_Toc26843602"/>
      <w:bookmarkStart w:id="8" w:name="_Toc15396476"/>
      <w:bookmarkStart w:id="9" w:name="_Toc15377194"/>
      <w:bookmarkStart w:id="10" w:name="_Toc15377426"/>
      <w:bookmarkStart w:id="11" w:name="_Toc15396598"/>
      <w:bookmarkStart w:id="12" w:name="_Toc15306268"/>
      <w:bookmarkStart w:id="13" w:name="_Toc15378442"/>
      <w:bookmarkEnd w:id="5"/>
      <w:r>
        <w:rPr>
          <w:rFonts w:ascii="Times New Roman" w:eastAsia="方正小标宋简体" w:cs="Times New Roman" w:hAnsi="Times New Roman"/>
          <w:sz w:val="72"/>
          <w:szCs w:val="72"/>
        </w:rPr>
        <w:t>中共</w:t>
      </w:r>
      <w:r>
        <w:rPr>
          <w:rFonts w:eastAsia="方正小标宋简体" w:cs="Times New Roman" w:hint="eastAsia"/>
          <w:sz w:val="72"/>
          <w:szCs w:val="72"/>
          <w:lang w:val="en-US" w:eastAsia="zh-CN"/>
        </w:rPr>
        <w:t>金川县委</w:t>
      </w:r>
      <w:bookmarkEnd w:id="7"/>
      <w:r>
        <w:rPr>
          <w:rFonts w:eastAsia="方正小标宋简体" w:cs="Times New Roman" w:hint="eastAsia"/>
          <w:sz w:val="72"/>
          <w:szCs w:val="72"/>
          <w:lang w:val="en-US" w:eastAsia="zh-CN"/>
        </w:rPr>
        <w:t>政法委员会</w:t>
      </w:r>
    </w:p>
    <w:p>
      <w:pPr>
        <w:adjustRightInd w:val="0"/>
        <w:snapToGrid w:val="0"/>
        <w:spacing w:line="360" w:lineRule="auto"/>
        <w:jc w:val="center"/>
        <w:outlineLvl w:val="0"/>
        <w:rPr>
          <w:rFonts w:ascii="Times New Roman" w:eastAsia="方正小标宋简体" w:cs="Times New Roman" w:hAnsi="Times New Roman"/>
          <w:sz w:val="72"/>
          <w:szCs w:val="72"/>
        </w:rPr>
      </w:pPr>
      <w:bookmarkStart w:id="14" w:name="_Toc26843603"/>
      <w:r>
        <w:rPr>
          <w:rFonts w:ascii="Times New Roman" w:eastAsia="方正小标宋简体" w:cs="Times New Roman" w:hAnsi="Times New Roman"/>
          <w:sz w:val="72"/>
          <w:szCs w:val="72"/>
        </w:rPr>
        <w:t>部门决算</w:t>
      </w:r>
      <w:bookmarkEnd w:id="8"/>
      <w:bookmarkEnd w:id="9"/>
      <w:bookmarkEnd w:id="10"/>
      <w:bookmarkEnd w:id="11"/>
      <w:bookmarkEnd w:id="12"/>
      <w:bookmarkEnd w:id="13"/>
      <w:bookmarkEnd w:id="14"/>
    </w:p>
    <w:p>
      <w:pPr>
        <w:pStyle w:val="15"/>
        <w:spacing w:beforeLines="0" w:before="93"/>
        <w:rPr>
          <w:rFonts w:ascii="Times New Roman" w:eastAsia="方正小标宋简体" w:cs="Times New Roman" w:hAnsi="Times New Roman"/>
          <w:sz w:val="52"/>
          <w:szCs w:val="52"/>
        </w:rPr>
      </w:pPr>
    </w:p>
    <w:p>
      <w:pPr>
        <w:pStyle w:val="15"/>
        <w:spacing w:beforeLines="0" w:before="93"/>
        <w:rPr>
          <w:rFonts w:ascii="Times New Roman" w:cs="Times New Roman" w:hAnsi="Times New Roman"/>
        </w:rPr>
      </w:pPr>
    </w:p>
    <w:p>
      <w:pPr>
        <w:pStyle w:val="15"/>
        <w:spacing w:beforeLines="0" w:before="93"/>
        <w:rPr>
          <w:rFonts w:ascii="Times New Roman" w:cs="Times New Roman" w:hAnsi="Times New Roman"/>
        </w:rPr>
      </w:pPr>
    </w:p>
    <w:p>
      <w:pPr>
        <w:pStyle w:val="15"/>
        <w:spacing w:beforeLines="0" w:before="93"/>
        <w:rPr>
          <w:rFonts w:ascii="Times New Roman" w:cs="Times New Roman" w:hAnsi="Times New Roman"/>
        </w:rPr>
      </w:pPr>
    </w:p>
    <w:p>
      <w:pPr>
        <w:pStyle w:val="15"/>
        <w:spacing w:beforeLines="0" w:before="93"/>
        <w:rPr>
          <w:rFonts w:ascii="Times New Roman" w:cs="Times New Roman" w:hAnsi="Times New Roman"/>
        </w:rPr>
      </w:pPr>
    </w:p>
    <w:p>
      <w:pPr>
        <w:pStyle w:val="15"/>
        <w:spacing w:beforeLines="0" w:before="93"/>
        <w:rPr>
          <w:rFonts w:ascii="Times New Roman" w:cs="Times New Roman" w:hAnsi="Times New Roman"/>
        </w:rPr>
      </w:pPr>
    </w:p>
    <w:p>
      <w:pPr>
        <w:pStyle w:val="15"/>
        <w:spacing w:beforeLines="0" w:before="93"/>
        <w:rPr>
          <w:rFonts w:ascii="Times New Roman" w:cs="Times New Roman" w:hAnsi="Times New Roman"/>
        </w:rPr>
      </w:pPr>
    </w:p>
    <w:p>
      <w:pPr>
        <w:widowControl/>
        <w:jc w:val="center"/>
        <w:rPr>
          <w:rFonts w:ascii="Times New Roman" w:eastAsia="黑体" w:cs="Times New Roman" w:hAnsi="Times New Roman"/>
          <w:sz w:val="48"/>
          <w:szCs w:val="48"/>
        </w:rPr>
      </w:pPr>
      <w:r>
        <w:rPr>
          <w:rFonts w:ascii="Times New Roman" w:eastAsia="仿宋_GB2312" w:cs="Times New Roman" w:hAnsi="Times New Roman"/>
          <w:sz w:val="32"/>
          <w:szCs w:val="32"/>
        </w:rPr>
        <w:t>已经保密审查、内容审定，同意对外公开</w:t>
      </w:r>
      <w:r>
        <w:rPr>
          <w:rFonts w:ascii="Times New Roman" w:eastAsia="方正小标宋简体" w:cs="Times New Roman" w:hAnsi="Times New Roman"/>
          <w:sz w:val="36"/>
          <w:szCs w:val="36"/>
        </w:rPr>
        <w:br w:type="page"/>
      </w:r>
      <w:r>
        <w:rPr>
          <w:rFonts w:ascii="Times New Roman" w:eastAsia="黑体" w:cs="Times New Roman" w:hAnsi="Times New Roman"/>
          <w:sz w:val="48"/>
          <w:szCs w:val="48"/>
        </w:rPr>
        <w:t>目录</w:t>
      </w:r>
    </w:p>
    <w:p>
      <w:pPr>
        <w:widowControl/>
        <w:jc w:val="center"/>
        <w:rPr>
          <w:rFonts w:ascii="Times New Roman" w:eastAsia="黑体" w:cs="Times New Roman" w:hAnsi="Times New Roman"/>
          <w:sz w:val="28"/>
          <w:szCs w:val="28"/>
        </w:rPr>
      </w:pPr>
    </w:p>
    <w:p>
      <w:pPr>
        <w:pStyle w:val="20"/>
        <w:tabs>
          <w:tab w:val="right" w:leader="dot" w:pos="8296"/>
        </w:tabs>
        <w:rPr>
          <w:rFonts w:ascii="Times New Roman" w:cs="Times New Roman" w:hAnsi="Times New Roman"/>
        </w:rPr>
      </w:pPr>
      <w:r>
        <w:rPr>
          <w:rFonts w:ascii="Times New Roman" w:cs="Times New Roman" w:hAnsi="Times New Roman"/>
        </w:rPr>
        <w:t>公开时间：202</w:t>
      </w:r>
      <w:r>
        <w:rPr>
          <w:rFonts w:ascii="Times New Roman" w:cs="Times New Roman" w:hAnsi="Times New Roman" w:hint="eastAsia"/>
          <w:lang w:val="en-US" w:eastAsia="zh-CN"/>
        </w:rPr>
        <w:t>3</w:t>
      </w:r>
      <w:r>
        <w:rPr>
          <w:rFonts w:ascii="Times New Roman" w:cs="Times New Roman" w:hAnsi="Times New Roman"/>
        </w:rPr>
        <w:t>年</w:t>
      </w:r>
      <w:r>
        <w:rPr>
          <w:rFonts w:ascii="Times New Roman" w:cs="Times New Roman" w:hAnsi="Times New Roman" w:hint="eastAsia"/>
          <w:lang w:val="en-US" w:eastAsia="zh-CN"/>
        </w:rPr>
        <w:t>8</w:t>
      </w:r>
      <w:r>
        <w:rPr>
          <w:rFonts w:ascii="Times New Roman" w:cs="Times New Roman" w:hAnsi="Times New Roman"/>
        </w:rPr>
        <w:t>月2</w:t>
      </w:r>
      <w:r>
        <w:rPr>
          <w:rFonts w:ascii="Times New Roman" w:cs="Times New Roman" w:hAnsi="Times New Roman" w:hint="eastAsia"/>
          <w:lang w:val="en-US" w:eastAsia="zh-CN"/>
        </w:rPr>
        <w:t>3</w:t>
      </w:r>
      <w:r>
        <w:rPr>
          <w:rFonts w:ascii="Times New Roman" w:cs="Times New Roman" w:hAnsi="Times New Roman"/>
        </w:rPr>
        <w:t>日</w:t>
      </w:r>
    </w:p>
    <w:p>
      <w:pPr>
        <w:pStyle w:val="20"/>
        <w:tabs>
          <w:tab w:val="right" w:leader="dot" w:pos="8296"/>
        </w:tabs>
        <w:rPr>
          <w:rFonts w:ascii="Times New Roman" w:cs="Times New Roman" w:hAnsi="Times New Roman"/>
        </w:rPr>
      </w:pPr>
      <w:r>
        <w:rPr>
          <w:rFonts w:ascii="Times New Roman" w:cs="Times New Roman" w:hAnsi="Times New Roman"/>
        </w:rPr>
        <w:fldChar w:fldCharType="begin"/>
      </w:r>
      <w:r>
        <w:rPr>
          <w:rFonts w:ascii="Times New Roman" w:cs="Times New Roman" w:hAnsi="Times New Roman"/>
        </w:rPr>
        <w:instrText xml:space="preserve"> TOC \o "1-2" \h \u </w:instrText>
      </w:r>
      <w:r>
        <w:rPr>
          <w:rFonts w:ascii="Times New Roman" w:cs="Times New Roman" w:hAnsi="Times New Roman"/>
        </w:rPr>
        <w:fldChar w:fldCharType="separate"/>
      </w: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Hyperlink \l "_Toc26843604"</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 xml:space="preserve">第一部分 </w:t>
      </w:r>
      <w:r>
        <w:rPr>
          <w:rFonts w:ascii="Times New Roman" w:eastAsia="仿宋" w:cs="Times New Roman" w:hAnsi="Times New Roman"/>
          <w:bCs/>
          <w:sz w:val="24"/>
          <w:szCs w:val="28"/>
          <w:lang w:val="en-US" w:eastAsia="zh-CN" w:bidi="ar-SA"/>
        </w:rPr>
        <w:t>部门概况</w:t>
      </w:r>
      <w:r>
        <w:rPr>
          <w:rFonts w:ascii="Times New Roman" w:eastAsia="仿宋" w:cs="Times New Roman" w:hAnsi="Times New Roman"/>
          <w:sz w:val="24"/>
          <w:szCs w:val="28"/>
        </w:rPr>
        <w:tab/>
      </w: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PageRef _Toc26843604 \h</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4</w:t>
      </w:r>
      <w:r>
        <w:rPr>
          <w:rFonts w:ascii="Times New Roman" w:eastAsia="仿宋" w:cs="Times New Roman" w:hAnsi="Times New Roman"/>
          <w:sz w:val="24"/>
          <w:szCs w:val="28"/>
        </w:rPr>
        <w:fldChar w:fldCharType="end"/>
      </w:r>
      <w:r>
        <w:rPr>
          <w:rFonts w:ascii="Times New Roman" w:eastAsia="仿宋" w:cs="Times New Roman" w:hAnsi="Times New Roman"/>
          <w:sz w:val="24"/>
          <w:szCs w:val="28"/>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"_Toc26843605"</w:instrText>
      </w:r>
      <w:r>
        <w:rPr>
          <w:rFonts w:ascii="Times New Roman" w:cs="Times New Roman" w:hAnsi="Times New Roman"/>
          <w:sz w:val="24"/>
        </w:rPr>
        <w:fldChar w:fldCharType="separate"/>
      </w:r>
      <w:r>
        <w:rPr>
          <w:rFonts w:ascii="Times New Roman" w:cs="Times New Roman" w:hAnsi="Times New Roman"/>
          <w:sz w:val="24"/>
        </w:rPr>
        <w:t>一、基</w:t>
      </w:r>
      <w:r>
        <w:rPr>
          <w:rFonts w:ascii="Times New Roman" w:cs="Times New Roman" w:hAnsi="Times New Roman"/>
          <w:bCs/>
          <w:sz w:val="24"/>
          <w:lang w:val="en-US" w:eastAsia="zh-CN" w:bidi="ar-SA"/>
        </w:rPr>
        <w:t>本职能及主要工作</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_Toc26843605 \h</w:instrText>
      </w:r>
      <w:r>
        <w:rPr>
          <w:rFonts w:ascii="Times New Roman" w:cs="Times New Roman" w:hAnsi="Times New Roman"/>
          <w:sz w:val="24"/>
        </w:rPr>
        <w:fldChar w:fldCharType="separate"/>
      </w:r>
      <w:r>
        <w:rPr>
          <w:rFonts w:ascii="Times New Roman" w:cs="Times New Roman" w:hAnsi="Times New Roman"/>
          <w:sz w:val="24"/>
        </w:rPr>
        <w:t>4</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"_Toc26843606"</w:instrText>
      </w:r>
      <w:r>
        <w:rPr>
          <w:rFonts w:ascii="Times New Roman" w:cs="Times New Roman" w:hAnsi="Times New Roman"/>
          <w:sz w:val="24"/>
        </w:rPr>
        <w:fldChar w:fldCharType="separate"/>
      </w:r>
      <w:r>
        <w:rPr>
          <w:rFonts w:ascii="Times New Roman" w:cs="Times New Roman" w:hAnsi="Times New Roman"/>
          <w:sz w:val="24"/>
        </w:rPr>
        <w:t>二、机</w:t>
      </w:r>
      <w:r>
        <w:rPr>
          <w:rFonts w:ascii="Times New Roman" w:cs="Times New Roman" w:hAnsi="Times New Roman"/>
          <w:bCs/>
          <w:sz w:val="24"/>
          <w:lang w:val="en-US" w:eastAsia="zh-CN" w:bidi="ar-SA"/>
        </w:rPr>
        <w:t>构设置</w:t>
      </w:r>
      <w:r>
        <w:rPr>
          <w:rFonts w:ascii="Times New Roman" w:cs="Times New Roman" w:hAnsi="Times New Roman"/>
          <w:sz w:val="24"/>
        </w:rPr>
        <w:tab/>
      </w:r>
      <w:r>
        <w:rPr>
          <w:rFonts w:cs="Times New Roman" w:hint="eastAsia"/>
          <w:sz w:val="24"/>
          <w:lang w:val="en-US" w:eastAsia="zh-CN"/>
        </w:rPr>
        <w:t>6</w:t>
      </w:r>
      <w:r>
        <w:rPr>
          <w:rFonts w:ascii="Times New Roman" w:cs="Times New Roman" w:hAnsi="Times New Roman"/>
          <w:sz w:val="24"/>
        </w:rPr>
        <w:fldChar w:fldCharType="end"/>
      </w:r>
    </w:p>
    <w:p>
      <w:pPr>
        <w:pStyle w:val="20"/>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"_Toc26843607"</w:instrText>
      </w:r>
      <w:r>
        <w:rPr>
          <w:rFonts w:ascii="Times New Roman" w:cs="Times New Roman" w:hAnsi="Times New Roman"/>
          <w:sz w:val="24"/>
        </w:rPr>
        <w:fldChar w:fldCharType="separate"/>
      </w:r>
      <w:r>
        <w:rPr>
          <w:rFonts w:ascii="Times New Roman" w:cs="Times New Roman" w:hAnsi="Times New Roman"/>
          <w:sz w:val="24"/>
        </w:rPr>
        <w:t>第二部分 202</w:t>
      </w:r>
      <w:r>
        <w:rPr>
          <w:rFonts w:ascii="Times New Roman" w:cs="Times New Roman" w:hAnsi="Times New Roman" w:hint="eastAsia"/>
          <w:sz w:val="24"/>
          <w:lang w:val="en-US" w:eastAsia="zh-CN"/>
        </w:rPr>
        <w:t>2</w:t>
      </w:r>
      <w:r>
        <w:rPr>
          <w:rFonts w:ascii="Times New Roman" w:cs="Times New Roman" w:hAnsi="Times New Roman"/>
          <w:sz w:val="24"/>
        </w:rPr>
        <w:t>年度</w:t>
      </w:r>
      <w:r>
        <w:rPr>
          <w:rFonts w:ascii="Times New Roman" w:eastAsia="仿宋" w:cs="Times New Roman" w:hAnsi="Times New Roman"/>
          <w:bCs/>
          <w:sz w:val="24"/>
          <w:szCs w:val="28"/>
          <w:lang w:val="en-US" w:eastAsia="zh-CN" w:bidi="ar-SA"/>
        </w:rPr>
        <w:t>部门决算情况说明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_Toc26843607 \h</w:instrText>
      </w:r>
      <w:r>
        <w:rPr>
          <w:rFonts w:ascii="Times New Roman" w:cs="Times New Roman" w:hAnsi="Times New Roman"/>
          <w:sz w:val="24"/>
        </w:rPr>
        <w:fldChar w:fldCharType="separate"/>
      </w:r>
      <w:r>
        <w:rPr>
          <w:rFonts w:ascii="Times New Roman" w:cs="Times New Roman" w:hAnsi="Times New Roman"/>
          <w:sz w:val="24"/>
        </w:rPr>
        <w:t>8</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一、</w:t>
      </w:r>
      <w:r>
        <w:rPr>
          <w:rFonts w:ascii="Times New Roman" w:cs="Times New Roman" w:hAnsi="Times New Roman"/>
          <w:sz w:val="24"/>
        </w:rPr>
        <w:t xml:space="preserve">  收</w:t>
      </w:r>
      <w:r>
        <w:rPr>
          <w:rFonts w:ascii="Times New Roman" w:cs="Times New Roman" w:hAnsi="Times New Roman"/>
          <w:bCs/>
          <w:sz w:val="24"/>
          <w:lang w:val="en-US" w:eastAsia="zh-CN" w:bidi="ar-SA"/>
        </w:rPr>
        <w:t>入支出决算总体情况说明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_Toc26843608 \h</w:instrText>
      </w:r>
      <w:r>
        <w:rPr>
          <w:rFonts w:ascii="Times New Roman" w:cs="Times New Roman" w:hAnsi="Times New Roman"/>
          <w:sz w:val="24"/>
        </w:rPr>
        <w:fldChar w:fldCharType="separate"/>
      </w:r>
      <w:r>
        <w:rPr>
          <w:rFonts w:ascii="Times New Roman" w:cs="Times New Roman" w:hAnsi="Times New Roman"/>
          <w:sz w:val="24"/>
        </w:rPr>
        <w:t>8</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"_Toc26843609"</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二、</w:t>
      </w:r>
      <w:r>
        <w:rPr>
          <w:rFonts w:ascii="Times New Roman" w:cs="Times New Roman" w:hAnsi="Times New Roman"/>
          <w:sz w:val="24"/>
        </w:rPr>
        <w:t xml:space="preserve">  收</w:t>
      </w:r>
      <w:r>
        <w:rPr>
          <w:rFonts w:ascii="Times New Roman" w:cs="Times New Roman" w:hAnsi="Times New Roman"/>
          <w:bCs/>
          <w:sz w:val="24"/>
          <w:lang w:val="en-US" w:eastAsia="zh-CN" w:bidi="ar-SA"/>
        </w:rPr>
        <w:t>入决算情况说明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_Toc26843609 \h</w:instrText>
      </w:r>
      <w:r>
        <w:rPr>
          <w:rFonts w:ascii="Times New Roman" w:cs="Times New Roman" w:hAnsi="Times New Roman"/>
          <w:sz w:val="24"/>
        </w:rPr>
        <w:fldChar w:fldCharType="separate"/>
      </w:r>
      <w:r>
        <w:rPr>
          <w:rFonts w:ascii="Times New Roman" w:cs="Times New Roman" w:hAnsi="Times New Roman"/>
          <w:sz w:val="24"/>
        </w:rPr>
        <w:t>8</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"_Toc26843612"</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三、</w:t>
      </w:r>
      <w:r>
        <w:rPr>
          <w:rFonts w:ascii="Times New Roman" w:cs="Times New Roman" w:hAnsi="Times New Roman"/>
          <w:sz w:val="24"/>
        </w:rPr>
        <w:t xml:space="preserve">  支</w:t>
      </w:r>
      <w:r>
        <w:rPr>
          <w:rFonts w:ascii="Times New Roman" w:cs="Times New Roman" w:hAnsi="Times New Roman"/>
          <w:bCs/>
          <w:sz w:val="24"/>
          <w:lang w:val="en-US" w:eastAsia="zh-CN" w:bidi="ar-SA"/>
        </w:rPr>
        <w:t>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_Toc26843612 \h</w:instrText>
      </w:r>
      <w:r>
        <w:rPr>
          <w:rFonts w:ascii="Times New Roman" w:cs="Times New Roman" w:hAnsi="Times New Roman"/>
          <w:sz w:val="24"/>
        </w:rPr>
        <w:fldChar w:fldCharType="separate"/>
      </w:r>
      <w:r>
        <w:rPr>
          <w:rFonts w:ascii="Times New Roman" w:cs="Times New Roman" w:hAnsi="Times New Roman"/>
          <w:sz w:val="24"/>
        </w:rPr>
        <w:t>9</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"_Toc26843615"</w:instrText>
      </w:r>
      <w:r>
        <w:rPr>
          <w:rFonts w:ascii="Times New Roman" w:cs="Times New Roman" w:hAnsi="Times New Roman"/>
          <w:sz w:val="24"/>
        </w:rPr>
        <w:fldChar w:fldCharType="separate"/>
      </w:r>
      <w:r>
        <w:rPr>
          <w:rFonts w:ascii="Times New Roman" w:cs="Times New Roman" w:hAnsi="Times New Roman"/>
          <w:sz w:val="24"/>
        </w:rPr>
        <w:t>四、财</w:t>
      </w:r>
      <w:r>
        <w:rPr>
          <w:rFonts w:ascii="Times New Roman" w:cs="Times New Roman" w:hAnsi="Times New Roman"/>
          <w:bCs/>
          <w:sz w:val="24"/>
          <w:lang w:val="en-US" w:eastAsia="zh-CN" w:bidi="ar-SA"/>
        </w:rPr>
        <w:t>政拨款收入支出决算总体情况说明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_Toc26843615 \h</w:instrText>
      </w:r>
      <w:r>
        <w:rPr>
          <w:rFonts w:ascii="Times New Roman" w:cs="Times New Roman" w:hAnsi="Times New Roman"/>
          <w:sz w:val="24"/>
        </w:rPr>
        <w:fldChar w:fldCharType="separate"/>
      </w:r>
      <w:r>
        <w:rPr>
          <w:rFonts w:ascii="Times New Roman" w:cs="Times New Roman" w:hAnsi="Times New Roman"/>
          <w:sz w:val="24"/>
        </w:rPr>
        <w:t>9</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"_Toc26843616"</w:instrText>
      </w:r>
      <w:r>
        <w:rPr>
          <w:rFonts w:ascii="Times New Roman" w:cs="Times New Roman" w:hAnsi="Times New Roman"/>
          <w:sz w:val="24"/>
        </w:rPr>
        <w:fldChar w:fldCharType="separate"/>
      </w:r>
      <w:r>
        <w:rPr>
          <w:rFonts w:ascii="Times New Roman" w:cs="Times New Roman" w:hAnsi="Times New Roman"/>
          <w:sz w:val="24"/>
        </w:rPr>
        <w:t>五、一</w:t>
      </w:r>
      <w:r>
        <w:rPr>
          <w:rFonts w:ascii="Times New Roman" w:cs="Times New Roman" w:hAnsi="Times New Roman"/>
          <w:bCs/>
          <w:sz w:val="24"/>
          <w:lang w:val="en-US" w:eastAsia="zh-CN" w:bidi="ar-SA"/>
        </w:rPr>
        <w:t>般公共预算财政拨款支出决算情况说明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_Toc26843616 \h</w:instrText>
      </w:r>
      <w:r>
        <w:rPr>
          <w:rFonts w:ascii="Times New Roman" w:cs="Times New Roman" w:hAnsi="Times New Roman"/>
          <w:sz w:val="24"/>
        </w:rPr>
        <w:fldChar w:fldCharType="separate"/>
      </w:r>
      <w:r>
        <w:rPr>
          <w:rFonts w:ascii="Times New Roman" w:cs="Times New Roman" w:hAnsi="Times New Roman"/>
          <w:sz w:val="24"/>
        </w:rPr>
        <w:t>10</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"_Toc26843617"</w:instrText>
      </w:r>
      <w:r>
        <w:rPr>
          <w:rFonts w:ascii="Times New Roman" w:cs="Times New Roman" w:hAnsi="Times New Roman"/>
          <w:sz w:val="24"/>
        </w:rPr>
        <w:fldChar w:fldCharType="separate"/>
      </w:r>
      <w:r>
        <w:rPr>
          <w:rFonts w:ascii="Times New Roman" w:cs="Times New Roman" w:hAnsi="Times New Roman"/>
          <w:sz w:val="24"/>
        </w:rPr>
        <w:t>六、一</w:t>
      </w:r>
      <w:r>
        <w:rPr>
          <w:rFonts w:ascii="Times New Roman" w:cs="Times New Roman" w:hAnsi="Times New Roman"/>
          <w:bCs/>
          <w:sz w:val="24"/>
          <w:lang w:val="en-US" w:eastAsia="zh-CN" w:bidi="ar-SA"/>
        </w:rPr>
        <w:t>般公共预算财政拨款基本支出决算情况说明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_Toc26843617 \h</w:instrText>
      </w:r>
      <w:r>
        <w:rPr>
          <w:rFonts w:ascii="Times New Roman" w:cs="Times New Roman" w:hAnsi="Times New Roman"/>
          <w:sz w:val="24"/>
        </w:rPr>
        <w:fldChar w:fldCharType="separate"/>
      </w:r>
      <w:r>
        <w:rPr>
          <w:rFonts w:ascii="Times New Roman" w:cs="Times New Roman" w:hAnsi="Times New Roman"/>
          <w:sz w:val="24"/>
        </w:rPr>
        <w:t>13</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"_Toc26843618"</w:instrText>
      </w:r>
      <w:r>
        <w:rPr>
          <w:rFonts w:ascii="Times New Roman" w:cs="Times New Roman" w:hAnsi="Times New Roman"/>
          <w:sz w:val="24"/>
        </w:rPr>
        <w:fldChar w:fldCharType="separate"/>
      </w:r>
      <w:r>
        <w:rPr>
          <w:rFonts w:ascii="Times New Roman" w:cs="Times New Roman" w:hAnsi="Times New Roman"/>
          <w:sz w:val="24"/>
        </w:rPr>
        <w:t>七、</w:t>
      </w:r>
      <w:r>
        <w:rPr>
          <w:rFonts w:ascii="Times New Roman" w:cs="Times New Roman" w:hAnsi="Times New Roman"/>
          <w:bCs/>
          <w:sz w:val="24"/>
          <w:lang w:val="en-US" w:eastAsia="zh-CN" w:bidi="ar-SA"/>
        </w:rPr>
        <w:t>“三公”经费财政拨款支出决算情况说明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_Toc26843618 \h</w:instrText>
      </w:r>
      <w:r>
        <w:rPr>
          <w:rFonts w:ascii="Times New Roman" w:cs="Times New Roman" w:hAnsi="Times New Roman"/>
          <w:sz w:val="24"/>
        </w:rPr>
        <w:fldChar w:fldCharType="separate"/>
      </w:r>
      <w:r>
        <w:rPr>
          <w:rFonts w:ascii="Times New Roman" w:cs="Times New Roman" w:hAnsi="Times New Roman"/>
          <w:sz w:val="24"/>
        </w:rPr>
        <w:t>14</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"_Toc26843619"</w:instrText>
      </w:r>
      <w:r>
        <w:rPr>
          <w:rFonts w:ascii="Times New Roman" w:cs="Times New Roman" w:hAnsi="Times New Roman"/>
          <w:sz w:val="24"/>
        </w:rPr>
        <w:fldChar w:fldCharType="separate"/>
      </w:r>
      <w:r>
        <w:rPr>
          <w:rFonts w:ascii="Times New Roman" w:cs="Times New Roman" w:hAnsi="Times New Roman"/>
          <w:sz w:val="24"/>
        </w:rPr>
        <w:t>八、</w:t>
      </w:r>
      <w:r>
        <w:rPr>
          <w:rFonts w:ascii="Times New Roman" w:cs="Times New Roman" w:hAnsi="Times New Roman"/>
          <w:bCs/>
          <w:sz w:val="24"/>
          <w:lang w:val="en-US" w:eastAsia="zh-CN" w:bidi="ar-SA"/>
        </w:rPr>
        <w:t>政府性基金预算支出决算情况说明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_Toc26843619 \h</w:instrText>
      </w:r>
      <w:r>
        <w:rPr>
          <w:rFonts w:ascii="Times New Roman" w:cs="Times New Roman" w:hAnsi="Times New Roman"/>
          <w:sz w:val="24"/>
        </w:rPr>
        <w:fldChar w:fldCharType="separate"/>
      </w:r>
      <w:r>
        <w:rPr>
          <w:rFonts w:ascii="Times New Roman" w:cs="Times New Roman" w:hAnsi="Times New Roman"/>
          <w:sz w:val="24"/>
        </w:rPr>
        <w:t>16</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"_Toc26843620"</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九、</w:t>
      </w:r>
      <w:r>
        <w:rPr>
          <w:rFonts w:ascii="Times New Roman" w:cs="Times New Roman" w:hAnsi="Times New Roman"/>
          <w:sz w:val="24"/>
        </w:rPr>
        <w:t xml:space="preserve">  </w:t>
      </w:r>
      <w:r>
        <w:rPr>
          <w:rFonts w:ascii="Times New Roman" w:cs="Times New Roman" w:hAnsi="Times New Roman"/>
          <w:bCs/>
          <w:sz w:val="24"/>
          <w:lang w:val="en-US" w:eastAsia="zh-CN" w:bidi="ar-SA"/>
        </w:rPr>
        <w:t>国有资本经营预算支出决算情况说明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_Toc26843620 \h</w:instrText>
      </w:r>
      <w:r>
        <w:rPr>
          <w:rFonts w:ascii="Times New Roman" w:cs="Times New Roman" w:hAnsi="Times New Roman"/>
          <w:sz w:val="24"/>
        </w:rPr>
        <w:fldChar w:fldCharType="separate"/>
      </w:r>
      <w:r>
        <w:rPr>
          <w:rFonts w:ascii="Times New Roman" w:cs="Times New Roman" w:hAnsi="Times New Roman"/>
          <w:sz w:val="24"/>
        </w:rPr>
        <w:t>16</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"_Toc26843621"</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ascii="Times New Roman" w:cs="Times New Roman" w:hAnsi="Times New Roman"/>
          <w:sz w:val="24"/>
        </w:rPr>
        <w:t xml:space="preserve">  </w:t>
      </w:r>
      <w:r>
        <w:rPr>
          <w:rFonts w:ascii="Times New Roman" w:cs="Times New Roman" w:hAnsi="Times New Roman"/>
          <w:bCs/>
          <w:sz w:val="24"/>
          <w:lang w:val="en-US" w:eastAsia="zh-CN" w:bidi="ar-SA"/>
        </w:rPr>
        <w:t>其他重要事项的情况说明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_Toc26843621 \h</w:instrText>
      </w:r>
      <w:r>
        <w:rPr>
          <w:rFonts w:ascii="Times New Roman" w:cs="Times New Roman" w:hAnsi="Times New Roman"/>
          <w:sz w:val="24"/>
        </w:rPr>
        <w:fldChar w:fldCharType="separate"/>
      </w:r>
      <w:r>
        <w:rPr>
          <w:rFonts w:ascii="Times New Roman" w:cs="Times New Roman" w:hAnsi="Times New Roman"/>
          <w:sz w:val="24"/>
        </w:rPr>
        <w:t>16</w:t>
      </w:r>
      <w:r>
        <w:rPr>
          <w:rFonts w:ascii="Times New Roman" w:cs="Times New Roman" w:hAnsi="Times New Roman"/>
          <w:sz w:val="24"/>
        </w:rPr>
        <w:fldChar w:fldCharType="end"/>
      </w:r>
      <w:r>
        <w:rPr>
          <w:rFonts w:ascii="Times New Roman" w:cs="Times New Roman" w:hAnsi="Times New Roman"/>
          <w:sz w:val="24"/>
        </w:rPr>
        <w:fldChar w:fldCharType="end"/>
      </w:r>
    </w:p>
    <w:p>
      <w:pPr>
        <w:pStyle w:val="20"/>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"_Toc26843622"</w:instrText>
      </w:r>
      <w:r>
        <w:rPr>
          <w:rFonts w:ascii="Times New Roman" w:cs="Times New Roman" w:hAnsi="Times New Roman"/>
          <w:sz w:val="24"/>
        </w:rPr>
        <w:fldChar w:fldCharType="separate"/>
      </w:r>
      <w:r>
        <w:rPr>
          <w:rFonts w:ascii="Times New Roman" w:eastAsia="仿宋" w:cs="Times New Roman" w:hAnsi="Times New Roman"/>
          <w:bCs/>
          <w:sz w:val="24"/>
          <w:szCs w:val="28"/>
          <w:lang w:val="en-US" w:eastAsia="zh-CN" w:bidi="ar-SA"/>
        </w:rPr>
        <w:t>第三部分</w:t>
      </w:r>
      <w:r>
        <w:rPr>
          <w:rFonts w:ascii="Times New Roman" w:cs="Times New Roman" w:hAnsi="Times New Roman"/>
          <w:sz w:val="24"/>
        </w:rPr>
        <w:t xml:space="preserve">  名</w:t>
      </w:r>
      <w:r>
        <w:rPr>
          <w:rFonts w:ascii="Times New Roman" w:eastAsia="仿宋" w:cs="Times New Roman" w:hAnsi="Times New Roman"/>
          <w:bCs/>
          <w:sz w:val="24"/>
          <w:szCs w:val="28"/>
          <w:lang w:val="en-US" w:eastAsia="zh-CN" w:bidi="ar-SA"/>
        </w:rPr>
        <w:t>词解释</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_Toc26843622 \h</w:instrText>
      </w:r>
      <w:r>
        <w:rPr>
          <w:rFonts w:ascii="Times New Roman" w:cs="Times New Roman" w:hAnsi="Times New Roman"/>
          <w:sz w:val="24"/>
        </w:rPr>
        <w:fldChar w:fldCharType="separate"/>
      </w:r>
      <w:r>
        <w:rPr>
          <w:rFonts w:ascii="Times New Roman" w:cs="Times New Roman" w:hAnsi="Times New Roman"/>
          <w:sz w:val="24"/>
        </w:rPr>
        <w:t>18</w:t>
      </w:r>
      <w:r>
        <w:rPr>
          <w:rFonts w:ascii="Times New Roman" w:cs="Times New Roman" w:hAnsi="Times New Roman"/>
          <w:sz w:val="24"/>
        </w:rPr>
        <w:fldChar w:fldCharType="end"/>
      </w:r>
      <w:r>
        <w:rPr>
          <w:rFonts w:ascii="Times New Roman" w:cs="Times New Roman" w:hAnsi="Times New Roman"/>
          <w:sz w:val="24"/>
        </w:rPr>
        <w:fldChar w:fldCharType="end"/>
      </w:r>
    </w:p>
    <w:p>
      <w:pPr>
        <w:pStyle w:val="20"/>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"_Toc26843623"</w:instrText>
      </w:r>
      <w:r>
        <w:rPr>
          <w:rFonts w:ascii="Times New Roman" w:cs="Times New Roman" w:hAnsi="Times New Roman"/>
          <w:sz w:val="24"/>
        </w:rPr>
        <w:fldChar w:fldCharType="separate"/>
      </w:r>
      <w:r>
        <w:rPr>
          <w:rFonts w:ascii="Times New Roman" w:cs="Times New Roman" w:hAnsi="Times New Roman"/>
          <w:sz w:val="24"/>
        </w:rPr>
        <w:t>第</w:t>
      </w:r>
      <w:r>
        <w:rPr>
          <w:rFonts w:ascii="Times New Roman" w:eastAsia="仿宋" w:cs="Times New Roman" w:hAnsi="Times New Roman"/>
          <w:bCs/>
          <w:sz w:val="24"/>
          <w:szCs w:val="28"/>
          <w:lang w:val="en-US" w:eastAsia="zh-CN" w:bidi="ar-SA"/>
        </w:rPr>
        <w:t>四部分 附件　部门整体支出绩效报告</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_Toc26843623 \h</w:instrText>
      </w:r>
      <w:r>
        <w:rPr>
          <w:rFonts w:ascii="Times New Roman" w:cs="Times New Roman" w:hAnsi="Times New Roman"/>
          <w:sz w:val="24"/>
        </w:rPr>
        <w:fldChar w:fldCharType="separate"/>
      </w:r>
      <w:r>
        <w:rPr>
          <w:rFonts w:ascii="Times New Roman" w:cs="Times New Roman" w:hAnsi="Times New Roman"/>
          <w:sz w:val="24"/>
        </w:rPr>
        <w:t>20</w:t>
      </w:r>
      <w:r>
        <w:rPr>
          <w:rFonts w:ascii="Times New Roman" w:cs="Times New Roman" w:hAnsi="Times New Roman"/>
          <w:sz w:val="24"/>
        </w:rPr>
        <w:fldChar w:fldCharType="end"/>
      </w:r>
      <w:r>
        <w:rPr>
          <w:rFonts w:ascii="Times New Roman" w:cs="Times New Roman" w:hAnsi="Times New Roman"/>
          <w:sz w:val="24"/>
        </w:rPr>
        <w:fldChar w:fldCharType="end"/>
      </w:r>
    </w:p>
    <w:p>
      <w:pPr>
        <w:pStyle w:val="20"/>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"_Toc26843625"</w:instrText>
      </w:r>
      <w:r>
        <w:rPr>
          <w:rFonts w:ascii="Times New Roman" w:cs="Times New Roman" w:hAnsi="Times New Roman"/>
          <w:sz w:val="24"/>
        </w:rPr>
        <w:fldChar w:fldCharType="separate"/>
      </w:r>
      <w:r>
        <w:rPr>
          <w:rFonts w:ascii="Times New Roman" w:cs="Times New Roman" w:hAnsi="Times New Roman"/>
          <w:sz w:val="24"/>
        </w:rPr>
        <w:t>第</w:t>
      </w:r>
      <w:r>
        <w:rPr>
          <w:rFonts w:ascii="Times New Roman" w:eastAsia="仿宋" w:cs="Times New Roman" w:hAnsi="Times New Roman"/>
          <w:bCs/>
          <w:sz w:val="24"/>
          <w:szCs w:val="28"/>
          <w:lang w:val="en-US" w:eastAsia="zh-CN" w:bidi="ar-SA"/>
        </w:rPr>
        <w:t>五部分 附表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_Toc26843625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"_Toc26843626"</w:instrText>
      </w:r>
      <w:r>
        <w:rPr>
          <w:rFonts w:ascii="Times New Roman" w:cs="Times New Roman" w:hAnsi="Times New Roman"/>
          <w:sz w:val="24"/>
        </w:rPr>
        <w:fldChar w:fldCharType="separate"/>
      </w:r>
      <w:r>
        <w:rPr>
          <w:rFonts w:ascii="Times New Roman" w:cs="Times New Roman" w:hAnsi="Times New Roman"/>
          <w:sz w:val="24"/>
        </w:rPr>
        <w:t>一、收</w:t>
      </w:r>
      <w:r>
        <w:rPr>
          <w:rFonts w:ascii="Times New Roman" w:cs="Times New Roman" w:hAnsi="Times New Roman"/>
          <w:bCs/>
          <w:sz w:val="24"/>
          <w:lang w:val="en-US" w:eastAsia="zh-CN" w:bidi="ar-SA"/>
        </w:rPr>
        <w:t>入支出决算总表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_Toc26843626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"_Toc26843627"</w:instrText>
      </w:r>
      <w:r>
        <w:rPr>
          <w:rFonts w:ascii="Times New Roman" w:cs="Times New Roman" w:hAnsi="Times New Roman"/>
          <w:sz w:val="24"/>
        </w:rPr>
        <w:fldChar w:fldCharType="separate"/>
      </w:r>
      <w:r>
        <w:rPr>
          <w:rFonts w:ascii="Times New Roman" w:cs="Times New Roman" w:hAnsi="Times New Roman"/>
          <w:sz w:val="24"/>
        </w:rPr>
        <w:t>二、收</w:t>
      </w:r>
      <w:r>
        <w:rPr>
          <w:rFonts w:ascii="Times New Roman" w:cs="Times New Roman" w:hAnsi="Times New Roman"/>
          <w:bCs/>
          <w:sz w:val="24"/>
          <w:lang w:val="en-US" w:eastAsia="zh-CN" w:bidi="ar-SA"/>
        </w:rPr>
        <w:t>入决算表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_Toc26843627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三、</w:t>
      </w:r>
      <w:r>
        <w:rPr>
          <w:rFonts w:ascii="Times New Roman" w:cs="Times New Roman" w:hAnsi="Times New Roman"/>
          <w:sz w:val="24"/>
        </w:rPr>
        <w:t>支</w:t>
      </w:r>
      <w:r>
        <w:rPr>
          <w:rFonts w:ascii="Times New Roman" w:cs="Times New Roman" w:hAnsi="Times New Roman"/>
          <w:bCs/>
          <w:sz w:val="24"/>
          <w:lang w:val="en-US" w:eastAsia="zh-CN" w:bidi="ar-SA"/>
        </w:rPr>
        <w:t>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_Toc26843628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"_Toc26843629"</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四、</w:t>
      </w:r>
      <w:r>
        <w:rPr>
          <w:rFonts w:ascii="Times New Roman" w:cs="Times New Roman" w:hAnsi="Times New Roman"/>
          <w:sz w:val="24"/>
        </w:rPr>
        <w:t>财</w:t>
      </w:r>
      <w:r>
        <w:rPr>
          <w:rFonts w:ascii="Times New Roman" w:cs="Times New Roman" w:hAnsi="Times New Roman"/>
          <w:bCs/>
          <w:sz w:val="24"/>
          <w:lang w:val="en-US" w:eastAsia="zh-CN" w:bidi="ar-SA"/>
        </w:rPr>
        <w:t>政拨款收入支出决算总表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_Toc26843629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"_Toc26843630"</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五、</w:t>
      </w:r>
      <w:r>
        <w:rPr>
          <w:rFonts w:ascii="Times New Roman" w:cs="Times New Roman" w:hAnsi="Times New Roman"/>
          <w:sz w:val="24"/>
        </w:rPr>
        <w:t>财</w:t>
      </w:r>
      <w:r>
        <w:rPr>
          <w:rFonts w:ascii="Times New Roman" w:cs="Times New Roman" w:hAnsi="Times New Roman"/>
          <w:bCs/>
          <w:sz w:val="24"/>
          <w:lang w:val="en-US" w:eastAsia="zh-CN" w:bidi="ar-SA"/>
        </w:rPr>
        <w:t>政拨款支出决算明细表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_Toc26843630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"_Toc26843631"</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六、</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_Toc26843631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"_Toc26843632"</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七、</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般公共预算财政拨款支出决算明细表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_Toc26843632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"_Toc26843633"</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八、</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般公共预算财政拨款基本支出决算表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_Toc26843633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"_Toc26843634"</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九、</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般公共预算财政拨款项目支出决算表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_Toc26843634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"_Toc26843635"</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般公共预算财政拨款“三公”经费支出决算表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_Toc26843635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"_Toc26843636"</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十一、</w:t>
      </w:r>
      <w:r>
        <w:rPr>
          <w:rFonts w:ascii="Times New Roman" w:cs="Times New Roman" w:hAnsi="Times New Roman"/>
          <w:sz w:val="24"/>
        </w:rPr>
        <w:t>政</w:t>
      </w:r>
      <w:r>
        <w:rPr>
          <w:rFonts w:ascii="Times New Roman" w:cs="Times New Roman" w:hAnsi="Times New Roman"/>
          <w:bCs/>
          <w:sz w:val="24"/>
          <w:lang w:val="en-US" w:eastAsia="zh-CN" w:bidi="ar-SA"/>
        </w:rPr>
        <w:t>府性基金预算财政拨款收入支出决算表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_Toc26843636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"_Toc26843637"</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十二、</w:t>
      </w:r>
      <w:r>
        <w:rPr>
          <w:rFonts w:ascii="Times New Roman" w:cs="Times New Roman" w:hAnsi="Times New Roman"/>
          <w:sz w:val="24"/>
        </w:rPr>
        <w:t>国</w:t>
      </w:r>
      <w:r>
        <w:rPr>
          <w:rFonts w:ascii="Times New Roman" w:cs="Times New Roman" w:hAnsi="Times New Roman"/>
          <w:bCs/>
          <w:sz w:val="24"/>
          <w:lang w:val="en-US" w:eastAsia="zh-CN" w:bidi="ar-SA"/>
        </w:rPr>
        <w:t>有资本经营预算财政拨款收入支出决算表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_Toc26843637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十三、</w:t>
      </w:r>
      <w:r>
        <w:rPr>
          <w:rFonts w:ascii="Times New Roman" w:cs="Times New Roman" w:hAnsi="Times New Roman"/>
          <w:sz w:val="24"/>
          <w:lang w:val="en-US" w:eastAsia="zh-CN" w:bidi="ar-SA"/>
        </w:rPr>
        <w:t>国有资本经营预算财政拨款支出决算表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_Toc26843638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rPr>
      </w:pPr>
      <w:r>
        <w:rPr>
          <w:rFonts w:ascii="Times New Roman" w:cs="Times New Roman" w:hAnsi="Times New Roman"/>
        </w:rPr>
        <w:fldChar w:fldCharType="end"/>
      </w:r>
    </w:p>
    <w:p>
      <w:pPr>
        <w:widowControl/>
        <w:spacing w:line="440" w:lineRule="exact"/>
        <w:jc w:val="left"/>
        <w:rPr>
          <w:rFonts w:ascii="Times New Roman" w:eastAsia="仿宋" w:cs="Times New Roman" w:hAnsi="Times New Roman"/>
          <w:bCs/>
          <w:kern w:val="44"/>
          <w:sz w:val="24"/>
        </w:rPr>
      </w:pPr>
      <w:bookmarkStart w:id="15" w:name="_Toc15377196"/>
      <w:bookmarkStart w:id="16" w:name="_Toc15396599"/>
      <w:r>
        <w:rPr>
          <w:rFonts w:ascii="Times New Roman" w:eastAsia="仿宋" w:cs="Times New Roman" w:hAnsi="Times New Roman"/>
          <w:b/>
          <w:sz w:val="24"/>
        </w:rPr>
        <w:br w:type="page"/>
      </w:r>
    </w:p>
    <w:p>
      <w:pPr>
        <w:pStyle w:val="1"/>
        <w:keepNext/>
        <w:keepLines/>
        <w:pageBreakBefore w:val="0"/>
        <w:widowControl w:val="0"/>
        <w:kinsoku/>
        <w:wordWrap/>
        <w:overflowPunct/>
        <w:topLinePunct w:val="0"/>
        <w:bidi w:val="0"/>
        <w:spacing w:line="576" w:lineRule="exact"/>
        <w:jc w:val="center"/>
        <w:rPr>
          <w:rStyle w:val="1Char"/>
          <w:rFonts w:ascii="Times New Roman" w:eastAsia="黑体" w:cs="Times New Roman" w:hAnsi="Times New Roman"/>
          <w:b/>
          <w:bCs w:val="0"/>
        </w:rPr>
      </w:pPr>
      <w:bookmarkStart w:id="17" w:name="_Toc26843604"/>
      <w:r>
        <w:rPr>
          <w:rFonts w:ascii="Times New Roman" w:eastAsia="黑体" w:cs="Times New Roman" w:hAnsi="Times New Roman"/>
          <w:b w:val="0"/>
        </w:rPr>
        <w:t xml:space="preserve">第一部分 </w:t>
      </w:r>
      <w:r>
        <w:rPr>
          <w:rFonts w:ascii="Times New Roman" w:eastAsia="黑体" w:cs="Times New Roman" w:hAnsi="Times New Roman"/>
          <w:b w:val="0"/>
          <w:kern w:val="44"/>
          <w:sz w:val="44"/>
          <w:szCs w:val="44"/>
        </w:rPr>
        <w:t>部门概况</w:t>
      </w:r>
      <w:bookmarkEnd w:id="15"/>
      <w:bookmarkEnd w:id="16"/>
      <w:bookmarkEnd w:id="17"/>
    </w:p>
    <w:p>
      <w:pPr>
        <w:pageBreakBefore w:val="0"/>
        <w:widowControl/>
        <w:kinsoku/>
        <w:wordWrap/>
        <w:overflowPunct/>
        <w:topLinePunct w:val="0"/>
        <w:bidi w:val="0"/>
        <w:spacing w:line="576" w:lineRule="exact"/>
        <w:jc w:val="left"/>
        <w:rPr>
          <w:rFonts w:ascii="Times New Roman" w:eastAsia="黑体" w:cs="Times New Roman" w:hAnsi="Times New Roman"/>
          <w:sz w:val="32"/>
          <w:szCs w:val="32"/>
        </w:rPr>
      </w:pPr>
    </w:p>
    <w:p>
      <w:pPr>
        <w:pStyle w:val="2"/>
        <w:keepNext/>
        <w:keepLines/>
        <w:pageBreakBefore w:val="0"/>
        <w:widowControl w:val="0"/>
        <w:kinsoku/>
        <w:wordWrap/>
        <w:overflowPunct/>
        <w:topLinePunct w:val="0"/>
        <w:bidi w:val="0"/>
        <w:spacing w:after="0" w:line="576" w:lineRule="exact"/>
        <w:rPr>
          <w:rStyle w:val="2Char"/>
          <w:rFonts w:ascii="Times New Roman" w:eastAsia="黑体" w:cs="Times New Roman" w:hAnsi="Times New Roman"/>
          <w:b w:val="0"/>
          <w:bCs w:val="0"/>
        </w:rPr>
      </w:pPr>
      <w:bookmarkStart w:id="18" w:name="_Toc15396600"/>
      <w:bookmarkStart w:id="19" w:name="_Toc26843605"/>
      <w:bookmarkStart w:id="20" w:name="_Toc15377197"/>
      <w:r>
        <w:rPr>
          <w:rStyle w:val="2Char"/>
          <w:rFonts w:ascii="Times New Roman" w:eastAsia="黑体" w:cs="Times New Roman" w:hAnsi="Times New Roman"/>
          <w:b w:val="0"/>
          <w:bCs w:val="0"/>
        </w:rPr>
        <w:t>一、基本职能及主要工作</w:t>
      </w:r>
      <w:bookmarkEnd w:id="18"/>
      <w:bookmarkEnd w:id="19"/>
      <w:bookmarkEnd w:id="20"/>
    </w:p>
    <w:p>
      <w:pPr>
        <w:pStyle w:val="17"/>
        <w:pageBreakBefore w:val="0"/>
        <w:widowControl w:val="0"/>
        <w:kinsoku/>
        <w:wordWrap/>
        <w:overflowPunct/>
        <w:topLinePunct w:val="0"/>
        <w:bidi w:val="0"/>
        <w:adjustRightInd w:val="0"/>
        <w:snapToGrid w:val="0"/>
        <w:spacing w:before="93" w:line="576" w:lineRule="exact"/>
        <w:ind w:left="0" w:firstLineChars="208" w:firstLine="666"/>
        <w:outlineLvl w:val="2"/>
        <w:rPr>
          <w:rFonts w:ascii="Times New Roman" w:eastAsia="楷体" w:cs="Times New Roman" w:hAnsi="Times New Roman"/>
          <w:b/>
          <w:color w:val="000000"/>
          <w:kern w:val="0"/>
          <w:sz w:val="32"/>
          <w:szCs w:val="32"/>
          <w:shd w:val="clear" w:color="auto" w:fill="auto"/>
        </w:rPr>
      </w:pPr>
      <w:bookmarkStart w:id="21" w:name="_Toc15377198"/>
      <w:bookmarkStart w:id="22" w:name="_Toc15378445"/>
      <w:r>
        <w:rPr>
          <w:rFonts w:ascii="Times New Roman" w:eastAsia="楷体" w:cs="Times New Roman" w:hAnsi="Times New Roman"/>
          <w:b/>
          <w:color w:val="000000"/>
          <w:kern w:val="0"/>
          <w:sz w:val="32"/>
          <w:szCs w:val="32"/>
          <w:shd w:val="clear" w:color="auto" w:fill="auto"/>
        </w:rPr>
        <w:t>（一）主要职能。</w:t>
      </w:r>
      <w:bookmarkEnd w:id="21"/>
      <w:bookmarkEnd w:id="22"/>
    </w:p>
    <w:p>
      <w:pPr>
        <w:ind w:firstLineChars="200" w:firstLine="640"/>
        <w:rPr>
          <w:rFonts w:ascii="Times New Roman" w:eastAsia="仿宋_GB2312" w:cs="Times New Roman" w:hAnsi="Times New Roman" w:hint="eastAsia"/>
          <w:sz w:val="32"/>
          <w:szCs w:val="32"/>
          <w:lang w:val="en-US" w:eastAsia="zh-CN"/>
        </w:rPr>
      </w:pPr>
      <w:bookmarkStart w:id="23" w:name="_Toc15377199"/>
      <w:bookmarkStart w:id="24" w:name="_Toc15378446"/>
      <w:r>
        <w:rPr>
          <w:rFonts w:ascii="Times New Roman" w:eastAsia="仿宋_GB2312" w:cs="Times New Roman" w:hAnsi="Times New Roman" w:hint="eastAsia"/>
          <w:sz w:val="32"/>
          <w:szCs w:val="32"/>
          <w:lang w:val="en-US" w:eastAsia="zh-CN"/>
        </w:rPr>
        <w:t>一是根据党的路线方针政策和中央、省委、州委和县委的部署，研究制定贯彻落实的具体措施，统一政法各部门的思想和行动。二是组织、指导维护社会稳定工作，掌握和分析社会稳定情况，协调处理突发性事件和群体性事件。三是检查政法部门公正廉洁执法的情况，结合实际，研究制定促进公正廉洁执法的具体办法。四是大力支持和严格监督政法各部门依法行使职权，指导和协调政法各部门在依法相互制约的同时密切配合，督促大案要案的查处工作。五是组织、协调社会治安综合治理工作，落实平安建设措施，推进社会管理创新，营造安定的社会环境。六是组织构建大调解工作体系，排查化解矛盾隐患，指导、协调、督促政法部门做好涉法涉诉信访工作。七是组织、协调处理“</w:t>
      </w:r>
      <w:r>
        <w:rPr>
          <w:rFonts w:ascii="Times New Roman" w:eastAsia="仿宋_GB2312" w:cs="Times New Roman" w:hAnsi="Times New Roman"/>
          <w:sz w:val="32"/>
          <w:szCs w:val="32"/>
          <w:lang w:val="en-US" w:eastAsia="zh-CN"/>
        </w:rPr>
        <w:t>FZG</w:t>
      </w:r>
      <w:r>
        <w:rPr>
          <w:rFonts w:ascii="Times New Roman" w:eastAsia="仿宋_GB2312" w:cs="Times New Roman" w:hAnsi="Times New Roman" w:hint="eastAsia"/>
          <w:sz w:val="32"/>
          <w:szCs w:val="32"/>
          <w:lang w:val="en-US" w:eastAsia="zh-CN"/>
        </w:rPr>
        <w:t>”、“</w:t>
      </w:r>
      <w:r>
        <w:rPr>
          <w:rFonts w:ascii="Times New Roman" w:eastAsia="仿宋_GB2312" w:cs="Times New Roman" w:hAnsi="Times New Roman"/>
          <w:sz w:val="32"/>
          <w:szCs w:val="32"/>
          <w:lang w:val="en-US" w:eastAsia="zh-CN"/>
        </w:rPr>
        <w:t>MTH</w:t>
      </w:r>
      <w:r>
        <w:rPr>
          <w:rFonts w:ascii="Times New Roman" w:eastAsia="仿宋_GB2312" w:cs="Times New Roman" w:hAnsi="Times New Roman" w:hint="eastAsia"/>
          <w:sz w:val="32"/>
          <w:szCs w:val="32"/>
          <w:lang w:val="en-US" w:eastAsia="zh-CN"/>
        </w:rPr>
        <w:t>”等邪教组织和对社会有危害的气功组织问题的工作，分析研究邪教组织活动情况，及时提出防范处理的意见，督促、协调有关决定和措施的落实,加强扫黑除恶工作。八是研究加强政法队伍建设和领导班子建设的措施，协助党委及其组织部门考察、管理政法部门的领导干部。九是组织、推动政法部门开展党风廉政建设，协助纪检部门查处违纪违法行为。十是研究分析涉及政法工作的舆论情况和影响社会稳定的舆情信息，指导、协调政法宣传、舆论引导和法律服务工作。对重点工作或政法工作中的困难问题进行调研。十一是及时向县委反映政法工作的重大情况，办理县委和上级党委政法委交办的其他事项。</w:t>
      </w:r>
    </w:p>
    <w:p>
      <w:pPr>
        <w:pStyle w:val="17"/>
        <w:pageBreakBefore w:val="0"/>
        <w:widowControl w:val="0"/>
        <w:kinsoku/>
        <w:wordWrap/>
        <w:overflowPunct/>
        <w:topLinePunct w:val="0"/>
        <w:bidi w:val="0"/>
        <w:adjustRightInd w:val="0"/>
        <w:snapToGrid w:val="0"/>
        <w:spacing w:before="93" w:line="576" w:lineRule="exact"/>
        <w:ind w:left="0" w:firstLineChars="208" w:firstLine="666"/>
        <w:outlineLvl w:val="2"/>
        <w:rPr>
          <w:rFonts w:ascii="Times New Roman" w:eastAsia="方正楷体_GBK" w:cs="Times New Roman" w:hAnsi="Times New Roman"/>
          <w:b/>
          <w:bCs/>
          <w:color w:val="000000"/>
          <w:kern w:val="0"/>
          <w:sz w:val="32"/>
          <w:szCs w:val="32"/>
          <w:shd w:val="clear" w:color="auto" w:fill="auto"/>
        </w:rPr>
      </w:pPr>
      <w:r>
        <w:rPr>
          <w:rFonts w:ascii="Times New Roman" w:eastAsia="方正楷体_GBK" w:cs="Times New Roman" w:hAnsi="Times New Roman"/>
          <w:b/>
          <w:bCs/>
          <w:color w:val="000000"/>
          <w:kern w:val="0"/>
          <w:sz w:val="32"/>
          <w:szCs w:val="32"/>
          <w:shd w:val="clear" w:color="auto" w:fill="auto"/>
        </w:rPr>
        <w:t>（二）202</w:t>
      </w:r>
      <w:r>
        <w:rPr>
          <w:rFonts w:eastAsia="方正楷体_GBK" w:cs="Times New Roman" w:hint="eastAsia"/>
          <w:b/>
          <w:bCs/>
          <w:color w:val="000000"/>
          <w:kern w:val="0"/>
          <w:sz w:val="32"/>
          <w:szCs w:val="32"/>
          <w:shd w:val="clear" w:color="auto" w:fill="auto"/>
          <w:lang w:val="en-US" w:eastAsia="zh-CN"/>
        </w:rPr>
        <w:t>2</w:t>
      </w:r>
      <w:r>
        <w:rPr>
          <w:rFonts w:ascii="Times New Roman" w:eastAsia="方正楷体_GBK" w:cs="Times New Roman" w:hAnsi="Times New Roman"/>
          <w:b/>
          <w:bCs/>
          <w:color w:val="000000"/>
          <w:kern w:val="0"/>
          <w:sz w:val="32"/>
          <w:szCs w:val="32"/>
          <w:shd w:val="clear" w:color="auto" w:fill="auto"/>
        </w:rPr>
        <w:t>年重点工作完成情况。</w:t>
      </w:r>
      <w:bookmarkEnd w:id="23"/>
      <w:bookmarkEnd w:id="24"/>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lang w:val="en-US" w:eastAsia="zh-CN"/>
        </w:rPr>
      </w:pPr>
      <w:r>
        <w:rPr>
          <w:rFonts w:ascii="Times New Roman" w:eastAsia="仿宋_GB2312" w:cs="Times New Roman" w:hAnsi="Times New Roman" w:hint="eastAsia"/>
          <w:sz w:val="32"/>
          <w:szCs w:val="32"/>
          <w:lang w:val="en-US" w:eastAsia="zh-CN"/>
        </w:rPr>
        <w:t>2022年度，政法、维稳、综治、防邪、扫黑除恶工作、大调解工作县委、县政府高度重视，将其纳入重要议事日程。年初制定各项工作方案，协同各单位，组织大量人力参与，全县政法、维稳、综治、防邪、大调解工作，得到县委</w:t>
      </w:r>
      <w:r>
        <w:rPr>
          <w:rFonts w:ascii="Times New Roman" w:eastAsia="仿宋_GB2312" w:cs="Times New Roman" w:hAnsi="Times New Roman"/>
          <w:sz w:val="32"/>
          <w:szCs w:val="32"/>
          <w:lang w:val="en-US" w:eastAsia="zh-CN"/>
        </w:rPr>
        <w:t>县</w:t>
      </w:r>
      <w:r>
        <w:rPr>
          <w:rFonts w:ascii="Times New Roman" w:eastAsia="仿宋_GB2312" w:cs="Times New Roman" w:hAnsi="Times New Roman" w:hint="eastAsia"/>
          <w:sz w:val="32"/>
          <w:szCs w:val="32"/>
          <w:lang w:val="en-US" w:eastAsia="zh-CN"/>
        </w:rPr>
        <w:t>政府的充分肯定。出色完成了全国“两会”等7个敏感节点的维稳工作；全县各级各部门共排查化解各类矛盾纠纷，成功化解矛盾纠纷，成功率达96.2%，有力地促进了全县社会和谐稳定；在全县20个乡镇建立了网格化服务管理平台，实现了全覆盖，共划分128个网格，落实128名网格员，共处理事件18816件，保证了网格化各项工作顺利推进；成立工作组赴壤塘、炉霍、道孚3县开展了边际联防协作活动，使我县在推进边际联防协作制度化、长效化建设上又迈出了突破性的一步；积极筹建“雪亮工程”，将勒乌镇龙河村和安顺村作为试点，完成了39个监控点位的踩点和部局；以专案攻坚和综合整治为抓手，严厉打击各类违法犯罪，持续开展治安清查整治行动，加强重点场所和部位的巡逻防控，提高破获各类案件力度，</w:t>
      </w:r>
      <w:r>
        <w:rPr>
          <w:rFonts w:ascii="Times New Roman" w:eastAsia="仿宋_GB2312" w:cs="Times New Roman" w:hAnsi="Times New Roman" w:hint="eastAsia"/>
          <w:sz w:val="32"/>
          <w:szCs w:val="32"/>
          <w:lang w:val="zh-CN" w:eastAsia="zh-CN"/>
        </w:rPr>
        <w:t>提高了法律威摄力。</w:t>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lang w:val="en-US" w:eastAsia="zh-CN"/>
        </w:rPr>
      </w:pPr>
      <w:r>
        <w:rPr>
          <w:rFonts w:ascii="Times New Roman" w:eastAsia="仿宋" w:cs="Times New Roman" w:hAnsi="Times New Roman"/>
          <w:sz w:val="32"/>
          <w:szCs w:val="32"/>
          <w:lang w:val="en-US" w:eastAsia="zh-CN"/>
        </w:rPr>
        <w:t>　</w:t>
      </w:r>
    </w:p>
    <w:p>
      <w:pPr>
        <w:pStyle w:val="2"/>
        <w:keepNext/>
        <w:keepLines/>
        <w:pageBreakBefore w:val="0"/>
        <w:widowControl w:val="0"/>
        <w:kinsoku/>
        <w:wordWrap/>
        <w:overflowPunct/>
        <w:topLinePunct w:val="0"/>
        <w:bidi w:val="0"/>
        <w:spacing w:after="0" w:line="576" w:lineRule="exact"/>
        <w:rPr>
          <w:rStyle w:val="2Char"/>
          <w:rFonts w:ascii="Times New Roman" w:eastAsia="方正黑体_GBK" w:cs="Times New Roman" w:hAnsi="Times New Roman"/>
          <w:b w:val="0"/>
          <w:bCs w:val="0"/>
        </w:rPr>
      </w:pPr>
      <w:bookmarkStart w:id="25" w:name="_Toc79163605"/>
      <w:bookmarkStart w:id="26" w:name="_Toc79163855"/>
      <w:r>
        <w:rPr>
          <w:rFonts w:ascii="Times New Roman" w:eastAsia="黑体" w:cs="Times New Roman" w:hAnsi="Times New Roman"/>
          <w:b w:val="0"/>
          <w:color w:val="000000"/>
          <w:lang w:val="en-US" w:eastAsia="zh-CN"/>
        </w:rPr>
        <w:t xml:space="preserve">   </w:t>
      </w:r>
      <w:bookmarkStart w:id="27" w:name="_Toc26843606"/>
      <w:bookmarkStart w:id="28" w:name="_Toc15377200"/>
      <w:bookmarkStart w:id="29" w:name="_Toc15396601"/>
      <w:bookmarkEnd w:id="25"/>
      <w:bookmarkEnd w:id="26"/>
      <w:r>
        <w:rPr>
          <w:rStyle w:val="2Char"/>
          <w:rFonts w:ascii="Times New Roman" w:eastAsia="黑体" w:cs="Times New Roman" w:hAnsi="Times New Roman"/>
          <w:b w:val="0"/>
          <w:bCs w:val="0"/>
        </w:rPr>
        <w:t>二、机构设置</w:t>
      </w:r>
      <w:bookmarkEnd w:id="27"/>
      <w:bookmarkEnd w:id="28"/>
      <w:bookmarkEnd w:id="29"/>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中共金川县委政法委员会2022年独立编制机构数都是1个，无增减变化。2022年行政编制8人（包括1名机关工勤），事业编制7名。</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2022年实有人员行政编制10名，事业编制7名（包括1名工勤），事业编制增加1名。</w:t>
      </w:r>
    </w:p>
    <w:p>
      <w:pPr>
        <w:pStyle w:val="35"/>
        <w:rPr>
          <w:rFonts w:hint="eastAsia"/>
        </w:rPr>
      </w:pPr>
    </w:p>
    <w:p>
      <w:pPr>
        <w:keepNext w:val="0"/>
        <w:keepLines w:val="0"/>
        <w:pageBreakBefore w:val="0"/>
        <w:widowControl/>
        <w:kinsoku/>
        <w:wordWrap/>
        <w:overflowPunct/>
        <w:topLinePunct w:val="0"/>
        <w:autoSpaceDE/>
        <w:autoSpaceDN/>
        <w:bidi w:val="0"/>
        <w:adjustRightInd/>
        <w:snapToGrid/>
        <w:spacing w:line="576" w:lineRule="exact"/>
        <w:ind w:firstLineChars="200" w:firstLine="640"/>
        <w:jc w:val="left"/>
        <w:textAlignment w:val="auto"/>
        <w:rPr>
          <w:rFonts w:ascii="Times New Roman" w:eastAsia="仿宋" w:cs="Times New Roman" w:hAnsi="Times New Roman"/>
          <w:kern w:val="0"/>
          <w:sz w:val="32"/>
          <w:szCs w:val="32"/>
        </w:rPr>
      </w:pPr>
      <w:r>
        <w:rPr>
          <w:rFonts w:ascii="Times New Roman" w:eastAsia="仿宋" w:cs="Times New Roman" w:hAnsi="Times New Roman"/>
          <w:sz w:val="32"/>
          <w:szCs w:val="32"/>
        </w:rPr>
        <w:br w:type="page"/>
      </w:r>
    </w:p>
    <w:p>
      <w:pPr>
        <w:pStyle w:val="1"/>
        <w:keepNext/>
        <w:keepLines/>
        <w:pageBreakBefore w:val="0"/>
        <w:widowControl w:val="0"/>
        <w:kinsoku/>
        <w:wordWrap/>
        <w:overflowPunct/>
        <w:topLinePunct w:val="0"/>
        <w:bidi w:val="0"/>
        <w:spacing w:line="576" w:lineRule="exact"/>
        <w:ind w:right="440"/>
        <w:jc w:val="center"/>
        <w:rPr>
          <w:rStyle w:val="1Char"/>
          <w:rFonts w:ascii="Times New Roman" w:eastAsia="黑体" w:cs="Times New Roman" w:hAnsi="Times New Roman"/>
          <w:b w:val="0"/>
          <w:bCs/>
        </w:rPr>
      </w:pPr>
      <w:bookmarkStart w:id="30" w:name="_Toc26843607"/>
      <w:bookmarkStart w:id="31" w:name="_Toc15377204"/>
      <w:bookmarkStart w:id="32" w:name="_Toc15396602"/>
      <w:r>
        <w:rPr>
          <w:rFonts w:ascii="Times New Roman" w:eastAsia="黑体" w:cs="Times New Roman" w:hAnsi="Times New Roman"/>
          <w:b w:val="0"/>
        </w:rPr>
        <w:t>第二部分 202</w:t>
      </w:r>
      <w:r>
        <w:rPr>
          <w:rFonts w:eastAsia="黑体" w:cs="Times New Roman" w:hint="eastAsia"/>
          <w:b w:val="0"/>
          <w:lang w:val="en-US" w:eastAsia="zh-CN"/>
        </w:rPr>
        <w:t>2</w:t>
      </w:r>
      <w:r>
        <w:rPr>
          <w:rFonts w:ascii="Times New Roman" w:eastAsia="黑体" w:cs="Times New Roman" w:hAnsi="Times New Roman"/>
          <w:b w:val="0"/>
        </w:rPr>
        <w:t>1年度</w:t>
      </w:r>
      <w:r>
        <w:rPr>
          <w:rFonts w:ascii="Times New Roman" w:eastAsia="黑体" w:cs="Times New Roman" w:hAnsi="Times New Roman"/>
          <w:b w:val="0"/>
          <w:kern w:val="44"/>
          <w:sz w:val="44"/>
          <w:szCs w:val="44"/>
        </w:rPr>
        <w:t>部门决算情况说明</w:t>
      </w:r>
      <w:bookmarkEnd w:id="30"/>
      <w:bookmarkEnd w:id="31"/>
      <w:bookmarkEnd w:id="32"/>
    </w:p>
    <w:p>
      <w:pPr>
        <w:pageBreakBefore w:val="0"/>
        <w:widowControl w:val="0"/>
        <w:kinsoku/>
        <w:wordWrap/>
        <w:overflowPunct/>
        <w:topLinePunct w:val="0"/>
        <w:bidi w:val="0"/>
        <w:spacing w:line="576" w:lineRule="exact"/>
        <w:rPr>
          <w:rFonts w:ascii="Times New Roman" w:cs="Times New Roman" w:hAnsi="Times New Roman"/>
        </w:rPr>
      </w:pPr>
    </w:p>
    <w:p>
      <w:pPr>
        <w:pStyle w:val="31"/>
        <w:pageBreakBefore w:val="0"/>
        <w:widowControl w:val="0"/>
        <w:numPr>
          <w:ilvl w:val="0"/>
          <w:numId w:val="1"/>
        </w:numPr>
        <w:kinsoku/>
        <w:wordWrap/>
        <w:overflowPunct/>
        <w:topLinePunct w:val="0"/>
        <w:bidi w:val="0"/>
        <w:spacing w:line="576" w:lineRule="exact"/>
        <w:ind w:firstLineChars="0"/>
        <w:outlineLvl w:val="1"/>
        <w:rPr>
          <w:rStyle w:val="2Char"/>
          <w:rFonts w:ascii="Times New Roman" w:eastAsia="黑体" w:cs="Times New Roman" w:hAnsi="Times New Roman"/>
          <w:b w:val="0"/>
        </w:rPr>
      </w:pPr>
      <w:bookmarkStart w:id="33" w:name="_Toc15396603"/>
      <w:bookmarkStart w:id="34" w:name="_Toc26843608"/>
      <w:bookmarkStart w:id="35" w:name="_Toc15377205"/>
      <w:r>
        <w:rPr>
          <w:rFonts w:ascii="Times New Roman" w:eastAsia="黑体" w:cs="Times New Roman" w:hAnsi="Times New Roman"/>
          <w:sz w:val="32"/>
          <w:szCs w:val="32"/>
        </w:rPr>
        <w:t>收</w:t>
      </w:r>
      <w:r>
        <w:rPr>
          <w:rStyle w:val="2Char"/>
          <w:rFonts w:ascii="Times New Roman" w:eastAsia="黑体" w:cs="Times New Roman" w:hAnsi="Times New Roman"/>
          <w:b w:val="0"/>
        </w:rPr>
        <w:t>入支出决算总体情况说明</w:t>
      </w:r>
      <w:bookmarkEnd w:id="33"/>
      <w:bookmarkEnd w:id="34"/>
      <w:bookmarkEnd w:id="35"/>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hint="eastAsia"/>
          <w:sz w:val="32"/>
          <w:szCs w:val="32"/>
        </w:rPr>
        <w:t>202</w:t>
      </w:r>
      <w:r>
        <w:rPr>
          <w:rFonts w:ascii="Times New Roman" w:eastAsia="仿宋_GB2312" w:cs="Times New Roman" w:hAnsi="Times New Roman" w:hint="eastAsia"/>
          <w:sz w:val="32"/>
          <w:szCs w:val="32"/>
          <w:lang w:val="en-US" w:eastAsia="zh-CN"/>
        </w:rPr>
        <w:t>2</w:t>
      </w:r>
      <w:r>
        <w:rPr>
          <w:rFonts w:ascii="Times New Roman" w:eastAsia="仿宋_GB2312" w:cs="Times New Roman" w:hAnsi="Times New Roman" w:hint="eastAsia"/>
          <w:sz w:val="32"/>
          <w:szCs w:val="32"/>
        </w:rPr>
        <w:t>年度总收入</w:t>
      </w:r>
      <w:r>
        <w:rPr>
          <w:rFonts w:ascii="Times New Roman" w:eastAsia="仿宋_GB2312" w:cs="Times New Roman" w:hAnsi="Times New Roman" w:hint="eastAsia"/>
          <w:sz w:val="32"/>
          <w:szCs w:val="32"/>
          <w:lang w:val="en-US" w:eastAsia="zh-CN"/>
        </w:rPr>
        <w:t>1064.39</w:t>
      </w:r>
      <w:r>
        <w:rPr>
          <w:rFonts w:ascii="Times New Roman" w:eastAsia="仿宋_GB2312" w:cs="Times New Roman" w:hAnsi="Times New Roman" w:hint="eastAsia"/>
          <w:sz w:val="32"/>
          <w:szCs w:val="32"/>
        </w:rPr>
        <w:t>万元，较上年收入增加218.86万元，增加21.15%。增加的主要原因是202</w:t>
      </w:r>
      <w:r>
        <w:rPr>
          <w:rFonts w:ascii="Times New Roman" w:eastAsia="仿宋_GB2312" w:cs="Times New Roman" w:hAnsi="Times New Roman" w:hint="eastAsia"/>
          <w:sz w:val="32"/>
          <w:szCs w:val="32"/>
          <w:lang w:val="en-US" w:eastAsia="zh-CN"/>
        </w:rPr>
        <w:t>1</w:t>
      </w:r>
      <w:r>
        <w:rPr>
          <w:rFonts w:ascii="Times New Roman" w:eastAsia="仿宋_GB2312" w:cs="Times New Roman" w:hAnsi="Times New Roman" w:hint="eastAsia"/>
          <w:sz w:val="32"/>
          <w:szCs w:val="32"/>
        </w:rPr>
        <w:t>年目标奖列入收入。</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lang w:val="en-US" w:eastAsia="zh-CN"/>
        </w:rPr>
      </w:pPr>
      <w:r>
        <w:rPr>
          <w:rFonts w:ascii="Times New Roman" w:eastAsia="仿宋_GB2312" w:cs="Times New Roman" w:hAnsi="Times New Roman" w:hint="eastAsia"/>
          <w:sz w:val="32"/>
          <w:szCs w:val="32"/>
        </w:rPr>
        <w:t>202</w:t>
      </w:r>
      <w:r>
        <w:rPr>
          <w:rFonts w:ascii="Times New Roman" w:eastAsia="仿宋_GB2312" w:cs="Times New Roman" w:hAnsi="Times New Roman" w:hint="eastAsia"/>
          <w:sz w:val="32"/>
          <w:szCs w:val="32"/>
          <w:lang w:val="en-US" w:eastAsia="zh-CN"/>
        </w:rPr>
        <w:t>2</w:t>
      </w:r>
      <w:r>
        <w:rPr>
          <w:rFonts w:ascii="Times New Roman" w:eastAsia="仿宋_GB2312" w:cs="Times New Roman" w:hAnsi="Times New Roman" w:hint="eastAsia"/>
          <w:sz w:val="32"/>
          <w:szCs w:val="32"/>
        </w:rPr>
        <w:t>年总支出</w:t>
      </w:r>
      <w:r>
        <w:rPr>
          <w:rFonts w:ascii="Times New Roman" w:eastAsia="仿宋_GB2312" w:cs="Times New Roman" w:hAnsi="Times New Roman" w:hint="eastAsia"/>
          <w:sz w:val="32"/>
          <w:szCs w:val="32"/>
          <w:lang w:val="en-US" w:eastAsia="zh-CN"/>
        </w:rPr>
        <w:t>1064.39</w:t>
      </w:r>
      <w:r>
        <w:rPr>
          <w:rFonts w:ascii="Times New Roman" w:eastAsia="仿宋_GB2312" w:cs="Times New Roman" w:hAnsi="Times New Roman" w:hint="eastAsia"/>
          <w:sz w:val="32"/>
          <w:szCs w:val="32"/>
        </w:rPr>
        <w:t>万元，较上年支出增加2.95万元，增加0.24%。主要原因2020年财返支出增加。</w:t>
      </w:r>
    </w:p>
    <w:p>
      <w:pPr>
        <w:rPr>
          <w:rFonts w:ascii="Times New Roman" w:eastAsia="仿宋_GB2312" w:cs="Times New Roman" w:hAnsi="Times New Roman"/>
          <w:color w:val="000000"/>
          <w:sz w:val="32"/>
          <w:szCs w:val="32"/>
          <w:lang w:val="en-US" w:eastAsia="zh-CN"/>
        </w:rPr>
      </w:pPr>
    </w:p>
    <w:p>
      <w:pPr>
        <w:pStyle w:val="35"/>
        <w:rPr>
          <w:rFonts w:ascii="Times New Roman" w:eastAsia="仿宋" w:cs="Times New Roman" w:hAnsi="Times New Roman"/>
          <w:color w:val="auto"/>
          <w:sz w:val="32"/>
          <w:szCs w:val="32"/>
        </w:rPr>
      </w:pPr>
      <w:r>
        <w:rPr>
          <w:rFonts w:hint="eastAsia"/>
          <w:lang w:val="en-US" w:eastAsia="zh-CN"/>
        </w:rPr>
        <w:drawing>
          <wp:inline distT="0" distB="0" distL="114300" distR="114300">
            <wp:extent cx="5079365" cy="3810000"/>
            <wp:effectExtent l="0" t="0" r="0" b="0"/>
            <wp:docPr id="1" name="图表 2"/>
            <wp:cNvGraphicFramePr>
              <a:graphicFrameLocks noChangeAspect="0"/>
            </wp:cNvGraphicFramePr>
            <a:graphic>
              <a:graphicData uri="http://schemas.openxmlformats.org/drawingml/2006/chart">
                <c:chart xmlns:c="http://schemas.openxmlformats.org/drawingml/2006/chart" r:id="rId4"/>
              </a:graphicData>
            </a:graphic>
          </wp:inline>
        </w:drawing>
      </w:r>
      <w:r>
        <w:rPr>
          <w:rFonts w:ascii="Times New Roman" w:eastAsia="仿宋_GB2312" w:cs="Times New Roman" w:hAnsi="Times New Roman"/>
          <w:color w:val="auto"/>
          <w:sz w:val="32"/>
          <w:szCs w:val="32"/>
        </w:rPr>
        <w:t>（图1：收、支决算总计变动情况图）（柱状图）</w:t>
      </w:r>
    </w:p>
    <w:p>
      <w:pPr>
        <w:pStyle w:val="15"/>
        <w:pageBreakBefore w:val="0"/>
        <w:widowControl w:val="0"/>
        <w:kinsoku/>
        <w:wordWrap/>
        <w:overflowPunct/>
        <w:topLinePunct w:val="0"/>
        <w:bidi w:val="0"/>
        <w:spacing w:line="576" w:lineRule="exact"/>
        <w:rPr>
          <w:rFonts w:ascii="Times New Roman" w:cs="Times New Roman" w:hAnsi="Times New Roman"/>
        </w:rPr>
      </w:pPr>
    </w:p>
    <w:p>
      <w:pPr>
        <w:pStyle w:val="31"/>
        <w:pageBreakBefore w:val="0"/>
        <w:widowControl w:val="0"/>
        <w:numPr>
          <w:ilvl w:val="0"/>
          <w:numId w:val="1"/>
        </w:numPr>
        <w:kinsoku/>
        <w:wordWrap/>
        <w:overflowPunct/>
        <w:topLinePunct w:val="0"/>
        <w:bidi w:val="0"/>
        <w:spacing w:line="576" w:lineRule="exact"/>
        <w:ind w:firstLineChars="0"/>
        <w:outlineLvl w:val="1"/>
        <w:rPr>
          <w:rStyle w:val="2Char"/>
          <w:rFonts w:ascii="Times New Roman" w:eastAsia="黑体" w:cs="Times New Roman" w:hAnsi="Times New Roman"/>
          <w:b w:val="0"/>
        </w:rPr>
      </w:pPr>
      <w:bookmarkStart w:id="36" w:name="_Toc26843609"/>
      <w:bookmarkStart w:id="37" w:name="_Toc15396604"/>
      <w:bookmarkStart w:id="38" w:name="_Toc15377206"/>
      <w:r>
        <w:rPr>
          <w:rFonts w:ascii="Times New Roman" w:eastAsia="黑体" w:cs="Times New Roman" w:hAnsi="Times New Roman"/>
          <w:sz w:val="32"/>
          <w:szCs w:val="32"/>
        </w:rPr>
        <w:t>收</w:t>
      </w:r>
      <w:r>
        <w:rPr>
          <w:rStyle w:val="2Char"/>
          <w:rFonts w:ascii="Times New Roman" w:eastAsia="黑体" w:cs="Times New Roman" w:hAnsi="Times New Roman"/>
          <w:b w:val="0"/>
        </w:rPr>
        <w:t>入决算情况说明</w:t>
      </w:r>
      <w:bookmarkEnd w:id="36"/>
      <w:bookmarkEnd w:id="37"/>
      <w:bookmarkEnd w:id="38"/>
    </w:p>
    <w:p>
      <w:pPr>
        <w:pageBreakBefore w:val="0"/>
        <w:widowControl w:val="0"/>
        <w:kinsoku/>
        <w:wordWrap/>
        <w:overflowPunct/>
        <w:topLinePunct w:val="0"/>
        <w:bidi w:val="0"/>
        <w:spacing w:line="576" w:lineRule="exact"/>
        <w:ind w:firstLineChars="200" w:firstLine="640"/>
        <w:outlineLvl w:val="1"/>
        <w:rPr>
          <w:rFonts w:ascii="Times New Roman" w:eastAsia="仿宋" w:cs="Times New Roman" w:hAnsi="Times New Roman"/>
          <w:sz w:val="32"/>
          <w:szCs w:val="32"/>
        </w:rPr>
      </w:pPr>
      <w:r>
        <w:rPr>
          <w:rFonts w:ascii="Times New Roman" w:eastAsia="仿宋_GB2312" w:cs="Times New Roman" w:hAnsi="Times New Roman" w:hint="eastAsia"/>
          <w:sz w:val="32"/>
          <w:szCs w:val="32"/>
        </w:rPr>
        <w:t>20</w:t>
      </w:r>
      <w:r>
        <w:rPr>
          <w:rFonts w:ascii="Times New Roman" w:eastAsia="仿宋_GB2312" w:cs="Times New Roman" w:hAnsi="Times New Roman" w:hint="eastAsia"/>
          <w:sz w:val="32"/>
          <w:szCs w:val="32"/>
          <w:lang w:val="en-US" w:eastAsia="zh-CN"/>
        </w:rPr>
        <w:t>22</w:t>
      </w:r>
      <w:r>
        <w:rPr>
          <w:rFonts w:ascii="Times New Roman" w:eastAsia="仿宋_GB2312" w:cs="Times New Roman" w:hAnsi="Times New Roman" w:hint="eastAsia"/>
          <w:sz w:val="32"/>
          <w:szCs w:val="32"/>
        </w:rPr>
        <w:t>年金川县</w:t>
      </w:r>
      <w:r>
        <w:rPr>
          <w:rFonts w:ascii="Times New Roman" w:eastAsia="仿宋_GB2312" w:cs="Times New Roman" w:hAnsi="Times New Roman" w:hint="eastAsia"/>
          <w:sz w:val="32"/>
          <w:szCs w:val="32"/>
          <w:lang w:eastAsia="zh-CN"/>
        </w:rPr>
        <w:t>政法委</w:t>
      </w:r>
      <w:r>
        <w:rPr>
          <w:rFonts w:ascii="Times New Roman" w:eastAsia="仿宋_GB2312" w:cs="Times New Roman" w:hAnsi="Times New Roman" w:hint="eastAsia"/>
          <w:sz w:val="32"/>
          <w:szCs w:val="32"/>
        </w:rPr>
        <w:t>本年收入合计</w:t>
      </w:r>
      <w:r>
        <w:rPr>
          <w:rFonts w:ascii="Times New Roman" w:eastAsia="仿宋_GB2312" w:cs="Times New Roman" w:hAnsi="Times New Roman" w:hint="eastAsia"/>
          <w:sz w:val="32"/>
          <w:szCs w:val="32"/>
          <w:lang w:val="en-US" w:eastAsia="zh-CN"/>
        </w:rPr>
        <w:t>1064.39</w:t>
      </w:r>
      <w:r>
        <w:rPr>
          <w:rFonts w:ascii="Times New Roman" w:eastAsia="仿宋_GB2312" w:cs="Times New Roman" w:hAnsi="Times New Roman" w:hint="eastAsia"/>
          <w:sz w:val="32"/>
          <w:szCs w:val="32"/>
        </w:rPr>
        <w:t>万元，其中：</w:t>
      </w:r>
      <w:r>
        <w:rPr>
          <w:rFonts w:ascii="Times New Roman" w:eastAsia="仿宋_GB2312" w:cs="Times New Roman" w:hAnsi="Times New Roman"/>
          <w:sz w:val="32"/>
          <w:szCs w:val="32"/>
        </w:rPr>
        <w:t>一般公共预算</w:t>
      </w:r>
      <w:r>
        <w:rPr>
          <w:rFonts w:ascii="Times New Roman" w:eastAsia="仿宋_GB2312" w:cs="Times New Roman" w:hAnsi="Times New Roman" w:hint="eastAsia"/>
          <w:sz w:val="32"/>
          <w:szCs w:val="32"/>
        </w:rPr>
        <w:t>财政拨款收入</w:t>
      </w:r>
      <w:r>
        <w:rPr>
          <w:rFonts w:ascii="Times New Roman" w:eastAsia="仿宋_GB2312" w:cs="Times New Roman" w:hAnsi="Times New Roman" w:hint="eastAsia"/>
          <w:sz w:val="32"/>
          <w:szCs w:val="32"/>
          <w:lang w:val="en-US" w:eastAsia="zh-CN"/>
        </w:rPr>
        <w:t>1064.39</w:t>
      </w:r>
      <w:r>
        <w:rPr>
          <w:rFonts w:ascii="Times New Roman" w:eastAsia="仿宋_GB2312" w:cs="Times New Roman" w:hAnsi="Times New Roman" w:hint="eastAsia"/>
          <w:sz w:val="32"/>
          <w:szCs w:val="32"/>
        </w:rPr>
        <w:t>万元，占100%。政府性基金预算财政拨款收入0万元，占0</w:t>
      </w:r>
      <w:r>
        <w:rPr>
          <w:rFonts w:ascii="Times New Roman" w:eastAsia="仿宋_GB2312" w:cs="Times New Roman" w:hAnsi="Times New Roman"/>
          <w:sz w:val="32"/>
          <w:szCs w:val="32"/>
        </w:rPr>
        <w:t>%</w:t>
      </w:r>
      <w:r>
        <w:rPr>
          <w:rFonts w:ascii="Times New Roman" w:eastAsia="仿宋_GB2312" w:cs="Times New Roman" w:hAnsi="Times New Roman" w:hint="eastAsia"/>
          <w:sz w:val="32"/>
          <w:szCs w:val="32"/>
        </w:rPr>
        <w:t>；国有资本经营预算财政拨款收入0万元，占0</w:t>
      </w:r>
      <w:r>
        <w:rPr>
          <w:rFonts w:ascii="Times New Roman" w:eastAsia="仿宋_GB2312" w:cs="Times New Roman" w:hAnsi="Times New Roman"/>
          <w:sz w:val="32"/>
          <w:szCs w:val="32"/>
        </w:rPr>
        <w:t>%</w:t>
      </w:r>
      <w:r>
        <w:rPr>
          <w:rFonts w:ascii="Times New Roman" w:eastAsia="仿宋_GB2312" w:cs="Times New Roman" w:hAnsi="Times New Roman" w:hint="eastAsia"/>
          <w:sz w:val="32"/>
          <w:szCs w:val="32"/>
        </w:rPr>
        <w:t>；事业收入0万元，占0</w:t>
      </w:r>
      <w:r>
        <w:rPr>
          <w:rFonts w:ascii="Times New Roman" w:eastAsia="仿宋_GB2312" w:cs="Times New Roman" w:hAnsi="Times New Roman"/>
          <w:sz w:val="32"/>
          <w:szCs w:val="32"/>
        </w:rPr>
        <w:t>%</w:t>
      </w:r>
      <w:r>
        <w:rPr>
          <w:rFonts w:ascii="Times New Roman" w:eastAsia="仿宋_GB2312" w:cs="Times New Roman" w:hAnsi="Times New Roman" w:hint="eastAsia"/>
          <w:sz w:val="32"/>
          <w:szCs w:val="32"/>
        </w:rPr>
        <w:t>；经营收入0万元，占0</w:t>
      </w:r>
      <w:r>
        <w:rPr>
          <w:rFonts w:ascii="Times New Roman" w:eastAsia="仿宋_GB2312" w:cs="Times New Roman" w:hAnsi="Times New Roman"/>
          <w:sz w:val="32"/>
          <w:szCs w:val="32"/>
        </w:rPr>
        <w:t>%</w:t>
      </w:r>
      <w:r>
        <w:rPr>
          <w:rFonts w:ascii="Times New Roman" w:eastAsia="仿宋_GB2312" w:cs="Times New Roman" w:hAnsi="Times New Roman" w:hint="eastAsia"/>
          <w:sz w:val="32"/>
          <w:szCs w:val="32"/>
        </w:rPr>
        <w:t>；附属单位上缴收入0万元，占0</w:t>
      </w:r>
      <w:r>
        <w:rPr>
          <w:rFonts w:ascii="Times New Roman" w:eastAsia="仿宋_GB2312" w:cs="Times New Roman" w:hAnsi="Times New Roman"/>
          <w:sz w:val="32"/>
          <w:szCs w:val="32"/>
        </w:rPr>
        <w:t>%</w:t>
      </w:r>
      <w:r>
        <w:rPr>
          <w:rFonts w:ascii="Times New Roman" w:eastAsia="仿宋_GB2312" w:cs="Times New Roman" w:hAnsi="Times New Roman" w:hint="eastAsia"/>
          <w:sz w:val="32"/>
          <w:szCs w:val="32"/>
        </w:rPr>
        <w:t>；其他收入0万元，占0%。</w:t>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Style w:val="35"/>
      </w:pPr>
      <w:r>
        <w:drawing>
          <wp:inline distT="0" distB="0" distL="114300" distR="114300">
            <wp:extent cx="4572000" cy="2752725"/>
            <wp:effectExtent l="0" t="0" r="0" b="0"/>
            <wp:docPr id="2" name="图表 1"/>
            <wp:cNvGraphicFramePr>
              <a:graphicFrameLocks noChangeAspect="0"/>
            </wp:cNvGraphicFramePr>
            <a:graphic>
              <a:graphicData uri="http://schemas.openxmlformats.org/drawingml/2006/chart">
                <c:chart xmlns:c="http://schemas.openxmlformats.org/drawingml/2006/chart" r:id="rId5"/>
              </a:graphicData>
            </a:graphic>
          </wp:inline>
        </w:drawing>
      </w:r>
    </w:p>
    <w:p>
      <w:pPr>
        <w:pStyle w:val="35"/>
        <w:jc w:val="center"/>
        <w:rPr>
          <w:rFonts w:ascii="Times New Roman" w:eastAsia="仿宋" w:cs="Times New Roman" w:hAnsi="Times New Roman"/>
          <w:color w:val="auto"/>
          <w:sz w:val="32"/>
          <w:szCs w:val="32"/>
        </w:rPr>
      </w:pPr>
      <w:r>
        <w:rPr>
          <w:rFonts w:ascii="Times New Roman" w:eastAsia="仿宋_GB2312" w:cs="Times New Roman" w:hAnsi="Times New Roman"/>
          <w:color w:val="auto"/>
          <w:sz w:val="32"/>
          <w:szCs w:val="32"/>
        </w:rPr>
        <w:t>（图2：收入决算结构图）（饼状图）</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p>
    <w:p>
      <w:pPr>
        <w:pStyle w:val="31"/>
        <w:pageBreakBefore w:val="0"/>
        <w:widowControl w:val="0"/>
        <w:numPr>
          <w:ilvl w:val="0"/>
          <w:numId w:val="1"/>
        </w:numPr>
        <w:kinsoku/>
        <w:wordWrap/>
        <w:overflowPunct/>
        <w:topLinePunct w:val="0"/>
        <w:bidi w:val="0"/>
        <w:spacing w:line="576" w:lineRule="exact"/>
        <w:ind w:firstLineChars="0"/>
        <w:outlineLvl w:val="1"/>
        <w:rPr>
          <w:rStyle w:val="2Char"/>
          <w:rFonts w:ascii="Times New Roman" w:eastAsia="黑体" w:cs="Times New Roman" w:hAnsi="Times New Roman"/>
          <w:b w:val="0"/>
        </w:rPr>
      </w:pPr>
      <w:bookmarkStart w:id="39" w:name="_Toc26843612"/>
      <w:bookmarkStart w:id="40" w:name="_Toc15377207"/>
      <w:bookmarkStart w:id="41" w:name="_Toc15396605"/>
      <w:r>
        <w:rPr>
          <w:rFonts w:ascii="Times New Roman" w:eastAsia="黑体" w:cs="Times New Roman" w:hAnsi="Times New Roman"/>
          <w:sz w:val="32"/>
          <w:szCs w:val="32"/>
        </w:rPr>
        <w:t>支</w:t>
      </w:r>
      <w:r>
        <w:rPr>
          <w:rStyle w:val="2Char"/>
          <w:rFonts w:ascii="Times New Roman" w:eastAsia="黑体" w:cs="Times New Roman" w:hAnsi="Times New Roman"/>
          <w:b w:val="0"/>
        </w:rPr>
        <w:t>出决算情况说明</w:t>
      </w:r>
      <w:bookmarkEnd w:id="39"/>
      <w:bookmarkEnd w:id="40"/>
      <w:bookmarkEnd w:id="41"/>
    </w:p>
    <w:p>
      <w:pPr>
        <w:pStyle w:val="35"/>
        <w:rPr>
          <w:rFonts w:ascii="Times New Roman" w:eastAsia="仿宋_GB2312" w:cs="Times New Roman" w:hAnsi="Times New Roman" w:hint="eastAsia"/>
          <w:kern w:val="2"/>
          <w:sz w:val="32"/>
          <w:szCs w:val="32"/>
          <w:lang w:val="en-US" w:eastAsia="zh-CN" w:bidi="ar-SA"/>
        </w:rPr>
      </w:pPr>
      <w:r>
        <w:rPr>
          <w:rFonts w:ascii="Times New Roman" w:eastAsia="仿宋_GB2312" w:cs="Times New Roman" w:hAnsi="Times New Roman" w:hint="eastAsia"/>
          <w:kern w:val="2"/>
          <w:sz w:val="32"/>
          <w:szCs w:val="32"/>
          <w:lang w:val="en-US" w:eastAsia="zh-CN" w:bidi="ar-SA"/>
        </w:rPr>
        <w:t>2022年金川县政法委本年支出合计1064.39万元，其中基本支出432.66万元，占40.65%；项目支出631.73万元，占59.35%。上缴上级支出0万元，占0%；经营支出0万元，占0</w:t>
      </w:r>
      <w:r>
        <w:rPr>
          <w:rFonts w:ascii="Times New Roman" w:eastAsia="仿宋_GB2312" w:cs="Times New Roman" w:hAnsi="Times New Roman"/>
          <w:kern w:val="2"/>
          <w:sz w:val="32"/>
          <w:szCs w:val="32"/>
          <w:lang w:val="en-US" w:eastAsia="zh-CN" w:bidi="ar-SA"/>
        </w:rPr>
        <w:t>%</w:t>
      </w:r>
      <w:r>
        <w:rPr>
          <w:rFonts w:ascii="Times New Roman" w:eastAsia="仿宋_GB2312" w:cs="Times New Roman" w:hAnsi="Times New Roman" w:hint="eastAsia"/>
          <w:kern w:val="2"/>
          <w:sz w:val="32"/>
          <w:szCs w:val="32"/>
          <w:lang w:val="en-US" w:eastAsia="zh-CN" w:bidi="ar-SA"/>
        </w:rPr>
        <w:t>；对附属单位补助支出0万元，占0</w:t>
      </w:r>
      <w:r>
        <w:rPr>
          <w:rFonts w:ascii="Times New Roman" w:eastAsia="仿宋_GB2312" w:cs="Times New Roman" w:hAnsi="Times New Roman"/>
          <w:kern w:val="2"/>
          <w:sz w:val="32"/>
          <w:szCs w:val="32"/>
          <w:lang w:val="en-US" w:eastAsia="zh-CN" w:bidi="ar-SA"/>
        </w:rPr>
        <w:t>%</w:t>
      </w:r>
      <w:r>
        <w:rPr>
          <w:rFonts w:ascii="Times New Roman" w:eastAsia="仿宋_GB2312" w:cs="Times New Roman" w:hAnsi="Times New Roman" w:hint="eastAsia"/>
          <w:kern w:val="2"/>
          <w:sz w:val="32"/>
          <w:szCs w:val="32"/>
          <w:lang w:val="en-US" w:eastAsia="zh-CN" w:bidi="ar-SA"/>
        </w:rPr>
        <w:t>。</w:t>
      </w:r>
    </w:p>
    <w:p>
      <w:pPr>
        <w:rPr>
          <w:rFonts w:ascii="Times New Roman" w:eastAsia="仿宋_GB2312" w:cs="Times New Roman" w:hAnsi="Times New Roman" w:hint="eastAsia"/>
          <w:kern w:val="2"/>
          <w:sz w:val="32"/>
          <w:szCs w:val="32"/>
          <w:lang w:val="en-US" w:eastAsia="zh-CN" w:bidi="ar-SA"/>
        </w:rPr>
      </w:pPr>
    </w:p>
    <w:p>
      <w:pPr>
        <w:pStyle w:val="35"/>
      </w:pPr>
      <w:r>
        <w:drawing>
          <wp:inline distT="0" distB="0" distL="114300" distR="114300">
            <wp:extent cx="4572000" cy="2743200"/>
            <wp:effectExtent l="0" t="0" r="0" b="0"/>
            <wp:docPr id="3" name="图表 1"/>
            <wp:cNvGraphicFramePr>
              <a:graphicFrameLocks noChangeAspect="0"/>
            </wp:cNvGraphicFramePr>
            <a:graphic>
              <a:graphicData uri="http://schemas.openxmlformats.org/drawingml/2006/chart">
                <c:chart xmlns:c="http://schemas.openxmlformats.org/drawingml/2006/chart" r:id="rId6"/>
              </a:graphicData>
            </a:graphic>
          </wp:inline>
        </w:drawing>
      </w:r>
    </w:p>
    <w:p>
      <w:pPr>
        <w:pStyle w:val="35"/>
        <w:ind w:leftChars="504" w:left="1058" w:firstLineChars="100" w:firstLine="320"/>
        <w:rPr>
          <w:rFonts w:ascii="Times New Roman" w:eastAsia="仿宋" w:cs="Times New Roman" w:hAnsi="Times New Roman"/>
          <w:color w:val="auto"/>
          <w:sz w:val="32"/>
          <w:szCs w:val="32"/>
        </w:rPr>
      </w:pPr>
      <w:r>
        <w:rPr>
          <w:rFonts w:ascii="Times New Roman" w:eastAsia="仿宋_GB2312" w:cs="Times New Roman" w:hAnsi="Times New Roman"/>
          <w:color w:val="auto"/>
          <w:sz w:val="32"/>
          <w:szCs w:val="32"/>
        </w:rPr>
        <w:t>（图3：支出决算结构图）（饼状图）</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p>
    <w:p>
      <w:pPr>
        <w:pageBreakBefore w:val="0"/>
        <w:widowControl w:val="0"/>
        <w:kinsoku/>
        <w:wordWrap/>
        <w:overflowPunct/>
        <w:topLinePunct w:val="0"/>
        <w:bidi w:val="0"/>
        <w:spacing w:line="576" w:lineRule="exact"/>
        <w:ind w:firstLineChars="200" w:firstLine="640"/>
        <w:outlineLvl w:val="1"/>
        <w:rPr>
          <w:rFonts w:ascii="Times New Roman" w:eastAsia="黑体" w:cs="Times New Roman" w:hAnsi="Times New Roman"/>
          <w:sz w:val="32"/>
          <w:szCs w:val="32"/>
        </w:rPr>
      </w:pPr>
      <w:bookmarkStart w:id="42" w:name="_Toc26843615"/>
      <w:bookmarkStart w:id="43" w:name="_Toc15377208"/>
      <w:bookmarkStart w:id="44" w:name="_Toc15396606"/>
    </w:p>
    <w:p>
      <w:pPr>
        <w:pageBreakBefore w:val="0"/>
        <w:widowControl w:val="0"/>
        <w:kinsoku/>
        <w:wordWrap/>
        <w:overflowPunct/>
        <w:topLinePunct w:val="0"/>
        <w:bidi w:val="0"/>
        <w:spacing w:line="576" w:lineRule="exact"/>
        <w:ind w:firstLineChars="200" w:firstLine="640"/>
        <w:outlineLvl w:val="1"/>
        <w:rPr>
          <w:rFonts w:ascii="Times New Roman" w:eastAsia="黑体" w:cs="Times New Roman" w:hAnsi="Times New Roman"/>
          <w:sz w:val="32"/>
          <w:szCs w:val="32"/>
        </w:rPr>
      </w:pPr>
    </w:p>
    <w:p>
      <w:pPr>
        <w:pageBreakBefore w:val="0"/>
        <w:widowControl w:val="0"/>
        <w:kinsoku/>
        <w:wordWrap/>
        <w:overflowPunct/>
        <w:topLinePunct w:val="0"/>
        <w:bidi w:val="0"/>
        <w:spacing w:line="576" w:lineRule="exact"/>
        <w:ind w:firstLineChars="200" w:firstLine="640"/>
        <w:outlineLvl w:val="1"/>
        <w:rPr>
          <w:rFonts w:ascii="Times New Roman" w:eastAsia="黑体" w:cs="Times New Roman" w:hAnsi="Times New Roman"/>
          <w:sz w:val="32"/>
          <w:szCs w:val="32"/>
        </w:rPr>
      </w:pPr>
    </w:p>
    <w:p>
      <w:pPr>
        <w:pageBreakBefore w:val="0"/>
        <w:widowControl w:val="0"/>
        <w:kinsoku/>
        <w:wordWrap/>
        <w:overflowPunct/>
        <w:topLinePunct w:val="0"/>
        <w:bidi w:val="0"/>
        <w:spacing w:line="576" w:lineRule="exact"/>
        <w:ind w:firstLineChars="200" w:firstLine="640"/>
        <w:outlineLvl w:val="1"/>
        <w:rPr>
          <w:rFonts w:ascii="Times New Roman" w:eastAsia="黑体" w:cs="Times New Roman" w:hAnsi="Times New Roman"/>
          <w:sz w:val="32"/>
          <w:szCs w:val="32"/>
        </w:rPr>
      </w:pPr>
    </w:p>
    <w:p>
      <w:pPr>
        <w:pageBreakBefore w:val="0"/>
        <w:widowControl w:val="0"/>
        <w:kinsoku/>
        <w:wordWrap/>
        <w:overflowPunct/>
        <w:topLinePunct w:val="0"/>
        <w:bidi w:val="0"/>
        <w:spacing w:line="576" w:lineRule="exact"/>
        <w:ind w:firstLineChars="200" w:firstLine="640"/>
        <w:outlineLvl w:val="1"/>
        <w:rPr>
          <w:rFonts w:ascii="Times New Roman" w:eastAsia="黑体" w:cs="Times New Roman" w:hAnsi="Times New Roman"/>
          <w:sz w:val="32"/>
          <w:szCs w:val="32"/>
        </w:rPr>
      </w:pPr>
    </w:p>
    <w:p>
      <w:pPr>
        <w:pageBreakBefore w:val="0"/>
        <w:widowControl w:val="0"/>
        <w:kinsoku/>
        <w:wordWrap/>
        <w:overflowPunct/>
        <w:topLinePunct w:val="0"/>
        <w:bidi w:val="0"/>
        <w:spacing w:line="576" w:lineRule="exact"/>
        <w:ind w:firstLineChars="200" w:firstLine="640"/>
        <w:outlineLvl w:val="1"/>
        <w:rPr>
          <w:rStyle w:val="2Char"/>
          <w:rFonts w:ascii="Times New Roman" w:eastAsia="黑体" w:cs="Times New Roman" w:hAnsi="Times New Roman"/>
          <w:b w:val="0"/>
        </w:rPr>
      </w:pPr>
      <w:r>
        <w:rPr>
          <w:rFonts w:ascii="Times New Roman" w:eastAsia="黑体" w:cs="Times New Roman" w:hAnsi="Times New Roman"/>
          <w:sz w:val="32"/>
          <w:szCs w:val="32"/>
        </w:rPr>
        <w:t>四、财</w:t>
      </w:r>
      <w:r>
        <w:rPr>
          <w:rStyle w:val="2Char"/>
          <w:rFonts w:ascii="Times New Roman" w:eastAsia="黑体" w:cs="Times New Roman" w:hAnsi="Times New Roman"/>
          <w:b w:val="0"/>
        </w:rPr>
        <w:t>政拨款收入支出决算总体情况说明</w:t>
      </w:r>
      <w:bookmarkEnd w:id="42"/>
      <w:bookmarkEnd w:id="43"/>
      <w:bookmarkEnd w:id="44"/>
    </w:p>
    <w:p>
      <w:pPr>
        <w:pStyle w:val="15"/>
        <w:pageBreakBefore w:val="0"/>
        <w:widowControl w:val="0"/>
        <w:kinsoku/>
        <w:wordWrap/>
        <w:overflowPunct/>
        <w:topLinePunct w:val="0"/>
        <w:bidi w:val="0"/>
        <w:adjustRightInd w:val="0"/>
        <w:snapToGrid w:val="0"/>
        <w:spacing w:beforeLines="0" w:before="93" w:line="576" w:lineRule="exact"/>
        <w:ind w:firstLineChars="208" w:firstLine="666"/>
        <w:rPr>
          <w:rFonts w:ascii="Times New Roman" w:eastAsia="仿宋_GB2312" w:cs="Times New Roman" w:hAnsi="Times New Roman"/>
          <w:sz w:val="32"/>
          <w:szCs w:val="32"/>
          <w:lang w:val="en-US" w:eastAsia="zh-CN"/>
        </w:rPr>
      </w:pPr>
    </w:p>
    <w:p>
      <w:pPr>
        <w:pStyle w:val="15"/>
        <w:pageBreakBefore w:val="0"/>
        <w:widowControl w:val="0"/>
        <w:kinsoku/>
        <w:wordWrap/>
        <w:overflowPunct/>
        <w:topLinePunct w:val="0"/>
        <w:bidi w:val="0"/>
        <w:adjustRightInd w:val="0"/>
        <w:snapToGrid w:val="0"/>
        <w:spacing w:beforeLines="0" w:before="93" w:line="576" w:lineRule="exact"/>
        <w:ind w:firstLineChars="208" w:firstLine="666"/>
        <w:rPr>
          <w:rFonts w:ascii="Times New Roman" w:eastAsia="仿宋_GB2312" w:cs="Times New Roman" w:hAnsi="Times New Roman"/>
          <w:sz w:val="32"/>
          <w:szCs w:val="32"/>
          <w:lang w:val="en-US" w:eastAsia="zh-CN"/>
        </w:rPr>
      </w:pPr>
    </w:p>
    <w:p>
      <w:pPr>
        <w:pStyle w:val="15"/>
        <w:pageBreakBefore w:val="0"/>
        <w:widowControl w:val="0"/>
        <w:kinsoku/>
        <w:wordWrap/>
        <w:overflowPunct/>
        <w:topLinePunct w:val="0"/>
        <w:bidi w:val="0"/>
        <w:adjustRightInd w:val="0"/>
        <w:snapToGrid w:val="0"/>
        <w:spacing w:beforeLines="0" w:before="93" w:line="576" w:lineRule="exact"/>
        <w:ind w:firstLineChars="208" w:firstLine="666"/>
        <w:rPr>
          <w:rFonts w:ascii="Times New Roman" w:eastAsia="仿宋_GB2312" w:cs="Times New Roman" w:hAnsi="Times New Roman"/>
          <w:sz w:val="32"/>
          <w:szCs w:val="32"/>
          <w:lang w:val="en-US" w:eastAsia="zh-CN"/>
        </w:rPr>
      </w:pPr>
    </w:p>
    <w:p>
      <w:pPr>
        <w:pStyle w:val="15"/>
        <w:pageBreakBefore w:val="0"/>
        <w:widowControl w:val="0"/>
        <w:kinsoku/>
        <w:wordWrap/>
        <w:overflowPunct/>
        <w:topLinePunct w:val="0"/>
        <w:bidi w:val="0"/>
        <w:adjustRightInd w:val="0"/>
        <w:snapToGrid w:val="0"/>
        <w:spacing w:beforeLines="0" w:before="93" w:line="576" w:lineRule="exact"/>
        <w:ind w:firstLineChars="208" w:firstLine="666"/>
        <w:rPr>
          <w:rFonts w:ascii="Times New Roman" w:eastAsia="仿宋_GB2312" w:cs="Times New Roman" w:hAnsi="Times New Roman"/>
          <w:sz w:val="32"/>
          <w:szCs w:val="32"/>
          <w:lang w:val="en-US" w:eastAsia="zh-CN"/>
        </w:rPr>
      </w:pPr>
    </w:p>
    <w:p>
      <w:pPr>
        <w:pStyle w:val="15"/>
        <w:pageBreakBefore w:val="0"/>
        <w:widowControl w:val="0"/>
        <w:kinsoku/>
        <w:wordWrap/>
        <w:overflowPunct/>
        <w:topLinePunct w:val="0"/>
        <w:bidi w:val="0"/>
        <w:adjustRightInd w:val="0"/>
        <w:snapToGrid w:val="0"/>
        <w:spacing w:beforeLines="0" w:before="93" w:line="576" w:lineRule="exact"/>
        <w:ind w:firstLineChars="208" w:firstLine="666"/>
        <w:rPr>
          <w:rFonts w:ascii="Times New Roman" w:eastAsia="仿宋_GB2312" w:cs="Times New Roman" w:hAnsi="Times New Roman"/>
          <w:sz w:val="32"/>
          <w:szCs w:val="32"/>
          <w:lang w:val="en-US" w:eastAsia="zh-CN"/>
        </w:rPr>
      </w:pPr>
    </w:p>
    <w:p>
      <w:pPr>
        <w:pStyle w:val="15"/>
        <w:pageBreakBefore w:val="0"/>
        <w:widowControl w:val="0"/>
        <w:kinsoku/>
        <w:wordWrap/>
        <w:overflowPunct/>
        <w:topLinePunct w:val="0"/>
        <w:bidi w:val="0"/>
        <w:adjustRightInd w:val="0"/>
        <w:snapToGrid w:val="0"/>
        <w:spacing w:beforeLines="0" w:before="93" w:line="576" w:lineRule="exact"/>
        <w:ind w:firstLineChars="208" w:firstLine="666"/>
        <w:rPr>
          <w:rFonts w:ascii="Times New Roman" w:eastAsia="仿宋_GB2312" w:cs="Times New Roman" w:hAnsi="Times New Roman"/>
          <w:sz w:val="32"/>
          <w:szCs w:val="32"/>
          <w:lang w:val="en-US" w:eastAsia="zh-CN"/>
        </w:rPr>
      </w:pPr>
      <w:r>
        <w:rPr>
          <w:rFonts w:ascii="Times New Roman" w:eastAsia="仿宋_GB2312" w:cs="Times New Roman" w:hAnsi="Times New Roman"/>
          <w:sz w:val="32"/>
          <w:szCs w:val="32"/>
          <w:lang w:val="en-US" w:eastAsia="zh-CN"/>
        </w:rPr>
        <w:t>202</w:t>
      </w:r>
      <w:r>
        <w:rPr>
          <w:rFonts w:ascii="Times New Roman" w:cs="Times New Roman" w:hAnsi="Times New Roman" w:hint="eastAsia"/>
          <w:sz w:val="32"/>
          <w:szCs w:val="32"/>
          <w:lang w:val="en-US" w:eastAsia="zh-CN"/>
        </w:rPr>
        <w:t>2</w:t>
      </w:r>
      <w:r>
        <w:rPr>
          <w:rFonts w:ascii="Times New Roman" w:eastAsia="仿宋_GB2312" w:cs="Times New Roman" w:hAnsi="Times New Roman"/>
          <w:sz w:val="32"/>
          <w:szCs w:val="32"/>
          <w:lang w:val="en-US" w:eastAsia="zh-CN"/>
        </w:rPr>
        <w:t>年财政拨款收、支总计</w:t>
      </w:r>
      <w:r>
        <w:rPr>
          <w:rFonts w:ascii="Times New Roman" w:cs="Times New Roman" w:hAnsi="Times New Roman" w:hint="eastAsia"/>
          <w:sz w:val="32"/>
          <w:szCs w:val="32"/>
          <w:lang w:val="en-US" w:eastAsia="zh-CN"/>
        </w:rPr>
        <w:t>1064.39</w:t>
      </w:r>
      <w:r>
        <w:rPr>
          <w:rFonts w:ascii="Times New Roman" w:eastAsia="仿宋_GB2312" w:cs="Times New Roman" w:hAnsi="Times New Roman"/>
          <w:sz w:val="32"/>
          <w:szCs w:val="32"/>
          <w:lang w:val="en-US" w:eastAsia="zh-CN"/>
        </w:rPr>
        <w:t>万元。与202</w:t>
      </w:r>
      <w:r>
        <w:rPr>
          <w:rFonts w:ascii="Times New Roman" w:cs="Times New Roman" w:hAnsi="Times New Roman" w:hint="eastAsia"/>
          <w:sz w:val="32"/>
          <w:szCs w:val="32"/>
          <w:lang w:val="en-US" w:eastAsia="zh-CN"/>
        </w:rPr>
        <w:t>1</w:t>
      </w:r>
      <w:r>
        <w:rPr>
          <w:rFonts w:ascii="Times New Roman" w:eastAsia="仿宋_GB2312" w:cs="Times New Roman" w:hAnsi="Times New Roman"/>
          <w:sz w:val="32"/>
          <w:szCs w:val="32"/>
          <w:lang w:val="en-US" w:eastAsia="zh-CN"/>
        </w:rPr>
        <w:t>年相比，财政拨款收、支总计各增加</w:t>
      </w:r>
      <w:r>
        <w:rPr>
          <w:rFonts w:ascii="Times New Roman" w:cs="Times New Roman" w:hAnsi="Times New Roman" w:hint="eastAsia"/>
          <w:sz w:val="32"/>
          <w:szCs w:val="32"/>
          <w:lang w:val="en-US" w:eastAsia="zh-CN"/>
        </w:rPr>
        <w:t>484.15</w:t>
      </w:r>
      <w:r>
        <w:rPr>
          <w:rFonts w:ascii="Times New Roman" w:eastAsia="仿宋_GB2312" w:cs="Times New Roman" w:hAnsi="Times New Roman"/>
          <w:sz w:val="32"/>
          <w:szCs w:val="32"/>
          <w:lang w:val="en-US" w:eastAsia="zh-CN"/>
        </w:rPr>
        <w:t>万元，增长</w:t>
      </w:r>
      <w:r>
        <w:rPr>
          <w:rFonts w:ascii="Times New Roman" w:cs="Times New Roman" w:hAnsi="Times New Roman" w:hint="eastAsia"/>
          <w:sz w:val="32"/>
          <w:szCs w:val="32"/>
          <w:lang w:val="en-US" w:eastAsia="zh-CN"/>
        </w:rPr>
        <w:t>54.5</w:t>
      </w:r>
      <w:r>
        <w:rPr>
          <w:rFonts w:ascii="Times New Roman" w:eastAsia="仿宋_GB2312" w:cs="Times New Roman" w:hAnsi="Times New Roman"/>
          <w:sz w:val="32"/>
          <w:szCs w:val="32"/>
          <w:lang w:val="en-US" w:eastAsia="zh-CN"/>
        </w:rPr>
        <w:t>%。主要变动原因</w:t>
      </w:r>
      <w:r>
        <w:rPr>
          <w:rFonts w:ascii="仿宋" w:eastAsia="仿宋" w:hint="eastAsia"/>
          <w:color w:val="000000"/>
          <w:sz w:val="32"/>
          <w:szCs w:val="32"/>
          <w:lang w:val="en-US" w:eastAsia="zh-CN"/>
        </w:rPr>
        <w:t>增加雪亮工程项目、信息网络构建工资金经费、培训、维稳、政法系统大练兵经费。</w:t>
      </w:r>
    </w:p>
    <w:p>
      <w:pPr>
        <w:pStyle w:val="15"/>
        <w:pageBreakBefore w:val="0"/>
        <w:widowControl w:val="0"/>
        <w:kinsoku/>
        <w:wordWrap/>
        <w:overflowPunct/>
        <w:topLinePunct w:val="0"/>
        <w:bidi w:val="0"/>
        <w:adjustRightInd w:val="0"/>
        <w:snapToGrid w:val="0"/>
        <w:spacing w:beforeLines="0" w:before="93" w:line="576" w:lineRule="exact"/>
        <w:ind w:firstLineChars="208" w:firstLine="666"/>
        <w:rPr>
          <w:rFonts w:ascii="Times New Roman" w:eastAsia="仿宋_GB2312" w:cs="Times New Roman" w:hAnsi="Times New Roman"/>
          <w:sz w:val="32"/>
          <w:szCs w:val="32"/>
          <w:lang w:val="en-US" w:eastAsia="zh-CN"/>
        </w:rPr>
      </w:pPr>
    </w:p>
    <w:p>
      <w:pPr>
        <w:pStyle w:val="15"/>
        <w:pageBreakBefore w:val="0"/>
        <w:widowControl w:val="0"/>
        <w:kinsoku/>
        <w:wordWrap/>
        <w:overflowPunct/>
        <w:topLinePunct w:val="0"/>
        <w:bidi w:val="0"/>
        <w:adjustRightInd w:val="0"/>
        <w:snapToGrid w:val="0"/>
        <w:spacing w:beforeLines="0" w:before="93" w:line="576" w:lineRule="exact"/>
        <w:ind w:firstLineChars="208" w:firstLine="666"/>
        <w:rPr>
          <w:rFonts w:ascii="Times New Roman" w:eastAsia="仿宋_GB2312" w:cs="Times New Roman" w:hAnsi="Times New Roman"/>
          <w:sz w:val="32"/>
          <w:szCs w:val="32"/>
          <w:lang w:val="en-US" w:eastAsia="zh-CN"/>
        </w:rPr>
      </w:pPr>
    </w:p>
    <w:p>
      <w:pPr>
        <w:pStyle w:val="15"/>
        <w:pageBreakBefore w:val="0"/>
        <w:widowControl w:val="0"/>
        <w:kinsoku/>
        <w:wordWrap/>
        <w:overflowPunct/>
        <w:topLinePunct w:val="0"/>
        <w:bidi w:val="0"/>
        <w:spacing w:line="240" w:lineRule="auto"/>
        <w:rPr>
          <w:rFonts w:ascii="Times New Roman" w:eastAsia="仿宋" w:cs="Times New Roman" w:hAnsi="Times New Roman"/>
          <w:sz w:val="32"/>
          <w:szCs w:val="32"/>
          <w:lang w:eastAsia="zh-CN"/>
        </w:rPr>
      </w:pPr>
      <w:r>
        <w:rPr>
          <w:rFonts w:ascii="Times New Roman" w:eastAsia="仿宋" w:cs="Times New Roman" w:hAnsi="Times New Roman"/>
          <w:sz w:val="32"/>
          <w:szCs w:val="32"/>
          <w:lang w:eastAsia="zh-CN"/>
        </w:rPr>
        <w:drawing>
          <wp:inline distT="0" distB="0" distL="114300" distR="114300">
            <wp:extent cx="4584065" cy="2755265"/>
            <wp:effectExtent l="0" t="0" r="38" b="10"/>
            <wp:docPr id="4" name="图片 12" descr="图片1"/>
            <wp:cNvGraphicFramePr>
              <a:graphicFrameLocks noChangeAspect="1"/>
            </wp:cNvGraphicFramePr>
            <a:graphic>
              <a:graphicData uri="http://schemas.openxmlformats.org/drawingml/2006/picture">
                <pic:pic>
                  <pic:nvPicPr>
                    <pic:cNvPr id="6" name="图片 12 6"/>
                    <pic:cNvPicPr/>
                  </pic:nvPicPr>
                  <pic:blipFill>
                    <a:blip r:embed="rId7"/>
                    <a:stretch>
                      <a:fillRect/>
                    </a:stretch>
                  </pic:blipFill>
                  <pic:spPr>
                    <a:xfrm rot="0">
                      <a:off x="0" y="0"/>
                      <a:ext cx="4584065" cy="2755265"/>
                    </a:xfrm>
                    <a:prstGeom prst="rect"/>
                    <a:noFill/>
                    <a:ln w="9525" cmpd="sng" cap="flat">
                      <a:noFill/>
                      <a:prstDash val="solid"/>
                      <a:miter/>
                    </a:ln>
                  </pic:spPr>
                </pic:pic>
              </a:graphicData>
            </a:graphic>
          </wp:inline>
        </w:drawing>
      </w:r>
    </w:p>
    <w:p>
      <w:pPr>
        <w:pageBreakBefore w:val="0"/>
        <w:widowControl w:val="0"/>
        <w:kinsoku/>
        <w:wordWrap/>
        <w:overflowPunct/>
        <w:topLinePunct w:val="0"/>
        <w:bidi w:val="0"/>
        <w:spacing w:line="576" w:lineRule="exact"/>
        <w:rPr>
          <w:rFonts w:ascii="Times New Roman" w:eastAsia="黑体" w:cs="Times New Roman" w:hAnsi="Times New Roman"/>
          <w:sz w:val="32"/>
          <w:szCs w:val="32"/>
        </w:rPr>
      </w:pPr>
      <w:r>
        <w:rPr>
          <w:rFonts w:ascii="Times New Roman" w:eastAsia="仿宋_GB2312" w:cs="Times New Roman" w:hAnsi="Times New Roman"/>
          <w:color w:val="auto"/>
          <w:sz w:val="32"/>
          <w:szCs w:val="32"/>
        </w:rPr>
        <w:t>（图4：财政拨款收、支决算总计变动情况）（柱状图）</w:t>
      </w:r>
      <w:bookmarkStart w:id="45" w:name="_Toc26843616"/>
      <w:bookmarkStart w:id="46" w:name="_Toc15377209"/>
      <w:bookmarkStart w:id="47" w:name="_Toc15396607"/>
    </w:p>
    <w:p>
      <w:pPr>
        <w:pageBreakBefore w:val="0"/>
        <w:widowControl w:val="0"/>
        <w:kinsoku/>
        <w:wordWrap/>
        <w:overflowPunct/>
        <w:topLinePunct w:val="0"/>
        <w:bidi w:val="0"/>
        <w:spacing w:line="576" w:lineRule="exact"/>
        <w:ind w:firstLineChars="200" w:firstLine="640"/>
        <w:outlineLvl w:val="1"/>
        <w:rPr>
          <w:rStyle w:val="2Char"/>
          <w:rFonts w:ascii="Times New Roman" w:eastAsia="黑体" w:cs="Times New Roman" w:hAnsi="Times New Roman"/>
          <w:b w:val="0"/>
        </w:rPr>
      </w:pPr>
      <w:r>
        <w:rPr>
          <w:rFonts w:ascii="Times New Roman" w:eastAsia="黑体" w:cs="Times New Roman" w:hAnsi="Times New Roman"/>
          <w:sz w:val="32"/>
          <w:szCs w:val="32"/>
        </w:rPr>
        <w:t>五、</w:t>
      </w:r>
      <w:r>
        <w:rPr>
          <w:rFonts w:ascii="Times New Roman" w:eastAsia="黑体" w:cs="Times New Roman" w:hAnsi="Times New Roman"/>
          <w:b/>
          <w:sz w:val="32"/>
          <w:szCs w:val="32"/>
        </w:rPr>
        <w:t>一</w:t>
      </w:r>
      <w:r>
        <w:rPr>
          <w:rStyle w:val="2Char"/>
          <w:rFonts w:ascii="Times New Roman" w:eastAsia="黑体" w:cs="Times New Roman" w:hAnsi="Times New Roman"/>
          <w:b w:val="0"/>
        </w:rPr>
        <w:t>般公共预算财政拨款支出决算情况说明</w:t>
      </w:r>
      <w:bookmarkEnd w:id="45"/>
      <w:bookmarkEnd w:id="46"/>
      <w:bookmarkEnd w:id="47"/>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sz w:val="32"/>
          <w:szCs w:val="32"/>
        </w:rPr>
      </w:pPr>
      <w:bookmarkStart w:id="48" w:name="_Toc15377210"/>
      <w:r>
        <w:rPr>
          <w:rFonts w:ascii="Times New Roman" w:eastAsia="仿宋" w:cs="Times New Roman" w:hAnsi="Times New Roman"/>
          <w:b/>
          <w:sz w:val="32"/>
          <w:szCs w:val="32"/>
        </w:rPr>
        <w:t>（一）一般公共预算财政拨款支出决算总体情况</w:t>
      </w:r>
      <w:bookmarkEnd w:id="48"/>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r>
        <w:rPr>
          <w:rFonts w:ascii="Times New Roman" w:eastAsia="仿宋_GB2312" w:cs="Times New Roman" w:hAnsi="Times New Roman" w:hint="eastAsia"/>
          <w:sz w:val="32"/>
          <w:szCs w:val="32"/>
          <w:lang w:val="en-US" w:eastAsia="zh-CN"/>
        </w:rPr>
        <w:t>金川县政法委年度2022年度一般公共预算财政拨款支出1064.39万元，占本年支出合计的100%；一般公共预算财政拨款项目支出631.73万元，占本年支出合计的59.35%。与2021年相比，一般公共预算财政拨款支出增加484.15万元，</w:t>
      </w:r>
      <w:r>
        <w:rPr>
          <w:rFonts w:ascii="Times New Roman" w:eastAsia="仿宋_GB2312" w:cs="Times New Roman" w:hAnsi="Times New Roman" w:hint="eastAsia"/>
          <w:sz w:val="32"/>
          <w:szCs w:val="32"/>
        </w:rPr>
        <w:t>增加</w:t>
      </w:r>
      <w:r>
        <w:rPr>
          <w:rFonts w:ascii="Times New Roman" w:eastAsia="仿宋_GB2312" w:cs="Times New Roman" w:hAnsi="Times New Roman" w:hint="eastAsia"/>
          <w:sz w:val="32"/>
          <w:szCs w:val="32"/>
          <w:lang w:val="en-US" w:eastAsia="zh-CN"/>
        </w:rPr>
        <w:t>54.5</w:t>
      </w:r>
      <w:r>
        <w:rPr>
          <w:rFonts w:ascii="Times New Roman" w:eastAsia="仿宋_GB2312" w:cs="Times New Roman" w:hAnsi="Times New Roman" w:hint="eastAsia"/>
          <w:sz w:val="32"/>
          <w:szCs w:val="32"/>
        </w:rPr>
        <w:t>%</w:t>
      </w:r>
      <w:r>
        <w:rPr>
          <w:rFonts w:ascii="Times New Roman" w:eastAsia="仿宋_GB2312" w:cs="Times New Roman" w:hAnsi="Times New Roman" w:hint="eastAsia"/>
          <w:sz w:val="32"/>
          <w:szCs w:val="32"/>
          <w:lang w:val="en-US" w:eastAsia="zh-CN"/>
        </w:rPr>
        <w:t>；2021年项目支出52.17万元，一般公共预算财政拨款项目支出增加579.56万元，增加91.7%。原因：增加雪亮工程项目、信息网络构建工资金经费、培训、维稳、政法系统大练兵经费。</w:t>
      </w:r>
    </w:p>
    <w:p>
      <w:pPr>
        <w:pStyle w:val="35"/>
        <w:rPr>
          <w:rFonts w:ascii="Times New Roman" w:eastAsia="仿宋" w:cs="Times New Roman" w:hAnsi="Times New Roman"/>
          <w:color w:val="FF0000"/>
          <w:sz w:val="32"/>
          <w:szCs w:val="32"/>
        </w:rPr>
      </w:pPr>
      <w:r>
        <w:rPr>
          <w:rFonts w:eastAsia="宋体" w:hint="eastAsia"/>
          <w:lang w:eastAsia="zh-CN"/>
        </w:rPr>
        <w:drawing>
          <wp:inline distT="0" distB="0" distL="114300" distR="114300">
            <wp:extent cx="5079365" cy="3810000"/>
            <wp:effectExtent l="0" t="0" r="0" b="0"/>
            <wp:docPr id="7" name="图表 7"/>
            <wp:cNvGraphicFramePr>
              <a:graphicFrameLocks noChangeAspect="0"/>
            </wp:cNvGraphicFramePr>
            <a:graphic>
              <a:graphicData uri="http://schemas.openxmlformats.org/drawingml/2006/chart">
                <c:chart xmlns:c="http://schemas.openxmlformats.org/drawingml/2006/chart" r:id="rId8"/>
              </a:graphicData>
            </a:graphic>
          </wp:inline>
        </w:drawing>
      </w:r>
    </w:p>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r>
        <w:rPr>
          <w:rFonts w:ascii="Times New Roman" w:eastAsia="仿宋" w:cs="Times New Roman" w:hAnsi="Times New Roman"/>
          <w:color w:val="auto"/>
          <w:sz w:val="32"/>
          <w:szCs w:val="32"/>
        </w:rPr>
        <w:t>（图5：一般公共预算财政拨款支出决算变动情况）（柱状图）</w:t>
      </w:r>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sz w:val="32"/>
          <w:szCs w:val="32"/>
        </w:rPr>
      </w:pPr>
      <w:bookmarkStart w:id="49" w:name="_Toc15377211"/>
      <w:r>
        <w:rPr>
          <w:rFonts w:ascii="Times New Roman" w:eastAsia="仿宋" w:cs="Times New Roman" w:hAnsi="Times New Roman"/>
          <w:b/>
          <w:sz w:val="32"/>
          <w:szCs w:val="32"/>
        </w:rPr>
        <w:t>（二）一般公共预算财政拨款支出决算结构情况</w:t>
      </w:r>
      <w:bookmarkEnd w:id="49"/>
    </w:p>
    <w:p>
      <w:pPr>
        <w:spacing w:line="600" w:lineRule="exact"/>
        <w:ind w:firstLine="640"/>
        <w:rPr>
          <w:rFonts w:ascii="仿宋" w:eastAsia="仿宋" w:hint="eastAsia"/>
          <w:b/>
          <w:color w:val="000000"/>
          <w:sz w:val="32"/>
          <w:szCs w:val="32"/>
          <w:lang w:eastAsia="zh-CN"/>
        </w:rPr>
      </w:pPr>
      <w:r>
        <w:rPr>
          <w:rFonts w:ascii="仿宋" w:eastAsia="仿宋"/>
          <w:color w:val="000000"/>
          <w:sz w:val="32"/>
          <w:szCs w:val="32"/>
        </w:rPr>
        <w:t>20</w:t>
      </w:r>
      <w:r>
        <w:rPr>
          <w:rFonts w:ascii="仿宋" w:eastAsia="仿宋" w:hint="eastAsia"/>
          <w:color w:val="000000"/>
          <w:sz w:val="32"/>
          <w:szCs w:val="32"/>
        </w:rPr>
        <w:t>2</w:t>
      </w:r>
      <w:r>
        <w:rPr>
          <w:rFonts w:ascii="仿宋" w:eastAsia="仿宋" w:hint="eastAsia"/>
          <w:color w:val="000000"/>
          <w:sz w:val="32"/>
          <w:szCs w:val="32"/>
          <w:lang w:val="en-US" w:eastAsia="zh-CN"/>
        </w:rPr>
        <w:t>2</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1064.39</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lang w:val="en-US" w:eastAsia="zh-CN"/>
        </w:rPr>
        <w:t>公共安全支出</w:t>
      </w:r>
      <w:r>
        <w:rPr>
          <w:rFonts w:ascii="仿宋" w:eastAsia="仿宋" w:hint="eastAsia"/>
          <w:b/>
          <w:color w:val="000000"/>
          <w:sz w:val="32"/>
          <w:szCs w:val="32"/>
        </w:rPr>
        <w:t>（类）</w:t>
      </w:r>
      <w:r>
        <w:rPr>
          <w:rFonts w:ascii="仿宋" w:eastAsia="仿宋" w:hint="eastAsia"/>
          <w:color w:val="000000"/>
          <w:sz w:val="32"/>
          <w:szCs w:val="32"/>
        </w:rPr>
        <w:t>支出</w:t>
      </w:r>
      <w:r>
        <w:rPr>
          <w:rFonts w:ascii="仿宋_GB2312" w:eastAsia="仿宋_GB2312" w:hint="eastAsia"/>
          <w:color w:val="000000"/>
          <w:sz w:val="32"/>
          <w:szCs w:val="32"/>
          <w:lang w:val="en-US" w:eastAsia="zh-CN"/>
        </w:rPr>
        <w:t>642.18</w:t>
      </w:r>
      <w:r>
        <w:rPr>
          <w:rFonts w:ascii="仿宋_GB2312" w:eastAsia="仿宋_GB2312" w:hint="eastAsia"/>
          <w:color w:val="000000"/>
          <w:sz w:val="32"/>
          <w:szCs w:val="32"/>
        </w:rPr>
        <w:t>万元，占</w:t>
      </w:r>
      <w:r>
        <w:rPr>
          <w:rFonts w:ascii="仿宋_GB2312" w:eastAsia="仿宋_GB2312" w:hint="eastAsia"/>
          <w:color w:val="000000"/>
          <w:sz w:val="32"/>
          <w:szCs w:val="32"/>
          <w:lang w:val="en-US" w:eastAsia="zh-CN"/>
        </w:rPr>
        <w:t>60.33</w:t>
      </w:r>
      <w:r>
        <w:rPr>
          <w:rFonts w:ascii="仿宋_GB2312" w:eastAsia="仿宋_GB2312" w:hint="eastAsia"/>
          <w:color w:val="000000"/>
          <w:sz w:val="32"/>
          <w:szCs w:val="32"/>
        </w:rPr>
        <w:t>%</w:t>
      </w:r>
      <w:r>
        <w:rPr>
          <w:rFonts w:ascii="仿宋" w:eastAsia="仿宋" w:hint="eastAsia"/>
          <w:color w:val="000000"/>
          <w:sz w:val="32"/>
          <w:szCs w:val="32"/>
        </w:rPr>
        <w:t>；</w:t>
      </w:r>
      <w:r>
        <w:rPr>
          <w:rFonts w:ascii="仿宋" w:eastAsia="仿宋" w:hint="eastAsia"/>
          <w:b/>
          <w:color w:val="000000"/>
          <w:sz w:val="32"/>
          <w:szCs w:val="32"/>
        </w:rPr>
        <w:t>教育支出（类）</w:t>
      </w:r>
      <w:r>
        <w:rPr>
          <w:rFonts w:ascii="仿宋_GB2312" w:eastAsia="仿宋_GB2312" w:hint="eastAsia"/>
          <w:color w:val="000000"/>
          <w:sz w:val="32"/>
          <w:szCs w:val="32"/>
        </w:rPr>
        <w:t>支出</w:t>
      </w:r>
      <w:r>
        <w:rPr>
          <w:rFonts w:ascii="仿宋_GB2312" w:eastAsia="仿宋_GB2312" w:hint="eastAsia"/>
          <w:color w:val="000000"/>
          <w:sz w:val="32"/>
          <w:szCs w:val="32"/>
          <w:lang w:val="en-US" w:eastAsia="zh-CN"/>
        </w:rPr>
        <w:t>17.05</w:t>
      </w:r>
      <w:r>
        <w:rPr>
          <w:rFonts w:ascii="仿宋_GB2312" w:eastAsia="仿宋_GB2312" w:hint="eastAsia"/>
          <w:color w:val="000000"/>
          <w:sz w:val="32"/>
          <w:szCs w:val="32"/>
        </w:rPr>
        <w:t>万元，占</w:t>
      </w:r>
      <w:r>
        <w:rPr>
          <w:rFonts w:ascii="仿宋_GB2312" w:eastAsia="仿宋_GB2312" w:hint="eastAsia"/>
          <w:color w:val="000000"/>
          <w:sz w:val="32"/>
          <w:szCs w:val="32"/>
          <w:lang w:val="en-US" w:eastAsia="zh-CN"/>
        </w:rPr>
        <w:t>1.6</w:t>
      </w:r>
      <w:r>
        <w:rPr>
          <w:rFonts w:ascii="仿宋_GB2312" w:eastAsia="仿宋_GB2312" w:hint="eastAsia"/>
          <w:color w:val="000000"/>
          <w:sz w:val="32"/>
          <w:szCs w:val="32"/>
        </w:rPr>
        <w:t>%</w:t>
      </w:r>
      <w:r>
        <w:rPr>
          <w:rFonts w:ascii="仿宋" w:eastAsia="仿宋" w:hint="eastAsia"/>
          <w:b/>
          <w:color w:val="000000"/>
          <w:sz w:val="32"/>
          <w:szCs w:val="32"/>
        </w:rPr>
        <w:t>社会保障和就业（类）</w:t>
      </w:r>
      <w:r>
        <w:rPr>
          <w:rFonts w:ascii="仿宋" w:eastAsia="仿宋" w:hint="eastAsia"/>
          <w:color w:val="000000"/>
          <w:sz w:val="32"/>
          <w:szCs w:val="32"/>
        </w:rPr>
        <w:t>支出</w:t>
      </w:r>
      <w:r>
        <w:rPr>
          <w:rFonts w:ascii="仿宋_GB2312" w:eastAsia="仿宋_GB2312" w:hint="eastAsia"/>
          <w:color w:val="000000"/>
          <w:sz w:val="32"/>
          <w:szCs w:val="32"/>
          <w:lang w:val="en-US" w:eastAsia="zh-CN"/>
        </w:rPr>
        <w:t>46.58</w:t>
      </w:r>
      <w:r>
        <w:rPr>
          <w:rFonts w:ascii="仿宋_GB2312" w:eastAsia="仿宋_GB2312" w:hint="eastAsia"/>
          <w:color w:val="000000"/>
          <w:sz w:val="32"/>
          <w:szCs w:val="32"/>
        </w:rPr>
        <w:t>万元，占</w:t>
      </w:r>
      <w:r>
        <w:rPr>
          <w:rFonts w:ascii="仿宋_GB2312" w:eastAsia="仿宋_GB2312" w:hint="eastAsia"/>
          <w:color w:val="000000"/>
          <w:sz w:val="32"/>
          <w:szCs w:val="32"/>
          <w:lang w:val="en-US" w:eastAsia="zh-CN"/>
        </w:rPr>
        <w:t>4.38</w:t>
      </w:r>
      <w:r>
        <w:rPr>
          <w:rFonts w:ascii="仿宋_GB2312" w:eastAsia="仿宋_GB2312" w:hint="eastAsia"/>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卫生健康支出</w:t>
      </w:r>
      <w:r>
        <w:rPr>
          <w:rFonts w:ascii="仿宋_GB2312" w:eastAsia="仿宋_GB2312" w:hint="eastAsia"/>
          <w:color w:val="000000"/>
          <w:sz w:val="32"/>
          <w:szCs w:val="32"/>
          <w:lang w:val="en-US" w:eastAsia="zh-CN"/>
        </w:rPr>
        <w:t>19.68</w:t>
      </w:r>
      <w:r>
        <w:rPr>
          <w:rFonts w:ascii="仿宋_GB2312" w:eastAsia="仿宋_GB2312" w:hint="eastAsia"/>
          <w:color w:val="000000"/>
          <w:sz w:val="32"/>
          <w:szCs w:val="32"/>
        </w:rPr>
        <w:t>万元，占</w:t>
      </w:r>
      <w:r>
        <w:rPr>
          <w:rFonts w:ascii="仿宋_GB2312" w:eastAsia="仿宋_GB2312" w:hint="eastAsia"/>
          <w:color w:val="000000"/>
          <w:sz w:val="32"/>
          <w:szCs w:val="32"/>
          <w:lang w:val="en-US" w:eastAsia="zh-CN"/>
        </w:rPr>
        <w:t>1.85</w:t>
      </w:r>
      <w:r>
        <w:rPr>
          <w:rFonts w:ascii="仿宋_GB2312" w:eastAsia="仿宋_GB2312" w:hint="eastAsia"/>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住房保障支出</w:t>
      </w:r>
      <w:r>
        <w:rPr>
          <w:rFonts w:ascii="仿宋_GB2312" w:eastAsia="仿宋_GB2312" w:hint="eastAsia"/>
          <w:color w:val="000000"/>
          <w:sz w:val="32"/>
          <w:szCs w:val="32"/>
          <w:lang w:val="en-US" w:eastAsia="zh-CN"/>
        </w:rPr>
        <w:t>28.9</w:t>
      </w:r>
      <w:r>
        <w:rPr>
          <w:rFonts w:ascii="仿宋_GB2312" w:eastAsia="仿宋_GB2312" w:hint="eastAsia"/>
          <w:color w:val="000000"/>
          <w:sz w:val="32"/>
          <w:szCs w:val="32"/>
        </w:rPr>
        <w:t>万元，占</w:t>
      </w:r>
      <w:r>
        <w:rPr>
          <w:rFonts w:ascii="仿宋_GB2312" w:eastAsia="仿宋_GB2312" w:hint="eastAsia"/>
          <w:color w:val="000000"/>
          <w:sz w:val="32"/>
          <w:szCs w:val="32"/>
          <w:lang w:val="en-US" w:eastAsia="zh-CN"/>
        </w:rPr>
        <w:t>2.72</w:t>
      </w:r>
      <w:r>
        <w:rPr>
          <w:rFonts w:ascii="仿宋_GB2312" w:eastAsia="仿宋_GB2312" w:hint="eastAsia"/>
          <w:color w:val="000000"/>
          <w:sz w:val="32"/>
          <w:szCs w:val="32"/>
        </w:rPr>
        <w:t>%</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其他支出</w:t>
      </w:r>
      <w:r>
        <w:rPr>
          <w:rFonts w:ascii="仿宋" w:eastAsia="仿宋" w:hint="eastAsia"/>
          <w:b/>
          <w:color w:val="000000"/>
          <w:sz w:val="32"/>
          <w:szCs w:val="32"/>
        </w:rPr>
        <w:t>（类）</w:t>
      </w:r>
      <w:r>
        <w:rPr>
          <w:rFonts w:ascii="仿宋" w:eastAsia="仿宋" w:hint="eastAsia"/>
          <w:b/>
          <w:color w:val="000000"/>
          <w:sz w:val="32"/>
          <w:szCs w:val="32"/>
          <w:lang w:val="en-US" w:eastAsia="zh-CN"/>
        </w:rPr>
        <w:t>310万元，</w:t>
      </w:r>
      <w:r>
        <w:rPr>
          <w:rFonts w:ascii="仿宋_GB2312" w:eastAsia="仿宋_GB2312" w:hint="eastAsia"/>
          <w:color w:val="000000"/>
          <w:sz w:val="32"/>
          <w:szCs w:val="32"/>
        </w:rPr>
        <w:t>占</w:t>
      </w:r>
      <w:r>
        <w:rPr>
          <w:rFonts w:ascii="仿宋_GB2312" w:eastAsia="仿宋_GB2312" w:hint="eastAsia"/>
          <w:color w:val="000000"/>
          <w:sz w:val="32"/>
          <w:szCs w:val="32"/>
          <w:lang w:val="en-US" w:eastAsia="zh-CN"/>
        </w:rPr>
        <w:t>29.12</w:t>
      </w:r>
      <w:r>
        <w:rPr>
          <w:rFonts w:ascii="仿宋_GB2312" w:eastAsia="仿宋_GB2312" w:hint="eastAsia"/>
          <w:color w:val="000000"/>
          <w:sz w:val="32"/>
          <w:szCs w:val="32"/>
        </w:rPr>
        <w:t>%</w:t>
      </w:r>
      <w:r>
        <w:rPr>
          <w:rFonts w:ascii="仿宋" w:eastAsia="仿宋" w:hint="eastAsia"/>
          <w:color w:val="000000"/>
          <w:sz w:val="32"/>
          <w:szCs w:val="32"/>
        </w:rPr>
        <w:t>。</w:t>
      </w:r>
    </w:p>
    <w:p>
      <w:pPr>
        <w:rPr>
          <w:rFonts w:hint="eastAsia"/>
          <w:lang w:eastAsia="zh-CN"/>
        </w:rPr>
      </w:pPr>
      <w:r>
        <w:rPr>
          <w:rFonts w:ascii="仿宋" w:eastAsia="仿宋" w:hint="eastAsia"/>
          <w:b/>
          <w:color w:val="000000"/>
          <w:sz w:val="32"/>
          <w:szCs w:val="32"/>
          <w:lang w:eastAsia="zh-CN"/>
        </w:rPr>
        <w:drawing>
          <wp:inline distT="0" distB="0" distL="114300" distR="114300">
            <wp:extent cx="5079365" cy="3810000"/>
            <wp:effectExtent l="0" t="0" r="0" b="0"/>
            <wp:docPr id="8" name="图表 14"/>
            <wp:cNvGraphicFramePr>
              <a:graphicFrameLocks noChangeAspect="0"/>
            </wp:cNvGraphicFramePr>
            <a:graphic>
              <a:graphicData uri="http://schemas.openxmlformats.org/drawingml/2006/chart">
                <c:chart xmlns:c="http://schemas.openxmlformats.org/drawingml/2006/chart" r:id="rId9"/>
              </a:graphicData>
            </a:graphic>
          </wp:inline>
        </w:drawing>
      </w:r>
    </w:p>
    <w:p>
      <w:pPr>
        <w:pageBreakBefore w:val="0"/>
        <w:widowControl w:val="0"/>
        <w:kinsoku/>
        <w:wordWrap/>
        <w:overflowPunct/>
        <w:topLinePunct w:val="0"/>
        <w:bidi w:val="0"/>
        <w:spacing w:line="576" w:lineRule="exact"/>
        <w:rPr>
          <w:rFonts w:ascii="Times New Roman" w:eastAsia="仿宋" w:cs="Times New Roman" w:hAnsi="Times New Roman"/>
          <w:sz w:val="32"/>
          <w:szCs w:val="32"/>
        </w:rPr>
      </w:pPr>
      <w:r>
        <w:rPr>
          <w:rFonts w:ascii="Times New Roman" w:eastAsia="仿宋" w:cs="Times New Roman" w:hAnsi="Times New Roman"/>
          <w:color w:val="auto"/>
          <w:sz w:val="32"/>
          <w:szCs w:val="32"/>
        </w:rPr>
        <w:t>（图6：一般公共预算财政拨款支出决算结构）（饼状图）</w:t>
      </w:r>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sz w:val="32"/>
          <w:szCs w:val="32"/>
        </w:rPr>
      </w:pPr>
      <w:bookmarkStart w:id="50" w:name="_Toc15377212"/>
      <w:r>
        <w:rPr>
          <w:rFonts w:ascii="Times New Roman" w:eastAsia="仿宋" w:cs="Times New Roman" w:hAnsi="Times New Roman"/>
          <w:b/>
          <w:sz w:val="32"/>
          <w:szCs w:val="32"/>
        </w:rPr>
        <w:t>（三）一般公共预算财政拨款支出决算具体情况</w:t>
      </w:r>
      <w:bookmarkEnd w:id="50"/>
    </w:p>
    <w:p>
      <w:pPr>
        <w:pStyle w:val="36"/>
        <w:ind w:leftChars="0" w:left="0" w:firstLineChars="200" w:firstLine="640"/>
        <w:rPr>
          <w:rFonts w:ascii="Times New Roman" w:eastAsia="仿宋_GB2312" w:cs="Times New Roman" w:hAnsi="Times New Roman" w:hint="eastAsia"/>
          <w:kern w:val="2"/>
          <w:sz w:val="32"/>
          <w:szCs w:val="32"/>
          <w:lang w:val="en-US" w:eastAsia="zh-CN" w:bidi="ar-SA"/>
        </w:rPr>
      </w:pPr>
      <w:bookmarkStart w:id="51" w:name="_Toc15396608"/>
      <w:bookmarkStart w:id="52" w:name="_Toc15377214"/>
      <w:bookmarkStart w:id="53" w:name="_Toc26843617"/>
      <w:r>
        <w:rPr>
          <w:rFonts w:ascii="仿宋" w:eastAsia="仿宋" w:hint="eastAsia"/>
          <w:bCs/>
          <w:color w:val="000000"/>
          <w:sz w:val="32"/>
          <w:szCs w:val="32"/>
        </w:rPr>
        <w:t xml:space="preserve"> </w:t>
      </w:r>
      <w:r>
        <w:rPr>
          <w:rFonts w:ascii="Times New Roman" w:eastAsia="仿宋_GB2312" w:cs="Times New Roman" w:hAnsi="Times New Roman" w:hint="eastAsia"/>
          <w:kern w:val="2"/>
          <w:sz w:val="32"/>
          <w:szCs w:val="32"/>
          <w:lang w:val="en-US" w:eastAsia="zh-CN" w:bidi="ar-SA"/>
        </w:rPr>
        <w:t>2022年一般公共预算数为430.14万元，支出决算数为1064.39万元，完成预算100</w:t>
      </w:r>
      <w:r>
        <w:rPr>
          <w:rFonts w:ascii="Times New Roman" w:eastAsia="仿宋_GB2312" w:cs="Times New Roman" w:hAnsi="Times New Roman"/>
          <w:kern w:val="2"/>
          <w:sz w:val="32"/>
          <w:szCs w:val="32"/>
          <w:lang w:val="en-US" w:eastAsia="zh-CN" w:bidi="ar-SA"/>
        </w:rPr>
        <w:t>%</w:t>
      </w:r>
      <w:r>
        <w:rPr>
          <w:rFonts w:ascii="Times New Roman" w:eastAsia="仿宋_GB2312" w:cs="Times New Roman" w:hAnsi="Times New Roman" w:hint="eastAsia"/>
          <w:kern w:val="2"/>
          <w:sz w:val="32"/>
          <w:szCs w:val="32"/>
          <w:lang w:val="en-US" w:eastAsia="zh-CN" w:bidi="ar-SA"/>
        </w:rPr>
        <w:t>。其中：</w:t>
      </w:r>
    </w:p>
    <w:p>
      <w:pPr>
        <w:pStyle w:val="36"/>
        <w:numPr>
          <w:ilvl w:val="0"/>
          <w:numId w:val="2"/>
        </w:numPr>
        <w:ind w:leftChars="0" w:left="0" w:firstLineChars="200" w:firstLine="640"/>
        <w:rPr>
          <w:rFonts w:ascii="Times New Roman" w:eastAsia="仿宋_GB2312" w:cs="Times New Roman" w:hAnsi="Times New Roman" w:hint="eastAsia"/>
          <w:kern w:val="2"/>
          <w:sz w:val="32"/>
          <w:szCs w:val="32"/>
          <w:lang w:val="en-US" w:eastAsia="zh-CN" w:bidi="ar-SA"/>
        </w:rPr>
      </w:pPr>
      <w:r>
        <w:rPr>
          <w:rFonts w:ascii="Times New Roman" w:eastAsia="仿宋_GB2312" w:cs="Times New Roman" w:hAnsi="Times New Roman" w:hint="eastAsia"/>
          <w:kern w:val="2"/>
          <w:sz w:val="32"/>
          <w:szCs w:val="32"/>
          <w:lang w:val="en-US" w:eastAsia="zh-CN" w:bidi="ar-SA"/>
        </w:rPr>
        <w:t>公共安全204（类）公安02（款）行政运行01（项）：2022年决算数为221.49万元，完成预算100%。</w:t>
      </w:r>
    </w:p>
    <w:p>
      <w:pPr>
        <w:pStyle w:val="36"/>
        <w:ind w:leftChars="200" w:left="420" w:firstLineChars="200" w:firstLine="640"/>
        <w:rPr>
          <w:rFonts w:ascii="Times New Roman" w:eastAsia="仿宋_GB2312" w:cs="Times New Roman" w:hAnsi="Times New Roman" w:hint="eastAsia"/>
          <w:kern w:val="2"/>
          <w:sz w:val="32"/>
          <w:szCs w:val="32"/>
          <w:lang w:val="en-US" w:eastAsia="zh-CN" w:bidi="ar-SA"/>
        </w:rPr>
      </w:pPr>
      <w:r>
        <w:rPr>
          <w:rFonts w:ascii="Times New Roman" w:eastAsia="仿宋_GB2312" w:cs="Times New Roman" w:hAnsi="Times New Roman" w:hint="eastAsia"/>
          <w:kern w:val="2"/>
          <w:sz w:val="32"/>
          <w:szCs w:val="32"/>
          <w:lang w:val="en-US" w:eastAsia="zh-CN" w:bidi="ar-SA"/>
        </w:rPr>
        <w:t>公共安全204（类）公安02（款）事业运行50（项）：2022年决算数为116万元，完成预算100%。</w:t>
      </w:r>
    </w:p>
    <w:p>
      <w:pPr>
        <w:pStyle w:val="36"/>
        <w:ind w:leftChars="200" w:left="420" w:firstLineChars="200" w:firstLine="640"/>
        <w:rPr>
          <w:rFonts w:ascii="Times New Roman" w:eastAsia="仿宋_GB2312" w:cs="Times New Roman" w:hAnsi="Times New Roman" w:hint="eastAsia"/>
          <w:kern w:val="2"/>
          <w:sz w:val="32"/>
          <w:szCs w:val="32"/>
          <w:lang w:val="en-US" w:eastAsia="zh-CN" w:bidi="ar-SA"/>
        </w:rPr>
      </w:pPr>
      <w:r>
        <w:rPr>
          <w:rFonts w:ascii="Times New Roman" w:eastAsia="仿宋_GB2312" w:cs="Times New Roman" w:hAnsi="Times New Roman" w:hint="eastAsia"/>
          <w:kern w:val="2"/>
          <w:sz w:val="32"/>
          <w:szCs w:val="32"/>
          <w:lang w:val="en-US" w:eastAsia="zh-CN" w:bidi="ar-SA"/>
        </w:rPr>
        <w:t>公共安全204（类）公安02（款）一般行政管理事务02（项）：2022年决算数为151.86万元，完成预算100%。</w:t>
      </w:r>
    </w:p>
    <w:p>
      <w:pPr>
        <w:pStyle w:val="36"/>
        <w:ind w:leftChars="200" w:left="420" w:firstLineChars="200" w:firstLine="640"/>
        <w:rPr>
          <w:rFonts w:ascii="Times New Roman" w:eastAsia="仿宋_GB2312" w:cs="Times New Roman" w:hAnsi="Times New Roman" w:hint="eastAsia"/>
          <w:kern w:val="2"/>
          <w:sz w:val="32"/>
          <w:szCs w:val="32"/>
          <w:lang w:val="en-US" w:eastAsia="zh-CN" w:bidi="ar-SA"/>
        </w:rPr>
      </w:pPr>
      <w:r>
        <w:rPr>
          <w:rFonts w:ascii="Times New Roman" w:eastAsia="仿宋_GB2312" w:cs="Times New Roman" w:hAnsi="Times New Roman" w:hint="eastAsia"/>
          <w:kern w:val="2"/>
          <w:sz w:val="32"/>
          <w:szCs w:val="32"/>
          <w:lang w:val="en-US" w:eastAsia="zh-CN" w:bidi="ar-SA"/>
        </w:rPr>
        <w:t>公共安全204（类）公安02（款）  信息化建设19（项）：2022年决算数为132.82万元，完成预算100%。</w:t>
      </w:r>
    </w:p>
    <w:p>
      <w:pPr>
        <w:pStyle w:val="36"/>
        <w:ind w:leftChars="200" w:left="420" w:firstLineChars="200" w:firstLine="640"/>
        <w:rPr>
          <w:rFonts w:ascii="Times New Roman" w:eastAsia="仿宋_GB2312" w:cs="Times New Roman" w:hAnsi="Times New Roman" w:hint="eastAsia"/>
          <w:kern w:val="2"/>
          <w:sz w:val="32"/>
          <w:szCs w:val="32"/>
          <w:lang w:val="en-US" w:eastAsia="zh-CN" w:bidi="ar-SA"/>
        </w:rPr>
      </w:pPr>
      <w:r>
        <w:rPr>
          <w:rFonts w:ascii="Times New Roman" w:eastAsia="仿宋_GB2312" w:cs="Times New Roman" w:hAnsi="Times New Roman" w:hint="eastAsia"/>
          <w:kern w:val="2"/>
          <w:sz w:val="32"/>
          <w:szCs w:val="32"/>
          <w:lang w:val="en-US" w:eastAsia="zh-CN" w:bidi="ar-SA"/>
        </w:rPr>
        <w:t>公共安全204（类）公安02（款）  特别业务21（项）：2022年决算数为9.99万元，完成预算100%。</w:t>
      </w:r>
    </w:p>
    <w:p>
      <w:pPr>
        <w:pStyle w:val="36"/>
        <w:ind w:leftChars="200" w:left="420" w:firstLineChars="200" w:firstLine="640"/>
        <w:rPr>
          <w:rFonts w:ascii="Times New Roman" w:eastAsia="仿宋_GB2312" w:cs="Times New Roman" w:hAnsi="Times New Roman" w:hint="eastAsia"/>
          <w:kern w:val="2"/>
          <w:sz w:val="32"/>
          <w:szCs w:val="32"/>
          <w:lang w:val="en-US" w:eastAsia="zh-CN" w:bidi="ar-SA"/>
        </w:rPr>
      </w:pPr>
      <w:r>
        <w:rPr>
          <w:rFonts w:ascii="Times New Roman" w:eastAsia="仿宋_GB2312" w:cs="Times New Roman" w:hAnsi="Times New Roman" w:hint="eastAsia"/>
          <w:kern w:val="2"/>
          <w:sz w:val="32"/>
          <w:szCs w:val="32"/>
          <w:lang w:val="en-US" w:eastAsia="zh-CN" w:bidi="ar-SA"/>
        </w:rPr>
        <w:t>公共安全204（类）公安02（款）特勤业务22（项）：2022年决算数为10万元，完成预算100%。</w:t>
      </w:r>
    </w:p>
    <w:p>
      <w:pPr>
        <w:spacing w:line="600" w:lineRule="exact"/>
        <w:ind w:firstLineChars="200" w:firstLine="640"/>
        <w:rPr>
          <w:rStyle w:val="25"/>
          <w:rFonts w:ascii="仿宋_GB2312" w:eastAsia="仿宋_GB2312" w:hint="eastAsia"/>
          <w:sz w:val="32"/>
          <w:szCs w:val="32"/>
        </w:rPr>
      </w:pPr>
      <w:r>
        <w:rPr>
          <w:rStyle w:val="25"/>
          <w:rFonts w:ascii="仿宋_GB2312" w:eastAsia="仿宋_GB2312" w:hint="eastAsia"/>
          <w:sz w:val="32"/>
          <w:szCs w:val="32"/>
        </w:rPr>
        <w:t>2.社会保障和就业:</w:t>
      </w:r>
    </w:p>
    <w:p>
      <w:pPr>
        <w:spacing w:line="600" w:lineRule="exact"/>
        <w:ind w:firstLineChars="200" w:firstLine="640"/>
        <w:rPr>
          <w:rFonts w:ascii="仿宋_GB2312" w:eastAsia="仿宋_GB2312" w:hint="eastAsia"/>
          <w:sz w:val="32"/>
          <w:szCs w:val="32"/>
        </w:rPr>
      </w:pPr>
      <w:r>
        <w:rPr>
          <w:rFonts w:ascii="仿宋_GB2312" w:eastAsia="仿宋_GB2312" w:hint="eastAsia"/>
          <w:color w:val="000000"/>
          <w:sz w:val="32"/>
          <w:szCs w:val="32"/>
        </w:rPr>
        <w:t>社会保障和就业208（类）行政事业单位离退休05（款）机关事业单位基本养老保险缴费支出05（项）：</w:t>
      </w:r>
      <w:r>
        <w:rPr>
          <w:rFonts w:ascii="仿宋_GB2312" w:eastAsia="仿宋_GB2312" w:hint="eastAsia"/>
          <w:sz w:val="32"/>
          <w:szCs w:val="32"/>
        </w:rPr>
        <w:t>20</w:t>
      </w:r>
      <w:r>
        <w:rPr>
          <w:rFonts w:ascii="仿宋_GB2312" w:eastAsia="仿宋_GB2312" w:hint="eastAsia"/>
          <w:sz w:val="32"/>
          <w:szCs w:val="32"/>
          <w:lang w:val="en-US" w:eastAsia="zh-CN"/>
        </w:rPr>
        <w:t>22</w:t>
      </w:r>
      <w:r>
        <w:rPr>
          <w:rFonts w:ascii="仿宋_GB2312" w:eastAsia="仿宋_GB2312" w:hint="eastAsia"/>
          <w:sz w:val="32"/>
          <w:szCs w:val="32"/>
        </w:rPr>
        <w:t>年决算数为</w:t>
      </w:r>
      <w:r>
        <w:rPr>
          <w:rFonts w:ascii="仿宋_GB2312" w:eastAsia="仿宋_GB2312" w:hint="eastAsia"/>
          <w:sz w:val="32"/>
          <w:szCs w:val="32"/>
          <w:lang w:val="en-US" w:eastAsia="zh-CN"/>
        </w:rPr>
        <w:t>31.05</w:t>
      </w:r>
      <w:r>
        <w:rPr>
          <w:rFonts w:ascii="仿宋_GB2312" w:eastAsia="仿宋_GB2312" w:hint="eastAsia"/>
          <w:sz w:val="32"/>
          <w:szCs w:val="32"/>
        </w:rPr>
        <w:t>万元，完成预算100%。</w:t>
      </w:r>
    </w:p>
    <w:p>
      <w:pPr>
        <w:spacing w:line="600" w:lineRule="exact"/>
        <w:ind w:firstLineChars="200" w:firstLine="640"/>
        <w:rPr>
          <w:rStyle w:val="25"/>
          <w:rFonts w:ascii="仿宋_GB2312" w:eastAsia="仿宋_GB2312" w:hint="eastAsia"/>
          <w:b w:val="0"/>
          <w:bCs w:val="0"/>
          <w:sz w:val="32"/>
          <w:szCs w:val="32"/>
        </w:rPr>
      </w:pPr>
      <w:r>
        <w:rPr>
          <w:rFonts w:ascii="仿宋_GB2312" w:eastAsia="仿宋_GB2312" w:hint="eastAsia"/>
          <w:color w:val="000000"/>
          <w:sz w:val="32"/>
          <w:szCs w:val="32"/>
        </w:rPr>
        <w:t>社会保障和就业208（类）行政事业单位离退休05（款）机关事业单位职业年金缴费支出06（项）：</w:t>
      </w:r>
      <w:r>
        <w:rPr>
          <w:rFonts w:ascii="仿宋_GB2312" w:eastAsia="仿宋_GB2312" w:hint="eastAsia"/>
          <w:sz w:val="32"/>
          <w:szCs w:val="32"/>
        </w:rPr>
        <w:t>20</w:t>
      </w:r>
      <w:r>
        <w:rPr>
          <w:rFonts w:ascii="仿宋_GB2312" w:eastAsia="仿宋_GB2312" w:hint="eastAsia"/>
          <w:sz w:val="32"/>
          <w:szCs w:val="32"/>
          <w:lang w:val="en-US" w:eastAsia="zh-CN"/>
        </w:rPr>
        <w:t>22</w:t>
      </w:r>
      <w:r>
        <w:rPr>
          <w:rFonts w:ascii="仿宋_GB2312" w:eastAsia="仿宋_GB2312" w:hint="eastAsia"/>
          <w:sz w:val="32"/>
          <w:szCs w:val="32"/>
        </w:rPr>
        <w:t>年决算数为</w:t>
      </w:r>
      <w:r>
        <w:rPr>
          <w:rFonts w:ascii="仿宋_GB2312" w:eastAsia="仿宋_GB2312" w:hint="eastAsia"/>
          <w:sz w:val="32"/>
          <w:szCs w:val="32"/>
          <w:lang w:val="en-US" w:eastAsia="zh-CN"/>
        </w:rPr>
        <w:t>15.53</w:t>
      </w:r>
      <w:r>
        <w:rPr>
          <w:rFonts w:ascii="仿宋_GB2312" w:eastAsia="仿宋_GB2312" w:hint="eastAsia"/>
          <w:sz w:val="32"/>
          <w:szCs w:val="32"/>
        </w:rPr>
        <w:t>万元，完成预算100%。</w:t>
        <w:br/>
      </w:r>
      <w:r>
        <w:rPr>
          <w:rFonts w:ascii="仿宋_GB2312" w:eastAsia="仿宋_GB2312" w:hint="eastAsia"/>
          <w:color w:val="FF6600"/>
          <w:sz w:val="32"/>
          <w:szCs w:val="32"/>
        </w:rPr>
        <w:t>　</w:t>
      </w:r>
      <w:r>
        <w:rPr>
          <w:rFonts w:ascii="仿宋_GB2312" w:eastAsia="仿宋_GB2312" w:hint="eastAsia"/>
          <w:sz w:val="32"/>
          <w:szCs w:val="32"/>
        </w:rPr>
        <w:t>　</w:t>
      </w:r>
      <w:r>
        <w:rPr>
          <w:rStyle w:val="25"/>
          <w:rFonts w:ascii="仿宋_GB2312" w:eastAsia="仿宋_GB2312" w:hint="eastAsia"/>
          <w:sz w:val="32"/>
          <w:szCs w:val="32"/>
        </w:rPr>
        <w:t>3.医疗卫生与计划生育:</w:t>
      </w:r>
    </w:p>
    <w:p>
      <w:pPr>
        <w:spacing w:line="600" w:lineRule="exact"/>
        <w:ind w:firstLineChars="200" w:firstLine="640"/>
        <w:rPr>
          <w:rFonts w:ascii="仿宋_GB2312" w:eastAsia="仿宋_GB2312" w:hint="eastAsia"/>
          <w:sz w:val="32"/>
          <w:szCs w:val="32"/>
          <w:lang w:eastAsia="zh-CN"/>
        </w:rPr>
      </w:pPr>
      <w:r>
        <w:rPr>
          <w:rFonts w:ascii="仿宋_GB2312" w:eastAsia="仿宋_GB2312" w:hint="eastAsia"/>
          <w:color w:val="000000"/>
          <w:sz w:val="32"/>
          <w:szCs w:val="32"/>
        </w:rPr>
        <w:t>医疗卫生与计划生育支出210（类）医疗保障</w:t>
      </w:r>
      <w:r>
        <w:rPr>
          <w:rFonts w:ascii="仿宋_GB2312" w:eastAsia="仿宋_GB2312" w:hint="eastAsia"/>
          <w:color w:val="000000"/>
          <w:sz w:val="32"/>
          <w:szCs w:val="32"/>
          <w:lang w:val="en-US" w:eastAsia="zh-CN"/>
        </w:rPr>
        <w:t>11</w:t>
      </w:r>
      <w:r>
        <w:rPr>
          <w:rFonts w:ascii="仿宋_GB2312" w:eastAsia="仿宋_GB2312" w:hint="eastAsia"/>
          <w:color w:val="000000"/>
          <w:sz w:val="32"/>
          <w:szCs w:val="32"/>
        </w:rPr>
        <w:t>（款）行政单位医疗01（项）：</w:t>
      </w:r>
      <w:r>
        <w:rPr>
          <w:rFonts w:ascii="仿宋_GB2312" w:eastAsia="仿宋_GB2312" w:hint="eastAsia"/>
          <w:sz w:val="32"/>
          <w:szCs w:val="32"/>
        </w:rPr>
        <w:t>20</w:t>
      </w:r>
      <w:r>
        <w:rPr>
          <w:rFonts w:ascii="仿宋_GB2312" w:eastAsia="仿宋_GB2312" w:hint="eastAsia"/>
          <w:sz w:val="32"/>
          <w:szCs w:val="32"/>
          <w:lang w:val="en-US" w:eastAsia="zh-CN"/>
        </w:rPr>
        <w:t>21</w:t>
      </w:r>
      <w:r>
        <w:rPr>
          <w:rFonts w:ascii="仿宋_GB2312" w:eastAsia="仿宋_GB2312" w:hint="eastAsia"/>
          <w:sz w:val="32"/>
          <w:szCs w:val="32"/>
        </w:rPr>
        <w:t>年决算数为</w:t>
      </w:r>
      <w:r>
        <w:rPr>
          <w:rFonts w:ascii="仿宋_GB2312" w:eastAsia="仿宋_GB2312" w:hint="eastAsia"/>
          <w:sz w:val="32"/>
          <w:szCs w:val="32"/>
          <w:lang w:val="en-US" w:eastAsia="zh-CN"/>
        </w:rPr>
        <w:t>11.07</w:t>
      </w:r>
      <w:r>
        <w:rPr>
          <w:rFonts w:ascii="仿宋_GB2312" w:eastAsia="仿宋_GB2312" w:hint="eastAsia"/>
          <w:sz w:val="32"/>
          <w:szCs w:val="32"/>
        </w:rPr>
        <w:t>万元，完成预算100%</w:t>
      </w:r>
      <w:r>
        <w:rPr>
          <w:rFonts w:ascii="仿宋_GB2312" w:eastAsia="仿宋_GB2312" w:hint="eastAsia"/>
          <w:sz w:val="32"/>
          <w:szCs w:val="32"/>
          <w:lang w:eastAsia="zh-CN"/>
        </w:rPr>
        <w:t>。</w:t>
      </w:r>
    </w:p>
    <w:p>
      <w:pPr>
        <w:spacing w:line="600" w:lineRule="exact"/>
        <w:ind w:firstLineChars="200" w:firstLine="640"/>
        <w:rPr>
          <w:rFonts w:ascii="仿宋_GB2312" w:eastAsia="仿宋_GB2312" w:hint="eastAsia"/>
          <w:sz w:val="32"/>
          <w:szCs w:val="32"/>
          <w:lang w:eastAsia="zh-CN"/>
        </w:rPr>
      </w:pPr>
      <w:r>
        <w:rPr>
          <w:rFonts w:ascii="仿宋_GB2312" w:eastAsia="仿宋_GB2312" w:hint="eastAsia"/>
          <w:color w:val="000000"/>
          <w:sz w:val="32"/>
          <w:szCs w:val="32"/>
        </w:rPr>
        <w:t>医疗卫生与计划生育支出210（类）医疗保障</w:t>
      </w:r>
      <w:r>
        <w:rPr>
          <w:rFonts w:ascii="仿宋_GB2312" w:eastAsia="仿宋_GB2312" w:hint="eastAsia"/>
          <w:color w:val="000000"/>
          <w:sz w:val="32"/>
          <w:szCs w:val="32"/>
          <w:lang w:val="en-US" w:eastAsia="zh-CN"/>
        </w:rPr>
        <w:t>11</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事业</w:t>
      </w:r>
      <w:r>
        <w:rPr>
          <w:rFonts w:ascii="仿宋_GB2312" w:eastAsia="仿宋_GB2312" w:hint="eastAsia"/>
          <w:color w:val="000000"/>
          <w:sz w:val="32"/>
          <w:szCs w:val="32"/>
        </w:rPr>
        <w:t>单位医疗0</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（项）：</w:t>
      </w:r>
      <w:r>
        <w:rPr>
          <w:rFonts w:ascii="仿宋_GB2312" w:eastAsia="仿宋_GB2312" w:hint="eastAsia"/>
          <w:sz w:val="32"/>
          <w:szCs w:val="32"/>
        </w:rPr>
        <w:t>20</w:t>
      </w:r>
      <w:r>
        <w:rPr>
          <w:rFonts w:ascii="仿宋_GB2312" w:eastAsia="仿宋_GB2312" w:hint="eastAsia"/>
          <w:sz w:val="32"/>
          <w:szCs w:val="32"/>
          <w:lang w:val="en-US" w:eastAsia="zh-CN"/>
        </w:rPr>
        <w:t>22</w:t>
      </w:r>
      <w:r>
        <w:rPr>
          <w:rFonts w:ascii="仿宋_GB2312" w:eastAsia="仿宋_GB2312" w:hint="eastAsia"/>
          <w:sz w:val="32"/>
          <w:szCs w:val="32"/>
        </w:rPr>
        <w:t>年决算数为</w:t>
      </w:r>
      <w:r>
        <w:rPr>
          <w:rFonts w:ascii="仿宋_GB2312" w:eastAsia="仿宋_GB2312" w:hint="eastAsia"/>
          <w:sz w:val="32"/>
          <w:szCs w:val="32"/>
          <w:lang w:val="en-US" w:eastAsia="zh-CN"/>
        </w:rPr>
        <w:t>4.6</w:t>
      </w:r>
      <w:r>
        <w:rPr>
          <w:rFonts w:ascii="仿宋_GB2312" w:eastAsia="仿宋_GB2312" w:hint="eastAsia"/>
          <w:sz w:val="32"/>
          <w:szCs w:val="32"/>
        </w:rPr>
        <w:t>万元，完成预算100%</w:t>
      </w:r>
      <w:r>
        <w:rPr>
          <w:rFonts w:ascii="仿宋_GB2312" w:eastAsia="仿宋_GB2312" w:hint="eastAsia"/>
          <w:sz w:val="32"/>
          <w:szCs w:val="32"/>
          <w:lang w:eastAsia="zh-CN"/>
        </w:rPr>
        <w:t>。</w:t>
      </w:r>
    </w:p>
    <w:p>
      <w:pPr>
        <w:spacing w:line="600" w:lineRule="exact"/>
        <w:ind w:firstLineChars="200" w:firstLine="640"/>
        <w:rPr>
          <w:rFonts w:ascii="仿宋_GB2312" w:eastAsia="仿宋_GB2312" w:hint="eastAsia"/>
          <w:sz w:val="32"/>
          <w:szCs w:val="32"/>
          <w:lang w:eastAsia="zh-CN"/>
        </w:rPr>
      </w:pPr>
      <w:r>
        <w:rPr>
          <w:rFonts w:ascii="仿宋_GB2312" w:eastAsia="仿宋_GB2312" w:hint="eastAsia"/>
          <w:color w:val="000000"/>
          <w:sz w:val="32"/>
          <w:szCs w:val="32"/>
        </w:rPr>
        <w:t>医疗卫生与计划生育支出210（类）医疗保障</w:t>
      </w:r>
      <w:r>
        <w:rPr>
          <w:rFonts w:ascii="仿宋_GB2312" w:eastAsia="仿宋_GB2312" w:hint="eastAsia"/>
          <w:color w:val="000000"/>
          <w:sz w:val="32"/>
          <w:szCs w:val="32"/>
          <w:lang w:val="en-US" w:eastAsia="zh-CN"/>
        </w:rPr>
        <w:t>11</w:t>
      </w:r>
      <w:r>
        <w:rPr>
          <w:rFonts w:ascii="仿宋_GB2312" w:eastAsia="仿宋_GB2312" w:hint="eastAsia"/>
          <w:color w:val="000000"/>
          <w:sz w:val="32"/>
          <w:szCs w:val="32"/>
        </w:rPr>
        <w:t>（款）</w:t>
      </w:r>
      <w:r>
        <w:rPr>
          <w:rFonts w:ascii="仿宋_GB2312" w:eastAsia="仿宋_GB2312" w:hint="eastAsia"/>
          <w:color w:val="000000"/>
          <w:sz w:val="32"/>
          <w:szCs w:val="32"/>
          <w:lang w:eastAsia="zh-CN"/>
        </w:rPr>
        <w:t>公务员医疗补助</w:t>
      </w:r>
      <w:r>
        <w:rPr>
          <w:rFonts w:ascii="仿宋_GB2312" w:eastAsia="仿宋_GB2312" w:hint="eastAsia"/>
          <w:color w:val="000000"/>
          <w:sz w:val="32"/>
          <w:szCs w:val="32"/>
          <w:lang w:val="en-US" w:eastAsia="zh-CN"/>
        </w:rPr>
        <w:t>03</w:t>
      </w:r>
      <w:r>
        <w:rPr>
          <w:rFonts w:ascii="仿宋_GB2312" w:eastAsia="仿宋_GB2312" w:hint="eastAsia"/>
          <w:color w:val="000000"/>
          <w:sz w:val="32"/>
          <w:szCs w:val="32"/>
        </w:rPr>
        <w:t>（项）</w:t>
      </w:r>
      <w:r>
        <w:rPr>
          <w:rFonts w:ascii="仿宋_GB2312" w:eastAsia="仿宋_GB2312" w:hint="eastAsia"/>
          <w:color w:val="000000"/>
          <w:sz w:val="32"/>
          <w:szCs w:val="32"/>
          <w:lang w:eastAsia="zh-CN"/>
        </w:rPr>
        <w:t>：</w:t>
      </w:r>
      <w:r>
        <w:rPr>
          <w:rFonts w:ascii="仿宋_GB2312" w:eastAsia="仿宋_GB2312" w:hint="eastAsia"/>
          <w:sz w:val="32"/>
          <w:szCs w:val="32"/>
        </w:rPr>
        <w:t>20</w:t>
      </w:r>
      <w:r>
        <w:rPr>
          <w:rFonts w:ascii="仿宋_GB2312" w:eastAsia="仿宋_GB2312" w:hint="eastAsia"/>
          <w:sz w:val="32"/>
          <w:szCs w:val="32"/>
          <w:lang w:val="en-US" w:eastAsia="zh-CN"/>
        </w:rPr>
        <w:t>22</w:t>
      </w:r>
      <w:r>
        <w:rPr>
          <w:rFonts w:ascii="仿宋_GB2312" w:eastAsia="仿宋_GB2312" w:hint="eastAsia"/>
          <w:sz w:val="32"/>
          <w:szCs w:val="32"/>
        </w:rPr>
        <w:t>年决算数为</w:t>
      </w:r>
      <w:r>
        <w:rPr>
          <w:rFonts w:ascii="仿宋_GB2312" w:eastAsia="仿宋_GB2312" w:hint="eastAsia"/>
          <w:sz w:val="32"/>
          <w:szCs w:val="32"/>
          <w:lang w:val="en-US" w:eastAsia="zh-CN"/>
        </w:rPr>
        <w:t>:2.77</w:t>
      </w:r>
      <w:r>
        <w:rPr>
          <w:rFonts w:ascii="仿宋_GB2312" w:eastAsia="仿宋_GB2312" w:hint="eastAsia"/>
          <w:sz w:val="32"/>
          <w:szCs w:val="32"/>
        </w:rPr>
        <w:t>万元，完成预算100%</w:t>
      </w:r>
      <w:r>
        <w:rPr>
          <w:rFonts w:ascii="仿宋_GB2312" w:eastAsia="仿宋_GB2312" w:hint="eastAsia"/>
          <w:sz w:val="32"/>
          <w:szCs w:val="32"/>
          <w:lang w:eastAsia="zh-CN"/>
        </w:rPr>
        <w:t>。</w:t>
      </w:r>
    </w:p>
    <w:p>
      <w:pPr>
        <w:spacing w:line="60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 xml:space="preserve">  其他行政事业单位医疗支出210（类）医疗保障11（款）其他行政事业单位医疗99（项）：2022年决算数为:1.24万元。</w:t>
      </w:r>
    </w:p>
    <w:p>
      <w:pPr>
        <w:numPr>
          <w:ilvl w:val="0"/>
          <w:numId w:val="3"/>
        </w:numPr>
        <w:spacing w:line="600" w:lineRule="exact"/>
        <w:ind w:left="0" w:firstLineChars="200" w:firstLine="640"/>
        <w:rPr>
          <w:rFonts w:ascii="仿宋" w:eastAsia="仿宋" w:hint="eastAsia"/>
          <w:b/>
          <w:color w:val="000000"/>
          <w:sz w:val="32"/>
          <w:szCs w:val="32"/>
          <w:lang w:eastAsia="zh-CN"/>
        </w:rPr>
      </w:pPr>
      <w:r>
        <w:rPr>
          <w:rFonts w:ascii="仿宋" w:eastAsia="仿宋" w:hint="eastAsia"/>
          <w:b/>
          <w:color w:val="000000"/>
          <w:sz w:val="32"/>
          <w:szCs w:val="32"/>
        </w:rPr>
        <w:t>教育支出</w:t>
      </w:r>
      <w:r>
        <w:rPr>
          <w:rFonts w:ascii="仿宋" w:eastAsia="仿宋" w:hint="eastAsia"/>
          <w:b/>
          <w:color w:val="000000"/>
          <w:sz w:val="32"/>
          <w:szCs w:val="32"/>
          <w:lang w:eastAsia="zh-CN"/>
        </w:rPr>
        <w:t>：</w:t>
      </w:r>
    </w:p>
    <w:p>
      <w:pPr>
        <w:spacing w:line="600" w:lineRule="exact"/>
        <w:ind w:firstLineChars="200" w:firstLine="640"/>
        <w:rPr>
          <w:rFonts w:ascii="仿宋_GB2312" w:eastAsia="仿宋_GB2312" w:hint="eastAsia"/>
          <w:sz w:val="32"/>
          <w:szCs w:val="32"/>
          <w:lang w:eastAsia="zh-CN"/>
        </w:rPr>
      </w:pPr>
      <w:r>
        <w:rPr>
          <w:rFonts w:ascii="仿宋_GB2312" w:eastAsia="仿宋_GB2312" w:hint="eastAsia"/>
          <w:color w:val="000000"/>
          <w:sz w:val="32"/>
          <w:szCs w:val="32"/>
          <w:lang w:val="en-US" w:eastAsia="zh-CN"/>
        </w:rPr>
        <w:t>教育支出205</w:t>
      </w:r>
      <w:r>
        <w:rPr>
          <w:rFonts w:ascii="仿宋_GB2312" w:eastAsia="仿宋_GB2312" w:hint="eastAsia"/>
          <w:color w:val="000000"/>
          <w:sz w:val="32"/>
          <w:szCs w:val="32"/>
        </w:rPr>
        <w:t>（类）进修及培训</w:t>
      </w:r>
      <w:r>
        <w:rPr>
          <w:rFonts w:ascii="仿宋_GB2312" w:eastAsia="仿宋_GB2312" w:hint="eastAsia"/>
          <w:color w:val="000000"/>
          <w:sz w:val="32"/>
          <w:szCs w:val="32"/>
          <w:lang w:val="en-US" w:eastAsia="zh-CN"/>
        </w:rPr>
        <w:t>08</w:t>
      </w:r>
      <w:r>
        <w:rPr>
          <w:rFonts w:ascii="仿宋_GB2312" w:eastAsia="仿宋_GB2312" w:hint="eastAsia"/>
          <w:color w:val="000000"/>
          <w:sz w:val="32"/>
          <w:szCs w:val="32"/>
        </w:rPr>
        <w:t>（款）培训支出</w:t>
      </w:r>
      <w:r>
        <w:rPr>
          <w:rFonts w:ascii="仿宋_GB2312" w:eastAsia="仿宋_GB2312" w:hint="eastAsia"/>
          <w:color w:val="000000"/>
          <w:sz w:val="32"/>
          <w:szCs w:val="32"/>
          <w:lang w:val="en-US" w:eastAsia="zh-CN"/>
        </w:rPr>
        <w:t>03</w:t>
      </w:r>
      <w:r>
        <w:rPr>
          <w:rFonts w:ascii="仿宋_GB2312" w:eastAsia="仿宋_GB2312" w:hint="eastAsia"/>
          <w:color w:val="000000"/>
          <w:sz w:val="32"/>
          <w:szCs w:val="32"/>
        </w:rPr>
        <w:t>（项）支出</w:t>
      </w:r>
      <w:r>
        <w:rPr>
          <w:rFonts w:ascii="仿宋_GB2312" w:eastAsia="仿宋_GB2312" w:hint="eastAsia"/>
          <w:color w:val="000000"/>
          <w:sz w:val="32"/>
          <w:szCs w:val="32"/>
          <w:lang w:val="en-US" w:eastAsia="zh-CN"/>
        </w:rPr>
        <w:t>17.05</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r>
        <w:rPr>
          <w:rFonts w:ascii="仿宋_GB2312" w:eastAsia="仿宋_GB2312" w:hint="eastAsia"/>
          <w:sz w:val="32"/>
          <w:szCs w:val="32"/>
        </w:rPr>
        <w:t>完成预算100%</w:t>
      </w:r>
      <w:r>
        <w:rPr>
          <w:rFonts w:ascii="仿宋_GB2312" w:eastAsia="仿宋_GB2312" w:hint="eastAsia"/>
          <w:sz w:val="32"/>
          <w:szCs w:val="32"/>
          <w:lang w:eastAsia="zh-CN"/>
        </w:rPr>
        <w:t>。</w:t>
      </w:r>
    </w:p>
    <w:p>
      <w:pPr>
        <w:spacing w:line="600" w:lineRule="exact"/>
        <w:ind w:firstLineChars="200" w:firstLine="640"/>
        <w:rPr>
          <w:rStyle w:val="25"/>
          <w:rFonts w:ascii="仿宋_GB2312" w:eastAsia="仿宋_GB2312" w:hint="eastAsia"/>
          <w:sz w:val="32"/>
          <w:szCs w:val="32"/>
        </w:rPr>
      </w:pPr>
      <w:r>
        <w:rPr>
          <w:rStyle w:val="25"/>
          <w:rFonts w:ascii="仿宋_GB2312" w:eastAsia="仿宋_GB2312" w:hint="eastAsia"/>
          <w:sz w:val="32"/>
          <w:szCs w:val="32"/>
        </w:rPr>
        <w:t>5.住房保障支出:</w:t>
      </w:r>
    </w:p>
    <w:p>
      <w:pPr>
        <w:spacing w:line="600" w:lineRule="exact"/>
        <w:ind w:firstLineChars="200" w:firstLine="640"/>
        <w:rPr>
          <w:rFonts w:ascii="仿宋_GB2312" w:eastAsia="仿宋_GB2312" w:hint="eastAsia"/>
          <w:sz w:val="32"/>
          <w:szCs w:val="32"/>
          <w:lang w:eastAsia="zh-CN"/>
        </w:rPr>
      </w:pPr>
      <w:r>
        <w:rPr>
          <w:rFonts w:ascii="仿宋_GB2312" w:eastAsia="仿宋_GB2312" w:hint="eastAsia"/>
          <w:color w:val="000000"/>
          <w:sz w:val="32"/>
          <w:szCs w:val="32"/>
        </w:rPr>
        <w:t>住房保障支出221（类）住房改革支出02（款）住房公积金01（项）</w:t>
      </w:r>
      <w:r>
        <w:rPr>
          <w:rFonts w:ascii="仿宋_GB2312" w:eastAsia="仿宋_GB2312" w:hint="eastAsia"/>
          <w:sz w:val="32"/>
          <w:szCs w:val="32"/>
        </w:rPr>
        <w:t>：20</w:t>
      </w:r>
      <w:r>
        <w:rPr>
          <w:rFonts w:ascii="仿宋_GB2312" w:eastAsia="仿宋_GB2312" w:hint="eastAsia"/>
          <w:sz w:val="32"/>
          <w:szCs w:val="32"/>
          <w:lang w:val="en-US" w:eastAsia="zh-CN"/>
        </w:rPr>
        <w:t>22</w:t>
      </w:r>
      <w:r>
        <w:rPr>
          <w:rFonts w:ascii="仿宋_GB2312" w:eastAsia="仿宋_GB2312" w:hint="eastAsia"/>
          <w:sz w:val="32"/>
          <w:szCs w:val="32"/>
        </w:rPr>
        <w:t>年决算数为</w:t>
      </w:r>
      <w:r>
        <w:rPr>
          <w:rFonts w:ascii="仿宋_GB2312" w:eastAsia="仿宋_GB2312" w:hint="eastAsia"/>
          <w:sz w:val="32"/>
          <w:szCs w:val="32"/>
          <w:lang w:val="en-US" w:eastAsia="zh-CN"/>
        </w:rPr>
        <w:t>28.9</w:t>
      </w:r>
      <w:r>
        <w:rPr>
          <w:rFonts w:ascii="仿宋_GB2312" w:eastAsia="仿宋_GB2312" w:hint="eastAsia"/>
          <w:sz w:val="32"/>
          <w:szCs w:val="32"/>
        </w:rPr>
        <w:t>万元，完成预算100%</w:t>
      </w:r>
      <w:r>
        <w:rPr>
          <w:rFonts w:ascii="仿宋_GB2312" w:eastAsia="仿宋_GB2312" w:hint="eastAsia"/>
          <w:sz w:val="32"/>
          <w:szCs w:val="32"/>
          <w:lang w:eastAsia="zh-CN"/>
        </w:rPr>
        <w:t>。</w:t>
      </w:r>
    </w:p>
    <w:p>
      <w:pPr>
        <w:spacing w:line="600" w:lineRule="exact"/>
        <w:ind w:leftChars="200" w:left="420"/>
        <w:rPr>
          <w:rStyle w:val="25"/>
          <w:rFonts w:ascii="仿宋_GB2312" w:eastAsia="仿宋_GB2312" w:hint="eastAsia"/>
          <w:sz w:val="32"/>
          <w:szCs w:val="32"/>
        </w:rPr>
      </w:pPr>
      <w:r>
        <w:rPr>
          <w:rStyle w:val="25"/>
          <w:rFonts w:ascii="仿宋_GB2312" w:eastAsia="仿宋_GB2312" w:hint="eastAsia"/>
          <w:sz w:val="32"/>
          <w:szCs w:val="32"/>
          <w:lang w:val="en-US" w:eastAsia="zh-CN"/>
        </w:rPr>
        <w:t>6.其他支出</w:t>
      </w:r>
      <w:r>
        <w:rPr>
          <w:rStyle w:val="25"/>
          <w:rFonts w:ascii="仿宋_GB2312" w:eastAsia="仿宋_GB2312" w:hint="eastAsia"/>
          <w:sz w:val="32"/>
          <w:szCs w:val="32"/>
        </w:rPr>
        <w:t>:</w:t>
      </w:r>
    </w:p>
    <w:p>
      <w:pPr>
        <w:rPr>
          <w:rFonts w:hint="eastAsia"/>
          <w:lang w:val="en-US" w:eastAsia="zh-CN"/>
        </w:rPr>
      </w:pPr>
      <w:r>
        <w:rPr>
          <w:rFonts w:ascii="仿宋_GB2312" w:eastAsia="仿宋_GB2312" w:hint="eastAsia"/>
          <w:color w:val="000000"/>
          <w:sz w:val="32"/>
          <w:szCs w:val="32"/>
        </w:rPr>
        <w:t>其他支出</w:t>
      </w:r>
      <w:r>
        <w:rPr>
          <w:rFonts w:ascii="仿宋_GB2312" w:eastAsia="仿宋_GB2312" w:hint="eastAsia"/>
          <w:color w:val="000000"/>
          <w:sz w:val="32"/>
          <w:szCs w:val="32"/>
          <w:lang w:val="en-US" w:eastAsia="zh-CN"/>
        </w:rPr>
        <w:t>229</w:t>
      </w:r>
      <w:r>
        <w:rPr>
          <w:rFonts w:ascii="仿宋_GB2312" w:eastAsia="仿宋_GB2312" w:hint="eastAsia"/>
          <w:color w:val="000000"/>
          <w:sz w:val="32"/>
          <w:szCs w:val="32"/>
          <w:lang w:eastAsia="zh-CN"/>
        </w:rPr>
        <w:t>（</w:t>
      </w:r>
      <w:r>
        <w:rPr>
          <w:rFonts w:ascii="仿宋_GB2312" w:eastAsia="仿宋_GB2312" w:hint="eastAsia"/>
          <w:color w:val="000000"/>
          <w:sz w:val="32"/>
          <w:szCs w:val="32"/>
        </w:rPr>
        <w:t>类）其他支出</w:t>
      </w:r>
      <w:r>
        <w:rPr>
          <w:rFonts w:ascii="仿宋_GB2312" w:eastAsia="仿宋_GB2312" w:hint="eastAsia"/>
          <w:color w:val="000000"/>
          <w:sz w:val="32"/>
          <w:szCs w:val="32"/>
          <w:lang w:val="en-US" w:eastAsia="zh-CN"/>
        </w:rPr>
        <w:t>99</w:t>
      </w:r>
      <w:r>
        <w:rPr>
          <w:rFonts w:ascii="仿宋_GB2312" w:eastAsia="仿宋_GB2312" w:hint="eastAsia"/>
          <w:color w:val="000000"/>
          <w:sz w:val="32"/>
          <w:szCs w:val="32"/>
        </w:rPr>
        <w:t>（款）其他支出</w:t>
      </w:r>
      <w:r>
        <w:rPr>
          <w:rFonts w:ascii="仿宋_GB2312" w:eastAsia="仿宋_GB2312" w:hint="eastAsia"/>
          <w:color w:val="000000"/>
          <w:sz w:val="32"/>
          <w:szCs w:val="32"/>
          <w:lang w:val="en-US" w:eastAsia="zh-CN"/>
        </w:rPr>
        <w:t>99</w:t>
      </w:r>
      <w:r>
        <w:rPr>
          <w:rFonts w:ascii="仿宋_GB2312" w:eastAsia="仿宋_GB2312" w:hint="eastAsia"/>
          <w:color w:val="000000"/>
          <w:sz w:val="32"/>
          <w:szCs w:val="32"/>
        </w:rPr>
        <w:t>（项）</w:t>
      </w:r>
      <w:r>
        <w:rPr>
          <w:rFonts w:ascii="仿宋_GB2312" w:eastAsia="仿宋_GB2312" w:hint="eastAsia"/>
          <w:sz w:val="32"/>
          <w:szCs w:val="32"/>
        </w:rPr>
        <w:t>：20</w:t>
      </w:r>
      <w:r>
        <w:rPr>
          <w:rFonts w:ascii="仿宋_GB2312" w:eastAsia="仿宋_GB2312" w:hint="eastAsia"/>
          <w:sz w:val="32"/>
          <w:szCs w:val="32"/>
          <w:lang w:val="en-US" w:eastAsia="zh-CN"/>
        </w:rPr>
        <w:t>22</w:t>
      </w:r>
      <w:r>
        <w:rPr>
          <w:rFonts w:ascii="仿宋_GB2312" w:eastAsia="仿宋_GB2312" w:hint="eastAsia"/>
          <w:sz w:val="32"/>
          <w:szCs w:val="32"/>
        </w:rPr>
        <w:t>年决算数为</w:t>
      </w:r>
      <w:r>
        <w:rPr>
          <w:rFonts w:ascii="仿宋_GB2312" w:eastAsia="仿宋_GB2312" w:hint="eastAsia"/>
          <w:sz w:val="32"/>
          <w:szCs w:val="32"/>
          <w:lang w:val="en-US" w:eastAsia="zh-CN"/>
        </w:rPr>
        <w:t>310</w:t>
      </w:r>
      <w:r>
        <w:rPr>
          <w:rFonts w:ascii="仿宋_GB2312" w:eastAsia="仿宋_GB2312" w:hint="eastAsia"/>
          <w:sz w:val="32"/>
          <w:szCs w:val="32"/>
        </w:rPr>
        <w:t>万元，完成预算100%</w:t>
      </w:r>
      <w:r>
        <w:rPr>
          <w:rFonts w:ascii="仿宋_GB2312" w:eastAsia="仿宋_GB2312" w:hint="eastAsia"/>
          <w:sz w:val="32"/>
          <w:szCs w:val="32"/>
          <w:lang w:eastAsia="zh-CN"/>
        </w:rPr>
        <w:t>。</w:t>
      </w:r>
    </w:p>
    <w:p>
      <w:pPr>
        <w:pageBreakBefore w:val="0"/>
        <w:widowControl w:val="0"/>
        <w:tabs>
          <w:tab w:val="right" w:pos="8306"/>
        </w:tabs>
        <w:kinsoku/>
        <w:wordWrap/>
        <w:overflowPunct/>
        <w:topLinePunct w:val="0"/>
        <w:bidi w:val="0"/>
        <w:spacing w:line="576" w:lineRule="exact"/>
        <w:ind w:firstLine="640"/>
        <w:outlineLvl w:val="1"/>
        <w:rPr>
          <w:rStyle w:val="2Char"/>
          <w:rFonts w:ascii="Times New Roman" w:cs="Times New Roman" w:hAnsi="Times New Roman"/>
        </w:rPr>
      </w:pPr>
      <w:r>
        <w:rPr>
          <w:rFonts w:ascii="Times New Roman" w:eastAsia="黑体" w:cs="Times New Roman" w:hAnsi="Times New Roman"/>
          <w:sz w:val="32"/>
          <w:szCs w:val="32"/>
        </w:rPr>
        <w:t>六</w:t>
      </w:r>
      <w:r>
        <w:rPr>
          <w:rFonts w:ascii="Times New Roman" w:eastAsia="黑体" w:cs="Times New Roman" w:hAnsi="Times New Roman"/>
          <w:b/>
          <w:sz w:val="32"/>
          <w:szCs w:val="32"/>
        </w:rPr>
        <w:t>、一</w:t>
      </w:r>
      <w:r>
        <w:rPr>
          <w:rStyle w:val="2Char"/>
          <w:rFonts w:ascii="Times New Roman" w:eastAsia="黑体" w:cs="Times New Roman" w:hAnsi="Times New Roman"/>
          <w:b w:val="0"/>
        </w:rPr>
        <w:t>般公共预算财政拨款基本支出决算情况说明</w:t>
      </w:r>
      <w:bookmarkEnd w:id="51"/>
      <w:bookmarkEnd w:id="52"/>
      <w:r>
        <w:rPr>
          <w:rStyle w:val="2Char"/>
          <w:rFonts w:ascii="Times New Roman" w:eastAsia="黑体" w:cs="Times New Roman" w:hAnsi="Times New Roman"/>
          <w:b w:val="0"/>
        </w:rPr>
        <w:tab/>
      </w:r>
      <w:bookmarkEnd w:id="53"/>
    </w:p>
    <w:p>
      <w:pPr>
        <w:pageBreakBefore w:val="0"/>
        <w:widowControl w:val="0"/>
        <w:kinsoku/>
        <w:wordWrap/>
        <w:overflowPunct/>
        <w:topLinePunct w:val="0"/>
        <w:bidi w:val="0"/>
        <w:spacing w:line="576" w:lineRule="exact"/>
        <w:ind w:firstLine="640"/>
        <w:rPr>
          <w:rFonts w:ascii="Times New Roman" w:eastAsia="仿宋_GB2312" w:cs="Times New Roman" w:hAnsi="Times New Roman" w:hint="eastAsia"/>
          <w:sz w:val="32"/>
          <w:szCs w:val="32"/>
        </w:rPr>
      </w:pPr>
      <w:r>
        <w:rPr>
          <w:rFonts w:ascii="Times New Roman" w:eastAsia="仿宋_GB2312" w:cs="Times New Roman" w:hAnsi="Times New Roman" w:hint="eastAsia"/>
          <w:sz w:val="32"/>
          <w:szCs w:val="32"/>
        </w:rPr>
        <w:t>20</w:t>
      </w:r>
      <w:r>
        <w:rPr>
          <w:rFonts w:ascii="Times New Roman" w:eastAsia="仿宋_GB2312" w:cs="Times New Roman" w:hAnsi="Times New Roman" w:hint="eastAsia"/>
          <w:sz w:val="32"/>
          <w:szCs w:val="32"/>
          <w:lang w:val="en-US" w:eastAsia="zh-CN"/>
        </w:rPr>
        <w:t>22</w:t>
      </w:r>
      <w:r>
        <w:rPr>
          <w:rFonts w:ascii="Times New Roman" w:eastAsia="仿宋_GB2312" w:cs="Times New Roman" w:hAnsi="Times New Roman" w:hint="eastAsia"/>
          <w:sz w:val="32"/>
          <w:szCs w:val="32"/>
        </w:rPr>
        <w:t>年一般公共预算财政拨款基本支出</w:t>
      </w:r>
      <w:r>
        <w:rPr>
          <w:rFonts w:ascii="Times New Roman" w:eastAsia="仿宋_GB2312" w:cs="Times New Roman" w:hAnsi="Times New Roman" w:hint="eastAsia"/>
          <w:sz w:val="32"/>
          <w:szCs w:val="32"/>
          <w:lang w:val="en-US" w:eastAsia="zh-CN"/>
        </w:rPr>
        <w:t>432.66</w:t>
      </w:r>
      <w:r>
        <w:rPr>
          <w:rFonts w:ascii="Times New Roman" w:eastAsia="仿宋_GB2312" w:cs="Times New Roman" w:hAnsi="Times New Roman" w:hint="eastAsia"/>
          <w:sz w:val="32"/>
          <w:szCs w:val="32"/>
        </w:rPr>
        <w:t>万元，其中：</w:t>
      </w:r>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lang w:val="en-US"/>
        </w:rPr>
      </w:pPr>
      <w:r>
        <w:rPr>
          <w:rFonts w:ascii="Times New Roman" w:eastAsia="仿宋_GB2312" w:cs="Times New Roman" w:hAnsi="Times New Roman" w:hint="eastAsia"/>
          <w:sz w:val="32"/>
          <w:szCs w:val="32"/>
        </w:rPr>
        <w:t>人员经费</w:t>
      </w:r>
      <w:r>
        <w:rPr>
          <w:rFonts w:ascii="Times New Roman" w:eastAsia="仿宋_GB2312" w:cs="Times New Roman" w:hAnsi="Times New Roman" w:hint="eastAsia"/>
          <w:sz w:val="32"/>
          <w:szCs w:val="32"/>
          <w:lang w:val="en-US" w:eastAsia="zh-CN"/>
        </w:rPr>
        <w:t>400.58</w:t>
      </w:r>
      <w:r>
        <w:rPr>
          <w:rFonts w:ascii="Times New Roman" w:eastAsia="仿宋_GB2312" w:cs="Times New Roman" w:hAnsi="Times New Roman" w:hint="eastAsia"/>
          <w:sz w:val="32"/>
          <w:szCs w:val="32"/>
        </w:rPr>
        <w:t>万元，主要包括：基本工资</w:t>
      </w:r>
      <w:r>
        <w:rPr>
          <w:rFonts w:ascii="Times New Roman" w:eastAsia="仿宋_GB2312" w:cs="Times New Roman" w:hAnsi="Times New Roman" w:hint="eastAsia"/>
          <w:sz w:val="32"/>
          <w:szCs w:val="32"/>
          <w:lang w:val="en-US" w:eastAsia="zh-CN"/>
        </w:rPr>
        <w:t>83.13</w:t>
      </w:r>
      <w:r>
        <w:rPr>
          <w:rFonts w:ascii="Times New Roman" w:eastAsia="仿宋_GB2312" w:cs="Times New Roman" w:hAnsi="Times New Roman" w:hint="eastAsia"/>
          <w:sz w:val="32"/>
          <w:szCs w:val="32"/>
        </w:rPr>
        <w:t>万元，津贴补贴</w:t>
      </w:r>
      <w:r>
        <w:rPr>
          <w:rFonts w:ascii="Times New Roman" w:eastAsia="仿宋_GB2312" w:cs="Times New Roman" w:hAnsi="Times New Roman" w:hint="eastAsia"/>
          <w:sz w:val="32"/>
          <w:szCs w:val="32"/>
          <w:lang w:val="en-US" w:eastAsia="zh-CN"/>
        </w:rPr>
        <w:t>83.86</w:t>
      </w:r>
      <w:r>
        <w:rPr>
          <w:rFonts w:ascii="Times New Roman" w:eastAsia="仿宋_GB2312" w:cs="Times New Roman" w:hAnsi="Times New Roman" w:hint="eastAsia"/>
          <w:sz w:val="32"/>
          <w:szCs w:val="32"/>
        </w:rPr>
        <w:t>万元，奖金</w:t>
      </w:r>
      <w:r>
        <w:rPr>
          <w:rFonts w:ascii="Times New Roman" w:eastAsia="仿宋_GB2312" w:cs="Times New Roman" w:hAnsi="Times New Roman" w:hint="eastAsia"/>
          <w:sz w:val="32"/>
          <w:szCs w:val="32"/>
          <w:lang w:val="en-US" w:eastAsia="zh-CN"/>
        </w:rPr>
        <w:t>66.05</w:t>
      </w:r>
      <w:r>
        <w:rPr>
          <w:rFonts w:ascii="Times New Roman" w:eastAsia="仿宋_GB2312" w:cs="Times New Roman" w:hAnsi="Times New Roman" w:hint="eastAsia"/>
          <w:sz w:val="32"/>
          <w:szCs w:val="32"/>
        </w:rPr>
        <w:t>万元，</w:t>
      </w:r>
      <w:r>
        <w:rPr>
          <w:rFonts w:ascii="Times New Roman" w:eastAsia="仿宋_GB2312" w:cs="Times New Roman" w:hAnsi="Times New Roman" w:hint="eastAsia"/>
          <w:sz w:val="32"/>
          <w:szCs w:val="32"/>
          <w:lang w:val="en-US" w:eastAsia="zh-CN"/>
        </w:rPr>
        <w:t>绩效16.75万元，</w:t>
      </w:r>
      <w:r>
        <w:rPr>
          <w:rFonts w:ascii="Times New Roman" w:eastAsia="仿宋_GB2312" w:cs="Times New Roman" w:hAnsi="Times New Roman" w:hint="eastAsia"/>
          <w:sz w:val="32"/>
          <w:szCs w:val="32"/>
          <w:lang w:eastAsia="zh-CN"/>
        </w:rPr>
        <w:t>其他</w:t>
      </w:r>
      <w:r>
        <w:rPr>
          <w:rFonts w:ascii="Times New Roman" w:eastAsia="仿宋_GB2312" w:cs="Times New Roman" w:hAnsi="Times New Roman" w:hint="eastAsia"/>
          <w:sz w:val="32"/>
          <w:szCs w:val="32"/>
        </w:rPr>
        <w:t>社会保障缴费</w:t>
      </w:r>
      <w:r>
        <w:rPr>
          <w:rFonts w:ascii="Times New Roman" w:eastAsia="仿宋_GB2312" w:cs="Times New Roman" w:hAnsi="Times New Roman" w:hint="eastAsia"/>
          <w:sz w:val="32"/>
          <w:szCs w:val="32"/>
          <w:lang w:val="en-US" w:eastAsia="zh-CN"/>
        </w:rPr>
        <w:t>4.59</w:t>
      </w:r>
      <w:r>
        <w:rPr>
          <w:rFonts w:ascii="Times New Roman" w:eastAsia="仿宋_GB2312" w:cs="Times New Roman" w:hAnsi="Times New Roman" w:hint="eastAsia"/>
          <w:sz w:val="32"/>
          <w:szCs w:val="32"/>
        </w:rPr>
        <w:t>万元</w:t>
      </w:r>
      <w:r>
        <w:rPr>
          <w:rFonts w:ascii="Times New Roman" w:eastAsia="仿宋_GB2312" w:cs="Times New Roman" w:hAnsi="Times New Roman" w:hint="eastAsia"/>
          <w:sz w:val="32"/>
          <w:szCs w:val="32"/>
          <w:lang w:eastAsia="zh-CN"/>
        </w:rPr>
        <w:t>、</w:t>
      </w:r>
      <w:r>
        <w:rPr>
          <w:rFonts w:ascii="Times New Roman" w:eastAsia="仿宋_GB2312" w:cs="Times New Roman" w:hAnsi="Times New Roman" w:hint="eastAsia"/>
          <w:sz w:val="32"/>
          <w:szCs w:val="32"/>
          <w:lang w:val="en-US" w:eastAsia="zh-CN"/>
        </w:rPr>
        <w:t>生活补助6.12万元，奖励金46.16万元，</w:t>
      </w:r>
      <w:r>
        <w:rPr>
          <w:rFonts w:ascii="Times New Roman" w:eastAsia="仿宋_GB2312" w:cs="Times New Roman" w:hAnsi="Times New Roman" w:hint="eastAsia"/>
          <w:sz w:val="32"/>
          <w:szCs w:val="32"/>
        </w:rPr>
        <w:t>。机关事业单位基本养老保险费</w:t>
      </w:r>
      <w:r>
        <w:rPr>
          <w:rFonts w:ascii="Times New Roman" w:eastAsia="仿宋_GB2312" w:cs="Times New Roman" w:hAnsi="Times New Roman" w:hint="eastAsia"/>
          <w:sz w:val="32"/>
          <w:szCs w:val="32"/>
          <w:lang w:val="en-US" w:eastAsia="zh-CN"/>
        </w:rPr>
        <w:t>31.05</w:t>
      </w:r>
      <w:r>
        <w:rPr>
          <w:rFonts w:ascii="Times New Roman" w:eastAsia="仿宋_GB2312" w:cs="Times New Roman" w:hAnsi="Times New Roman" w:hint="eastAsia"/>
          <w:sz w:val="32"/>
          <w:szCs w:val="32"/>
        </w:rPr>
        <w:t>万元</w:t>
      </w:r>
      <w:r>
        <w:rPr>
          <w:rFonts w:ascii="Times New Roman" w:eastAsia="仿宋_GB2312" w:cs="Times New Roman" w:hAnsi="Times New Roman" w:hint="eastAsia"/>
          <w:sz w:val="32"/>
          <w:szCs w:val="32"/>
          <w:lang w:eastAsia="zh-CN"/>
        </w:rPr>
        <w:t>、</w:t>
      </w:r>
      <w:r>
        <w:rPr>
          <w:rFonts w:ascii="Times New Roman" w:eastAsia="仿宋_GB2312" w:cs="Times New Roman" w:hAnsi="Times New Roman" w:hint="eastAsia"/>
          <w:sz w:val="32"/>
          <w:szCs w:val="32"/>
        </w:rPr>
        <w:t>机关事业单位职业年金</w:t>
      </w:r>
      <w:r>
        <w:rPr>
          <w:rFonts w:ascii="Times New Roman" w:eastAsia="仿宋_GB2312" w:cs="Times New Roman" w:hAnsi="Times New Roman" w:hint="eastAsia"/>
          <w:sz w:val="32"/>
          <w:szCs w:val="32"/>
          <w:lang w:val="en-US" w:eastAsia="zh-CN"/>
        </w:rPr>
        <w:t>15.53</w:t>
      </w:r>
      <w:r>
        <w:rPr>
          <w:rFonts w:ascii="Times New Roman" w:eastAsia="仿宋_GB2312" w:cs="Times New Roman" w:hAnsi="Times New Roman" w:hint="eastAsia"/>
          <w:sz w:val="32"/>
          <w:szCs w:val="32"/>
        </w:rPr>
        <w:t>万元</w:t>
      </w:r>
      <w:r>
        <w:rPr>
          <w:rFonts w:ascii="Times New Roman" w:eastAsia="仿宋_GB2312" w:cs="Times New Roman" w:hAnsi="Times New Roman" w:hint="eastAsia"/>
          <w:sz w:val="32"/>
          <w:szCs w:val="32"/>
          <w:lang w:eastAsia="zh-CN"/>
        </w:rPr>
        <w:t>、</w:t>
      </w:r>
      <w:r>
        <w:rPr>
          <w:rFonts w:ascii="Times New Roman" w:eastAsia="仿宋_GB2312" w:cs="Times New Roman" w:hAnsi="Times New Roman" w:hint="eastAsia"/>
          <w:sz w:val="32"/>
          <w:szCs w:val="32"/>
        </w:rPr>
        <w:t>住房保障</w:t>
      </w:r>
      <w:r>
        <w:rPr>
          <w:rFonts w:ascii="Times New Roman" w:eastAsia="仿宋_GB2312" w:cs="Times New Roman" w:hAnsi="Times New Roman" w:hint="eastAsia"/>
          <w:sz w:val="32"/>
          <w:szCs w:val="32"/>
          <w:lang w:val="en-US" w:eastAsia="zh-CN"/>
        </w:rPr>
        <w:t>28.9</w:t>
      </w:r>
      <w:r>
        <w:rPr>
          <w:rFonts w:ascii="Times New Roman" w:eastAsia="仿宋_GB2312" w:cs="Times New Roman" w:hAnsi="Times New Roman" w:hint="eastAsia"/>
          <w:sz w:val="32"/>
          <w:szCs w:val="32"/>
        </w:rPr>
        <w:t>万元；</w:t>
      </w:r>
      <w:r>
        <w:rPr>
          <w:rFonts w:ascii="Times New Roman" w:eastAsia="仿宋_GB2312" w:cs="Times New Roman" w:hAnsi="Times New Roman" w:hint="eastAsia"/>
          <w:sz w:val="32"/>
          <w:szCs w:val="32"/>
          <w:lang w:val="en-US" w:eastAsia="zh-CN"/>
        </w:rPr>
        <w:t>行</w:t>
      </w:r>
      <w:r>
        <w:rPr>
          <w:rFonts w:ascii="Times New Roman" w:eastAsia="仿宋_GB2312" w:cs="Times New Roman" w:hAnsi="Times New Roman" w:hint="eastAsia"/>
          <w:sz w:val="32"/>
          <w:szCs w:val="32"/>
        </w:rPr>
        <w:t>政单位医疗</w:t>
      </w:r>
      <w:r>
        <w:rPr>
          <w:rFonts w:ascii="Times New Roman" w:eastAsia="仿宋_GB2312" w:cs="Times New Roman" w:hAnsi="Times New Roman" w:hint="eastAsia"/>
          <w:sz w:val="32"/>
          <w:szCs w:val="32"/>
          <w:lang w:val="en-US" w:eastAsia="zh-CN"/>
        </w:rPr>
        <w:t>15.67</w:t>
      </w:r>
      <w:r>
        <w:rPr>
          <w:rFonts w:ascii="Times New Roman" w:eastAsia="仿宋_GB2312" w:cs="Times New Roman" w:hAnsi="Times New Roman" w:hint="eastAsia"/>
          <w:sz w:val="32"/>
          <w:szCs w:val="32"/>
        </w:rPr>
        <w:t>万元、</w:t>
      </w:r>
      <w:r>
        <w:rPr>
          <w:rFonts w:ascii="Times New Roman" w:eastAsia="仿宋_GB2312" w:cs="Times New Roman" w:hAnsi="Times New Roman" w:hint="eastAsia"/>
          <w:sz w:val="32"/>
          <w:szCs w:val="32"/>
          <w:lang w:eastAsia="zh-CN"/>
        </w:rPr>
        <w:t>公务员医疗补助</w:t>
      </w:r>
      <w:r>
        <w:rPr>
          <w:rFonts w:ascii="Times New Roman" w:eastAsia="仿宋_GB2312" w:cs="Times New Roman" w:hAnsi="Times New Roman" w:hint="eastAsia"/>
          <w:sz w:val="32"/>
          <w:szCs w:val="32"/>
          <w:lang w:val="en-US" w:eastAsia="zh-CN"/>
        </w:rPr>
        <w:t>2.77万元。</w:t>
      </w:r>
    </w:p>
    <w:p>
      <w:pPr>
        <w:pageBreakBefore w:val="0"/>
        <w:widowControl w:val="0"/>
        <w:kinsoku/>
        <w:wordWrap/>
        <w:overflowPunct/>
        <w:topLinePunct w:val="0"/>
        <w:bidi w:val="0"/>
        <w:spacing w:line="576" w:lineRule="exact"/>
        <w:ind w:firstLine="640"/>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rPr>
        <w:t>公用经费</w:t>
      </w:r>
      <w:r>
        <w:rPr>
          <w:rFonts w:ascii="Times New Roman" w:eastAsia="仿宋_GB2312" w:cs="Times New Roman" w:hAnsi="Times New Roman" w:hint="eastAsia"/>
          <w:sz w:val="32"/>
          <w:szCs w:val="32"/>
          <w:lang w:val="en-US" w:eastAsia="zh-CN"/>
        </w:rPr>
        <w:t>32.08</w:t>
      </w:r>
      <w:r>
        <w:rPr>
          <w:rFonts w:ascii="Times New Roman" w:eastAsia="仿宋_GB2312" w:cs="Times New Roman" w:hAnsi="Times New Roman" w:hint="eastAsia"/>
          <w:sz w:val="32"/>
          <w:szCs w:val="32"/>
        </w:rPr>
        <w:t>万元，其中办公费</w:t>
      </w:r>
      <w:r>
        <w:rPr>
          <w:rFonts w:ascii="Times New Roman" w:eastAsia="仿宋_GB2312" w:cs="Times New Roman" w:hAnsi="Times New Roman" w:hint="eastAsia"/>
          <w:sz w:val="32"/>
          <w:szCs w:val="32"/>
          <w:lang w:val="en-US" w:eastAsia="zh-CN"/>
        </w:rPr>
        <w:t>5.28</w:t>
      </w:r>
      <w:r>
        <w:rPr>
          <w:rFonts w:ascii="Times New Roman" w:eastAsia="仿宋_GB2312" w:cs="Times New Roman" w:hAnsi="Times New Roman" w:hint="eastAsia"/>
          <w:sz w:val="32"/>
          <w:szCs w:val="32"/>
        </w:rPr>
        <w:t>万元、印刷费</w:t>
      </w:r>
      <w:r>
        <w:rPr>
          <w:rFonts w:ascii="Times New Roman" w:eastAsia="仿宋_GB2312" w:cs="Times New Roman" w:hAnsi="Times New Roman" w:hint="eastAsia"/>
          <w:sz w:val="32"/>
          <w:szCs w:val="32"/>
          <w:lang w:val="en-US" w:eastAsia="zh-CN"/>
        </w:rPr>
        <w:t>1</w:t>
      </w:r>
      <w:r>
        <w:rPr>
          <w:rFonts w:ascii="Times New Roman" w:eastAsia="仿宋_GB2312" w:cs="Times New Roman" w:hAnsi="Times New Roman" w:hint="eastAsia"/>
          <w:sz w:val="32"/>
          <w:szCs w:val="32"/>
        </w:rPr>
        <w:t>万元、电费</w:t>
      </w:r>
      <w:r>
        <w:rPr>
          <w:rFonts w:ascii="Times New Roman" w:eastAsia="仿宋_GB2312" w:cs="Times New Roman" w:hAnsi="Times New Roman" w:hint="eastAsia"/>
          <w:sz w:val="32"/>
          <w:szCs w:val="32"/>
          <w:lang w:val="en-US" w:eastAsia="zh-CN"/>
        </w:rPr>
        <w:t>0.8</w:t>
      </w:r>
      <w:r>
        <w:rPr>
          <w:rFonts w:ascii="Times New Roman" w:eastAsia="仿宋_GB2312" w:cs="Times New Roman" w:hAnsi="Times New Roman" w:hint="eastAsia"/>
          <w:sz w:val="32"/>
          <w:szCs w:val="32"/>
        </w:rPr>
        <w:t>万元、邮电费</w:t>
      </w:r>
      <w:r>
        <w:rPr>
          <w:rFonts w:ascii="Times New Roman" w:eastAsia="仿宋_GB2312" w:cs="Times New Roman" w:hAnsi="Times New Roman" w:hint="eastAsia"/>
          <w:sz w:val="32"/>
          <w:szCs w:val="32"/>
          <w:lang w:val="en-US" w:eastAsia="zh-CN"/>
        </w:rPr>
        <w:t>3</w:t>
      </w:r>
      <w:r>
        <w:rPr>
          <w:rFonts w:ascii="Times New Roman" w:eastAsia="仿宋_GB2312" w:cs="Times New Roman" w:hAnsi="Times New Roman" w:hint="eastAsia"/>
          <w:sz w:val="32"/>
          <w:szCs w:val="32"/>
        </w:rPr>
        <w:t>万元、差旅费</w:t>
      </w:r>
      <w:r>
        <w:rPr>
          <w:rFonts w:ascii="Times New Roman" w:eastAsia="仿宋_GB2312" w:cs="Times New Roman" w:hAnsi="Times New Roman" w:hint="eastAsia"/>
          <w:sz w:val="32"/>
          <w:szCs w:val="32"/>
          <w:lang w:val="en-US" w:eastAsia="zh-CN"/>
        </w:rPr>
        <w:t>8</w:t>
      </w:r>
      <w:r>
        <w:rPr>
          <w:rFonts w:ascii="Times New Roman" w:eastAsia="仿宋_GB2312" w:cs="Times New Roman" w:hAnsi="Times New Roman" w:hint="eastAsia"/>
          <w:sz w:val="32"/>
          <w:szCs w:val="32"/>
        </w:rPr>
        <w:t>万元、维修费</w:t>
      </w:r>
      <w:r>
        <w:rPr>
          <w:rFonts w:ascii="Times New Roman" w:eastAsia="仿宋_GB2312" w:cs="Times New Roman" w:hAnsi="Times New Roman" w:hint="eastAsia"/>
          <w:sz w:val="32"/>
          <w:szCs w:val="32"/>
          <w:lang w:val="en-US" w:eastAsia="zh-CN"/>
        </w:rPr>
        <w:t>1</w:t>
      </w:r>
      <w:r>
        <w:rPr>
          <w:rFonts w:ascii="Times New Roman" w:eastAsia="仿宋_GB2312" w:cs="Times New Roman" w:hAnsi="Times New Roman" w:hint="eastAsia"/>
          <w:sz w:val="32"/>
          <w:szCs w:val="32"/>
        </w:rPr>
        <w:t>万元、劳务费</w:t>
      </w:r>
      <w:r>
        <w:rPr>
          <w:rFonts w:ascii="Times New Roman" w:eastAsia="仿宋_GB2312" w:cs="Times New Roman" w:hAnsi="Times New Roman" w:hint="eastAsia"/>
          <w:sz w:val="32"/>
          <w:szCs w:val="32"/>
          <w:lang w:val="en-US" w:eastAsia="zh-CN"/>
        </w:rPr>
        <w:t>1</w:t>
      </w:r>
      <w:r>
        <w:rPr>
          <w:rFonts w:ascii="Times New Roman" w:eastAsia="仿宋_GB2312" w:cs="Times New Roman" w:hAnsi="Times New Roman" w:hint="eastAsia"/>
          <w:sz w:val="32"/>
          <w:szCs w:val="32"/>
        </w:rPr>
        <w:t>万元、公务用车运行维护费</w:t>
      </w:r>
      <w:r>
        <w:rPr>
          <w:rFonts w:ascii="Times New Roman" w:eastAsia="仿宋_GB2312" w:cs="Times New Roman" w:hAnsi="Times New Roman" w:hint="eastAsia"/>
          <w:sz w:val="32"/>
          <w:szCs w:val="32"/>
          <w:lang w:val="en-US" w:eastAsia="zh-CN"/>
        </w:rPr>
        <w:t>12</w:t>
      </w:r>
      <w:r>
        <w:rPr>
          <w:rFonts w:ascii="Times New Roman" w:eastAsia="仿宋_GB2312" w:cs="Times New Roman" w:hAnsi="Times New Roman" w:hint="eastAsia"/>
          <w:sz w:val="32"/>
          <w:szCs w:val="32"/>
        </w:rPr>
        <w:t>万元</w:t>
      </w:r>
      <w:r>
        <w:rPr>
          <w:rFonts w:ascii="Times New Roman" w:eastAsia="仿宋_GB2312" w:cs="Times New Roman" w:hAnsi="Times New Roman" w:hint="eastAsia"/>
          <w:sz w:val="32"/>
          <w:szCs w:val="32"/>
          <w:lang w:val="en-US" w:eastAsia="zh-CN"/>
        </w:rPr>
        <w:t>。</w:t>
      </w:r>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r>
        <w:rPr>
          <w:rFonts w:ascii="Times New Roman" w:eastAsia="仿宋_GB2312" w:cs="Times New Roman" w:hAnsi="Times New Roman" w:hint="eastAsia"/>
          <w:sz w:val="32"/>
          <w:szCs w:val="32"/>
          <w:lang w:val="en-US" w:eastAsia="zh-CN"/>
        </w:rPr>
        <w:t>项目经费631.73万元，其中： 一般行政管理事务151.86万元，信息化建设132.82万元，2022年特勤专项经费10万元，特别业务工作经费9.99万元，培训费17.05万元，其他支出310万元。</w:t>
      </w:r>
    </w:p>
    <w:p>
      <w:pPr>
        <w:pageBreakBefore w:val="0"/>
        <w:widowControl w:val="0"/>
        <w:kinsoku/>
        <w:wordWrap/>
        <w:overflowPunct/>
        <w:topLinePunct w:val="0"/>
        <w:bidi w:val="0"/>
        <w:spacing w:line="576" w:lineRule="exact"/>
        <w:outlineLvl w:val="1"/>
        <w:rPr>
          <w:rStyle w:val="2Char"/>
          <w:rFonts w:ascii="Times New Roman" w:eastAsia="黑体" w:cs="Times New Roman" w:hAnsi="Times New Roman"/>
          <w:b w:val="0"/>
        </w:rPr>
      </w:pPr>
      <w:bookmarkStart w:id="54" w:name="_Toc15377215"/>
      <w:bookmarkStart w:id="55" w:name="_Toc15396609"/>
      <w:bookmarkStart w:id="56" w:name="_Toc26843618"/>
      <w:r>
        <w:rPr>
          <w:rFonts w:ascii="Times New Roman" w:eastAsia="黑体" w:cs="Times New Roman" w:hAnsi="Times New Roman"/>
          <w:sz w:val="32"/>
          <w:szCs w:val="32"/>
        </w:rPr>
        <w:t>七、</w:t>
      </w:r>
      <w:r>
        <w:rPr>
          <w:rStyle w:val="2Char"/>
          <w:rFonts w:ascii="Times New Roman" w:eastAsia="黑体" w:cs="Times New Roman" w:hAnsi="Times New Roman"/>
        </w:rPr>
        <w:t>“</w:t>
      </w:r>
      <w:r>
        <w:rPr>
          <w:rStyle w:val="2Char"/>
          <w:rFonts w:ascii="Times New Roman" w:eastAsia="黑体" w:cs="Times New Roman" w:hAnsi="Times New Roman"/>
          <w:b w:val="0"/>
        </w:rPr>
        <w:t>三公”经费财政拨款支出决算情况说明</w:t>
      </w:r>
      <w:bookmarkEnd w:id="54"/>
      <w:bookmarkEnd w:id="55"/>
      <w:bookmarkEnd w:id="56"/>
    </w:p>
    <w:p>
      <w:pPr>
        <w:pageBreakBefore w:val="0"/>
        <w:widowControl w:val="0"/>
        <w:kinsoku/>
        <w:wordWrap/>
        <w:overflowPunct/>
        <w:topLinePunct w:val="0"/>
        <w:bidi w:val="0"/>
        <w:spacing w:line="576" w:lineRule="exact"/>
        <w:ind w:firstLine="640"/>
        <w:outlineLvl w:val="2"/>
        <w:rPr>
          <w:rFonts w:ascii="Times New Roman" w:eastAsia="仿宋" w:cs="Times New Roman" w:hAnsi="Times New Roman"/>
          <w:b/>
          <w:sz w:val="32"/>
          <w:szCs w:val="32"/>
        </w:rPr>
      </w:pPr>
      <w:bookmarkStart w:id="57" w:name="_Toc15377216"/>
      <w:r>
        <w:rPr>
          <w:rFonts w:ascii="Times New Roman" w:eastAsia="仿宋" w:cs="Times New Roman" w:hAnsi="Times New Roman"/>
          <w:b/>
          <w:sz w:val="32"/>
          <w:szCs w:val="32"/>
        </w:rPr>
        <w:t>（一）“三公”经费财政拨款支出决算总体情况说明</w:t>
      </w:r>
      <w:bookmarkEnd w:id="57"/>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年“三公”经费财政拨款支出决算为</w:t>
      </w:r>
      <w:r>
        <w:rPr>
          <w:rFonts w:eastAsia="仿宋_GB2312" w:cs="Times New Roman" w:hint="eastAsia"/>
          <w:sz w:val="32"/>
          <w:szCs w:val="32"/>
          <w:lang w:val="en-US" w:eastAsia="zh-CN"/>
        </w:rPr>
        <w:t>12</w:t>
      </w:r>
      <w:r>
        <w:rPr>
          <w:rFonts w:ascii="Times New Roman" w:eastAsia="仿宋_GB2312" w:cs="Times New Roman" w:hAnsi="Times New Roman"/>
          <w:sz w:val="32"/>
          <w:szCs w:val="32"/>
        </w:rPr>
        <w:t>万元，完成预算1</w:t>
      </w:r>
      <w:r>
        <w:rPr>
          <w:rFonts w:eastAsia="仿宋_GB2312" w:cs="Times New Roman" w:hint="eastAsia"/>
          <w:sz w:val="32"/>
          <w:szCs w:val="32"/>
          <w:lang w:val="en-US" w:eastAsia="zh-CN"/>
        </w:rPr>
        <w:t>00</w:t>
      </w:r>
      <w:r>
        <w:rPr>
          <w:rFonts w:ascii="Times New Roman" w:eastAsia="仿宋_GB2312" w:cs="Times New Roman" w:hAnsi="Times New Roman"/>
          <w:sz w:val="32"/>
          <w:szCs w:val="32"/>
        </w:rPr>
        <w:t>%。</w:t>
      </w:r>
    </w:p>
    <w:p>
      <w:pPr>
        <w:pageBreakBefore w:val="0"/>
        <w:widowControl w:val="0"/>
        <w:kinsoku/>
        <w:wordWrap/>
        <w:overflowPunct/>
        <w:topLinePunct w:val="0"/>
        <w:bidi w:val="0"/>
        <w:spacing w:line="576" w:lineRule="exact"/>
        <w:ind w:firstLine="640"/>
        <w:outlineLvl w:val="2"/>
        <w:rPr>
          <w:rFonts w:ascii="Times New Roman" w:eastAsia="仿宋" w:cs="Times New Roman" w:hAnsi="Times New Roman"/>
          <w:b/>
          <w:sz w:val="32"/>
          <w:szCs w:val="32"/>
        </w:rPr>
      </w:pPr>
      <w:bookmarkStart w:id="58" w:name="_Toc15377217"/>
      <w:r>
        <w:rPr>
          <w:rFonts w:ascii="Times New Roman" w:eastAsia="仿宋" w:cs="Times New Roman" w:hAnsi="Times New Roman"/>
          <w:b/>
          <w:sz w:val="32"/>
          <w:szCs w:val="32"/>
        </w:rPr>
        <w:t>（二）“三公”经费财政拨款支出决算具体情况说明</w:t>
      </w:r>
      <w:bookmarkEnd w:id="58"/>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lang w:val="en-US" w:eastAsia="zh-CN"/>
        </w:rPr>
      </w:pPr>
      <w:r>
        <w:rPr>
          <w:rFonts w:ascii="Times New Roman" w:eastAsia="仿宋_GB2312" w:cs="Times New Roman" w:hAnsi="Times New Roman"/>
          <w:sz w:val="32"/>
          <w:szCs w:val="32"/>
        </w:rPr>
        <w:t>20</w:t>
      </w:r>
      <w:r>
        <w:rPr>
          <w:rFonts w:ascii="Times New Roman" w:eastAsia="仿宋_GB2312" w:cs="Times New Roman" w:hAnsi="Times New Roman" w:hint="eastAsia"/>
          <w:sz w:val="32"/>
          <w:szCs w:val="32"/>
        </w:rPr>
        <w:t>2</w:t>
      </w:r>
      <w:r>
        <w:rPr>
          <w:rFonts w:ascii="Times New Roman" w:eastAsia="仿宋_GB2312" w:cs="Times New Roman" w:hAnsi="Times New Roman" w:hint="eastAsia"/>
          <w:sz w:val="32"/>
          <w:szCs w:val="32"/>
          <w:lang w:val="en-US" w:eastAsia="zh-CN"/>
        </w:rPr>
        <w:t>2</w:t>
      </w:r>
      <w:r>
        <w:rPr>
          <w:rFonts w:ascii="Times New Roman" w:eastAsia="仿宋_GB2312" w:cs="Times New Roman" w:hAnsi="Times New Roman" w:hint="eastAsia"/>
          <w:sz w:val="32"/>
          <w:szCs w:val="32"/>
        </w:rPr>
        <w:t>年“三公”经费财政拨款支出决算为</w:t>
      </w:r>
      <w:r>
        <w:rPr>
          <w:rFonts w:ascii="Times New Roman" w:eastAsia="仿宋_GB2312" w:cs="Times New Roman" w:hAnsi="Times New Roman" w:hint="eastAsia"/>
          <w:sz w:val="32"/>
          <w:szCs w:val="32"/>
          <w:lang w:val="en-US" w:eastAsia="zh-CN"/>
        </w:rPr>
        <w:t>12</w:t>
      </w:r>
      <w:r>
        <w:rPr>
          <w:rFonts w:ascii="Times New Roman" w:eastAsia="仿宋_GB2312" w:cs="Times New Roman" w:hAnsi="Times New Roman" w:hint="eastAsia"/>
          <w:sz w:val="32"/>
          <w:szCs w:val="32"/>
        </w:rPr>
        <w:t>万元，完成预算100</w:t>
      </w:r>
      <w:r>
        <w:rPr>
          <w:rFonts w:ascii="Times New Roman" w:eastAsia="仿宋_GB2312" w:cs="Times New Roman" w:hAnsi="Times New Roman"/>
          <w:sz w:val="32"/>
          <w:szCs w:val="32"/>
        </w:rPr>
        <w:t>%</w:t>
      </w:r>
      <w:r>
        <w:rPr>
          <w:rFonts w:ascii="Times New Roman" w:eastAsia="仿宋_GB2312" w:cs="Times New Roman" w:hAnsi="Times New Roman" w:hint="eastAsia"/>
          <w:sz w:val="32"/>
          <w:szCs w:val="32"/>
        </w:rPr>
        <w:t>。</w:t>
      </w:r>
      <w:r>
        <w:rPr>
          <w:rFonts w:ascii="Times New Roman" w:eastAsia="仿宋_GB2312" w:cs="Times New Roman" w:hAnsi="Times New Roman" w:hint="eastAsia"/>
          <w:sz w:val="32"/>
          <w:szCs w:val="32"/>
          <w:lang w:val="en-US" w:eastAsia="zh-CN"/>
        </w:rPr>
        <w:t>预算数12.5万元，决算数12万元，比预算少0.5万元，原因是节俭开支。</w:t>
      </w:r>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r>
        <w:rPr>
          <w:rFonts w:ascii="Times New Roman" w:eastAsia="仿宋_GB2312" w:cs="Times New Roman" w:hAnsi="Times New Roman" w:hint="eastAsia"/>
          <w:sz w:val="32"/>
          <w:szCs w:val="32"/>
        </w:rPr>
        <w:t>（二）“三公”经费财政拨款支出决算具体情况说明</w:t>
      </w:r>
    </w:p>
    <w:p>
      <w:pPr>
        <w:pageBreakBefore w:val="0"/>
        <w:widowControl w:val="0"/>
        <w:kinsoku/>
        <w:wordWrap/>
        <w:overflowPunct/>
        <w:topLinePunct w:val="0"/>
        <w:bidi w:val="0"/>
        <w:spacing w:line="576" w:lineRule="exact"/>
        <w:ind w:firstLine="640"/>
        <w:rPr>
          <w:rFonts w:ascii="Times New Roman" w:eastAsia="仿宋" w:cs="Times New Roman" w:hAnsi="Times New Roman"/>
          <w:color w:val="FF0000"/>
          <w:sz w:val="32"/>
          <w:szCs w:val="32"/>
        </w:rPr>
      </w:pPr>
      <w:r>
        <w:rPr>
          <w:rFonts w:ascii="Times New Roman" w:eastAsia="仿宋_GB2312" w:cs="Times New Roman" w:hAnsi="Times New Roman"/>
          <w:sz w:val="32"/>
          <w:szCs w:val="32"/>
        </w:rPr>
        <w:t>20</w:t>
      </w:r>
      <w:r>
        <w:rPr>
          <w:rFonts w:ascii="Times New Roman" w:eastAsia="仿宋_GB2312" w:cs="Times New Roman" w:hAnsi="Times New Roman" w:hint="eastAsia"/>
          <w:sz w:val="32"/>
          <w:szCs w:val="32"/>
        </w:rPr>
        <w:t>2</w:t>
      </w:r>
      <w:r>
        <w:rPr>
          <w:rFonts w:ascii="Times New Roman" w:eastAsia="仿宋_GB2312" w:cs="Times New Roman" w:hAnsi="Times New Roman" w:hint="eastAsia"/>
          <w:sz w:val="32"/>
          <w:szCs w:val="32"/>
          <w:lang w:val="en-US" w:eastAsia="zh-CN"/>
        </w:rPr>
        <w:t>2</w:t>
      </w:r>
      <w:r>
        <w:rPr>
          <w:rFonts w:ascii="Times New Roman" w:eastAsia="仿宋_GB2312" w:cs="Times New Roman" w:hAnsi="Times New Roman" w:hint="eastAsia"/>
          <w:sz w:val="32"/>
          <w:szCs w:val="32"/>
        </w:rPr>
        <w:t>年“三公”经费财政拨款支出决算</w:t>
      </w:r>
      <w:r>
        <w:rPr>
          <w:rFonts w:ascii="Times New Roman" w:eastAsia="仿宋_GB2312" w:cs="Times New Roman" w:hAnsi="Times New Roman" w:hint="eastAsia"/>
          <w:sz w:val="32"/>
          <w:szCs w:val="32"/>
          <w:lang w:val="en-US" w:eastAsia="zh-CN"/>
        </w:rPr>
        <w:t>12</w:t>
      </w:r>
      <w:r>
        <w:rPr>
          <w:rFonts w:ascii="Times New Roman" w:eastAsia="仿宋_GB2312" w:cs="Times New Roman" w:hAnsi="Times New Roman" w:hint="eastAsia"/>
          <w:sz w:val="32"/>
          <w:szCs w:val="32"/>
        </w:rPr>
        <w:t>万元，其中：因公出国（境）费支出决算0万元，占0</w:t>
      </w:r>
      <w:r>
        <w:rPr>
          <w:rFonts w:ascii="Times New Roman" w:eastAsia="仿宋_GB2312" w:cs="Times New Roman" w:hAnsi="Times New Roman"/>
          <w:sz w:val="32"/>
          <w:szCs w:val="32"/>
        </w:rPr>
        <w:t>%</w:t>
      </w:r>
      <w:r>
        <w:rPr>
          <w:rFonts w:ascii="Times New Roman" w:eastAsia="仿宋_GB2312" w:cs="Times New Roman" w:hAnsi="Times New Roman" w:hint="eastAsia"/>
          <w:sz w:val="32"/>
          <w:szCs w:val="32"/>
        </w:rPr>
        <w:t>；公务用车购置及运行维护费支出决算</w:t>
      </w:r>
      <w:r>
        <w:rPr>
          <w:rFonts w:ascii="Times New Roman" w:eastAsia="仿宋_GB2312" w:cs="Times New Roman" w:hAnsi="Times New Roman" w:hint="eastAsia"/>
          <w:sz w:val="32"/>
          <w:szCs w:val="32"/>
          <w:lang w:val="en-US" w:eastAsia="zh-CN"/>
        </w:rPr>
        <w:t>12</w:t>
      </w:r>
      <w:r>
        <w:rPr>
          <w:rFonts w:ascii="Times New Roman" w:eastAsia="仿宋_GB2312" w:cs="Times New Roman" w:hAnsi="Times New Roman" w:hint="eastAsia"/>
          <w:sz w:val="32"/>
          <w:szCs w:val="32"/>
        </w:rPr>
        <w:t>万元，占</w:t>
      </w:r>
      <w:r>
        <w:rPr>
          <w:rFonts w:ascii="Times New Roman" w:eastAsia="仿宋_GB2312" w:cs="Times New Roman" w:hAnsi="Times New Roman" w:hint="eastAsia"/>
          <w:sz w:val="32"/>
          <w:szCs w:val="32"/>
          <w:lang w:val="en-US" w:eastAsia="zh-CN"/>
        </w:rPr>
        <w:t>100</w:t>
      </w:r>
      <w:r>
        <w:rPr>
          <w:rFonts w:ascii="Times New Roman" w:eastAsia="仿宋_GB2312" w:cs="Times New Roman" w:hAnsi="Times New Roman"/>
          <w:sz w:val="32"/>
          <w:szCs w:val="32"/>
        </w:rPr>
        <w:t>%</w:t>
      </w:r>
      <w:r>
        <w:rPr>
          <w:rFonts w:ascii="Times New Roman" w:eastAsia="仿宋_GB2312" w:cs="Times New Roman" w:hAnsi="Times New Roman" w:hint="eastAsia"/>
          <w:sz w:val="32"/>
          <w:szCs w:val="32"/>
        </w:rPr>
        <w:t>；公务接待费支出决算</w:t>
      </w:r>
      <w:r>
        <w:rPr>
          <w:rFonts w:ascii="Times New Roman" w:eastAsia="仿宋_GB2312" w:cs="Times New Roman" w:hAnsi="Times New Roman" w:hint="eastAsia"/>
          <w:sz w:val="32"/>
          <w:szCs w:val="32"/>
          <w:lang w:val="en-US" w:eastAsia="zh-CN"/>
        </w:rPr>
        <w:t>0</w:t>
      </w:r>
      <w:r>
        <w:rPr>
          <w:rFonts w:ascii="Times New Roman" w:eastAsia="仿宋_GB2312" w:cs="Times New Roman" w:hAnsi="Times New Roman" w:hint="eastAsia"/>
          <w:sz w:val="32"/>
          <w:szCs w:val="32"/>
        </w:rPr>
        <w:t>万元，。</w:t>
      </w:r>
      <w:r>
        <w:rPr>
          <w:rFonts w:ascii="Times New Roman" w:eastAsia="仿宋_GB2312" w:cs="Times New Roman" w:hAnsi="Times New Roman" w:hint="eastAsia"/>
          <w:sz w:val="32"/>
          <w:szCs w:val="32"/>
          <w:lang w:val="en-US" w:eastAsia="zh-CN"/>
        </w:rPr>
        <w:t>2022年公务用车运行维护费预算数12万元，</w:t>
      </w:r>
      <w:r>
        <w:rPr>
          <w:rFonts w:ascii="Times New Roman" w:eastAsia="仿宋_GB2312" w:cs="Times New Roman" w:hAnsi="Times New Roman" w:hint="eastAsia"/>
          <w:sz w:val="32"/>
          <w:szCs w:val="32"/>
        </w:rPr>
        <w:t>公务接待费支出决算</w:t>
      </w:r>
      <w:r>
        <w:rPr>
          <w:rFonts w:ascii="Times New Roman" w:eastAsia="仿宋_GB2312" w:cs="Times New Roman" w:hAnsi="Times New Roman" w:hint="eastAsia"/>
          <w:sz w:val="32"/>
          <w:szCs w:val="32"/>
          <w:lang w:val="en-US" w:eastAsia="zh-CN"/>
        </w:rPr>
        <w:t>0</w:t>
      </w:r>
      <w:r>
        <w:rPr>
          <w:rFonts w:ascii="Times New Roman" w:eastAsia="仿宋_GB2312" w:cs="Times New Roman" w:hAnsi="Times New Roman" w:hint="eastAsia"/>
          <w:sz w:val="32"/>
          <w:szCs w:val="32"/>
        </w:rPr>
        <w:t>万元</w:t>
      </w:r>
      <w:r>
        <w:rPr>
          <w:rFonts w:ascii="Times New Roman" w:eastAsia="仿宋_GB2312" w:cs="Times New Roman" w:hAnsi="Times New Roman" w:hint="eastAsia"/>
          <w:sz w:val="32"/>
          <w:szCs w:val="32"/>
          <w:lang w:val="en-US" w:eastAsia="zh-CN"/>
        </w:rPr>
        <w:t>，</w:t>
      </w:r>
      <w:r>
        <w:rPr>
          <w:rFonts w:ascii="Times New Roman" w:eastAsia="仿宋_GB2312" w:cs="Times New Roman" w:hAnsi="Times New Roman" w:hint="eastAsia"/>
          <w:sz w:val="32"/>
          <w:szCs w:val="32"/>
        </w:rPr>
        <w:t>具体情况如下：</w:t>
      </w:r>
    </w:p>
    <w:p>
      <w:pPr>
        <w:rPr>
          <w:rFonts w:ascii="Times New Roman" w:eastAsia="仿宋" w:cs="Times New Roman" w:hAnsi="Times New Roman"/>
          <w:color w:val="FF0000"/>
          <w:sz w:val="32"/>
          <w:szCs w:val="32"/>
        </w:rPr>
      </w:pPr>
      <w:r>
        <w:rPr>
          <w:rFonts w:ascii="仿宋" w:eastAsia="仿宋" w:hint="eastAsia"/>
          <w:color w:val="000000"/>
          <w:sz w:val="32"/>
          <w:szCs w:val="32"/>
          <w:lang w:val="en-US" w:eastAsia="zh-CN"/>
        </w:rPr>
        <w:drawing>
          <wp:inline distT="0" distB="0" distL="114300" distR="114300">
            <wp:extent cx="5079365" cy="3810000"/>
            <wp:effectExtent l="0" t="0" r="0" b="0"/>
            <wp:docPr id="9" name="图表 11"/>
            <wp:cNvGraphicFramePr>
              <a:graphicFrameLocks noChangeAspect="0"/>
            </wp:cNvGraphicFramePr>
            <a:graphic>
              <a:graphicData uri="http://schemas.openxmlformats.org/drawingml/2006/chart">
                <c:chart xmlns:c="http://schemas.openxmlformats.org/drawingml/2006/chart" r:id="rId10"/>
              </a:graphicData>
            </a:graphic>
          </wp:inline>
        </w:drawing>
      </w:r>
    </w:p>
    <w:p>
      <w:pPr>
        <w:pageBreakBefore w:val="0"/>
        <w:widowControl w:val="0"/>
        <w:kinsoku/>
        <w:wordWrap/>
        <w:overflowPunct/>
        <w:topLinePunct w:val="0"/>
        <w:bidi w:val="0"/>
        <w:spacing w:line="576" w:lineRule="exact"/>
        <w:ind w:firstLine="640"/>
        <w:rPr>
          <w:rFonts w:ascii="Times New Roman" w:eastAsia="仿宋" w:cs="Times New Roman" w:hAnsi="Times New Roman"/>
          <w:color w:val="auto"/>
          <w:sz w:val="32"/>
          <w:szCs w:val="32"/>
        </w:rPr>
      </w:pPr>
      <w:r>
        <w:rPr>
          <w:rFonts w:ascii="Times New Roman" w:eastAsia="仿宋" w:cs="Times New Roman" w:hAnsi="Times New Roman"/>
          <w:color w:val="auto"/>
          <w:sz w:val="32"/>
          <w:szCs w:val="32"/>
        </w:rPr>
        <w:t>（图7：“三公”经费财政拨款支出结构）（饼状图）</w:t>
      </w:r>
    </w:p>
    <w:p>
      <w:pPr>
        <w:pStyle w:val="15"/>
        <w:pageBreakBefore w:val="0"/>
        <w:widowControl w:val="0"/>
        <w:kinsoku/>
        <w:wordWrap/>
        <w:overflowPunct/>
        <w:topLinePunct w:val="0"/>
        <w:bidi w:val="0"/>
        <w:spacing w:line="576" w:lineRule="exact"/>
        <w:rPr>
          <w:rFonts w:ascii="Times New Roman" w:cs="Times New Roman" w:hAnsi="Times New Roman"/>
        </w:rPr>
      </w:pPr>
    </w:p>
    <w:p>
      <w:pPr>
        <w:spacing w:line="600" w:lineRule="exact"/>
        <w:rPr>
          <w:rStyle w:val="25"/>
          <w:rFonts w:ascii="仿宋" w:eastAsia="仿宋"/>
          <w:b w:val="0"/>
          <w:bCs/>
          <w:color w:val="000000"/>
          <w:sz w:val="32"/>
          <w:szCs w:val="32"/>
        </w:rPr>
      </w:pPr>
      <w:r>
        <w:rPr>
          <w:rFonts w:ascii="仿宋_GB2312" w:eastAsia="仿宋_GB2312" w:hint="eastAsia"/>
          <w:b/>
          <w:color w:val="000000"/>
          <w:sz w:val="32"/>
          <w:szCs w:val="32"/>
        </w:rPr>
        <w:t>1.因公出国（境）经费支出：</w:t>
      </w:r>
      <w:r>
        <w:rPr>
          <w:rFonts w:ascii="仿宋_GB2312" w:eastAsia="仿宋_GB2312"/>
          <w:color w:val="000000"/>
          <w:sz w:val="30"/>
          <w:szCs w:val="30"/>
        </w:rPr>
        <w:t>20</w:t>
      </w:r>
      <w:r>
        <w:rPr>
          <w:rFonts w:ascii="仿宋_GB2312" w:eastAsia="仿宋_GB2312" w:hint="eastAsia"/>
          <w:color w:val="000000"/>
          <w:sz w:val="30"/>
          <w:szCs w:val="30"/>
        </w:rPr>
        <w:t>21年因公出国（境）费0万元。</w:t>
      </w:r>
    </w:p>
    <w:p>
      <w:pPr>
        <w:spacing w:line="600" w:lineRule="exact"/>
        <w:rPr>
          <w:rFonts w:ascii="仿宋_GB2312" w:eastAsia="仿宋_GB2312" w:hint="eastAsia"/>
          <w:color w:val="000000"/>
          <w:sz w:val="32"/>
          <w:szCs w:val="32"/>
          <w:lang w:val="en-US" w:eastAsia="zh-CN"/>
        </w:rPr>
      </w:pPr>
      <w:r>
        <w:rPr>
          <w:rFonts w:ascii="仿宋_GB2312" w:eastAsia="仿宋_GB2312"/>
          <w:b/>
          <w:color w:val="000000"/>
          <w:sz w:val="32"/>
          <w:szCs w:val="32"/>
        </w:rPr>
        <w:t>2.</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购置及运行维护费支出：</w:t>
      </w:r>
      <w:r>
        <w:rPr>
          <w:rFonts w:ascii="仿宋_GB2312" w:eastAsia="仿宋_GB2312" w:hint="eastAsia"/>
          <w:color w:val="000000"/>
          <w:sz w:val="32"/>
          <w:szCs w:val="32"/>
          <w:lang w:val="en-US" w:eastAsia="zh-CN"/>
        </w:rPr>
        <w:t>12</w:t>
      </w:r>
      <w:r>
        <w:rPr>
          <w:rFonts w:ascii="仿宋_GB2312" w:eastAsia="仿宋_GB2312" w:hint="eastAsia"/>
          <w:color w:val="000000"/>
          <w:sz w:val="32"/>
          <w:szCs w:val="32"/>
        </w:rPr>
        <w:t>万元,</w:t>
      </w:r>
      <w:r>
        <w:rPr>
          <w:rStyle w:val="25"/>
          <w:rFonts w:ascii="仿宋" w:eastAsia="仿宋" w:hint="eastAsia"/>
          <w:b w:val="0"/>
          <w:bCs/>
          <w:color w:val="000000"/>
          <w:sz w:val="32"/>
          <w:szCs w:val="32"/>
        </w:rPr>
        <w:t>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r>
        <w:rPr>
          <w:rFonts w:ascii="仿宋_GB2312" w:eastAsia="仿宋_GB2312"/>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年公务用车购置及运行维护费</w:t>
      </w:r>
      <w:r>
        <w:rPr>
          <w:rFonts w:ascii="仿宋_GB2312" w:eastAsia="仿宋_GB2312" w:hint="eastAsia"/>
          <w:color w:val="000000"/>
          <w:sz w:val="32"/>
          <w:szCs w:val="32"/>
          <w:lang w:val="en-US" w:eastAsia="zh-CN"/>
        </w:rPr>
        <w:t>12</w:t>
      </w:r>
      <w:r>
        <w:rPr>
          <w:rFonts w:ascii="仿宋_GB2312" w:eastAsia="仿宋_GB2312" w:hint="eastAsia"/>
          <w:color w:val="000000"/>
          <w:sz w:val="32"/>
          <w:szCs w:val="32"/>
        </w:rPr>
        <w:t>万元,公务用车购置及运行维护费</w:t>
      </w:r>
      <w:r>
        <w:rPr>
          <w:rFonts w:ascii="仿宋_GB2312" w:eastAsia="仿宋_GB2312" w:hint="eastAsia"/>
          <w:color w:val="000000"/>
          <w:sz w:val="32"/>
          <w:szCs w:val="32"/>
          <w:lang w:val="en-US" w:eastAsia="zh-CN"/>
        </w:rPr>
        <w:t>支出决算比2021年减相同.</w:t>
      </w:r>
    </w:p>
    <w:p>
      <w:pPr>
        <w:pageBreakBefore w:val="0"/>
        <w:widowControl w:val="0"/>
        <w:kinsoku/>
        <w:wordWrap/>
        <w:overflowPunct/>
        <w:topLinePunct w:val="0"/>
        <w:bidi w:val="0"/>
        <w:spacing w:line="576" w:lineRule="exact"/>
        <w:ind w:firstLine="640"/>
        <w:rPr>
          <w:rFonts w:ascii="仿宋_GB2312" w:eastAsia="仿宋_GB2312"/>
          <w:color w:val="000000"/>
          <w:sz w:val="32"/>
          <w:szCs w:val="32"/>
        </w:rPr>
      </w:pPr>
      <w:r>
        <w:rPr>
          <w:rFonts w:ascii="仿宋_GB2312" w:eastAsia="仿宋_GB2312" w:hint="eastAsia"/>
          <w:color w:val="000000"/>
          <w:sz w:val="32"/>
          <w:szCs w:val="32"/>
        </w:rPr>
        <w:t>其中：</w:t>
      </w:r>
      <w:r>
        <w:rPr>
          <w:rFonts w:ascii="仿宋_GB2312" w:eastAsia="仿宋_GB2312" w:hint="eastAsia"/>
          <w:color w:val="000000"/>
          <w:sz w:val="32"/>
          <w:szCs w:val="32"/>
          <w:lang w:eastAsia="zh-CN"/>
        </w:rPr>
        <w:t>车辆运行维护费</w:t>
      </w:r>
      <w:r>
        <w:rPr>
          <w:rFonts w:ascii="仿宋_GB2312" w:eastAsia="仿宋_GB2312" w:hint="eastAsia"/>
          <w:color w:val="000000"/>
          <w:sz w:val="32"/>
          <w:szCs w:val="32"/>
          <w:lang w:val="en-US" w:eastAsia="zh-CN"/>
        </w:rPr>
        <w:t>12万元</w:t>
      </w:r>
      <w:r>
        <w:rPr>
          <w:rFonts w:ascii="仿宋_GB2312" w:eastAsia="仿宋_GB2312" w:hint="eastAsia"/>
          <w:color w:val="000000"/>
          <w:sz w:val="32"/>
          <w:szCs w:val="32"/>
        </w:rPr>
        <w:t>。主要用于开展各项全县及县委办工作所需的公务用车燃料费、车辆维修费、过路过桥费、车辆保险费等支出。</w:t>
      </w:r>
    </w:p>
    <w:p>
      <w:pPr>
        <w:pageBreakBefore w:val="0"/>
        <w:widowControl w:val="0"/>
        <w:kinsoku/>
        <w:wordWrap/>
        <w:overflowPunct/>
        <w:topLinePunct w:val="0"/>
        <w:bidi w:val="0"/>
        <w:spacing w:line="576" w:lineRule="exact"/>
        <w:ind w:firstLine="640"/>
        <w:rPr>
          <w:rFonts w:ascii="仿宋_GB2312" w:eastAsia="仿宋_GB2312" w:hint="eastAsia"/>
          <w:color w:val="000000"/>
          <w:sz w:val="32"/>
          <w:szCs w:val="32"/>
        </w:rPr>
      </w:pPr>
      <w:bookmarkStart w:id="59" w:name="_GoBack"/>
      <w:bookmarkEnd w:id="59"/>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购置</w:t>
      </w:r>
      <w:r>
        <w:rPr>
          <w:rFonts w:ascii="仿宋_GB2312" w:eastAsia="仿宋_GB2312"/>
          <w:b/>
          <w:color w:val="000000"/>
          <w:sz w:val="32"/>
          <w:szCs w:val="32"/>
        </w:rPr>
        <w:t>支出0万元</w:t>
      </w:r>
    </w:p>
    <w:p>
      <w:pPr>
        <w:spacing w:line="600" w:lineRule="atLeast"/>
        <w:ind w:firstLineChars="200" w:firstLine="640"/>
        <w:outlineLvl w:val="2"/>
        <w:rPr>
          <w:rFonts w:ascii="仿宋_GB2312" w:eastAsia="仿宋_GB2312" w:hint="eastAsia"/>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sz w:val="32"/>
          <w:szCs w:val="32"/>
          <w:lang w:val="en-US" w:eastAsia="zh-CN"/>
        </w:rPr>
        <w:t>12</w:t>
      </w:r>
      <w:r>
        <w:rPr>
          <w:rFonts w:ascii="仿宋_GB2312" w:eastAsia="仿宋_GB2312" w:hint="eastAsia"/>
          <w:sz w:val="32"/>
          <w:szCs w:val="32"/>
        </w:rPr>
        <w:t>万元。</w:t>
      </w:r>
      <w:r>
        <w:rPr>
          <w:rFonts w:ascii="仿宋_GB2312" w:eastAsia="仿宋_GB2312" w:hint="eastAsia"/>
          <w:color w:val="000000"/>
          <w:sz w:val="32"/>
          <w:szCs w:val="32"/>
        </w:rPr>
        <w:t>主要用于开展日常事务时车辆的燃料费、维修费、过路费、保险费等支出。</w:t>
      </w:r>
    </w:p>
    <w:p>
      <w:r>
        <w:rPr>
          <w:rFonts w:hint="eastAsia"/>
          <w:lang w:val="en-US" w:eastAsia="zh-CN"/>
        </w:rPr>
        <w:drawing>
          <wp:inline distT="0" distB="0" distL="114300" distR="114300">
            <wp:extent cx="5079365" cy="3810000"/>
            <wp:effectExtent l="0" t="0" r="0" b="0"/>
            <wp:docPr id="10" name="图表 15"/>
            <wp:cNvGraphicFramePr>
              <a:graphicFrameLocks noChangeAspect="0"/>
            </wp:cNvGraphicFramePr>
            <a:graphic>
              <a:graphicData uri="http://schemas.openxmlformats.org/drawingml/2006/chart">
                <c:chart xmlns:c="http://schemas.openxmlformats.org/drawingml/2006/chart" r:id="rId11"/>
              </a:graphicData>
            </a:graphic>
          </wp:inline>
        </w:drawing>
      </w:r>
    </w:p>
    <w:p>
      <w:pPr>
        <w:spacing w:line="600" w:lineRule="exact"/>
        <w:ind w:firstLineChars="200" w:firstLine="640"/>
        <w:rPr>
          <w:rFonts w:ascii="仿宋_GB2312" w:eastAsia="仿宋_GB2312" w:hint="eastAsia"/>
          <w:color w:val="000000"/>
          <w:sz w:val="32"/>
          <w:szCs w:val="32"/>
        </w:rPr>
      </w:pPr>
      <w:r>
        <w:rPr>
          <w:rFonts w:ascii="Times New Roman" w:eastAsia="仿宋_GB2312" w:cs="Times New Roman" w:hAnsi="Times New Roman"/>
          <w:b/>
          <w:sz w:val="32"/>
          <w:szCs w:val="32"/>
        </w:rPr>
        <w:t>3.</w:t>
      </w:r>
      <w:r>
        <w:rPr>
          <w:rFonts w:ascii="仿宋_GB2312" w:eastAsia="仿宋_GB2312" w:hint="eastAsia"/>
          <w:b/>
          <w:color w:val="000000"/>
          <w:sz w:val="32"/>
          <w:szCs w:val="32"/>
        </w:rPr>
        <w:t>公务接待费支出：</w:t>
      </w:r>
      <w:r>
        <w:rPr>
          <w:rFonts w:ascii="Times New Roman" w:eastAsia="仿宋_GB2312" w:cs="Times New Roman" w:hAnsi="Times New Roman" w:hint="eastAsia"/>
          <w:sz w:val="32"/>
          <w:szCs w:val="32"/>
        </w:rPr>
        <w:t>202</w:t>
      </w:r>
      <w:r>
        <w:rPr>
          <w:rFonts w:ascii="Times New Roman" w:eastAsia="仿宋_GB2312" w:cs="Times New Roman" w:hAnsi="Times New Roman" w:hint="eastAsia"/>
          <w:sz w:val="32"/>
          <w:szCs w:val="32"/>
          <w:lang w:val="en-US" w:eastAsia="zh-CN"/>
        </w:rPr>
        <w:t>2</w:t>
      </w:r>
      <w:r>
        <w:rPr>
          <w:rFonts w:ascii="Times New Roman" w:eastAsia="仿宋_GB2312" w:cs="Times New Roman" w:hAnsi="Times New Roman" w:hint="eastAsia"/>
          <w:sz w:val="32"/>
          <w:szCs w:val="32"/>
        </w:rPr>
        <w:t>年公务接待费</w:t>
      </w:r>
      <w:r>
        <w:rPr>
          <w:rFonts w:ascii="Times New Roman" w:eastAsia="仿宋_GB2312" w:cs="Times New Roman" w:hAnsi="Times New Roman" w:hint="eastAsia"/>
          <w:sz w:val="32"/>
          <w:szCs w:val="32"/>
          <w:lang w:val="en-US" w:eastAsia="zh-CN"/>
        </w:rPr>
        <w:t>0</w:t>
      </w:r>
      <w:r>
        <w:rPr>
          <w:rFonts w:ascii="Times New Roman" w:eastAsia="仿宋_GB2312" w:cs="Times New Roman" w:hAnsi="Times New Roman" w:hint="eastAsia"/>
          <w:sz w:val="32"/>
          <w:szCs w:val="32"/>
        </w:rPr>
        <w:t>万元</w:t>
      </w:r>
      <w:r>
        <w:rPr>
          <w:rFonts w:ascii="Times New Roman" w:eastAsia="仿宋_GB2312" w:cs="Times New Roman" w:hAnsi="Times New Roman" w:hint="eastAsia"/>
          <w:sz w:val="32"/>
          <w:szCs w:val="32"/>
          <w:lang w:val="en-US" w:eastAsia="zh-CN"/>
        </w:rPr>
        <w:t>,</w:t>
      </w:r>
      <w:r>
        <w:rPr>
          <w:rFonts w:ascii="仿宋_GB2312" w:eastAsia="仿宋_GB2312" w:hint="eastAsia"/>
          <w:color w:val="000000"/>
          <w:sz w:val="32"/>
          <w:szCs w:val="32"/>
        </w:rPr>
        <w:t>国内公务接待0批次，0人次，共计支出0万元。</w:t>
      </w:r>
      <w:r>
        <w:rPr>
          <w:rFonts w:ascii="Times New Roman" w:eastAsia="仿宋_GB2312" w:cs="Times New Roman" w:hAnsi="Times New Roman" w:hint="eastAsia"/>
          <w:sz w:val="32"/>
          <w:szCs w:val="32"/>
        </w:rPr>
        <w:t>公务接待费支出决算比20</w:t>
      </w:r>
      <w:r>
        <w:rPr>
          <w:rFonts w:ascii="Times New Roman" w:eastAsia="仿宋_GB2312" w:cs="Times New Roman" w:hAnsi="Times New Roman" w:hint="eastAsia"/>
          <w:sz w:val="32"/>
          <w:szCs w:val="32"/>
          <w:lang w:val="en-US" w:eastAsia="zh-CN"/>
        </w:rPr>
        <w:t>21</w:t>
      </w:r>
      <w:r>
        <w:rPr>
          <w:rFonts w:ascii="Times New Roman" w:eastAsia="仿宋_GB2312" w:cs="Times New Roman" w:hAnsi="Times New Roman" w:hint="eastAsia"/>
          <w:sz w:val="32"/>
          <w:szCs w:val="32"/>
        </w:rPr>
        <w:t>年减少</w:t>
      </w:r>
      <w:r>
        <w:rPr>
          <w:rFonts w:ascii="Times New Roman" w:eastAsia="仿宋_GB2312" w:cs="Times New Roman" w:hAnsi="Times New Roman" w:hint="eastAsia"/>
          <w:sz w:val="32"/>
          <w:szCs w:val="32"/>
          <w:lang w:val="en-US" w:eastAsia="zh-CN"/>
        </w:rPr>
        <w:t>0.07</w:t>
      </w:r>
      <w:r>
        <w:rPr>
          <w:rFonts w:ascii="Times New Roman" w:eastAsia="仿宋_GB2312" w:cs="Times New Roman" w:hAnsi="Times New Roman" w:hint="eastAsia"/>
          <w:sz w:val="32"/>
          <w:szCs w:val="32"/>
        </w:rPr>
        <w:t>万元，下降</w:t>
      </w:r>
      <w:r>
        <w:rPr>
          <w:rFonts w:ascii="Times New Roman" w:eastAsia="仿宋_GB2312" w:cs="Times New Roman" w:hAnsi="Times New Roman" w:hint="eastAsia"/>
          <w:sz w:val="32"/>
          <w:szCs w:val="32"/>
          <w:lang w:val="en-US" w:eastAsia="zh-CN"/>
        </w:rPr>
        <w:t>100</w:t>
      </w:r>
      <w:r>
        <w:rPr>
          <w:rFonts w:ascii="Times New Roman" w:eastAsia="仿宋_GB2312" w:cs="Times New Roman" w:hAnsi="Times New Roman" w:hint="eastAsia"/>
          <w:sz w:val="32"/>
          <w:szCs w:val="32"/>
        </w:rPr>
        <w:t>%。主要原因</w:t>
      </w:r>
      <w:r>
        <w:rPr>
          <w:rFonts w:ascii="Times New Roman" w:eastAsia="仿宋_GB2312" w:cs="Times New Roman" w:hAnsi="Times New Roman" w:hint="eastAsia"/>
          <w:sz w:val="32"/>
          <w:szCs w:val="32"/>
          <w:lang w:eastAsia="zh-CN"/>
        </w:rPr>
        <w:t>是</w:t>
      </w:r>
      <w:r>
        <w:rPr>
          <w:rFonts w:ascii="Times New Roman" w:eastAsia="仿宋_GB2312" w:cs="Times New Roman" w:hAnsi="Times New Roman" w:hint="eastAsia"/>
          <w:sz w:val="32"/>
          <w:szCs w:val="32"/>
          <w:lang w:val="en-US" w:eastAsia="zh-CN"/>
        </w:rPr>
        <w:t>严格执行有关规定，实行“先审批，后接待”制度，严格控制接待标准和陪餐人数，降低接待费用。</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hint="eastAsia"/>
          <w:sz w:val="32"/>
          <w:szCs w:val="32"/>
          <w:lang w:val="en-US" w:eastAsia="zh-CN"/>
        </w:rPr>
      </w:pPr>
      <w:r>
        <w:rPr>
          <w:rFonts w:ascii="Times New Roman" w:eastAsia="仿宋" w:cs="Times New Roman" w:hAnsi="Times New Roman"/>
          <w:b/>
          <w:sz w:val="32"/>
          <w:szCs w:val="32"/>
        </w:rPr>
        <w:t>外事接待支出</w:t>
      </w:r>
      <w:r>
        <w:rPr>
          <w:rFonts w:ascii="Times New Roman" w:eastAsia="仿宋" w:cs="Times New Roman" w:hAnsi="Times New Roman"/>
          <w:sz w:val="32"/>
          <w:szCs w:val="32"/>
        </w:rPr>
        <w:t>0</w:t>
      </w:r>
      <w:r>
        <w:rPr>
          <w:rFonts w:ascii="Times New Roman" w:eastAsia="仿宋_GB2312" w:cs="Times New Roman" w:hAnsi="Times New Roman"/>
          <w:sz w:val="32"/>
          <w:szCs w:val="32"/>
        </w:rPr>
        <w:t>万元，外事接待0批次，0人，共计支出0万</w:t>
      </w:r>
      <w:bookmarkStart w:id="60" w:name="_Toc15377218"/>
      <w:bookmarkStart w:id="61" w:name="_Toc15396610"/>
      <w:r>
        <w:rPr>
          <w:rFonts w:eastAsia="仿宋_GB2312" w:cs="Times New Roman" w:hint="eastAsia"/>
          <w:sz w:val="32"/>
          <w:szCs w:val="32"/>
          <w:lang w:val="en-US" w:eastAsia="zh-CN"/>
        </w:rPr>
        <w:t>元。</w:t>
      </w:r>
    </w:p>
    <w:p>
      <w:r>
        <w:rPr>
          <w:rFonts w:hint="eastAsia"/>
          <w:lang w:val="en-US" w:eastAsia="zh-CN"/>
        </w:rPr>
        <w:drawing>
          <wp:inline distT="0" distB="0" distL="114300" distR="114300">
            <wp:extent cx="5079365" cy="3810000"/>
            <wp:effectExtent l="0" t="0" r="0" b="0"/>
            <wp:docPr id="11" name="图表 13"/>
            <wp:cNvGraphicFramePr>
              <a:graphicFrameLocks noChangeAspect="0"/>
            </wp:cNvGraphicFramePr>
            <a:graphic>
              <a:graphicData uri="http://schemas.openxmlformats.org/drawingml/2006/chart">
                <c:chart xmlns:c="http://schemas.openxmlformats.org/drawingml/2006/chart" r:id="rId12"/>
              </a:graphicData>
            </a:graphic>
          </wp:inline>
        </w:drawing>
      </w:r>
    </w:p>
    <w:p>
      <w:pPr>
        <w:pageBreakBefore w:val="0"/>
        <w:widowControl w:val="0"/>
        <w:kinsoku/>
        <w:wordWrap/>
        <w:overflowPunct/>
        <w:topLinePunct w:val="0"/>
        <w:bidi w:val="0"/>
        <w:spacing w:line="576" w:lineRule="exact"/>
        <w:ind w:firstLine="640"/>
        <w:outlineLvl w:val="1"/>
        <w:rPr>
          <w:rStyle w:val="2Char"/>
          <w:rFonts w:ascii="Times New Roman" w:eastAsia="黑体" w:cs="Times New Roman" w:hAnsi="Times New Roman"/>
        </w:rPr>
      </w:pPr>
      <w:bookmarkStart w:id="62" w:name="_Toc26843619"/>
      <w:r>
        <w:rPr>
          <w:rFonts w:ascii="Times New Roman" w:eastAsia="黑体" w:cs="Times New Roman" w:hAnsi="Times New Roman"/>
          <w:sz w:val="32"/>
          <w:szCs w:val="32"/>
        </w:rPr>
        <w:t>八、</w:t>
      </w:r>
      <w:r>
        <w:rPr>
          <w:rStyle w:val="2Char"/>
          <w:rFonts w:ascii="Times New Roman" w:eastAsia="黑体" w:cs="Times New Roman" w:hAnsi="Times New Roman"/>
          <w:b w:val="0"/>
        </w:rPr>
        <w:t>政府性基金预算支出决算情况说明</w:t>
      </w:r>
      <w:bookmarkEnd w:id="60"/>
      <w:bookmarkEnd w:id="61"/>
      <w:bookmarkEnd w:id="62"/>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20</w:t>
      </w:r>
      <w:r>
        <w:rPr>
          <w:rFonts w:ascii="Times New Roman" w:eastAsia="仿宋_GB2312" w:cs="Times New Roman" w:hAnsi="Times New Roman" w:hint="eastAsia"/>
          <w:sz w:val="32"/>
          <w:szCs w:val="32"/>
        </w:rPr>
        <w:t>2</w:t>
      </w:r>
      <w:r>
        <w:rPr>
          <w:rFonts w:ascii="Times New Roman" w:eastAsia="仿宋_GB2312" w:cs="Times New Roman" w:hAnsi="Times New Roman" w:hint="eastAsia"/>
          <w:sz w:val="32"/>
          <w:szCs w:val="32"/>
          <w:lang w:val="en-US" w:eastAsia="zh-CN"/>
        </w:rPr>
        <w:t>2</w:t>
      </w:r>
      <w:r>
        <w:rPr>
          <w:rFonts w:ascii="Times New Roman" w:eastAsia="仿宋_GB2312" w:cs="Times New Roman" w:hAnsi="Times New Roman" w:hint="eastAsia"/>
          <w:sz w:val="32"/>
          <w:szCs w:val="32"/>
        </w:rPr>
        <w:t>年政府性基金预算拨款支出0万元。</w:t>
      </w:r>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p>
    <w:p>
      <w:pPr>
        <w:pageBreakBefore w:val="0"/>
        <w:widowControl w:val="0"/>
        <w:numPr>
          <w:ilvl w:val="0"/>
          <w:numId w:val="4"/>
        </w:numPr>
        <w:kinsoku/>
        <w:wordWrap/>
        <w:overflowPunct/>
        <w:topLinePunct w:val="0"/>
        <w:bidi w:val="0"/>
        <w:spacing w:line="576" w:lineRule="exact"/>
        <w:ind w:left="0" w:firstLine="640"/>
        <w:outlineLvl w:val="1"/>
        <w:rPr>
          <w:rStyle w:val="2Char"/>
          <w:rFonts w:ascii="Times New Roman" w:eastAsia="黑体" w:cs="Times New Roman" w:hAnsi="Times New Roman"/>
          <w:b w:val="0"/>
        </w:rPr>
      </w:pPr>
      <w:bookmarkStart w:id="63" w:name="_Toc26843620"/>
      <w:bookmarkStart w:id="64" w:name="_Toc15396611"/>
      <w:bookmarkStart w:id="65" w:name="_Toc15377219"/>
      <w:r>
        <w:rPr>
          <w:rStyle w:val="2Char"/>
          <w:rFonts w:ascii="Times New Roman" w:eastAsia="黑体" w:cs="Times New Roman" w:hAnsi="Times New Roman"/>
          <w:b w:val="0"/>
        </w:rPr>
        <w:t>国有资本经营预算支出决算情况说明</w:t>
      </w:r>
      <w:bookmarkEnd w:id="63"/>
      <w:bookmarkEnd w:id="64"/>
      <w:bookmarkEnd w:id="65"/>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年国有资本经营预算财政拨款支出0万元。</w:t>
      </w:r>
    </w:p>
    <w:p>
      <w:pPr>
        <w:pageBreakBefore w:val="0"/>
        <w:widowControl w:val="0"/>
        <w:kinsoku/>
        <w:wordWrap/>
        <w:overflowPunct/>
        <w:topLinePunct w:val="0"/>
        <w:bidi w:val="0"/>
        <w:spacing w:line="576" w:lineRule="exact"/>
        <w:jc w:val="center"/>
        <w:rPr>
          <w:rFonts w:ascii="Times New Roman" w:eastAsia="方正小标宋简体" w:cs="Times New Roman" w:hAnsi="Times New Roman"/>
          <w:sz w:val="44"/>
          <w:szCs w:val="44"/>
        </w:rPr>
      </w:pPr>
    </w:p>
    <w:p>
      <w:pPr>
        <w:pageBreakBefore w:val="0"/>
        <w:widowControl w:val="0"/>
        <w:numPr>
          <w:ilvl w:val="0"/>
          <w:numId w:val="4"/>
        </w:numPr>
        <w:kinsoku/>
        <w:wordWrap/>
        <w:overflowPunct/>
        <w:topLinePunct w:val="0"/>
        <w:bidi w:val="0"/>
        <w:spacing w:line="576" w:lineRule="exact"/>
        <w:ind w:left="0" w:firstLine="640"/>
        <w:outlineLvl w:val="1"/>
        <w:rPr>
          <w:rStyle w:val="2Char"/>
          <w:rFonts w:ascii="Times New Roman" w:eastAsia="黑体" w:cs="Times New Roman" w:hAnsi="Times New Roman"/>
          <w:b w:val="0"/>
        </w:rPr>
      </w:pPr>
      <w:bookmarkStart w:id="66" w:name="_Toc15377221"/>
      <w:bookmarkStart w:id="67" w:name="_Toc15396612"/>
      <w:bookmarkStart w:id="68" w:name="_Toc26843621"/>
      <w:r>
        <w:rPr>
          <w:rStyle w:val="2Char"/>
          <w:rFonts w:ascii="Times New Roman" w:eastAsia="黑体" w:cs="Times New Roman" w:hAnsi="Times New Roman"/>
          <w:b w:val="0"/>
        </w:rPr>
        <w:t>其他重要事项的情况说明</w:t>
      </w:r>
      <w:bookmarkEnd w:id="66"/>
      <w:bookmarkEnd w:id="67"/>
      <w:bookmarkEnd w:id="68"/>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sz w:val="32"/>
          <w:szCs w:val="32"/>
        </w:rPr>
      </w:pPr>
      <w:bookmarkStart w:id="69" w:name="_Toc15377222"/>
      <w:r>
        <w:rPr>
          <w:rFonts w:ascii="Times New Roman" w:eastAsia="仿宋" w:cs="Times New Roman" w:hAnsi="Times New Roman"/>
          <w:b/>
          <w:sz w:val="32"/>
          <w:szCs w:val="32"/>
        </w:rPr>
        <w:t>（一）机关运行经费支出情况</w:t>
      </w:r>
      <w:bookmarkEnd w:id="69"/>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_GB2312" w:cs="Times New Roman" w:hAnsi="Times New Roman" w:hint="eastAsia"/>
          <w:sz w:val="32"/>
          <w:szCs w:val="32"/>
        </w:rPr>
      </w:pPr>
      <w:bookmarkStart w:id="70" w:name="_Toc15377223"/>
      <w:r>
        <w:rPr>
          <w:rFonts w:ascii="Times New Roman" w:eastAsia="仿宋_GB2312" w:cs="Times New Roman" w:hAnsi="Times New Roman"/>
          <w:sz w:val="32"/>
          <w:szCs w:val="32"/>
        </w:rPr>
        <w:t>20</w:t>
      </w:r>
      <w:r>
        <w:rPr>
          <w:rFonts w:ascii="Times New Roman" w:eastAsia="仿宋_GB2312" w:cs="Times New Roman" w:hAnsi="Times New Roman" w:hint="eastAsia"/>
          <w:sz w:val="32"/>
          <w:szCs w:val="32"/>
        </w:rPr>
        <w:t>2</w:t>
      </w:r>
      <w:r>
        <w:rPr>
          <w:rFonts w:ascii="Times New Roman" w:eastAsia="仿宋_GB2312" w:cs="Times New Roman" w:hAnsi="Times New Roman" w:hint="eastAsia"/>
          <w:sz w:val="32"/>
          <w:szCs w:val="32"/>
          <w:lang w:val="en-US" w:eastAsia="zh-CN"/>
        </w:rPr>
        <w:t>2</w:t>
      </w:r>
      <w:r>
        <w:rPr>
          <w:rFonts w:ascii="Times New Roman" w:eastAsia="仿宋_GB2312" w:cs="Times New Roman" w:hAnsi="Times New Roman" w:hint="eastAsia"/>
          <w:sz w:val="32"/>
          <w:szCs w:val="32"/>
        </w:rPr>
        <w:t>年，运行经费支出</w:t>
      </w:r>
      <w:r>
        <w:rPr>
          <w:rFonts w:ascii="Times New Roman" w:eastAsia="仿宋_GB2312" w:cs="Times New Roman" w:hAnsi="Times New Roman"/>
          <w:sz w:val="32"/>
          <w:szCs w:val="32"/>
          <w:lang w:val="en-US" w:eastAsia="zh-CN"/>
        </w:rPr>
        <w:t>16.67</w:t>
      </w:r>
      <w:r>
        <w:rPr>
          <w:rFonts w:ascii="Times New Roman" w:eastAsia="仿宋_GB2312" w:cs="Times New Roman" w:hAnsi="Times New Roman" w:hint="eastAsia"/>
          <w:sz w:val="32"/>
          <w:szCs w:val="32"/>
        </w:rPr>
        <w:t>万元</w:t>
      </w:r>
      <w:r>
        <w:rPr>
          <w:rFonts w:ascii="Times New Roman" w:eastAsia="仿宋_GB2312" w:cs="Times New Roman" w:hAnsi="Times New Roman" w:hint="eastAsia"/>
          <w:sz w:val="32"/>
          <w:szCs w:val="32"/>
          <w:lang w:eastAsia="zh-CN"/>
        </w:rPr>
        <w:t>。</w:t>
      </w:r>
      <w:r>
        <w:rPr>
          <w:rFonts w:ascii="Times New Roman" w:eastAsia="仿宋_GB2312" w:cs="Times New Roman" w:hAnsi="Times New Roman"/>
          <w:sz w:val="32"/>
          <w:szCs w:val="32"/>
          <w:lang w:eastAsia="zh-CN"/>
        </w:rPr>
        <w:t>2021年52.99万元，比202</w:t>
      </w:r>
      <w:r>
        <w:rPr>
          <w:rFonts w:ascii="Times New Roman" w:eastAsia="仿宋_GB2312" w:cs="Times New Roman" w:hAnsi="Times New Roman" w:hint="eastAsia"/>
          <w:sz w:val="32"/>
          <w:szCs w:val="32"/>
          <w:lang w:val="en-US" w:eastAsia="zh-CN"/>
        </w:rPr>
        <w:t>1</w:t>
      </w:r>
      <w:r>
        <w:rPr>
          <w:rFonts w:ascii="Times New Roman" w:eastAsia="仿宋_GB2312" w:cs="Times New Roman" w:hAnsi="Times New Roman"/>
          <w:sz w:val="32"/>
          <w:szCs w:val="32"/>
          <w:lang w:eastAsia="zh-CN"/>
        </w:rPr>
        <w:t>年减少</w:t>
      </w:r>
      <w:r>
        <w:rPr>
          <w:rFonts w:ascii="Times New Roman" w:eastAsia="仿宋_GB2312" w:cs="Times New Roman" w:hAnsi="Times New Roman"/>
          <w:sz w:val="32"/>
          <w:szCs w:val="32"/>
          <w:lang w:val="en-US" w:eastAsia="zh-CN"/>
        </w:rPr>
        <w:t>36.32</w:t>
      </w:r>
      <w:r>
        <w:rPr>
          <w:rFonts w:ascii="Times New Roman" w:eastAsia="仿宋_GB2312" w:cs="Times New Roman" w:hAnsi="Times New Roman" w:hint="eastAsia"/>
          <w:sz w:val="32"/>
          <w:szCs w:val="32"/>
        </w:rPr>
        <w:t>万元</w:t>
      </w:r>
      <w:r>
        <w:rPr>
          <w:rFonts w:ascii="Times New Roman" w:eastAsia="仿宋_GB2312" w:cs="Times New Roman" w:hAnsi="Times New Roman"/>
          <w:sz w:val="32"/>
          <w:szCs w:val="32"/>
        </w:rPr>
        <w:t>，减少</w:t>
      </w:r>
      <w:r>
        <w:rPr>
          <w:rFonts w:ascii="Times New Roman" w:eastAsia="仿宋_GB2312" w:cs="Times New Roman" w:hAnsi="Times New Roman" w:hint="eastAsia"/>
          <w:sz w:val="32"/>
          <w:szCs w:val="32"/>
          <w:lang w:val="en-US" w:eastAsia="zh-CN"/>
        </w:rPr>
        <w:t>6</w:t>
      </w:r>
      <w:r>
        <w:rPr>
          <w:rFonts w:ascii="Times New Roman" w:eastAsia="仿宋_GB2312" w:cs="Times New Roman" w:hAnsi="Times New Roman"/>
          <w:sz w:val="32"/>
          <w:szCs w:val="32"/>
          <w:lang w:val="en-US" w:eastAsia="zh-CN"/>
        </w:rPr>
        <w:t>8</w:t>
      </w:r>
      <w:r>
        <w:rPr>
          <w:rFonts w:ascii="Times New Roman" w:eastAsia="仿宋_GB2312" w:cs="Times New Roman" w:hAnsi="Times New Roman"/>
          <w:sz w:val="32"/>
          <w:szCs w:val="32"/>
        </w:rPr>
        <w:t>%。</w:t>
      </w:r>
      <w:r>
        <w:rPr>
          <w:rFonts w:ascii="Times New Roman" w:eastAsia="仿宋_GB2312" w:cs="Times New Roman" w:hAnsi="Times New Roman" w:hint="eastAsia"/>
          <w:sz w:val="32"/>
          <w:szCs w:val="32"/>
        </w:rPr>
        <w:t>主要原因为差旅费、公务用车运行费、维修维护费、办公费等经费有所减少。</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r>
        <w:rPr>
          <w:rFonts w:ascii="Times New Roman" w:eastAsia="仿宋" w:cs="Times New Roman" w:hAnsi="Times New Roman"/>
          <w:b/>
          <w:sz w:val="32"/>
          <w:szCs w:val="32"/>
        </w:rPr>
        <w:t>（二）政府采购支出情况</w:t>
      </w:r>
      <w:bookmarkEnd w:id="70"/>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仿宋_GB2312" w:eastAsia="仿宋_GB2312"/>
          <w:sz w:val="32"/>
          <w:szCs w:val="32"/>
        </w:rPr>
      </w:pPr>
      <w:bookmarkStart w:id="71" w:name="_Toc15377224"/>
      <w:r>
        <w:rPr>
          <w:rFonts w:ascii="仿宋_GB2312" w:eastAsia="仿宋_GB2312" w:hint="eastAsia"/>
          <w:sz w:val="32"/>
          <w:szCs w:val="32"/>
        </w:rPr>
        <w:t>2022年，中共阿坝州金川县委政法委员会政府采购支出总额310.00万元，其中：政府采购货物支出310.00万元、政府采购工程支出0.00万元、政府采购服务支出0.00万元。授予中小企业合同金额310.00万元，占政府采购支出总额的100.00%，其中：授予小微企业合同金额0.00万元，占政府采购支出总额的0.00%。</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r>
        <w:rPr>
          <w:rFonts w:ascii="Times New Roman" w:eastAsia="仿宋" w:cs="Times New Roman" w:hAnsi="Times New Roman"/>
          <w:b/>
          <w:sz w:val="32"/>
          <w:szCs w:val="32"/>
        </w:rPr>
        <w:t>（三）国有资产占有使用情况</w:t>
      </w:r>
      <w:bookmarkEnd w:id="71"/>
    </w:p>
    <w:p>
      <w:pPr>
        <w:pageBreakBefore w:val="0"/>
        <w:widowControl w:val="0"/>
        <w:kinsoku/>
        <w:wordWrap/>
        <w:overflowPunct/>
        <w:topLinePunct w:val="0"/>
        <w:autoSpaceDE w:val="0"/>
        <w:autoSpaceDN w:val="0"/>
        <w:bidi w:val="0"/>
        <w:adjustRightInd w:val="0"/>
        <w:spacing w:line="576" w:lineRule="exact"/>
        <w:ind w:firstLineChars="200" w:firstLine="640"/>
        <w:jc w:val="left"/>
        <w:rPr>
          <w:rFonts w:ascii="Times New Roman" w:eastAsia="仿宋_GB2312" w:cs="Times New Roman" w:hAnsi="Times New Roman"/>
          <w:sz w:val="32"/>
          <w:szCs w:val="32"/>
        </w:rPr>
      </w:pPr>
      <w:r>
        <w:rPr>
          <w:rFonts w:ascii="Times New Roman" w:eastAsia="仿宋_GB2312" w:cs="Times New Roman" w:hAnsi="Times New Roman"/>
          <w:sz w:val="32"/>
          <w:szCs w:val="32"/>
        </w:rPr>
        <w:t>截至202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年12月31日，共有车辆</w:t>
      </w:r>
      <w:r>
        <w:rPr>
          <w:rFonts w:eastAsia="仿宋_GB2312" w:cs="Times New Roman" w:hint="eastAsia"/>
          <w:sz w:val="32"/>
          <w:szCs w:val="32"/>
          <w:lang w:val="en-US" w:eastAsia="zh-CN"/>
        </w:rPr>
        <w:t>1</w:t>
      </w:r>
      <w:r>
        <w:rPr>
          <w:rFonts w:ascii="Times New Roman" w:eastAsia="仿宋_GB2312" w:cs="Times New Roman" w:hAnsi="Times New Roman"/>
          <w:sz w:val="32"/>
          <w:szCs w:val="32"/>
        </w:rPr>
        <w:t>辆，其中：主要领导干部用车0辆、机要通信用车0辆、应急保障用车</w:t>
      </w:r>
      <w:r>
        <w:rPr>
          <w:rFonts w:eastAsia="仿宋_GB2312" w:cs="Times New Roman" w:hint="eastAsia"/>
          <w:sz w:val="32"/>
          <w:szCs w:val="32"/>
          <w:lang w:val="en-US" w:eastAsia="zh-CN"/>
        </w:rPr>
        <w:t>1</w:t>
      </w:r>
      <w:r>
        <w:rPr>
          <w:rFonts w:ascii="Times New Roman" w:eastAsia="仿宋_GB2312" w:cs="Times New Roman" w:hAnsi="Times New Roman"/>
          <w:sz w:val="32"/>
          <w:szCs w:val="32"/>
        </w:rPr>
        <w:t>辆、其他用车</w:t>
      </w:r>
      <w:r>
        <w:rPr>
          <w:rFonts w:eastAsia="仿宋_GB2312" w:cs="Times New Roman" w:hint="eastAsia"/>
          <w:sz w:val="32"/>
          <w:szCs w:val="32"/>
          <w:lang w:val="en-US" w:eastAsia="zh-CN"/>
        </w:rPr>
        <w:t>0</w:t>
      </w:r>
      <w:r>
        <w:rPr>
          <w:rFonts w:ascii="Times New Roman" w:eastAsia="仿宋_GB2312" w:cs="Times New Roman" w:hAnsi="Times New Roman"/>
          <w:sz w:val="32"/>
          <w:szCs w:val="32"/>
        </w:rPr>
        <w:t>辆。单价50万元以上通用设备</w:t>
      </w:r>
      <w:r>
        <w:rPr>
          <w:rFonts w:eastAsia="仿宋_GB2312" w:cs="Times New Roman" w:hint="eastAsia"/>
          <w:sz w:val="32"/>
          <w:szCs w:val="32"/>
          <w:lang w:val="en-US" w:eastAsia="zh-CN"/>
        </w:rPr>
        <w:t>0</w:t>
      </w:r>
      <w:r>
        <w:rPr>
          <w:rFonts w:ascii="Times New Roman" w:eastAsia="仿宋_GB2312" w:cs="Times New Roman" w:hAnsi="Times New Roman"/>
          <w:sz w:val="32"/>
          <w:szCs w:val="32"/>
        </w:rPr>
        <w:t>台（套），单价100万元以上专用设备0台（套）。</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r>
        <w:rPr>
          <w:rFonts w:ascii="Times New Roman" w:eastAsia="仿宋" w:cs="Times New Roman" w:hAnsi="Times New Roman"/>
          <w:b/>
          <w:sz w:val="32"/>
          <w:szCs w:val="32"/>
        </w:rPr>
        <w:t>（四）预算绩效管理情况</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根据预算绩效管理要求，本部门在202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年度预算编制阶段，组织对</w:t>
      </w:r>
      <w:r>
        <w:rPr>
          <w:rFonts w:ascii="仿宋_GB2312" w:eastAsia="仿宋_GB2312" w:cs="仿宋_GB2312" w:hint="eastAsia"/>
          <w:color w:val="000000"/>
          <w:sz w:val="31"/>
          <w:szCs w:val="31"/>
          <w:lang w:eastAsia="zh-CN"/>
        </w:rPr>
        <w:t>社会治安综合治理系统平台升级及</w:t>
      </w:r>
      <w:r>
        <w:rPr>
          <w:rFonts w:ascii="仿宋_GB2312" w:eastAsia="仿宋_GB2312" w:cs="仿宋_GB2312" w:hint="eastAsia"/>
          <w:color w:val="000000"/>
          <w:sz w:val="31"/>
          <w:szCs w:val="31"/>
          <w:lang w:val="en-US" w:eastAsia="zh-CN"/>
        </w:rPr>
        <w:t>15个乡镇综治中心设施设备采购及安装项目</w:t>
      </w:r>
      <w:r>
        <w:rPr>
          <w:rFonts w:ascii="Times New Roman" w:eastAsia="仿宋_GB2312" w:cs="Times New Roman" w:hAnsi="Times New Roman"/>
          <w:sz w:val="32"/>
          <w:szCs w:val="32"/>
        </w:rPr>
        <w:t>项目开展了预算事前绩效评估，对</w:t>
      </w:r>
      <w:r>
        <w:rPr>
          <w:rFonts w:eastAsia="仿宋_GB2312" w:cs="Times New Roman" w:hint="eastAsia"/>
          <w:sz w:val="32"/>
          <w:szCs w:val="32"/>
          <w:lang w:val="en-US" w:eastAsia="zh-CN"/>
        </w:rPr>
        <w:t>该</w:t>
      </w:r>
      <w:r>
        <w:rPr>
          <w:rFonts w:ascii="Times New Roman" w:eastAsia="仿宋_GB2312" w:cs="Times New Roman" w:hAnsi="Times New Roman"/>
          <w:sz w:val="32"/>
          <w:szCs w:val="32"/>
        </w:rPr>
        <w:t>项目编制了绩效目标，预算执行过程中，选取项目开展绩效监控，年终执行完毕后，对项目开展了绩效自评。同时，本部门对202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年部门整体开展绩效自评，《202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w:t>
      </w:r>
      <w:r>
        <w:rPr>
          <w:rFonts w:eastAsia="仿宋_GB2312" w:cs="Times New Roman" w:hint="eastAsia"/>
          <w:sz w:val="32"/>
          <w:szCs w:val="32"/>
          <w:lang w:val="en-US" w:eastAsia="zh-CN"/>
        </w:rPr>
        <w:t>金川县政法委</w:t>
      </w:r>
      <w:r>
        <w:rPr>
          <w:rFonts w:ascii="Times New Roman" w:eastAsia="仿宋_GB2312" w:cs="Times New Roman" w:hAnsi="Times New Roman"/>
          <w:sz w:val="32"/>
          <w:szCs w:val="32"/>
        </w:rPr>
        <w:t>整体绩效评价报告》见附件（第四部分）。</w:t>
      </w:r>
    </w:p>
    <w:p>
      <w:pPr>
        <w:pageBreakBefore w:val="0"/>
        <w:widowControl/>
        <w:kinsoku/>
        <w:wordWrap/>
        <w:overflowPunct/>
        <w:topLinePunct w:val="0"/>
        <w:bidi w:val="0"/>
        <w:spacing w:line="576" w:lineRule="exact"/>
        <w:jc w:val="left"/>
        <w:rPr>
          <w:rFonts w:ascii="Times New Roman" w:eastAsia="仿宋_GB2312" w:cs="Times New Roman" w:hAnsi="Times New Roman"/>
          <w:b/>
          <w:sz w:val="32"/>
          <w:szCs w:val="32"/>
        </w:rPr>
      </w:pPr>
      <w:r>
        <w:rPr>
          <w:rFonts w:ascii="Times New Roman" w:eastAsia="仿宋_GB2312" w:cs="Times New Roman" w:hAnsi="Times New Roman"/>
          <w:b/>
          <w:sz w:val="32"/>
          <w:szCs w:val="32"/>
        </w:rPr>
        <w:br w:type="page"/>
      </w:r>
    </w:p>
    <w:p>
      <w:pPr>
        <w:pageBreakBefore w:val="0"/>
        <w:widowControl w:val="0"/>
        <w:numPr>
          <w:ilvl w:val="0"/>
          <w:numId w:val="5"/>
        </w:numPr>
        <w:kinsoku/>
        <w:wordWrap/>
        <w:overflowPunct/>
        <w:topLinePunct w:val="0"/>
        <w:bidi w:val="0"/>
        <w:spacing w:line="576" w:lineRule="exact"/>
        <w:ind w:left="0" w:firstLineChars="150" w:firstLine="660"/>
        <w:jc w:val="center"/>
        <w:outlineLvl w:val="0"/>
        <w:rPr>
          <w:rStyle w:val="1Char"/>
          <w:rFonts w:ascii="Times New Roman" w:eastAsia="黑体" w:cs="Times New Roman" w:hAnsi="Times New Roman"/>
          <w:b w:val="0"/>
        </w:rPr>
      </w:pPr>
      <w:bookmarkStart w:id="72" w:name="_Toc15396613"/>
      <w:bookmarkStart w:id="73" w:name="_Toc26843622"/>
      <w:bookmarkStart w:id="74" w:name="_Toc15377225"/>
      <w:r>
        <w:rPr>
          <w:rFonts w:ascii="Times New Roman" w:eastAsia="黑体" w:cs="Times New Roman" w:hAnsi="Times New Roman"/>
          <w:sz w:val="44"/>
          <w:szCs w:val="44"/>
        </w:rPr>
        <w:t>名</w:t>
      </w:r>
      <w:r>
        <w:rPr>
          <w:rStyle w:val="1Char"/>
          <w:rFonts w:ascii="Times New Roman" w:eastAsia="黑体" w:cs="Times New Roman" w:hAnsi="Times New Roman"/>
          <w:b w:val="0"/>
        </w:rPr>
        <w:t>词解释</w:t>
      </w:r>
      <w:bookmarkEnd w:id="72"/>
      <w:bookmarkEnd w:id="73"/>
      <w:bookmarkEnd w:id="74"/>
    </w:p>
    <w:p>
      <w:pPr>
        <w:pageBreakBefore w:val="0"/>
        <w:widowControl w:val="0"/>
        <w:kinsoku/>
        <w:wordWrap/>
        <w:overflowPunct/>
        <w:topLinePunct w:val="0"/>
        <w:bidi w:val="0"/>
        <w:spacing w:line="576" w:lineRule="exact"/>
        <w:jc w:val="left"/>
        <w:rPr>
          <w:rFonts w:ascii="Times New Roman" w:cs="Times New Roman" w:hAnsi="Times New Roman"/>
          <w:b/>
          <w:sz w:val="44"/>
          <w:szCs w:val="44"/>
        </w:rPr>
      </w:pPr>
    </w:p>
    <w:p>
      <w:pPr>
        <w:pStyle w:val="30"/>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1.财政拨款收入：指单位从同级财政部门取得的财政预算资金。</w:t>
      </w:r>
    </w:p>
    <w:p>
      <w:pPr>
        <w:pStyle w:val="30"/>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2.事业收入：指事业单位开展专业业务活动及辅助活动取得的收入。</w:t>
      </w:r>
    </w:p>
    <w:p>
      <w:pPr>
        <w:pStyle w:val="30"/>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3.经营收入：指事业单位在专业业务活动及其辅助活动之外开展非独立核算经营活动取得的收入</w:t>
      </w:r>
    </w:p>
    <w:p>
      <w:pPr>
        <w:pStyle w:val="30"/>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4.其他收入：指单位取得的除上述收入以外的各项收入。主要是利息收入等。 </w:t>
      </w:r>
    </w:p>
    <w:p>
      <w:pPr>
        <w:pStyle w:val="30"/>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5.使用非财政拨款结余：指事业单位使用以前年度积累的非财政拨款结余弥补当年收支差额的金额。 </w:t>
      </w:r>
    </w:p>
    <w:p>
      <w:pPr>
        <w:pStyle w:val="30"/>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6.年初结转和结余：指以前年度尚未完成、结转到本年按有关规定继续使用的资金。 </w:t>
      </w:r>
    </w:p>
    <w:p>
      <w:pPr>
        <w:pStyle w:val="30"/>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7.结余分配：指事业单位按照会计制度规定缴纳的所得税、提取的专用结余以及转入非财政拨款结余的金额等。</w:t>
      </w:r>
    </w:p>
    <w:p>
      <w:pPr>
        <w:pStyle w:val="30"/>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8、年末结转和结余：指单位按有关规定结转到下年或以后年度继续使用的资金。</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9.</w:t>
      </w:r>
      <w:r>
        <w:rPr>
          <w:rFonts w:ascii="Times New Roman" w:eastAsia="仿宋_GB2312" w:cs="Times New Roman" w:hAnsi="Times New Roman"/>
          <w:bCs/>
          <w:kern w:val="0"/>
          <w:sz w:val="32"/>
          <w:szCs w:val="32"/>
        </w:rPr>
        <w:t>一般公共服务：行政运行</w:t>
      </w:r>
      <w:r>
        <w:rPr>
          <w:rFonts w:ascii="Times New Roman" w:eastAsia="仿宋_GB2312" w:cs="Times New Roman" w:hAnsi="Times New Roman"/>
          <w:bCs/>
          <w:kern w:val="0"/>
          <w:sz w:val="32"/>
          <w:szCs w:val="32"/>
          <w:lang w:eastAsia="zh-CN"/>
        </w:rPr>
        <w:t>，</w:t>
      </w:r>
      <w:r>
        <w:rPr>
          <w:rFonts w:ascii="Times New Roman" w:eastAsia="仿宋_GB2312" w:cs="Times New Roman" w:hAnsi="Times New Roman"/>
          <w:bCs/>
          <w:kern w:val="0"/>
          <w:sz w:val="32"/>
          <w:szCs w:val="32"/>
        </w:rPr>
        <w:t>反映党委办公厅（室）及相关机构的支出；一般行政管理事务</w:t>
      </w:r>
      <w:r>
        <w:rPr>
          <w:rFonts w:ascii="Times New Roman" w:eastAsia="仿宋_GB2312" w:cs="Times New Roman" w:hAnsi="Times New Roman"/>
          <w:bCs/>
          <w:kern w:val="0"/>
          <w:sz w:val="32"/>
          <w:szCs w:val="32"/>
          <w:lang w:eastAsia="zh-CN"/>
        </w:rPr>
        <w:t>，</w:t>
      </w:r>
      <w:r>
        <w:rPr>
          <w:rFonts w:ascii="Times New Roman" w:eastAsia="仿宋_GB2312" w:cs="Times New Roman" w:hAnsi="Times New Roman"/>
          <w:bCs/>
          <w:kern w:val="0"/>
          <w:sz w:val="32"/>
          <w:szCs w:val="32"/>
        </w:rPr>
        <w:t>反映行政单位（包括实行公务员管理的事业单位）未单独设置项级科目的其他项目支出。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10.</w:t>
      </w:r>
      <w:r>
        <w:rPr>
          <w:rFonts w:ascii="Times New Roman" w:eastAsia="仿宋_GB2312" w:cs="Times New Roman" w:hAnsi="Times New Roman"/>
          <w:bCs/>
          <w:kern w:val="0"/>
          <w:sz w:val="32"/>
          <w:szCs w:val="32"/>
        </w:rPr>
        <w:t>社会保障和就业：反映政府在社会保障与就业方面的支出</w:t>
      </w:r>
      <w:r>
        <w:rPr>
          <w:rFonts w:ascii="Times New Roman" w:eastAsia="仿宋_GB2312" w:cs="Times New Roman" w:hAnsi="Times New Roman"/>
          <w:bCs/>
          <w:kern w:val="0"/>
          <w:sz w:val="32"/>
          <w:szCs w:val="32"/>
          <w:lang w:eastAsia="zh-CN"/>
        </w:rPr>
        <w:t>。</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11.</w:t>
      </w:r>
      <w:r>
        <w:rPr>
          <w:rFonts w:ascii="Times New Roman" w:eastAsia="仿宋_GB2312" w:cs="Times New Roman" w:hAnsi="Times New Roman"/>
          <w:bCs/>
          <w:sz w:val="32"/>
          <w:szCs w:val="32"/>
        </w:rPr>
        <w:t>医疗卫生与计划生育：反映政府医疗卫生计划生育管理方面的支出</w:t>
      </w:r>
      <w:r>
        <w:rPr>
          <w:rFonts w:ascii="Times New Roman" w:eastAsia="仿宋_GB2312" w:cs="Times New Roman" w:hAnsi="Times New Roman"/>
          <w:bCs/>
          <w:sz w:val="32"/>
          <w:szCs w:val="32"/>
          <w:lang w:eastAsia="zh-CN"/>
        </w:rPr>
        <w:t>。</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12.住房保障支出：集中反映政府用于住房方面的支出。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13.基本支出：指为保障机构正常运转、完成日常工作任务而发生的人员支出和公用支出。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 xml:space="preserve">14.项目支出：指在基本支出之外为完成特定行政任务和事业发展目标所发生的支出。 </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15.经营支出：指事业单位在专业业务活动及其辅助活动之外开展非独立核算经营活动发生的支出。</w:t>
      </w:r>
    </w:p>
    <w:p>
      <w:pPr>
        <w:pStyle w:val="30"/>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widowControl w:val="0"/>
        <w:kinsoku/>
        <w:wordWrap/>
        <w:overflowPunct/>
        <w:topLinePunct w:val="0"/>
        <w:bidi w:val="0"/>
        <w:spacing w:line="576" w:lineRule="exact"/>
        <w:jc w:val="center"/>
        <w:outlineLvl w:val="0"/>
        <w:rPr>
          <w:rStyle w:val="1Char"/>
          <w:rFonts w:ascii="Times New Roman" w:eastAsia="黑体" w:cs="Times New Roman" w:hAnsi="Times New Roman"/>
          <w:b w:val="0"/>
        </w:rPr>
      </w:pPr>
      <w:bookmarkStart w:id="75" w:name="_Toc15377226"/>
      <w:r>
        <w:rPr>
          <w:rFonts w:ascii="Times New Roman" w:cs="Times New Roman" w:hAnsi="Times New Roman"/>
          <w:b/>
          <w:sz w:val="44"/>
          <w:szCs w:val="44"/>
        </w:rPr>
        <w:br w:type="page"/>
      </w:r>
      <w:bookmarkStart w:id="76" w:name="_Toc26843623"/>
      <w:bookmarkStart w:id="77" w:name="_Toc15396614"/>
      <w:r>
        <w:rPr>
          <w:rFonts w:ascii="Times New Roman" w:eastAsia="黑体" w:cs="Times New Roman" w:hAnsi="Times New Roman"/>
          <w:sz w:val="44"/>
          <w:szCs w:val="44"/>
        </w:rPr>
        <w:t>第</w:t>
      </w:r>
      <w:r>
        <w:rPr>
          <w:rStyle w:val="1Char"/>
          <w:rFonts w:ascii="Times New Roman" w:eastAsia="黑体" w:cs="Times New Roman" w:hAnsi="Times New Roman"/>
          <w:b w:val="0"/>
        </w:rPr>
        <w:t>四部分 附件</w:t>
      </w:r>
      <w:bookmarkEnd w:id="76"/>
      <w:bookmarkEnd w:id="77"/>
    </w:p>
    <w:p>
      <w:pPr>
        <w:pageBreakBefore w:val="0"/>
        <w:widowControl w:val="0"/>
        <w:kinsoku/>
        <w:wordWrap/>
        <w:overflowPunct/>
        <w:topLinePunct w:val="0"/>
        <w:bidi w:val="0"/>
        <w:spacing w:line="576" w:lineRule="exact"/>
        <w:jc w:val="left"/>
        <w:outlineLvl w:val="0"/>
        <w:rPr>
          <w:rFonts w:ascii="Times New Roman" w:eastAsia="方正小标宋简体" w:cs="Times New Roman" w:hAnsi="Times New Roman"/>
          <w:sz w:val="44"/>
          <w:szCs w:val="44"/>
        </w:rPr>
      </w:pPr>
      <w:bookmarkStart w:id="78" w:name="_Toc26843624"/>
      <w:r>
        <w:rPr>
          <w:rFonts w:ascii="Times New Roman" w:eastAsia="黑体" w:cs="Times New Roman" w:hAnsi="Times New Roman"/>
          <w:sz w:val="32"/>
          <w:szCs w:val="32"/>
        </w:rPr>
        <w:t>附件</w:t>
      </w:r>
      <w:bookmarkEnd w:id="78"/>
    </w:p>
    <w:p>
      <w:pPr>
        <w:widowControl/>
        <w:spacing w:line="560" w:lineRule="atLeast"/>
        <w:jc w:val="center"/>
        <w:rPr>
          <w:rFonts w:ascii="宋体" w:cs="宋体"/>
          <w:b/>
          <w:sz w:val="44"/>
          <w:szCs w:val="44"/>
        </w:rPr>
      </w:pPr>
      <w:r>
        <w:rPr>
          <w:rFonts w:ascii="宋体" w:cs="宋体" w:hint="eastAsia"/>
          <w:b/>
          <w:sz w:val="44"/>
          <w:szCs w:val="44"/>
        </w:rPr>
        <w:t>中共金川县</w:t>
      </w:r>
      <w:r>
        <w:rPr>
          <w:rFonts w:ascii="宋体" w:cs="宋体" w:hint="eastAsia"/>
          <w:b/>
          <w:sz w:val="44"/>
          <w:szCs w:val="44"/>
          <w:lang w:val="en-US" w:eastAsia="zh-CN"/>
        </w:rPr>
        <w:t>委政法委员</w:t>
      </w:r>
      <w:r>
        <w:rPr>
          <w:rFonts w:ascii="宋体" w:cs="宋体" w:hint="eastAsia"/>
          <w:b/>
          <w:sz w:val="44"/>
          <w:szCs w:val="44"/>
        </w:rPr>
        <w:t>会</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方正小标宋_GBK" w:eastAsia="方正小标宋_GBK" w:cs="方正小标宋_GBK" w:hint="eastAsia"/>
          <w:sz w:val="44"/>
          <w:szCs w:val="44"/>
          <w:lang w:val="en-US"/>
        </w:rPr>
      </w:pPr>
      <w:r>
        <w:rPr>
          <w:rFonts w:ascii="宋体" w:cs="宋体" w:hint="eastAsia"/>
          <w:b/>
          <w:sz w:val="44"/>
          <w:szCs w:val="44"/>
        </w:rPr>
        <w:t>20</w:t>
      </w:r>
      <w:r>
        <w:rPr>
          <w:rFonts w:ascii="宋体" w:cs="宋体" w:hint="eastAsia"/>
          <w:b/>
          <w:sz w:val="44"/>
          <w:szCs w:val="44"/>
          <w:lang w:val="en-US" w:eastAsia="zh-CN"/>
        </w:rPr>
        <w:t>22</w:t>
      </w:r>
      <w:r>
        <w:rPr>
          <w:rFonts w:ascii="宋体" w:cs="宋体" w:hint="eastAsia"/>
          <w:b/>
          <w:sz w:val="44"/>
          <w:szCs w:val="44"/>
        </w:rPr>
        <w:t>年部门整体支出绩效评价报告</w:t>
      </w:r>
    </w:p>
    <w:p>
      <w:pPr>
        <w:pStyle w:val="22"/>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黑体" w:eastAsia="黑体" w:cs="黑体" w:hint="eastAsia"/>
          <w:color w:val="000000"/>
          <w:sz w:val="31"/>
          <w:szCs w:val="31"/>
        </w:rPr>
      </w:pPr>
    </w:p>
    <w:p>
      <w:pPr>
        <w:pStyle w:val="22"/>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rPr>
        <w:t>一、部门（单位）概况</w:t>
      </w:r>
    </w:p>
    <w:p>
      <w:pPr>
        <w:pStyle w:val="22"/>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rPr>
      </w:pPr>
      <w:r>
        <w:rPr>
          <w:rFonts w:ascii="仿宋_GB2312" w:eastAsia="仿宋_GB2312" w:cs="仿宋_GB2312" w:hint="eastAsia"/>
          <w:color w:val="000000"/>
          <w:sz w:val="31"/>
          <w:szCs w:val="31"/>
        </w:rPr>
        <w:t>（一）机构组成。</w:t>
      </w:r>
    </w:p>
    <w:p>
      <w:pPr>
        <w:ind w:firstLineChars="200" w:firstLine="640"/>
        <w:rPr>
          <w:rFonts w:ascii="仿宋" w:eastAsia="仿宋" w:cs="仿宋"/>
          <w:sz w:val="32"/>
          <w:szCs w:val="32"/>
        </w:rPr>
      </w:pPr>
      <w:r>
        <w:rPr>
          <w:rFonts w:ascii="仿宋" w:eastAsia="仿宋" w:cs="仿宋" w:hint="eastAsia"/>
          <w:sz w:val="32"/>
          <w:szCs w:val="32"/>
          <w:lang w:val="en-US" w:eastAsia="zh-CN"/>
        </w:rPr>
        <w:t>1、</w:t>
      </w:r>
      <w:r>
        <w:rPr>
          <w:rFonts w:ascii="仿宋" w:eastAsia="仿宋" w:cs="仿宋" w:hint="eastAsia"/>
          <w:sz w:val="32"/>
          <w:szCs w:val="32"/>
        </w:rPr>
        <w:t>根据党的路线方针政策和中央、省委、州委和县委的部署，研究制定贯彻落实的具体措施，统一政法各部门的思想和行动。</w:t>
      </w:r>
    </w:p>
    <w:p>
      <w:pPr>
        <w:ind w:firstLineChars="200" w:firstLine="640"/>
        <w:rPr>
          <w:rFonts w:ascii="仿宋" w:eastAsia="仿宋" w:cs="仿宋"/>
          <w:sz w:val="32"/>
          <w:szCs w:val="32"/>
        </w:rPr>
      </w:pPr>
      <w:r>
        <w:rPr>
          <w:rFonts w:ascii="仿宋" w:eastAsia="仿宋" w:cs="仿宋" w:hint="eastAsia"/>
          <w:sz w:val="32"/>
          <w:szCs w:val="32"/>
          <w:lang w:val="en-US" w:eastAsia="zh-CN"/>
        </w:rPr>
        <w:t>2、</w:t>
      </w:r>
      <w:r>
        <w:rPr>
          <w:rFonts w:ascii="仿宋" w:eastAsia="仿宋" w:cs="仿宋" w:hint="eastAsia"/>
          <w:sz w:val="32"/>
          <w:szCs w:val="32"/>
        </w:rPr>
        <w:t>组织、指导维护社会稳定工作，掌握和分析社会稳定情况，协调处理突发性事件和群体性事件。</w:t>
      </w:r>
    </w:p>
    <w:p>
      <w:pPr>
        <w:ind w:firstLineChars="200" w:firstLine="640"/>
        <w:rPr>
          <w:rFonts w:ascii="仿宋" w:eastAsia="仿宋" w:cs="仿宋"/>
          <w:sz w:val="32"/>
          <w:szCs w:val="32"/>
        </w:rPr>
      </w:pPr>
      <w:r>
        <w:rPr>
          <w:rFonts w:ascii="仿宋" w:eastAsia="仿宋" w:cs="仿宋" w:hint="eastAsia"/>
          <w:sz w:val="32"/>
          <w:szCs w:val="32"/>
          <w:lang w:val="en-US" w:eastAsia="zh-CN"/>
        </w:rPr>
        <w:t>3、</w:t>
      </w:r>
      <w:r>
        <w:rPr>
          <w:rFonts w:ascii="仿宋" w:eastAsia="仿宋" w:cs="仿宋" w:hint="eastAsia"/>
          <w:sz w:val="32"/>
          <w:szCs w:val="32"/>
        </w:rPr>
        <w:t>检查政法部门公正廉洁执法的情况，结合实际，研究制定促进公正廉洁执法的具体办法。</w:t>
      </w:r>
    </w:p>
    <w:p>
      <w:pPr>
        <w:ind w:firstLineChars="200" w:firstLine="640"/>
        <w:rPr>
          <w:rFonts w:ascii="仿宋" w:eastAsia="仿宋" w:cs="仿宋"/>
          <w:sz w:val="32"/>
          <w:szCs w:val="32"/>
        </w:rPr>
      </w:pPr>
      <w:r>
        <w:rPr>
          <w:rFonts w:ascii="仿宋" w:eastAsia="仿宋" w:cs="仿宋" w:hint="eastAsia"/>
          <w:sz w:val="32"/>
          <w:szCs w:val="32"/>
          <w:lang w:val="en-US" w:eastAsia="zh-CN"/>
        </w:rPr>
        <w:t>4、</w:t>
      </w:r>
      <w:r>
        <w:rPr>
          <w:rFonts w:ascii="仿宋" w:eastAsia="仿宋" w:cs="仿宋" w:hint="eastAsia"/>
          <w:sz w:val="32"/>
          <w:szCs w:val="32"/>
        </w:rPr>
        <w:t>大力支持和严格监督政法各部门依法行使职权，指导和协调政法各部门在依法相互制约的同时密切配合，督促大案要案的查处工作。</w:t>
      </w:r>
    </w:p>
    <w:p>
      <w:pPr>
        <w:ind w:firstLineChars="200" w:firstLine="640"/>
        <w:rPr>
          <w:rFonts w:ascii="仿宋" w:eastAsia="仿宋" w:cs="仿宋"/>
          <w:sz w:val="32"/>
          <w:szCs w:val="32"/>
        </w:rPr>
      </w:pPr>
      <w:r>
        <w:rPr>
          <w:rFonts w:ascii="仿宋" w:eastAsia="仿宋" w:cs="仿宋" w:hint="eastAsia"/>
          <w:sz w:val="32"/>
          <w:szCs w:val="32"/>
          <w:lang w:val="en-US" w:eastAsia="zh-CN"/>
        </w:rPr>
        <w:t>5、</w:t>
      </w:r>
      <w:r>
        <w:rPr>
          <w:rFonts w:ascii="仿宋" w:eastAsia="仿宋" w:cs="仿宋" w:hint="eastAsia"/>
          <w:sz w:val="32"/>
          <w:szCs w:val="32"/>
        </w:rPr>
        <w:t>组织、协调社会治安综合治理工作，落实平安建设措施，推进社会管理创新，营造安定的社会环境。</w:t>
      </w:r>
    </w:p>
    <w:p>
      <w:pPr>
        <w:ind w:firstLineChars="200" w:firstLine="640"/>
        <w:rPr>
          <w:rFonts w:ascii="仿宋" w:eastAsia="仿宋" w:cs="仿宋"/>
          <w:sz w:val="32"/>
          <w:szCs w:val="32"/>
        </w:rPr>
      </w:pPr>
      <w:r>
        <w:rPr>
          <w:rFonts w:ascii="仿宋" w:eastAsia="仿宋" w:cs="仿宋" w:hint="eastAsia"/>
          <w:sz w:val="32"/>
          <w:szCs w:val="32"/>
          <w:lang w:val="en-US" w:eastAsia="zh-CN"/>
        </w:rPr>
        <w:t>6、</w:t>
      </w:r>
      <w:r>
        <w:rPr>
          <w:rFonts w:ascii="仿宋" w:eastAsia="仿宋" w:cs="仿宋" w:hint="eastAsia"/>
          <w:sz w:val="32"/>
          <w:szCs w:val="32"/>
        </w:rPr>
        <w:t>组织构建大调解工作体系，排查化解矛盾隐患，指导、协调、督促政法部门做好涉法涉诉信访工作。</w:t>
      </w:r>
    </w:p>
    <w:p>
      <w:pPr>
        <w:ind w:firstLineChars="200" w:firstLine="640"/>
        <w:rPr>
          <w:rFonts w:ascii="仿宋" w:eastAsia="仿宋" w:cs="仿宋"/>
          <w:sz w:val="32"/>
          <w:szCs w:val="32"/>
        </w:rPr>
      </w:pPr>
      <w:r>
        <w:rPr>
          <w:rFonts w:ascii="仿宋" w:eastAsia="仿宋" w:cs="仿宋" w:hint="eastAsia"/>
          <w:sz w:val="32"/>
          <w:szCs w:val="32"/>
          <w:lang w:val="en-US" w:eastAsia="zh-CN"/>
        </w:rPr>
        <w:t>7、</w:t>
      </w:r>
      <w:r>
        <w:rPr>
          <w:rFonts w:ascii="仿宋" w:eastAsia="仿宋" w:cs="仿宋" w:hint="eastAsia"/>
          <w:sz w:val="32"/>
          <w:szCs w:val="32"/>
        </w:rPr>
        <w:t>组织、协调处理“</w:t>
      </w:r>
      <w:r>
        <w:rPr>
          <w:rFonts w:ascii="仿宋" w:eastAsia="仿宋" w:cs="仿宋"/>
          <w:sz w:val="32"/>
          <w:szCs w:val="32"/>
        </w:rPr>
        <w:t>FLG</w:t>
      </w:r>
      <w:r>
        <w:rPr>
          <w:rFonts w:ascii="仿宋" w:eastAsia="仿宋" w:cs="仿宋" w:hint="eastAsia"/>
          <w:sz w:val="32"/>
          <w:szCs w:val="32"/>
        </w:rPr>
        <w:t>”、“</w:t>
      </w:r>
      <w:r>
        <w:rPr>
          <w:rFonts w:ascii="仿宋" w:eastAsia="仿宋" w:cs="仿宋"/>
          <w:sz w:val="32"/>
          <w:szCs w:val="32"/>
        </w:rPr>
        <w:t>MTH</w:t>
      </w:r>
      <w:r>
        <w:rPr>
          <w:rFonts w:ascii="仿宋" w:eastAsia="仿宋" w:cs="仿宋" w:hint="eastAsia"/>
          <w:sz w:val="32"/>
          <w:szCs w:val="32"/>
        </w:rPr>
        <w:t>”等邪教组织和对社会有危害的气功组织问题的工作，分析研究邪教组织活动情况，及时提出防范处理的意见，督促、协调有关决定和措施的落实,加强扫黑除恶工作。</w:t>
      </w:r>
    </w:p>
    <w:p>
      <w:pPr>
        <w:ind w:firstLineChars="200" w:firstLine="640"/>
        <w:rPr>
          <w:rFonts w:ascii="仿宋" w:eastAsia="仿宋" w:cs="仿宋"/>
          <w:sz w:val="32"/>
          <w:szCs w:val="32"/>
        </w:rPr>
      </w:pPr>
      <w:r>
        <w:rPr>
          <w:rFonts w:ascii="仿宋" w:eastAsia="仿宋" w:cs="仿宋" w:hint="eastAsia"/>
          <w:sz w:val="32"/>
          <w:szCs w:val="32"/>
          <w:lang w:val="en-US" w:eastAsia="zh-CN"/>
        </w:rPr>
        <w:t>8、</w:t>
      </w:r>
      <w:r>
        <w:rPr>
          <w:rFonts w:ascii="仿宋" w:eastAsia="仿宋" w:cs="仿宋" w:hint="eastAsia"/>
          <w:sz w:val="32"/>
          <w:szCs w:val="32"/>
        </w:rPr>
        <w:t>研究加强政法队伍建设和领导班子建设的措施，协助党委及其组织部门考察、管理政法部门的领导干部。</w:t>
      </w:r>
    </w:p>
    <w:p>
      <w:pPr>
        <w:ind w:firstLineChars="200" w:firstLine="640"/>
        <w:rPr>
          <w:rFonts w:ascii="仿宋" w:eastAsia="仿宋" w:cs="仿宋"/>
          <w:sz w:val="32"/>
          <w:szCs w:val="32"/>
        </w:rPr>
      </w:pPr>
      <w:r>
        <w:rPr>
          <w:rFonts w:ascii="仿宋" w:eastAsia="仿宋" w:cs="仿宋" w:hint="eastAsia"/>
          <w:sz w:val="32"/>
          <w:szCs w:val="32"/>
          <w:lang w:val="en-US" w:eastAsia="zh-CN"/>
        </w:rPr>
        <w:t>9、</w:t>
      </w:r>
      <w:r>
        <w:rPr>
          <w:rFonts w:ascii="仿宋" w:eastAsia="仿宋" w:cs="仿宋" w:hint="eastAsia"/>
          <w:sz w:val="32"/>
          <w:szCs w:val="32"/>
        </w:rPr>
        <w:t>组织、推动政法部门开展党风廉政建设，协助纪检部门查处违纪违法行为。</w:t>
      </w:r>
    </w:p>
    <w:p>
      <w:pPr>
        <w:ind w:firstLineChars="200" w:firstLine="640"/>
        <w:rPr>
          <w:rFonts w:ascii="仿宋" w:eastAsia="仿宋" w:cs="仿宋"/>
          <w:sz w:val="32"/>
          <w:szCs w:val="32"/>
        </w:rPr>
      </w:pPr>
      <w:r>
        <w:rPr>
          <w:rFonts w:ascii="仿宋" w:eastAsia="仿宋" w:cs="仿宋" w:hint="eastAsia"/>
          <w:sz w:val="32"/>
          <w:szCs w:val="32"/>
          <w:lang w:val="en-US" w:eastAsia="zh-CN"/>
        </w:rPr>
        <w:t>10、</w:t>
      </w:r>
      <w:r>
        <w:rPr>
          <w:rFonts w:ascii="仿宋" w:eastAsia="仿宋" w:cs="仿宋" w:hint="eastAsia"/>
          <w:sz w:val="32"/>
          <w:szCs w:val="32"/>
        </w:rPr>
        <w:t>研究分析涉及政法工作的舆论情况和影响社会稳定的舆情信息，指导、协调政法宣传、舆论引导和法律服务工作。对重点工作或政法工作中的困难问题进行调研。</w:t>
      </w:r>
    </w:p>
    <w:p>
      <w:pPr>
        <w:pStyle w:val="2"/>
        <w:spacing w:before="0" w:after="0" w:line="240" w:lineRule="auto"/>
        <w:ind w:firstLineChars="100" w:firstLine="320"/>
        <w:rPr>
          <w:rFonts w:ascii="仿宋_GB2312" w:eastAsia="仿宋_GB2312" w:cs="仿宋_GB2312" w:hint="eastAsia"/>
          <w:color w:val="000000"/>
          <w:sz w:val="31"/>
          <w:szCs w:val="31"/>
        </w:rPr>
      </w:pPr>
      <w:r>
        <w:rPr>
          <w:rFonts w:ascii="仿宋" w:eastAsia="仿宋" w:cs="仿宋" w:hint="eastAsia"/>
          <w:b w:val="0"/>
          <w:bCs w:val="0"/>
          <w:kern w:val="2"/>
          <w:sz w:val="32"/>
          <w:szCs w:val="32"/>
          <w:lang w:val="en-US" w:eastAsia="zh-CN" w:bidi="ar-SA"/>
        </w:rPr>
        <w:t>11、及时向县委反映政法工作的重大情况，办理县委和上级党委政法委交办的其他事项</w:t>
      </w:r>
      <w:r>
        <w:rPr>
          <w:rFonts w:ascii="仿宋" w:eastAsia="仿宋" w:cs="仿宋" w:hint="eastAsia"/>
          <w:sz w:val="32"/>
          <w:szCs w:val="32"/>
        </w:rPr>
        <w:t>。</w:t>
      </w:r>
    </w:p>
    <w:p>
      <w:pPr>
        <w:pStyle w:val="22"/>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rPr>
      </w:pPr>
      <w:r>
        <w:rPr>
          <w:rFonts w:ascii="仿宋_GB2312" w:eastAsia="仿宋_GB2312" w:cs="仿宋_GB2312" w:hint="eastAsia"/>
          <w:color w:val="000000"/>
          <w:sz w:val="31"/>
          <w:szCs w:val="31"/>
        </w:rPr>
        <w:t>（二）机构职能。</w:t>
      </w:r>
    </w:p>
    <w:p>
      <w:pPr>
        <w:ind w:firstLineChars="200" w:firstLine="640"/>
        <w:rPr>
          <w:rFonts w:ascii="仿宋" w:eastAsia="仿宋" w:cs="仿宋" w:hint="eastAsia"/>
          <w:color w:val="auto"/>
          <w:sz w:val="32"/>
          <w:szCs w:val="32"/>
        </w:rPr>
      </w:pPr>
      <w:r>
        <w:rPr>
          <w:rFonts w:ascii="仿宋" w:eastAsia="仿宋" w:cs="宋体" w:hint="eastAsia"/>
          <w:color w:val="000000"/>
          <w:sz w:val="32"/>
          <w:szCs w:val="32"/>
        </w:rPr>
        <w:t xml:space="preserve"> </w:t>
      </w:r>
      <w:r>
        <w:rPr>
          <w:rFonts w:ascii="仿宋" w:eastAsia="仿宋" w:cs="仿宋" w:hint="eastAsia"/>
          <w:color w:val="auto"/>
          <w:sz w:val="32"/>
          <w:szCs w:val="32"/>
        </w:rPr>
        <w:t>20</w:t>
      </w:r>
      <w:r>
        <w:rPr>
          <w:rFonts w:ascii="仿宋" w:eastAsia="仿宋" w:cs="仿宋" w:hint="eastAsia"/>
          <w:color w:val="auto"/>
          <w:sz w:val="32"/>
          <w:szCs w:val="32"/>
          <w:lang w:val="en-US" w:eastAsia="zh-CN"/>
        </w:rPr>
        <w:t>22</w:t>
      </w:r>
      <w:r>
        <w:rPr>
          <w:rFonts w:ascii="仿宋" w:eastAsia="仿宋" w:cs="仿宋" w:hint="eastAsia"/>
          <w:color w:val="auto"/>
          <w:sz w:val="32"/>
          <w:szCs w:val="32"/>
        </w:rPr>
        <w:t>年独立编制机构数都是1个，无增减变化</w:t>
      </w:r>
    </w:p>
    <w:p>
      <w:pPr>
        <w:pStyle w:val="22"/>
        <w:keepNext w:val="0"/>
        <w:keepLines w:val="0"/>
        <w:widowControl/>
        <w:numPr>
          <w:ilvl w:val="0"/>
          <w:numId w:val="6"/>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Chars="200" w:firstLine="620"/>
        <w:rPr>
          <w:rFonts w:ascii="仿宋_GB2312" w:eastAsia="仿宋_GB2312" w:cs="仿宋_GB2312" w:hint="eastAsia"/>
          <w:color w:val="000000"/>
          <w:sz w:val="31"/>
          <w:szCs w:val="31"/>
        </w:rPr>
      </w:pPr>
      <w:r>
        <w:rPr>
          <w:rFonts w:ascii="仿宋_GB2312" w:eastAsia="仿宋_GB2312" w:cs="仿宋_GB2312" w:hint="eastAsia"/>
          <w:color w:val="000000"/>
          <w:sz w:val="31"/>
          <w:szCs w:val="31"/>
        </w:rPr>
        <w:t>人员概况。</w:t>
      </w:r>
    </w:p>
    <w:p>
      <w:pPr>
        <w:ind w:firstLineChars="200" w:firstLine="640"/>
        <w:rPr>
          <w:rFonts w:ascii="仿宋" w:eastAsia="仿宋" w:cs="仿宋" w:hint="eastAsia"/>
          <w:color w:val="auto"/>
          <w:sz w:val="32"/>
          <w:szCs w:val="32"/>
        </w:rPr>
      </w:pPr>
      <w:r>
        <w:rPr>
          <w:rFonts w:ascii="仿宋" w:eastAsia="仿宋" w:cs="仿宋" w:hint="eastAsia"/>
          <w:color w:val="auto"/>
          <w:sz w:val="32"/>
          <w:szCs w:val="32"/>
          <w:lang w:val="en-US" w:eastAsia="zh-CN"/>
        </w:rPr>
        <w:t>中共金川县委政法委员会</w:t>
      </w:r>
      <w:r>
        <w:rPr>
          <w:rFonts w:ascii="仿宋" w:eastAsia="仿宋" w:cs="仿宋" w:hint="eastAsia"/>
          <w:color w:val="auto"/>
          <w:sz w:val="32"/>
          <w:szCs w:val="32"/>
        </w:rPr>
        <w:t>20</w:t>
      </w:r>
      <w:r>
        <w:rPr>
          <w:rFonts w:ascii="仿宋" w:eastAsia="仿宋" w:cs="仿宋" w:hint="eastAsia"/>
          <w:color w:val="auto"/>
          <w:sz w:val="32"/>
          <w:szCs w:val="32"/>
          <w:lang w:val="en-US" w:eastAsia="zh-CN"/>
        </w:rPr>
        <w:t>22</w:t>
      </w:r>
      <w:r>
        <w:rPr>
          <w:rFonts w:ascii="仿宋" w:eastAsia="仿宋" w:cs="仿宋" w:hint="eastAsia"/>
          <w:color w:val="auto"/>
          <w:sz w:val="32"/>
          <w:szCs w:val="32"/>
        </w:rPr>
        <w:t>年独立编制机构数都是1个，无增减变化。20</w:t>
      </w:r>
      <w:r>
        <w:rPr>
          <w:rFonts w:ascii="仿宋" w:eastAsia="仿宋" w:cs="仿宋" w:hint="eastAsia"/>
          <w:color w:val="auto"/>
          <w:sz w:val="32"/>
          <w:szCs w:val="32"/>
          <w:lang w:val="en-US" w:eastAsia="zh-CN"/>
        </w:rPr>
        <w:t>22</w:t>
      </w:r>
      <w:r>
        <w:rPr>
          <w:rFonts w:ascii="仿宋" w:eastAsia="仿宋" w:cs="仿宋" w:hint="eastAsia"/>
          <w:color w:val="auto"/>
          <w:sz w:val="32"/>
          <w:szCs w:val="32"/>
        </w:rPr>
        <w:t>年行政编制</w:t>
      </w:r>
      <w:r>
        <w:rPr>
          <w:rFonts w:ascii="仿宋" w:eastAsia="仿宋" w:cs="仿宋" w:hint="eastAsia"/>
          <w:color w:val="auto"/>
          <w:sz w:val="32"/>
          <w:szCs w:val="32"/>
          <w:lang w:val="en-US" w:eastAsia="zh-CN"/>
        </w:rPr>
        <w:t>8</w:t>
      </w:r>
      <w:r>
        <w:rPr>
          <w:rFonts w:ascii="仿宋" w:eastAsia="仿宋" w:cs="仿宋" w:hint="eastAsia"/>
          <w:color w:val="auto"/>
          <w:sz w:val="32"/>
          <w:szCs w:val="32"/>
        </w:rPr>
        <w:t>人（包括1名机关工勤），事业编制</w:t>
      </w:r>
      <w:r>
        <w:rPr>
          <w:rFonts w:ascii="仿宋" w:eastAsia="仿宋" w:cs="仿宋" w:hint="eastAsia"/>
          <w:color w:val="auto"/>
          <w:sz w:val="32"/>
          <w:szCs w:val="32"/>
          <w:lang w:val="en-US" w:eastAsia="zh-CN"/>
        </w:rPr>
        <w:t>7</w:t>
      </w:r>
      <w:r>
        <w:rPr>
          <w:rFonts w:ascii="仿宋" w:eastAsia="仿宋" w:cs="仿宋" w:hint="eastAsia"/>
          <w:color w:val="auto"/>
          <w:sz w:val="32"/>
          <w:szCs w:val="32"/>
        </w:rPr>
        <w:t>名。</w:t>
      </w:r>
    </w:p>
    <w:p>
      <w:pPr>
        <w:widowControl/>
        <w:adjustRightInd w:val="0"/>
        <w:snapToGrid w:val="0"/>
        <w:spacing w:line="540" w:lineRule="exact"/>
        <w:ind w:firstLineChars="150" w:firstLine="480"/>
        <w:jc w:val="left"/>
        <w:rPr>
          <w:rFonts w:ascii="仿宋" w:eastAsia="仿宋" w:cs="仿宋" w:hint="eastAsia"/>
          <w:color w:val="auto"/>
          <w:sz w:val="32"/>
          <w:szCs w:val="32"/>
        </w:rPr>
      </w:pPr>
      <w:r>
        <w:rPr>
          <w:rFonts w:ascii="仿宋" w:eastAsia="仿宋" w:cs="仿宋" w:hint="eastAsia"/>
          <w:color w:val="auto"/>
          <w:sz w:val="32"/>
          <w:szCs w:val="32"/>
          <w:lang w:val="en-US" w:eastAsia="zh-CN"/>
        </w:rPr>
        <w:t>2022</w:t>
      </w:r>
      <w:r>
        <w:rPr>
          <w:rFonts w:ascii="仿宋" w:eastAsia="仿宋" w:cs="仿宋" w:hint="eastAsia"/>
          <w:color w:val="auto"/>
          <w:sz w:val="32"/>
          <w:szCs w:val="32"/>
        </w:rPr>
        <w:t>年</w:t>
      </w:r>
      <w:r>
        <w:rPr>
          <w:rFonts w:ascii="仿宋" w:eastAsia="仿宋" w:cs="仿宋" w:hint="eastAsia"/>
          <w:color w:val="auto"/>
          <w:sz w:val="32"/>
          <w:szCs w:val="32"/>
          <w:lang w:eastAsia="zh-CN"/>
        </w:rPr>
        <w:t>实有人员</w:t>
      </w:r>
      <w:r>
        <w:rPr>
          <w:rFonts w:ascii="仿宋" w:eastAsia="仿宋" w:cs="仿宋" w:hint="eastAsia"/>
          <w:color w:val="auto"/>
          <w:sz w:val="32"/>
          <w:szCs w:val="32"/>
        </w:rPr>
        <w:t>行政编制</w:t>
      </w:r>
      <w:r>
        <w:rPr>
          <w:rFonts w:ascii="仿宋" w:eastAsia="仿宋" w:cs="仿宋" w:hint="eastAsia"/>
          <w:color w:val="auto"/>
          <w:sz w:val="32"/>
          <w:szCs w:val="32"/>
          <w:lang w:val="en-US" w:eastAsia="zh-CN"/>
        </w:rPr>
        <w:t>10</w:t>
      </w:r>
      <w:r>
        <w:rPr>
          <w:rFonts w:ascii="仿宋" w:eastAsia="仿宋" w:cs="仿宋" w:hint="eastAsia"/>
          <w:color w:val="auto"/>
          <w:sz w:val="32"/>
          <w:szCs w:val="32"/>
        </w:rPr>
        <w:t>名，事业编制</w:t>
      </w:r>
      <w:r>
        <w:rPr>
          <w:rFonts w:ascii="仿宋" w:eastAsia="仿宋" w:cs="仿宋" w:hint="eastAsia"/>
          <w:color w:val="auto"/>
          <w:sz w:val="32"/>
          <w:szCs w:val="32"/>
          <w:lang w:val="en-US" w:eastAsia="zh-CN"/>
        </w:rPr>
        <w:t>7</w:t>
      </w:r>
      <w:r>
        <w:rPr>
          <w:rFonts w:ascii="仿宋" w:eastAsia="仿宋" w:cs="仿宋" w:hint="eastAsia"/>
          <w:color w:val="auto"/>
          <w:sz w:val="32"/>
          <w:szCs w:val="32"/>
        </w:rPr>
        <w:t>名（包括1名工勤）</w:t>
      </w:r>
      <w:r>
        <w:rPr>
          <w:rFonts w:ascii="仿宋" w:eastAsia="仿宋" w:cs="仿宋" w:hint="eastAsia"/>
          <w:color w:val="auto"/>
          <w:sz w:val="32"/>
          <w:szCs w:val="32"/>
          <w:lang w:eastAsia="zh-CN"/>
        </w:rPr>
        <w:t>，</w:t>
      </w:r>
      <w:r>
        <w:rPr>
          <w:rFonts w:ascii="仿宋" w:eastAsia="仿宋" w:cs="仿宋" w:hint="eastAsia"/>
          <w:color w:val="auto"/>
          <w:sz w:val="32"/>
          <w:szCs w:val="32"/>
        </w:rPr>
        <w:t>事业编制增加</w:t>
      </w:r>
      <w:r>
        <w:rPr>
          <w:rFonts w:ascii="仿宋" w:eastAsia="仿宋" w:cs="仿宋" w:hint="eastAsia"/>
          <w:color w:val="auto"/>
          <w:sz w:val="32"/>
          <w:szCs w:val="32"/>
          <w:lang w:val="en-US" w:eastAsia="zh-CN"/>
        </w:rPr>
        <w:t>1</w:t>
      </w:r>
      <w:r>
        <w:rPr>
          <w:rFonts w:ascii="仿宋" w:eastAsia="仿宋" w:cs="仿宋" w:hint="eastAsia"/>
          <w:color w:val="auto"/>
          <w:sz w:val="32"/>
          <w:szCs w:val="32"/>
        </w:rPr>
        <w:t>名。</w:t>
      </w:r>
    </w:p>
    <w:p>
      <w:pPr>
        <w:pStyle w:val="22"/>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仿宋_GB2312" w:eastAsia="仿宋_GB2312" w:cs="仿宋_GB2312" w:hint="eastAsia"/>
          <w:color w:val="000000"/>
          <w:sz w:val="31"/>
          <w:szCs w:val="31"/>
        </w:rPr>
      </w:pPr>
    </w:p>
    <w:p>
      <w:pPr>
        <w:pStyle w:val="22"/>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rPr>
        <w:t>二、部门财政资金收支情况</w:t>
      </w:r>
    </w:p>
    <w:p>
      <w:pPr>
        <w:pStyle w:val="22"/>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rPr>
      </w:pPr>
      <w:r>
        <w:rPr>
          <w:rFonts w:ascii="仿宋_GB2312" w:eastAsia="仿宋_GB2312" w:cs="仿宋_GB2312" w:hint="eastAsia"/>
          <w:color w:val="000000"/>
          <w:sz w:val="31"/>
          <w:szCs w:val="31"/>
        </w:rPr>
        <w:t>（一）部门财政资金收入情况。</w:t>
      </w:r>
    </w:p>
    <w:p>
      <w:pPr>
        <w:widowControl/>
        <w:ind w:firstLineChars="200" w:firstLine="632"/>
        <w:jc w:val="left"/>
        <w:rPr>
          <w:rFonts w:ascii="仿宋" w:eastAsia="仿宋_GB2312" w:hAnsi="仿宋"/>
          <w:color w:val="000000"/>
          <w:kern w:val="0"/>
          <w:sz w:val="32"/>
          <w:szCs w:val="32"/>
        </w:rPr>
      </w:pPr>
      <w:r>
        <w:rPr>
          <w:rFonts w:ascii="仿宋_GB2312" w:eastAsia="仿宋_GB2312" w:hint="eastAsia"/>
          <w:color w:val="000000"/>
          <w:spacing w:val="-2"/>
          <w:sz w:val="32"/>
          <w:szCs w:val="32"/>
        </w:rPr>
        <w:t>202</w:t>
      </w:r>
      <w:r>
        <w:rPr>
          <w:rFonts w:ascii="仿宋_GB2312" w:eastAsia="仿宋_GB2312" w:hint="eastAsia"/>
          <w:color w:val="000000"/>
          <w:spacing w:val="-2"/>
          <w:sz w:val="32"/>
          <w:szCs w:val="32"/>
          <w:lang w:val="en-US" w:eastAsia="zh-CN"/>
        </w:rPr>
        <w:t>2</w:t>
      </w:r>
      <w:r>
        <w:rPr>
          <w:rFonts w:ascii="仿宋_GB2312" w:eastAsia="仿宋_GB2312" w:hint="eastAsia"/>
          <w:color w:val="000000"/>
          <w:spacing w:val="-2"/>
          <w:sz w:val="32"/>
          <w:szCs w:val="32"/>
        </w:rPr>
        <w:t>年度总收入</w:t>
      </w:r>
      <w:r>
        <w:rPr>
          <w:rFonts w:ascii="仿宋_GB2312" w:eastAsia="仿宋_GB2312" w:hint="eastAsia"/>
          <w:color w:val="000000"/>
          <w:spacing w:val="-2"/>
          <w:sz w:val="32"/>
          <w:szCs w:val="32"/>
          <w:lang w:val="en-US" w:eastAsia="zh-CN"/>
        </w:rPr>
        <w:t>1064.39</w:t>
      </w:r>
      <w:r>
        <w:rPr>
          <w:rFonts w:ascii="仿宋_GB2312" w:eastAsia="仿宋_GB2312" w:hint="eastAsia"/>
          <w:color w:val="000000"/>
          <w:spacing w:val="-2"/>
          <w:sz w:val="32"/>
          <w:szCs w:val="32"/>
        </w:rPr>
        <w:t>万元，较上年收入增加218.86万元，增加21.15%。增加的主要原因是202</w:t>
      </w:r>
      <w:r>
        <w:rPr>
          <w:rFonts w:ascii="仿宋_GB2312" w:eastAsia="仿宋_GB2312" w:hint="eastAsia"/>
          <w:color w:val="000000"/>
          <w:spacing w:val="-2"/>
          <w:sz w:val="32"/>
          <w:szCs w:val="32"/>
          <w:lang w:val="en-US" w:eastAsia="zh-CN"/>
        </w:rPr>
        <w:t>1</w:t>
      </w:r>
      <w:r>
        <w:rPr>
          <w:rFonts w:ascii="仿宋_GB2312" w:eastAsia="仿宋_GB2312" w:hint="eastAsia"/>
          <w:color w:val="000000"/>
          <w:spacing w:val="-2"/>
          <w:sz w:val="32"/>
          <w:szCs w:val="32"/>
        </w:rPr>
        <w:t>年</w:t>
      </w:r>
      <w:r>
        <w:rPr>
          <w:rFonts w:ascii="仿宋_GB2312" w:eastAsia="仿宋_GB2312" w:hint="eastAsia"/>
          <w:sz w:val="32"/>
          <w:szCs w:val="32"/>
        </w:rPr>
        <w:t>目标奖列入收入。</w:t>
      </w:r>
    </w:p>
    <w:p>
      <w:pPr>
        <w:pStyle w:val="22"/>
        <w:keepNext w:val="0"/>
        <w:keepLines w:val="0"/>
        <w:widowControl/>
        <w:numPr>
          <w:ilvl w:val="0"/>
          <w:numId w:val="7"/>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rPr>
      </w:pPr>
      <w:r>
        <w:rPr>
          <w:rFonts w:ascii="仿宋_GB2312" w:eastAsia="仿宋_GB2312" w:cs="仿宋_GB2312" w:hint="eastAsia"/>
          <w:color w:val="000000"/>
          <w:sz w:val="31"/>
          <w:szCs w:val="31"/>
        </w:rPr>
        <w:t>部门财政资金支出情况。</w:t>
      </w:r>
    </w:p>
    <w:p>
      <w:pPr>
        <w:snapToGrid w:val="0"/>
        <w:spacing w:line="520" w:lineRule="exact"/>
        <w:ind w:firstLineChars="200" w:firstLine="640"/>
      </w:pPr>
      <w:r>
        <w:rPr>
          <w:rFonts w:ascii="仿宋_GB2312" w:eastAsia="仿宋_GB2312" w:hint="eastAsia"/>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年金川县</w:t>
      </w:r>
      <w:r>
        <w:rPr>
          <w:rFonts w:ascii="仿宋_GB2312" w:eastAsia="仿宋_GB2312" w:hint="eastAsia"/>
          <w:color w:val="000000"/>
          <w:sz w:val="32"/>
          <w:szCs w:val="32"/>
          <w:lang w:eastAsia="zh-CN"/>
        </w:rPr>
        <w:t>政法委</w:t>
      </w:r>
      <w:r>
        <w:rPr>
          <w:rFonts w:ascii="仿宋_GB2312" w:eastAsia="仿宋_GB2312" w:hint="eastAsia"/>
          <w:color w:val="000000"/>
          <w:sz w:val="32"/>
          <w:szCs w:val="32"/>
        </w:rPr>
        <w:t>本年支出合计</w:t>
      </w:r>
      <w:r>
        <w:rPr>
          <w:rFonts w:ascii="仿宋_GB2312" w:eastAsia="仿宋_GB2312" w:hint="eastAsia"/>
          <w:color w:val="000000"/>
          <w:sz w:val="32"/>
          <w:szCs w:val="32"/>
          <w:lang w:val="en-US" w:eastAsia="zh-CN"/>
        </w:rPr>
        <w:t>1064.39</w:t>
      </w:r>
      <w:r>
        <w:rPr>
          <w:rFonts w:ascii="仿宋_GB2312" w:eastAsia="仿宋_GB2312" w:hint="eastAsia"/>
          <w:color w:val="000000"/>
          <w:sz w:val="32"/>
          <w:szCs w:val="32"/>
        </w:rPr>
        <w:t>万元，其中：基本支出</w:t>
      </w:r>
      <w:r>
        <w:rPr>
          <w:rFonts w:ascii="仿宋_GB2312" w:eastAsia="仿宋_GB2312" w:hint="eastAsia"/>
          <w:color w:val="000000"/>
          <w:sz w:val="32"/>
          <w:szCs w:val="32"/>
          <w:lang w:val="en-US" w:eastAsia="zh-CN"/>
        </w:rPr>
        <w:t>432.66</w:t>
      </w:r>
      <w:r>
        <w:rPr>
          <w:rFonts w:ascii="仿宋_GB2312" w:eastAsia="仿宋_GB2312" w:hint="eastAsia"/>
          <w:color w:val="000000"/>
          <w:sz w:val="32"/>
          <w:szCs w:val="32"/>
        </w:rPr>
        <w:t>万元，占</w:t>
      </w:r>
      <w:r>
        <w:rPr>
          <w:rFonts w:ascii="仿宋_GB2312" w:eastAsia="仿宋_GB2312" w:hint="eastAsia"/>
          <w:color w:val="000000"/>
          <w:sz w:val="32"/>
          <w:szCs w:val="32"/>
          <w:lang w:val="en-US" w:eastAsia="zh-CN"/>
        </w:rPr>
        <w:t>40.65</w:t>
      </w:r>
      <w:r>
        <w:rPr>
          <w:rFonts w:ascii="仿宋_GB2312" w:eastAsia="仿宋_GB2312" w:hint="eastAsia"/>
          <w:color w:val="000000"/>
          <w:sz w:val="32"/>
          <w:szCs w:val="32"/>
        </w:rPr>
        <w:t>%；项目支出</w:t>
      </w:r>
      <w:r>
        <w:rPr>
          <w:rFonts w:ascii="仿宋_GB2312" w:eastAsia="仿宋_GB2312" w:hint="eastAsia"/>
          <w:color w:val="000000"/>
          <w:sz w:val="32"/>
          <w:szCs w:val="32"/>
          <w:lang w:val="en-US" w:eastAsia="zh-CN"/>
        </w:rPr>
        <w:t>631.73</w:t>
      </w:r>
      <w:r>
        <w:rPr>
          <w:rFonts w:ascii="仿宋_GB2312" w:eastAsia="仿宋_GB2312" w:hint="eastAsia"/>
          <w:color w:val="000000"/>
          <w:sz w:val="32"/>
          <w:szCs w:val="32"/>
        </w:rPr>
        <w:t>万元，占</w:t>
      </w:r>
      <w:r>
        <w:rPr>
          <w:rFonts w:ascii="仿宋_GB2312" w:eastAsia="仿宋_GB2312" w:hint="eastAsia"/>
          <w:color w:val="000000"/>
          <w:sz w:val="32"/>
          <w:szCs w:val="32"/>
          <w:lang w:val="en-US" w:eastAsia="zh-CN"/>
        </w:rPr>
        <w:t>59.35</w:t>
      </w:r>
      <w:r>
        <w:rPr>
          <w:rFonts w:ascii="仿宋_GB2312" w:eastAsia="仿宋_GB2312" w:hint="eastAsia"/>
          <w:color w:val="000000"/>
          <w:sz w:val="32"/>
          <w:szCs w:val="32"/>
        </w:rPr>
        <w:t xml:space="preserve">%。上缴上级支出0万元，占0%；经营支出0万元，占0%；对附属单位补助支出0万元，占0%。 </w:t>
      </w:r>
      <w:r>
        <w:rPr>
          <w:rFonts w:ascii="仿宋" w:eastAsia="仿宋"/>
          <w:color w:val="000000"/>
          <w:sz w:val="32"/>
          <w:szCs w:val="32"/>
        </w:rPr>
        <w:t>20</w:t>
      </w:r>
      <w:r>
        <w:rPr>
          <w:rFonts w:ascii="仿宋" w:eastAsia="仿宋" w:hint="eastAsia"/>
          <w:color w:val="000000"/>
          <w:sz w:val="32"/>
          <w:szCs w:val="32"/>
        </w:rPr>
        <w:t>2</w:t>
      </w:r>
      <w:r>
        <w:rPr>
          <w:rFonts w:ascii="仿宋" w:eastAsia="仿宋" w:hint="eastAsia"/>
          <w:color w:val="000000"/>
          <w:sz w:val="32"/>
          <w:szCs w:val="32"/>
          <w:lang w:val="en-US" w:eastAsia="zh-CN"/>
        </w:rPr>
        <w:t>2</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1064.39</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lang w:val="en-US" w:eastAsia="zh-CN"/>
        </w:rPr>
        <w:t>公共安全支出</w:t>
      </w:r>
      <w:r>
        <w:rPr>
          <w:rFonts w:ascii="仿宋" w:eastAsia="仿宋" w:hint="eastAsia"/>
          <w:b/>
          <w:color w:val="000000"/>
          <w:sz w:val="32"/>
          <w:szCs w:val="32"/>
        </w:rPr>
        <w:t>（类）</w:t>
      </w:r>
      <w:r>
        <w:rPr>
          <w:rFonts w:ascii="仿宋" w:eastAsia="仿宋" w:hint="eastAsia"/>
          <w:color w:val="000000"/>
          <w:sz w:val="32"/>
          <w:szCs w:val="32"/>
        </w:rPr>
        <w:t>支出</w:t>
      </w:r>
      <w:r>
        <w:rPr>
          <w:rFonts w:ascii="仿宋_GB2312" w:eastAsia="仿宋_GB2312" w:hint="eastAsia"/>
          <w:color w:val="000000"/>
          <w:sz w:val="32"/>
          <w:szCs w:val="32"/>
          <w:lang w:val="en-US" w:eastAsia="zh-CN"/>
        </w:rPr>
        <w:t>642.18</w:t>
      </w:r>
      <w:r>
        <w:rPr>
          <w:rFonts w:ascii="仿宋_GB2312" w:eastAsia="仿宋_GB2312" w:hint="eastAsia"/>
          <w:color w:val="000000"/>
          <w:sz w:val="32"/>
          <w:szCs w:val="32"/>
        </w:rPr>
        <w:t>万元，占</w:t>
      </w:r>
      <w:r>
        <w:rPr>
          <w:rFonts w:ascii="仿宋_GB2312" w:eastAsia="仿宋_GB2312" w:hint="eastAsia"/>
          <w:color w:val="000000"/>
          <w:sz w:val="32"/>
          <w:szCs w:val="32"/>
          <w:lang w:val="en-US" w:eastAsia="zh-CN"/>
        </w:rPr>
        <w:t>60.33</w:t>
      </w:r>
      <w:r>
        <w:rPr>
          <w:rFonts w:ascii="仿宋_GB2312" w:eastAsia="仿宋_GB2312" w:hint="eastAsia"/>
          <w:color w:val="000000"/>
          <w:sz w:val="32"/>
          <w:szCs w:val="32"/>
        </w:rPr>
        <w:t>%</w:t>
      </w:r>
      <w:r>
        <w:rPr>
          <w:rFonts w:ascii="仿宋" w:eastAsia="仿宋" w:hint="eastAsia"/>
          <w:color w:val="000000"/>
          <w:sz w:val="32"/>
          <w:szCs w:val="32"/>
        </w:rPr>
        <w:t>；</w:t>
      </w:r>
      <w:r>
        <w:rPr>
          <w:rFonts w:ascii="仿宋" w:eastAsia="仿宋" w:hint="eastAsia"/>
          <w:b/>
          <w:color w:val="000000"/>
          <w:sz w:val="32"/>
          <w:szCs w:val="32"/>
        </w:rPr>
        <w:t>教育支出（类）</w:t>
      </w:r>
      <w:r>
        <w:rPr>
          <w:rFonts w:ascii="仿宋_GB2312" w:eastAsia="仿宋_GB2312" w:hint="eastAsia"/>
          <w:color w:val="000000"/>
          <w:sz w:val="32"/>
          <w:szCs w:val="32"/>
        </w:rPr>
        <w:t>支出</w:t>
      </w:r>
      <w:r>
        <w:rPr>
          <w:rFonts w:ascii="仿宋_GB2312" w:eastAsia="仿宋_GB2312" w:hint="eastAsia"/>
          <w:color w:val="000000"/>
          <w:sz w:val="32"/>
          <w:szCs w:val="32"/>
          <w:lang w:val="en-US" w:eastAsia="zh-CN"/>
        </w:rPr>
        <w:t>17.05</w:t>
      </w:r>
      <w:r>
        <w:rPr>
          <w:rFonts w:ascii="仿宋_GB2312" w:eastAsia="仿宋_GB2312" w:hint="eastAsia"/>
          <w:color w:val="000000"/>
          <w:sz w:val="32"/>
          <w:szCs w:val="32"/>
        </w:rPr>
        <w:t>万元，占</w:t>
      </w:r>
      <w:r>
        <w:rPr>
          <w:rFonts w:ascii="仿宋_GB2312" w:eastAsia="仿宋_GB2312" w:hint="eastAsia"/>
          <w:color w:val="000000"/>
          <w:sz w:val="32"/>
          <w:szCs w:val="32"/>
          <w:lang w:val="en-US" w:eastAsia="zh-CN"/>
        </w:rPr>
        <w:t>1.6</w:t>
      </w:r>
      <w:r>
        <w:rPr>
          <w:rFonts w:ascii="仿宋_GB2312" w:eastAsia="仿宋_GB2312" w:hint="eastAsia"/>
          <w:color w:val="000000"/>
          <w:sz w:val="32"/>
          <w:szCs w:val="32"/>
        </w:rPr>
        <w:t>%</w:t>
      </w:r>
      <w:r>
        <w:rPr>
          <w:rFonts w:ascii="仿宋" w:eastAsia="仿宋" w:hint="eastAsia"/>
          <w:b/>
          <w:color w:val="000000"/>
          <w:sz w:val="32"/>
          <w:szCs w:val="32"/>
        </w:rPr>
        <w:t>社会保障和就业（类）</w:t>
      </w:r>
      <w:r>
        <w:rPr>
          <w:rFonts w:ascii="仿宋" w:eastAsia="仿宋" w:hint="eastAsia"/>
          <w:color w:val="000000"/>
          <w:sz w:val="32"/>
          <w:szCs w:val="32"/>
        </w:rPr>
        <w:t>支出</w:t>
      </w:r>
      <w:r>
        <w:rPr>
          <w:rFonts w:ascii="仿宋_GB2312" w:eastAsia="仿宋_GB2312" w:hint="eastAsia"/>
          <w:color w:val="000000"/>
          <w:sz w:val="32"/>
          <w:szCs w:val="32"/>
          <w:lang w:val="en-US" w:eastAsia="zh-CN"/>
        </w:rPr>
        <w:t>46.58</w:t>
      </w:r>
      <w:r>
        <w:rPr>
          <w:rFonts w:ascii="仿宋_GB2312" w:eastAsia="仿宋_GB2312" w:hint="eastAsia"/>
          <w:color w:val="000000"/>
          <w:sz w:val="32"/>
          <w:szCs w:val="32"/>
        </w:rPr>
        <w:t>万元，占</w:t>
      </w:r>
      <w:r>
        <w:rPr>
          <w:rFonts w:ascii="仿宋_GB2312" w:eastAsia="仿宋_GB2312" w:hint="eastAsia"/>
          <w:color w:val="000000"/>
          <w:sz w:val="32"/>
          <w:szCs w:val="32"/>
          <w:lang w:val="en-US" w:eastAsia="zh-CN"/>
        </w:rPr>
        <w:t>4.38</w:t>
      </w:r>
      <w:r>
        <w:rPr>
          <w:rFonts w:ascii="仿宋_GB2312" w:eastAsia="仿宋_GB2312" w:hint="eastAsia"/>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卫生健康支出</w:t>
      </w:r>
      <w:r>
        <w:rPr>
          <w:rFonts w:ascii="仿宋_GB2312" w:eastAsia="仿宋_GB2312" w:hint="eastAsia"/>
          <w:color w:val="000000"/>
          <w:sz w:val="32"/>
          <w:szCs w:val="32"/>
          <w:lang w:val="en-US" w:eastAsia="zh-CN"/>
        </w:rPr>
        <w:t>19.68</w:t>
      </w:r>
      <w:r>
        <w:rPr>
          <w:rFonts w:ascii="仿宋_GB2312" w:eastAsia="仿宋_GB2312" w:hint="eastAsia"/>
          <w:color w:val="000000"/>
          <w:sz w:val="32"/>
          <w:szCs w:val="32"/>
        </w:rPr>
        <w:t>万元，占</w:t>
      </w:r>
      <w:r>
        <w:rPr>
          <w:rFonts w:ascii="仿宋_GB2312" w:eastAsia="仿宋_GB2312" w:hint="eastAsia"/>
          <w:color w:val="000000"/>
          <w:sz w:val="32"/>
          <w:szCs w:val="32"/>
          <w:lang w:val="en-US" w:eastAsia="zh-CN"/>
        </w:rPr>
        <w:t>1.85</w:t>
      </w:r>
      <w:r>
        <w:rPr>
          <w:rFonts w:ascii="仿宋_GB2312" w:eastAsia="仿宋_GB2312" w:hint="eastAsia"/>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住房保障支出</w:t>
      </w:r>
      <w:r>
        <w:rPr>
          <w:rFonts w:ascii="仿宋_GB2312" w:eastAsia="仿宋_GB2312" w:hint="eastAsia"/>
          <w:color w:val="000000"/>
          <w:sz w:val="32"/>
          <w:szCs w:val="32"/>
          <w:lang w:val="en-US" w:eastAsia="zh-CN"/>
        </w:rPr>
        <w:t>28.9</w:t>
      </w:r>
      <w:r>
        <w:rPr>
          <w:rFonts w:ascii="仿宋_GB2312" w:eastAsia="仿宋_GB2312" w:hint="eastAsia"/>
          <w:color w:val="000000"/>
          <w:sz w:val="32"/>
          <w:szCs w:val="32"/>
        </w:rPr>
        <w:t>万元，占</w:t>
      </w:r>
      <w:r>
        <w:rPr>
          <w:rFonts w:ascii="仿宋_GB2312" w:eastAsia="仿宋_GB2312" w:hint="eastAsia"/>
          <w:color w:val="000000"/>
          <w:sz w:val="32"/>
          <w:szCs w:val="32"/>
          <w:lang w:val="en-US" w:eastAsia="zh-CN"/>
        </w:rPr>
        <w:t>2.72</w:t>
      </w:r>
      <w:r>
        <w:rPr>
          <w:rFonts w:ascii="仿宋_GB2312" w:eastAsia="仿宋_GB2312" w:hint="eastAsia"/>
          <w:color w:val="000000"/>
          <w:sz w:val="32"/>
          <w:szCs w:val="32"/>
        </w:rPr>
        <w:t>%</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其他支出</w:t>
      </w:r>
      <w:r>
        <w:rPr>
          <w:rFonts w:ascii="仿宋" w:eastAsia="仿宋" w:hint="eastAsia"/>
          <w:b/>
          <w:color w:val="000000"/>
          <w:sz w:val="32"/>
          <w:szCs w:val="32"/>
        </w:rPr>
        <w:t>（类）</w:t>
      </w:r>
      <w:r>
        <w:rPr>
          <w:rFonts w:ascii="仿宋" w:eastAsia="仿宋" w:hint="eastAsia"/>
          <w:b/>
          <w:color w:val="000000"/>
          <w:sz w:val="32"/>
          <w:szCs w:val="32"/>
          <w:lang w:val="en-US" w:eastAsia="zh-CN"/>
        </w:rPr>
        <w:t>310万元，</w:t>
      </w:r>
      <w:r>
        <w:rPr>
          <w:rFonts w:ascii="仿宋_GB2312" w:eastAsia="仿宋_GB2312" w:hint="eastAsia"/>
          <w:color w:val="000000"/>
          <w:sz w:val="32"/>
          <w:szCs w:val="32"/>
        </w:rPr>
        <w:t>占</w:t>
      </w:r>
      <w:r>
        <w:rPr>
          <w:rFonts w:ascii="仿宋_GB2312" w:eastAsia="仿宋_GB2312" w:hint="eastAsia"/>
          <w:color w:val="000000"/>
          <w:sz w:val="32"/>
          <w:szCs w:val="32"/>
          <w:lang w:val="en-US" w:eastAsia="zh-CN"/>
        </w:rPr>
        <w:t>29.12</w:t>
      </w:r>
      <w:r>
        <w:rPr>
          <w:rFonts w:ascii="仿宋_GB2312" w:eastAsia="仿宋_GB2312" w:hint="eastAsia"/>
          <w:color w:val="000000"/>
          <w:sz w:val="32"/>
          <w:szCs w:val="32"/>
        </w:rPr>
        <w:t>%</w:t>
      </w:r>
      <w:r>
        <w:rPr>
          <w:rFonts w:ascii="仿宋" w:eastAsia="仿宋" w:hint="eastAsia"/>
          <w:color w:val="000000"/>
          <w:sz w:val="32"/>
          <w:szCs w:val="32"/>
        </w:rPr>
        <w:t>。</w:t>
      </w:r>
    </w:p>
    <w:p>
      <w:pPr>
        <w:spacing w:line="500" w:lineRule="exact"/>
        <w:ind w:firstLineChars="200" w:firstLine="640"/>
        <w:rPr>
          <w:rFonts w:ascii="仿宋_GB2312" w:eastAsia="仿宋_GB2312"/>
          <w:w w:val="90"/>
          <w:sz w:val="32"/>
          <w:szCs w:val="32"/>
          <w:lang w:val="en-US"/>
        </w:rPr>
      </w:pPr>
      <w:r>
        <w:rPr>
          <w:rFonts w:ascii="仿宋_GB2312" w:eastAsia="仿宋_GB2312" w:hint="eastAsia"/>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年一般公共预算财政拨款基本支出</w:t>
      </w:r>
      <w:r>
        <w:rPr>
          <w:rFonts w:ascii="仿宋_GB2312" w:eastAsia="仿宋_GB2312" w:hint="eastAsia"/>
          <w:color w:val="000000"/>
          <w:sz w:val="32"/>
          <w:szCs w:val="32"/>
          <w:lang w:val="en-US" w:eastAsia="zh-CN"/>
        </w:rPr>
        <w:t>432.66</w:t>
      </w:r>
      <w:r>
        <w:rPr>
          <w:rFonts w:ascii="仿宋_GB2312" w:eastAsia="仿宋_GB2312" w:hint="eastAsia"/>
          <w:color w:val="000000"/>
          <w:sz w:val="32"/>
          <w:szCs w:val="32"/>
        </w:rPr>
        <w:t>万元，其中：人员经费</w:t>
      </w:r>
      <w:r>
        <w:rPr>
          <w:rFonts w:ascii="仿宋_GB2312" w:eastAsia="仿宋_GB2312" w:hint="eastAsia"/>
          <w:color w:val="000000"/>
          <w:sz w:val="32"/>
          <w:szCs w:val="32"/>
          <w:lang w:val="en-US" w:eastAsia="zh-CN"/>
        </w:rPr>
        <w:t>400.58</w:t>
      </w:r>
      <w:r>
        <w:rPr>
          <w:rFonts w:ascii="仿宋_GB2312" w:eastAsia="仿宋_GB2312" w:hint="eastAsia"/>
          <w:color w:val="000000"/>
          <w:sz w:val="32"/>
          <w:szCs w:val="32"/>
        </w:rPr>
        <w:t>万元，主要包括：</w:t>
      </w:r>
      <w:r>
        <w:rPr>
          <w:rFonts w:ascii="仿宋_GB2312" w:eastAsia="仿宋_GB2312" w:hint="eastAsia"/>
          <w:sz w:val="32"/>
          <w:szCs w:val="32"/>
        </w:rPr>
        <w:t>基本工资</w:t>
      </w:r>
      <w:r>
        <w:rPr>
          <w:rFonts w:ascii="仿宋_GB2312" w:eastAsia="仿宋_GB2312" w:hint="eastAsia"/>
          <w:sz w:val="32"/>
          <w:szCs w:val="32"/>
          <w:lang w:val="en-US" w:eastAsia="zh-CN"/>
        </w:rPr>
        <w:t>83.13</w:t>
      </w:r>
      <w:r>
        <w:rPr>
          <w:rFonts w:ascii="仿宋_GB2312" w:eastAsia="仿宋_GB2312" w:cs="仿宋_GB2312" w:hint="eastAsia"/>
          <w:bCs/>
          <w:sz w:val="32"/>
          <w:szCs w:val="32"/>
        </w:rPr>
        <w:t>万</w:t>
      </w:r>
      <w:r>
        <w:rPr>
          <w:rFonts w:ascii="仿宋_GB2312" w:eastAsia="仿宋_GB2312" w:hint="eastAsia"/>
          <w:sz w:val="32"/>
          <w:szCs w:val="32"/>
        </w:rPr>
        <w:t>元，津贴补贴</w:t>
      </w:r>
      <w:r>
        <w:rPr>
          <w:rFonts w:ascii="仿宋_GB2312" w:eastAsia="仿宋_GB2312" w:hint="eastAsia"/>
          <w:sz w:val="32"/>
          <w:szCs w:val="32"/>
          <w:lang w:val="en-US" w:eastAsia="zh-CN"/>
        </w:rPr>
        <w:t>83.86</w:t>
      </w:r>
      <w:r>
        <w:rPr>
          <w:rFonts w:ascii="仿宋_GB2312" w:eastAsia="仿宋_GB2312" w:cs="仿宋_GB2312" w:hint="eastAsia"/>
          <w:bCs/>
          <w:sz w:val="32"/>
          <w:szCs w:val="32"/>
        </w:rPr>
        <w:t>万</w:t>
      </w:r>
      <w:r>
        <w:rPr>
          <w:rFonts w:ascii="仿宋_GB2312" w:eastAsia="仿宋_GB2312" w:hint="eastAsia"/>
          <w:sz w:val="32"/>
          <w:szCs w:val="32"/>
        </w:rPr>
        <w:t>元，奖金</w:t>
      </w:r>
      <w:r>
        <w:rPr>
          <w:rFonts w:ascii="仿宋_GB2312" w:eastAsia="仿宋_GB2312" w:hint="eastAsia"/>
          <w:sz w:val="32"/>
          <w:szCs w:val="32"/>
          <w:lang w:val="en-US" w:eastAsia="zh-CN"/>
        </w:rPr>
        <w:t>66.05</w:t>
      </w:r>
      <w:r>
        <w:rPr>
          <w:rFonts w:ascii="仿宋_GB2312" w:eastAsia="仿宋_GB2312" w:cs="仿宋_GB2312" w:hint="eastAsia"/>
          <w:bCs/>
          <w:sz w:val="32"/>
          <w:szCs w:val="32"/>
        </w:rPr>
        <w:t>万</w:t>
      </w:r>
      <w:r>
        <w:rPr>
          <w:rFonts w:ascii="仿宋_GB2312" w:eastAsia="仿宋_GB2312" w:hint="eastAsia"/>
          <w:sz w:val="32"/>
          <w:szCs w:val="32"/>
        </w:rPr>
        <w:t>元，</w:t>
      </w:r>
      <w:r>
        <w:rPr>
          <w:rFonts w:ascii="仿宋_GB2312" w:eastAsia="仿宋_GB2312" w:hint="eastAsia"/>
          <w:sz w:val="32"/>
          <w:szCs w:val="32"/>
          <w:lang w:val="en-US" w:eastAsia="zh-CN"/>
        </w:rPr>
        <w:t>绩效16.75万元，</w:t>
      </w:r>
      <w:r>
        <w:rPr>
          <w:rFonts w:ascii="仿宋_GB2312" w:eastAsia="仿宋_GB2312" w:hint="eastAsia"/>
          <w:sz w:val="32"/>
          <w:szCs w:val="32"/>
          <w:lang w:eastAsia="zh-CN"/>
        </w:rPr>
        <w:t>其他</w:t>
      </w:r>
      <w:r>
        <w:rPr>
          <w:rFonts w:ascii="仿宋_GB2312" w:eastAsia="仿宋_GB2312" w:hint="eastAsia"/>
          <w:sz w:val="32"/>
          <w:szCs w:val="32"/>
        </w:rPr>
        <w:t>社会保障缴费</w:t>
      </w:r>
      <w:r>
        <w:rPr>
          <w:rFonts w:ascii="仿宋_GB2312" w:eastAsia="仿宋_GB2312" w:hint="eastAsia"/>
          <w:sz w:val="32"/>
          <w:szCs w:val="32"/>
          <w:lang w:val="en-US" w:eastAsia="zh-CN"/>
        </w:rPr>
        <w:t>4.59</w:t>
      </w:r>
      <w:r>
        <w:rPr>
          <w:rFonts w:ascii="仿宋_GB2312" w:eastAsia="仿宋_GB2312" w:cs="仿宋_GB2312" w:hint="eastAsia"/>
          <w:bCs/>
          <w:sz w:val="32"/>
          <w:szCs w:val="32"/>
        </w:rPr>
        <w:t>万</w:t>
      </w:r>
      <w:r>
        <w:rPr>
          <w:rFonts w:ascii="仿宋_GB2312" w:eastAsia="仿宋_GB2312" w:hint="eastAsia"/>
          <w:sz w:val="32"/>
          <w:szCs w:val="32"/>
        </w:rPr>
        <w:t>元</w:t>
      </w:r>
      <w:r>
        <w:rPr>
          <w:rFonts w:ascii="仿宋_GB2312" w:eastAsia="仿宋_GB2312" w:hint="eastAsia"/>
          <w:sz w:val="32"/>
          <w:szCs w:val="32"/>
          <w:lang w:eastAsia="zh-CN"/>
        </w:rPr>
        <w:t>、</w:t>
      </w:r>
      <w:r>
        <w:rPr>
          <w:rFonts w:ascii="仿宋_GB2312" w:eastAsia="仿宋_GB2312" w:hint="eastAsia"/>
          <w:sz w:val="32"/>
          <w:szCs w:val="32"/>
          <w:lang w:val="en-US" w:eastAsia="zh-CN"/>
        </w:rPr>
        <w:t>生活补助6.12万元，奖励金46.16万元，</w:t>
      </w:r>
      <w:r>
        <w:rPr>
          <w:rFonts w:ascii="仿宋_GB2312" w:eastAsia="仿宋_GB2312" w:hint="eastAsia"/>
          <w:sz w:val="32"/>
          <w:szCs w:val="32"/>
        </w:rPr>
        <w:t>。机关事业单位基本养老保险费</w:t>
      </w:r>
      <w:r>
        <w:rPr>
          <w:rFonts w:ascii="仿宋_GB2312" w:eastAsia="仿宋_GB2312" w:hint="eastAsia"/>
          <w:sz w:val="32"/>
          <w:szCs w:val="32"/>
          <w:lang w:val="en-US" w:eastAsia="zh-CN"/>
        </w:rPr>
        <w:t>31.05</w:t>
      </w:r>
      <w:r>
        <w:rPr>
          <w:rFonts w:ascii="仿宋_GB2312" w:eastAsia="仿宋_GB2312" w:hint="eastAsia"/>
          <w:sz w:val="32"/>
          <w:szCs w:val="32"/>
        </w:rPr>
        <w:t>万元</w:t>
      </w:r>
      <w:r>
        <w:rPr>
          <w:rFonts w:ascii="仿宋_GB2312" w:eastAsia="仿宋_GB2312" w:hint="eastAsia"/>
          <w:sz w:val="32"/>
          <w:szCs w:val="32"/>
          <w:lang w:eastAsia="zh-CN"/>
        </w:rPr>
        <w:t>、</w:t>
      </w:r>
      <w:r>
        <w:rPr>
          <w:rFonts w:ascii="仿宋_GB2312" w:eastAsia="仿宋_GB2312" w:hint="eastAsia"/>
          <w:sz w:val="32"/>
          <w:szCs w:val="32"/>
        </w:rPr>
        <w:t>机关事业单位职业年金</w:t>
      </w:r>
      <w:r>
        <w:rPr>
          <w:rFonts w:ascii="仿宋_GB2312" w:eastAsia="仿宋_GB2312" w:hint="eastAsia"/>
          <w:sz w:val="32"/>
          <w:szCs w:val="32"/>
          <w:lang w:val="en-US" w:eastAsia="zh-CN"/>
        </w:rPr>
        <w:t>15.53</w:t>
      </w:r>
      <w:r>
        <w:rPr>
          <w:rFonts w:ascii="仿宋_GB2312" w:eastAsia="仿宋_GB2312" w:hint="eastAsia"/>
          <w:sz w:val="32"/>
          <w:szCs w:val="32"/>
        </w:rPr>
        <w:t>万元</w:t>
      </w:r>
      <w:r>
        <w:rPr>
          <w:rFonts w:ascii="仿宋_GB2312" w:eastAsia="仿宋_GB2312" w:hint="eastAsia"/>
          <w:sz w:val="32"/>
          <w:szCs w:val="32"/>
          <w:lang w:eastAsia="zh-CN"/>
        </w:rPr>
        <w:t>、</w:t>
      </w:r>
      <w:r>
        <w:rPr>
          <w:rFonts w:ascii="仿宋_GB2312" w:eastAsia="仿宋_GB2312" w:hint="eastAsia"/>
          <w:w w:val="90"/>
          <w:sz w:val="32"/>
          <w:szCs w:val="32"/>
        </w:rPr>
        <w:t>住房保障</w:t>
      </w:r>
      <w:r>
        <w:rPr>
          <w:rFonts w:ascii="仿宋_GB2312" w:eastAsia="仿宋_GB2312" w:hint="eastAsia"/>
          <w:w w:val="90"/>
          <w:sz w:val="32"/>
          <w:szCs w:val="32"/>
          <w:lang w:val="en-US" w:eastAsia="zh-CN"/>
        </w:rPr>
        <w:t>28.9</w:t>
      </w:r>
      <w:r>
        <w:rPr>
          <w:rFonts w:ascii="仿宋_GB2312" w:eastAsia="仿宋_GB2312" w:cs="仿宋_GB2312" w:hint="eastAsia"/>
          <w:bCs/>
          <w:w w:val="90"/>
          <w:sz w:val="32"/>
          <w:szCs w:val="32"/>
        </w:rPr>
        <w:t>万</w:t>
      </w:r>
      <w:r>
        <w:rPr>
          <w:rFonts w:ascii="仿宋_GB2312" w:eastAsia="仿宋_GB2312" w:hint="eastAsia"/>
          <w:w w:val="90"/>
          <w:sz w:val="32"/>
          <w:szCs w:val="32"/>
        </w:rPr>
        <w:t>元；</w:t>
      </w:r>
      <w:r>
        <w:rPr>
          <w:rFonts w:ascii="仿宋_GB2312" w:eastAsia="仿宋_GB2312" w:hint="eastAsia"/>
          <w:w w:val="90"/>
          <w:sz w:val="32"/>
          <w:szCs w:val="32"/>
          <w:lang w:val="en-US" w:eastAsia="zh-CN"/>
        </w:rPr>
        <w:t>行</w:t>
      </w:r>
      <w:r>
        <w:rPr>
          <w:rFonts w:ascii="仿宋_GB2312" w:eastAsia="仿宋_GB2312" w:hint="eastAsia"/>
          <w:w w:val="90"/>
          <w:sz w:val="32"/>
          <w:szCs w:val="32"/>
        </w:rPr>
        <w:t>政单位医疗</w:t>
      </w:r>
      <w:r>
        <w:rPr>
          <w:rFonts w:ascii="仿宋_GB2312" w:eastAsia="仿宋_GB2312" w:hint="eastAsia"/>
          <w:w w:val="90"/>
          <w:sz w:val="32"/>
          <w:szCs w:val="32"/>
          <w:lang w:val="en-US" w:eastAsia="zh-CN"/>
        </w:rPr>
        <w:t>15.67</w:t>
      </w:r>
      <w:r>
        <w:rPr>
          <w:rFonts w:ascii="仿宋_GB2312" w:eastAsia="仿宋_GB2312" w:cs="仿宋_GB2312" w:hint="eastAsia"/>
          <w:bCs/>
          <w:w w:val="90"/>
          <w:sz w:val="32"/>
          <w:szCs w:val="32"/>
        </w:rPr>
        <w:t>万</w:t>
      </w:r>
      <w:r>
        <w:rPr>
          <w:rFonts w:ascii="仿宋_GB2312" w:eastAsia="仿宋_GB2312" w:hint="eastAsia"/>
          <w:w w:val="90"/>
          <w:sz w:val="32"/>
          <w:szCs w:val="32"/>
        </w:rPr>
        <w:t>元、</w:t>
      </w:r>
      <w:r>
        <w:rPr>
          <w:rFonts w:ascii="仿宋_GB2312" w:eastAsia="仿宋_GB2312" w:hint="eastAsia"/>
          <w:w w:val="90"/>
          <w:sz w:val="32"/>
          <w:szCs w:val="32"/>
          <w:lang w:eastAsia="zh-CN"/>
        </w:rPr>
        <w:t>公务员医疗补助</w:t>
      </w:r>
      <w:r>
        <w:rPr>
          <w:rFonts w:ascii="仿宋_GB2312" w:eastAsia="仿宋_GB2312" w:hint="eastAsia"/>
          <w:w w:val="90"/>
          <w:sz w:val="32"/>
          <w:szCs w:val="32"/>
          <w:lang w:val="en-US" w:eastAsia="zh-CN"/>
        </w:rPr>
        <w:t>2.77万元。</w:t>
      </w:r>
    </w:p>
    <w:p>
      <w:pPr>
        <w:spacing w:line="500" w:lineRule="exact"/>
        <w:ind w:firstLineChars="200" w:firstLine="640"/>
        <w:rPr>
          <w:rFonts w:ascii="仿宋_GB2312" w:eastAsia="仿宋_GB2312" w:hint="eastAsia"/>
          <w:sz w:val="32"/>
          <w:szCs w:val="32"/>
          <w:lang w:val="en-US" w:eastAsia="zh-CN"/>
        </w:rPr>
      </w:pPr>
      <w:r>
        <w:rPr>
          <w:rFonts w:ascii="仿宋_GB2312" w:eastAsia="仿宋_GB2312" w:hint="eastAsia"/>
          <w:color w:val="000000"/>
          <w:sz w:val="32"/>
          <w:szCs w:val="32"/>
        </w:rPr>
        <w:t>公用经费</w:t>
      </w:r>
      <w:r>
        <w:rPr>
          <w:rFonts w:ascii="仿宋_GB2312" w:eastAsia="仿宋_GB2312" w:hint="eastAsia"/>
          <w:color w:val="000000"/>
          <w:sz w:val="32"/>
          <w:szCs w:val="32"/>
          <w:lang w:val="en-US" w:eastAsia="zh-CN"/>
        </w:rPr>
        <w:t>32.08</w:t>
      </w:r>
      <w:r>
        <w:rPr>
          <w:rFonts w:ascii="仿宋_GB2312" w:eastAsia="仿宋_GB2312" w:hint="eastAsia"/>
          <w:color w:val="000000"/>
          <w:sz w:val="32"/>
          <w:szCs w:val="32"/>
        </w:rPr>
        <w:t>万元，</w:t>
      </w:r>
      <w:r>
        <w:rPr>
          <w:rFonts w:ascii="仿宋_GB2312" w:eastAsia="仿宋_GB2312" w:hint="eastAsia"/>
          <w:sz w:val="32"/>
          <w:szCs w:val="32"/>
        </w:rPr>
        <w:t>其中办公费</w:t>
      </w:r>
      <w:r>
        <w:rPr>
          <w:rFonts w:ascii="仿宋_GB2312" w:eastAsia="仿宋_GB2312" w:hint="eastAsia"/>
          <w:sz w:val="32"/>
          <w:szCs w:val="32"/>
          <w:lang w:val="en-US" w:eastAsia="zh-CN"/>
        </w:rPr>
        <w:t>5.28</w:t>
      </w:r>
      <w:r>
        <w:rPr>
          <w:rFonts w:ascii="仿宋_GB2312" w:eastAsia="仿宋_GB2312" w:cs="仿宋_GB2312" w:hint="eastAsia"/>
          <w:bCs/>
          <w:sz w:val="32"/>
          <w:szCs w:val="32"/>
        </w:rPr>
        <w:t>万</w:t>
      </w:r>
      <w:r>
        <w:rPr>
          <w:rFonts w:ascii="仿宋_GB2312" w:eastAsia="仿宋_GB2312" w:hint="eastAsia"/>
          <w:sz w:val="32"/>
          <w:szCs w:val="32"/>
        </w:rPr>
        <w:t>元、印刷费</w:t>
      </w:r>
      <w:r>
        <w:rPr>
          <w:rFonts w:ascii="仿宋_GB2312" w:eastAsia="仿宋_GB2312" w:hint="eastAsia"/>
          <w:sz w:val="32"/>
          <w:szCs w:val="32"/>
          <w:lang w:val="en-US" w:eastAsia="zh-CN"/>
        </w:rPr>
        <w:t>1</w:t>
      </w:r>
      <w:r>
        <w:rPr>
          <w:rFonts w:ascii="仿宋_GB2312" w:eastAsia="仿宋_GB2312" w:cs="仿宋_GB2312" w:hint="eastAsia"/>
          <w:bCs/>
          <w:sz w:val="32"/>
          <w:szCs w:val="32"/>
        </w:rPr>
        <w:t>万</w:t>
      </w:r>
      <w:r>
        <w:rPr>
          <w:rFonts w:ascii="仿宋_GB2312" w:eastAsia="仿宋_GB2312" w:hint="eastAsia"/>
          <w:sz w:val="32"/>
          <w:szCs w:val="32"/>
        </w:rPr>
        <w:t>元、电费</w:t>
      </w:r>
      <w:r>
        <w:rPr>
          <w:rFonts w:ascii="仿宋_GB2312" w:eastAsia="仿宋_GB2312" w:hint="eastAsia"/>
          <w:sz w:val="32"/>
          <w:szCs w:val="32"/>
          <w:lang w:val="en-US" w:eastAsia="zh-CN"/>
        </w:rPr>
        <w:t>0.8</w:t>
      </w:r>
      <w:r>
        <w:rPr>
          <w:rFonts w:ascii="仿宋_GB2312" w:eastAsia="仿宋_GB2312" w:cs="仿宋_GB2312" w:hint="eastAsia"/>
          <w:bCs/>
          <w:sz w:val="32"/>
          <w:szCs w:val="32"/>
        </w:rPr>
        <w:t>万</w:t>
      </w:r>
      <w:r>
        <w:rPr>
          <w:rFonts w:ascii="仿宋_GB2312" w:eastAsia="仿宋_GB2312" w:hint="eastAsia"/>
          <w:sz w:val="32"/>
          <w:szCs w:val="32"/>
        </w:rPr>
        <w:t>元、邮电费</w:t>
      </w:r>
      <w:r>
        <w:rPr>
          <w:rFonts w:ascii="仿宋_GB2312" w:eastAsia="仿宋_GB2312" w:hint="eastAsia"/>
          <w:sz w:val="32"/>
          <w:szCs w:val="32"/>
          <w:lang w:val="en-US" w:eastAsia="zh-CN"/>
        </w:rPr>
        <w:t>3</w:t>
      </w:r>
      <w:r>
        <w:rPr>
          <w:rFonts w:ascii="仿宋_GB2312" w:eastAsia="仿宋_GB2312" w:cs="仿宋_GB2312" w:hint="eastAsia"/>
          <w:bCs/>
          <w:sz w:val="32"/>
          <w:szCs w:val="32"/>
        </w:rPr>
        <w:t>万</w:t>
      </w:r>
      <w:r>
        <w:rPr>
          <w:rFonts w:ascii="仿宋_GB2312" w:eastAsia="仿宋_GB2312" w:hint="eastAsia"/>
          <w:sz w:val="32"/>
          <w:szCs w:val="32"/>
        </w:rPr>
        <w:t>元、差旅费</w:t>
      </w:r>
      <w:r>
        <w:rPr>
          <w:rFonts w:ascii="仿宋_GB2312" w:eastAsia="仿宋_GB2312" w:hint="eastAsia"/>
          <w:sz w:val="32"/>
          <w:szCs w:val="32"/>
          <w:lang w:val="en-US" w:eastAsia="zh-CN"/>
        </w:rPr>
        <w:t>8</w:t>
      </w:r>
      <w:r>
        <w:rPr>
          <w:rFonts w:ascii="仿宋_GB2312" w:eastAsia="仿宋_GB2312" w:cs="仿宋_GB2312" w:hint="eastAsia"/>
          <w:bCs/>
          <w:sz w:val="32"/>
          <w:szCs w:val="32"/>
        </w:rPr>
        <w:t>万</w:t>
      </w:r>
      <w:r>
        <w:rPr>
          <w:rFonts w:ascii="仿宋_GB2312" w:eastAsia="仿宋_GB2312" w:hint="eastAsia"/>
          <w:sz w:val="32"/>
          <w:szCs w:val="32"/>
        </w:rPr>
        <w:t>元、维修费</w:t>
      </w:r>
      <w:r>
        <w:rPr>
          <w:rFonts w:ascii="仿宋_GB2312" w:eastAsia="仿宋_GB2312" w:hint="eastAsia"/>
          <w:sz w:val="32"/>
          <w:szCs w:val="32"/>
          <w:lang w:val="en-US" w:eastAsia="zh-CN"/>
        </w:rPr>
        <w:t>1</w:t>
      </w:r>
      <w:r>
        <w:rPr>
          <w:rFonts w:ascii="仿宋_GB2312" w:eastAsia="仿宋_GB2312" w:cs="仿宋_GB2312" w:hint="eastAsia"/>
          <w:bCs/>
          <w:sz w:val="32"/>
          <w:szCs w:val="32"/>
        </w:rPr>
        <w:t>万</w:t>
      </w:r>
      <w:r>
        <w:rPr>
          <w:rFonts w:ascii="仿宋_GB2312" w:eastAsia="仿宋_GB2312" w:hint="eastAsia"/>
          <w:sz w:val="32"/>
          <w:szCs w:val="32"/>
        </w:rPr>
        <w:t>元、劳务费</w:t>
      </w:r>
      <w:r>
        <w:rPr>
          <w:rFonts w:ascii="仿宋_GB2312" w:eastAsia="仿宋_GB2312" w:hint="eastAsia"/>
          <w:sz w:val="32"/>
          <w:szCs w:val="32"/>
          <w:lang w:val="en-US" w:eastAsia="zh-CN"/>
        </w:rPr>
        <w:t>1</w:t>
      </w:r>
      <w:r>
        <w:rPr>
          <w:rFonts w:ascii="仿宋_GB2312" w:eastAsia="仿宋_GB2312" w:cs="仿宋_GB2312" w:hint="eastAsia"/>
          <w:bCs/>
          <w:sz w:val="32"/>
          <w:szCs w:val="32"/>
        </w:rPr>
        <w:t>万</w:t>
      </w:r>
      <w:r>
        <w:rPr>
          <w:rFonts w:ascii="仿宋_GB2312" w:eastAsia="仿宋_GB2312" w:hint="eastAsia"/>
          <w:sz w:val="32"/>
          <w:szCs w:val="32"/>
        </w:rPr>
        <w:t>元、公务用车运行维护费</w:t>
      </w:r>
      <w:r>
        <w:rPr>
          <w:rFonts w:ascii="仿宋_GB2312" w:eastAsia="仿宋_GB2312" w:hint="eastAsia"/>
          <w:sz w:val="32"/>
          <w:szCs w:val="32"/>
          <w:lang w:val="en-US" w:eastAsia="zh-CN"/>
        </w:rPr>
        <w:t>12</w:t>
      </w:r>
      <w:r>
        <w:rPr>
          <w:rFonts w:ascii="仿宋_GB2312" w:eastAsia="仿宋_GB2312" w:cs="仿宋_GB2312" w:hint="eastAsia"/>
          <w:bCs/>
          <w:sz w:val="32"/>
          <w:szCs w:val="32"/>
        </w:rPr>
        <w:t>万</w:t>
      </w:r>
      <w:r>
        <w:rPr>
          <w:rFonts w:ascii="仿宋_GB2312" w:eastAsia="仿宋_GB2312" w:hint="eastAsia"/>
          <w:sz w:val="32"/>
          <w:szCs w:val="32"/>
        </w:rPr>
        <w:t>元</w:t>
      </w:r>
      <w:r>
        <w:rPr>
          <w:rFonts w:ascii="仿宋_GB2312" w:eastAsia="仿宋_GB2312" w:hint="eastAsia"/>
          <w:sz w:val="32"/>
          <w:szCs w:val="32"/>
          <w:lang w:val="en-US" w:eastAsia="zh-CN"/>
        </w:rPr>
        <w:t>。</w:t>
      </w:r>
    </w:p>
    <w:p>
      <w:pPr>
        <w:spacing w:line="500" w:lineRule="exact"/>
        <w:ind w:firstLineChars="200" w:firstLine="640"/>
        <w:rPr>
          <w:rFonts w:ascii="仿宋_GB2312" w:eastAsia="仿宋_GB2312" w:cs="仿宋_GB2312" w:hint="eastAsia"/>
          <w:color w:val="000000"/>
          <w:sz w:val="31"/>
          <w:szCs w:val="31"/>
        </w:rPr>
      </w:pPr>
      <w:r>
        <w:rPr>
          <w:rFonts w:ascii="仿宋_GB2312" w:eastAsia="仿宋_GB2312" w:hint="eastAsia"/>
          <w:sz w:val="32"/>
          <w:szCs w:val="32"/>
          <w:lang w:val="en-US" w:eastAsia="zh-CN"/>
        </w:rPr>
        <w:t>项目经费631.73万元，其中： 一般行政管理事务151.86万元，信息化建设132.82万元，2022年特勤专项经费10万元，特别业务工作经费9.99万元，培训费17.05万元，其他支出310万元。</w:t>
      </w:r>
    </w:p>
    <w:p>
      <w:pPr>
        <w:pStyle w:val="22"/>
        <w:keepNext w:val="0"/>
        <w:keepLines w:val="0"/>
        <w:widowControl/>
        <w:numPr>
          <w:ilvl w:val="0"/>
          <w:numId w:val="8"/>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黑体" w:eastAsia="黑体" w:cs="黑体" w:hint="eastAsia"/>
          <w:color w:val="000000"/>
          <w:sz w:val="31"/>
          <w:szCs w:val="31"/>
        </w:rPr>
      </w:pPr>
      <w:r>
        <w:rPr>
          <w:rFonts w:ascii="黑体" w:eastAsia="黑体" w:cs="黑体" w:hint="eastAsia"/>
          <w:color w:val="000000"/>
          <w:sz w:val="31"/>
          <w:szCs w:val="31"/>
        </w:rPr>
        <w:t>部门整体预算绩效管理情况</w:t>
      </w:r>
    </w:p>
    <w:p>
      <w:pPr>
        <w:pStyle w:val="22"/>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0"/>
      </w:pPr>
      <w:r>
        <w:rPr>
          <w:rFonts w:ascii="仿宋_GB2312" w:eastAsia="仿宋_GB2312" w:cs="仿宋_GB2312" w:hint="eastAsia"/>
          <w:color w:val="000000"/>
          <w:sz w:val="31"/>
          <w:szCs w:val="31"/>
        </w:rPr>
        <w:t>（一）</w:t>
      </w:r>
      <w:r>
        <w:rPr>
          <w:rFonts w:ascii="Times New Roman" w:eastAsia="楷体_GB2312" w:cs="Times New Roman" w:hAnsi="Times New Roman" w:hint="eastAsia"/>
          <w:b/>
          <w:kern w:val="2"/>
          <w:sz w:val="32"/>
          <w:szCs w:val="32"/>
          <w:lang w:val="zh-CN" w:eastAsia="zh-CN" w:bidi="ar-SA"/>
        </w:rPr>
        <w:t>部门预算管理。</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hint="eastAsia"/>
          <w:bCs/>
          <w:kern w:val="0"/>
          <w:sz w:val="32"/>
          <w:szCs w:val="32"/>
          <w:shd w:val="clear" w:color="auto" w:fill="FFFFFF"/>
          <w:lang w:val="en-US" w:eastAsia="zh-CN"/>
        </w:rPr>
      </w:pPr>
      <w:r>
        <w:rPr>
          <w:rFonts w:ascii="Times New Roman" w:eastAsia="仿宋_GB2312" w:cs="Times New Roman" w:hAnsi="Times New Roman" w:hint="eastAsia"/>
          <w:bCs/>
          <w:kern w:val="0"/>
          <w:sz w:val="32"/>
          <w:szCs w:val="32"/>
          <w:shd w:val="clear" w:color="auto" w:fill="FFFFFF"/>
          <w:lang w:val="zh-CN" w:eastAsia="zh-CN"/>
        </w:rPr>
        <w:t>(1)预算编制质量：202</w:t>
      </w:r>
      <w:r>
        <w:rPr>
          <w:rFonts w:ascii="Times New Roman" w:eastAsia="仿宋_GB2312" w:cs="Times New Roman" w:hAnsi="Times New Roman" w:hint="eastAsia"/>
          <w:bCs/>
          <w:kern w:val="0"/>
          <w:sz w:val="32"/>
          <w:szCs w:val="32"/>
          <w:shd w:val="clear" w:color="auto" w:fill="FFFFFF"/>
          <w:lang w:val="en-US" w:eastAsia="zh-CN"/>
        </w:rPr>
        <w:t>2</w:t>
      </w:r>
      <w:r>
        <w:rPr>
          <w:rFonts w:ascii="Times New Roman" w:eastAsia="仿宋_GB2312" w:cs="Times New Roman" w:hAnsi="Times New Roman" w:hint="eastAsia"/>
          <w:bCs/>
          <w:kern w:val="0"/>
          <w:sz w:val="32"/>
          <w:szCs w:val="32"/>
          <w:shd w:val="clear" w:color="auto" w:fill="FFFFFF"/>
          <w:lang w:val="zh-CN" w:eastAsia="zh-CN"/>
        </w:rPr>
        <w:t>年预算</w:t>
      </w:r>
      <w:r>
        <w:rPr>
          <w:rFonts w:ascii="Times New Roman" w:eastAsia="仿宋_GB2312" w:cs="Times New Roman" w:hAnsi="Times New Roman" w:hint="eastAsia"/>
          <w:bCs/>
          <w:kern w:val="0"/>
          <w:sz w:val="32"/>
          <w:szCs w:val="32"/>
          <w:shd w:val="clear" w:color="auto" w:fill="FFFFFF"/>
          <w:lang w:val="en-US" w:eastAsia="zh-CN"/>
        </w:rPr>
        <w:t>431.04</w:t>
      </w:r>
      <w:r>
        <w:rPr>
          <w:rFonts w:ascii="Times New Roman" w:eastAsia="仿宋_GB2312" w:cs="Times New Roman" w:hAnsi="Times New Roman" w:hint="eastAsia"/>
          <w:bCs/>
          <w:kern w:val="0"/>
          <w:sz w:val="32"/>
          <w:szCs w:val="32"/>
          <w:shd w:val="clear" w:color="auto" w:fill="FFFFFF"/>
          <w:lang w:val="zh-CN" w:eastAsia="zh-CN"/>
        </w:rPr>
        <w:t>万元与上年数相比有所</w:t>
      </w:r>
      <w:r>
        <w:rPr>
          <w:rFonts w:ascii="Times New Roman" w:eastAsia="仿宋_GB2312" w:cs="Times New Roman" w:hAnsi="Times New Roman" w:hint="eastAsia"/>
          <w:bCs/>
          <w:kern w:val="0"/>
          <w:sz w:val="32"/>
          <w:szCs w:val="32"/>
          <w:shd w:val="clear" w:color="auto" w:fill="FFFFFF"/>
          <w:lang w:val="en-US" w:eastAsia="zh-CN"/>
        </w:rPr>
        <w:t>增加</w:t>
      </w:r>
      <w:r>
        <w:rPr>
          <w:rFonts w:ascii="Times New Roman" w:eastAsia="仿宋_GB2312" w:cs="Times New Roman" w:hAnsi="Times New Roman" w:hint="eastAsia"/>
          <w:bCs/>
          <w:kern w:val="0"/>
          <w:sz w:val="32"/>
          <w:szCs w:val="32"/>
          <w:shd w:val="clear" w:color="auto" w:fill="FFFFFF"/>
          <w:lang w:val="zh-CN" w:eastAsia="zh-CN"/>
        </w:rPr>
        <w:t>，原因：</w:t>
      </w:r>
      <w:r>
        <w:rPr>
          <w:rFonts w:ascii="Times New Roman" w:eastAsia="仿宋_GB2312" w:cs="Times New Roman" w:hAnsi="Times New Roman" w:hint="eastAsia"/>
          <w:bCs/>
          <w:kern w:val="0"/>
          <w:sz w:val="32"/>
          <w:szCs w:val="32"/>
          <w:shd w:val="clear" w:color="auto" w:fill="FFFFFF"/>
          <w:lang w:val="en-US" w:eastAsia="zh-CN"/>
        </w:rPr>
        <w:t>人员增加及增加扫黑除恶预算经费。</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eastAsia="zh-CN"/>
        </w:rPr>
      </w:pPr>
      <w:r>
        <w:rPr>
          <w:rFonts w:ascii="Times New Roman" w:eastAsia="仿宋_GB2312" w:cs="Times New Roman" w:hAnsi="Times New Roman" w:hint="eastAsia"/>
          <w:bCs/>
          <w:kern w:val="0"/>
          <w:sz w:val="32"/>
          <w:szCs w:val="32"/>
          <w:shd w:val="clear" w:color="auto" w:fill="FFFFFF"/>
          <w:lang w:val="zh-CN" w:eastAsia="zh-CN"/>
        </w:rPr>
        <w:t>（2）绩效目标填报：项目申报严格按照上级要求，明确绩效目标，控制支行成本，提高项目发挥作用。并根据财政局统一要求编制了我委整体绩效目标报告及项目整体绩效目标表，并报县财政局。</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eastAsia="zh-CN"/>
        </w:rPr>
      </w:pPr>
      <w:r>
        <w:rPr>
          <w:rFonts w:ascii="Times New Roman" w:eastAsia="仿宋_GB2312" w:cs="Times New Roman" w:hAnsi="Times New Roman" w:hint="eastAsia"/>
          <w:bCs/>
          <w:kern w:val="0"/>
          <w:sz w:val="32"/>
          <w:szCs w:val="32"/>
          <w:shd w:val="clear" w:color="auto" w:fill="FFFFFF"/>
          <w:lang w:val="zh-CN" w:eastAsia="zh-CN"/>
        </w:rPr>
        <w:t>（二）</w:t>
      </w:r>
      <w:r>
        <w:rPr>
          <w:rFonts w:ascii="Times New Roman" w:eastAsia="楷体_GB2312" w:cs="Times New Roman" w:hAnsi="Times New Roman" w:hint="eastAsia"/>
          <w:b/>
          <w:sz w:val="32"/>
          <w:szCs w:val="32"/>
          <w:lang w:val="zh-CN" w:eastAsia="zh-CN"/>
        </w:rPr>
        <w:t>执行管理情况。</w:t>
      </w:r>
      <w:r>
        <w:rPr>
          <w:rFonts w:ascii="Times New Roman" w:eastAsia="仿宋_GB2312" w:cs="Times New Roman" w:hAnsi="Times New Roman" w:hint="eastAsia"/>
          <w:bCs/>
          <w:kern w:val="0"/>
          <w:sz w:val="32"/>
          <w:szCs w:val="32"/>
          <w:shd w:val="clear" w:color="auto" w:fill="FFFFFF"/>
          <w:lang w:val="zh-CN" w:eastAsia="zh-CN"/>
        </w:rPr>
        <w:tab/>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hint="eastAsia"/>
          <w:bCs/>
          <w:kern w:val="0"/>
          <w:sz w:val="32"/>
          <w:szCs w:val="32"/>
          <w:shd w:val="clear" w:color="auto" w:fill="FFFFFF"/>
          <w:lang w:val="zh-CN" w:eastAsia="zh-CN"/>
        </w:rPr>
      </w:pPr>
      <w:r>
        <w:rPr>
          <w:rFonts w:ascii="Times New Roman" w:eastAsia="仿宋_GB2312" w:cs="Times New Roman" w:hAnsi="Times New Roman" w:hint="eastAsia"/>
          <w:bCs/>
          <w:kern w:val="0"/>
          <w:sz w:val="32"/>
          <w:szCs w:val="32"/>
          <w:shd w:val="clear" w:color="auto" w:fill="FFFFFF"/>
          <w:lang w:val="zh-CN" w:eastAsia="zh-CN"/>
        </w:rPr>
        <w:t>部门预算执行情况良好，但基本集中在下半年。支出情况中期评估不足，202</w:t>
      </w:r>
      <w:r>
        <w:rPr>
          <w:rFonts w:ascii="Times New Roman" w:eastAsia="仿宋_GB2312" w:cs="Times New Roman" w:hAnsi="Times New Roman" w:hint="eastAsia"/>
          <w:bCs/>
          <w:kern w:val="0"/>
          <w:sz w:val="32"/>
          <w:szCs w:val="32"/>
          <w:shd w:val="clear" w:color="auto" w:fill="FFFFFF"/>
          <w:lang w:val="en-US" w:eastAsia="zh-CN"/>
        </w:rPr>
        <w:t>2</w:t>
      </w:r>
      <w:r>
        <w:rPr>
          <w:rFonts w:ascii="Times New Roman" w:eastAsia="仿宋_GB2312" w:cs="Times New Roman" w:hAnsi="Times New Roman" w:hint="eastAsia"/>
          <w:bCs/>
          <w:kern w:val="0"/>
          <w:sz w:val="32"/>
          <w:szCs w:val="32"/>
          <w:shd w:val="clear" w:color="auto" w:fill="FFFFFF"/>
          <w:lang w:val="zh-CN" w:eastAsia="zh-CN"/>
        </w:rPr>
        <w:t>年我单位“三公”经费支出总额为</w:t>
      </w:r>
      <w:r>
        <w:rPr>
          <w:rFonts w:ascii="Times New Roman" w:eastAsia="仿宋_GB2312" w:cs="Times New Roman" w:hAnsi="Times New Roman" w:hint="eastAsia"/>
          <w:bCs/>
          <w:kern w:val="0"/>
          <w:sz w:val="32"/>
          <w:szCs w:val="32"/>
          <w:shd w:val="clear" w:color="auto" w:fill="FFFFFF"/>
          <w:lang w:val="en-US" w:eastAsia="zh-CN"/>
        </w:rPr>
        <w:t>12</w:t>
      </w:r>
      <w:r>
        <w:rPr>
          <w:rFonts w:ascii="Times New Roman" w:eastAsia="仿宋_GB2312" w:cs="Times New Roman" w:hAnsi="Times New Roman" w:hint="eastAsia"/>
          <w:bCs/>
          <w:kern w:val="0"/>
          <w:sz w:val="32"/>
          <w:szCs w:val="32"/>
          <w:shd w:val="clear" w:color="auto" w:fill="FFFFFF"/>
          <w:lang w:val="zh-CN" w:eastAsia="zh-CN"/>
        </w:rPr>
        <w:t>万元。主要是公务用车运行维护费1</w:t>
      </w:r>
      <w:r>
        <w:rPr>
          <w:rFonts w:ascii="Times New Roman" w:eastAsia="仿宋_GB2312" w:cs="Times New Roman" w:hAnsi="Times New Roman" w:hint="eastAsia"/>
          <w:bCs/>
          <w:kern w:val="0"/>
          <w:sz w:val="32"/>
          <w:szCs w:val="32"/>
          <w:shd w:val="clear" w:color="auto" w:fill="FFFFFF"/>
          <w:lang w:val="en-US" w:eastAsia="zh-CN"/>
        </w:rPr>
        <w:t>2</w:t>
      </w:r>
      <w:r>
        <w:rPr>
          <w:rFonts w:ascii="Times New Roman" w:eastAsia="仿宋_GB2312" w:cs="Times New Roman" w:hAnsi="Times New Roman" w:hint="eastAsia"/>
          <w:bCs/>
          <w:kern w:val="0"/>
          <w:sz w:val="32"/>
          <w:szCs w:val="32"/>
          <w:shd w:val="clear" w:color="auto" w:fill="FFFFFF"/>
          <w:lang w:val="zh-CN" w:eastAsia="zh-CN"/>
        </w:rPr>
        <w:t>万元。</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eastAsia="zh-CN"/>
        </w:rPr>
      </w:pPr>
      <w:r>
        <w:rPr>
          <w:rFonts w:ascii="Times New Roman" w:eastAsia="仿宋_GB2312" w:cs="Times New Roman" w:hAnsi="Times New Roman" w:hint="eastAsia"/>
          <w:bCs/>
          <w:kern w:val="0"/>
          <w:sz w:val="32"/>
          <w:szCs w:val="32"/>
          <w:shd w:val="clear" w:color="auto" w:fill="FFFFFF"/>
          <w:lang w:val="zh-CN" w:eastAsia="zh-CN"/>
        </w:rPr>
        <w:t>（三）</w:t>
      </w:r>
      <w:r>
        <w:rPr>
          <w:rFonts w:ascii="Times New Roman" w:eastAsia="楷体_GB2312" w:cs="Times New Roman" w:hAnsi="Times New Roman" w:hint="eastAsia"/>
          <w:b/>
          <w:sz w:val="32"/>
          <w:szCs w:val="32"/>
          <w:lang w:val="zh-CN" w:eastAsia="zh-CN"/>
        </w:rPr>
        <w:t>综合管理情况。</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eastAsia="zh-CN"/>
        </w:rPr>
      </w:pPr>
      <w:r>
        <w:rPr>
          <w:rFonts w:ascii="Times New Roman" w:eastAsia="仿宋_GB2312" w:cs="Times New Roman" w:hAnsi="Times New Roman" w:hint="eastAsia"/>
          <w:bCs/>
          <w:kern w:val="0"/>
          <w:sz w:val="32"/>
          <w:szCs w:val="32"/>
          <w:shd w:val="clear" w:color="auto" w:fill="FFFFFF"/>
          <w:lang w:val="zh-CN" w:eastAsia="zh-CN"/>
        </w:rPr>
        <w:t>我委202</w:t>
      </w:r>
      <w:r>
        <w:rPr>
          <w:rFonts w:ascii="Times New Roman" w:eastAsia="仿宋_GB2312" w:cs="Times New Roman" w:hAnsi="Times New Roman" w:hint="eastAsia"/>
          <w:bCs/>
          <w:kern w:val="0"/>
          <w:sz w:val="32"/>
          <w:szCs w:val="32"/>
          <w:shd w:val="clear" w:color="auto" w:fill="FFFFFF"/>
          <w:lang w:val="en-US" w:eastAsia="zh-CN"/>
        </w:rPr>
        <w:t>2</w:t>
      </w:r>
      <w:r>
        <w:rPr>
          <w:rFonts w:ascii="Times New Roman" w:eastAsia="仿宋_GB2312" w:cs="Times New Roman" w:hAnsi="Times New Roman" w:hint="eastAsia"/>
          <w:bCs/>
          <w:kern w:val="0"/>
          <w:sz w:val="32"/>
          <w:szCs w:val="32"/>
          <w:shd w:val="clear" w:color="auto" w:fill="FFFFFF"/>
          <w:lang w:val="zh-CN" w:eastAsia="zh-CN"/>
        </w:rPr>
        <w:t>年所有国有资产纳入资产管理系统，及时准确上报并做好资产的管理工作。根据相关要求，单位使用预算资金基本符合相关的预算财务管理制度。我委在财政批复后20日内在指定网站公开预决算信息。按照相关要求进行绩效自我评价，按要求及时上报，对发现的问题提出整改措施，并整改落实到位。绩效评价及依法接受财政监督情况等。</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eastAsia="zh-CN"/>
        </w:rPr>
      </w:pP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eastAsia="zh-CN"/>
        </w:rPr>
      </w:pPr>
      <w:r>
        <w:rPr>
          <w:rFonts w:ascii="Times New Roman" w:eastAsia="仿宋_GB2312" w:cs="Times New Roman" w:hAnsi="Times New Roman" w:hint="eastAsia"/>
          <w:bCs/>
          <w:kern w:val="0"/>
          <w:sz w:val="32"/>
          <w:szCs w:val="32"/>
          <w:shd w:val="clear" w:color="auto" w:fill="FFFFFF"/>
          <w:lang w:val="zh-CN" w:eastAsia="zh-CN"/>
        </w:rPr>
        <w:t>（二）</w:t>
      </w:r>
      <w:r>
        <w:rPr>
          <w:rFonts w:ascii="Times New Roman" w:eastAsia="楷体_GB2312" w:cs="Times New Roman" w:hAnsi="Times New Roman" w:hint="eastAsia"/>
          <w:b/>
          <w:sz w:val="32"/>
          <w:szCs w:val="32"/>
          <w:lang w:val="zh-CN" w:eastAsia="zh-CN"/>
        </w:rPr>
        <w:t>结果应用情况。</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hint="eastAsia"/>
          <w:bCs/>
          <w:kern w:val="0"/>
          <w:sz w:val="32"/>
          <w:szCs w:val="32"/>
          <w:shd w:val="clear" w:color="auto" w:fill="FFFFFF"/>
          <w:lang w:val="zh-CN" w:eastAsia="zh-CN"/>
        </w:rPr>
      </w:pPr>
      <w:r>
        <w:rPr>
          <w:rFonts w:ascii="Times New Roman" w:eastAsia="仿宋_GB2312" w:cs="Times New Roman" w:hAnsi="Times New Roman" w:hint="eastAsia"/>
          <w:bCs/>
          <w:kern w:val="0"/>
          <w:sz w:val="32"/>
          <w:szCs w:val="32"/>
          <w:shd w:val="clear" w:color="auto" w:fill="FFFFFF"/>
          <w:lang w:val="zh-CN" w:eastAsia="zh-CN"/>
        </w:rPr>
        <w:t>我</w:t>
      </w:r>
      <w:r>
        <w:rPr>
          <w:rFonts w:ascii="Times New Roman" w:eastAsia="仿宋_GB2312" w:cs="Times New Roman" w:hAnsi="Times New Roman" w:hint="eastAsia"/>
          <w:bCs/>
          <w:kern w:val="0"/>
          <w:sz w:val="32"/>
          <w:szCs w:val="32"/>
          <w:shd w:val="clear" w:color="auto" w:fill="FFFFFF"/>
          <w:lang w:val="en-US" w:eastAsia="zh-CN"/>
        </w:rPr>
        <w:t>委</w:t>
      </w:r>
      <w:r>
        <w:rPr>
          <w:rFonts w:ascii="Times New Roman" w:eastAsia="仿宋_GB2312" w:cs="Times New Roman" w:hAnsi="Times New Roman" w:hint="eastAsia"/>
          <w:bCs/>
          <w:kern w:val="0"/>
          <w:sz w:val="32"/>
          <w:szCs w:val="32"/>
          <w:shd w:val="clear" w:color="auto" w:fill="FFFFFF"/>
          <w:lang w:val="zh-CN" w:eastAsia="zh-CN"/>
        </w:rPr>
        <w:t>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（三）自评质量</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eastAsia="zh-CN"/>
        </w:rPr>
      </w:pPr>
      <w:r>
        <w:rPr>
          <w:rFonts w:ascii="Times New Roman" w:eastAsia="仿宋_GB2312" w:cs="Times New Roman" w:hAnsi="Times New Roman"/>
          <w:b/>
          <w:bCs/>
          <w:kern w:val="0"/>
          <w:sz w:val="32"/>
          <w:szCs w:val="32"/>
          <w:shd w:val="clear" w:color="auto" w:fill="FFFFFF"/>
          <w:lang w:val="zh-CN" w:eastAsia="zh-CN"/>
        </w:rPr>
        <w:t>1.预算编制。</w:t>
      </w:r>
      <w:r>
        <w:rPr>
          <w:rFonts w:ascii="Times New Roman" w:eastAsia="仿宋_GB2312" w:cs="Times New Roman" w:hAnsi="Times New Roman"/>
          <w:bCs/>
          <w:kern w:val="0"/>
          <w:sz w:val="32"/>
          <w:szCs w:val="32"/>
          <w:shd w:val="clear" w:color="auto" w:fill="FFFFFF"/>
          <w:lang w:val="zh-CN" w:eastAsia="zh-CN"/>
        </w:rPr>
        <w:t>一是做到了绩效目标编制要素齐全，质量适中，绩效指标细化量化；二是做到了绩效目标实际实现程度与预期目标的偏离度小于10%，全年整体效应良好；三是做到了年初预算编制科学合理，全年预算调剂金额占比有效控制在10%以内，预算编制准确率达标。</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eastAsia="zh-CN"/>
        </w:rPr>
      </w:pPr>
      <w:r>
        <w:rPr>
          <w:rFonts w:ascii="Times New Roman" w:eastAsia="仿宋_GB2312" w:cs="Times New Roman" w:hAnsi="Times New Roman"/>
          <w:b/>
          <w:bCs/>
          <w:kern w:val="0"/>
          <w:sz w:val="32"/>
          <w:szCs w:val="32"/>
          <w:shd w:val="clear" w:color="auto" w:fill="FFFFFF"/>
          <w:lang w:val="zh-CN"/>
        </w:rPr>
        <w:t>2.预算执行。</w:t>
      </w:r>
      <w:r>
        <w:rPr>
          <w:rFonts w:ascii="Times New Roman" w:eastAsia="仿宋_GB2312" w:cs="Times New Roman" w:hAnsi="Times New Roman"/>
          <w:bCs/>
          <w:kern w:val="0"/>
          <w:sz w:val="32"/>
          <w:szCs w:val="32"/>
          <w:shd w:val="clear" w:color="auto" w:fill="FFFFFF"/>
          <w:lang w:val="zh-CN" w:eastAsia="zh-CN"/>
        </w:rPr>
        <w:t>支出控制方面，日常公用经费、项目支出中“办公费、印刷费、水费、电费、物业管理费”等科目预决算偏差度为5.35%，小于10%控制标准，支出控制科学合理；执行进度方面，全年在6月、9月、11月进行测算，实际支出进度分别达到69.81%、79%、86.32%，执行进度完全高于阶段性量化指标，预算执行良好。</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rPr>
      </w:pPr>
      <w:r>
        <w:rPr>
          <w:rFonts w:ascii="Times New Roman" w:eastAsia="仿宋_GB2312" w:cs="Times New Roman" w:hAnsi="Times New Roman"/>
          <w:b/>
          <w:bCs/>
          <w:kern w:val="0"/>
          <w:sz w:val="32"/>
          <w:szCs w:val="32"/>
          <w:shd w:val="clear" w:color="auto" w:fill="FFFFFF"/>
          <w:lang w:val="zh-CN"/>
        </w:rPr>
        <w:t>3.预算完成。</w:t>
      </w:r>
      <w:r>
        <w:rPr>
          <w:rFonts w:ascii="Times New Roman" w:eastAsia="仿宋_GB2312" w:cs="Times New Roman" w:hAnsi="Times New Roman"/>
          <w:bCs/>
          <w:kern w:val="0"/>
          <w:sz w:val="32"/>
          <w:szCs w:val="32"/>
          <w:shd w:val="clear" w:color="auto" w:fill="FFFFFF"/>
          <w:lang w:val="zh-CN" w:eastAsia="zh-CN"/>
        </w:rPr>
        <w:t>截止2021年12月31日，全年预算完成率达到96.62%，整体支出实现了年初既定目标，未收到审计、财政等监督部门关于预算管理方面违纪违规问题通报，预算管理合规。</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黑体" w:cs="Times New Roman" w:hAnsi="Times New Roman"/>
          <w:kern w:val="0"/>
          <w:sz w:val="32"/>
          <w:szCs w:val="32"/>
          <w:shd w:val="clear" w:color="auto" w:fill="FFFFFF"/>
        </w:rPr>
      </w:pPr>
      <w:r>
        <w:rPr>
          <w:rFonts w:ascii="Times New Roman" w:eastAsia="黑体" w:cs="Times New Roman" w:hAnsi="Times New Roman"/>
          <w:kern w:val="0"/>
          <w:sz w:val="32"/>
          <w:szCs w:val="32"/>
          <w:shd w:val="clear" w:color="auto" w:fill="FFFFFF"/>
        </w:rPr>
        <w:t>四、评价结论及建议</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（一）评价结论。</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kern w:val="0"/>
          <w:sz w:val="32"/>
          <w:szCs w:val="32"/>
          <w:shd w:val="clear" w:color="auto" w:fill="FFFFFF"/>
          <w:lang w:val="zh-CN"/>
        </w:rPr>
      </w:pPr>
      <w:r>
        <w:rPr>
          <w:rFonts w:ascii="Times New Roman" w:eastAsia="仿宋_GB2312" w:cs="Times New Roman" w:hAnsi="Times New Roman"/>
          <w:bCs/>
          <w:kern w:val="0"/>
          <w:sz w:val="32"/>
          <w:szCs w:val="32"/>
          <w:shd w:val="clear" w:color="auto" w:fill="FFFFFF"/>
          <w:lang w:val="zh-CN" w:eastAsia="zh-CN"/>
        </w:rPr>
        <w:t>我</w:t>
      </w:r>
      <w:r>
        <w:rPr>
          <w:rFonts w:eastAsia="仿宋_GB2312" w:cs="Times New Roman" w:hint="eastAsia"/>
          <w:bCs/>
          <w:kern w:val="0"/>
          <w:sz w:val="32"/>
          <w:szCs w:val="32"/>
          <w:shd w:val="clear" w:color="auto" w:fill="FFFFFF"/>
          <w:lang w:val="en-US" w:eastAsia="zh-CN"/>
        </w:rPr>
        <w:t>委</w:t>
      </w:r>
      <w:r>
        <w:rPr>
          <w:rFonts w:ascii="Times New Roman" w:eastAsia="仿宋_GB2312" w:cs="Times New Roman" w:hAnsi="Times New Roman"/>
          <w:bCs/>
          <w:kern w:val="0"/>
          <w:sz w:val="32"/>
          <w:szCs w:val="32"/>
          <w:shd w:val="clear" w:color="auto" w:fill="FFFFFF"/>
          <w:lang w:val="zh-CN" w:eastAsia="zh-CN"/>
        </w:rPr>
        <w:t>对202</w:t>
      </w:r>
      <w:r>
        <w:rPr>
          <w:rFonts w:eastAsia="仿宋_GB2312" w:cs="Times New Roman" w:hint="eastAsia"/>
          <w:bCs/>
          <w:kern w:val="0"/>
          <w:sz w:val="32"/>
          <w:szCs w:val="32"/>
          <w:shd w:val="clear" w:color="auto" w:fill="FFFFFF"/>
          <w:lang w:val="en-US" w:eastAsia="zh-CN"/>
        </w:rPr>
        <w:t>2</w:t>
      </w:r>
      <w:r>
        <w:rPr>
          <w:rFonts w:ascii="Times New Roman" w:eastAsia="仿宋_GB2312" w:cs="Times New Roman" w:hAnsi="Times New Roman"/>
          <w:bCs/>
          <w:kern w:val="0"/>
          <w:sz w:val="32"/>
          <w:szCs w:val="32"/>
          <w:shd w:val="clear" w:color="auto" w:fill="FFFFFF"/>
          <w:lang w:val="zh-CN" w:eastAsia="zh-CN"/>
        </w:rPr>
        <w:t>年度整体支出情况开展自评</w:t>
      </w:r>
      <w:r>
        <w:rPr>
          <w:rFonts w:eastAsia="仿宋_GB2312" w:cs="Times New Roman" w:hint="eastAsia"/>
          <w:bCs/>
          <w:kern w:val="0"/>
          <w:sz w:val="32"/>
          <w:szCs w:val="32"/>
          <w:shd w:val="clear" w:color="auto" w:fill="FFFFFF"/>
          <w:lang w:val="zh-CN" w:eastAsia="zh-CN"/>
        </w:rPr>
        <w:t>，</w:t>
      </w:r>
      <w:r>
        <w:rPr>
          <w:rFonts w:ascii="Times New Roman" w:eastAsia="仿宋_GB2312" w:cs="Times New Roman" w:hAnsi="Times New Roman"/>
          <w:bCs/>
          <w:kern w:val="0"/>
          <w:sz w:val="32"/>
          <w:szCs w:val="32"/>
          <w:shd w:val="clear" w:color="auto" w:fill="FFFFFF"/>
          <w:lang w:val="zh-CN" w:eastAsia="zh-CN"/>
        </w:rPr>
        <w:t>从总体性分析评价，全年整体支出较优，整体绩效管理合理合规。202</w:t>
      </w:r>
      <w:r>
        <w:rPr>
          <w:rFonts w:eastAsia="仿宋_GB2312" w:cs="Times New Roman" w:hint="eastAsia"/>
          <w:bCs/>
          <w:kern w:val="0"/>
          <w:sz w:val="32"/>
          <w:szCs w:val="32"/>
          <w:shd w:val="clear" w:color="auto" w:fill="FFFFFF"/>
          <w:lang w:val="en-US" w:eastAsia="zh-CN"/>
        </w:rPr>
        <w:t>2</w:t>
      </w:r>
      <w:r>
        <w:rPr>
          <w:rFonts w:ascii="Times New Roman" w:eastAsia="仿宋_GB2312" w:cs="Times New Roman" w:hAnsi="Times New Roman"/>
          <w:bCs/>
          <w:kern w:val="0"/>
          <w:sz w:val="32"/>
          <w:szCs w:val="32"/>
          <w:shd w:val="clear" w:color="auto" w:fill="FFFFFF"/>
          <w:lang w:val="zh-CN" w:eastAsia="zh-CN"/>
        </w:rPr>
        <w:t>年度整体支出绩效评价优好，无违纪违规问题，预算编制、预算执行、完成结果等均达到既定目标管理。</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（二）存在问题。</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rPr>
      </w:pPr>
      <w:r>
        <w:rPr>
          <w:rFonts w:ascii="Times New Roman" w:eastAsia="仿宋_GB2312" w:cs="Times New Roman" w:hAnsi="Times New Roman"/>
          <w:bCs/>
          <w:kern w:val="0"/>
          <w:sz w:val="32"/>
          <w:szCs w:val="32"/>
          <w:shd w:val="clear" w:color="auto" w:fill="FFFFFF"/>
          <w:lang w:val="zh-CN"/>
        </w:rPr>
        <w:t>个别人员经费和公用经费测算标准及套用公式不够科学精准，部分经济科目在预算执行中存在较早亮红灯或年度终了仍有结余的现象。个别项目支出存在预算编制不够精准，不能够按照绩效目标及时组织实施，整个年度不启动使用等不良情况。</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kern w:val="0"/>
          <w:sz w:val="32"/>
          <w:szCs w:val="32"/>
          <w:shd w:val="clear" w:color="auto" w:fill="FFFFFF"/>
          <w:lang w:val="zh-CN"/>
        </w:rPr>
      </w:pPr>
      <w:r>
        <w:rPr>
          <w:rFonts w:ascii="Times New Roman" w:eastAsia="楷体_GB2312" w:cs="Times New Roman" w:hAnsi="Times New Roman"/>
          <w:b/>
          <w:sz w:val="32"/>
          <w:szCs w:val="32"/>
          <w:lang w:val="zh-CN"/>
        </w:rPr>
        <w:t>（三）改进建议。</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rPr>
      </w:pPr>
      <w:r>
        <w:rPr>
          <w:rFonts w:ascii="Times New Roman" w:eastAsia="仿宋_GB2312" w:cs="Times New Roman" w:hAnsi="Times New Roman"/>
          <w:bCs/>
          <w:kern w:val="0"/>
          <w:sz w:val="32"/>
          <w:szCs w:val="32"/>
          <w:shd w:val="clear" w:color="auto" w:fill="FFFFFF"/>
          <w:lang w:val="zh-CN"/>
        </w:rPr>
        <w:t>我</w:t>
      </w:r>
      <w:r>
        <w:rPr>
          <w:rFonts w:eastAsia="仿宋_GB2312" w:cs="Times New Roman" w:hint="eastAsia"/>
          <w:bCs/>
          <w:kern w:val="0"/>
          <w:sz w:val="32"/>
          <w:szCs w:val="32"/>
          <w:shd w:val="clear" w:color="auto" w:fill="FFFFFF"/>
          <w:lang w:val="en-US" w:eastAsia="zh-CN"/>
        </w:rPr>
        <w:t>委</w:t>
      </w:r>
      <w:r>
        <w:rPr>
          <w:rFonts w:ascii="Times New Roman" w:eastAsia="仿宋_GB2312" w:cs="Times New Roman" w:hAnsi="Times New Roman"/>
          <w:bCs/>
          <w:kern w:val="0"/>
          <w:sz w:val="32"/>
          <w:szCs w:val="32"/>
          <w:shd w:val="clear" w:color="auto" w:fill="FFFFFF"/>
          <w:lang w:val="zh-CN"/>
        </w:rPr>
        <w:t>将积极对接财政部门作出技术调整，优化预算测算标准，科学审批年度预算汇编，使资金真正能够因地制宜，发挥实效。进一步做好预算编制前提调研准备工作，根据实际需要积极评估测算，尽量减少减轻资金闲置或低使用率现象，启用预算执行绩效监控机制，及时提示项目管理部门按照绩效目标开展实施。</w:t>
      </w:r>
    </w:p>
    <w:p>
      <w:pPr>
        <w:pStyle w:val="15"/>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5"/>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5"/>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5"/>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5"/>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5"/>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5"/>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5"/>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5"/>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5"/>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5"/>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5"/>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5"/>
        <w:pageBreakBefore w:val="0"/>
        <w:widowControl w:val="0"/>
        <w:kinsoku/>
        <w:wordWrap/>
        <w:overflowPunct/>
        <w:topLinePunct w:val="0"/>
        <w:bidi w:val="0"/>
        <w:spacing w:beforeLines="0" w:before="93" w:line="576" w:lineRule="exact"/>
        <w:rPr>
          <w:rFonts w:ascii="Times New Roman" w:cs="Times New Roman" w:hAnsi="Times New Roman"/>
          <w:lang w:val="zh-CN"/>
        </w:rPr>
      </w:pPr>
      <w:r>
        <w:rPr>
          <w:rFonts w:ascii="Times New Roman" w:cs="Times New Roman" w:hAnsi="Times New Roman"/>
          <w:sz w:val="32"/>
          <w:szCs w:val="32"/>
          <w:shd w:val="clear" w:color="auto" w:fill="FFFFFF"/>
          <w:lang w:val="zh-CN"/>
        </w:rPr>
        <w:t>附件</w:t>
      </w:r>
    </w:p>
    <w:p>
      <w:pPr>
        <w:pageBreakBefore w:val="0"/>
        <w:widowControl w:val="0"/>
        <w:kinsoku/>
        <w:wordWrap/>
        <w:overflowPunct/>
        <w:topLinePunct w:val="0"/>
        <w:bidi w:val="0"/>
        <w:spacing w:line="576" w:lineRule="exact"/>
        <w:jc w:val="center"/>
        <w:rPr>
          <w:rFonts w:ascii="Times New Roman" w:eastAsia="方正小标宋简体" w:cs="Times New Roman" w:hAnsi="Times New Roman"/>
          <w:sz w:val="40"/>
          <w:szCs w:val="40"/>
          <w:lang w:val="zh-CN"/>
        </w:rPr>
      </w:pPr>
      <w:r>
        <w:rPr>
          <w:rFonts w:ascii="Times New Roman" w:eastAsia="方正小标宋简体" w:cs="Times New Roman" w:hAnsi="Times New Roman"/>
          <w:sz w:val="40"/>
          <w:szCs w:val="40"/>
        </w:rPr>
        <w:t>2022年</w:t>
      </w:r>
      <w:r>
        <w:rPr>
          <w:rFonts w:ascii="Times New Roman" w:eastAsia="方正小标宋简体" w:cs="Times New Roman" w:hAnsi="Times New Roman"/>
          <w:sz w:val="40"/>
          <w:szCs w:val="40"/>
          <w:lang w:val="zh-CN"/>
        </w:rPr>
        <w:t>专项预算项目支出绩效自评报告</w:t>
      </w:r>
    </w:p>
    <w:p>
      <w:pPr>
        <w:pageBreakBefore w:val="0"/>
        <w:widowControl w:val="0"/>
        <w:kinsoku/>
        <w:wordWrap/>
        <w:overflowPunct/>
        <w:topLinePunct w:val="0"/>
        <w:bidi w:val="0"/>
        <w:spacing w:line="576" w:lineRule="exact"/>
        <w:ind w:firstLine="640"/>
        <w:jc w:val="center"/>
        <w:rPr>
          <w:rFonts w:ascii="Times New Roman" w:cs="Times New Roman" w:hAnsi="Times New Roman"/>
          <w:sz w:val="32"/>
          <w:szCs w:val="32"/>
          <w:lang w:val="zh-CN"/>
        </w:rPr>
      </w:pPr>
      <w:r>
        <w:rPr>
          <w:rFonts w:ascii="Times New Roman" w:cs="Times New Roman" w:hAnsi="Times New Roman"/>
          <w:sz w:val="32"/>
          <w:szCs w:val="32"/>
          <w:lang w:val="zh-CN"/>
        </w:rPr>
        <w:t>（</w:t>
      </w:r>
      <w:r>
        <w:rPr>
          <w:rFonts w:ascii="仿宋_GB2312" w:eastAsia="仿宋_GB2312" w:cs="仿宋_GB2312" w:hint="eastAsia"/>
          <w:color w:val="000000"/>
          <w:sz w:val="31"/>
          <w:szCs w:val="31"/>
          <w:lang w:eastAsia="zh-CN"/>
        </w:rPr>
        <w:t>社会治安综合治理系统平台升级及</w:t>
      </w:r>
      <w:r>
        <w:rPr>
          <w:rFonts w:ascii="仿宋_GB2312" w:eastAsia="仿宋_GB2312" w:cs="仿宋_GB2312" w:hint="eastAsia"/>
          <w:color w:val="000000"/>
          <w:sz w:val="31"/>
          <w:szCs w:val="31"/>
          <w:lang w:val="en-US" w:eastAsia="zh-CN"/>
        </w:rPr>
        <w:t>15个乡镇综治中心设施设备采购及安装项目</w:t>
      </w:r>
      <w:r>
        <w:rPr>
          <w:rFonts w:ascii="Times New Roman" w:cs="Times New Roman" w:hAnsi="Times New Roman"/>
          <w:sz w:val="32"/>
          <w:szCs w:val="32"/>
          <w:lang w:val="zh-CN"/>
        </w:rPr>
        <w:t>）</w:t>
      </w:r>
    </w:p>
    <w:p>
      <w:pPr>
        <w:pStyle w:val="15"/>
        <w:pageBreakBefore w:val="0"/>
        <w:widowControl w:val="0"/>
        <w:bidi w:val="0"/>
        <w:rPr>
          <w:rFonts w:ascii="Times New Roman" w:cs="Times New Roman" w:hAnsi="Times New Roman"/>
        </w:rPr>
      </w:pPr>
    </w:p>
    <w:p>
      <w:pPr>
        <w:pageBreakBefore w:val="0"/>
        <w:widowControl w:val="0"/>
        <w:kinsoku/>
        <w:wordWrap/>
        <w:overflowPunct/>
        <w:topLinePunct w:val="0"/>
        <w:bidi w:val="0"/>
        <w:adjustRightInd w:val="0"/>
        <w:snapToGrid w:val="0"/>
        <w:spacing w:line="576" w:lineRule="exact"/>
        <w:ind w:firstLine="720"/>
        <w:rPr>
          <w:rFonts w:ascii="Times New Roman" w:eastAsia="黑体" w:cs="Times New Roman" w:hAnsi="Times New Roman"/>
          <w:sz w:val="32"/>
          <w:szCs w:val="32"/>
          <w:lang w:val="zh-CN"/>
        </w:rPr>
      </w:pPr>
      <w:r>
        <w:rPr>
          <w:rFonts w:ascii="Times New Roman" w:eastAsia="黑体" w:cs="Times New Roman" w:hAnsi="Times New Roman"/>
          <w:sz w:val="32"/>
          <w:szCs w:val="32"/>
        </w:rPr>
        <w:t>一、</w:t>
      </w:r>
      <w:r>
        <w:rPr>
          <w:rFonts w:ascii="Times New Roman" w:eastAsia="黑体" w:cs="Times New Roman" w:hAnsi="Times New Roman"/>
          <w:sz w:val="32"/>
          <w:szCs w:val="32"/>
          <w:lang w:val="zh-CN"/>
        </w:rPr>
        <w:t>项目概况</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（一）项目基本情况。</w:t>
      </w:r>
    </w:p>
    <w:p>
      <w:pPr>
        <w:pStyle w:val="22"/>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eastAsia="仿宋_GB2312"/>
          <w:lang w:val="en-US" w:eastAsia="zh-CN"/>
        </w:rPr>
      </w:pPr>
      <w:r>
        <w:rPr>
          <w:rFonts w:ascii="Times New Roman" w:eastAsia="仿宋_GB2312" w:cs="Times New Roman" w:hAnsi="Times New Roman"/>
          <w:b/>
          <w:bCs/>
          <w:kern w:val="0"/>
          <w:sz w:val="32"/>
          <w:szCs w:val="32"/>
          <w:shd w:val="clear" w:color="auto" w:fill="FFFFFF"/>
          <w:lang w:val="zh-CN"/>
        </w:rPr>
        <w:t>1.基本职能。</w:t>
      </w:r>
      <w:r>
        <w:rPr>
          <w:rFonts w:ascii="仿宋_GB2312" w:eastAsia="仿宋_GB2312" w:cs="仿宋_GB2312" w:hint="eastAsia"/>
          <w:color w:val="000000"/>
          <w:sz w:val="31"/>
          <w:szCs w:val="31"/>
        </w:rPr>
        <w:t>1．</w:t>
      </w:r>
      <w:r>
        <w:rPr>
          <w:rFonts w:ascii="仿宋_GB2312" w:eastAsia="仿宋_GB2312" w:cs="仿宋_GB2312" w:hint="eastAsia"/>
          <w:sz w:val="32"/>
          <w:szCs w:val="32"/>
        </w:rPr>
        <w:t>为加快推进</w:t>
      </w:r>
      <w:r>
        <w:rPr>
          <w:rFonts w:ascii="仿宋_GB2312" w:eastAsia="仿宋_GB2312" w:cs="仿宋_GB2312" w:hint="eastAsia"/>
          <w:sz w:val="32"/>
          <w:szCs w:val="32"/>
          <w:lang w:eastAsia="zh-CN"/>
        </w:rPr>
        <w:t>金川县</w:t>
      </w:r>
      <w:r>
        <w:rPr>
          <w:rFonts w:ascii="仿宋_GB2312" w:eastAsia="仿宋_GB2312" w:cs="仿宋_GB2312" w:hint="eastAsia"/>
          <w:sz w:val="32"/>
          <w:szCs w:val="32"/>
        </w:rPr>
        <w:t>县域治理信息化水平建设，切实提升社会综合治理水平，</w:t>
      </w:r>
      <w:r>
        <w:rPr>
          <w:rFonts w:ascii="仿宋_GB2312" w:eastAsia="仿宋_GB2312" w:cs="仿宋_GB2312" w:hint="eastAsia"/>
          <w:sz w:val="32"/>
          <w:szCs w:val="32"/>
          <w:lang w:eastAsia="zh-CN"/>
        </w:rPr>
        <w:t>金川县政法委</w:t>
      </w:r>
      <w:r>
        <w:rPr>
          <w:rFonts w:ascii="仿宋_GB2312" w:eastAsia="仿宋_GB2312" w:cs="仿宋_GB2312" w:hint="eastAsia"/>
          <w:sz w:val="32"/>
          <w:szCs w:val="32"/>
        </w:rPr>
        <w:t>采用“先试点后推动”的工作步骤，通过</w:t>
      </w:r>
      <w:r>
        <w:rPr>
          <w:rFonts w:ascii="仿宋_GB2312" w:eastAsia="仿宋_GB2312" w:cs="仿宋_GB2312" w:hint="eastAsia"/>
          <w:sz w:val="32"/>
          <w:szCs w:val="32"/>
          <w:lang w:val="en-US" w:eastAsia="zh-CN"/>
        </w:rPr>
        <w:t>2019年</w:t>
      </w:r>
      <w:r>
        <w:rPr>
          <w:rFonts w:ascii="仿宋_GB2312" w:eastAsia="仿宋_GB2312" w:cs="仿宋_GB2312" w:hint="eastAsia"/>
          <w:sz w:val="32"/>
          <w:szCs w:val="32"/>
        </w:rPr>
        <w:t>试点县级社会综合治理平台、县级视频会议平台、平安金川APP管理平台、雪亮工程移动APP</w:t>
      </w:r>
      <w:r>
        <w:rPr>
          <w:rFonts w:ascii="仿宋_GB2312" w:eastAsia="仿宋_GB2312" w:cs="仿宋_GB2312" w:hint="eastAsia"/>
          <w:sz w:val="32"/>
          <w:szCs w:val="32"/>
          <w:lang w:eastAsia="zh-CN"/>
        </w:rPr>
        <w:t>及</w:t>
      </w:r>
      <w:r>
        <w:rPr>
          <w:rFonts w:ascii="仿宋_GB2312" w:eastAsia="仿宋_GB2312" w:cs="仿宋_GB2312" w:hint="eastAsia"/>
          <w:sz w:val="32"/>
          <w:szCs w:val="32"/>
        </w:rPr>
        <w:t>勒乌镇、安宁镇、观音桥镇</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个乡镇综治中心</w:t>
      </w:r>
      <w:r>
        <w:rPr>
          <w:rFonts w:ascii="仿宋_GB2312" w:eastAsia="仿宋_GB2312" w:cs="仿宋_GB2312" w:hint="eastAsia"/>
          <w:sz w:val="32"/>
          <w:szCs w:val="32"/>
          <w:lang w:eastAsia="zh-CN"/>
        </w:rPr>
        <w:t>建设项目</w:t>
      </w:r>
      <w:r>
        <w:rPr>
          <w:rFonts w:ascii="仿宋_GB2312" w:eastAsia="仿宋_GB2312" w:cs="仿宋_GB2312" w:hint="eastAsia"/>
          <w:color w:val="000000"/>
          <w:sz w:val="31"/>
          <w:szCs w:val="31"/>
        </w:rPr>
        <w:t>2．</w:t>
      </w:r>
      <w:r>
        <w:rPr>
          <w:rFonts w:ascii="仿宋_GB2312" w:eastAsia="仿宋_GB2312" w:cs="仿宋_GB2312" w:hint="eastAsia"/>
          <w:color w:val="000000"/>
          <w:sz w:val="31"/>
          <w:szCs w:val="31"/>
          <w:lang w:eastAsia="zh-CN"/>
        </w:rPr>
        <w:t>《中共金川县委政法委员会关于实施社会治安综合治理系统平台升级及</w:t>
      </w:r>
      <w:r>
        <w:rPr>
          <w:rFonts w:ascii="仿宋_GB2312" w:eastAsia="仿宋_GB2312" w:cs="仿宋_GB2312" w:hint="eastAsia"/>
          <w:color w:val="000000"/>
          <w:sz w:val="31"/>
          <w:szCs w:val="31"/>
          <w:lang w:val="en-US" w:eastAsia="zh-CN"/>
        </w:rPr>
        <w:t>15个乡镇综治中心设施设备采购及安装项目的请示</w:t>
      </w:r>
      <w:r>
        <w:rPr>
          <w:rFonts w:ascii="仿宋_GB2312" w:eastAsia="仿宋_GB2312" w:cs="仿宋_GB2312" w:hint="eastAsia"/>
          <w:color w:val="000000"/>
          <w:sz w:val="31"/>
          <w:szCs w:val="31"/>
          <w:lang w:eastAsia="zh-CN"/>
        </w:rPr>
        <w:t>》（金委政法〔</w:t>
      </w:r>
      <w:r>
        <w:rPr>
          <w:rFonts w:ascii="仿宋_GB2312" w:eastAsia="仿宋_GB2312" w:cs="仿宋_GB2312" w:hint="eastAsia"/>
          <w:color w:val="000000"/>
          <w:sz w:val="31"/>
          <w:szCs w:val="31"/>
          <w:lang w:val="en-US" w:eastAsia="zh-CN"/>
        </w:rPr>
        <w:t>2021</w:t>
      </w:r>
      <w:r>
        <w:rPr>
          <w:rFonts w:ascii="仿宋_GB2312" w:eastAsia="仿宋_GB2312" w:cs="仿宋_GB2312" w:hint="eastAsia"/>
          <w:color w:val="000000"/>
          <w:sz w:val="31"/>
          <w:szCs w:val="31"/>
          <w:lang w:eastAsia="zh-CN"/>
        </w:rPr>
        <w:t>〕</w:t>
      </w:r>
      <w:r>
        <w:rPr>
          <w:rFonts w:ascii="仿宋_GB2312" w:eastAsia="仿宋_GB2312" w:cs="仿宋_GB2312" w:hint="eastAsia"/>
          <w:color w:val="000000"/>
          <w:sz w:val="31"/>
          <w:szCs w:val="31"/>
          <w:lang w:val="en-US" w:eastAsia="zh-CN"/>
        </w:rPr>
        <w:t>46号</w:t>
      </w:r>
      <w:r>
        <w:rPr>
          <w:rFonts w:ascii="仿宋_GB2312" w:eastAsia="仿宋_GB2312" w:cs="仿宋_GB2312" w:hint="eastAsia"/>
          <w:color w:val="000000"/>
          <w:sz w:val="31"/>
          <w:szCs w:val="31"/>
          <w:lang w:eastAsia="zh-CN"/>
        </w:rPr>
        <w:t>）。中共金川县第十二届县委第</w:t>
      </w:r>
      <w:r>
        <w:rPr>
          <w:rFonts w:ascii="仿宋_GB2312" w:eastAsia="仿宋_GB2312" w:cs="仿宋_GB2312" w:hint="eastAsia"/>
          <w:color w:val="000000"/>
          <w:sz w:val="31"/>
          <w:szCs w:val="31"/>
          <w:lang w:val="en-US" w:eastAsia="zh-CN"/>
        </w:rPr>
        <w:t>142次常委会、</w:t>
      </w:r>
      <w:r>
        <w:rPr>
          <w:rFonts w:ascii="仿宋_GB2312" w:eastAsia="仿宋_GB2312" w:cs="仿宋_GB2312" w:hint="eastAsia"/>
          <w:color w:val="000000"/>
          <w:sz w:val="31"/>
          <w:szCs w:val="31"/>
          <w:lang w:eastAsia="zh-CN"/>
        </w:rPr>
        <w:t>十四届县人民政府第</w:t>
      </w:r>
      <w:r>
        <w:rPr>
          <w:rFonts w:ascii="仿宋_GB2312" w:eastAsia="仿宋_GB2312" w:cs="仿宋_GB2312" w:hint="eastAsia"/>
          <w:color w:val="000000"/>
          <w:sz w:val="31"/>
          <w:szCs w:val="31"/>
          <w:lang w:val="en-US" w:eastAsia="zh-CN"/>
        </w:rPr>
        <w:t>78次会议讨论通过。</w:t>
      </w:r>
      <w:r>
        <w:rPr>
          <w:rFonts w:ascii="仿宋_GB2312" w:eastAsia="仿宋_GB2312" w:cs="仿宋_GB2312" w:hint="eastAsia"/>
          <w:color w:val="000000"/>
          <w:sz w:val="31"/>
          <w:szCs w:val="31"/>
          <w:lang w:eastAsia="zh-CN"/>
        </w:rPr>
        <w:t>采购项目无需立项。</w:t>
      </w:r>
    </w:p>
    <w:p>
      <w:pPr>
        <w:pStyle w:val="22"/>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lang w:eastAsia="zh-CN"/>
        </w:rPr>
      </w:pPr>
      <w:r>
        <w:rPr>
          <w:rFonts w:ascii="仿宋_GB2312" w:eastAsia="仿宋_GB2312" w:cs="仿宋_GB2312" w:hint="eastAsia"/>
          <w:color w:val="000000"/>
          <w:sz w:val="31"/>
          <w:szCs w:val="31"/>
        </w:rPr>
        <w:t>3．</w:t>
      </w:r>
      <w:r>
        <w:rPr>
          <w:rFonts w:ascii="仿宋_GB2312" w:eastAsia="仿宋_GB2312" w:cs="仿宋_GB2312" w:hint="eastAsia"/>
          <w:color w:val="000000"/>
          <w:sz w:val="31"/>
          <w:szCs w:val="31"/>
          <w:lang w:val="en-US" w:eastAsia="zh-CN"/>
        </w:rPr>
        <w:t>严格</w:t>
      </w:r>
      <w:r>
        <w:rPr>
          <w:rFonts w:ascii="仿宋_GB2312" w:eastAsia="仿宋_GB2312" w:cs="仿宋_GB2312" w:hint="eastAsia"/>
          <w:color w:val="000000"/>
          <w:sz w:val="31"/>
          <w:szCs w:val="31"/>
          <w:lang w:eastAsia="zh-CN"/>
        </w:rPr>
        <w:t>按照财政内控制度管理所有项目资金。</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20"/>
        <w:textAlignment w:val="auto"/>
        <w:rPr>
          <w:rFonts w:ascii="仿宋_GB2312" w:eastAsia="仿宋_GB2312" w:cs="仿宋_GB2312" w:hint="eastAsia"/>
          <w:sz w:val="32"/>
          <w:szCs w:val="32"/>
          <w:lang w:val="en-US" w:eastAsia="zh-CN"/>
        </w:rPr>
      </w:pPr>
      <w:r>
        <w:rPr>
          <w:rFonts w:ascii="仿宋_GB2312" w:eastAsia="仿宋_GB2312" w:cs="仿宋_GB2312" w:hint="eastAsia"/>
          <w:color w:val="000000"/>
          <w:sz w:val="31"/>
          <w:szCs w:val="31"/>
        </w:rPr>
        <w:t>4．</w:t>
      </w:r>
      <w:r>
        <w:rPr>
          <w:rFonts w:ascii="仿宋_GB2312" w:eastAsia="仿宋_GB2312" w:cs="仿宋_GB2312" w:hint="eastAsia"/>
          <w:color w:val="000000"/>
          <w:sz w:val="31"/>
          <w:szCs w:val="31"/>
          <w:lang w:val="en-US" w:eastAsia="zh-CN"/>
        </w:rPr>
        <w:t>按照</w:t>
      </w:r>
      <w:r>
        <w:rPr>
          <w:rFonts w:ascii="仿宋_GB2312" w:eastAsia="仿宋_GB2312" w:cs="仿宋_GB2312" w:hint="eastAsia"/>
          <w:sz w:val="32"/>
          <w:szCs w:val="32"/>
        </w:rPr>
        <w:t>“先试点后推动”的工作步骤，通过</w:t>
      </w:r>
      <w:r>
        <w:rPr>
          <w:rFonts w:ascii="仿宋_GB2312" w:eastAsia="仿宋_GB2312" w:cs="仿宋_GB2312" w:hint="eastAsia"/>
          <w:sz w:val="32"/>
          <w:szCs w:val="32"/>
          <w:lang w:val="en-US" w:eastAsia="zh-CN"/>
        </w:rPr>
        <w:t>2019年</w:t>
      </w:r>
      <w:r>
        <w:rPr>
          <w:rFonts w:ascii="仿宋_GB2312" w:eastAsia="仿宋_GB2312" w:cs="仿宋_GB2312" w:hint="eastAsia"/>
          <w:sz w:val="32"/>
          <w:szCs w:val="32"/>
        </w:rPr>
        <w:t>试点县级社会综合治理平台、县级视频会议平台、平安金川APP管理平台、雪亮工程移动APP</w:t>
      </w:r>
      <w:r>
        <w:rPr>
          <w:rFonts w:ascii="仿宋_GB2312" w:eastAsia="仿宋_GB2312" w:cs="仿宋_GB2312" w:hint="eastAsia"/>
          <w:sz w:val="32"/>
          <w:szCs w:val="32"/>
          <w:lang w:eastAsia="zh-CN"/>
        </w:rPr>
        <w:t>及</w:t>
      </w:r>
      <w:r>
        <w:rPr>
          <w:rFonts w:ascii="仿宋_GB2312" w:eastAsia="仿宋_GB2312" w:cs="仿宋_GB2312" w:hint="eastAsia"/>
          <w:sz w:val="32"/>
          <w:szCs w:val="32"/>
        </w:rPr>
        <w:t>勒乌镇、安宁镇、观音桥镇</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个乡镇综治中心</w:t>
      </w:r>
      <w:r>
        <w:rPr>
          <w:rFonts w:ascii="仿宋_GB2312" w:eastAsia="仿宋_GB2312" w:cs="仿宋_GB2312" w:hint="eastAsia"/>
          <w:sz w:val="32"/>
          <w:szCs w:val="32"/>
          <w:lang w:eastAsia="zh-CN"/>
        </w:rPr>
        <w:t>建设项目（简称“综治中心一期”）</w:t>
      </w:r>
      <w:r>
        <w:rPr>
          <w:rFonts w:ascii="仿宋_GB2312" w:eastAsia="仿宋_GB2312" w:cs="仿宋_GB2312" w:hint="eastAsia"/>
          <w:sz w:val="32"/>
          <w:szCs w:val="32"/>
        </w:rPr>
        <w:t>，余下</w:t>
      </w:r>
      <w:r>
        <w:rPr>
          <w:rFonts w:ascii="仿宋_GB2312" w:eastAsia="仿宋_GB2312" w:cs="仿宋_GB2312" w:hint="eastAsia"/>
          <w:sz w:val="32"/>
          <w:szCs w:val="32"/>
          <w:lang w:val="en-US" w:eastAsia="zh-CN"/>
        </w:rPr>
        <w:t>15</w:t>
      </w:r>
      <w:r>
        <w:rPr>
          <w:rFonts w:ascii="仿宋_GB2312" w:eastAsia="仿宋_GB2312" w:cs="仿宋_GB2312" w:hint="eastAsia"/>
          <w:sz w:val="32"/>
          <w:szCs w:val="32"/>
        </w:rPr>
        <w:t>个乡镇综治中心</w:t>
      </w:r>
      <w:r>
        <w:rPr>
          <w:rFonts w:ascii="仿宋_GB2312" w:eastAsia="仿宋_GB2312" w:cs="仿宋_GB2312" w:hint="eastAsia"/>
          <w:sz w:val="32"/>
          <w:szCs w:val="32"/>
          <w:lang w:eastAsia="zh-CN"/>
        </w:rPr>
        <w:t>（简称“综治中心二期”）</w:t>
      </w:r>
      <w:r>
        <w:rPr>
          <w:rFonts w:ascii="仿宋_GB2312" w:eastAsia="仿宋_GB2312" w:cs="仿宋_GB2312" w:hint="eastAsia"/>
          <w:sz w:val="32"/>
          <w:szCs w:val="32"/>
        </w:rPr>
        <w:t>借鉴综治中心</w:t>
      </w:r>
      <w:r>
        <w:rPr>
          <w:rFonts w:ascii="仿宋_GB2312" w:eastAsia="仿宋_GB2312" w:cs="仿宋_GB2312" w:hint="eastAsia"/>
          <w:sz w:val="32"/>
          <w:szCs w:val="32"/>
          <w:lang w:eastAsia="zh-CN"/>
        </w:rPr>
        <w:t>一期</w:t>
      </w:r>
      <w:r>
        <w:rPr>
          <w:rFonts w:ascii="仿宋_GB2312" w:eastAsia="仿宋_GB2312" w:cs="仿宋_GB2312" w:hint="eastAsia"/>
          <w:sz w:val="32"/>
          <w:szCs w:val="32"/>
        </w:rPr>
        <w:t>建设的成功经验逐步完成建设</w:t>
      </w:r>
      <w:r>
        <w:rPr>
          <w:rFonts w:ascii="仿宋_GB2312" w:eastAsia="仿宋_GB2312" w:cs="仿宋_GB2312" w:hint="eastAsia"/>
          <w:sz w:val="32"/>
          <w:szCs w:val="32"/>
          <w:lang w:eastAsia="zh-CN"/>
        </w:rPr>
        <w:t>。综治中心二期建设项目名称为：金川县基层社会治理智能化建设项目，合同名称为：</w:t>
      </w:r>
      <w:r>
        <w:rPr>
          <w:rFonts w:ascii="仿宋_GB2312" w:eastAsia="仿宋_GB2312" w:cs="仿宋_GB2312" w:hint="eastAsia"/>
          <w:sz w:val="32"/>
          <w:szCs w:val="32"/>
        </w:rPr>
        <w:t>金川县社会治安综合治理系统平台升级改造及15个乡镇综治中心设施设备采购及安装项目</w:t>
      </w:r>
      <w:r>
        <w:rPr>
          <w:rFonts w:ascii="仿宋_GB2312" w:eastAsia="仿宋_GB2312" w:cs="仿宋_GB2312" w:hint="eastAsia"/>
          <w:sz w:val="32"/>
          <w:szCs w:val="32"/>
          <w:lang w:eastAsia="zh-CN"/>
        </w:rPr>
        <w:t>，项目资金为浙川援建资金。</w:t>
      </w:r>
      <w:r>
        <w:rPr>
          <w:rFonts w:ascii="仿宋_GB2312" w:eastAsia="仿宋_GB2312" w:cs="仿宋_GB2312" w:hint="eastAsia"/>
          <w:b/>
          <w:bCs/>
          <w:sz w:val="32"/>
          <w:szCs w:val="32"/>
          <w:lang w:val="en-US" w:eastAsia="zh-CN"/>
        </w:rPr>
        <w:t>该建设项目主要包括</w:t>
      </w:r>
      <w:r>
        <w:rPr>
          <w:rFonts w:ascii="仿宋_GB2312" w:eastAsia="仿宋_GB2312" w:cs="仿宋_GB2312" w:hint="eastAsia"/>
          <w:sz w:val="32"/>
          <w:szCs w:val="32"/>
          <w:lang w:val="en-US" w:eastAsia="zh-CN"/>
        </w:rPr>
        <w:t>：平安金川APP、社会综合治理信息化平台提档升级以及15个乡镇综治中心建设。</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rPr>
        <w:t>平安金川APP融合</w:t>
      </w:r>
      <w:r>
        <w:rPr>
          <w:rFonts w:ascii="仿宋_GB2312" w:eastAsia="仿宋_GB2312" w:cs="仿宋_GB2312" w:hint="eastAsia"/>
          <w:sz w:val="32"/>
          <w:szCs w:val="32"/>
          <w:lang w:val="en-US" w:eastAsia="zh-CN"/>
        </w:rPr>
        <w:t>“一键报警、一键求助、扫黑除恶线索举报、综合治理、视频上访、民俗活动申请”，实现事件快速上报、快速处置、处置过程可见，服务于实战化指挥调度，真正打通服务群众的“最后一公里”；同时，建设金川县政法动态，汇聚政法委、法院、检察院、公安局、司法局等普法、宣法、讲法、执法动态信息，进一步加强群众法治意识，为建设“法治金川”打下坚实的群众基础。</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rPr>
        <w:t>社会综合治理信息化平台</w:t>
      </w:r>
      <w:r>
        <w:rPr>
          <w:rFonts w:ascii="仿宋_GB2312" w:eastAsia="仿宋_GB2312" w:cs="仿宋_GB2312" w:hint="eastAsia"/>
          <w:sz w:val="32"/>
          <w:szCs w:val="32"/>
          <w:lang w:val="en-US" w:eastAsia="zh-CN"/>
        </w:rPr>
        <w:t>，将网格化平台、矛盾纠纷多元化解系统、“雪亮工程”等系统整合，实现了统一的平台、统一的界面、统一的数据展示、呈现，便于县综治中心、各级综治中心实战指挥调度、分析研判、决策提供。</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pPr>
      <w:r>
        <w:rPr>
          <w:rFonts w:ascii="仿宋_GB2312" w:eastAsia="仿宋_GB2312" w:cs="仿宋_GB2312" w:hint="eastAsia"/>
          <w:b/>
          <w:bCs/>
          <w:sz w:val="32"/>
          <w:szCs w:val="32"/>
          <w:lang w:val="en-US" w:eastAsia="zh-CN"/>
        </w:rPr>
        <w:t>15个综治中心建设</w:t>
      </w:r>
      <w:r>
        <w:rPr>
          <w:rFonts w:ascii="仿宋_GB2312" w:eastAsia="仿宋_GB2312" w:cs="仿宋_GB2312" w:hint="eastAsia"/>
          <w:sz w:val="32"/>
          <w:szCs w:val="32"/>
          <w:lang w:val="en-US" w:eastAsia="zh-CN"/>
        </w:rPr>
        <w:t>包含综治中心工作制度等10个标识标牌、乡镇综治中心办公场地、液晶拼接屏、会议系统等硬件设施设备，设置视频调度室，实现省—州—县三级视频会议指挥调度。</w:t>
      </w:r>
    </w:p>
    <w:p>
      <w:pPr>
        <w:pageBreakBefore w:val="0"/>
        <w:widowControl/>
        <w:kinsoku/>
        <w:wordWrap/>
        <w:overflowPunct/>
        <w:topLinePunct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rPr>
      </w:pPr>
    </w:p>
    <w:p>
      <w:pPr>
        <w:pageBreakBefore w:val="0"/>
        <w:widowControl w:val="0"/>
        <w:kinsoku/>
        <w:wordWrap/>
        <w:overflowPunct/>
        <w:topLinePunct w:val="0"/>
        <w:bidi w:val="0"/>
        <w:adjustRightInd w:val="0"/>
        <w:snapToGrid w:val="0"/>
        <w:spacing w:line="576" w:lineRule="exact"/>
        <w:ind w:firstLine="720"/>
        <w:rPr>
          <w:rFonts w:ascii="Times New Roman" w:eastAsia="仿宋_GB2312" w:cs="Times New Roman" w:hAnsi="Times New Roman"/>
          <w:sz w:val="32"/>
          <w:szCs w:val="32"/>
          <w:lang w:val="zh-CN"/>
        </w:rPr>
      </w:pPr>
      <w:r>
        <w:rPr>
          <w:rFonts w:ascii="Times New Roman" w:eastAsia="仿宋_GB2312" w:cs="Times New Roman" w:hAnsi="Times New Roman"/>
          <w:b/>
          <w:bCs/>
          <w:sz w:val="32"/>
          <w:szCs w:val="32"/>
          <w:lang w:val="zh-CN"/>
        </w:rPr>
        <w:t>2．项目立项、资金申报的依据。</w:t>
      </w:r>
      <w:r>
        <w:rPr>
          <w:rFonts w:ascii="Times New Roman" w:eastAsia="仿宋_GB2312" w:cs="Times New Roman" w:hAnsi="Times New Roman"/>
          <w:sz w:val="32"/>
          <w:szCs w:val="32"/>
          <w:lang w:val="zh-CN"/>
        </w:rPr>
        <w:t>经2022年部门预算编制、审核及财政局批复。</w:t>
      </w:r>
    </w:p>
    <w:p>
      <w:pPr>
        <w:pStyle w:val="22"/>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lang w:eastAsia="zh-CN"/>
        </w:rPr>
      </w:pPr>
      <w:r>
        <w:rPr>
          <w:rFonts w:ascii="Times New Roman" w:eastAsia="仿宋_GB2312" w:cs="Times New Roman" w:hAnsi="Times New Roman"/>
          <w:b/>
          <w:bCs/>
          <w:sz w:val="32"/>
          <w:szCs w:val="32"/>
          <w:lang w:val="zh-CN"/>
        </w:rPr>
        <w:t>3．资金管理办法制定情况。</w:t>
      </w:r>
      <w:r>
        <w:rPr>
          <w:rFonts w:ascii="仿宋_GB2312" w:eastAsia="仿宋_GB2312" w:cs="仿宋_GB2312" w:hint="eastAsia"/>
          <w:color w:val="000000"/>
          <w:sz w:val="31"/>
          <w:szCs w:val="31"/>
          <w:lang w:val="en-US" w:eastAsia="zh-CN"/>
        </w:rPr>
        <w:t>严格</w:t>
      </w:r>
      <w:r>
        <w:rPr>
          <w:rFonts w:ascii="仿宋_GB2312" w:eastAsia="仿宋_GB2312" w:cs="仿宋_GB2312" w:hint="eastAsia"/>
          <w:color w:val="000000"/>
          <w:sz w:val="31"/>
          <w:szCs w:val="31"/>
          <w:lang w:eastAsia="zh-CN"/>
        </w:rPr>
        <w:t>按照财政内控制度管理所有项目资金。</w:t>
      </w:r>
    </w:p>
    <w:p>
      <w:pPr>
        <w:pageBreakBefore w:val="0"/>
        <w:widowControl w:val="0"/>
        <w:kinsoku/>
        <w:wordWrap/>
        <w:overflowPunct/>
        <w:topLinePunct w:val="0"/>
        <w:bidi w:val="0"/>
        <w:adjustRightInd w:val="0"/>
        <w:snapToGrid w:val="0"/>
        <w:spacing w:line="576" w:lineRule="exact"/>
        <w:ind w:firstLine="720"/>
        <w:rPr>
          <w:rFonts w:ascii="Times New Roman" w:eastAsia="仿宋_GB2312" w:cs="Times New Roman" w:hAnsi="Times New Roman"/>
          <w:sz w:val="32"/>
          <w:szCs w:val="32"/>
          <w:lang w:val="zh-CN"/>
        </w:rPr>
      </w:pPr>
      <w:r>
        <w:rPr>
          <w:rFonts w:ascii="Times New Roman" w:eastAsia="仿宋_GB2312" w:cs="Times New Roman" w:hAnsi="Times New Roman"/>
          <w:b/>
          <w:bCs/>
          <w:sz w:val="32"/>
          <w:szCs w:val="32"/>
          <w:lang w:val="zh-CN"/>
        </w:rPr>
        <w:t>4．资金分配的原则及考虑因素。</w:t>
      </w:r>
      <w:r>
        <w:rPr>
          <w:rFonts w:ascii="Times New Roman" w:eastAsia="仿宋_GB2312" w:cs="Times New Roman" w:hAnsi="Times New Roman"/>
          <w:sz w:val="32"/>
          <w:szCs w:val="32"/>
          <w:lang w:val="zh-CN"/>
        </w:rPr>
        <w:t>按照预算批复资金用途，合理合规进行使用。</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（二）项目绩效目标。</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lang w:val="en-US" w:eastAsia="zh-CN"/>
        </w:rPr>
      </w:pPr>
      <w:r>
        <w:rPr>
          <w:rFonts w:ascii="Times New Roman" w:eastAsia="仿宋_GB2312" w:cs="Times New Roman" w:hAnsi="Times New Roman"/>
          <w:b/>
          <w:bCs/>
          <w:sz w:val="32"/>
          <w:szCs w:val="32"/>
          <w:lang w:val="zh-CN"/>
        </w:rPr>
        <w:t>1．项目主要内容。</w:t>
      </w:r>
      <w:r>
        <w:rPr>
          <w:rFonts w:ascii="仿宋_GB2312" w:eastAsia="仿宋_GB2312" w:cs="仿宋_GB2312" w:hint="eastAsia"/>
          <w:sz w:val="32"/>
          <w:szCs w:val="32"/>
        </w:rPr>
        <w:t>通过</w:t>
      </w:r>
      <w:r>
        <w:rPr>
          <w:rFonts w:ascii="仿宋_GB2312" w:eastAsia="仿宋_GB2312" w:cs="仿宋_GB2312" w:hint="eastAsia"/>
          <w:sz w:val="32"/>
          <w:szCs w:val="32"/>
          <w:lang w:val="en-US" w:eastAsia="zh-CN"/>
        </w:rPr>
        <w:t>2019年</w:t>
      </w:r>
      <w:r>
        <w:rPr>
          <w:rFonts w:ascii="仿宋_GB2312" w:eastAsia="仿宋_GB2312" w:cs="仿宋_GB2312" w:hint="eastAsia"/>
          <w:sz w:val="32"/>
          <w:szCs w:val="32"/>
        </w:rPr>
        <w:t>试点县级社会综合治理平台、县级视频会议平台、平安金川APP管理平台、雪亮工程移动APP</w:t>
      </w:r>
      <w:r>
        <w:rPr>
          <w:rFonts w:ascii="仿宋_GB2312" w:eastAsia="仿宋_GB2312" w:cs="仿宋_GB2312" w:hint="eastAsia"/>
          <w:sz w:val="32"/>
          <w:szCs w:val="32"/>
          <w:lang w:eastAsia="zh-CN"/>
        </w:rPr>
        <w:t>及</w:t>
      </w:r>
      <w:r>
        <w:rPr>
          <w:rFonts w:ascii="仿宋_GB2312" w:eastAsia="仿宋_GB2312" w:cs="仿宋_GB2312" w:hint="eastAsia"/>
          <w:sz w:val="32"/>
          <w:szCs w:val="32"/>
        </w:rPr>
        <w:t>勒乌镇、安宁镇、观音桥镇</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个乡镇综治中心</w:t>
      </w:r>
      <w:r>
        <w:rPr>
          <w:rFonts w:ascii="仿宋_GB2312" w:eastAsia="仿宋_GB2312" w:cs="仿宋_GB2312" w:hint="eastAsia"/>
          <w:sz w:val="32"/>
          <w:szCs w:val="32"/>
          <w:lang w:eastAsia="zh-CN"/>
        </w:rPr>
        <w:t>建设项目（简称“综治中心一期”）</w:t>
      </w:r>
      <w:r>
        <w:rPr>
          <w:rFonts w:ascii="仿宋_GB2312" w:eastAsia="仿宋_GB2312" w:cs="仿宋_GB2312" w:hint="eastAsia"/>
          <w:sz w:val="32"/>
          <w:szCs w:val="32"/>
        </w:rPr>
        <w:t>，余下</w:t>
      </w:r>
      <w:r>
        <w:rPr>
          <w:rFonts w:ascii="仿宋_GB2312" w:eastAsia="仿宋_GB2312" w:cs="仿宋_GB2312" w:hint="eastAsia"/>
          <w:sz w:val="32"/>
          <w:szCs w:val="32"/>
          <w:lang w:val="en-US" w:eastAsia="zh-CN"/>
        </w:rPr>
        <w:t>15</w:t>
      </w:r>
      <w:r>
        <w:rPr>
          <w:rFonts w:ascii="仿宋_GB2312" w:eastAsia="仿宋_GB2312" w:cs="仿宋_GB2312" w:hint="eastAsia"/>
          <w:sz w:val="32"/>
          <w:szCs w:val="32"/>
        </w:rPr>
        <w:t>个乡镇综治中心</w:t>
      </w:r>
      <w:r>
        <w:rPr>
          <w:rFonts w:ascii="仿宋_GB2312" w:eastAsia="仿宋_GB2312" w:cs="仿宋_GB2312" w:hint="eastAsia"/>
          <w:sz w:val="32"/>
          <w:szCs w:val="32"/>
          <w:lang w:eastAsia="zh-CN"/>
        </w:rPr>
        <w:t>（简称“综治中心二期”）</w:t>
      </w:r>
      <w:r>
        <w:rPr>
          <w:rFonts w:ascii="仿宋_GB2312" w:eastAsia="仿宋_GB2312" w:cs="仿宋_GB2312" w:hint="eastAsia"/>
          <w:sz w:val="32"/>
          <w:szCs w:val="32"/>
        </w:rPr>
        <w:t>借鉴综治中心</w:t>
      </w:r>
      <w:r>
        <w:rPr>
          <w:rFonts w:ascii="仿宋_GB2312" w:eastAsia="仿宋_GB2312" w:cs="仿宋_GB2312" w:hint="eastAsia"/>
          <w:sz w:val="32"/>
          <w:szCs w:val="32"/>
          <w:lang w:eastAsia="zh-CN"/>
        </w:rPr>
        <w:t>一期</w:t>
      </w:r>
      <w:r>
        <w:rPr>
          <w:rFonts w:ascii="仿宋_GB2312" w:eastAsia="仿宋_GB2312" w:cs="仿宋_GB2312" w:hint="eastAsia"/>
          <w:sz w:val="32"/>
          <w:szCs w:val="32"/>
        </w:rPr>
        <w:t>建设的成功经验逐步完成建设</w:t>
      </w:r>
      <w:r>
        <w:rPr>
          <w:rFonts w:ascii="仿宋_GB2312" w:eastAsia="仿宋_GB2312" w:cs="仿宋_GB2312" w:hint="eastAsia"/>
          <w:sz w:val="32"/>
          <w:szCs w:val="32"/>
          <w:lang w:eastAsia="zh-CN"/>
        </w:rPr>
        <w:t>。综治中心二期建设项目名称为：金川县基层社会治理智能化建设项目，合同名称为：</w:t>
      </w:r>
      <w:r>
        <w:rPr>
          <w:rFonts w:ascii="仿宋_GB2312" w:eastAsia="仿宋_GB2312" w:cs="仿宋_GB2312" w:hint="eastAsia"/>
          <w:sz w:val="32"/>
          <w:szCs w:val="32"/>
        </w:rPr>
        <w:t>金川县社会治安综合治理系统平台升级改造及15个乡镇综治中心设施设备采购及安装项目</w:t>
      </w:r>
      <w:r>
        <w:rPr>
          <w:rFonts w:ascii="仿宋_GB2312" w:eastAsia="仿宋_GB2312" w:cs="仿宋_GB2312" w:hint="eastAsia"/>
          <w:sz w:val="32"/>
          <w:szCs w:val="32"/>
          <w:lang w:eastAsia="zh-CN"/>
        </w:rPr>
        <w:t>，项目资金为浙川援建资金。</w:t>
      </w:r>
      <w:r>
        <w:rPr>
          <w:rFonts w:ascii="仿宋_GB2312" w:eastAsia="仿宋_GB2312" w:cs="仿宋_GB2312" w:hint="eastAsia"/>
          <w:b w:val="0"/>
          <w:bCs w:val="0"/>
          <w:sz w:val="32"/>
          <w:szCs w:val="32"/>
          <w:lang w:val="en-US" w:eastAsia="zh-CN"/>
        </w:rPr>
        <w:t>该建设项目主要包括：</w:t>
      </w:r>
      <w:r>
        <w:rPr>
          <w:rFonts w:ascii="仿宋_GB2312" w:eastAsia="仿宋_GB2312" w:cs="仿宋_GB2312" w:hint="eastAsia"/>
          <w:sz w:val="32"/>
          <w:szCs w:val="32"/>
          <w:lang w:val="en-US" w:eastAsia="zh-CN"/>
        </w:rPr>
        <w:t>平安金川APP、社会综合治理信息化平台提档升级以及15个乡镇综治中心建设。</w:t>
      </w:r>
    </w:p>
    <w:p>
      <w:pPr>
        <w:pageBreakBefore w:val="0"/>
        <w:widowControl w:val="0"/>
        <w:kinsoku/>
        <w:wordWrap/>
        <w:overflowPunct/>
        <w:topLinePunct w:val="0"/>
        <w:adjustRightInd w:val="0"/>
        <w:snapToGrid w:val="0"/>
        <w:spacing w:line="576" w:lineRule="exact"/>
        <w:ind w:firstLine="720"/>
        <w:rPr>
          <w:rFonts w:ascii="Times New Roman" w:eastAsia="仿宋_GB2312" w:cs="Times New Roman" w:hAnsi="Times New Roman"/>
          <w:sz w:val="32"/>
          <w:szCs w:val="32"/>
          <w:lang w:val="zh-CN"/>
        </w:rPr>
      </w:pP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楷体_GB2312" w:eastAsia="楷体_GB2312" w:cs="楷体_GB2312" w:hint="eastAsia"/>
          <w:b/>
          <w:color w:val="000000"/>
          <w:sz w:val="31"/>
          <w:szCs w:val="31"/>
        </w:rPr>
      </w:pPr>
      <w:r>
        <w:rPr>
          <w:rFonts w:ascii="Times New Roman" w:eastAsia="仿宋_GB2312" w:cs="Times New Roman" w:hAnsi="Times New Roman"/>
          <w:b/>
          <w:bCs/>
          <w:sz w:val="32"/>
          <w:szCs w:val="32"/>
          <w:lang w:val="zh-CN"/>
        </w:rPr>
        <w:t>2．项目具体实施情况。</w:t>
      </w:r>
      <w:r>
        <w:rPr>
          <w:rFonts w:ascii="仿宋_GB2312" w:eastAsia="仿宋_GB2312" w:cs="仿宋_GB2312" w:hint="eastAsia"/>
          <w:sz w:val="32"/>
          <w:szCs w:val="32"/>
        </w:rPr>
        <w:t>金川县政法委遵循</w:t>
      </w:r>
      <w:r>
        <w:rPr>
          <w:rFonts w:ascii="仿宋_GB2312" w:eastAsia="仿宋_GB2312" w:cs="仿宋_GB2312" w:hint="eastAsia"/>
          <w:b w:val="0"/>
          <w:bCs w:val="0"/>
          <w:sz w:val="32"/>
          <w:szCs w:val="32"/>
        </w:rPr>
        <w:t>“党政主导、综治主抓、部门参与、联动融合、聚焦平安、信息支撑、统筹规划、分级负责、分类要求、分步实施、因地制宜、务实管用”的建</w:t>
      </w:r>
      <w:r>
        <w:rPr>
          <w:rFonts w:ascii="仿宋_GB2312" w:eastAsia="仿宋_GB2312" w:cs="仿宋_GB2312" w:hint="eastAsia"/>
          <w:sz w:val="32"/>
          <w:szCs w:val="32"/>
        </w:rPr>
        <w:t>设原则，</w:t>
      </w:r>
      <w:r>
        <w:rPr>
          <w:rFonts w:ascii="仿宋_GB2312" w:eastAsia="仿宋_GB2312" w:cs="仿宋_GB2312" w:hint="eastAsia"/>
          <w:sz w:val="32"/>
          <w:szCs w:val="32"/>
          <w:lang w:eastAsia="zh-CN"/>
        </w:rPr>
        <w:t>于</w:t>
      </w:r>
      <w:r>
        <w:rPr>
          <w:rFonts w:ascii="仿宋_GB2312" w:eastAsia="仿宋_GB2312" w:cs="仿宋_GB2312" w:hint="eastAsia"/>
          <w:sz w:val="32"/>
          <w:szCs w:val="32"/>
          <w:lang w:val="en-US" w:eastAsia="zh-CN"/>
        </w:rPr>
        <w:t>2021年11月4日与四川乐为科技有限公司签订了303.1843万元的项目合同，2021年12月27日完成</w:t>
      </w:r>
      <w:r>
        <w:rPr>
          <w:rFonts w:ascii="仿宋_GB2312" w:eastAsia="仿宋_GB2312" w:cs="仿宋_GB2312" w:hint="eastAsia"/>
          <w:sz w:val="32"/>
          <w:szCs w:val="32"/>
          <w:lang w:eastAsia="zh-CN"/>
        </w:rPr>
        <w:t>了</w:t>
      </w:r>
      <w:r>
        <w:rPr>
          <w:rFonts w:ascii="仿宋_GB2312" w:eastAsia="仿宋_GB2312" w:cs="仿宋_GB2312" w:hint="eastAsia"/>
          <w:sz w:val="32"/>
          <w:szCs w:val="32"/>
          <w:lang w:val="en-US" w:eastAsia="zh-CN"/>
        </w:rPr>
        <w:t>金川县社会治安综合治理系统平台升级改造及15个乡镇综治中心设施设备采购及安装项目验收。</w:t>
      </w:r>
    </w:p>
    <w:p>
      <w:pPr>
        <w:pageBreakBefore w:val="0"/>
        <w:widowControl w:val="0"/>
        <w:kinsoku/>
        <w:wordWrap/>
        <w:overflowPunct/>
        <w:topLinePunct w:val="0"/>
        <w:adjustRightInd w:val="0"/>
        <w:snapToGrid w:val="0"/>
        <w:spacing w:line="576" w:lineRule="exact"/>
        <w:ind w:firstLine="720"/>
        <w:rPr>
          <w:rFonts w:ascii="Times New Roman" w:eastAsia="仿宋_GB2312" w:cs="Times New Roman" w:hAnsi="Times New Roman"/>
          <w:sz w:val="32"/>
          <w:szCs w:val="32"/>
          <w:lang w:val="zh-CN"/>
        </w:rPr>
      </w:pPr>
      <w:r>
        <w:rPr>
          <w:rFonts w:ascii="Times New Roman" w:eastAsia="仿宋_GB2312" w:cs="Times New Roman" w:hAnsi="Times New Roman"/>
          <w:sz w:val="32"/>
          <w:szCs w:val="32"/>
          <w:lang w:val="zh-CN"/>
        </w:rPr>
        <w:t>3．项目资金申报相符性。年初申报内容与实际一致，施工过程按照年初既定绩效目标进行，严守标准，严格按照时效、质量、满意度等指标进行验收。</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（三）项目自评步骤及方法。</w:t>
      </w:r>
    </w:p>
    <w:p>
      <w:pPr>
        <w:pageBreakBefore w:val="0"/>
        <w:widowControl w:val="0"/>
        <w:kinsoku/>
        <w:wordWrap/>
        <w:overflowPunct/>
        <w:topLinePunct w:val="0"/>
        <w:bidi w:val="0"/>
        <w:adjustRightInd w:val="0"/>
        <w:snapToGrid w:val="0"/>
        <w:spacing w:line="576" w:lineRule="exact"/>
        <w:ind w:firstLine="720"/>
        <w:rPr>
          <w:rFonts w:ascii="Times New Roman" w:eastAsia="仿宋_GB2312" w:cs="Times New Roman" w:hAnsi="Times New Roman"/>
          <w:sz w:val="32"/>
          <w:szCs w:val="32"/>
          <w:lang w:val="zh-CN"/>
        </w:rPr>
      </w:pPr>
      <w:r>
        <w:rPr>
          <w:rFonts w:ascii="Times New Roman" w:eastAsia="仿宋_GB2312" w:cs="Times New Roman" w:hAnsi="Times New Roman"/>
          <w:sz w:val="32"/>
          <w:szCs w:val="32"/>
          <w:lang w:val="zh-CN"/>
        </w:rPr>
        <w:t>评价小组根据单位批准的评价方案，参照《中共</w:t>
      </w:r>
      <w:r>
        <w:rPr>
          <w:rFonts w:eastAsia="仿宋_GB2312" w:cs="Times New Roman" w:hint="eastAsia"/>
          <w:sz w:val="32"/>
          <w:szCs w:val="32"/>
          <w:lang w:val="en-US" w:eastAsia="zh-CN"/>
        </w:rPr>
        <w:t>金川县委政法委员会</w:t>
      </w:r>
      <w:r>
        <w:rPr>
          <w:rFonts w:ascii="Times New Roman" w:eastAsia="仿宋_GB2312" w:cs="Times New Roman" w:hAnsi="Times New Roman"/>
          <w:sz w:val="32"/>
          <w:szCs w:val="32"/>
          <w:lang w:val="zh-CN"/>
        </w:rPr>
        <w:t>内部控制手册》规定的内容和要求，选取全面测试法或流程测试法，获取充分、相关、可靠的证据进行有效的评价，并作出书面记录。</w:t>
      </w:r>
    </w:p>
    <w:p>
      <w:pPr>
        <w:pageBreakBefore w:val="0"/>
        <w:widowControl w:val="0"/>
        <w:kinsoku/>
        <w:wordWrap/>
        <w:overflowPunct/>
        <w:topLinePunct w:val="0"/>
        <w:bidi w:val="0"/>
        <w:adjustRightInd w:val="0"/>
        <w:snapToGrid w:val="0"/>
        <w:spacing w:line="576" w:lineRule="exact"/>
        <w:ind w:firstLine="720"/>
        <w:rPr>
          <w:rFonts w:ascii="Times New Roman" w:eastAsia="黑体" w:cs="Times New Roman" w:hAnsi="Times New Roman"/>
          <w:sz w:val="32"/>
          <w:szCs w:val="32"/>
        </w:rPr>
      </w:pPr>
      <w:r>
        <w:rPr>
          <w:rFonts w:ascii="Times New Roman" w:eastAsia="黑体" w:cs="Times New Roman" w:hAnsi="Times New Roman"/>
          <w:sz w:val="32"/>
          <w:szCs w:val="32"/>
        </w:rPr>
        <w:t>二、项目资金申报及使用情况</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（一）项目资金申报及批复情况。</w:t>
      </w:r>
    </w:p>
    <w:p>
      <w:pPr>
        <w:pageBreakBefore w:val="0"/>
        <w:widowControl w:val="0"/>
        <w:kinsoku/>
        <w:wordWrap/>
        <w:overflowPunct/>
        <w:topLinePunct w:val="0"/>
        <w:bidi w:val="0"/>
        <w:adjustRightInd w:val="0"/>
        <w:snapToGrid w:val="0"/>
        <w:spacing w:line="576" w:lineRule="exact"/>
        <w:ind w:firstLine="720"/>
        <w:rPr>
          <w:rFonts w:ascii="Times New Roman" w:eastAsia="仿宋_GB2312" w:cs="Times New Roman" w:hAnsi="Times New Roman"/>
          <w:sz w:val="32"/>
          <w:szCs w:val="32"/>
          <w:lang w:val="zh-CN"/>
        </w:rPr>
      </w:pPr>
      <w:r>
        <w:rPr>
          <w:rFonts w:ascii="仿宋_GB2312" w:eastAsia="仿宋_GB2312" w:cs="仿宋_GB2312" w:hint="eastAsia"/>
          <w:color w:val="000000"/>
          <w:sz w:val="31"/>
          <w:szCs w:val="31"/>
          <w:lang w:eastAsia="zh-CN"/>
        </w:rPr>
        <w:t>《中共金川县委政法委员会关于实施社会治安综合治理系统平台升级及</w:t>
      </w:r>
      <w:r>
        <w:rPr>
          <w:rFonts w:ascii="仿宋_GB2312" w:eastAsia="仿宋_GB2312" w:cs="仿宋_GB2312" w:hint="eastAsia"/>
          <w:color w:val="000000"/>
          <w:sz w:val="31"/>
          <w:szCs w:val="31"/>
          <w:lang w:val="en-US" w:eastAsia="zh-CN"/>
        </w:rPr>
        <w:t>15个乡镇综治中心设施设备采购及安装项目的请示</w:t>
      </w:r>
      <w:r>
        <w:rPr>
          <w:rFonts w:ascii="仿宋_GB2312" w:eastAsia="仿宋_GB2312" w:cs="仿宋_GB2312" w:hint="eastAsia"/>
          <w:color w:val="000000"/>
          <w:sz w:val="31"/>
          <w:szCs w:val="31"/>
          <w:lang w:eastAsia="zh-CN"/>
        </w:rPr>
        <w:t>》（金委政法〔</w:t>
      </w:r>
      <w:r>
        <w:rPr>
          <w:rFonts w:ascii="仿宋_GB2312" w:eastAsia="仿宋_GB2312" w:cs="仿宋_GB2312" w:hint="eastAsia"/>
          <w:color w:val="000000"/>
          <w:sz w:val="31"/>
          <w:szCs w:val="31"/>
          <w:lang w:val="en-US" w:eastAsia="zh-CN"/>
        </w:rPr>
        <w:t>2021</w:t>
      </w:r>
      <w:r>
        <w:rPr>
          <w:rFonts w:ascii="仿宋_GB2312" w:eastAsia="仿宋_GB2312" w:cs="仿宋_GB2312" w:hint="eastAsia"/>
          <w:color w:val="000000"/>
          <w:sz w:val="31"/>
          <w:szCs w:val="31"/>
          <w:lang w:eastAsia="zh-CN"/>
        </w:rPr>
        <w:t>〕</w:t>
      </w:r>
      <w:r>
        <w:rPr>
          <w:rFonts w:ascii="仿宋_GB2312" w:eastAsia="仿宋_GB2312" w:cs="仿宋_GB2312" w:hint="eastAsia"/>
          <w:color w:val="000000"/>
          <w:sz w:val="31"/>
          <w:szCs w:val="31"/>
          <w:lang w:val="en-US" w:eastAsia="zh-CN"/>
        </w:rPr>
        <w:t>46号</w:t>
      </w:r>
      <w:r>
        <w:rPr>
          <w:rFonts w:ascii="仿宋_GB2312" w:eastAsia="仿宋_GB2312" w:cs="仿宋_GB2312" w:hint="eastAsia"/>
          <w:color w:val="000000"/>
          <w:sz w:val="31"/>
          <w:szCs w:val="31"/>
          <w:lang w:eastAsia="zh-CN"/>
        </w:rPr>
        <w:t>）。中共金川县第十二届县委第</w:t>
      </w:r>
      <w:r>
        <w:rPr>
          <w:rFonts w:ascii="仿宋_GB2312" w:eastAsia="仿宋_GB2312" w:cs="仿宋_GB2312" w:hint="eastAsia"/>
          <w:color w:val="000000"/>
          <w:sz w:val="31"/>
          <w:szCs w:val="31"/>
          <w:lang w:val="en-US" w:eastAsia="zh-CN"/>
        </w:rPr>
        <w:t>142次常委会、</w:t>
      </w:r>
      <w:r>
        <w:rPr>
          <w:rFonts w:ascii="仿宋_GB2312" w:eastAsia="仿宋_GB2312" w:cs="仿宋_GB2312" w:hint="eastAsia"/>
          <w:color w:val="000000"/>
          <w:sz w:val="31"/>
          <w:szCs w:val="31"/>
          <w:lang w:eastAsia="zh-CN"/>
        </w:rPr>
        <w:t>十四届县人民政府第</w:t>
      </w:r>
      <w:r>
        <w:rPr>
          <w:rFonts w:ascii="仿宋_GB2312" w:eastAsia="仿宋_GB2312" w:cs="仿宋_GB2312" w:hint="eastAsia"/>
          <w:color w:val="000000"/>
          <w:sz w:val="31"/>
          <w:szCs w:val="31"/>
          <w:lang w:val="en-US" w:eastAsia="zh-CN"/>
        </w:rPr>
        <w:t>78次会议讨论通过。</w:t>
      </w:r>
      <w:r>
        <w:rPr>
          <w:rFonts w:ascii="Times New Roman" w:eastAsia="楷体_GB2312" w:cs="Times New Roman" w:hAnsi="Times New Roman"/>
          <w:b/>
          <w:sz w:val="32"/>
          <w:szCs w:val="32"/>
          <w:lang w:val="zh-CN"/>
        </w:rPr>
        <w:t>（二）资金计划、到位及使用情况。</w:t>
      </w:r>
    </w:p>
    <w:p>
      <w:pPr>
        <w:pageBreakBefore w:val="0"/>
        <w:widowControl w:val="0"/>
        <w:kinsoku/>
        <w:wordWrap/>
        <w:overflowPunct/>
        <w:topLinePunct w:val="0"/>
        <w:bidi w:val="0"/>
        <w:adjustRightInd w:val="0"/>
        <w:snapToGrid w:val="0"/>
        <w:spacing w:line="576" w:lineRule="exact"/>
        <w:ind w:firstLineChars="200" w:firstLine="640"/>
        <w:rPr>
          <w:rFonts w:ascii="Times New Roman" w:eastAsia="楷体_GB2312" w:cs="Times New Roman" w:hAnsi="Times New Roman"/>
          <w:sz w:val="32"/>
          <w:szCs w:val="32"/>
          <w:lang w:val="zh-CN"/>
        </w:rPr>
      </w:pPr>
      <w:r>
        <w:rPr>
          <w:rFonts w:ascii="Times New Roman" w:eastAsia="楷体_GB2312" w:cs="Times New Roman" w:hAnsi="Times New Roman"/>
          <w:b/>
          <w:bCs/>
          <w:sz w:val="32"/>
          <w:szCs w:val="32"/>
          <w:lang w:val="zh-CN"/>
        </w:rPr>
        <w:t>1．资金计划。</w:t>
      </w:r>
      <w:r>
        <w:rPr>
          <w:rFonts w:ascii="仿宋_GB2312" w:eastAsia="仿宋_GB2312" w:cs="仿宋_GB2312" w:hint="eastAsia"/>
          <w:color w:val="000000"/>
          <w:sz w:val="31"/>
          <w:szCs w:val="31"/>
          <w:lang w:eastAsia="zh-CN"/>
        </w:rPr>
        <w:t>资金来源为县级统筹划拨的浙江援建资金</w:t>
      </w:r>
      <w:r>
        <w:rPr>
          <w:rFonts w:ascii="仿宋_GB2312" w:eastAsia="仿宋_GB2312" w:cs="仿宋_GB2312" w:hint="eastAsia"/>
          <w:color w:val="000000"/>
          <w:sz w:val="31"/>
          <w:szCs w:val="31"/>
          <w:lang w:val="en-US" w:eastAsia="zh-CN"/>
        </w:rPr>
        <w:t>310万元</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sz w:val="32"/>
          <w:szCs w:val="32"/>
          <w:lang w:val="zh-CN"/>
        </w:rPr>
      </w:pPr>
      <w:r>
        <w:rPr>
          <w:rFonts w:ascii="Times New Roman" w:eastAsia="楷体_GB2312" w:cs="Times New Roman" w:hAnsi="Times New Roman"/>
          <w:b/>
          <w:bCs/>
          <w:sz w:val="32"/>
          <w:szCs w:val="32"/>
          <w:lang w:val="zh-CN"/>
        </w:rPr>
        <w:t>2．资金到位。</w:t>
      </w:r>
      <w:r>
        <w:rPr>
          <w:rFonts w:ascii="仿宋_GB2312" w:eastAsia="仿宋_GB2312" w:cs="仿宋_GB2312" w:hint="eastAsia"/>
          <w:color w:val="000000"/>
          <w:sz w:val="31"/>
          <w:szCs w:val="31"/>
          <w:lang w:eastAsia="zh-CN"/>
        </w:rPr>
        <w:t>资金于</w:t>
      </w:r>
      <w:r>
        <w:rPr>
          <w:rFonts w:ascii="仿宋_GB2312" w:eastAsia="仿宋_GB2312" w:cs="仿宋_GB2312" w:hint="eastAsia"/>
          <w:color w:val="000000"/>
          <w:sz w:val="31"/>
          <w:szCs w:val="31"/>
          <w:lang w:val="en-US" w:eastAsia="zh-CN"/>
        </w:rPr>
        <w:t>2022年全部到位。</w:t>
      </w:r>
      <w:r>
        <w:rPr>
          <w:rFonts w:ascii="Times New Roman" w:eastAsia="楷体_GB2312" w:cs="Times New Roman" w:hAnsi="Times New Roman"/>
          <w:sz w:val="32"/>
          <w:szCs w:val="32"/>
          <w:lang w:val="zh-CN"/>
        </w:rPr>
        <w:t>。</w:t>
      </w:r>
    </w:p>
    <w:p>
      <w:pPr>
        <w:pageBreakBefore w:val="0"/>
        <w:widowControl w:val="0"/>
        <w:kinsoku/>
        <w:wordWrap/>
        <w:overflowPunct/>
        <w:topLinePunct w:val="0"/>
        <w:bidi w:val="0"/>
        <w:adjustRightInd w:val="0"/>
        <w:snapToGrid w:val="0"/>
        <w:spacing w:line="576" w:lineRule="exact"/>
        <w:ind w:firstLine="720"/>
        <w:rPr>
          <w:rFonts w:ascii="仿宋_GB2312" w:eastAsia="仿宋_GB2312" w:cs="仿宋_GB2312" w:hint="eastAsia"/>
          <w:color w:val="000000"/>
          <w:sz w:val="31"/>
          <w:szCs w:val="31"/>
          <w:lang w:val="en-US" w:eastAsia="zh-CN"/>
        </w:rPr>
      </w:pPr>
      <w:r>
        <w:rPr>
          <w:rFonts w:ascii="Times New Roman" w:eastAsia="楷体_GB2312" w:cs="Times New Roman" w:hAnsi="Times New Roman"/>
          <w:b/>
          <w:bCs/>
          <w:sz w:val="32"/>
          <w:szCs w:val="32"/>
          <w:lang w:val="zh-CN"/>
        </w:rPr>
        <w:t>3．资金使用。</w:t>
      </w:r>
      <w:r>
        <w:rPr>
          <w:rFonts w:ascii="仿宋_GB2312" w:eastAsia="仿宋_GB2312" w:cs="仿宋_GB2312" w:hint="eastAsia"/>
          <w:color w:val="000000"/>
          <w:sz w:val="31"/>
          <w:szCs w:val="31"/>
          <w:lang w:val="en-US" w:eastAsia="zh-CN"/>
        </w:rPr>
        <w:t>2022年8月17日通过财政一体化平台支付203.1843万元，9月26日拨付100万元，11月8日拨付6.8157万元。</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（三）项目财务管理情况。</w:t>
      </w:r>
    </w:p>
    <w:p>
      <w:pPr>
        <w:pageBreakBefore w:val="0"/>
        <w:widowControl w:val="0"/>
        <w:kinsoku/>
        <w:wordWrap/>
        <w:overflowPunct/>
        <w:topLinePunct w:val="0"/>
        <w:bidi w:val="0"/>
        <w:adjustRightInd w:val="0"/>
        <w:snapToGrid w:val="0"/>
        <w:spacing w:line="576" w:lineRule="exact"/>
        <w:ind w:firstLine="720"/>
        <w:rPr>
          <w:rFonts w:ascii="Times New Roman" w:eastAsia="仿宋_GB2312" w:cs="Times New Roman" w:hAnsi="Times New Roman"/>
          <w:sz w:val="32"/>
          <w:szCs w:val="32"/>
          <w:lang w:val="zh-CN"/>
        </w:rPr>
      </w:pPr>
      <w:r>
        <w:rPr>
          <w:rFonts w:ascii="Times New Roman" w:eastAsia="仿宋_GB2312" w:cs="Times New Roman" w:hAnsi="Times New Roman"/>
          <w:sz w:val="32"/>
          <w:szCs w:val="32"/>
          <w:lang w:val="zh-CN"/>
        </w:rPr>
        <w:t>严格执行财经相关制度，</w:t>
      </w:r>
      <w:r>
        <w:rPr>
          <w:rFonts w:ascii="Times New Roman" w:eastAsia="仿宋_GB2312" w:cs="Times New Roman" w:hAnsi="Times New Roman"/>
          <w:sz w:val="32"/>
          <w:szCs w:val="32"/>
          <w:lang w:val="zh-CN" w:eastAsia="zh-CN"/>
        </w:rPr>
        <w:t>资金拨付、</w:t>
      </w:r>
      <w:r>
        <w:rPr>
          <w:rFonts w:ascii="Times New Roman" w:eastAsia="仿宋_GB2312" w:cs="Times New Roman" w:hAnsi="Times New Roman"/>
          <w:sz w:val="32"/>
          <w:szCs w:val="32"/>
          <w:lang w:val="zh-CN"/>
        </w:rPr>
        <w:t>会计核算规范。政府采购严格按照政府采购相关要求执行。</w:t>
      </w:r>
    </w:p>
    <w:p>
      <w:pPr>
        <w:pageBreakBefore w:val="0"/>
        <w:widowControl w:val="0"/>
        <w:kinsoku/>
        <w:wordWrap/>
        <w:overflowPunct/>
        <w:topLinePunct w:val="0"/>
        <w:bidi w:val="0"/>
        <w:adjustRightInd w:val="0"/>
        <w:snapToGrid w:val="0"/>
        <w:spacing w:line="576" w:lineRule="exact"/>
        <w:ind w:firstLine="720"/>
        <w:rPr>
          <w:rFonts w:ascii="Times New Roman" w:eastAsia="黑体" w:cs="Times New Roman" w:hAnsi="Times New Roman"/>
          <w:sz w:val="32"/>
          <w:szCs w:val="32"/>
        </w:rPr>
      </w:pPr>
      <w:r>
        <w:rPr>
          <w:rFonts w:ascii="Times New Roman" w:eastAsia="黑体" w:cs="Times New Roman" w:hAnsi="Times New Roman"/>
          <w:sz w:val="32"/>
          <w:szCs w:val="32"/>
        </w:rPr>
        <w:t>三、项目实施及管理情况</w:t>
      </w:r>
    </w:p>
    <w:p>
      <w:pPr>
        <w:pageBreakBefore w:val="0"/>
        <w:widowControl w:val="0"/>
        <w:numPr>
          <w:ilvl w:val="0"/>
          <w:numId w:val="9"/>
        </w:numPr>
        <w:kinsoku/>
        <w:wordWrap/>
        <w:overflowPunct/>
        <w:topLinePunct w:val="0"/>
        <w:bidi w:val="0"/>
        <w:adjustRightInd w:val="0"/>
        <w:snapToGrid w:val="0"/>
        <w:spacing w:line="576" w:lineRule="exact"/>
        <w:ind w:left="0" w:firstLine="720"/>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项目组织架构及实施流程。</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楷体_GB2312" w:eastAsia="楷体_GB2312" w:cs="楷体_GB2312" w:hint="eastAsia"/>
          <w:b/>
          <w:color w:val="000000"/>
          <w:sz w:val="31"/>
          <w:szCs w:val="31"/>
        </w:rPr>
      </w:pPr>
      <w:r>
        <w:rPr>
          <w:rFonts w:ascii="仿宋_GB2312" w:eastAsia="仿宋_GB2312" w:cs="仿宋_GB2312" w:hint="eastAsia"/>
          <w:sz w:val="32"/>
          <w:szCs w:val="32"/>
        </w:rPr>
        <w:t>金川县政法委遵循</w:t>
      </w:r>
      <w:r>
        <w:rPr>
          <w:rFonts w:ascii="仿宋_GB2312" w:eastAsia="仿宋_GB2312" w:cs="仿宋_GB2312" w:hint="eastAsia"/>
          <w:b w:val="0"/>
          <w:bCs w:val="0"/>
          <w:sz w:val="32"/>
          <w:szCs w:val="32"/>
        </w:rPr>
        <w:t>“党政主导、综治主抓、部门参与、联动融合、聚焦平安、信息支撑、统筹规划、分级负责、分类要求、分步实施、因地制宜、务实管用”的建</w:t>
      </w:r>
      <w:r>
        <w:rPr>
          <w:rFonts w:ascii="仿宋_GB2312" w:eastAsia="仿宋_GB2312" w:cs="仿宋_GB2312" w:hint="eastAsia"/>
          <w:sz w:val="32"/>
          <w:szCs w:val="32"/>
        </w:rPr>
        <w:t>设原则，</w:t>
      </w:r>
      <w:r>
        <w:rPr>
          <w:rFonts w:ascii="仿宋_GB2312" w:eastAsia="仿宋_GB2312" w:cs="仿宋_GB2312" w:hint="eastAsia"/>
          <w:sz w:val="32"/>
          <w:szCs w:val="32"/>
          <w:lang w:eastAsia="zh-CN"/>
        </w:rPr>
        <w:t>于</w:t>
      </w:r>
      <w:r>
        <w:rPr>
          <w:rFonts w:ascii="仿宋_GB2312" w:eastAsia="仿宋_GB2312" w:cs="仿宋_GB2312" w:hint="eastAsia"/>
          <w:sz w:val="32"/>
          <w:szCs w:val="32"/>
          <w:lang w:val="en-US" w:eastAsia="zh-CN"/>
        </w:rPr>
        <w:t>2021年11月4日与四川乐为科技有限公司签订了303.1843万元的项目合同，2021年12月27日完成</w:t>
      </w:r>
      <w:r>
        <w:rPr>
          <w:rFonts w:ascii="仿宋_GB2312" w:eastAsia="仿宋_GB2312" w:cs="仿宋_GB2312" w:hint="eastAsia"/>
          <w:sz w:val="32"/>
          <w:szCs w:val="32"/>
          <w:lang w:eastAsia="zh-CN"/>
        </w:rPr>
        <w:t>了</w:t>
      </w:r>
      <w:r>
        <w:rPr>
          <w:rFonts w:ascii="仿宋_GB2312" w:eastAsia="仿宋_GB2312" w:cs="仿宋_GB2312" w:hint="eastAsia"/>
          <w:sz w:val="32"/>
          <w:szCs w:val="32"/>
          <w:lang w:val="en-US" w:eastAsia="zh-CN"/>
        </w:rPr>
        <w:t>金川县社会治安综合治理系统平台升级改造及15个乡镇综治中心设施设备采购及安装项目验收。</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textAlignment w:val="auto"/>
        <w:rPr>
          <w:rFonts w:ascii="Times New Roman" w:eastAsia="楷体_GB2312" w:cs="Times New Roman" w:hAnsi="Times New Roman"/>
          <w:b/>
          <w:color w:val="FF0000"/>
          <w:sz w:val="32"/>
          <w:szCs w:val="32"/>
          <w:lang w:val="zh-CN"/>
        </w:rPr>
      </w:pPr>
    </w:p>
    <w:p>
      <w:pPr>
        <w:pageBreakBefore w:val="0"/>
        <w:widowControl w:val="0"/>
        <w:kinsoku/>
        <w:wordWrap/>
        <w:overflowPunct/>
        <w:topLinePunct w:val="0"/>
        <w:bidi w:val="0"/>
        <w:adjustRightInd w:val="0"/>
        <w:snapToGrid w:val="0"/>
        <w:spacing w:line="576" w:lineRule="exact"/>
        <w:ind w:firstLine="720"/>
        <w:rPr>
          <w:rFonts w:ascii="Times New Roman" w:eastAsia="仿宋_GB2312" w:cs="Times New Roman" w:hAnsi="Times New Roman"/>
          <w:bCs/>
          <w:kern w:val="0"/>
          <w:sz w:val="32"/>
          <w:szCs w:val="32"/>
          <w:shd w:val="clear" w:color="auto" w:fill="FFFFFF"/>
          <w:lang w:val="zh-CN"/>
        </w:rPr>
      </w:pPr>
      <w:r>
        <w:rPr>
          <w:rFonts w:ascii="Times New Roman" w:eastAsia="楷体_GB2312" w:cs="Times New Roman" w:hAnsi="Times New Roman"/>
          <w:b/>
          <w:sz w:val="32"/>
          <w:szCs w:val="32"/>
          <w:lang w:val="zh-CN"/>
        </w:rPr>
        <w:t>（二）项目管理情况</w:t>
      </w:r>
      <w:r>
        <w:rPr>
          <w:rFonts w:ascii="Times New Roman" w:eastAsia="仿宋_GB2312" w:cs="Times New Roman" w:hAnsi="Times New Roman"/>
          <w:bCs/>
          <w:kern w:val="0"/>
          <w:sz w:val="32"/>
          <w:szCs w:val="32"/>
          <w:shd w:val="clear" w:color="auto" w:fill="FFFFFF"/>
          <w:lang w:val="zh-CN"/>
        </w:rPr>
        <w:t>。</w:t>
      </w:r>
    </w:p>
    <w:p>
      <w:pPr>
        <w:pStyle w:val="22"/>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eastAsia="楷体_GB2312" w:hint="eastAsia"/>
          <w:lang w:eastAsia="zh-CN"/>
        </w:rPr>
      </w:pPr>
      <w:r>
        <w:rPr>
          <w:rFonts w:ascii="仿宋_GB2312" w:eastAsia="仿宋_GB2312" w:cs="仿宋_GB2312" w:hint="eastAsia"/>
          <w:color w:val="000000"/>
          <w:sz w:val="31"/>
          <w:szCs w:val="31"/>
          <w:lang w:eastAsia="zh-CN"/>
        </w:rPr>
        <w:t>严格按照政府采购法律进行采购、资金拨付等流程。</w:t>
      </w:r>
      <w:r>
        <w:rPr>
          <w:rFonts w:ascii="仿宋_GB2312" w:eastAsia="仿宋_GB2312" w:cs="仿宋_GB2312" w:hint="eastAsia"/>
          <w:color w:val="000000"/>
          <w:sz w:val="31"/>
          <w:szCs w:val="31"/>
          <w:lang w:val="en-US" w:eastAsia="zh-CN"/>
        </w:rPr>
        <w:t>2021年9月7日经中共金川县委政法委员会班子会议讨论通过，确定了项目带领公司为“四川中安招标代理公司”；2021年8月编制需求论证，并于2021你那9月8日进行公示；9月14日进行采购计划备案，9月22日进行采购意向公开；9月30日在四川政府采购网上发布公开招标采购公告。10月26日发布招标结果公告、中标通知书；11月4日与四川乐为科技有限公司签订采购合同；12月20日开始进行专家评审，12月27日签订验收报告。2022年3月9日签订补充合同，5月11日签订验收报告。</w:t>
      </w:r>
    </w:p>
    <w:p>
      <w:pPr>
        <w:pageBreakBefore w:val="0"/>
        <w:widowControl w:val="0"/>
        <w:kinsoku/>
        <w:wordWrap/>
        <w:overflowPunct/>
        <w:topLinePunct w:val="0"/>
        <w:bidi w:val="0"/>
        <w:adjustRightInd w:val="0"/>
        <w:snapToGrid w:val="0"/>
        <w:spacing w:line="576" w:lineRule="exact"/>
        <w:ind w:firstLine="720"/>
        <w:rPr>
          <w:rFonts w:ascii="Times New Roman" w:eastAsia="仿宋_GB2312" w:cs="Times New Roman" w:hAnsi="Times New Roman"/>
          <w:color w:val="FF0000"/>
          <w:sz w:val="32"/>
          <w:szCs w:val="32"/>
          <w:lang w:val="zh-CN"/>
        </w:rPr>
      </w:pPr>
      <w:r>
        <w:rPr>
          <w:rFonts w:ascii="Times New Roman" w:eastAsia="仿宋_GB2312" w:cs="Times New Roman" w:hAnsi="Times New Roman"/>
          <w:bCs/>
          <w:kern w:val="0"/>
          <w:sz w:val="32"/>
          <w:szCs w:val="32"/>
          <w:shd w:val="clear" w:color="auto" w:fill="FFFFFF"/>
          <w:lang w:val="zh-CN"/>
        </w:rPr>
        <w:t>招投标严格按照政府采购一体化相关要求开展编制预算、下达预算、备案、确定招投标形式、公开采购意向、公开招标等程序，所有流程均在一体化项目中完成。采购过程中，严格遵循《中华人民共和国政府采购法》、《进一步加大政府采购支持中小企业力度的通知》、《阿坝州财政局关于开展政府采购意向公开工作的通知》等相关文件。</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（三）项目监管情况。</w:t>
      </w:r>
    </w:p>
    <w:p>
      <w:pPr>
        <w:pageBreakBefore w:val="0"/>
        <w:widowControl w:val="0"/>
        <w:kinsoku/>
        <w:wordWrap/>
        <w:overflowPunct/>
        <w:topLinePunct w:val="0"/>
        <w:bidi w:val="0"/>
        <w:adjustRightInd w:val="0"/>
        <w:snapToGrid w:val="0"/>
        <w:spacing w:line="576" w:lineRule="exact"/>
        <w:ind w:firstLine="720"/>
        <w:rPr>
          <w:rFonts w:ascii="Times New Roman" w:eastAsia="仿宋_GB2312" w:cs="Times New Roman" w:hAnsi="Times New Roman"/>
          <w:bCs/>
          <w:kern w:val="0"/>
          <w:sz w:val="32"/>
          <w:szCs w:val="32"/>
          <w:shd w:val="clear" w:color="auto" w:fill="FFFFFF"/>
          <w:lang w:val="zh-CN"/>
        </w:rPr>
      </w:pPr>
      <w:r>
        <w:rPr>
          <w:rFonts w:ascii="Times New Roman" w:eastAsia="仿宋_GB2312" w:cs="Times New Roman" w:hAnsi="Times New Roman"/>
          <w:bCs/>
          <w:kern w:val="0"/>
          <w:sz w:val="32"/>
          <w:szCs w:val="32"/>
          <w:shd w:val="clear" w:color="auto" w:fill="FFFFFF"/>
          <w:lang w:val="zh-CN"/>
        </w:rPr>
        <w:t>严格按照年初既定绩效目标开展相关采购工作。在资金支付过程中，积极履行监管义务，做到资金支付合理合法，进一步提高了资金的安全性。</w:t>
      </w:r>
    </w:p>
    <w:p>
      <w:pPr>
        <w:pageBreakBefore w:val="0"/>
        <w:widowControl w:val="0"/>
        <w:kinsoku/>
        <w:wordWrap/>
        <w:overflowPunct/>
        <w:topLinePunct w:val="0"/>
        <w:bidi w:val="0"/>
        <w:adjustRightInd w:val="0"/>
        <w:snapToGrid w:val="0"/>
        <w:spacing w:line="576" w:lineRule="exact"/>
        <w:ind w:firstLine="720"/>
        <w:rPr>
          <w:rFonts w:ascii="Times New Roman" w:eastAsia="黑体" w:cs="Times New Roman" w:hAnsi="Times New Roman"/>
          <w:sz w:val="32"/>
          <w:szCs w:val="32"/>
          <w:lang w:val="zh-CN"/>
        </w:rPr>
      </w:pPr>
      <w:r>
        <w:rPr>
          <w:rFonts w:ascii="Times New Roman" w:eastAsia="黑体" w:cs="Times New Roman" w:hAnsi="Times New Roman"/>
          <w:sz w:val="32"/>
          <w:szCs w:val="32"/>
        </w:rPr>
        <w:t>四、项目绩效情况</w:t>
      </w:r>
      <w:r>
        <w:rPr>
          <w:rFonts w:ascii="Times New Roman" w:eastAsia="黑体" w:cs="Times New Roman" w:hAnsi="Times New Roman"/>
          <w:sz w:val="32"/>
          <w:szCs w:val="32"/>
          <w:lang w:val="zh-CN"/>
        </w:rPr>
        <w:tab/>
      </w:r>
    </w:p>
    <w:p>
      <w:pPr>
        <w:pageBreakBefore w:val="0"/>
        <w:widowControl w:val="0"/>
        <w:kinsoku/>
        <w:wordWrap/>
        <w:overflowPunct/>
        <w:topLinePunct w:val="0"/>
        <w:adjustRightInd w:val="0"/>
        <w:snapToGrid w:val="0"/>
        <w:spacing w:line="576" w:lineRule="exact"/>
        <w:ind w:firstLine="720"/>
        <w:rPr>
          <w:rFonts w:ascii="Times New Roman" w:eastAsia="仿宋_GB2312" w:cs="Times New Roman" w:hAnsi="Times New Roman"/>
          <w:b/>
          <w:bCs/>
          <w:sz w:val="32"/>
          <w:szCs w:val="32"/>
          <w:lang w:val="zh-CN"/>
        </w:rPr>
      </w:pPr>
      <w:r>
        <w:rPr>
          <w:rFonts w:ascii="Times New Roman" w:eastAsia="仿宋_GB2312" w:cs="Times New Roman" w:hAnsi="Times New Roman"/>
          <w:b/>
          <w:bCs/>
          <w:sz w:val="32"/>
          <w:szCs w:val="32"/>
          <w:lang w:val="zh-CN"/>
        </w:rPr>
        <w:t>（一）项目完成情况。</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Times New Roman" w:eastAsia="仿宋_GB2312" w:cs="Times New Roman" w:hAnsi="Times New Roman"/>
          <w:color w:val="auto"/>
          <w:kern w:val="2"/>
          <w:sz w:val="32"/>
          <w:szCs w:val="32"/>
          <w:lang w:val="zh-CN" w:eastAsia="zh-CN" w:bidi="ar-SA"/>
        </w:rPr>
      </w:pPr>
      <w:r>
        <w:rPr>
          <w:rFonts w:ascii="Times New Roman" w:eastAsia="仿宋_GB2312" w:cs="Times New Roman" w:hAnsi="Times New Roman" w:hint="eastAsia"/>
          <w:color w:val="auto"/>
          <w:kern w:val="2"/>
          <w:sz w:val="32"/>
          <w:szCs w:val="32"/>
          <w:lang w:val="en-US" w:eastAsia="zh-CN" w:bidi="ar-SA"/>
        </w:rPr>
        <w:t>2021年12月27日完成</w:t>
      </w:r>
      <w:r>
        <w:rPr>
          <w:rFonts w:ascii="Times New Roman" w:eastAsia="仿宋_GB2312" w:cs="Times New Roman" w:hAnsi="Times New Roman" w:hint="eastAsia"/>
          <w:color w:val="auto"/>
          <w:kern w:val="2"/>
          <w:sz w:val="32"/>
          <w:szCs w:val="32"/>
          <w:lang w:val="zh-CN" w:eastAsia="zh-CN" w:bidi="ar-SA"/>
        </w:rPr>
        <w:t>了</w:t>
      </w:r>
      <w:r>
        <w:rPr>
          <w:rFonts w:ascii="Times New Roman" w:eastAsia="仿宋_GB2312" w:cs="Times New Roman" w:hAnsi="Times New Roman" w:hint="eastAsia"/>
          <w:color w:val="auto"/>
          <w:kern w:val="2"/>
          <w:sz w:val="32"/>
          <w:szCs w:val="32"/>
          <w:lang w:val="en-US" w:eastAsia="zh-CN" w:bidi="ar-SA"/>
        </w:rPr>
        <w:t>金川县社会治安综合治理系统平台升级改造及15个乡镇综治中心设施设备采购及安装项目验收。</w:t>
      </w:r>
    </w:p>
    <w:p>
      <w:pPr>
        <w:pageBreakBefore w:val="0"/>
        <w:widowControl w:val="0"/>
        <w:kinsoku/>
        <w:wordWrap/>
        <w:overflowPunct/>
        <w:topLinePunct w:val="0"/>
        <w:bidi w:val="0"/>
        <w:adjustRightInd w:val="0"/>
        <w:snapToGrid w:val="0"/>
        <w:spacing w:line="576" w:lineRule="exact"/>
        <w:ind w:firstLine="720"/>
        <w:rPr>
          <w:rFonts w:ascii="Times New Roman" w:eastAsia="仿宋_GB2312" w:cs="Times New Roman" w:hAnsi="Times New Roman"/>
          <w:color w:val="FF0000"/>
          <w:sz w:val="32"/>
          <w:szCs w:val="32"/>
          <w:lang w:val="en-US" w:eastAsia="zh-CN"/>
        </w:rPr>
      </w:pP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b/>
          <w:color w:val="auto"/>
          <w:sz w:val="32"/>
          <w:szCs w:val="32"/>
          <w:lang w:val="zh-CN"/>
        </w:rPr>
      </w:pPr>
      <w:r>
        <w:rPr>
          <w:rFonts w:ascii="Times New Roman" w:eastAsia="楷体_GB2312" w:cs="Times New Roman" w:hAnsi="Times New Roman"/>
          <w:b/>
          <w:color w:val="auto"/>
          <w:sz w:val="32"/>
          <w:szCs w:val="32"/>
          <w:lang w:val="zh-CN"/>
        </w:rPr>
        <w:t>（二）项目效益情况。</w:t>
      </w:r>
    </w:p>
    <w:p>
      <w:pPr>
        <w:pStyle w:val="24"/>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cs="仿宋_GB2312" w:hint="eastAsia"/>
          <w:sz w:val="32"/>
          <w:szCs w:val="32"/>
          <w:lang w:val="en-US" w:eastAsia="zh-CN"/>
        </w:rPr>
      </w:pPr>
      <w:r>
        <w:rPr>
          <w:rFonts w:ascii="Times New Roman" w:eastAsia="仿宋_GB2312" w:cs="Times New Roman" w:hAnsi="Times New Roman"/>
          <w:color w:val="auto"/>
          <w:sz w:val="32"/>
          <w:szCs w:val="32"/>
          <w:lang w:val="zh-CN"/>
        </w:rPr>
        <w:t>项目不会直接产生经济效益、社会效益等，但服务效能直接对社会效益、经济效益产生提质增效作用，进一步提供工作效率。</w:t>
      </w:r>
      <w:r>
        <w:rPr>
          <w:rFonts w:ascii="仿宋_GB2312" w:eastAsia="仿宋_GB2312" w:cs="仿宋_GB2312" w:hint="eastAsia"/>
          <w:sz w:val="32"/>
          <w:szCs w:val="32"/>
          <w:lang w:val="en-US" w:eastAsia="zh-CN"/>
        </w:rPr>
        <w:t>通过积极提升综治中心建设的智能化水平，采取“互联网+”思维，建设平安金川APP，</w:t>
      </w:r>
      <w:r>
        <w:rPr>
          <w:rFonts w:ascii="仿宋_GB2312" w:eastAsia="仿宋_GB2312" w:cs="仿宋_GB2312" w:hint="eastAsia"/>
          <w:sz w:val="32"/>
          <w:szCs w:val="32"/>
        </w:rPr>
        <w:t>通过互联网手机GPS精确定位，</w:t>
      </w:r>
      <w:r>
        <w:rPr>
          <w:rFonts w:ascii="仿宋_GB2312" w:eastAsia="仿宋_GB2312" w:cs="仿宋_GB2312" w:hint="eastAsia"/>
          <w:sz w:val="32"/>
          <w:szCs w:val="32"/>
          <w:lang w:val="en-US" w:eastAsia="zh-CN"/>
        </w:rPr>
        <w:t>丰富多元化矛盾纠纷调解、多元化社会综合治理采集渠道、处置渠道，实现社会矛盾精准化解、社会治理多元化高效化治理。</w:t>
      </w:r>
    </w:p>
    <w:p>
      <w:pPr>
        <w:spacing w:line="360" w:lineRule="auto"/>
        <w:ind w:firstLineChars="200" w:firstLine="640"/>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自综治中心建成以来，全县下载安装“平安金川”APP5820人，办理各类案事件158件，通过网格化管理服务系统，共排查处理六大类事件共61678件，通过矛盾纠纷多元化解系统排查化解各类矛盾纠纷575件，我县社会治理能力不断提升。通过综治中心、雪亮工程联网应用，采用“移动端+电脑端”相结合的模式实现应急事件（如泥石流灾害、疫情防控、案（事）件处置）等快速实时调阅现场视频监控、回放历史视频，达到快速研判、视频数据分析、科学决策的实战应用闭环。完成了重点时段、重要时期、重要会议、重要活动的视频指挥调度，全力维护了全县社会持续稳定。</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通过统筹政法委、法院、检察院、公安局、司法局及县级各部门、各乡镇、派出所等90余个部门单位，实现前端有网格员，各乡镇有维稳力量，系统中各部门，形成紧密联系配合，开展组团式服务，健全联勤联动、群防群治机制，实现多方力量共同参与的常态化运行管理机制，实现了共建共治共享，为全面建设“美丽富裕幸福新金川”提供坚强的智治支撑！</w:t>
      </w:r>
    </w:p>
    <w:p>
      <w:pPr>
        <w:pageBreakBefore w:val="0"/>
        <w:widowControl w:val="0"/>
        <w:kinsoku/>
        <w:wordWrap/>
        <w:overflowPunct/>
        <w:topLinePunct w:val="0"/>
        <w:bidi w:val="0"/>
        <w:adjustRightInd w:val="0"/>
        <w:snapToGrid w:val="0"/>
        <w:spacing w:line="576" w:lineRule="exact"/>
        <w:ind w:firstLineChars="200" w:firstLine="640"/>
        <w:rPr>
          <w:rFonts w:ascii="Times New Roman" w:eastAsia="黑体" w:cs="Times New Roman" w:hAnsi="Times New Roman"/>
          <w:color w:val="auto"/>
          <w:sz w:val="32"/>
          <w:szCs w:val="32"/>
        </w:rPr>
      </w:pPr>
      <w:r>
        <w:rPr>
          <w:rFonts w:ascii="Times New Roman" w:eastAsia="黑体" w:cs="Times New Roman" w:hAnsi="Times New Roman"/>
          <w:color w:val="auto"/>
          <w:sz w:val="32"/>
          <w:szCs w:val="32"/>
        </w:rPr>
        <w:t>五、评价结论及建议</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b/>
          <w:color w:val="auto"/>
          <w:sz w:val="32"/>
          <w:szCs w:val="32"/>
          <w:lang w:val="zh-CN"/>
        </w:rPr>
      </w:pPr>
      <w:r>
        <w:rPr>
          <w:rFonts w:ascii="Times New Roman" w:eastAsia="楷体_GB2312" w:cs="Times New Roman" w:hAnsi="Times New Roman"/>
          <w:b/>
          <w:color w:val="auto"/>
          <w:sz w:val="32"/>
          <w:szCs w:val="32"/>
          <w:lang w:val="zh-CN"/>
        </w:rPr>
        <w:t>（一）评价结论。</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Times New Roman" w:eastAsia="仿宋_GB2312" w:cs="Times New Roman" w:hAnsi="Times New Roman" w:hint="eastAsia"/>
          <w:i w:val="0"/>
          <w:iCs w:val="0"/>
          <w:caps w:val="0"/>
          <w:smallCaps w:val="0"/>
          <w:color w:val="333333"/>
          <w:spacing w:val="0"/>
          <w:sz w:val="32"/>
          <w:szCs w:val="32"/>
          <w:shd w:val="clear" w:color="auto" w:fill="FFFFFF"/>
          <w:lang w:val="en-US" w:eastAsia="zh-CN"/>
        </w:rPr>
      </w:pPr>
      <w:r>
        <w:rPr>
          <w:rFonts w:ascii="Times New Roman" w:eastAsia="仿宋_GB2312" w:cs="Times New Roman" w:hAnsi="Times New Roman" w:hint="eastAsia"/>
          <w:i w:val="0"/>
          <w:iCs w:val="0"/>
          <w:caps w:val="0"/>
          <w:smallCaps w:val="0"/>
          <w:color w:val="333333"/>
          <w:spacing w:val="0"/>
          <w:sz w:val="32"/>
          <w:szCs w:val="32"/>
          <w:shd w:val="clear" w:color="auto" w:fill="FFFFFF"/>
          <w:lang w:val="en-US" w:eastAsia="zh-CN"/>
        </w:rPr>
        <w:t>自综治中心建成以来，全县</w:t>
      </w:r>
      <w:r>
        <w:rPr>
          <w:rFonts w:ascii="Times New Roman" w:eastAsia="仿宋_GB2312" w:cs="Times New Roman" w:hAnsi="Times New Roman" w:hint="eastAsia"/>
          <w:i w:val="0"/>
          <w:iCs w:val="0"/>
          <w:caps w:val="0"/>
          <w:smallCaps w:val="0"/>
          <w:color w:val="333333"/>
          <w:spacing w:val="0"/>
          <w:sz w:val="32"/>
          <w:szCs w:val="32"/>
          <w:shd w:val="clear" w:color="auto" w:fill="FFFFFF"/>
        </w:rPr>
        <w:t>下载安装</w:t>
      </w:r>
      <w:r>
        <w:rPr>
          <w:rFonts w:ascii="Times New Roman" w:eastAsia="仿宋_GB2312" w:cs="Times New Roman" w:hAnsi="Times New Roman" w:hint="eastAsia"/>
          <w:i w:val="0"/>
          <w:iCs w:val="0"/>
          <w:caps w:val="0"/>
          <w:smallCaps w:val="0"/>
          <w:color w:val="333333"/>
          <w:spacing w:val="0"/>
          <w:sz w:val="32"/>
          <w:szCs w:val="32"/>
          <w:shd w:val="clear" w:color="auto" w:fill="FFFFFF"/>
          <w:lang w:eastAsia="zh-CN"/>
        </w:rPr>
        <w:t>“</w:t>
      </w:r>
      <w:r>
        <w:rPr>
          <w:rFonts w:ascii="Times New Roman" w:eastAsia="仿宋_GB2312" w:cs="Times New Roman" w:hAnsi="Times New Roman" w:hint="eastAsia"/>
          <w:i w:val="0"/>
          <w:iCs w:val="0"/>
          <w:caps w:val="0"/>
          <w:smallCaps w:val="0"/>
          <w:color w:val="333333"/>
          <w:spacing w:val="0"/>
          <w:sz w:val="32"/>
          <w:szCs w:val="32"/>
          <w:shd w:val="clear" w:color="auto" w:fill="FFFFFF"/>
          <w:lang w:val="en-US" w:eastAsia="zh-CN"/>
        </w:rPr>
        <w:t>平安金川</w:t>
      </w:r>
      <w:r>
        <w:rPr>
          <w:rFonts w:ascii="Times New Roman" w:eastAsia="仿宋_GB2312" w:cs="Times New Roman" w:hAnsi="Times New Roman" w:hint="eastAsia"/>
          <w:i w:val="0"/>
          <w:iCs w:val="0"/>
          <w:caps w:val="0"/>
          <w:smallCaps w:val="0"/>
          <w:color w:val="333333"/>
          <w:spacing w:val="0"/>
          <w:sz w:val="32"/>
          <w:szCs w:val="32"/>
          <w:shd w:val="clear" w:color="auto" w:fill="FFFFFF"/>
          <w:lang w:eastAsia="zh-CN"/>
        </w:rPr>
        <w:t>”</w:t>
      </w:r>
      <w:r>
        <w:rPr>
          <w:rFonts w:ascii="Times New Roman" w:eastAsia="仿宋_GB2312" w:cs="Times New Roman" w:hAnsi="Times New Roman" w:hint="eastAsia"/>
          <w:i w:val="0"/>
          <w:iCs w:val="0"/>
          <w:caps w:val="0"/>
          <w:smallCaps w:val="0"/>
          <w:color w:val="333333"/>
          <w:spacing w:val="0"/>
          <w:sz w:val="32"/>
          <w:szCs w:val="32"/>
          <w:shd w:val="clear" w:color="auto" w:fill="FFFFFF"/>
          <w:lang w:val="en-US" w:eastAsia="zh-CN"/>
        </w:rPr>
        <w:t>APP</w:t>
      </w:r>
      <w:r>
        <w:rPr>
          <w:rFonts w:ascii="Times New Roman" w:eastAsia="仿宋_GB2312" w:cs="Times New Roman" w:hAnsi="Times New Roman" w:hint="eastAsia"/>
          <w:i w:val="0"/>
          <w:iCs w:val="0"/>
          <w:caps w:val="0"/>
          <w:smallCaps w:val="0"/>
          <w:color w:val="333333"/>
          <w:spacing w:val="0"/>
          <w:sz w:val="32"/>
          <w:szCs w:val="32"/>
          <w:shd w:val="clear" w:color="auto" w:fill="FFFFFF"/>
        </w:rPr>
        <w:t>58</w:t>
      </w:r>
      <w:r>
        <w:rPr>
          <w:rFonts w:ascii="Times New Roman" w:eastAsia="仿宋_GB2312" w:cs="Times New Roman" w:hAnsi="Times New Roman" w:hint="eastAsia"/>
          <w:i w:val="0"/>
          <w:iCs w:val="0"/>
          <w:caps w:val="0"/>
          <w:smallCaps w:val="0"/>
          <w:color w:val="333333"/>
          <w:spacing w:val="0"/>
          <w:sz w:val="32"/>
          <w:szCs w:val="32"/>
          <w:shd w:val="clear" w:color="auto" w:fill="FFFFFF"/>
          <w:lang w:val="en-US" w:eastAsia="zh-CN"/>
        </w:rPr>
        <w:t>20</w:t>
      </w:r>
      <w:r>
        <w:rPr>
          <w:rFonts w:ascii="Times New Roman" w:eastAsia="仿宋_GB2312" w:cs="Times New Roman" w:hAnsi="Times New Roman" w:hint="eastAsia"/>
          <w:i w:val="0"/>
          <w:iCs w:val="0"/>
          <w:caps w:val="0"/>
          <w:smallCaps w:val="0"/>
          <w:color w:val="333333"/>
          <w:spacing w:val="0"/>
          <w:sz w:val="32"/>
          <w:szCs w:val="32"/>
          <w:shd w:val="clear" w:color="auto" w:fill="FFFFFF"/>
        </w:rPr>
        <w:t>人，</w:t>
      </w:r>
      <w:r>
        <w:rPr>
          <w:rFonts w:ascii="Times New Roman" w:eastAsia="仿宋_GB2312" w:cs="Times New Roman" w:hAnsi="Times New Roman" w:hint="eastAsia"/>
          <w:i w:val="0"/>
          <w:iCs w:val="0"/>
          <w:caps w:val="0"/>
          <w:smallCaps w:val="0"/>
          <w:color w:val="333333"/>
          <w:spacing w:val="0"/>
          <w:sz w:val="32"/>
          <w:szCs w:val="32"/>
          <w:shd w:val="clear" w:color="auto" w:fill="FFFFFF"/>
          <w:lang w:val="en-US" w:eastAsia="zh-CN"/>
        </w:rPr>
        <w:t>办理各类案事件158件，</w:t>
      </w:r>
      <w:r>
        <w:rPr>
          <w:rFonts w:ascii="Times New Roman" w:eastAsia="仿宋_GB2312" w:cs="Times New Roman" w:hAnsi="Times New Roman" w:hint="eastAsia"/>
          <w:i w:val="0"/>
          <w:iCs w:val="0"/>
          <w:caps w:val="0"/>
          <w:smallCaps w:val="0"/>
          <w:color w:val="333333"/>
          <w:spacing w:val="0"/>
          <w:sz w:val="32"/>
          <w:szCs w:val="32"/>
          <w:shd w:val="clear" w:color="auto" w:fill="FFFFFF"/>
          <w:lang w:eastAsia="zh-CN"/>
        </w:rPr>
        <w:t>通过网格化管理服务系统，</w:t>
      </w:r>
      <w:r>
        <w:rPr>
          <w:rFonts w:ascii="Times New Roman" w:eastAsia="仿宋_GB2312" w:cs="Times New Roman" w:hAnsi="Times New Roman" w:hint="eastAsia"/>
          <w:i w:val="0"/>
          <w:iCs w:val="0"/>
          <w:caps w:val="0"/>
          <w:smallCaps w:val="0"/>
          <w:color w:val="333333"/>
          <w:spacing w:val="0"/>
          <w:sz w:val="32"/>
          <w:szCs w:val="32"/>
          <w:shd w:val="clear" w:color="auto" w:fill="FFFFFF"/>
        </w:rPr>
        <w:t>共排查处理六大类事件共</w:t>
      </w:r>
      <w:r>
        <w:rPr>
          <w:rFonts w:ascii="Times New Roman" w:eastAsia="仿宋_GB2312" w:cs="Times New Roman" w:hAnsi="Times New Roman" w:hint="eastAsia"/>
          <w:i w:val="0"/>
          <w:iCs w:val="0"/>
          <w:caps w:val="0"/>
          <w:smallCaps w:val="0"/>
          <w:color w:val="333333"/>
          <w:spacing w:val="0"/>
          <w:sz w:val="32"/>
          <w:szCs w:val="32"/>
          <w:shd w:val="clear" w:color="auto" w:fill="FFFFFF"/>
          <w:lang w:val="en-US" w:eastAsia="zh-CN"/>
        </w:rPr>
        <w:t>61678</w:t>
      </w:r>
      <w:r>
        <w:rPr>
          <w:rFonts w:ascii="Times New Roman" w:eastAsia="仿宋_GB2312" w:cs="Times New Roman" w:hAnsi="Times New Roman" w:hint="eastAsia"/>
          <w:i w:val="0"/>
          <w:iCs w:val="0"/>
          <w:caps w:val="0"/>
          <w:smallCaps w:val="0"/>
          <w:color w:val="333333"/>
          <w:spacing w:val="0"/>
          <w:sz w:val="32"/>
          <w:szCs w:val="32"/>
          <w:shd w:val="clear" w:color="auto" w:fill="FFFFFF"/>
        </w:rPr>
        <w:t>件</w:t>
      </w:r>
      <w:r>
        <w:rPr>
          <w:rFonts w:ascii="Times New Roman" w:eastAsia="仿宋_GB2312" w:cs="Times New Roman" w:hAnsi="Times New Roman" w:hint="eastAsia"/>
          <w:i w:val="0"/>
          <w:iCs w:val="0"/>
          <w:caps w:val="0"/>
          <w:smallCaps w:val="0"/>
          <w:color w:val="333333"/>
          <w:spacing w:val="0"/>
          <w:sz w:val="32"/>
          <w:szCs w:val="32"/>
          <w:shd w:val="clear" w:color="auto" w:fill="FFFFFF"/>
          <w:lang w:eastAsia="zh-CN"/>
        </w:rPr>
        <w:t>，通过矛盾纠纷多元化解系统排查化解各类矛盾纠纷</w:t>
      </w:r>
      <w:r>
        <w:rPr>
          <w:rFonts w:ascii="Times New Roman" w:eastAsia="仿宋_GB2312" w:cs="Times New Roman" w:hAnsi="Times New Roman" w:hint="eastAsia"/>
          <w:i w:val="0"/>
          <w:iCs w:val="0"/>
          <w:caps w:val="0"/>
          <w:smallCaps w:val="0"/>
          <w:color w:val="333333"/>
          <w:spacing w:val="0"/>
          <w:sz w:val="32"/>
          <w:szCs w:val="32"/>
          <w:shd w:val="clear" w:color="auto" w:fill="FFFFFF"/>
          <w:lang w:val="en-US" w:eastAsia="zh-CN"/>
        </w:rPr>
        <w:t>575件，我县社会治理能力不断提升。通过综治中心、雪亮工程联网应用，采用“移动端+电脑端”相结合的模式</w:t>
      </w:r>
      <w:r>
        <w:rPr>
          <w:rFonts w:ascii="Times New Roman" w:eastAsia="仿宋_GB2312" w:cs="Times New Roman" w:hAnsi="Times New Roman" w:hint="eastAsia"/>
          <w:i w:val="0"/>
          <w:iCs w:val="0"/>
          <w:caps w:val="0"/>
          <w:smallCaps w:val="0"/>
          <w:color w:val="333333"/>
          <w:spacing w:val="0"/>
          <w:sz w:val="32"/>
          <w:szCs w:val="32"/>
          <w:shd w:val="clear" w:color="auto" w:fill="FFFFFF"/>
        </w:rPr>
        <w:t>实现应急事件（如</w:t>
      </w:r>
      <w:r>
        <w:rPr>
          <w:rFonts w:ascii="Times New Roman" w:eastAsia="仿宋_GB2312" w:cs="Times New Roman" w:hAnsi="Times New Roman" w:hint="eastAsia"/>
          <w:i w:val="0"/>
          <w:iCs w:val="0"/>
          <w:caps w:val="0"/>
          <w:smallCaps w:val="0"/>
          <w:color w:val="333333"/>
          <w:spacing w:val="0"/>
          <w:sz w:val="32"/>
          <w:szCs w:val="32"/>
          <w:shd w:val="clear" w:color="auto" w:fill="FFFFFF"/>
          <w:lang w:eastAsia="zh-CN"/>
        </w:rPr>
        <w:t>泥石流</w:t>
      </w:r>
      <w:r>
        <w:rPr>
          <w:rFonts w:ascii="Times New Roman" w:eastAsia="仿宋_GB2312" w:cs="Times New Roman" w:hAnsi="Times New Roman" w:hint="eastAsia"/>
          <w:i w:val="0"/>
          <w:iCs w:val="0"/>
          <w:caps w:val="0"/>
          <w:smallCaps w:val="0"/>
          <w:color w:val="333333"/>
          <w:spacing w:val="0"/>
          <w:sz w:val="32"/>
          <w:szCs w:val="32"/>
          <w:shd w:val="clear" w:color="auto" w:fill="FFFFFF"/>
        </w:rPr>
        <w:t>灾害、疫情防控</w:t>
      </w:r>
      <w:r>
        <w:rPr>
          <w:rFonts w:ascii="Times New Roman" w:eastAsia="仿宋_GB2312" w:cs="Times New Roman" w:hAnsi="Times New Roman" w:hint="eastAsia"/>
          <w:i w:val="0"/>
          <w:iCs w:val="0"/>
          <w:caps w:val="0"/>
          <w:smallCaps w:val="0"/>
          <w:color w:val="333333"/>
          <w:spacing w:val="0"/>
          <w:sz w:val="32"/>
          <w:szCs w:val="32"/>
          <w:shd w:val="clear" w:color="auto" w:fill="FFFFFF"/>
          <w:lang w:eastAsia="zh-CN"/>
        </w:rPr>
        <w:t>、案（事）件处置</w:t>
      </w:r>
      <w:r>
        <w:rPr>
          <w:rFonts w:ascii="Times New Roman" w:eastAsia="仿宋_GB2312" w:cs="Times New Roman" w:hAnsi="Times New Roman" w:hint="eastAsia"/>
          <w:i w:val="0"/>
          <w:iCs w:val="0"/>
          <w:caps w:val="0"/>
          <w:smallCaps w:val="0"/>
          <w:color w:val="333333"/>
          <w:spacing w:val="0"/>
          <w:sz w:val="32"/>
          <w:szCs w:val="32"/>
          <w:shd w:val="clear" w:color="auto" w:fill="FFFFFF"/>
        </w:rPr>
        <w:t>）等快速实时调阅现场视频监控、回放历史视频，达到快速研判、视频数据分析、科学决策的实战应用闭环。</w:t>
      </w:r>
      <w:r>
        <w:rPr>
          <w:rFonts w:ascii="Times New Roman" w:eastAsia="仿宋_GB2312" w:cs="Times New Roman" w:hAnsi="Times New Roman" w:hint="eastAsia"/>
          <w:i w:val="0"/>
          <w:iCs w:val="0"/>
          <w:caps w:val="0"/>
          <w:smallCaps w:val="0"/>
          <w:color w:val="333333"/>
          <w:spacing w:val="0"/>
          <w:sz w:val="32"/>
          <w:szCs w:val="32"/>
          <w:shd w:val="clear" w:color="auto" w:fill="FFFFFF"/>
          <w:lang w:val="en-US" w:eastAsia="zh-CN"/>
        </w:rPr>
        <w:t>完成了重点时段、重要时期、重要会议、重要活动的视频指挥调度，全力维护了全县社会持续稳定。</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Times New Roman" w:cs="Times New Roman" w:hAnsi="Times New Roman"/>
          <w:lang w:val="zh-CN"/>
        </w:rPr>
      </w:pPr>
      <w:r>
        <w:rPr>
          <w:rFonts w:ascii="Times New Roman" w:eastAsia="仿宋_GB2312" w:cs="Times New Roman" w:hAnsi="Times New Roman" w:hint="eastAsia"/>
          <w:i w:val="0"/>
          <w:iCs w:val="0"/>
          <w:caps w:val="0"/>
          <w:smallCaps w:val="0"/>
          <w:color w:val="333333"/>
          <w:spacing w:val="0"/>
          <w:sz w:val="32"/>
          <w:szCs w:val="32"/>
          <w:shd w:val="clear" w:color="auto" w:fill="FFFFFF"/>
          <w:lang w:val="en-US" w:eastAsia="zh-CN"/>
        </w:rPr>
        <w:t>通过统筹政法委、法院、检察院、公安局、司法局及县级各部门、各乡镇、派出所等90余个部门单位，实现前端有网格员，各乡镇有维稳力量，系统中各部门，形成紧密联系配合，开展组团式服务，健全联勤联动、群防群治机制，实现多方力量共同参与的常态化运行管理机制，实现了共建共治共享，为全面建设“美丽富裕幸福新金川”提供坚强的智治支撑</w:t>
      </w:r>
      <w:r>
        <w:rPr>
          <w:rFonts w:ascii="仿宋_GB2312" w:eastAsia="仿宋_GB2312" w:cs="仿宋_GB2312" w:hint="eastAsia"/>
          <w:color w:val="000000"/>
          <w:kern w:val="2"/>
          <w:sz w:val="32"/>
          <w:szCs w:val="32"/>
          <w:lang w:val="en-US" w:eastAsia="zh-CN" w:bidi="ar-SA"/>
        </w:rPr>
        <w:t>！</w:t>
      </w:r>
      <w:r>
        <w:rPr>
          <w:rFonts w:ascii="Times New Roman" w:eastAsia="仿宋_GB2312" w:cs="Times New Roman" w:hAnsi="Times New Roman"/>
          <w:i w:val="0"/>
          <w:iCs w:val="0"/>
          <w:caps w:val="0"/>
          <w:smallCaps w:val="0"/>
          <w:color w:val="333333"/>
          <w:spacing w:val="0"/>
          <w:sz w:val="32"/>
          <w:szCs w:val="32"/>
          <w:shd w:val="clear" w:color="auto" w:fill="FFFFFF"/>
        </w:rPr>
        <w:t>评论结论为“好”。</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b/>
          <w:color w:val="auto"/>
          <w:sz w:val="32"/>
          <w:szCs w:val="32"/>
          <w:lang w:val="zh-CN"/>
        </w:rPr>
      </w:pPr>
      <w:r>
        <w:rPr>
          <w:rFonts w:ascii="Times New Roman" w:eastAsia="楷体_GB2312" w:cs="Times New Roman" w:hAnsi="Times New Roman"/>
          <w:b/>
          <w:color w:val="auto"/>
          <w:sz w:val="32"/>
          <w:szCs w:val="32"/>
          <w:lang w:val="zh-CN"/>
        </w:rPr>
        <w:t>（二）存在的问题。</w:t>
      </w:r>
    </w:p>
    <w:p>
      <w:pPr>
        <w:pageBreakBefore w:val="0"/>
        <w:widowControl w:val="0"/>
        <w:kinsoku/>
        <w:wordWrap/>
        <w:overflowPunct/>
        <w:topLinePunct w:val="0"/>
        <w:bidi w:val="0"/>
        <w:adjustRightInd w:val="0"/>
        <w:snapToGrid w:val="0"/>
        <w:spacing w:line="576" w:lineRule="exact"/>
        <w:ind w:firstLineChars="200" w:firstLine="640"/>
        <w:rPr>
          <w:rFonts w:ascii="Times New Roman" w:eastAsia="仿宋_GB2312" w:cs="Times New Roman" w:hAnsi="Times New Roman"/>
          <w:color w:val="FF0000"/>
          <w:sz w:val="32"/>
          <w:szCs w:val="32"/>
          <w:lang w:val="zh-CN"/>
        </w:rPr>
      </w:pPr>
      <w:r>
        <w:rPr>
          <w:rFonts w:ascii="Times New Roman" w:eastAsia="仿宋_GB2312" w:cs="Times New Roman" w:hAnsi="Times New Roman"/>
          <w:i w:val="0"/>
          <w:iCs w:val="0"/>
          <w:caps w:val="0"/>
          <w:smallCaps w:val="0"/>
          <w:color w:val="333333"/>
          <w:spacing w:val="0"/>
          <w:sz w:val="32"/>
          <w:szCs w:val="32"/>
          <w:shd w:val="clear" w:color="auto" w:fill="FFFFFF"/>
        </w:rPr>
        <w:t>绩效目标编制有待进一步完善。在编制绩效目标时对绩效指标进行</w:t>
      </w:r>
      <w:r>
        <w:rPr>
          <w:rFonts w:ascii="Times New Roman" w:eastAsia="仿宋_GB2312" w:cs="Times New Roman" w:hAnsi="Times New Roman"/>
          <w:i w:val="0"/>
          <w:iCs w:val="0"/>
          <w:caps w:val="0"/>
          <w:smallCaps w:val="0"/>
          <w:color w:val="333333"/>
          <w:spacing w:val="0"/>
          <w:sz w:val="32"/>
          <w:szCs w:val="32"/>
          <w:shd w:val="clear" w:color="auto" w:fill="FFFFFF"/>
          <w:lang w:eastAsia="zh-CN"/>
        </w:rPr>
        <w:t>细化</w:t>
      </w:r>
      <w:r>
        <w:rPr>
          <w:rFonts w:ascii="Times New Roman" w:eastAsia="仿宋_GB2312" w:cs="Times New Roman" w:hAnsi="Times New Roman"/>
          <w:i w:val="0"/>
          <w:iCs w:val="0"/>
          <w:caps w:val="0"/>
          <w:smallCaps w:val="0"/>
          <w:color w:val="333333"/>
          <w:spacing w:val="0"/>
          <w:sz w:val="32"/>
          <w:szCs w:val="32"/>
          <w:shd w:val="clear" w:color="auto" w:fill="FFFFFF"/>
        </w:rPr>
        <w:t>，设立</w:t>
      </w:r>
      <w:r>
        <w:rPr>
          <w:rFonts w:ascii="Times New Roman" w:eastAsia="仿宋_GB2312" w:cs="Times New Roman" w:hAnsi="Times New Roman"/>
          <w:i w:val="0"/>
          <w:iCs w:val="0"/>
          <w:caps w:val="0"/>
          <w:smallCaps w:val="0"/>
          <w:color w:val="333333"/>
          <w:spacing w:val="0"/>
          <w:sz w:val="32"/>
          <w:szCs w:val="32"/>
          <w:shd w:val="clear" w:color="auto" w:fill="FFFFFF"/>
          <w:lang w:eastAsia="zh-CN"/>
        </w:rPr>
        <w:t>更明确的</w:t>
      </w:r>
      <w:r>
        <w:rPr>
          <w:rFonts w:ascii="Times New Roman" w:eastAsia="仿宋_GB2312" w:cs="Times New Roman" w:hAnsi="Times New Roman"/>
          <w:i w:val="0"/>
          <w:iCs w:val="0"/>
          <w:caps w:val="0"/>
          <w:smallCaps w:val="0"/>
          <w:color w:val="333333"/>
          <w:spacing w:val="0"/>
          <w:sz w:val="32"/>
          <w:szCs w:val="32"/>
          <w:shd w:val="clear" w:color="auto" w:fill="FFFFFF"/>
        </w:rPr>
        <w:t>绩效指标，以便于进行绩效考核。</w:t>
      </w:r>
      <w:r>
        <w:rPr>
          <w:rFonts w:ascii="Times New Roman" w:eastAsia="仿宋_GB2312" w:cs="Times New Roman" w:hAnsi="Times New Roman"/>
          <w:color w:val="FF0000"/>
          <w:sz w:val="32"/>
          <w:szCs w:val="32"/>
          <w:lang w:val="zh-CN"/>
        </w:rPr>
        <w:tab/>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b/>
          <w:color w:val="auto"/>
          <w:sz w:val="32"/>
          <w:szCs w:val="32"/>
          <w:lang w:val="zh-CN"/>
        </w:rPr>
      </w:pPr>
      <w:r>
        <w:rPr>
          <w:rFonts w:ascii="Times New Roman" w:eastAsia="楷体_GB2312" w:cs="Times New Roman" w:hAnsi="Times New Roman"/>
          <w:b/>
          <w:color w:val="auto"/>
          <w:sz w:val="32"/>
          <w:szCs w:val="32"/>
          <w:lang w:val="zh-CN"/>
        </w:rPr>
        <w:t>（三）相关建议。</w:t>
      </w:r>
    </w:p>
    <w:p>
      <w:pPr>
        <w:pageBreakBefore w:val="0"/>
        <w:widowControl w:val="0"/>
        <w:kinsoku/>
        <w:wordWrap/>
        <w:overflowPunct/>
        <w:topLinePunct w:val="0"/>
        <w:bidi w:val="0"/>
        <w:adjustRightInd w:val="0"/>
        <w:snapToGrid w:val="0"/>
        <w:spacing w:line="576" w:lineRule="exact"/>
        <w:ind w:firstLineChars="200" w:firstLine="640"/>
        <w:rPr>
          <w:rFonts w:ascii="Times New Roman" w:eastAsia="仿宋_GB2312" w:cs="Times New Roman" w:hAnsi="Times New Roman"/>
          <w:i w:val="0"/>
          <w:iCs w:val="0"/>
          <w:caps w:val="0"/>
          <w:smallCaps w:val="0"/>
          <w:color w:val="333333"/>
          <w:spacing w:val="0"/>
          <w:sz w:val="32"/>
          <w:szCs w:val="32"/>
          <w:shd w:val="clear" w:color="auto" w:fill="FFFFFF"/>
        </w:rPr>
      </w:pPr>
      <w:r>
        <w:rPr>
          <w:rFonts w:ascii="Times New Roman" w:eastAsia="仿宋_GB2312" w:cs="Times New Roman" w:hAnsi="Times New Roman"/>
          <w:i w:val="0"/>
          <w:iCs w:val="0"/>
          <w:caps w:val="0"/>
          <w:smallCaps w:val="0"/>
          <w:color w:val="333333"/>
          <w:spacing w:val="0"/>
          <w:sz w:val="32"/>
          <w:szCs w:val="32"/>
          <w:shd w:val="clear" w:color="auto" w:fill="FFFFFF"/>
        </w:rPr>
        <w:t>做好项目实施的</w:t>
      </w:r>
      <w:r>
        <w:rPr>
          <w:rFonts w:ascii="Times New Roman" w:eastAsia="仿宋_GB2312" w:cs="Times New Roman" w:hAnsi="Times New Roman"/>
          <w:i w:val="0"/>
          <w:iCs w:val="0"/>
          <w:caps w:val="0"/>
          <w:smallCaps w:val="0"/>
          <w:color w:val="333333"/>
          <w:spacing w:val="0"/>
          <w:sz w:val="32"/>
          <w:szCs w:val="32"/>
          <w:shd w:val="clear" w:color="auto" w:fill="FFFFFF"/>
          <w:lang w:eastAsia="zh-CN"/>
        </w:rPr>
        <w:t>全流程</w:t>
      </w:r>
      <w:r>
        <w:rPr>
          <w:rFonts w:ascii="Times New Roman" w:eastAsia="仿宋_GB2312" w:cs="Times New Roman" w:hAnsi="Times New Roman"/>
          <w:i w:val="0"/>
          <w:iCs w:val="0"/>
          <w:caps w:val="0"/>
          <w:smallCaps w:val="0"/>
          <w:color w:val="333333"/>
          <w:spacing w:val="0"/>
          <w:sz w:val="32"/>
          <w:szCs w:val="32"/>
          <w:shd w:val="clear" w:color="auto" w:fill="FFFFFF"/>
        </w:rPr>
        <w:t>跟踪</w:t>
      </w:r>
      <w:r>
        <w:rPr>
          <w:rFonts w:ascii="Times New Roman" w:eastAsia="仿宋_GB2312" w:cs="Times New Roman" w:hAnsi="Times New Roman"/>
          <w:i w:val="0"/>
          <w:iCs w:val="0"/>
          <w:caps w:val="0"/>
          <w:smallCaps w:val="0"/>
          <w:color w:val="333333"/>
          <w:spacing w:val="0"/>
          <w:sz w:val="32"/>
          <w:szCs w:val="32"/>
          <w:shd w:val="clear" w:color="auto" w:fill="FFFFFF"/>
          <w:lang w:eastAsia="zh-CN"/>
        </w:rPr>
        <w:t>、</w:t>
      </w:r>
      <w:r>
        <w:rPr>
          <w:rFonts w:ascii="Times New Roman" w:eastAsia="仿宋_GB2312" w:cs="Times New Roman" w:hAnsi="Times New Roman"/>
          <w:i w:val="0"/>
          <w:iCs w:val="0"/>
          <w:caps w:val="0"/>
          <w:smallCaps w:val="0"/>
          <w:color w:val="333333"/>
          <w:spacing w:val="0"/>
          <w:sz w:val="32"/>
          <w:szCs w:val="32"/>
          <w:shd w:val="clear" w:color="auto" w:fill="FFFFFF"/>
        </w:rPr>
        <w:t>检查工作。</w:t>
      </w:r>
      <w:r>
        <w:rPr>
          <w:rFonts w:ascii="Times New Roman" w:eastAsia="仿宋_GB2312" w:cs="Times New Roman" w:hAnsi="Times New Roman"/>
          <w:i w:val="0"/>
          <w:iCs w:val="0"/>
          <w:caps w:val="0"/>
          <w:smallCaps w:val="0"/>
          <w:color w:val="333333"/>
          <w:spacing w:val="0"/>
          <w:sz w:val="32"/>
          <w:szCs w:val="32"/>
          <w:shd w:val="clear" w:color="auto" w:fill="FFFFFF"/>
          <w:lang w:eastAsia="zh-CN"/>
        </w:rPr>
        <w:t>定期对项目资金进行安全及绩效情况跟踪检查，对项目实施进度缓慢、绩效目标差的项目进行调整或资金收回财政部门，保证资金使用效能。</w:t>
      </w:r>
      <w:r>
        <w:rPr>
          <w:rFonts w:ascii="Times New Roman" w:eastAsia="仿宋_GB2312" w:cs="Times New Roman" w:hAnsi="Times New Roman"/>
          <w:i w:val="0"/>
          <w:iCs w:val="0"/>
          <w:caps w:val="0"/>
          <w:smallCaps w:val="0"/>
          <w:color w:val="333333"/>
          <w:spacing w:val="0"/>
          <w:sz w:val="32"/>
          <w:szCs w:val="32"/>
          <w:shd w:val="clear" w:color="auto" w:fill="FFFFFF"/>
        </w:rPr>
        <w:t>加强部门预算整体绩效管理的指导和培训，</w:t>
      </w:r>
      <w:r>
        <w:rPr>
          <w:rFonts w:ascii="Times New Roman" w:eastAsia="仿宋_GB2312" w:cs="Times New Roman" w:hAnsi="Times New Roman"/>
          <w:i w:val="0"/>
          <w:iCs w:val="0"/>
          <w:caps w:val="0"/>
          <w:smallCaps w:val="0"/>
          <w:color w:val="333333"/>
          <w:spacing w:val="0"/>
          <w:sz w:val="32"/>
          <w:szCs w:val="32"/>
          <w:shd w:val="clear" w:color="auto" w:fill="FFFFFF"/>
          <w:lang w:eastAsia="zh-CN"/>
        </w:rPr>
        <w:t>进一步提升</w:t>
      </w:r>
      <w:r>
        <w:rPr>
          <w:rFonts w:ascii="Times New Roman" w:eastAsia="仿宋_GB2312" w:cs="Times New Roman" w:hAnsi="Times New Roman"/>
          <w:i w:val="0"/>
          <w:iCs w:val="0"/>
          <w:caps w:val="0"/>
          <w:smallCaps w:val="0"/>
          <w:color w:val="333333"/>
          <w:spacing w:val="0"/>
          <w:sz w:val="32"/>
          <w:szCs w:val="32"/>
          <w:shd w:val="clear" w:color="auto" w:fill="FFFFFF"/>
        </w:rPr>
        <w:t>绩效管理业务人员绩效管理能力</w:t>
      </w:r>
      <w:r>
        <w:rPr>
          <w:rFonts w:ascii="Times New Roman" w:eastAsia="仿宋_GB2312" w:cs="Times New Roman" w:hAnsi="Times New Roman"/>
          <w:i w:val="0"/>
          <w:iCs w:val="0"/>
          <w:caps w:val="0"/>
          <w:smallCaps w:val="0"/>
          <w:color w:val="333333"/>
          <w:spacing w:val="0"/>
          <w:sz w:val="32"/>
          <w:szCs w:val="32"/>
          <w:shd w:val="clear" w:color="auto" w:fill="FFFFFF"/>
          <w:lang w:eastAsia="zh-CN"/>
        </w:rPr>
        <w:t>及业务能力</w:t>
      </w:r>
      <w:r>
        <w:rPr>
          <w:rFonts w:ascii="Times New Roman" w:eastAsia="仿宋_GB2312" w:cs="Times New Roman" w:hAnsi="Times New Roman"/>
          <w:i w:val="0"/>
          <w:iCs w:val="0"/>
          <w:caps w:val="0"/>
          <w:smallCaps w:val="0"/>
          <w:color w:val="333333"/>
          <w:spacing w:val="0"/>
          <w:sz w:val="32"/>
          <w:szCs w:val="32"/>
          <w:shd w:val="clear" w:color="auto" w:fill="FFFFFF"/>
        </w:rPr>
        <w:t>。</w:t>
      </w: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lang w:val="zh-CN"/>
        </w:rPr>
      </w:pPr>
    </w:p>
    <w:tbl>
      <w:tblPr>
        <w:tblpPr w:leftFromText="180" w:rightFromText="180" w:vertAnchor="text" w:horzAnchor="page" w:tblpX="1281" w:tblpY="660"/>
        <w:tblOverlap w:val="never"/>
        <w:tblW w:w="9811"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977"/>
        <w:gridCol w:w="1142"/>
        <w:gridCol w:w="1635"/>
        <w:gridCol w:w="1189"/>
        <w:gridCol w:w="1224"/>
        <w:gridCol w:w="2410"/>
        <w:gridCol w:w="234"/>
      </w:tblGrid>
      <w:tr>
        <w:trPr>
          <w:trHeight w:val="675"/>
        </w:trPr>
        <w:tc>
          <w:tcPr>
            <w:tcW w:w="9577" w:type="dxa"/>
            <w:gridSpan w:val="6"/>
            <w:tcBorders>
              <w:top w:val="nil"/>
              <w:left w:val="nil"/>
              <w:bottom w:val="nil"/>
              <w:right w:val="nil"/>
            </w:tcBorders>
            <w:shd w:val="clear" w:color="auto" w:fill="auto"/>
            <w:noWrap/>
            <w:vAlign w:val="center"/>
          </w:tcPr>
          <w:p>
            <w:pPr>
              <w:pageBreakBefore w:val="0"/>
              <w:widowControl/>
              <w:kinsoku/>
              <w:wordWrap/>
              <w:overflowPunct/>
              <w:topLinePunct w:val="0"/>
              <w:bidi w:val="0"/>
              <w:spacing w:line="576" w:lineRule="exact"/>
              <w:textAlignment w:val="center"/>
              <w:rPr>
                <w:rFonts w:ascii="Times New Roman" w:cs="Times New Roman" w:hAnsi="Times New Roman"/>
                <w:b/>
                <w:sz w:val="32"/>
                <w:szCs w:val="32"/>
              </w:rPr>
            </w:pPr>
            <w:r>
              <w:rPr>
                <w:rFonts w:ascii="Times New Roman" w:cs="Times New Roman" w:hAnsi="Times New Roman"/>
                <w:b/>
                <w:sz w:val="32"/>
                <w:szCs w:val="32"/>
              </w:rPr>
              <w:t>202</w:t>
            </w:r>
            <w:r>
              <w:rPr>
                <w:rFonts w:cs="Times New Roman" w:hint="eastAsia"/>
                <w:b/>
                <w:sz w:val="32"/>
                <w:szCs w:val="32"/>
                <w:lang w:val="en-US" w:eastAsia="zh-CN"/>
              </w:rPr>
              <w:t>2</w:t>
            </w:r>
            <w:r>
              <w:rPr>
                <w:rFonts w:ascii="Times New Roman" w:cs="Times New Roman" w:hAnsi="Times New Roman"/>
                <w:b/>
                <w:sz w:val="32"/>
                <w:szCs w:val="32"/>
              </w:rPr>
              <w:t>年100万元以上（含）特定目标类部门预算项目绩效目标自评</w:t>
            </w:r>
          </w:p>
        </w:tc>
        <w:tc>
          <w:tcPr>
            <w:tcW w:w="234" w:type="dxa"/>
            <w:tcBorders>
              <w:top w:val="nil"/>
              <w:left w:val="nil"/>
              <w:bottom w:val="nil"/>
              <w:right w:val="nil"/>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cs="Times New Roman" w:hAnsi="Times New Roman"/>
                <w:b/>
                <w:kern w:val="0"/>
                <w:sz w:val="32"/>
                <w:szCs w:val="32"/>
              </w:rPr>
            </w:pPr>
          </w:p>
        </w:tc>
      </w:tr>
      <w:tr>
        <w:trPr>
          <w:trHeight w:val="299"/>
          <w:gridAfter w:val="1"/>
          <w:wAfter w:w="234" w:type="dxa"/>
        </w:trPr>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cs="Times New Roman" w:hAnsi="Times New Roman"/>
                <w:sz w:val="24"/>
              </w:rPr>
            </w:pPr>
            <w:r>
              <w:rPr>
                <w:rFonts w:ascii="Times New Roman" w:cs="Times New Roman" w:hAnsi="Times New Roman"/>
                <w:kern w:val="0"/>
                <w:sz w:val="24"/>
              </w:rPr>
              <w:t>主管部门及代码</w:t>
            </w:r>
          </w:p>
        </w:tc>
        <w:tc>
          <w:tcPr>
            <w:tcW w:w="282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textAlignment w:val="center"/>
              <w:rPr>
                <w:rFonts w:ascii="Times New Roman" w:eastAsia="宋体" w:cs="Times New Roman" w:hAnsi="Times New Roman"/>
                <w:sz w:val="24"/>
                <w:lang w:val="en-US" w:eastAsia="zh-CN"/>
              </w:rPr>
            </w:pPr>
            <w:r>
              <w:rPr>
                <w:rFonts w:ascii="Times New Roman" w:cs="Times New Roman" w:hAnsi="Times New Roman"/>
                <w:sz w:val="24"/>
              </w:rPr>
              <w:t>中共</w:t>
            </w:r>
            <w:r>
              <w:rPr>
                <w:rFonts w:cs="Times New Roman" w:hint="eastAsia"/>
                <w:sz w:val="24"/>
                <w:lang w:val="en-US" w:eastAsia="zh-CN"/>
              </w:rPr>
              <w:t>金川县委政法委员会</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cs="Times New Roman" w:hAnsi="Times New Roman"/>
                <w:sz w:val="24"/>
              </w:rPr>
            </w:pPr>
            <w:r>
              <w:rPr>
                <w:rFonts w:ascii="Times New Roman" w:cs="Times New Roman" w:hAnsi="Times New Roman"/>
                <w:kern w:val="0"/>
                <w:sz w:val="24"/>
              </w:rPr>
              <w:t>实施单位</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cs="Times New Roman" w:hAnsi="Times New Roman"/>
                <w:sz w:val="24"/>
              </w:rPr>
            </w:pPr>
            <w:r>
              <w:rPr>
                <w:rFonts w:ascii="Times New Roman" w:cs="Times New Roman" w:hAnsi="Times New Roman"/>
                <w:sz w:val="24"/>
              </w:rPr>
              <w:t>中共</w:t>
            </w:r>
            <w:r>
              <w:rPr>
                <w:rFonts w:cs="Times New Roman" w:hint="eastAsia"/>
                <w:sz w:val="24"/>
                <w:lang w:val="en-US" w:eastAsia="zh-CN"/>
              </w:rPr>
              <w:t>金川县委政法委员会</w:t>
            </w:r>
          </w:p>
        </w:tc>
      </w:tr>
      <w:tr>
        <w:trPr>
          <w:trHeight w:val="341"/>
          <w:gridAfter w:val="1"/>
          <w:wAfter w:w="234" w:type="dxa"/>
        </w:trPr>
        <w:tc>
          <w:tcPr>
            <w:tcW w:w="311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eastAsia="宋体" w:cs="Times New Roman" w:hAnsi="Times New Roman"/>
                <w:kern w:val="0"/>
                <w:sz w:val="24"/>
                <w:lang w:eastAsia="zh-CN"/>
              </w:rPr>
            </w:pPr>
            <w:r>
              <w:rPr>
                <w:rFonts w:ascii="Times New Roman" w:cs="Times New Roman" w:hAnsi="Times New Roman"/>
                <w:kern w:val="0"/>
                <w:sz w:val="24"/>
              </w:rPr>
              <w:t>项目预算</w:t>
            </w:r>
          </w:p>
          <w:p>
            <w:pPr>
              <w:pageBreakBefore w:val="0"/>
              <w:widowControl/>
              <w:kinsoku/>
              <w:wordWrap/>
              <w:overflowPunct/>
              <w:topLinePunct w:val="0"/>
              <w:bidi w:val="0"/>
              <w:spacing w:line="576" w:lineRule="exact"/>
              <w:jc w:val="center"/>
              <w:textAlignment w:val="center"/>
              <w:rPr>
                <w:rFonts w:ascii="Times New Roman" w:eastAsia="宋体" w:cs="Times New Roman" w:hAnsi="Times New Roman"/>
                <w:kern w:val="0"/>
                <w:sz w:val="24"/>
                <w:lang w:eastAsia="zh-CN"/>
              </w:rPr>
            </w:pPr>
            <w:r>
              <w:rPr>
                <w:rFonts w:ascii="Times New Roman" w:cs="Times New Roman" w:hAnsi="Times New Roman"/>
                <w:kern w:val="0"/>
                <w:sz w:val="24"/>
              </w:rPr>
              <w:t>执行情况</w:t>
            </w:r>
          </w:p>
          <w:p>
            <w:pPr>
              <w:pageBreakBefore w:val="0"/>
              <w:widowControl/>
              <w:kinsoku/>
              <w:wordWrap/>
              <w:overflowPunct/>
              <w:topLinePunct w:val="0"/>
              <w:bidi w:val="0"/>
              <w:spacing w:line="576" w:lineRule="exact"/>
              <w:jc w:val="center"/>
              <w:textAlignment w:val="center"/>
              <w:rPr>
                <w:rFonts w:ascii="Times New Roman" w:cs="Times New Roman" w:hAnsi="Times New Roman"/>
                <w:sz w:val="24"/>
              </w:rPr>
            </w:pPr>
            <w:r>
              <w:rPr>
                <w:rFonts w:ascii="Times New Roman" w:cs="Times New Roman" w:hAnsi="Times New Roman"/>
                <w:kern w:val="0"/>
                <w:sz w:val="24"/>
              </w:rPr>
              <w:t>（万元）</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Times New Roman" w:cs="Times New Roman" w:hAnsi="Times New Roman"/>
                <w:sz w:val="24"/>
              </w:rPr>
            </w:pPr>
            <w:r>
              <w:rPr>
                <w:rFonts w:ascii="Times New Roman" w:cs="Times New Roman" w:hAnsi="Times New Roman"/>
                <w:kern w:val="0"/>
                <w:sz w:val="24"/>
              </w:rPr>
              <w:t xml:space="preserve"> 预算数：</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Times New Roman" w:eastAsia="宋体" w:cs="Times New Roman" w:hAnsi="Times New Roman"/>
                <w:sz w:val="24"/>
                <w:lang w:val="en-US" w:eastAsia="zh-CN"/>
              </w:rPr>
            </w:pPr>
            <w:r>
              <w:rPr>
                <w:rFonts w:cs="Times New Roman" w:hint="eastAsia"/>
                <w:sz w:val="24"/>
                <w:lang w:val="en-US" w:eastAsia="zh-CN"/>
              </w:rPr>
              <w:t>310</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Times New Roman" w:cs="Times New Roman" w:hAnsi="Times New Roman"/>
                <w:sz w:val="24"/>
              </w:rPr>
            </w:pPr>
            <w:r>
              <w:rPr>
                <w:rFonts w:ascii="Times New Roman" w:cs="Times New Roman" w:hAnsi="Times New Roman"/>
                <w:kern w:val="0"/>
                <w:sz w:val="24"/>
              </w:rPr>
              <w:t xml:space="preserve"> 执行数：</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Times New Roman" w:cs="Times New Roman" w:hAnsi="Times New Roman"/>
                <w:sz w:val="24"/>
                <w:lang w:val="en-US"/>
              </w:rPr>
            </w:pPr>
            <w:r>
              <w:rPr>
                <w:rFonts w:cs="Times New Roman" w:hint="eastAsia"/>
                <w:sz w:val="24"/>
                <w:lang w:val="en-US" w:eastAsia="zh-CN" w:bidi="ar-SA"/>
              </w:rPr>
              <w:t>310</w:t>
            </w:r>
          </w:p>
        </w:tc>
      </w:tr>
      <w:tr>
        <w:trPr>
          <w:trHeight w:val="555"/>
          <w:gridAfter w:val="1"/>
          <w:wAfter w:w="234" w:type="dxa"/>
        </w:trPr>
        <w:tc>
          <w:tcPr>
            <w:tcW w:w="311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Times New Roman" w:cs="Times New Roman" w:hAnsi="Times New Roman"/>
                <w:kern w:val="0"/>
                <w:sz w:val="24"/>
              </w:rPr>
            </w:pPr>
            <w:r>
              <w:rPr>
                <w:rFonts w:ascii="Times New Roman" w:cs="Times New Roman" w:hAnsi="Times New Roman"/>
                <w:kern w:val="0"/>
                <w:sz w:val="24"/>
              </w:rPr>
              <w:t>其中：</w:t>
            </w:r>
          </w:p>
          <w:p>
            <w:pPr>
              <w:pageBreakBefore w:val="0"/>
              <w:widowControl/>
              <w:kinsoku/>
              <w:wordWrap/>
              <w:overflowPunct/>
              <w:topLinePunct w:val="0"/>
              <w:bidi w:val="0"/>
              <w:spacing w:line="576" w:lineRule="exact"/>
              <w:jc w:val="left"/>
              <w:textAlignment w:val="center"/>
              <w:rPr>
                <w:rFonts w:ascii="Times New Roman" w:cs="Times New Roman" w:hAnsi="Times New Roman"/>
                <w:sz w:val="24"/>
              </w:rPr>
            </w:pPr>
            <w:r>
              <w:rPr>
                <w:rFonts w:ascii="Times New Roman" w:cs="Times New Roman" w:hAnsi="Times New Roman"/>
                <w:kern w:val="0"/>
                <w:sz w:val="24"/>
              </w:rPr>
              <w:t>财政拨款</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Times New Roman" w:eastAsia="宋体" w:cs="Times New Roman" w:hAnsi="Times New Roman"/>
                <w:sz w:val="24"/>
                <w:lang w:val="en-US" w:eastAsia="zh-CN"/>
              </w:rPr>
            </w:pPr>
            <w:r>
              <w:rPr>
                <w:rFonts w:cs="Times New Roman" w:hint="eastAsia"/>
                <w:sz w:val="24"/>
                <w:lang w:val="en-US" w:eastAsia="zh-CN"/>
              </w:rPr>
              <w:t>310</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Times New Roman" w:cs="Times New Roman" w:hAnsi="Times New Roman"/>
                <w:kern w:val="0"/>
                <w:sz w:val="24"/>
              </w:rPr>
            </w:pPr>
            <w:r>
              <w:rPr>
                <w:rFonts w:ascii="Times New Roman" w:cs="Times New Roman" w:hAnsi="Times New Roman"/>
                <w:kern w:val="0"/>
                <w:sz w:val="24"/>
              </w:rPr>
              <w:t>其中：</w:t>
            </w:r>
          </w:p>
          <w:p>
            <w:pPr>
              <w:pageBreakBefore w:val="0"/>
              <w:widowControl/>
              <w:kinsoku/>
              <w:wordWrap/>
              <w:overflowPunct/>
              <w:topLinePunct w:val="0"/>
              <w:bidi w:val="0"/>
              <w:spacing w:line="576" w:lineRule="exact"/>
              <w:jc w:val="left"/>
              <w:textAlignment w:val="center"/>
              <w:rPr>
                <w:rFonts w:ascii="Times New Roman" w:cs="Times New Roman" w:hAnsi="Times New Roman"/>
                <w:sz w:val="24"/>
              </w:rPr>
            </w:pPr>
            <w:r>
              <w:rPr>
                <w:rFonts w:ascii="Times New Roman" w:cs="Times New Roman" w:hAnsi="Times New Roman"/>
                <w:kern w:val="0"/>
                <w:sz w:val="24"/>
              </w:rPr>
              <w:t>财政拨款</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textAlignment w:val="center"/>
              <w:rPr>
                <w:rFonts w:ascii="Times New Roman" w:eastAsia="宋体" w:cs="Times New Roman" w:hAnsi="Times New Roman"/>
                <w:sz w:val="24"/>
                <w:lang w:val="en-US" w:eastAsia="zh-CN"/>
              </w:rPr>
            </w:pPr>
            <w:r>
              <w:rPr>
                <w:rFonts w:cs="Times New Roman" w:hint="eastAsia"/>
                <w:sz w:val="24"/>
                <w:lang w:val="en-US" w:eastAsia="zh-CN"/>
              </w:rPr>
              <w:t>310</w:t>
            </w:r>
          </w:p>
        </w:tc>
      </w:tr>
      <w:tr>
        <w:trPr>
          <w:trHeight w:val="341"/>
          <w:gridAfter w:val="1"/>
          <w:wAfter w:w="234" w:type="dxa"/>
        </w:trPr>
        <w:tc>
          <w:tcPr>
            <w:tcW w:w="311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Times New Roman" w:cs="Times New Roman" w:hAnsi="Times New Roman"/>
                <w:sz w:val="24"/>
              </w:rPr>
            </w:pPr>
            <w:r>
              <w:rPr>
                <w:rFonts w:ascii="Times New Roman" w:cs="Times New Roman" w:hAnsi="Times New Roman"/>
                <w:kern w:val="0"/>
                <w:sz w:val="24"/>
              </w:rPr>
              <w:t>其他资金</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Times New Roman" w:cs="Times New Roman" w:hAnsi="Times New Roman"/>
                <w:sz w:val="24"/>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Times New Roman" w:cs="Times New Roman" w:hAnsi="Times New Roman"/>
                <w:sz w:val="24"/>
              </w:rPr>
            </w:pPr>
            <w:r>
              <w:rPr>
                <w:rFonts w:ascii="Times New Roman" w:cs="Times New Roman" w:hAnsi="Times New Roman"/>
                <w:kern w:val="0"/>
                <w:sz w:val="24"/>
              </w:rPr>
              <w:t>其他资金</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cs="Times New Roman" w:hAnsi="Times New Roman"/>
                <w:sz w:val="24"/>
              </w:rPr>
            </w:pPr>
          </w:p>
        </w:tc>
      </w:tr>
      <w:tr>
        <w:trPr>
          <w:trHeight w:val="217"/>
          <w:gridAfter w:val="1"/>
          <w:wAfter w:w="234" w:type="dxa"/>
        </w:trPr>
        <w:tc>
          <w:tcPr>
            <w:tcW w:w="197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cs="Times New Roman" w:hAnsi="Times New Roman"/>
                <w:kern w:val="0"/>
                <w:sz w:val="24"/>
              </w:rPr>
            </w:pPr>
            <w:r>
              <w:rPr>
                <w:rFonts w:ascii="Times New Roman" w:cs="Times New Roman" w:hAnsi="Times New Roman"/>
                <w:kern w:val="0"/>
                <w:sz w:val="24"/>
              </w:rPr>
              <w:t>年度总体目标</w:t>
            </w:r>
          </w:p>
          <w:p>
            <w:pPr>
              <w:pageBreakBefore w:val="0"/>
              <w:widowControl/>
              <w:kinsoku/>
              <w:wordWrap/>
              <w:overflowPunct/>
              <w:topLinePunct w:val="0"/>
              <w:bidi w:val="0"/>
              <w:spacing w:line="576" w:lineRule="exact"/>
              <w:jc w:val="center"/>
              <w:textAlignment w:val="center"/>
              <w:rPr>
                <w:rFonts w:ascii="Times New Roman" w:cs="Times New Roman" w:hAnsi="Times New Roman"/>
                <w:sz w:val="24"/>
              </w:rPr>
            </w:pPr>
            <w:r>
              <w:rPr>
                <w:rFonts w:ascii="Times New Roman" w:cs="Times New Roman" w:hAnsi="Times New Roman"/>
                <w:kern w:val="0"/>
                <w:sz w:val="24"/>
              </w:rPr>
              <w:t>完成情况</w:t>
            </w:r>
          </w:p>
        </w:tc>
        <w:tc>
          <w:tcPr>
            <w:tcW w:w="396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cs="Times New Roman" w:hAnsi="Times New Roman"/>
                <w:sz w:val="24"/>
              </w:rPr>
            </w:pPr>
            <w:r>
              <w:rPr>
                <w:rFonts w:ascii="Times New Roman" w:cs="Times New Roman" w:hAnsi="Times New Roman"/>
                <w:kern w:val="0"/>
                <w:sz w:val="24"/>
              </w:rPr>
              <w:t>预期目标</w:t>
            </w:r>
          </w:p>
        </w:tc>
        <w:tc>
          <w:tcPr>
            <w:tcW w:w="363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cs="Times New Roman" w:hAnsi="Times New Roman"/>
                <w:sz w:val="24"/>
              </w:rPr>
            </w:pPr>
            <w:r>
              <w:rPr>
                <w:rFonts w:ascii="Times New Roman" w:cs="Times New Roman" w:hAnsi="Times New Roman"/>
                <w:kern w:val="0"/>
                <w:sz w:val="24"/>
              </w:rPr>
              <w:t>目标实际完成情况</w:t>
            </w:r>
          </w:p>
        </w:tc>
      </w:tr>
      <w:tr>
        <w:trPr>
          <w:trHeight w:val="797"/>
          <w:gridAfter w:val="1"/>
          <w:wAfter w:w="234" w:type="dxa"/>
        </w:trPr>
        <w:tc>
          <w:tcPr>
            <w:tcW w:w="197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966" w:type="dxa"/>
            <w:gridSpan w:val="3"/>
            <w:tcBorders>
              <w:top w:val="single" w:sz="4" w:space="0" w:color="000000"/>
              <w:left w:val="single" w:sz="4" w:space="0" w:color="000000"/>
              <w:bottom w:val="single" w:sz="4" w:space="0" w:color="000000"/>
              <w:right w:val="single" w:sz="4" w:space="0" w:color="000000"/>
            </w:tcBorders>
            <w:shd w:val="clear" w:color="auto" w:fill="auto"/>
            <w:noWrap/>
          </w:tcPr>
          <w:p>
            <w:pPr>
              <w:pageBreakBefore w:val="0"/>
              <w:widowControl/>
              <w:kinsoku/>
              <w:wordWrap/>
              <w:overflowPunct/>
              <w:topLinePunct w:val="0"/>
              <w:bidi w:val="0"/>
              <w:spacing w:line="576" w:lineRule="exact"/>
              <w:jc w:val="left"/>
              <w:textAlignment w:val="top"/>
              <w:rPr>
                <w:rFonts w:ascii="Times New Roman" w:cs="Times New Roman" w:hAnsi="Times New Roman"/>
                <w:sz w:val="24"/>
              </w:rPr>
            </w:pPr>
            <w:r>
              <w:rPr>
                <w:rFonts w:ascii="Times New Roman" w:cs="Times New Roman" w:hAnsi="Times New Roman" w:hint="eastAsia"/>
                <w:sz w:val="24"/>
                <w:lang w:val="en-US" w:eastAsia="zh-CN" w:bidi="ar-SA"/>
              </w:rPr>
              <w:t>为加快推进金川县县域治理信息化水平建设，切实提升社会综合治理水平</w:t>
            </w:r>
          </w:p>
        </w:tc>
        <w:tc>
          <w:tcPr>
            <w:tcW w:w="3634" w:type="dxa"/>
            <w:gridSpan w:val="2"/>
            <w:tcBorders>
              <w:top w:val="single" w:sz="4" w:space="0" w:color="000000"/>
              <w:left w:val="single" w:sz="4" w:space="0" w:color="000000"/>
              <w:bottom w:val="single" w:sz="4" w:space="0" w:color="000000"/>
              <w:right w:val="single" w:sz="4" w:space="0" w:color="000000"/>
            </w:tcBorders>
            <w:shd w:val="clear" w:color="auto" w:fill="auto"/>
            <w:noWrap/>
          </w:tcPr>
          <w:p>
            <w:pPr>
              <w:pageBreakBefore w:val="0"/>
              <w:widowControl/>
              <w:kinsoku/>
              <w:wordWrap/>
              <w:overflowPunct/>
              <w:topLinePunct w:val="0"/>
              <w:bidi w:val="0"/>
              <w:spacing w:line="576" w:lineRule="exact"/>
              <w:jc w:val="left"/>
              <w:textAlignment w:val="top"/>
              <w:rPr>
                <w:rFonts w:ascii="Times New Roman" w:cs="Times New Roman" w:hAnsi="Times New Roman"/>
                <w:sz w:val="24"/>
              </w:rPr>
            </w:pPr>
            <w:r>
              <w:rPr>
                <w:rFonts w:ascii="Times New Roman" w:cs="Times New Roman" w:hAnsi="Times New Roman" w:hint="eastAsia"/>
                <w:sz w:val="24"/>
                <w:lang w:val="en-US" w:eastAsia="zh-CN" w:bidi="ar-SA"/>
              </w:rPr>
              <w:t>为加快推进金川县县域治理信息化水平建设，切实提升社会综合治理水平</w:t>
            </w:r>
          </w:p>
        </w:tc>
      </w:tr>
      <w:tr>
        <w:trPr>
          <w:trHeight w:val="693"/>
          <w:gridAfter w:val="1"/>
          <w:wAfter w:w="234" w:type="dxa"/>
        </w:trPr>
        <w:tc>
          <w:tcPr>
            <w:tcW w:w="1977" w:type="dxa"/>
            <w:vMerge w:val="restart"/>
            <w:tcBorders>
              <w:top w:val="single" w:sz="4" w:space="0" w:color="000000"/>
              <w:left w:val="single" w:sz="4" w:space="0" w:color="000000"/>
              <w:bottom w:val="nil"/>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eastAsia="仿宋_GB2312" w:cs="Times New Roman" w:hAnsi="Times New Roman"/>
                <w:sz w:val="28"/>
                <w:szCs w:val="28"/>
              </w:rPr>
            </w:pPr>
            <w:r>
              <w:rPr>
                <w:rFonts w:ascii="Times New Roman" w:eastAsia="仿宋_GB2312" w:cs="Times New Roman" w:hAnsi="Times New Roman"/>
                <w:kern w:val="0"/>
                <w:sz w:val="28"/>
                <w:szCs w:val="28"/>
              </w:rPr>
              <w:t>年度绩效指标完成情况</w:t>
            </w:r>
          </w:p>
        </w:tc>
        <w:tc>
          <w:tcPr>
            <w:tcW w:w="1142" w:type="dxa"/>
            <w:tcBorders>
              <w:top w:val="single" w:sz="4" w:space="0" w:color="000000"/>
              <w:left w:val="nil"/>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eastAsia="仿宋_GB2312" w:cs="Times New Roman" w:hAnsi="Times New Roman"/>
                <w:kern w:val="0"/>
                <w:sz w:val="28"/>
                <w:szCs w:val="28"/>
              </w:rPr>
            </w:pPr>
            <w:r>
              <w:rPr>
                <w:rFonts w:ascii="Times New Roman" w:eastAsia="仿宋_GB2312" w:cs="Times New Roman" w:hAnsi="Times New Roman"/>
                <w:kern w:val="0"/>
                <w:sz w:val="28"/>
                <w:szCs w:val="28"/>
              </w:rPr>
              <w:t>一级</w:t>
            </w:r>
          </w:p>
          <w:p>
            <w:pPr>
              <w:pageBreakBefore w:val="0"/>
              <w:widowControl/>
              <w:kinsoku/>
              <w:wordWrap/>
              <w:overflowPunct/>
              <w:topLinePunct w:val="0"/>
              <w:bidi w:val="0"/>
              <w:spacing w:line="576" w:lineRule="exact"/>
              <w:jc w:val="center"/>
              <w:textAlignment w:val="center"/>
              <w:rPr>
                <w:rFonts w:ascii="Times New Roman" w:eastAsia="仿宋_GB2312" w:cs="Times New Roman" w:hAnsi="Times New Roman"/>
                <w:sz w:val="28"/>
                <w:szCs w:val="28"/>
              </w:rPr>
            </w:pPr>
            <w:r>
              <w:rPr>
                <w:rFonts w:ascii="Times New Roman" w:eastAsia="仿宋_GB2312" w:cs="Times New Roman" w:hAnsi="Times New Roman"/>
                <w:kern w:val="0"/>
                <w:sz w:val="28"/>
                <w:szCs w:val="28"/>
              </w:rPr>
              <w:t>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eastAsia="仿宋_GB2312" w:cs="Times New Roman" w:hAnsi="Times New Roman"/>
                <w:kern w:val="0"/>
                <w:sz w:val="28"/>
                <w:szCs w:val="28"/>
              </w:rPr>
            </w:pPr>
            <w:r>
              <w:rPr>
                <w:rFonts w:ascii="Times New Roman" w:eastAsia="仿宋_GB2312" w:cs="Times New Roman" w:hAnsi="Times New Roman"/>
                <w:kern w:val="0"/>
                <w:sz w:val="28"/>
                <w:szCs w:val="28"/>
              </w:rPr>
              <w:t>二级</w:t>
            </w:r>
          </w:p>
          <w:p>
            <w:pPr>
              <w:pageBreakBefore w:val="0"/>
              <w:widowControl/>
              <w:kinsoku/>
              <w:wordWrap/>
              <w:overflowPunct/>
              <w:topLinePunct w:val="0"/>
              <w:bidi w:val="0"/>
              <w:spacing w:line="576" w:lineRule="exact"/>
              <w:jc w:val="center"/>
              <w:textAlignment w:val="center"/>
              <w:rPr>
                <w:rFonts w:ascii="Times New Roman" w:eastAsia="仿宋_GB2312" w:cs="Times New Roman" w:hAnsi="Times New Roman"/>
                <w:sz w:val="28"/>
                <w:szCs w:val="28"/>
              </w:rPr>
            </w:pPr>
            <w:r>
              <w:rPr>
                <w:rFonts w:ascii="Times New Roman" w:eastAsia="仿宋_GB2312" w:cs="Times New Roman" w:hAnsi="Times New Roman"/>
                <w:kern w:val="0"/>
                <w:sz w:val="28"/>
                <w:szCs w:val="28"/>
              </w:rPr>
              <w:t>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eastAsia="仿宋_GB2312" w:cs="Times New Roman" w:hAnsi="Times New Roman"/>
                <w:kern w:val="0"/>
                <w:sz w:val="28"/>
                <w:szCs w:val="28"/>
              </w:rPr>
            </w:pPr>
            <w:r>
              <w:rPr>
                <w:rFonts w:ascii="Times New Roman" w:eastAsia="仿宋_GB2312" w:cs="Times New Roman" w:hAnsi="Times New Roman"/>
                <w:kern w:val="0"/>
                <w:sz w:val="28"/>
                <w:szCs w:val="28"/>
              </w:rPr>
              <w:t>三级</w:t>
            </w:r>
          </w:p>
          <w:p>
            <w:pPr>
              <w:pageBreakBefore w:val="0"/>
              <w:widowControl/>
              <w:kinsoku/>
              <w:wordWrap/>
              <w:overflowPunct/>
              <w:topLinePunct w:val="0"/>
              <w:bidi w:val="0"/>
              <w:spacing w:line="576" w:lineRule="exact"/>
              <w:jc w:val="center"/>
              <w:textAlignment w:val="center"/>
              <w:rPr>
                <w:rFonts w:ascii="Times New Roman" w:eastAsia="仿宋_GB2312" w:cs="Times New Roman" w:hAnsi="Times New Roman"/>
                <w:sz w:val="28"/>
                <w:szCs w:val="28"/>
              </w:rPr>
            </w:pPr>
            <w:r>
              <w:rPr>
                <w:rFonts w:ascii="Times New Roman" w:eastAsia="仿宋_GB2312" w:cs="Times New Roman" w:hAnsi="Times New Roman"/>
                <w:kern w:val="0"/>
                <w:sz w:val="28"/>
                <w:szCs w:val="28"/>
              </w:rPr>
              <w:t>指标</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eastAsia="仿宋_GB2312" w:cs="Times New Roman" w:hAnsi="Times New Roman"/>
                <w:sz w:val="28"/>
                <w:szCs w:val="28"/>
              </w:rPr>
            </w:pPr>
            <w:r>
              <w:rPr>
                <w:rFonts w:ascii="Times New Roman" w:eastAsia="仿宋_GB2312" w:cs="Times New Roman" w:hAnsi="Times New Roman"/>
                <w:kern w:val="0"/>
                <w:sz w:val="28"/>
                <w:szCs w:val="28"/>
              </w:rPr>
              <w:t>预期指标值</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eastAsia="仿宋_GB2312" w:cs="Times New Roman" w:hAnsi="Times New Roman"/>
                <w:sz w:val="28"/>
                <w:szCs w:val="28"/>
              </w:rPr>
            </w:pPr>
            <w:r>
              <w:rPr>
                <w:rFonts w:ascii="Times New Roman" w:eastAsia="仿宋_GB2312" w:cs="Times New Roman" w:hAnsi="Times New Roman"/>
                <w:kern w:val="0"/>
                <w:sz w:val="28"/>
                <w:szCs w:val="28"/>
              </w:rPr>
              <w:t>实际完成指标值</w:t>
            </w:r>
          </w:p>
        </w:tc>
      </w:tr>
      <w:tr>
        <w:trPr>
          <w:trHeight w:val="415"/>
          <w:gridAfter w:val="1"/>
          <w:wAfter w:w="234" w:type="dxa"/>
        </w:trPr>
        <w:tc>
          <w:tcPr>
            <w:tcW w:w="1977" w:type="dxa"/>
            <w:vMerge/>
            <w:tcBorders>
              <w:top w:val="nil"/>
              <w:left w:val="single" w:sz="4" w:space="0" w:color="000000"/>
              <w:bottom w:val="nil"/>
              <w:right w:val="single" w:sz="4" w:space="0" w:color="000000"/>
            </w:tcBorders>
            <w:shd w:val="clear" w:color="auto" w:fill="auto"/>
            <w:noWrap/>
            <w:vAlign w:val="center"/>
          </w:tcPr>
          <w:p/>
        </w:tc>
        <w:tc>
          <w:tcPr>
            <w:tcW w:w="114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kern w:val="0"/>
                <w:sz w:val="28"/>
                <w:szCs w:val="28"/>
              </w:rPr>
            </w:pPr>
            <w:r>
              <w:rPr>
                <w:rFonts w:ascii="Times New Roman" w:eastAsia="仿宋_GB2312" w:cs="Times New Roman" w:hAnsi="Times New Roman"/>
                <w:kern w:val="0"/>
                <w:sz w:val="28"/>
                <w:szCs w:val="28"/>
              </w:rPr>
              <w:t>完成</w:t>
            </w:r>
          </w:p>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r>
              <w:rPr>
                <w:rFonts w:ascii="Times New Roman" w:eastAsia="仿宋_GB2312" w:cs="Times New Roman" w:hAnsi="Times New Roman"/>
                <w:kern w:val="0"/>
                <w:sz w:val="28"/>
                <w:szCs w:val="28"/>
              </w:rPr>
              <w:t>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r>
              <w:rPr>
                <w:rFonts w:ascii="Times New Roman" w:eastAsia="仿宋_GB2312" w:cs="Times New Roman" w:hAnsi="Times New Roman"/>
                <w:kern w:val="0"/>
                <w:sz w:val="28"/>
                <w:szCs w:val="28"/>
              </w:rPr>
              <w:t>数量指标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p>
        </w:tc>
      </w:tr>
      <w:tr>
        <w:trPr>
          <w:trHeight w:val="415"/>
          <w:gridAfter w:val="1"/>
          <w:wAfter w:w="234" w:type="dxa"/>
        </w:trPr>
        <w:tc>
          <w:tcPr>
            <w:tcW w:w="1977" w:type="dxa"/>
            <w:vMerge/>
            <w:tcBorders>
              <w:top w:val="nil"/>
              <w:left w:val="single" w:sz="4" w:space="0" w:color="000000"/>
              <w:bottom w:val="nil"/>
              <w:right w:val="single" w:sz="4" w:space="0" w:color="000000"/>
            </w:tcBorders>
            <w:shd w:val="clear" w:color="auto" w:fill="auto"/>
            <w:noWrap/>
            <w:vAlign w:val="center"/>
          </w:tc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r>
              <w:rPr>
                <w:rFonts w:ascii="Times New Roman" w:eastAsia="仿宋_GB2312" w:cs="Times New Roman" w:hAnsi="Times New Roman"/>
                <w:kern w:val="0"/>
                <w:sz w:val="28"/>
                <w:szCs w:val="28"/>
              </w:rPr>
              <w:t>质量指标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r>
              <w:rPr>
                <w:rFonts w:ascii="Times New Roman" w:eastAsia="仿宋_GB2312" w:cs="Times New Roman" w:hAnsi="Times New Roman"/>
                <w:sz w:val="28"/>
                <w:szCs w:val="28"/>
              </w:rPr>
              <w:t>完成质量</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r>
              <w:rPr>
                <w:rFonts w:ascii="Times New Roman" w:eastAsia="仿宋_GB2312" w:cs="Times New Roman" w:hAnsi="Times New Roman"/>
                <w:sz w:val="28"/>
                <w:szCs w:val="28"/>
              </w:rPr>
              <w:t>圆满完成各项任务</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r>
              <w:rPr>
                <w:rFonts w:ascii="Times New Roman" w:eastAsia="仿宋_GB2312" w:cs="Times New Roman" w:hAnsi="Times New Roman"/>
                <w:sz w:val="28"/>
                <w:szCs w:val="28"/>
              </w:rPr>
              <w:t>圆满完成各项任务</w:t>
            </w:r>
          </w:p>
        </w:tc>
      </w:tr>
      <w:tr>
        <w:trPr>
          <w:trHeight w:val="415"/>
          <w:gridAfter w:val="1"/>
          <w:wAfter w:w="234" w:type="dxa"/>
        </w:trPr>
        <w:tc>
          <w:tcPr>
            <w:tcW w:w="1977" w:type="dxa"/>
            <w:vMerge/>
            <w:tcBorders>
              <w:top w:val="nil"/>
              <w:left w:val="single" w:sz="4" w:space="0" w:color="000000"/>
              <w:bottom w:val="nil"/>
              <w:right w:val="single" w:sz="4" w:space="0" w:color="000000"/>
            </w:tcBorders>
            <w:shd w:val="clear" w:color="auto" w:fill="auto"/>
            <w:noWrap/>
            <w:vAlign w:val="center"/>
          </w:tc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r>
              <w:rPr>
                <w:rFonts w:ascii="Times New Roman" w:eastAsia="仿宋_GB2312" w:cs="Times New Roman" w:hAnsi="Times New Roman"/>
                <w:kern w:val="0"/>
                <w:sz w:val="28"/>
                <w:szCs w:val="28"/>
              </w:rPr>
              <w:t>时效指标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r>
              <w:rPr>
                <w:rFonts w:ascii="Times New Roman" w:eastAsia="仿宋_GB2312" w:cs="Times New Roman" w:hAnsi="Times New Roman"/>
                <w:sz w:val="28"/>
                <w:szCs w:val="28"/>
              </w:rPr>
              <w:t>及时贯彻落实</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r>
              <w:rPr>
                <w:rFonts w:ascii="Times New Roman" w:eastAsia="仿宋_GB2312" w:cs="Times New Roman" w:hAnsi="Times New Roman"/>
                <w:sz w:val="28"/>
                <w:szCs w:val="28"/>
              </w:rPr>
              <w:t>及时贯彻各项部署</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r>
              <w:rPr>
                <w:rFonts w:ascii="Times New Roman" w:eastAsia="仿宋_GB2312" w:cs="Times New Roman" w:hAnsi="Times New Roman"/>
                <w:sz w:val="28"/>
                <w:szCs w:val="28"/>
              </w:rPr>
              <w:t>及时贯彻各项部署</w:t>
            </w:r>
          </w:p>
        </w:tc>
      </w:tr>
      <w:tr>
        <w:trPr>
          <w:trHeight w:val="480"/>
          <w:gridAfter w:val="1"/>
          <w:wAfter w:w="234" w:type="dxa"/>
        </w:trPr>
        <w:tc>
          <w:tcPr>
            <w:tcW w:w="1977" w:type="dxa"/>
            <w:vMerge/>
            <w:tcBorders>
              <w:top w:val="nil"/>
              <w:left w:val="single" w:sz="4" w:space="0" w:color="000000"/>
              <w:bottom w:val="nil"/>
              <w:right w:val="single" w:sz="4" w:space="0" w:color="000000"/>
            </w:tcBorders>
            <w:shd w:val="clear" w:color="auto" w:fill="auto"/>
            <w:noWrap/>
            <w:vAlign w:val="center"/>
          </w:tc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r>
              <w:rPr>
                <w:rFonts w:ascii="Times New Roman" w:eastAsia="仿宋_GB2312" w:cs="Times New Roman" w:hAnsi="Times New Roman"/>
                <w:kern w:val="0"/>
                <w:sz w:val="28"/>
                <w:szCs w:val="28"/>
              </w:rPr>
              <w:t>成本指标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p>
        </w:tc>
      </w:tr>
      <w:tr>
        <w:trPr>
          <w:trHeight w:val="480"/>
          <w:gridAfter w:val="1"/>
          <w:wAfter w:w="234" w:type="dxa"/>
        </w:trPr>
        <w:tc>
          <w:tcPr>
            <w:tcW w:w="1977" w:type="dxa"/>
            <w:vMerge/>
            <w:tcBorders>
              <w:top w:val="nil"/>
              <w:left w:val="single" w:sz="4" w:space="0" w:color="000000"/>
              <w:bottom w:val="nil"/>
              <w:right w:val="single" w:sz="4" w:space="0" w:color="000000"/>
            </w:tcBorders>
            <w:shd w:val="clear" w:color="auto" w:fill="auto"/>
            <w:noWrap/>
            <w:vAlign w:val="center"/>
          </w:tcPr>
          <w:p/>
        </w:tc>
        <w:tc>
          <w:tcPr>
            <w:tcW w:w="114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kern w:val="0"/>
                <w:sz w:val="28"/>
                <w:szCs w:val="28"/>
                <w:lang w:eastAsia="zh-CN"/>
              </w:rPr>
            </w:pPr>
            <w:r>
              <w:rPr>
                <w:rFonts w:ascii="Times New Roman" w:eastAsia="仿宋_GB2312" w:cs="Times New Roman" w:hAnsi="Times New Roman"/>
                <w:kern w:val="0"/>
                <w:sz w:val="28"/>
                <w:szCs w:val="28"/>
              </w:rPr>
              <w:t>效益</w:t>
            </w:r>
          </w:p>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r>
              <w:rPr>
                <w:rFonts w:ascii="Times New Roman" w:eastAsia="仿宋_GB2312" w:cs="Times New Roman" w:hAnsi="Times New Roman"/>
                <w:kern w:val="0"/>
                <w:sz w:val="28"/>
                <w:szCs w:val="28"/>
              </w:rPr>
              <w:t>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r>
              <w:rPr>
                <w:rFonts w:ascii="Times New Roman" w:eastAsia="仿宋_GB2312" w:cs="Times New Roman" w:hAnsi="Times New Roman"/>
                <w:kern w:val="0"/>
                <w:sz w:val="28"/>
                <w:szCs w:val="28"/>
              </w:rPr>
              <w:t>经济效益  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textAlignment w:val="bottom"/>
              <w:rPr>
                <w:rFonts w:ascii="Times New Roman" w:eastAsia="仿宋_GB2312" w:cs="Times New Roman" w:hAnsi="Times New Roman"/>
                <w:sz w:val="28"/>
                <w:szCs w:val="28"/>
              </w:rPr>
            </w:pPr>
          </w:p>
        </w:tc>
      </w:tr>
      <w:tr>
        <w:trPr>
          <w:trHeight w:val="480"/>
          <w:gridAfter w:val="1"/>
          <w:wAfter w:w="234" w:type="dxa"/>
        </w:trPr>
        <w:tc>
          <w:tcPr>
            <w:tcW w:w="1977" w:type="dxa"/>
            <w:vMerge/>
            <w:tcBorders>
              <w:top w:val="nil"/>
              <w:left w:val="single" w:sz="4" w:space="0" w:color="000000"/>
              <w:bottom w:val="nil"/>
              <w:right w:val="single" w:sz="4" w:space="0" w:color="000000"/>
            </w:tcBorders>
            <w:shd w:val="clear" w:color="auto" w:fill="auto"/>
            <w:noWrap/>
            <w:vAlign w:val="center"/>
          </w:tc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r>
              <w:rPr>
                <w:rFonts w:ascii="Times New Roman" w:eastAsia="仿宋_GB2312" w:cs="Times New Roman" w:hAnsi="Times New Roman"/>
                <w:kern w:val="0"/>
                <w:sz w:val="28"/>
                <w:szCs w:val="28"/>
              </w:rPr>
              <w:t>社会效益  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p>
        </w:tc>
      </w:tr>
      <w:tr>
        <w:trPr>
          <w:trHeight w:val="577"/>
          <w:gridAfter w:val="1"/>
          <w:wAfter w:w="234" w:type="dxa"/>
        </w:trPr>
        <w:tc>
          <w:tcPr>
            <w:tcW w:w="1977" w:type="dxa"/>
            <w:vMerge/>
            <w:tcBorders>
              <w:top w:val="nil"/>
              <w:left w:val="single" w:sz="4" w:space="0" w:color="000000"/>
              <w:bottom w:val="nil"/>
              <w:right w:val="single" w:sz="4" w:space="0" w:color="000000"/>
            </w:tcBorders>
            <w:shd w:val="clear" w:color="auto" w:fill="auto"/>
            <w:noWrap/>
            <w:vAlign w:val="center"/>
          </w:tc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ind w:leftChars="87" w:left="463" w:hangingChars="100" w:hanging="280"/>
              <w:jc w:val="left"/>
              <w:textAlignment w:val="bottom"/>
              <w:rPr>
                <w:rFonts w:ascii="Times New Roman" w:eastAsia="仿宋_GB2312" w:cs="Times New Roman" w:hAnsi="Times New Roman"/>
                <w:sz w:val="28"/>
                <w:szCs w:val="28"/>
              </w:rPr>
            </w:pPr>
            <w:r>
              <w:rPr>
                <w:rFonts w:ascii="Times New Roman" w:eastAsia="仿宋_GB2312" w:cs="Times New Roman" w:hAnsi="Times New Roman"/>
                <w:kern w:val="0"/>
                <w:sz w:val="28"/>
                <w:szCs w:val="28"/>
              </w:rPr>
              <w:t>生态效益  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p>
        </w:tc>
      </w:tr>
      <w:tr>
        <w:trPr>
          <w:trHeight w:val="480"/>
          <w:gridAfter w:val="1"/>
          <w:wAfter w:w="234" w:type="dxa"/>
        </w:trPr>
        <w:tc>
          <w:tcPr>
            <w:tcW w:w="1977" w:type="dxa"/>
            <w:vMerge/>
            <w:tcBorders>
              <w:top w:val="nil"/>
              <w:left w:val="single" w:sz="4" w:space="0" w:color="000000"/>
              <w:bottom w:val="nil"/>
              <w:right w:val="single" w:sz="4" w:space="0" w:color="000000"/>
            </w:tcBorders>
            <w:shd w:val="clear" w:color="auto" w:fill="auto"/>
            <w:noWrap/>
            <w:vAlign w:val="center"/>
          </w:tc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r>
              <w:rPr>
                <w:rFonts w:ascii="Times New Roman" w:eastAsia="仿宋_GB2312" w:cs="Times New Roman" w:hAnsi="Times New Roman"/>
                <w:kern w:val="0"/>
                <w:sz w:val="28"/>
                <w:szCs w:val="28"/>
              </w:rPr>
              <w:t>可持续影响 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p>
        </w:tc>
      </w:tr>
      <w:tr>
        <w:trPr>
          <w:trHeight w:val="530"/>
          <w:gridAfter w:val="1"/>
          <w:wAfter w:w="234" w:type="dxa"/>
        </w:trPr>
        <w:tc>
          <w:tcPr>
            <w:tcW w:w="1977" w:type="dxa"/>
            <w:vMerge/>
            <w:tcBorders>
              <w:top w:val="nil"/>
              <w:left w:val="single" w:sz="4" w:space="0" w:color="000000"/>
              <w:bottom w:val="single" w:sz="4" w:space="0" w:color="000000"/>
              <w:right w:val="single" w:sz="4" w:space="0" w:color="000000"/>
            </w:tcBorders>
            <w:shd w:val="clear" w:color="auto" w:fill="auto"/>
            <w:noWrap/>
            <w:vAlign w:val="center"/>
          </w:tcPr>
          <w:p/>
        </w:tc>
        <w:tc>
          <w:tcPr>
            <w:tcW w:w="11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kern w:val="0"/>
                <w:sz w:val="28"/>
                <w:szCs w:val="28"/>
                <w:lang w:eastAsia="zh-CN"/>
              </w:rPr>
            </w:pPr>
            <w:r>
              <w:rPr>
                <w:rFonts w:ascii="Times New Roman" w:eastAsia="仿宋_GB2312" w:cs="Times New Roman" w:hAnsi="Times New Roman"/>
                <w:kern w:val="0"/>
                <w:sz w:val="28"/>
                <w:szCs w:val="28"/>
              </w:rPr>
              <w:t>满意</w:t>
            </w:r>
          </w:p>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r>
              <w:rPr>
                <w:rFonts w:ascii="Times New Roman" w:eastAsia="仿宋_GB2312" w:cs="Times New Roman" w:hAnsi="Times New Roman"/>
                <w:kern w:val="0"/>
                <w:sz w:val="28"/>
                <w:szCs w:val="28"/>
              </w:rPr>
              <w:t>度指标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kern w:val="0"/>
                <w:sz w:val="28"/>
                <w:szCs w:val="28"/>
              </w:rPr>
            </w:pPr>
            <w:r>
              <w:rPr>
                <w:rFonts w:ascii="Times New Roman" w:eastAsia="仿宋_GB2312" w:cs="Times New Roman" w:hAnsi="Times New Roman"/>
                <w:kern w:val="0"/>
                <w:sz w:val="28"/>
                <w:szCs w:val="28"/>
              </w:rPr>
              <w:t>满意度</w:t>
            </w:r>
          </w:p>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r>
              <w:rPr>
                <w:rFonts w:ascii="Times New Roman" w:eastAsia="仿宋_GB2312" w:cs="Times New Roman" w:hAnsi="Times New Roman"/>
                <w:kern w:val="0"/>
                <w:sz w:val="28"/>
                <w:szCs w:val="28"/>
              </w:rPr>
              <w:t>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lang w:val="en-US" w:eastAsia="zh-CN"/>
              </w:rPr>
            </w:pPr>
            <w:r>
              <w:rPr>
                <w:rFonts w:ascii="Times New Roman" w:eastAsia="仿宋_GB2312" w:cs="Times New Roman" w:hAnsi="Times New Roman"/>
                <w:sz w:val="28"/>
                <w:szCs w:val="28"/>
                <w:lang w:val="en-US" w:eastAsia="zh-CN"/>
              </w:rPr>
              <w:t>100</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lang w:val="en-US" w:eastAsia="zh-CN"/>
              </w:rPr>
            </w:pPr>
            <w:r>
              <w:rPr>
                <w:rFonts w:ascii="Times New Roman" w:eastAsia="仿宋_GB2312" w:cs="Times New Roman" w:hAnsi="Times New Roman"/>
                <w:sz w:val="28"/>
                <w:szCs w:val="28"/>
                <w:lang w:val="en-US" w:eastAsia="zh-CN"/>
              </w:rPr>
              <w:t>100</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lang w:val="en-US" w:eastAsia="zh-CN"/>
              </w:rPr>
            </w:pPr>
            <w:r>
              <w:rPr>
                <w:rFonts w:ascii="Times New Roman" w:eastAsia="仿宋_GB2312" w:cs="Times New Roman" w:hAnsi="Times New Roman"/>
                <w:sz w:val="28"/>
                <w:szCs w:val="28"/>
                <w:lang w:val="en-US" w:eastAsia="zh-CN"/>
              </w:rPr>
              <w:t>100</w:t>
            </w:r>
          </w:p>
        </w:tc>
      </w:tr>
    </w:tbl>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kern w:val="0"/>
          <w:sz w:val="32"/>
          <w:szCs w:val="32"/>
          <w:shd w:val="clear" w:color="auto" w:fill="FFFFFF"/>
          <w:lang w:val="zh-CN"/>
        </w:rPr>
      </w:pPr>
      <w:r>
        <w:rPr>
          <w:rFonts w:ascii="Times New Roman" w:eastAsia="仿宋_GB2312" w:cs="Times New Roman" w:hAnsi="Times New Roman"/>
          <w:kern w:val="0"/>
          <w:sz w:val="32"/>
          <w:szCs w:val="32"/>
          <w:shd w:val="clear" w:color="auto" w:fill="FFFFFF"/>
          <w:lang w:val="zh-CN"/>
        </w:rPr>
        <w:t>附表：</w:t>
      </w:r>
    </w:p>
    <w:p>
      <w:pPr>
        <w:pageBreakBefore w:val="0"/>
        <w:widowControl/>
        <w:kinsoku/>
        <w:wordWrap/>
        <w:overflowPunct/>
        <w:topLinePunct w:val="0"/>
        <w:bidi w:val="0"/>
        <w:adjustRightInd w:val="0"/>
        <w:snapToGrid w:val="0"/>
        <w:spacing w:line="576" w:lineRule="exact"/>
        <w:contextualSpacing/>
        <w:jc w:val="left"/>
        <w:rPr>
          <w:rFonts w:ascii="Times New Roman" w:eastAsia="仿宋_GB2312" w:cs="Times New Roman" w:hAnsi="Times New Roman"/>
          <w:kern w:val="0"/>
          <w:sz w:val="32"/>
          <w:szCs w:val="32"/>
          <w:shd w:val="clear" w:color="auto" w:fill="FFFFFF"/>
        </w:rPr>
      </w:pPr>
      <w:r>
        <w:rPr>
          <w:rFonts w:ascii="Times New Roman" w:eastAsia="仿宋_GB2312" w:cs="Times New Roman" w:hAnsi="Times New Roman"/>
          <w:kern w:val="0"/>
          <w:sz w:val="32"/>
          <w:szCs w:val="32"/>
          <w:shd w:val="clear" w:color="auto" w:fill="FFFFFF"/>
        </w:rPr>
        <w:t>（注：有两个及以上100万元以上（含）特定目标类部门预算项目的，需分别开展绩效目标自评并填写附表）</w:t>
      </w:r>
    </w:p>
    <w:p>
      <w:pPr>
        <w:pStyle w:val="15"/>
        <w:pageBreakBefore w:val="0"/>
        <w:widowControl w:val="0"/>
        <w:kinsoku/>
        <w:wordWrap/>
        <w:overflowPunct/>
        <w:topLinePunct w:val="0"/>
        <w:bidi w:val="0"/>
        <w:spacing w:line="576" w:lineRule="exact"/>
        <w:rPr>
          <w:rFonts w:ascii="Times New Roman" w:cs="Times New Roman" w:hAnsi="Times New Roman"/>
        </w:rPr>
      </w:pPr>
    </w:p>
    <w:p>
      <w:pPr>
        <w:pageBreakBefore w:val="0"/>
        <w:widowControl w:val="0"/>
        <w:kinsoku/>
        <w:wordWrap/>
        <w:overflowPunct/>
        <w:topLinePunct w:val="0"/>
        <w:bidi w:val="0"/>
        <w:spacing w:line="576" w:lineRule="exact"/>
        <w:rPr>
          <w:rStyle w:val="1Char"/>
          <w:rFonts w:ascii="Times New Roman" w:eastAsia="黑体" w:cs="Times New Roman" w:hAnsi="Times New Roman"/>
          <w:b w:val="0"/>
        </w:rPr>
      </w:pPr>
    </w:p>
    <w:p>
      <w:pPr>
        <w:pageBreakBefore w:val="0"/>
        <w:widowControl/>
        <w:kinsoku/>
        <w:wordWrap/>
        <w:overflowPunct/>
        <w:topLinePunct w:val="0"/>
        <w:bidi w:val="0"/>
        <w:spacing w:line="576" w:lineRule="exact"/>
        <w:jc w:val="left"/>
        <w:rPr>
          <w:rStyle w:val="1Char"/>
          <w:rFonts w:ascii="Times New Roman" w:eastAsia="黑体" w:cs="Times New Roman" w:hAnsi="Times New Roman"/>
          <w:b w:val="0"/>
        </w:rPr>
      </w:pPr>
      <w:r>
        <w:rPr>
          <w:rStyle w:val="1Char"/>
          <w:rFonts w:ascii="Times New Roman" w:eastAsia="黑体" w:cs="Times New Roman" w:hAnsi="Times New Roman"/>
          <w:b w:val="0"/>
        </w:rPr>
        <w:br w:type="page"/>
      </w:r>
    </w:p>
    <w:p>
      <w:pPr>
        <w:pageBreakBefore w:val="0"/>
        <w:widowControl w:val="0"/>
        <w:kinsoku/>
        <w:wordWrap/>
        <w:overflowPunct/>
        <w:topLinePunct w:val="0"/>
        <w:bidi w:val="0"/>
        <w:spacing w:line="576" w:lineRule="exact"/>
        <w:jc w:val="center"/>
        <w:outlineLvl w:val="0"/>
        <w:rPr>
          <w:rFonts w:ascii="Times New Roman" w:eastAsia="仿宋" w:cs="Times New Roman" w:hAnsi="Times New Roman"/>
        </w:rPr>
      </w:pPr>
      <w:bookmarkStart w:id="79" w:name="_Toc26843625"/>
      <w:bookmarkStart w:id="80" w:name="_Toc15396618"/>
      <w:r>
        <w:rPr>
          <w:rFonts w:ascii="Times New Roman" w:eastAsia="黑体" w:cs="Times New Roman" w:hAnsi="Times New Roman"/>
          <w:sz w:val="44"/>
          <w:szCs w:val="44"/>
        </w:rPr>
        <w:t>第</w:t>
      </w:r>
      <w:r>
        <w:rPr>
          <w:rStyle w:val="1Char"/>
          <w:rFonts w:ascii="Times New Roman" w:eastAsia="黑体" w:cs="Times New Roman" w:hAnsi="Times New Roman"/>
          <w:b w:val="0"/>
        </w:rPr>
        <w:t>五部分 附表</w:t>
      </w:r>
      <w:bookmarkStart w:id="81" w:name="_Toc15396619"/>
      <w:bookmarkEnd w:id="75"/>
      <w:bookmarkEnd w:id="79"/>
      <w:bookmarkEnd w:id="80"/>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82" w:name="_Toc26843626"/>
      <w:r>
        <w:rPr>
          <w:rFonts w:ascii="Times New Roman" w:eastAsia="仿宋" w:cs="Times New Roman" w:hAnsi="Times New Roman"/>
          <w:b w:val="0"/>
        </w:rPr>
        <w:t>一、收</w:t>
      </w:r>
      <w:r>
        <w:rPr>
          <w:rStyle w:val="2Char"/>
          <w:rFonts w:ascii="Times New Roman" w:eastAsia="仿宋" w:cs="Times New Roman" w:hAnsi="Times New Roman"/>
          <w:b w:val="0"/>
          <w:bCs w:val="0"/>
        </w:rPr>
        <w:t>入支出决算总表</w:t>
      </w:r>
      <w:bookmarkEnd w:id="81"/>
      <w:bookmarkEnd w:id="82"/>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83" w:name="_Toc26843627"/>
      <w:bookmarkStart w:id="84" w:name="_Toc15396620"/>
      <w:r>
        <w:rPr>
          <w:rFonts w:ascii="Times New Roman" w:eastAsia="仿宋" w:cs="Times New Roman" w:hAnsi="Times New Roman"/>
          <w:b w:val="0"/>
        </w:rPr>
        <w:t>二、收</w:t>
      </w:r>
      <w:r>
        <w:rPr>
          <w:rStyle w:val="2Char"/>
          <w:rFonts w:ascii="Times New Roman" w:eastAsia="仿宋" w:cs="Times New Roman" w:hAnsi="Times New Roman"/>
          <w:b w:val="0"/>
          <w:bCs w:val="0"/>
        </w:rPr>
        <w:t>入决算表</w:t>
      </w:r>
      <w:bookmarkEnd w:id="83"/>
      <w:bookmarkEnd w:id="84"/>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85" w:name="_Toc15396621"/>
      <w:bookmarkStart w:id="86" w:name="_Toc26843628"/>
      <w:r>
        <w:rPr>
          <w:rStyle w:val="2Char"/>
          <w:rFonts w:ascii="Times New Roman" w:eastAsia="仿宋" w:cs="Times New Roman" w:hAnsi="Times New Roman"/>
          <w:b w:val="0"/>
          <w:bCs w:val="0"/>
        </w:rPr>
        <w:t>三、</w:t>
      </w:r>
      <w:r>
        <w:rPr>
          <w:rFonts w:ascii="Times New Roman" w:eastAsia="仿宋" w:cs="Times New Roman" w:hAnsi="Times New Roman"/>
          <w:b w:val="0"/>
        </w:rPr>
        <w:t>支</w:t>
      </w:r>
      <w:r>
        <w:rPr>
          <w:rStyle w:val="2Char"/>
          <w:rFonts w:ascii="Times New Roman" w:eastAsia="仿宋" w:cs="Times New Roman" w:hAnsi="Times New Roman"/>
          <w:b w:val="0"/>
          <w:bCs w:val="0"/>
        </w:rPr>
        <w:t>出决算表</w:t>
      </w:r>
      <w:bookmarkEnd w:id="85"/>
      <w:bookmarkEnd w:id="86"/>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b w:val="0"/>
        </w:rPr>
      </w:pPr>
      <w:bookmarkStart w:id="87" w:name="_Toc26843629"/>
      <w:bookmarkStart w:id="88" w:name="_Toc15396622"/>
      <w:r>
        <w:rPr>
          <w:rStyle w:val="2Char"/>
          <w:rFonts w:ascii="Times New Roman" w:eastAsia="仿宋" w:cs="Times New Roman" w:hAnsi="Times New Roman"/>
          <w:b w:val="0"/>
          <w:bCs w:val="0"/>
        </w:rPr>
        <w:t>四、</w:t>
      </w:r>
      <w:r>
        <w:rPr>
          <w:rFonts w:ascii="Times New Roman" w:eastAsia="仿宋" w:cs="Times New Roman" w:hAnsi="Times New Roman"/>
          <w:b w:val="0"/>
        </w:rPr>
        <w:t>财</w:t>
      </w:r>
      <w:r>
        <w:rPr>
          <w:rStyle w:val="2Char"/>
          <w:rFonts w:ascii="Times New Roman" w:eastAsia="仿宋" w:cs="Times New Roman" w:hAnsi="Times New Roman"/>
          <w:b w:val="0"/>
          <w:bCs w:val="0"/>
        </w:rPr>
        <w:t>政拨款收入支出决算总表</w:t>
      </w:r>
      <w:bookmarkEnd w:id="87"/>
      <w:bookmarkEnd w:id="88"/>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89" w:name="_Toc26843630"/>
      <w:bookmarkStart w:id="90" w:name="_Toc15396623"/>
      <w:r>
        <w:rPr>
          <w:rStyle w:val="2Char"/>
          <w:rFonts w:ascii="Times New Roman" w:eastAsia="仿宋" w:cs="Times New Roman" w:hAnsi="Times New Roman"/>
          <w:b w:val="0"/>
          <w:bCs w:val="0"/>
        </w:rPr>
        <w:t>五、</w:t>
      </w:r>
      <w:r>
        <w:rPr>
          <w:rFonts w:ascii="Times New Roman" w:eastAsia="仿宋" w:cs="Times New Roman" w:hAnsi="Times New Roman"/>
          <w:b w:val="0"/>
        </w:rPr>
        <w:t>财</w:t>
      </w:r>
      <w:r>
        <w:rPr>
          <w:rStyle w:val="2Char"/>
          <w:rFonts w:ascii="Times New Roman" w:eastAsia="仿宋" w:cs="Times New Roman" w:hAnsi="Times New Roman"/>
          <w:b w:val="0"/>
          <w:bCs w:val="0"/>
        </w:rPr>
        <w:t>政拨款支出决算明细表</w:t>
      </w:r>
      <w:bookmarkStart w:id="91" w:name="_Toc15396624"/>
      <w:bookmarkEnd w:id="89"/>
      <w:bookmarkEnd w:id="90"/>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2" w:name="_Toc26843631"/>
      <w:r>
        <w:rPr>
          <w:rStyle w:val="2Char"/>
          <w:rFonts w:ascii="Times New Roman" w:eastAsia="仿宋" w:cs="Times New Roman" w:hAnsi="Times New Roman"/>
          <w:b w:val="0"/>
          <w:bCs w:val="0"/>
        </w:rPr>
        <w:t>六、</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般公共预算财政拨款支出决算表</w:t>
      </w:r>
      <w:bookmarkEnd w:id="91"/>
      <w:bookmarkEnd w:id="92"/>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3" w:name="_Toc15396625"/>
      <w:bookmarkStart w:id="94" w:name="_Toc26843632"/>
      <w:r>
        <w:rPr>
          <w:rStyle w:val="2Char"/>
          <w:rFonts w:ascii="Times New Roman" w:eastAsia="仿宋" w:cs="Times New Roman" w:hAnsi="Times New Roman"/>
          <w:b w:val="0"/>
          <w:bCs w:val="0"/>
        </w:rPr>
        <w:t>七、</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般公共预算财政拨款支出决算明细表</w:t>
      </w:r>
      <w:bookmarkEnd w:id="93"/>
      <w:bookmarkEnd w:id="94"/>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5" w:name="_Toc15396626"/>
      <w:bookmarkStart w:id="96" w:name="_Toc26843633"/>
      <w:r>
        <w:rPr>
          <w:rStyle w:val="2Char"/>
          <w:rFonts w:ascii="Times New Roman" w:eastAsia="仿宋" w:cs="Times New Roman" w:hAnsi="Times New Roman"/>
          <w:b w:val="0"/>
          <w:bCs w:val="0"/>
        </w:rPr>
        <w:t>八、</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般公共预算财政拨款基本支出决算表</w:t>
      </w:r>
      <w:bookmarkEnd w:id="95"/>
      <w:bookmarkEnd w:id="96"/>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7" w:name="_Toc15396627"/>
      <w:bookmarkStart w:id="98" w:name="_Toc26843634"/>
      <w:r>
        <w:rPr>
          <w:rStyle w:val="2Char"/>
          <w:rFonts w:ascii="Times New Roman" w:eastAsia="仿宋" w:cs="Times New Roman" w:hAnsi="Times New Roman"/>
          <w:b w:val="0"/>
          <w:bCs w:val="0"/>
        </w:rPr>
        <w:t>九、</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般公共预算财政拨款项目支出决算表</w:t>
      </w:r>
      <w:bookmarkEnd w:id="97"/>
      <w:bookmarkEnd w:id="98"/>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9" w:name="_Toc26843635"/>
      <w:bookmarkStart w:id="100" w:name="_Toc15396628"/>
      <w:r>
        <w:rPr>
          <w:rStyle w:val="2Char"/>
          <w:rFonts w:ascii="Times New Roman" w:eastAsia="仿宋" w:cs="Times New Roman" w:hAnsi="Times New Roman"/>
          <w:b w:val="0"/>
          <w:bCs w:val="0"/>
        </w:rPr>
        <w:t>十、</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般公共预算财政拨款“三公”经费支出决算表</w:t>
      </w:r>
      <w:bookmarkEnd w:id="99"/>
      <w:bookmarkEnd w:id="100"/>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1" w:name="_Toc15396629"/>
      <w:bookmarkStart w:id="102" w:name="_Toc26843636"/>
      <w:r>
        <w:rPr>
          <w:rStyle w:val="2Char"/>
          <w:rFonts w:ascii="Times New Roman" w:eastAsia="仿宋" w:cs="Times New Roman" w:hAnsi="Times New Roman"/>
          <w:b w:val="0"/>
          <w:bCs w:val="0"/>
        </w:rPr>
        <w:t>十一、</w:t>
      </w:r>
      <w:r>
        <w:rPr>
          <w:rFonts w:ascii="Times New Roman" w:eastAsia="仿宋" w:cs="Times New Roman" w:hAnsi="Times New Roman"/>
          <w:b w:val="0"/>
        </w:rPr>
        <w:t>政</w:t>
      </w:r>
      <w:r>
        <w:rPr>
          <w:rStyle w:val="2Char"/>
          <w:rFonts w:ascii="Times New Roman" w:eastAsia="仿宋" w:cs="Times New Roman" w:hAnsi="Times New Roman"/>
          <w:b w:val="0"/>
          <w:bCs w:val="0"/>
        </w:rPr>
        <w:t>府性基金预算财政拨款收入支出决算表</w:t>
      </w:r>
      <w:bookmarkEnd w:id="101"/>
      <w:bookmarkEnd w:id="102"/>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103" w:name="_Toc15396630"/>
      <w:bookmarkStart w:id="104" w:name="_Toc26843637"/>
      <w:r>
        <w:rPr>
          <w:rStyle w:val="2Char"/>
          <w:rFonts w:ascii="Times New Roman" w:eastAsia="仿宋" w:cs="Times New Roman" w:hAnsi="Times New Roman"/>
          <w:b w:val="0"/>
          <w:bCs w:val="0"/>
        </w:rPr>
        <w:t>十二、</w:t>
      </w:r>
      <w:bookmarkStart w:id="105" w:name="_Toc15396631"/>
      <w:bookmarkStart w:id="106" w:name="_Toc26843638"/>
      <w:bookmarkEnd w:id="103"/>
      <w:bookmarkEnd w:id="104"/>
      <w:r>
        <w:rPr>
          <w:rFonts w:ascii="Times New Roman" w:eastAsia="仿宋" w:cs="Times New Roman" w:hAnsi="Times New Roman"/>
          <w:b w:val="0"/>
        </w:rPr>
        <w:t>国</w:t>
      </w:r>
      <w:r>
        <w:rPr>
          <w:rStyle w:val="2Char"/>
          <w:rFonts w:ascii="Times New Roman" w:eastAsia="仿宋" w:cs="Times New Roman" w:hAnsi="Times New Roman"/>
          <w:b w:val="0"/>
          <w:bCs w:val="0"/>
        </w:rPr>
        <w:t>有资本经营预算财政拨款收入支出决算表</w:t>
      </w:r>
    </w:p>
    <w:p>
      <w:pPr>
        <w:pageBreakBefore w:val="0"/>
        <w:widowControl w:val="0"/>
        <w:kinsoku/>
        <w:wordWrap/>
        <w:overflowPunct/>
        <w:topLinePunct w:val="0"/>
        <w:bidi w:val="0"/>
        <w:spacing w:line="576" w:lineRule="exact"/>
        <w:rPr>
          <w:rFonts w:ascii="Times New Roman" w:eastAsia="仿宋" w:cs="Times New Roman" w:hAnsi="Times New Roman"/>
        </w:rPr>
      </w:pPr>
      <w:r>
        <w:rPr>
          <w:rStyle w:val="2Char"/>
          <w:rFonts w:ascii="Times New Roman" w:eastAsia="仿宋" w:cs="Times New Roman" w:hAnsi="Times New Roman"/>
          <w:b w:val="0"/>
          <w:bCs w:val="0"/>
        </w:rPr>
        <w:t>十三、</w:t>
      </w:r>
      <w:bookmarkEnd w:id="105"/>
      <w:bookmarkEnd w:id="106"/>
      <w:r>
        <w:rPr>
          <w:rStyle w:val="2Char"/>
          <w:rFonts w:ascii="Times New Roman" w:eastAsia="仿宋" w:cs="Times New Roman" w:hAnsi="Times New Roman"/>
          <w:b w:val="0"/>
          <w:bCs w:val="0"/>
        </w:rPr>
        <w:t>国有资本经营预算财政拨款支出决算表</w:t>
      </w:r>
    </w:p>
    <w:p>
      <w:pPr>
        <w:pStyle w:val="2"/>
        <w:keepNext/>
        <w:keepLines/>
        <w:pageBreakBefore w:val="0"/>
        <w:widowControl w:val="0"/>
        <w:kinsoku/>
        <w:wordWrap/>
        <w:overflowPunct/>
        <w:topLinePunct w:val="0"/>
        <w:spacing w:line="576" w:lineRule="exact"/>
        <w:rPr>
          <w:rStyle w:val="2Char"/>
          <w:rFonts w:ascii="Times New Roman" w:eastAsia="仿宋" w:hAnsi="Times New Roman"/>
          <w:b w:val="0"/>
          <w:bCs w:val="0"/>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altName w:val="DejaVu Sans"/>
    <w:panose1 w:val="02020603050405020304"/>
    <w:charset w:val="01"/>
    <w:family w:val="auto"/>
    <w:pitch w:val="variable"/>
    <w:sig w:usb0="E0002EFF" w:usb1="C000785B" w:usb2="00000009" w:usb3="00000000" w:csb0="400001FF" w:csb1="FFFF0000"/>
  </w:font>
  <w:font w:name="方正小标宋简体">
    <w:altName w:val="AR PL UKai CN"/>
    <w:panose1 w:val="03000509000000000000"/>
    <w:charset w:val="86"/>
    <w:family w:val="script"/>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仿宋">
    <w:altName w:val="仿宋_GB2312"/>
    <w:panose1 w:val="02010609060101010101"/>
    <w:charset w:val="86"/>
    <w:family w:val="auto"/>
    <w:pitch w:val="variable"/>
    <w:sig w:usb0="800002BF" w:usb1="38CF7CFA" w:usb2="00000016" w:usb3="00000000" w:csb0="00040001" w:csb1="00000000"/>
  </w:font>
  <w:font w:name="楷体">
    <w:altName w:val="楷体_GB2312"/>
    <w:panose1 w:val="02010609060101010101"/>
    <w:charset w:val="86"/>
    <w:family w:val="auto"/>
    <w:pitch w:val="variable"/>
    <w:sig w:usb0="800002BF" w:usb1="38CF7CFA" w:usb2="00000016" w:usb3="00000000" w:csb0="00040001" w:csb1="00000000"/>
  </w:font>
  <w:font w:name="方正楷体_GBK">
    <w:panose1 w:val="03000509000000000000"/>
    <w:charset w:val="86"/>
    <w:family w:val="auto"/>
    <w:pitch w:val="variable"/>
    <w:sig w:usb0="00000001" w:usb1="080E0000" w:usb2="00000000" w:usb3="00000000" w:csb0="00040000" w:csb1="00000000"/>
  </w:font>
  <w:font w:name="方正黑体_GBK">
    <w:panose1 w:val="03000509000000000000"/>
    <w:charset w:val="86"/>
    <w:family w:val="auto"/>
    <w:pitch w:val="variable"/>
    <w:sig w:usb0="00000001" w:usb1="080E0000" w:usb2="00000000" w:usb3="00000000" w:csb0="00040000" w:csb1="00000000"/>
  </w:font>
  <w:font w:name="宋体">
    <w:altName w:val="方正书宋_GBK"/>
    <w:panose1 w:val="02010600030101010101"/>
    <w:charset w:val="86"/>
    <w:family w:val="auto"/>
    <w:pitch w:val="variable"/>
    <w:sig w:usb0="00000203" w:usb1="288F0000" w:usb2="00000006" w:usb3="00000000" w:csb0="00040001" w:csb1="00000000"/>
  </w:font>
  <w:font w:name="方正小标宋_GBK">
    <w:panose1 w:val="03000509000000000000"/>
    <w:charset w:val="86"/>
    <w:family w:val="auto"/>
    <w:pitch w:val="variable"/>
    <w:sig w:usb0="00000001" w:usb1="080E0000" w:usb2="00000000" w:usb3="00000000" w:csb0="00040000" w:csb1="00000000"/>
  </w:font>
  <w:font w:name="楷体_GB2312">
    <w:panose1 w:val="02010609030101010101"/>
    <w:charset w:val="86"/>
    <w:family w:val="modern"/>
    <w:pitch w:val="variable"/>
    <w:sig w:usb0="00000001" w:usb1="080E0000" w:usb2="00000000" w:usb3="00000000" w:csb0="00040000" w:csb1="00000000"/>
  </w:font>
  <w:font w:name="Cambria">
    <w:altName w:val="DejaVu Sans"/>
    <w:panose1 w:val="02040503050406030204"/>
    <w:charset w:val="00"/>
    <w:family w:val="roman"/>
    <w:pitch w:val="variable"/>
    <w:sig w:usb0="E00006FF" w:usb1="420024FF" w:usb2="02000000" w:usb3="00000000" w:csb0="2000019F" w:csb1="00000000"/>
  </w:font>
  <w:font w:name="Calibri">
    <w:altName w:val="DejaVu Sans"/>
    <w:panose1 w:val="020F0502020204030204"/>
    <w:charset w:val="00"/>
    <w:family w:val="swiss"/>
    <w:pitch w:val="variable"/>
    <w:sig w:usb0="E4002EFF" w:usb1="C200247B" w:usb2="00000009" w:usb3="00000000" w:csb0="200001FF" w:csb1="00000000"/>
  </w:font>
  <w:font w:name="Arial">
    <w:altName w:val="DejaVu Sans"/>
    <w:panose1 w:val="020B0604020202020204"/>
    <w:charset w:val="01"/>
    <w:family w:val="swiss"/>
    <w:pitch w:val="variable"/>
    <w:sig w:usb0="E0002EFF" w:usb1="C000785B"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768610299"/>
    </w:sdtPr>
    <w:sdtContent>
      <w:p>
        <w:pPr>
          <w:pStyle w:val="18"/>
          <w:tabs>
            <w:tab w:val="center" w:pos="4153"/>
            <w:tab w:val="right" w:pos="8306"/>
          </w:tabs>
          <w:jc w:val="center"/>
        </w:pPr>
        <w:r>
          <w:fldChar w:fldCharType="begin"/>
        </w:r>
        <w:r>
          <w:instrText>PAGE   \* MERGEFORMAT</w:instrText>
        </w:r>
        <w:r>
          <w:fldChar w:fldCharType="separate"/>
        </w:r>
        <w:r>
          <w:rPr>
            <w:lang w:val="zh-CN"/>
          </w:rPr>
          <w:t>8</w:t>
        </w:r>
        <w:r>
          <w:fldChar w:fldCharType="end"/>
        </w:r>
      </w:p>
    </w:sdtContent>
  </w:sdt>
  <w:p>
    <w:pPr>
      <w:pStyle w:val="18"/>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4E4849AA"/>
    <w:multiLevelType w:val="singleLevel"/>
    <w:tmpl w:val="4E4849AA"/>
    <w:lvl w:ilvl="0">
      <w:start w:val="1"/>
      <w:numFmt w:val="decimal"/>
      <w:lvlRestart w:val="0"/>
      <w:lvlText w:val="%1."/>
      <w:lvlJc w:val="left"/>
      <w:pPr>
        <w:tabs>
          <w:tab w:val="num" w:pos="0"/>
        </w:tabs>
        <w:ind w:left="0" w:hanging="0"/>
      </w:pPr>
    </w:lvl>
  </w:abstractNum>
  <w:abstractNum w:abstractNumId="2">
    <w:nsid w:val="D7A35386"/>
    <w:multiLevelType w:val="singleLevel"/>
    <w:tmpl w:val="D7A35386"/>
    <w:lvl w:ilvl="0">
      <w:start w:val="4"/>
      <w:numFmt w:val="decimal"/>
      <w:lvlRestart w:val="0"/>
      <w:lvlText w:val="%1."/>
      <w:lvlJc w:val="left"/>
      <w:pPr>
        <w:tabs>
          <w:tab w:val="num" w:pos="0"/>
        </w:tabs>
        <w:ind w:left="0" w:hanging="0"/>
      </w:pPr>
    </w:lvl>
  </w:abstractNum>
  <w:abstractNum w:abstractNumId="3">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4">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abstractNum w:abstractNumId="5">
    <w:nsid w:val="F3E45415"/>
    <w:multiLevelType w:val="singleLevel"/>
    <w:tmpl w:val="F3E45415"/>
    <w:lvl w:ilvl="0">
      <w:start w:val="3"/>
      <w:numFmt w:val="chineseCounting"/>
      <w:lvlRestart w:val="0"/>
      <w:suff w:val="nothing"/>
      <w:lvlText w:val="（%1）"/>
      <w:lvlJc w:val="left"/>
      <w:pPr>
        <w:tabs>
          <w:tab w:val="num" w:pos="0"/>
        </w:tabs>
        <w:ind w:left="0" w:hanging="0"/>
      </w:pPr>
      <w:rPr>
        <w:rFonts w:hint="eastAsia"/>
      </w:rPr>
    </w:lvl>
  </w:abstractNum>
  <w:abstractNum w:abstractNumId="6">
    <w:nsid w:val="E784FA86"/>
    <w:multiLevelType w:val="singleLevel"/>
    <w:tmpl w:val="E784FA86"/>
    <w:lvl w:ilvl="0">
      <w:start w:val="2"/>
      <w:numFmt w:val="chineseCounting"/>
      <w:lvlRestart w:val="0"/>
      <w:suff w:val="nothing"/>
      <w:lvlText w:val="（%1）"/>
      <w:lvlJc w:val="left"/>
      <w:pPr>
        <w:tabs>
          <w:tab w:val="num" w:pos="0"/>
        </w:tabs>
        <w:ind w:left="0" w:hanging="0"/>
      </w:pPr>
      <w:rPr>
        <w:rFonts w:hint="eastAsia"/>
      </w:rPr>
    </w:lvl>
  </w:abstractNum>
  <w:abstractNum w:abstractNumId="7">
    <w:nsid w:val="D1DF940D"/>
    <w:multiLevelType w:val="singleLevel"/>
    <w:tmpl w:val="D1DF940D"/>
    <w:lvl w:ilvl="0">
      <w:start w:val="3"/>
      <w:numFmt w:val="chineseCounting"/>
      <w:lvlRestart w:val="0"/>
      <w:suff w:val="nothing"/>
      <w:lvlText w:val="%1、"/>
      <w:lvlJc w:val="left"/>
      <w:pPr>
        <w:tabs>
          <w:tab w:val="num" w:pos="0"/>
        </w:tabs>
        <w:ind w:left="0" w:hanging="0"/>
      </w:pPr>
      <w:rPr>
        <w:rFonts w:hint="eastAsia"/>
      </w:rPr>
    </w:lvl>
  </w:abstractNum>
  <w:abstractNum w:abstractNumId="8">
    <w:nsid w:val="61DAC19C"/>
    <w:multiLevelType w:val="singleLevel"/>
    <w:tmpl w:val="61DAC19C"/>
    <w:lvl w:ilvl="0">
      <w:start w:val="1"/>
      <w:numFmt w:val="chineseCounting"/>
      <w:lvlRestart w:val="0"/>
      <w:suff w:val="nothing"/>
      <w:lvlText w:val="（%1）"/>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NjQ4NjBiODNlODk1YmE0ZjdmMjEwYmNhZjg0NTBkMzA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toc 3"/>
    <w:basedOn w:val="0"/>
    <w:next w:val="0"/>
    <w:pPr>
      <w:tabs>
        <w:tab w:val="right" w:leader="dot" w:pos="8296"/>
      </w:tabs>
      <w:ind w:leftChars="400" w:left="400"/>
    </w:pPr>
  </w:style>
  <w:style w:type="paragraph" w:styleId="17">
    <w:name w:val="Balloon Text"/>
    <w:basedOn w:val="0"/>
    <w:rPr>
      <w:sz w:val="18"/>
      <w:szCs w:val="18"/>
    </w:rPr>
  </w:style>
  <w:style w:type="paragraph" w:styleId="18">
    <w:name w:val="footer"/>
    <w:basedOn w:val="0"/>
    <w:pPr>
      <w:tabs>
        <w:tab w:val="center" w:pos="4153"/>
        <w:tab w:val="right" w:pos="8306"/>
      </w:tabs>
      <w:snapToGrid w:val="0"/>
      <w:jc w:val="left"/>
    </w:pPr>
    <w:rPr>
      <w:rFonts w:ascii="Calibri" w:hAnsi="Calibri"/>
      <w:kern w:val="0"/>
      <w:sz w:val="18"/>
      <w:szCs w:val="18"/>
    </w:rPr>
  </w:style>
  <w:style w:type="paragraph" w:styleId="19">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0">
    <w:name w:val="toc 1"/>
    <w:basedOn w:val="0"/>
    <w:next w:val="0"/>
    <w:pPr>
      <w:tabs>
        <w:tab w:val="right" w:leader="dot" w:pos="8296"/>
      </w:tabs>
      <w:spacing w:before="93"/>
      <w:jc w:val="center"/>
    </w:pPr>
    <w:rPr>
      <w:rFonts w:ascii="仿宋" w:eastAsia="仿宋"/>
      <w:sz w:val="28"/>
      <w:szCs w:val="28"/>
    </w:rPr>
  </w:style>
  <w:style w:type="paragraph" w:styleId="21">
    <w:name w:val="toc 2"/>
    <w:basedOn w:val="0"/>
    <w:next w:val="0"/>
    <w:pPr>
      <w:tabs>
        <w:tab w:val="right" w:leader="dot" w:pos="8296"/>
      </w:tabs>
      <w:ind w:leftChars="200" w:left="200"/>
    </w:pPr>
  </w:style>
  <w:style w:type="paragraph" w:styleId="22">
    <w:name w:val="HTML Preformatted"/>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paragraph" w:styleId="23">
    <w:name w:val="Normal (Web)"/>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styleId="24">
    <w:name w:val="Body Text First Indent 2"/>
    <w:basedOn w:val="0"/>
    <w:next w:val="0"/>
    <w:pPr>
      <w:ind w:firstLine="420"/>
    </w:pPr>
  </w:style>
  <w:style w:type="character" w:styleId="25">
    <w:name w:val="Strong"/>
    <w:basedOn w:val="10"/>
    <w:rPr>
      <w:b/>
    </w:rPr>
  </w:style>
  <w:style w:type="character" w:styleId="26">
    <w:name w:val="Hyperlink"/>
    <w:basedOn w:val="10"/>
    <w:rPr>
      <w:color w:val="0000FF"/>
      <w:u w:val="single"/>
    </w:rPr>
  </w:style>
  <w:style w:type="character" w:customStyle="1" w:styleId="27">
    <w:name w:val="Header Char"/>
    <w:basedOn w:val="10"/>
    <w:rPr>
      <w:rFonts w:ascii="Times New Roman" w:hAnsi="Times New Roman"/>
      <w:sz w:val="18"/>
      <w:szCs w:val="18"/>
    </w:rPr>
  </w:style>
  <w:style w:type="character" w:customStyle="1" w:styleId="28">
    <w:name w:val="Footer Char"/>
    <w:basedOn w:val="10"/>
    <w:rPr>
      <w:rFonts w:ascii="Times New Roman" w:hAnsi="Times New Roman"/>
      <w:sz w:val="18"/>
      <w:szCs w:val="18"/>
    </w:rPr>
  </w:style>
  <w:style w:type="character" w:customStyle="1" w:styleId="29">
    <w:name w:val="Body Text Char"/>
    <w:basedOn w:val="10"/>
    <w:rPr>
      <w:rFonts w:ascii="Times New Roman" w:hAnsi="Times New Roman"/>
      <w:szCs w:val="24"/>
    </w:rPr>
  </w:style>
  <w:style w:type="paragraph" w:customStyle="1" w:styleId="30">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31">
    <w:name w:val="List Paragraph"/>
    <w:basedOn w:val="0"/>
    <w:pPr>
      <w:ind w:firstLineChars="200" w:firstLine="200"/>
    </w:pPr>
  </w:style>
  <w:style w:type="paragraph" w:customStyle="1" w:styleId="32">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3">
    <w:name w:val="TOC 标题2"/>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4">
    <w:name w:val="文档正文"/>
    <w:pPr>
      <w:adjustRightInd w:val="0"/>
      <w:spacing w:line="480" w:lineRule="atLeast"/>
      <w:textAlignment w:val="baseline"/>
    </w:pPr>
    <w:rPr>
      <w:rFonts w:ascii="Arial" w:eastAsia="宋体" w:cs="Times New Roman" w:hAnsi="Arial"/>
      <w:kern w:val="0"/>
      <w:sz w:val="20"/>
      <w:szCs w:val="20"/>
      <w:lang w:val="en-US" w:eastAsia="zh-CN" w:bidi="ar-SA"/>
    </w:rPr>
  </w:style>
  <w:style w:type="paragraph" w:customStyle="1" w:styleId="35">
    <w:name w:val="图表目录1"/>
    <w:basedOn w:val="0"/>
    <w:next w:val="0"/>
    <w:pPr>
      <w:spacing w:beforeAutospacing="1" w:afterAutospacing="1"/>
      <w:ind w:leftChars="200" w:left="400" w:hangingChars="200" w:hanging="200"/>
    </w:pPr>
  </w:style>
  <w:style w:type="paragraph" w:customStyle="1" w:styleId="36">
    <w:name w:val="图表目录2"/>
    <w:basedOn w:val="0"/>
    <w:next w:val="0"/>
    <w:pPr>
      <w:spacing w:beforeAutospacing="1" w:afterAutospacing="1"/>
      <w:ind w:leftChars="200" w:left="400" w:hangingChars="200" w:hanging="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image" Target="media/5.png"/><Relationship Id="rId8" Type="http://schemas.openxmlformats.org/officeDocument/2006/relationships/chart" Target="charts/chart4.xml"/><Relationship Id="rId9" Type="http://schemas.openxmlformats.org/officeDocument/2006/relationships/chart" Target="charts/chart5.xml"/><Relationship Id="rId10" Type="http://schemas.openxmlformats.org/officeDocument/2006/relationships/chart" Target="charts/chart6.xml"/><Relationship Id="rId11" Type="http://schemas.openxmlformats.org/officeDocument/2006/relationships/chart" Target="charts/chart7.xml"/><Relationship Id="rId12" Type="http://schemas.openxmlformats.org/officeDocument/2006/relationships/chart" Target="charts/chart8.xml"/><Relationship Id="rId13" Type="http://schemas.openxmlformats.org/officeDocument/2006/relationships/styles" Target="styles.xml"/><Relationship Id="rId14" Type="http://schemas.openxmlformats.org/officeDocument/2006/relationships/numbering" Target="numbering.xml"/><Relationship Id="rId1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char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收入支出对比图</a:t>
            </a:r>
          </a:p>
        </c:rich>
      </c:tx>
      <c:layout>
        <c:manualLayout>
          <c:xMode val="edge"/>
          <c:yMode val="edge"/>
          <c:x val="0.423"/>
          <c:y val="0.0165"/>
        </c:manualLayout>
      </c:layout>
      <c:overlay val="0"/>
      <c:spPr>
        <a:noFill/>
        <a:ln>
          <a:noFill/>
        </a:ln>
      </c:spPr>
    </c:title>
    <c:autoTitleDeleted val="1"/>
    <c:plotArea>
      <c:layout/>
      <c:barChart>
        <c:barDir val="col"/>
        <c:grouping val="clustered"/>
        <c:varyColors val="0"/>
        <c:ser>
          <c:idx val="0"/>
          <c:order val="0"/>
          <c:tx>
            <c:strRef>
              <c:f>'Sheet1'!$B$1</c:f>
              <c:strCache>
                <c:ptCount val="1"/>
                <c:pt idx="0">
                  <c:v>收入支出对比</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0"/>
          </c:dLbls>
          <c:cat>
            <c:strRef>
              <c:f>'Sheet1'!$A$2:$A$5</c:f>
              <c:strCache>
                <c:ptCount val="4"/>
                <c:pt idx="0">
                  <c:v>2021年支出</c:v>
                </c:pt>
                <c:pt idx="1">
                  <c:v>2021年支出</c:v>
                </c:pt>
                <c:pt idx="2">
                  <c:v>2022年收入</c:v>
                </c:pt>
                <c:pt idx="3">
                  <c:v>2022年支出</c:v>
                </c:pt>
              </c:strCache>
            </c:strRef>
          </c:cat>
          <c:val>
            <c:numRef>
              <c:f>'Sheet1'!$B$2:$B$5</c:f>
              <c:numCache>
                <c:formatCode>General</c:formatCode>
                <c:ptCount val="4"/>
                <c:pt idx="0">
                  <c:v>380.19</c:v>
                </c:pt>
                <c:pt idx="1">
                  <c:v>580.24</c:v>
                </c:pt>
                <c:pt idx="2">
                  <c:v>431.04</c:v>
                </c:pt>
                <c:pt idx="3">
                  <c:v>1064.39</c:v>
                </c:pt>
              </c:numCache>
            </c:numRef>
          </c:val>
        </c:ser>
        <c:ser>
          <c:idx val="1"/>
          <c:order val="1"/>
          <c:spPr>
            <a:solidFill>
              <a:srgbClr val="C0504D"/>
            </a:solidFill>
            <a:ln>
              <a:noFill/>
            </a:ln>
          </c:spPr>
          <c:invertIfNegative val="0"/>
          <c:dLbls>
            <c:dLbl>
              <c:idx val="0"/>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LblPos val="outEnd"/>
              <c:delete val="1"/>
            </c:dLbl>
            <c:dLblPos val="outEnd"/>
            <c:showLegendKey val="0"/>
            <c:showVal val="0"/>
            <c:showCatName val="0"/>
            <c:showSerName val="0"/>
            <c:showPercent val="0"/>
            <c:showBubbleSize val="0"/>
            <c:showLeaderLines val="0"/>
          </c:dLbls>
          <c:cat>
            <c:strRef>
              <c:f>'Sheet1'!$A$2:$A$5</c:f>
              <c:strCache>
                <c:ptCount val="4"/>
                <c:pt idx="0">
                  <c:v>2021年支出</c:v>
                </c:pt>
                <c:pt idx="1">
                  <c:v>2021年支出</c:v>
                </c:pt>
                <c:pt idx="2">
                  <c:v>2022年收入</c:v>
                </c:pt>
                <c:pt idx="3">
                  <c:v>2022年支出</c:v>
                </c:pt>
              </c:strCache>
            </c:strRef>
          </c:cat>
          <c:val>
            <c:numRef>
              <c:f/>
              <c:numCache>
                <c:formatCode>General</c:formatCode>
                <c:ptCount val="1"/>
                <c:pt idx="0">
                  <c:v>1.0</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Entry>
        <c:idx val="1"/>
        <c:delete val="1"/>
      </c:legendEntry>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2022年收入</a:t>
            </a:r>
          </a:p>
        </c:rich>
      </c:tx>
      <c:layout/>
      <c:overlay val="0"/>
      <c:spPr>
        <a:noFill/>
        <a:ln>
          <a:noFill/>
        </a:ln>
      </c:spPr>
    </c:title>
    <c:autoTitleDeleted val="1"/>
    <c:plotArea>
      <c:layout/>
      <c:pieChart>
        <c:varyColors val="1"/>
        <c:ser>
          <c:idx val="0"/>
          <c:order val="0"/>
          <c:tx>
            <c:v>2022年收入</c:v>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1"/>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showLegendKey val="0"/>
            <c:showVal val="0"/>
            <c:showCatName val="0"/>
            <c:showSerName val="0"/>
            <c:showPercent val="0"/>
            <c:showBubbleSize val="0"/>
            <c:showLeaderLines val="0"/>
          </c:dLbls>
          <c:cat>
            <c:strLit>
              <c:ptCount val="2"/>
              <c:pt idx="0">
                <c:v>一般公共预算财政拨款收入</c:v>
              </c:pt>
              <c:pt idx="1">
                <c:v>其他收入</c:v>
              </c:pt>
            </c:strLit>
          </c:cat>
          <c:val>
            <c:numRef>
              <c:f/>
              <c:numCache>
                <c:formatCode>General</c:formatCode>
                <c:ptCount val="2"/>
                <c:pt idx="0">
                  <c:v>1064.39</c:v>
                </c:pt>
                <c:pt idx="1">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v>2022年支出</c:v>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1"/>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showLegendKey val="0"/>
            <c:showVal val="0"/>
            <c:showCatName val="0"/>
            <c:showSerName val="0"/>
            <c:showPercent val="0"/>
            <c:showBubbleSize val="0"/>
            <c:showLeaderLines val="0"/>
          </c:dLbls>
          <c:cat>
            <c:strLit>
              <c:ptCount val="2"/>
              <c:pt idx="0">
                <c:v>基本支出</c:v>
              </c:pt>
              <c:pt idx="1">
                <c:v>项目支出</c:v>
              </c:pt>
            </c:strLit>
          </c:cat>
          <c:val>
            <c:numRef>
              <c:f/>
              <c:numCache>
                <c:formatCode>General</c:formatCode>
                <c:ptCount val="2"/>
                <c:pt idx="0">
                  <c:v>432.66</c:v>
                </c:pt>
                <c:pt idx="1">
                  <c:v>631.73</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 (2)'!$B$1</c:f>
              <c:strCache>
                <c:ptCount val="1"/>
                <c:pt idx="0">
                  <c:v>一般公共预算财政拨款支出决算变动情况表
</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(2)'!$A$2:$A$3</c:f>
              <c:strCache>
                <c:ptCount val="2"/>
                <c:pt idx="0">
                  <c:v>2021年支出</c:v>
                </c:pt>
                <c:pt idx="1">
                  <c:v>2022年支出</c:v>
                </c:pt>
              </c:strCache>
            </c:strRef>
          </c:cat>
          <c:val>
            <c:numRef>
              <c:f>'Sheet1 (2)'!$B$2:$B$3</c:f>
              <c:numCache>
                <c:formatCode>General</c:formatCode>
                <c:ptCount val="2"/>
                <c:pt idx="0">
                  <c:v>580.24</c:v>
                </c:pt>
                <c:pt idx="1">
                  <c:v>1064.39</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一般公共预算财政拨款支出决算结构情况（万元）
</a:t>
            </a:r>
          </a:p>
        </c:rich>
      </c:tx>
      <c:layout/>
      <c:overlay val="0"/>
      <c:spPr>
        <a:noFill/>
        <a:ln>
          <a:noFill/>
        </a:ln>
      </c:spPr>
    </c:title>
    <c:autoTitleDeleted val="1"/>
    <c:plotArea>
      <c:layout/>
      <c:pieChart>
        <c:varyColors val="1"/>
        <c:ser>
          <c:idx val="0"/>
          <c:order val="0"/>
          <c:tx>
            <c:strRef>
              <c:f>'Sheet1 (3)'!$B$1</c:f>
              <c:strCache>
                <c:ptCount val="1"/>
                <c:pt idx="0">
                  <c:v>一般公共预算财政拨款支出决算结构情况（万元）
</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0%" sourceLinked="0"/>
            <c:showLegendKey val="0"/>
            <c:showVal val="0"/>
            <c:showCatName val="0"/>
            <c:showSerName val="0"/>
            <c:showPercent val="1"/>
            <c:showBubbleSize val="0"/>
            <c:showLeaderLines val="1"/>
          </c:dLbls>
          <c:cat>
            <c:strRef>
              <c:f>'Sheet1 (3)'!$A$2:$A$5</c:f>
              <c:strCache>
                <c:ptCount val="4"/>
                <c:pt idx="0">
                  <c:v>公共安全支出</c:v>
                </c:pt>
                <c:pt idx="1">
                  <c:v>教育支出</c:v>
                </c:pt>
                <c:pt idx="2">
                  <c:v>社会保障和就业</c:v>
                </c:pt>
                <c:pt idx="3">
                  <c:v>卫生健康支出</c:v>
                </c:pt>
              </c:strCache>
            </c:strRef>
          </c:cat>
          <c:val>
            <c:numRef>
              <c:f>'Sheet1 (3)'!$B$2:$B$5</c:f>
              <c:numCache>
                <c:formatCode>General</c:formatCode>
                <c:ptCount val="4"/>
                <c:pt idx="0">
                  <c:v>642.18</c:v>
                </c:pt>
                <c:pt idx="1">
                  <c:v>17.05</c:v>
                </c:pt>
                <c:pt idx="2">
                  <c:v>46.58</c:v>
                </c:pt>
                <c:pt idx="3">
                  <c:v>19.68</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“三公”经费财政拨款支出结构</a:t>
            </a:r>
          </a:p>
        </c:rich>
      </c:tx>
      <c:layout/>
      <c:overlay val="0"/>
      <c:spPr>
        <a:noFill/>
        <a:ln>
          <a:noFill/>
        </a:ln>
      </c:spPr>
    </c:title>
    <c:autoTitleDeleted val="1"/>
    <c:plotArea>
      <c:layout/>
      <c:pieChart>
        <c:varyColors val="1"/>
        <c:ser>
          <c:idx val="0"/>
          <c:order val="0"/>
          <c:tx>
            <c:strRef>
              <c:f>'Sheet1 (4)'!$B$1</c:f>
              <c:strCache>
                <c:ptCount val="1"/>
                <c:pt idx="0">
                  <c:v>“三公”经费财政拨款支出结构</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0%" sourceLinked="0"/>
            <c:showLegendKey val="0"/>
            <c:showVal val="0"/>
            <c:showCatName val="0"/>
            <c:showSerName val="0"/>
            <c:showPercent val="1"/>
            <c:showBubbleSize val="0"/>
            <c:showLeaderLines val="1"/>
          </c:dLbls>
          <c:cat>
            <c:strRef>
              <c:f>'Sheet1 (4)'!$A$2:$A$3</c:f>
              <c:strCache>
                <c:ptCount val="2"/>
                <c:pt idx="0">
                  <c:v>2022年公务用车购置及运行维护费</c:v>
                </c:pt>
                <c:pt idx="1">
                  <c:v>2022年公务接待费</c:v>
                </c:pt>
              </c:strCache>
            </c:strRef>
          </c:cat>
          <c:val>
            <c:numRef>
              <c:f>'Sheet1 (4)'!$B$2:$B$3</c:f>
              <c:numCache>
                <c:formatCode>General</c:formatCode>
                <c:ptCount val="2"/>
                <c:pt idx="0">
                  <c:v>12.0</c:v>
                </c:pt>
                <c:pt idx="1">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公务用车运行维护费变动情况表</a:t>
            </a:r>
          </a:p>
        </c:rich>
      </c:tx>
      <c:layout/>
      <c:overlay val="0"/>
      <c:spPr>
        <a:noFill/>
        <a:ln>
          <a:noFill/>
        </a:ln>
      </c:spPr>
    </c:title>
    <c:autoTitleDeleted val="1"/>
    <c:plotArea>
      <c:layout/>
      <c:barChart>
        <c:barDir val="col"/>
        <c:grouping val="clustered"/>
        <c:varyColors val="0"/>
        <c:ser>
          <c:idx val="0"/>
          <c:order val="0"/>
          <c:tx>
            <c:strRef>
              <c:f>'Sheet1 (5)'!$B$1</c:f>
              <c:strCache>
                <c:ptCount val="1"/>
                <c:pt idx="0">
                  <c:v>公务用车运行维护费变动情况表</c:v>
                </c:pt>
              </c:strCache>
            </c:strRef>
          </c:tx>
          <c:spPr>
            <a:solidFill>
              <a:srgbClr val="4F81BD"/>
            </a:solidFill>
            <a:ln>
              <a:noFill/>
            </a:ln>
          </c:spPr>
          <c:invertIfNegative val="0"/>
          <c:dLbls>
            <c:dLbl>
              <c:idx val="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LblPos val="outEnd"/>
              <c:delete val="1"/>
            </c:dLbl>
            <c:dLbl>
              <c:idx val="1"/>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LblPos val="outEnd"/>
              <c:delete val="1"/>
            </c:dLbl>
            <c:dLblPos val="outEnd"/>
            <c:showLegendKey val="0"/>
            <c:showVal val="0"/>
            <c:showCatName val="0"/>
            <c:showSerName val="0"/>
            <c:showPercent val="0"/>
            <c:showBubbleSize val="0"/>
            <c:showLeaderLines val="0"/>
          </c:dLbls>
          <c:cat>
            <c:strRef>
              <c:f>'Sheet1 (5)'!$A$2:$A$3</c:f>
              <c:strCache>
                <c:ptCount val="2"/>
                <c:pt idx="0">
                  <c:v>2021年公务用车运行维护费支出</c:v>
                </c:pt>
                <c:pt idx="1">
                  <c:v>2022年公务用车运行维护费支出</c:v>
                </c:pt>
              </c:strCache>
            </c:strRef>
          </c:cat>
          <c:val>
            <c:numRef>
              <c:f>'Sheet1 (5)'!$B$2:$B$3</c:f>
              <c:numCache>
                <c:formatCode>General</c:formatCode>
                <c:ptCount val="2"/>
                <c:pt idx="0">
                  <c:v>12.0</c:v>
                </c:pt>
                <c:pt idx="1">
                  <c:v>12.0</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公务接待费支出变动情况表
</a:t>
            </a:r>
          </a:p>
        </c:rich>
      </c:tx>
      <c:layout/>
      <c:overlay val="0"/>
      <c:spPr>
        <a:noFill/>
        <a:ln>
          <a:noFill/>
        </a:ln>
      </c:spPr>
    </c:title>
    <c:autoTitleDeleted val="1"/>
    <c:plotArea>
      <c:layout/>
      <c:barChart>
        <c:barDir val="col"/>
        <c:grouping val="clustered"/>
        <c:varyColors val="0"/>
        <c:ser>
          <c:idx val="0"/>
          <c:order val="0"/>
          <c:tx>
            <c:strRef>
              <c:f>'Sheet1 (6)'!$B$1</c:f>
              <c:strCache>
                <c:ptCount val="1"/>
                <c:pt idx="0">
                  <c:v>公务接待费支出变动情况表
</c:v>
                </c:pt>
              </c:strCache>
            </c:strRef>
          </c:tx>
          <c:spPr>
            <a:solidFill>
              <a:srgbClr val="4F81BD"/>
            </a:solidFill>
            <a:ln>
              <a:noFill/>
            </a:ln>
          </c:spPr>
          <c:invertIfNegative val="0"/>
          <c:dLbls>
            <c:dLbl>
              <c:idx val="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LblPos val="outEnd"/>
              <c:delete val="1"/>
            </c:dLbl>
            <c:dLbl>
              <c:idx val="1"/>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LblPos val="outEnd"/>
              <c:delete val="1"/>
            </c:dLbl>
            <c:dLblPos val="outEnd"/>
            <c:showLegendKey val="0"/>
            <c:showVal val="0"/>
            <c:showCatName val="0"/>
            <c:showSerName val="0"/>
            <c:showPercent val="0"/>
            <c:showBubbleSize val="0"/>
            <c:showLeaderLines val="0"/>
          </c:dLbls>
          <c:cat>
            <c:strRef>
              <c:f>'Sheet1 (6)'!$A$2:$A$3</c:f>
              <c:strCache>
                <c:ptCount val="2"/>
                <c:pt idx="0">
                  <c:v>2021年</c:v>
                </c:pt>
                <c:pt idx="1">
                  <c:v>2022年</c:v>
                </c:pt>
              </c:strCache>
            </c:strRef>
          </c:cat>
          <c:val>
            <c:numRef>
              <c:f>'Sheet1 (6)'!$B$2:$B$3</c:f>
              <c:numCache>
                <c:formatCode>General</c:formatCode>
                <c:ptCount val="2"/>
                <c:pt idx="0">
                  <c:v>0.07</c:v>
                </c:pt>
                <c:pt idx="1">
                  <c:v>0.0</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16</TotalTime>
  <Application>Yozo_Office27021597764231179</Application>
  <Pages>39</Pages>
  <Words>12967</Words>
  <Characters>14240</Characters>
  <Lines>829</Lines>
  <Paragraphs>315</Paragraphs>
  <CharactersWithSpaces>14332</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user</cp:lastModifiedBy>
  <cp:revision>33</cp:revision>
  <cp:lastPrinted>2022-08-08T09:11:00Z</cp:lastPrinted>
  <dcterms:created xsi:type="dcterms:W3CDTF">2020-08-05T01:49:00Z</dcterms:created>
  <dcterms:modified xsi:type="dcterms:W3CDTF">2023-09-21T09:14:32Z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2052-12.1.0.15374</vt:lpwstr>
  </property>
  <property fmtid="{D5CDD505-2E9C-101B-9397-08002B2CF9AE}" pid="3" name="ICV">
    <vt:lpwstr>88B97CD4BA564B508D5391C86AD7CA0A_13</vt:lpwstr>
  </property>
</Properties>
</file>