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475"/>
      <w:bookmarkStart w:id="2" w:name="_Toc15377193"/>
      <w:bookmarkStart w:id="3" w:name="_Toc15396597"/>
      <w:bookmarkStart w:id="4" w:name="_Toc15377425"/>
      <w:bookmarkStart w:id="5" w:name="_Toc15378441"/>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eastAsia="方正小标宋简体"/>
          <w:color w:val="000000"/>
          <w:sz w:val="72"/>
          <w:szCs w:val="72"/>
        </w:rPr>
      </w:pPr>
      <w:bookmarkStart w:id="6" w:name="_Toc15396598"/>
      <w:bookmarkStart w:id="7" w:name="_Toc15306268"/>
      <w:bookmarkStart w:id="8" w:name="_Toc15378442"/>
      <w:bookmarkStart w:id="9" w:name="_Toc15377194"/>
      <w:bookmarkStart w:id="10" w:name="_Toc15377426"/>
      <w:bookmarkStart w:id="11" w:name="_Toc15396476"/>
      <w:r>
        <w:rPr>
          <w:rFonts w:hint="eastAsia" w:ascii="方正小标宋简体" w:eastAsia="方正小标宋简体"/>
          <w:color w:val="000000"/>
          <w:sz w:val="72"/>
          <w:szCs w:val="72"/>
        </w:rPr>
        <w:t>中共金川县委政法委员会部门决算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0"/>
      </w:pPr>
      <w:r>
        <w:rPr>
          <w:rFonts w:hint="eastAsia"/>
        </w:rPr>
        <w:t>公开时间：2020年8月3日</w:t>
      </w:r>
    </w:p>
    <w:p/>
    <w:p/>
    <w:p/>
    <w:p/>
    <w:p>
      <w:pPr>
        <w:pStyle w:val="10"/>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3</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5</w:t>
      </w:r>
      <w:r>
        <w:rPr>
          <w:rFonts w:hint="eastAsia" w:ascii="仿宋" w:eastAsia="仿宋"/>
          <w:sz w:val="28"/>
          <w:szCs w:val="28"/>
        </w:rPr>
        <w:fldChar w:fldCharType="end"/>
      </w:r>
    </w:p>
    <w:p>
      <w:pPr>
        <w:pStyle w:val="10"/>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5</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5</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0</w:t>
      </w:r>
    </w:p>
    <w:p>
      <w:pPr>
        <w:pStyle w:val="11"/>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1"/>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1"/>
        <w:ind w:left="420"/>
      </w:pPr>
      <w:r>
        <w:rPr>
          <w:rStyle w:val="15"/>
          <w:rFonts w:hint="eastAsia" w:ascii="仿宋" w:eastAsia="仿宋"/>
          <w:bCs/>
          <w:sz w:val="28"/>
          <w:szCs w:val="28"/>
        </w:rPr>
        <w:t xml:space="preserve"> 十、预算绩效情况说明..................................12</w:t>
      </w:r>
    </w:p>
    <w:p>
      <w:pPr>
        <w:pStyle w:val="11"/>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4</w:t>
      </w:r>
    </w:p>
    <w:p>
      <w:pPr>
        <w:pStyle w:val="10"/>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1</w:t>
      </w:r>
      <w:r>
        <w:rPr>
          <w:rFonts w:hint="eastAsia"/>
        </w:rPr>
        <w:fldChar w:fldCharType="end"/>
      </w:r>
      <w:r>
        <w:rPr>
          <w:rFonts w:hint="eastAsia"/>
        </w:rPr>
        <w:t>4</w:t>
      </w:r>
    </w:p>
    <w:p>
      <w:pPr>
        <w:widowControl/>
        <w:jc w:val="left"/>
        <w:rPr>
          <w:rFonts w:ascii="黑体" w:eastAsia="黑体"/>
          <w:bCs/>
          <w:kern w:val="44"/>
          <w:sz w:val="44"/>
          <w:szCs w:val="44"/>
        </w:rPr>
      </w:pPr>
      <w:r>
        <w:rPr>
          <w:rFonts w:ascii="仿宋" w:eastAsia="仿宋"/>
          <w:color w:val="000000"/>
          <w:sz w:val="24"/>
        </w:rPr>
        <w:fldChar w:fldCharType="end"/>
      </w:r>
      <w:bookmarkStart w:id="12" w:name="_Toc15377196"/>
      <w:bookmarkStart w:id="13" w:name="_Toc15396599"/>
    </w:p>
    <w:p>
      <w:pPr>
        <w:pStyle w:val="2"/>
        <w:jc w:val="center"/>
        <w:rPr>
          <w:rFonts w:ascii="黑体" w:eastAsia="黑体"/>
          <w:color w:val="000000"/>
          <w:sz w:val="32"/>
          <w:szCs w:val="32"/>
        </w:rPr>
      </w:pPr>
      <w:r>
        <w:rPr>
          <w:rFonts w:hint="eastAsia" w:ascii="黑体" w:eastAsia="黑体"/>
          <w:b w:val="0"/>
        </w:rPr>
        <w:t xml:space="preserve">第一部分 </w:t>
      </w:r>
      <w:r>
        <w:rPr>
          <w:rStyle w:val="16"/>
          <w:rFonts w:hint="eastAsia" w:ascii="黑体" w:eastAsia="黑体"/>
          <w:b w:val="0"/>
          <w:bCs w:val="0"/>
        </w:rPr>
        <w:t>部门概况</w:t>
      </w:r>
      <w:bookmarkEnd w:id="12"/>
      <w:bookmarkEnd w:id="13"/>
    </w:p>
    <w:p>
      <w:pPr>
        <w:pStyle w:val="3"/>
        <w:spacing w:before="0" w:after="0" w:line="240" w:lineRule="auto"/>
        <w:ind w:left="640" w:hanging="640" w:hangingChars="200"/>
        <w:rPr>
          <w:rStyle w:val="17"/>
          <w:rFonts w:ascii="黑体" w:eastAsia="黑体"/>
          <w:b w:val="0"/>
          <w:bCs w:val="0"/>
        </w:rPr>
      </w:pPr>
      <w:bookmarkStart w:id="14" w:name="_Toc15396600"/>
      <w:bookmarkStart w:id="15" w:name="_Toc15377197"/>
      <w:r>
        <w:rPr>
          <w:rFonts w:hint="eastAsia" w:ascii="黑体" w:eastAsia="黑体"/>
          <w:b w:val="0"/>
          <w:color w:val="000000"/>
        </w:rPr>
        <w:t>一、基</w:t>
      </w:r>
      <w:r>
        <w:rPr>
          <w:rStyle w:val="17"/>
          <w:rFonts w:hint="eastAsia" w:ascii="黑体" w:eastAsia="黑体"/>
          <w:b w:val="0"/>
          <w:bCs w:val="0"/>
        </w:rPr>
        <w:t>本职能及主要工作</w:t>
      </w:r>
      <w:bookmarkEnd w:id="14"/>
      <w:bookmarkEnd w:id="15"/>
      <w:bookmarkStart w:id="16" w:name="_Toc15378445"/>
      <w:bookmarkStart w:id="17" w:name="_Toc15377198"/>
    </w:p>
    <w:p>
      <w:pPr>
        <w:pStyle w:val="3"/>
        <w:spacing w:before="0" w:after="0" w:line="240" w:lineRule="auto"/>
        <w:ind w:left="640" w:leftChars="305"/>
        <w:rPr>
          <w:rFonts w:ascii="楷体" w:eastAsia="楷体" w:cs="楷体"/>
          <w:color w:val="000000"/>
        </w:rPr>
      </w:pPr>
      <w:r>
        <w:rPr>
          <w:rFonts w:hint="eastAsia" w:ascii="楷体" w:eastAsia="楷体" w:cs="楷体"/>
          <w:color w:val="000000"/>
        </w:rPr>
        <w:t>（一）主要职能</w:t>
      </w:r>
      <w:bookmarkEnd w:id="16"/>
      <w:bookmarkEnd w:id="17"/>
      <w:bookmarkStart w:id="18" w:name="_Toc15378446"/>
      <w:bookmarkStart w:id="19" w:name="_Toc15377199"/>
    </w:p>
    <w:p>
      <w:pPr>
        <w:ind w:firstLine="640" w:firstLineChars="200"/>
        <w:rPr>
          <w:rFonts w:ascii="仿宋" w:hAnsi="仿宋" w:eastAsia="仿宋" w:cs="仿宋"/>
          <w:sz w:val="32"/>
          <w:szCs w:val="32"/>
        </w:rPr>
      </w:pPr>
      <w:r>
        <w:rPr>
          <w:rFonts w:hint="eastAsia" w:ascii="仿宋" w:hAnsi="仿宋" w:eastAsia="仿宋" w:cs="仿宋"/>
          <w:sz w:val="32"/>
          <w:szCs w:val="32"/>
        </w:rPr>
        <w:t>（一）根据党的路线方针政策和中央、省委、州委和县委的部署，研究制定贯彻落实的具体措施，统一政法各部门的思想和行动。</w:t>
      </w:r>
    </w:p>
    <w:p>
      <w:pPr>
        <w:ind w:firstLine="640" w:firstLineChars="200"/>
        <w:rPr>
          <w:rFonts w:ascii="仿宋" w:hAnsi="仿宋" w:eastAsia="仿宋" w:cs="仿宋"/>
          <w:sz w:val="32"/>
          <w:szCs w:val="32"/>
        </w:rPr>
      </w:pPr>
      <w:r>
        <w:rPr>
          <w:rFonts w:hint="eastAsia" w:ascii="仿宋" w:hAnsi="仿宋" w:eastAsia="仿宋" w:cs="仿宋"/>
          <w:sz w:val="32"/>
          <w:szCs w:val="32"/>
        </w:rPr>
        <w:t>（二）组织、指导维护社会稳定工作，掌握和分析社会稳定情况，协调处理突发性事件和群体性事件。</w:t>
      </w:r>
    </w:p>
    <w:p>
      <w:pPr>
        <w:ind w:firstLine="640" w:firstLineChars="200"/>
        <w:rPr>
          <w:rFonts w:ascii="仿宋" w:hAnsi="仿宋" w:eastAsia="仿宋" w:cs="仿宋"/>
          <w:sz w:val="32"/>
          <w:szCs w:val="32"/>
        </w:rPr>
      </w:pPr>
      <w:r>
        <w:rPr>
          <w:rFonts w:hint="eastAsia" w:ascii="仿宋" w:hAnsi="仿宋" w:eastAsia="仿宋" w:cs="仿宋"/>
          <w:sz w:val="32"/>
          <w:szCs w:val="32"/>
        </w:rPr>
        <w:t>（三）检查政法部门公正廉洁执法的情况，结合实际，研究制定促进公正廉洁执法的具体办法。</w:t>
      </w:r>
    </w:p>
    <w:p>
      <w:pPr>
        <w:ind w:firstLine="640" w:firstLineChars="200"/>
        <w:rPr>
          <w:rFonts w:ascii="仿宋" w:hAnsi="仿宋" w:eastAsia="仿宋" w:cs="仿宋"/>
          <w:sz w:val="32"/>
          <w:szCs w:val="32"/>
        </w:rPr>
      </w:pPr>
      <w:r>
        <w:rPr>
          <w:rFonts w:hint="eastAsia" w:ascii="仿宋" w:hAnsi="仿宋" w:eastAsia="仿宋" w:cs="仿宋"/>
          <w:sz w:val="32"/>
          <w:szCs w:val="32"/>
        </w:rPr>
        <w:t>（四）大力支持和严格监督政法各部门依法行使职权，指导和协调政法各部门在依法相互制约的同时密切配合，督促大案要案的查处工作。</w:t>
      </w:r>
    </w:p>
    <w:p>
      <w:pPr>
        <w:ind w:firstLine="640" w:firstLineChars="200"/>
        <w:rPr>
          <w:rFonts w:ascii="仿宋" w:hAnsi="仿宋" w:eastAsia="仿宋" w:cs="仿宋"/>
          <w:sz w:val="32"/>
          <w:szCs w:val="32"/>
        </w:rPr>
      </w:pPr>
      <w:r>
        <w:rPr>
          <w:rFonts w:hint="eastAsia" w:ascii="仿宋" w:hAnsi="仿宋" w:eastAsia="仿宋" w:cs="仿宋"/>
          <w:sz w:val="32"/>
          <w:szCs w:val="32"/>
        </w:rPr>
        <w:t>（五）组织、协调社会治安综合治理工作，落实平安建设措施，推进社会管理创新，营造安定的社会环境。</w:t>
      </w:r>
    </w:p>
    <w:p>
      <w:pPr>
        <w:ind w:firstLine="640" w:firstLineChars="200"/>
        <w:rPr>
          <w:rFonts w:ascii="仿宋" w:hAnsi="仿宋" w:eastAsia="仿宋" w:cs="仿宋"/>
          <w:sz w:val="32"/>
          <w:szCs w:val="32"/>
        </w:rPr>
      </w:pPr>
      <w:r>
        <w:rPr>
          <w:rFonts w:hint="eastAsia" w:ascii="仿宋" w:hAnsi="仿宋" w:eastAsia="仿宋" w:cs="仿宋"/>
          <w:sz w:val="32"/>
          <w:szCs w:val="32"/>
        </w:rPr>
        <w:t>（六）组织构建大调解工作体系，排查化解矛盾隐患，指导、协调、督促政法部门做好涉法涉诉信访工作。</w:t>
      </w:r>
    </w:p>
    <w:p>
      <w:pPr>
        <w:ind w:firstLine="640" w:firstLineChars="200"/>
        <w:rPr>
          <w:rFonts w:ascii="仿宋" w:hAnsi="仿宋" w:eastAsia="仿宋" w:cs="仿宋"/>
          <w:sz w:val="32"/>
          <w:szCs w:val="32"/>
        </w:rPr>
      </w:pPr>
      <w:r>
        <w:rPr>
          <w:rFonts w:hint="eastAsia" w:ascii="仿宋" w:hAnsi="仿宋" w:eastAsia="仿宋" w:cs="仿宋"/>
          <w:sz w:val="32"/>
          <w:szCs w:val="32"/>
        </w:rPr>
        <w:t>（七）组织、协调处理“法轮功”、“门徒会”等邪教组织和对社会有危害的气功组织问题的工作，分析研究邪教组织活动情况，及时提出防范处理的意见，督促、协调有关决定和措施的落实</w:t>
      </w:r>
      <w:r>
        <w:rPr>
          <w:rFonts w:hint="eastAsia" w:ascii="仿宋" w:hAnsi="仿宋" w:eastAsia="仿宋" w:cs="仿宋"/>
          <w:sz w:val="32"/>
          <w:szCs w:val="32"/>
          <w:lang w:eastAsia="zh-CN"/>
        </w:rPr>
        <w:t>，</w:t>
      </w:r>
      <w:bookmarkStart w:id="59" w:name="_GoBack"/>
      <w:bookmarkEnd w:id="59"/>
      <w:r>
        <w:rPr>
          <w:rFonts w:hint="eastAsia" w:ascii="仿宋" w:hAnsi="仿宋" w:eastAsia="仿宋" w:cs="仿宋"/>
          <w:sz w:val="32"/>
          <w:szCs w:val="32"/>
        </w:rPr>
        <w:t>加强扫黑除恶工作。</w:t>
      </w:r>
    </w:p>
    <w:p>
      <w:pPr>
        <w:ind w:firstLine="640" w:firstLineChars="200"/>
        <w:rPr>
          <w:rFonts w:ascii="仿宋" w:hAnsi="仿宋" w:eastAsia="仿宋" w:cs="仿宋"/>
          <w:sz w:val="32"/>
          <w:szCs w:val="32"/>
        </w:rPr>
      </w:pPr>
      <w:r>
        <w:rPr>
          <w:rFonts w:hint="eastAsia" w:ascii="仿宋" w:hAnsi="仿宋" w:eastAsia="仿宋" w:cs="仿宋"/>
          <w:sz w:val="32"/>
          <w:szCs w:val="32"/>
        </w:rPr>
        <w:t>（八）研究加强政法队伍建设和领导班子建设的措施，协助党委及其组织部门考察、管理政法部门的领导干部。</w:t>
      </w:r>
    </w:p>
    <w:p>
      <w:pPr>
        <w:ind w:firstLine="640" w:firstLineChars="200"/>
        <w:rPr>
          <w:rFonts w:ascii="仿宋" w:hAnsi="仿宋" w:eastAsia="仿宋" w:cs="仿宋"/>
          <w:sz w:val="32"/>
          <w:szCs w:val="32"/>
        </w:rPr>
      </w:pPr>
      <w:r>
        <w:rPr>
          <w:rFonts w:hint="eastAsia" w:ascii="仿宋" w:hAnsi="仿宋" w:eastAsia="仿宋" w:cs="仿宋"/>
          <w:sz w:val="32"/>
          <w:szCs w:val="32"/>
        </w:rPr>
        <w:t>（九）组织、推动政法部门开展党风廉政建设，协助纪检部门查处违纪违法行为。</w:t>
      </w:r>
    </w:p>
    <w:p>
      <w:pPr>
        <w:ind w:firstLine="640" w:firstLineChars="200"/>
        <w:rPr>
          <w:rFonts w:ascii="仿宋" w:hAnsi="仿宋" w:eastAsia="仿宋" w:cs="仿宋"/>
          <w:sz w:val="32"/>
          <w:szCs w:val="32"/>
        </w:rPr>
      </w:pPr>
      <w:r>
        <w:rPr>
          <w:rFonts w:hint="eastAsia" w:ascii="仿宋" w:hAnsi="仿宋" w:eastAsia="仿宋" w:cs="仿宋"/>
          <w:sz w:val="32"/>
          <w:szCs w:val="32"/>
        </w:rPr>
        <w:t>（十）研究分析涉及政法工作的舆论情况和影响社会稳定的舆情信息，指导、协调政法宣传、舆论引导和法律服务工作。对重点工作或政法工作中的困难问题进行调研。</w:t>
      </w:r>
    </w:p>
    <w:p>
      <w:pPr>
        <w:ind w:firstLine="640" w:firstLineChars="200"/>
        <w:rPr>
          <w:rFonts w:ascii="仿宋" w:hAnsi="仿宋" w:eastAsia="仿宋" w:cs="仿宋"/>
          <w:sz w:val="32"/>
          <w:szCs w:val="32"/>
        </w:rPr>
      </w:pPr>
      <w:r>
        <w:rPr>
          <w:rFonts w:hint="eastAsia" w:ascii="仿宋" w:hAnsi="仿宋" w:eastAsia="仿宋" w:cs="仿宋"/>
          <w:sz w:val="32"/>
          <w:szCs w:val="32"/>
        </w:rPr>
        <w:t>（十一）及时向县委反映政法工作的重大情况，办理县委和上级党委政法委交办的其他事项。</w:t>
      </w:r>
    </w:p>
    <w:p>
      <w:pPr>
        <w:pStyle w:val="3"/>
        <w:spacing w:before="0" w:after="0" w:line="240" w:lineRule="auto"/>
        <w:ind w:firstLine="321" w:firstLineChars="100"/>
        <w:rPr>
          <w:rFonts w:ascii="楷体" w:eastAsia="楷体" w:cs="楷体"/>
        </w:rPr>
      </w:pPr>
      <w:r>
        <w:rPr>
          <w:rFonts w:hint="eastAsia" w:ascii="楷体" w:eastAsia="楷体" w:cs="楷体"/>
        </w:rPr>
        <w:t>（二）2020年重点工作完成情况</w:t>
      </w:r>
      <w:bookmarkEnd w:id="18"/>
      <w:bookmarkEnd w:id="19"/>
    </w:p>
    <w:p>
      <w:pPr>
        <w:tabs>
          <w:tab w:val="left" w:pos="0"/>
        </w:tabs>
        <w:spacing w:line="578" w:lineRule="exact"/>
        <w:ind w:left="420" w:leftChars="200" w:firstLine="640" w:firstLineChars="200"/>
        <w:rPr>
          <w:rFonts w:ascii="仿宋_GB2312" w:eastAsia="仿宋_GB2312"/>
          <w:color w:val="FF0000"/>
          <w:sz w:val="32"/>
          <w:szCs w:val="32"/>
        </w:rPr>
      </w:pPr>
      <w:bookmarkStart w:id="20" w:name="_Toc15377200"/>
      <w:bookmarkStart w:id="21" w:name="_Toc15396601"/>
      <w:r>
        <w:rPr>
          <w:rFonts w:hint="eastAsia" w:ascii="仿宋" w:hAnsi="仿宋" w:eastAsia="仿宋" w:cs="仿宋"/>
          <w:sz w:val="32"/>
          <w:szCs w:val="32"/>
        </w:rPr>
        <w:t>2020年度，政法、维稳、综治、防邪、扫黑除恶工作、大调解工作县委、县政府高度重视，将其纳入重要议事日程。年初制定各项工作方案，协同各单位，组织大量人力参与，全县政法、维稳、综治、防邪、大调解工作，得到县委政府的充分肯定。出色完成了全国“两会”等7个敏感节点的维稳工作；全县各级各部门共排查化解各类矛盾纠纷，成功化解矛盾纠纷，成功率达96.2%，有力地促进了全县社会和谐稳定；在全县22个乡镇建立了网格化服务管理平台，实现了全覆盖，共划分128个网格，落实128名网格员，共处理事件18818件，保证了网格化各项工作顺利推进；成立工作组赴壤塘、炉霍、道孚3县开展了边际联防协作活动，使我县在推进边际联防协作制度化、长效化建设上又迈出了突破性的一步；</w:t>
      </w:r>
      <w:r>
        <w:rPr>
          <w:rFonts w:hint="eastAsia" w:ascii="仿宋" w:hAnsi="仿宋" w:eastAsia="仿宋" w:cs="仿宋"/>
          <w:kern w:val="0"/>
          <w:sz w:val="32"/>
          <w:szCs w:val="32"/>
        </w:rPr>
        <w:t>积极筹建“雪亮工程”，</w:t>
      </w:r>
      <w:r>
        <w:rPr>
          <w:rFonts w:hint="eastAsia" w:ascii="仿宋" w:hAnsi="仿宋" w:eastAsia="仿宋" w:cs="仿宋"/>
          <w:sz w:val="32"/>
          <w:szCs w:val="32"/>
        </w:rPr>
        <w:t>将勒乌镇龙河村和安顺村作为试点，完成了39个监控点位的踩点和</w:t>
      </w:r>
      <w:r>
        <w:rPr>
          <w:rFonts w:hint="eastAsia" w:ascii="仿宋" w:hAnsi="仿宋" w:eastAsia="仿宋" w:cs="仿宋"/>
          <w:sz w:val="32"/>
          <w:szCs w:val="32"/>
          <w:lang w:eastAsia="zh-CN"/>
        </w:rPr>
        <w:t>布局</w:t>
      </w:r>
      <w:r>
        <w:rPr>
          <w:rFonts w:hint="eastAsia" w:ascii="仿宋" w:hAnsi="仿宋" w:eastAsia="仿宋" w:cs="仿宋"/>
          <w:sz w:val="32"/>
          <w:szCs w:val="32"/>
        </w:rPr>
        <w:t>；以专案攻坚和综合整治为抓手，严厉打击各类违法犯罪，持续开展治安清查整治行动，加强重点场所和部位的巡逻防控，提高破获各类案件力度，</w:t>
      </w:r>
      <w:r>
        <w:rPr>
          <w:rFonts w:hint="eastAsia" w:ascii="仿宋" w:hAnsi="仿宋" w:eastAsia="仿宋" w:cs="仿宋"/>
          <w:bCs/>
          <w:sz w:val="32"/>
          <w:szCs w:val="32"/>
          <w:lang w:val="zh-CN"/>
        </w:rPr>
        <w:t>提高了法律威慑力。</w:t>
      </w:r>
    </w:p>
    <w:p>
      <w:pPr>
        <w:spacing w:line="578" w:lineRule="exact"/>
        <w:ind w:firstLine="640" w:firstLineChars="200"/>
        <w:rPr>
          <w:rStyle w:val="17"/>
          <w:b w:val="0"/>
          <w:bCs w:val="0"/>
        </w:rPr>
      </w:pPr>
      <w:r>
        <w:rPr>
          <w:rStyle w:val="17"/>
          <w:rFonts w:hint="eastAsia" w:ascii="黑体" w:eastAsia="黑体"/>
          <w:b w:val="0"/>
          <w:bCs w:val="0"/>
        </w:rPr>
        <w:t>二、机构设置</w:t>
      </w:r>
      <w:bookmarkEnd w:id="20"/>
      <w:bookmarkEnd w:id="21"/>
    </w:p>
    <w:p>
      <w:pPr>
        <w:ind w:firstLine="1280" w:firstLineChars="400"/>
        <w:rPr>
          <w:rFonts w:ascii="仿宋" w:hAnsi="仿宋" w:eastAsia="仿宋"/>
          <w:color w:val="FF0000"/>
          <w:kern w:val="0"/>
          <w:sz w:val="32"/>
          <w:szCs w:val="32"/>
        </w:rPr>
      </w:pPr>
      <w:r>
        <w:rPr>
          <w:rFonts w:hint="eastAsia" w:ascii="仿宋" w:hAnsi="仿宋" w:eastAsia="仿宋" w:cs="仿宋"/>
          <w:sz w:val="32"/>
          <w:szCs w:val="32"/>
        </w:rPr>
        <w:t>2020年独立编制机构数1个。</w:t>
      </w:r>
    </w:p>
    <w:p>
      <w:pPr>
        <w:pStyle w:val="2"/>
        <w:ind w:right="440"/>
        <w:jc w:val="right"/>
      </w:pPr>
      <w:bookmarkStart w:id="22" w:name="_Toc15396602"/>
      <w:bookmarkStart w:id="23" w:name="_Toc15377204"/>
      <w:r>
        <w:rPr>
          <w:rFonts w:hint="eastAsia" w:ascii="黑体" w:eastAsia="黑体"/>
          <w:b w:val="0"/>
        </w:rPr>
        <w:t>第二部分</w:t>
      </w:r>
      <w:r>
        <w:rPr>
          <w:rFonts w:hint="eastAsia" w:ascii="黑体" w:eastAsia="黑体"/>
        </w:rPr>
        <w:t xml:space="preserve"> </w:t>
      </w:r>
      <w:r>
        <w:rPr>
          <w:rStyle w:val="16"/>
          <w:rFonts w:hint="eastAsia" w:ascii="黑体" w:eastAsia="黑体"/>
          <w:b w:val="0"/>
          <w:bCs w:val="0"/>
        </w:rPr>
        <w:t>2020年度部门决算情况说明</w:t>
      </w:r>
      <w:bookmarkEnd w:id="22"/>
      <w:bookmarkEnd w:id="23"/>
    </w:p>
    <w:p>
      <w:pPr>
        <w:pStyle w:val="22"/>
        <w:ind w:firstLine="640"/>
        <w:outlineLvl w:val="1"/>
        <w:rPr>
          <w:rStyle w:val="17"/>
          <w:rFonts w:ascii="黑体" w:eastAsia="黑体"/>
          <w:b w:val="0"/>
        </w:rPr>
      </w:pPr>
      <w:bookmarkStart w:id="24" w:name="_Toc15377205"/>
      <w:bookmarkStart w:id="25" w:name="_Toc15396603"/>
      <w:r>
        <w:rPr>
          <w:rFonts w:hint="eastAsia" w:ascii="黑体" w:eastAsia="黑体"/>
          <w:sz w:val="32"/>
          <w:szCs w:val="32"/>
        </w:rPr>
        <w:t>一、收</w:t>
      </w:r>
      <w:r>
        <w:rPr>
          <w:rStyle w:val="17"/>
          <w:rFonts w:hint="eastAsia" w:ascii="黑体" w:eastAsia="黑体"/>
          <w:b w:val="0"/>
        </w:rPr>
        <w:t>入支出决算总体情况说明</w:t>
      </w:r>
      <w:bookmarkEnd w:id="24"/>
      <w:bookmarkEnd w:id="25"/>
    </w:p>
    <w:p>
      <w:pPr>
        <w:snapToGrid w:val="0"/>
        <w:spacing w:line="360" w:lineRule="auto"/>
        <w:ind w:firstLine="960" w:firstLineChars="300"/>
        <w:outlineLvl w:val="0"/>
        <w:rPr>
          <w:rFonts w:ascii="仿宋_GB2312" w:eastAsia="仿宋_GB2312"/>
          <w:color w:val="000000"/>
          <w:sz w:val="32"/>
          <w:szCs w:val="32"/>
        </w:rPr>
      </w:pPr>
      <w:r>
        <w:rPr>
          <w:rFonts w:hint="eastAsia" w:ascii="仿宋_GB2312" w:eastAsia="仿宋_GB2312"/>
          <w:sz w:val="32"/>
          <w:szCs w:val="32"/>
        </w:rPr>
        <w:t>2020年总收入691.14万元，</w:t>
      </w:r>
      <w:r>
        <w:rPr>
          <w:rFonts w:hint="eastAsia" w:ascii="仿宋_GB2312" w:eastAsia="仿宋_GB2312"/>
          <w:spacing w:val="-2"/>
          <w:sz w:val="32"/>
          <w:szCs w:val="32"/>
        </w:rPr>
        <w:t>较上年收入增加152.83万元，增加28.39%。增加的主要原因是2020年</w:t>
      </w:r>
      <w:r>
        <w:rPr>
          <w:rFonts w:hint="eastAsia" w:ascii="仿宋_GB2312" w:eastAsia="仿宋_GB2312"/>
          <w:color w:val="000000"/>
          <w:sz w:val="32"/>
          <w:szCs w:val="32"/>
        </w:rPr>
        <w:t>人员增加，办公经费增加。</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2020年总支出721.14万元，</w:t>
      </w:r>
      <w:r>
        <w:rPr>
          <w:rFonts w:hint="eastAsia" w:ascii="仿宋_GB2312" w:eastAsia="仿宋_GB2312"/>
          <w:spacing w:val="-2"/>
          <w:sz w:val="32"/>
          <w:szCs w:val="32"/>
        </w:rPr>
        <w:t>较上年支出</w:t>
      </w:r>
      <w:r>
        <w:rPr>
          <w:rFonts w:hint="eastAsia" w:ascii="仿宋_GB2312" w:eastAsia="仿宋_GB2312"/>
          <w:color w:val="000000"/>
          <w:sz w:val="32"/>
          <w:szCs w:val="32"/>
        </w:rPr>
        <w:t>增加59.81万元，增加</w:t>
      </w:r>
      <w:r>
        <w:rPr>
          <w:rFonts w:hint="eastAsia" w:ascii="仿宋_GB2312" w:eastAsia="仿宋_GB2312"/>
          <w:sz w:val="32"/>
          <w:szCs w:val="32"/>
        </w:rPr>
        <w:t>9.04%。</w:t>
      </w:r>
      <w:r>
        <w:rPr>
          <w:rFonts w:hint="eastAsia" w:ascii="仿宋_GB2312" w:eastAsia="仿宋_GB2312"/>
          <w:spacing w:val="-2"/>
          <w:sz w:val="32"/>
          <w:szCs w:val="32"/>
        </w:rPr>
        <w:t>主要原因</w:t>
      </w:r>
      <w:r>
        <w:rPr>
          <w:rFonts w:hint="eastAsia" w:ascii="仿宋_GB2312" w:eastAsia="仿宋_GB2312"/>
          <w:sz w:val="32"/>
          <w:szCs w:val="32"/>
        </w:rPr>
        <w:t>人员经费增加、增加维稳和扫黑除恶经费。</w:t>
      </w:r>
    </w:p>
    <w:p>
      <w:pPr>
        <w:snapToGrid w:val="0"/>
        <w:spacing w:line="520" w:lineRule="exact"/>
        <w:ind w:firstLine="640" w:firstLineChars="200"/>
        <w:rPr>
          <w:rFonts w:ascii="仿宋" w:eastAsia="仿宋"/>
          <w:color w:val="FF0000"/>
          <w:sz w:val="32"/>
          <w:szCs w:val="32"/>
        </w:rPr>
      </w:pPr>
    </w:p>
    <w:p>
      <w:pPr>
        <w:spacing w:line="600" w:lineRule="exact"/>
        <w:ind w:firstLine="640" w:firstLineChars="200"/>
        <w:rPr>
          <w:rFonts w:ascii="黑体" w:eastAsia="黑体"/>
          <w:sz w:val="32"/>
          <w:szCs w:val="32"/>
        </w:rPr>
      </w:pPr>
      <w:bookmarkStart w:id="26" w:name="_Toc15377206"/>
      <w:bookmarkStart w:id="27" w:name="_Toc15396604"/>
    </w:p>
    <w:p>
      <w:pPr>
        <w:spacing w:line="600" w:lineRule="exact"/>
        <w:ind w:firstLine="640" w:firstLineChars="200"/>
        <w:rPr>
          <w:rFonts w:ascii="黑体" w:eastAsia="黑体"/>
          <w:sz w:val="32"/>
          <w:szCs w:val="32"/>
        </w:rPr>
      </w:pPr>
    </w:p>
    <w:p>
      <w:pPr>
        <w:spacing w:line="600" w:lineRule="exact"/>
        <w:ind w:firstLine="640" w:firstLineChars="200"/>
        <w:rPr>
          <w:rFonts w:ascii="黑体" w:eastAsia="黑体"/>
          <w:sz w:val="32"/>
          <w:szCs w:val="32"/>
        </w:rPr>
      </w:pPr>
    </w:p>
    <w:p>
      <w:pPr>
        <w:spacing w:line="600" w:lineRule="exact"/>
        <w:ind w:firstLine="640" w:firstLineChars="200"/>
        <w:rPr>
          <w:rFonts w:ascii="黑体" w:eastAsia="黑体"/>
          <w:sz w:val="32"/>
          <w:szCs w:val="32"/>
        </w:rPr>
      </w:pPr>
    </w:p>
    <w:p>
      <w:pPr>
        <w:spacing w:line="600" w:lineRule="exact"/>
        <w:ind w:firstLine="640" w:firstLineChars="200"/>
        <w:rPr>
          <w:rFonts w:ascii="黑体" w:eastAsia="黑体"/>
          <w:sz w:val="32"/>
          <w:szCs w:val="32"/>
        </w:rPr>
      </w:pPr>
    </w:p>
    <w:p>
      <w:pPr>
        <w:spacing w:line="600" w:lineRule="exact"/>
        <w:ind w:firstLine="420" w:firstLineChars="200"/>
        <w:rPr>
          <w:rFonts w:ascii="黑体" w:eastAsia="黑体"/>
          <w:sz w:val="32"/>
          <w:szCs w:val="32"/>
        </w:rPr>
      </w:pPr>
      <w:r>
        <w:drawing>
          <wp:anchor distT="0" distB="0" distL="114300" distR="114300" simplePos="0" relativeHeight="251665408" behindDoc="0" locked="0" layoutInCell="1" allowOverlap="1">
            <wp:simplePos x="0" y="0"/>
            <wp:positionH relativeFrom="column">
              <wp:posOffset>271145</wp:posOffset>
            </wp:positionH>
            <wp:positionV relativeFrom="paragraph">
              <wp:posOffset>-2186305</wp:posOffset>
            </wp:positionV>
            <wp:extent cx="4572000" cy="2481580"/>
            <wp:effectExtent l="4445" t="4445" r="14605" b="9525"/>
            <wp:wrapSquare wrapText="bothSides"/>
            <wp:docPr id="13"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Style w:val="17"/>
          <w:rFonts w:ascii="黑体" w:eastAsia="黑体"/>
          <w:b w:val="0"/>
        </w:rPr>
      </w:pPr>
      <w:r>
        <w:rPr>
          <w:rFonts w:hint="eastAsia" w:ascii="黑体" w:eastAsia="黑体"/>
          <w:sz w:val="32"/>
          <w:szCs w:val="32"/>
        </w:rPr>
        <w:t>二、收入决</w:t>
      </w:r>
      <w:r>
        <w:rPr>
          <w:rStyle w:val="17"/>
          <w:rFonts w:hint="eastAsia" w:ascii="黑体" w:eastAsia="黑体"/>
          <w:b w:val="0"/>
        </w:rPr>
        <w:t>算情况说明</w:t>
      </w:r>
      <w:bookmarkEnd w:id="26"/>
      <w:bookmarkEnd w:id="27"/>
    </w:p>
    <w:p>
      <w:pPr>
        <w:spacing w:line="600" w:lineRule="exact"/>
        <w:ind w:firstLine="640" w:firstLineChars="200"/>
        <w:outlineLvl w:val="1"/>
        <w:rPr>
          <w:rFonts w:ascii="仿宋" w:eastAsia="仿宋"/>
          <w:sz w:val="32"/>
          <w:szCs w:val="32"/>
        </w:rPr>
      </w:pPr>
      <w:r>
        <w:rPr>
          <w:rFonts w:hint="eastAsia" w:ascii="仿宋_GB2312" w:eastAsia="仿宋_GB2312"/>
          <w:color w:val="000000"/>
          <w:sz w:val="32"/>
          <w:szCs w:val="32"/>
        </w:rPr>
        <w:t>2020年</w:t>
      </w:r>
      <w:r>
        <w:rPr>
          <w:rFonts w:hint="eastAsia" w:ascii="仿宋_GB2312" w:eastAsia="仿宋_GB2312"/>
          <w:sz w:val="32"/>
          <w:szCs w:val="32"/>
        </w:rPr>
        <w:t>总</w:t>
      </w:r>
      <w:r>
        <w:rPr>
          <w:rFonts w:hint="eastAsia" w:ascii="仿宋_GB2312" w:eastAsia="仿宋_GB2312"/>
          <w:color w:val="000000"/>
          <w:sz w:val="32"/>
          <w:szCs w:val="32"/>
        </w:rPr>
        <w:t>收入691.14万元，</w:t>
      </w:r>
      <w:r>
        <w:rPr>
          <w:rFonts w:hint="eastAsia" w:ascii="仿宋" w:eastAsia="仿宋"/>
          <w:sz w:val="32"/>
          <w:szCs w:val="32"/>
        </w:rPr>
        <w:t>其中：一般公共预算财政拨款收入</w:t>
      </w:r>
      <w:r>
        <w:rPr>
          <w:rFonts w:hint="eastAsia" w:ascii="仿宋_GB2312" w:eastAsia="仿宋_GB2312"/>
          <w:sz w:val="32"/>
          <w:szCs w:val="32"/>
        </w:rPr>
        <w:t>691.14</w:t>
      </w:r>
      <w:r>
        <w:rPr>
          <w:rFonts w:hint="eastAsia" w:ascii="仿宋" w:eastAsia="仿宋"/>
          <w:sz w:val="32"/>
          <w:szCs w:val="32"/>
        </w:rPr>
        <w:t>万元，占100</w:t>
      </w:r>
      <w:r>
        <w:rPr>
          <w:rFonts w:ascii="仿宋" w:eastAsia="仿宋"/>
          <w:sz w:val="32"/>
          <w:szCs w:val="32"/>
        </w:rPr>
        <w:t>%</w:t>
      </w:r>
      <w:r>
        <w:rPr>
          <w:rFonts w:hint="eastAsia" w:ascii="仿宋" w:eastAsia="仿宋"/>
          <w:sz w:val="32"/>
          <w:szCs w:val="32"/>
        </w:rPr>
        <w:t>；政府性基金预算财政拨款收入0万元，占0</w:t>
      </w:r>
      <w:r>
        <w:rPr>
          <w:rFonts w:ascii="仿宋" w:eastAsia="仿宋"/>
          <w:sz w:val="32"/>
          <w:szCs w:val="32"/>
        </w:rPr>
        <w:t>%</w:t>
      </w:r>
      <w:r>
        <w:rPr>
          <w:rFonts w:hint="eastAsia" w:ascii="仿宋" w:eastAsia="仿宋"/>
          <w:sz w:val="32"/>
          <w:szCs w:val="32"/>
        </w:rPr>
        <w:t>；国有资本经营预算财政拨款收入0万元，占0</w:t>
      </w:r>
      <w:r>
        <w:rPr>
          <w:rFonts w:ascii="仿宋" w:eastAsia="仿宋"/>
          <w:sz w:val="32"/>
          <w:szCs w:val="32"/>
        </w:rPr>
        <w:t>%</w:t>
      </w:r>
      <w:r>
        <w:rPr>
          <w:rFonts w:hint="eastAsia" w:ascii="仿宋" w:eastAsia="仿宋"/>
          <w:sz w:val="32"/>
          <w:szCs w:val="32"/>
        </w:rPr>
        <w:t>；事业收入0万元，占0</w:t>
      </w:r>
      <w:r>
        <w:rPr>
          <w:rFonts w:ascii="仿宋" w:eastAsia="仿宋"/>
          <w:sz w:val="32"/>
          <w:szCs w:val="32"/>
        </w:rPr>
        <w:t>%</w:t>
      </w:r>
      <w:r>
        <w:rPr>
          <w:rFonts w:hint="eastAsia" w:ascii="仿宋" w:eastAsia="仿宋"/>
          <w:sz w:val="32"/>
          <w:szCs w:val="32"/>
        </w:rPr>
        <w:t>；经营收入0万元，占0</w:t>
      </w:r>
      <w:r>
        <w:rPr>
          <w:rFonts w:ascii="仿宋" w:eastAsia="仿宋"/>
          <w:sz w:val="32"/>
          <w:szCs w:val="32"/>
        </w:rPr>
        <w:t>%</w:t>
      </w:r>
      <w:r>
        <w:rPr>
          <w:rFonts w:hint="eastAsia" w:ascii="仿宋" w:eastAsia="仿宋"/>
          <w:sz w:val="32"/>
          <w:szCs w:val="32"/>
        </w:rPr>
        <w:t>；附属单位上缴收入0万元，占0</w:t>
      </w:r>
      <w:r>
        <w:rPr>
          <w:rFonts w:ascii="仿宋" w:eastAsia="仿宋"/>
          <w:sz w:val="32"/>
          <w:szCs w:val="32"/>
        </w:rPr>
        <w:t>%</w:t>
      </w:r>
      <w:r>
        <w:rPr>
          <w:rFonts w:hint="eastAsia" w:ascii="仿宋" w:eastAsia="仿宋"/>
          <w:sz w:val="32"/>
          <w:szCs w:val="32"/>
        </w:rPr>
        <w:t>；其他收入0万元，占0%。</w:t>
      </w:r>
    </w:p>
    <w:p>
      <w:pPr>
        <w:spacing w:line="600" w:lineRule="exact"/>
        <w:ind w:firstLine="640" w:firstLineChars="200"/>
        <w:outlineLvl w:val="1"/>
        <w:rPr>
          <w:rFonts w:ascii="黑体" w:eastAsia="黑体"/>
          <w:sz w:val="32"/>
          <w:szCs w:val="32"/>
        </w:rPr>
      </w:pPr>
      <w:bookmarkStart w:id="28" w:name="_Toc15396605"/>
      <w:bookmarkStart w:id="29" w:name="_Toc15377207"/>
    </w:p>
    <w:p>
      <w:pPr>
        <w:spacing w:line="600" w:lineRule="exact"/>
        <w:ind w:firstLine="640" w:firstLineChars="200"/>
        <w:outlineLvl w:val="1"/>
        <w:rPr>
          <w:rFonts w:ascii="黑体" w:eastAsia="黑体"/>
          <w:sz w:val="32"/>
          <w:szCs w:val="32"/>
        </w:rPr>
      </w:pPr>
    </w:p>
    <w:p>
      <w:pPr>
        <w:spacing w:line="600" w:lineRule="exact"/>
        <w:ind w:firstLine="640" w:firstLineChars="200"/>
        <w:outlineLvl w:val="1"/>
        <w:rPr>
          <w:rFonts w:ascii="黑体" w:eastAsia="黑体"/>
          <w:sz w:val="32"/>
          <w:szCs w:val="32"/>
        </w:rPr>
      </w:pPr>
    </w:p>
    <w:p>
      <w:pPr>
        <w:spacing w:line="600" w:lineRule="exact"/>
        <w:ind w:firstLine="640" w:firstLineChars="200"/>
        <w:outlineLvl w:val="1"/>
        <w:rPr>
          <w:rFonts w:ascii="黑体" w:eastAsia="黑体"/>
          <w:sz w:val="32"/>
          <w:szCs w:val="32"/>
        </w:rPr>
      </w:pPr>
    </w:p>
    <w:p>
      <w:pPr>
        <w:spacing w:line="600" w:lineRule="exact"/>
        <w:ind w:firstLine="640" w:firstLineChars="200"/>
        <w:outlineLvl w:val="1"/>
        <w:rPr>
          <w:rFonts w:ascii="黑体" w:eastAsia="黑体"/>
          <w:sz w:val="32"/>
          <w:szCs w:val="32"/>
        </w:rPr>
      </w:pPr>
    </w:p>
    <w:p>
      <w:pPr>
        <w:spacing w:line="600" w:lineRule="exact"/>
        <w:ind w:firstLine="420" w:firstLineChars="200"/>
        <w:outlineLvl w:val="1"/>
        <w:rPr>
          <w:rFonts w:ascii="黑体" w:eastAsia="黑体"/>
          <w:sz w:val="32"/>
          <w:szCs w:val="32"/>
        </w:rPr>
      </w:pPr>
      <w:r>
        <w:drawing>
          <wp:anchor distT="0" distB="0" distL="114300" distR="114300" simplePos="0" relativeHeight="251664384" behindDoc="0" locked="0" layoutInCell="1" allowOverlap="1">
            <wp:simplePos x="0" y="0"/>
            <wp:positionH relativeFrom="column">
              <wp:posOffset>271145</wp:posOffset>
            </wp:positionH>
            <wp:positionV relativeFrom="paragraph">
              <wp:posOffset>-1691005</wp:posOffset>
            </wp:positionV>
            <wp:extent cx="4572000" cy="1972945"/>
            <wp:effectExtent l="4445" t="4445" r="14605" b="22860"/>
            <wp:wrapSquare wrapText="bothSides"/>
            <wp:docPr id="12"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outlineLvl w:val="1"/>
        <w:rPr>
          <w:rStyle w:val="17"/>
          <w:rFonts w:ascii="黑体" w:eastAsia="黑体"/>
          <w:b w:val="0"/>
        </w:rPr>
      </w:pPr>
      <w:r>
        <w:rPr>
          <w:rFonts w:hint="eastAsia" w:ascii="黑体" w:eastAsia="黑体"/>
          <w:sz w:val="32"/>
          <w:szCs w:val="32"/>
        </w:rPr>
        <w:t>三、支出决</w:t>
      </w:r>
      <w:r>
        <w:rPr>
          <w:rStyle w:val="17"/>
          <w:rFonts w:hint="eastAsia" w:ascii="黑体" w:eastAsia="黑体"/>
          <w:b w:val="0"/>
        </w:rPr>
        <w:t>算情况说明</w:t>
      </w:r>
      <w:bookmarkEnd w:id="28"/>
      <w:bookmarkEnd w:id="29"/>
    </w:p>
    <w:p>
      <w:pPr>
        <w:spacing w:line="600" w:lineRule="exact"/>
        <w:ind w:firstLine="640"/>
        <w:rPr>
          <w:rFonts w:ascii="仿宋" w:eastAsia="仿宋"/>
          <w:sz w:val="32"/>
          <w:szCs w:val="32"/>
          <w:shd w:val="pct10" w:color="auto" w:fill="FFFFFF"/>
        </w:rPr>
      </w:pPr>
      <w:r>
        <w:rPr>
          <w:rFonts w:hint="eastAsia" w:ascii="仿宋_GB2312" w:eastAsia="仿宋_GB2312"/>
          <w:color w:val="000000"/>
          <w:sz w:val="32"/>
          <w:szCs w:val="32"/>
        </w:rPr>
        <w:t>2020年总支出721.14万元，</w:t>
      </w:r>
      <w:r>
        <w:rPr>
          <w:rFonts w:hint="eastAsia" w:ascii="仿宋" w:eastAsia="仿宋"/>
          <w:sz w:val="32"/>
          <w:szCs w:val="32"/>
        </w:rPr>
        <w:t>其中：基本支出495.61万元，占68.73%；项目支出225.53万元，占31.27%；上缴上级支出0万元，占0%；经营支出0万元，占0</w:t>
      </w:r>
      <w:r>
        <w:rPr>
          <w:rFonts w:ascii="仿宋" w:eastAsia="仿宋"/>
          <w:sz w:val="32"/>
          <w:szCs w:val="32"/>
        </w:rPr>
        <w:t>%</w:t>
      </w:r>
      <w:r>
        <w:rPr>
          <w:rFonts w:hint="eastAsia" w:ascii="仿宋" w:eastAsia="仿宋"/>
          <w:sz w:val="32"/>
          <w:szCs w:val="32"/>
        </w:rPr>
        <w:t>；对附属单位补助支出0万元，占0</w:t>
      </w:r>
      <w:r>
        <w:rPr>
          <w:rFonts w:ascii="仿宋" w:eastAsia="仿宋"/>
          <w:sz w:val="32"/>
          <w:szCs w:val="32"/>
        </w:rPr>
        <w:t>%</w:t>
      </w:r>
      <w:r>
        <w:rPr>
          <w:rFonts w:hint="eastAsia" w:ascii="仿宋" w:eastAsia="仿宋"/>
          <w:sz w:val="32"/>
          <w:szCs w:val="32"/>
        </w:rPr>
        <w:t>。</w: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3360" behindDoc="0" locked="0" layoutInCell="1" allowOverlap="1">
            <wp:simplePos x="0" y="0"/>
            <wp:positionH relativeFrom="column">
              <wp:posOffset>271780</wp:posOffset>
            </wp:positionH>
            <wp:positionV relativeFrom="paragraph">
              <wp:posOffset>-1805305</wp:posOffset>
            </wp:positionV>
            <wp:extent cx="4572000" cy="2100580"/>
            <wp:effectExtent l="5080" t="4445" r="13970" b="9525"/>
            <wp:wrapSquare wrapText="bothSides"/>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7"/>
          <w:rFonts w:ascii="黑体" w:eastAsia="黑体"/>
          <w:b w:val="0"/>
        </w:rPr>
      </w:pPr>
      <w:bookmarkStart w:id="30" w:name="_Toc15377208"/>
      <w:bookmarkStart w:id="31" w:name="_Toc15396606"/>
      <w:r>
        <w:rPr>
          <w:rFonts w:hint="eastAsia" w:ascii="黑体" w:eastAsia="黑体"/>
          <w:sz w:val="32"/>
          <w:szCs w:val="32"/>
        </w:rPr>
        <w:t>四、财</w:t>
      </w:r>
      <w:r>
        <w:rPr>
          <w:rStyle w:val="17"/>
          <w:rFonts w:hint="eastAsia" w:ascii="黑体" w:eastAsia="黑体"/>
          <w:b w:val="0"/>
        </w:rPr>
        <w:t>政拨款收入支出决算总体情况说明</w:t>
      </w:r>
      <w:bookmarkEnd w:id="30"/>
      <w:bookmarkEnd w:id="31"/>
    </w:p>
    <w:p>
      <w:pPr>
        <w:snapToGrid w:val="0"/>
        <w:spacing w:line="360" w:lineRule="auto"/>
        <w:ind w:firstLine="960" w:firstLineChars="300"/>
        <w:outlineLvl w:val="0"/>
        <w:rPr>
          <w:rFonts w:ascii="仿宋" w:eastAsia="仿宋"/>
          <w:color w:val="FF0000"/>
          <w:sz w:val="32"/>
          <w:szCs w:val="32"/>
        </w:rPr>
      </w:pPr>
      <w:r>
        <w:rPr>
          <w:rFonts w:hint="eastAsia" w:ascii="仿宋_GB2312" w:eastAsia="仿宋_GB2312"/>
          <w:color w:val="000000"/>
          <w:sz w:val="32"/>
          <w:szCs w:val="32"/>
        </w:rPr>
        <w:t>2020年</w:t>
      </w:r>
      <w:r>
        <w:rPr>
          <w:rFonts w:hint="eastAsia" w:ascii="仿宋" w:eastAsia="仿宋"/>
          <w:sz w:val="32"/>
          <w:szCs w:val="32"/>
        </w:rPr>
        <w:t>财政拨款收入</w:t>
      </w:r>
      <w:r>
        <w:rPr>
          <w:rFonts w:hint="eastAsia" w:ascii="仿宋_GB2312" w:eastAsia="仿宋_GB2312"/>
          <w:color w:val="000000"/>
          <w:sz w:val="32"/>
          <w:szCs w:val="32"/>
        </w:rPr>
        <w:t>691.14万元。</w:t>
      </w:r>
      <w:r>
        <w:rPr>
          <w:rFonts w:hint="eastAsia" w:ascii="仿宋" w:eastAsia="仿宋"/>
          <w:sz w:val="32"/>
          <w:szCs w:val="32"/>
        </w:rPr>
        <w:t>与2019年相比，一般公共预算财政拨款收入较上年增加152.83万元，增加28.39%。增加的主要原因是</w:t>
      </w:r>
      <w:r>
        <w:rPr>
          <w:rFonts w:hint="eastAsia" w:ascii="仿宋_GB2312" w:eastAsia="仿宋_GB2312"/>
          <w:spacing w:val="-2"/>
          <w:sz w:val="32"/>
          <w:szCs w:val="32"/>
        </w:rPr>
        <w:t>2020年</w:t>
      </w:r>
      <w:r>
        <w:rPr>
          <w:rFonts w:hint="eastAsia" w:ascii="仿宋_GB2312" w:eastAsia="仿宋_GB2312"/>
          <w:color w:val="000000"/>
          <w:sz w:val="32"/>
          <w:szCs w:val="32"/>
        </w:rPr>
        <w:t>人员增加，办公经费增加。</w:t>
      </w:r>
      <w:r>
        <w:rPr>
          <w:rFonts w:hint="eastAsia" w:ascii="仿宋" w:eastAsia="仿宋"/>
          <w:sz w:val="32"/>
          <w:szCs w:val="32"/>
        </w:rPr>
        <w:t>2020年财政拨款支出721.14万元，较上年支出增加59.81万元，增加9.04%</w:t>
      </w:r>
      <w:r>
        <w:rPr>
          <w:rFonts w:hint="eastAsia" w:ascii="仿宋_GB2312" w:eastAsia="仿宋_GB2312"/>
          <w:spacing w:val="-2"/>
          <w:sz w:val="32"/>
          <w:szCs w:val="32"/>
        </w:rPr>
        <w:t xml:space="preserve">。                                                       </w:t>
      </w:r>
    </w:p>
    <w:p>
      <w:pPr>
        <w:spacing w:line="600" w:lineRule="exact"/>
        <w:ind w:firstLine="640" w:firstLineChars="200"/>
        <w:rPr>
          <w:rStyle w:val="17"/>
          <w:rFonts w:ascii="黑体" w:eastAsia="黑体"/>
          <w:b w:val="0"/>
        </w:rPr>
      </w:pPr>
      <w:bookmarkStart w:id="32" w:name="_Toc15377209"/>
      <w:bookmarkStart w:id="33" w:name="_Toc15396607"/>
      <w:r>
        <w:rPr>
          <w:rFonts w:hint="eastAsia" w:ascii="黑体" w:eastAsia="黑体"/>
          <w:sz w:val="32"/>
          <w:szCs w:val="32"/>
        </w:rPr>
        <w:t>五、</w:t>
      </w:r>
      <w:r>
        <w:rPr>
          <w:rFonts w:hint="eastAsia" w:ascii="黑体" w:eastAsia="黑体"/>
          <w:b/>
          <w:sz w:val="32"/>
          <w:szCs w:val="32"/>
        </w:rPr>
        <w:t>一</w:t>
      </w:r>
      <w:r>
        <w:rPr>
          <w:rStyle w:val="17"/>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sz w:val="32"/>
          <w:szCs w:val="32"/>
        </w:rPr>
      </w:pPr>
      <w:bookmarkStart w:id="34" w:name="_Toc15377210"/>
      <w:r>
        <w:rPr>
          <w:rFonts w:hint="eastAsia" w:ascii="仿宋" w:eastAsia="仿宋"/>
          <w:b/>
          <w:sz w:val="32"/>
          <w:szCs w:val="32"/>
        </w:rPr>
        <w:t>（一）一般公共预算财政拨款支出决算总体情况</w:t>
      </w:r>
      <w:bookmarkEnd w:id="34"/>
    </w:p>
    <w:p>
      <w:pPr>
        <w:spacing w:line="600" w:lineRule="exact"/>
        <w:ind w:firstLine="640" w:firstLineChars="200"/>
        <w:rPr>
          <w:rFonts w:ascii="仿宋_GB2312" w:eastAsia="仿宋_GB2312"/>
          <w:sz w:val="32"/>
          <w:szCs w:val="32"/>
        </w:rPr>
      </w:pPr>
      <w:r>
        <w:rPr>
          <w:rFonts w:ascii="仿宋" w:eastAsia="仿宋"/>
          <w:sz w:val="32"/>
          <w:szCs w:val="32"/>
        </w:rPr>
        <w:t>20</w:t>
      </w:r>
      <w:r>
        <w:rPr>
          <w:rFonts w:hint="eastAsia" w:ascii="仿宋" w:eastAsia="仿宋"/>
          <w:sz w:val="32"/>
          <w:szCs w:val="32"/>
        </w:rPr>
        <w:t>20年</w:t>
      </w:r>
      <w:r>
        <w:rPr>
          <w:rFonts w:hint="eastAsia" w:ascii="仿宋_GB2312" w:eastAsia="仿宋_GB2312"/>
          <w:spacing w:val="-2"/>
          <w:sz w:val="32"/>
          <w:szCs w:val="32"/>
        </w:rPr>
        <w:t>一般公共预算财政拨款支出721.14万元，</w:t>
      </w:r>
      <w:r>
        <w:rPr>
          <w:rFonts w:hint="eastAsia" w:ascii="仿宋" w:eastAsia="仿宋"/>
          <w:sz w:val="32"/>
          <w:szCs w:val="32"/>
        </w:rPr>
        <w:t>占本年总支出的100</w:t>
      </w:r>
      <w:r>
        <w:rPr>
          <w:rFonts w:ascii="仿宋" w:eastAsia="仿宋"/>
          <w:sz w:val="32"/>
          <w:szCs w:val="32"/>
        </w:rPr>
        <w:t>%</w:t>
      </w:r>
      <w:r>
        <w:rPr>
          <w:rFonts w:hint="eastAsia" w:ascii="仿宋" w:eastAsia="仿宋"/>
          <w:sz w:val="32"/>
          <w:szCs w:val="32"/>
        </w:rPr>
        <w:t>。与</w:t>
      </w:r>
      <w:r>
        <w:rPr>
          <w:rFonts w:ascii="仿宋" w:eastAsia="仿宋"/>
          <w:sz w:val="32"/>
          <w:szCs w:val="32"/>
        </w:rPr>
        <w:t>201</w:t>
      </w:r>
      <w:r>
        <w:rPr>
          <w:rFonts w:hint="eastAsia" w:ascii="仿宋" w:eastAsia="仿宋"/>
          <w:sz w:val="32"/>
          <w:szCs w:val="32"/>
        </w:rPr>
        <w:t>9年相比，一般公共预算财政拨款</w:t>
      </w:r>
      <w:r>
        <w:rPr>
          <w:rFonts w:hint="eastAsia" w:ascii="仿宋_GB2312" w:eastAsia="仿宋_GB2312"/>
          <w:spacing w:val="-2"/>
          <w:sz w:val="32"/>
          <w:szCs w:val="32"/>
        </w:rPr>
        <w:t>支出增加59.81万元，增加9.04%。主要原因</w:t>
      </w:r>
      <w:r>
        <w:rPr>
          <w:rFonts w:hint="eastAsia" w:ascii="仿宋_GB2312" w:eastAsia="仿宋_GB2312"/>
          <w:sz w:val="32"/>
          <w:szCs w:val="32"/>
        </w:rPr>
        <w:t>人员经费增加、增加维稳和扫黑除恶经费。</w:t>
      </w:r>
    </w:p>
    <w:p>
      <w:pPr>
        <w:snapToGrid w:val="0"/>
        <w:spacing w:line="520" w:lineRule="exact"/>
        <w:ind w:firstLine="420" w:firstLineChars="200"/>
      </w:pPr>
    </w:p>
    <w:p>
      <w:pPr>
        <w:snapToGrid w:val="0"/>
        <w:spacing w:line="520" w:lineRule="exact"/>
        <w:ind w:firstLine="420" w:firstLineChars="200"/>
      </w:pPr>
    </w:p>
    <w:p>
      <w:pPr>
        <w:snapToGrid w:val="0"/>
        <w:spacing w:line="520" w:lineRule="exact"/>
        <w:ind w:firstLine="420" w:firstLineChars="200"/>
      </w:pPr>
    </w:p>
    <w:p>
      <w:pPr>
        <w:snapToGrid w:val="0"/>
        <w:spacing w:line="520" w:lineRule="exact"/>
        <w:ind w:firstLine="420" w:firstLineChars="200"/>
      </w:pPr>
    </w:p>
    <w:p>
      <w:pPr>
        <w:snapToGrid w:val="0"/>
        <w:spacing w:line="520" w:lineRule="exact"/>
        <w:ind w:firstLine="420" w:firstLineChars="200"/>
      </w:pPr>
    </w:p>
    <w:p>
      <w:pPr>
        <w:snapToGrid w:val="0"/>
        <w:spacing w:line="520" w:lineRule="exact"/>
        <w:ind w:firstLine="420" w:firstLineChars="200"/>
      </w:pPr>
    </w:p>
    <w:p>
      <w:pPr>
        <w:snapToGrid w:val="0"/>
        <w:spacing w:line="520" w:lineRule="exact"/>
        <w:ind w:firstLine="420" w:firstLineChars="200"/>
      </w:pPr>
    </w:p>
    <w:p>
      <w:pPr>
        <w:snapToGrid w:val="0"/>
        <w:spacing w:line="520" w:lineRule="exact"/>
        <w:ind w:firstLine="632" w:firstLineChars="200"/>
        <w:rPr>
          <w:rFonts w:ascii="仿宋_GB2312" w:eastAsia="仿宋_GB2312"/>
          <w:color w:val="FF0000"/>
          <w:spacing w:val="-2"/>
          <w:sz w:val="32"/>
          <w:szCs w:val="32"/>
        </w:rPr>
      </w:pPr>
    </w:p>
    <w:p>
      <w:pPr>
        <w:snapToGrid w:val="0"/>
        <w:spacing w:line="520" w:lineRule="exact"/>
        <w:ind w:firstLine="420" w:firstLineChars="200"/>
        <w:rPr>
          <w:rFonts w:ascii="仿宋_GB2312" w:eastAsia="仿宋_GB2312"/>
          <w:color w:val="FF0000"/>
          <w:spacing w:val="-2"/>
          <w:sz w:val="32"/>
          <w:szCs w:val="32"/>
        </w:rPr>
      </w:pPr>
      <w:r>
        <w:drawing>
          <wp:anchor distT="0" distB="0" distL="114300" distR="114300" simplePos="0" relativeHeight="251661312" behindDoc="0" locked="0" layoutInCell="1" allowOverlap="1">
            <wp:simplePos x="0" y="0"/>
            <wp:positionH relativeFrom="column">
              <wp:posOffset>271145</wp:posOffset>
            </wp:positionH>
            <wp:positionV relativeFrom="paragraph">
              <wp:posOffset>-2493645</wp:posOffset>
            </wp:positionV>
            <wp:extent cx="4572000" cy="2552065"/>
            <wp:effectExtent l="4445" t="4445" r="14605" b="15240"/>
            <wp:wrapSquare wrapText="bothSides"/>
            <wp:docPr id="1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napToGrid w:val="0"/>
        <w:spacing w:line="520" w:lineRule="exact"/>
        <w:ind w:firstLine="420" w:firstLineChars="200"/>
        <w:rPr>
          <w:rFonts w:ascii="仿宋_GB2312" w:eastAsia="仿宋_GB2312"/>
          <w:color w:val="FF0000"/>
          <w:spacing w:val="-2"/>
          <w:sz w:val="32"/>
          <w:szCs w:val="32"/>
        </w:rPr>
      </w:pPr>
      <w:r>
        <w:drawing>
          <wp:anchor distT="0" distB="0" distL="114300" distR="114300" simplePos="0" relativeHeight="251662336" behindDoc="0" locked="0" layoutInCell="1" allowOverlap="1">
            <wp:simplePos x="0" y="0"/>
            <wp:positionH relativeFrom="column">
              <wp:posOffset>271145</wp:posOffset>
            </wp:positionH>
            <wp:positionV relativeFrom="paragraph">
              <wp:posOffset>-2131695</wp:posOffset>
            </wp:positionV>
            <wp:extent cx="4572000" cy="2386965"/>
            <wp:effectExtent l="4445" t="4445" r="14605" b="8890"/>
            <wp:wrapSquare wrapText="bothSides"/>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napToGrid w:val="0"/>
        <w:spacing w:line="520" w:lineRule="exact"/>
        <w:ind w:firstLine="643" w:firstLineChars="200"/>
        <w:rPr>
          <w:rFonts w:ascii="仿宋" w:eastAsia="仿宋"/>
          <w:b/>
          <w:sz w:val="32"/>
          <w:szCs w:val="32"/>
        </w:rPr>
      </w:pPr>
      <w:bookmarkStart w:id="35" w:name="_Toc15377211"/>
      <w:r>
        <w:rPr>
          <w:rFonts w:hint="eastAsia" w:ascii="仿宋" w:eastAsia="仿宋"/>
          <w:b/>
          <w:sz w:val="32"/>
          <w:szCs w:val="32"/>
        </w:rPr>
        <w:t>（二）一般公共预算财政拨款支出决算结构情况</w:t>
      </w:r>
      <w:bookmarkEnd w:id="35"/>
    </w:p>
    <w:p>
      <w:pPr>
        <w:spacing w:line="600" w:lineRule="exact"/>
        <w:ind w:firstLine="640"/>
        <w:rPr>
          <w:rFonts w:ascii="仿宋" w:eastAsia="仿宋"/>
          <w:b/>
          <w:color w:val="FF0000"/>
          <w:sz w:val="32"/>
          <w:szCs w:val="32"/>
        </w:rPr>
      </w:pPr>
      <w:r>
        <w:rPr>
          <w:rFonts w:ascii="仿宋" w:eastAsia="仿宋"/>
          <w:sz w:val="32"/>
          <w:szCs w:val="32"/>
        </w:rPr>
        <w:t>20</w:t>
      </w:r>
      <w:r>
        <w:rPr>
          <w:rFonts w:hint="eastAsia" w:ascii="仿宋" w:eastAsia="仿宋"/>
          <w:sz w:val="32"/>
          <w:szCs w:val="32"/>
        </w:rPr>
        <w:t>20年一般公共预算财政拨款支出721.14万元，主要用于以下方面</w:t>
      </w:r>
      <w:r>
        <w:rPr>
          <w:rFonts w:hint="eastAsia" w:ascii="仿宋" w:eastAsia="仿宋"/>
          <w:sz w:val="32"/>
          <w:szCs w:val="32"/>
          <w:lang w:eastAsia="zh-CN"/>
        </w:rPr>
        <w:t>：</w:t>
      </w:r>
      <w:r>
        <w:rPr>
          <w:rFonts w:hint="eastAsia" w:ascii="仿宋" w:eastAsia="仿宋"/>
          <w:b/>
          <w:sz w:val="32"/>
          <w:szCs w:val="32"/>
        </w:rPr>
        <w:t>公共安全（类）</w:t>
      </w:r>
      <w:r>
        <w:rPr>
          <w:rFonts w:hint="eastAsia" w:ascii="仿宋" w:eastAsia="仿宋"/>
          <w:sz w:val="32"/>
          <w:szCs w:val="32"/>
        </w:rPr>
        <w:t>支出493.04万元，占68.37</w:t>
      </w:r>
      <w:r>
        <w:rPr>
          <w:rFonts w:ascii="仿宋" w:eastAsia="仿宋"/>
          <w:sz w:val="32"/>
          <w:szCs w:val="32"/>
        </w:rPr>
        <w:t>%</w:t>
      </w:r>
      <w:r>
        <w:rPr>
          <w:rFonts w:hint="eastAsia"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支出36.03万元，占5</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sz w:val="32"/>
          <w:szCs w:val="32"/>
        </w:rPr>
        <w:t>16.15万元，占2.24</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住房保障支出</w:t>
      </w:r>
      <w:r>
        <w:rPr>
          <w:rFonts w:hint="eastAsia" w:ascii="仿宋" w:eastAsia="仿宋"/>
          <w:sz w:val="32"/>
          <w:szCs w:val="32"/>
        </w:rPr>
        <w:t>25.92万元，占3.59</w:t>
      </w:r>
      <w:r>
        <w:rPr>
          <w:rFonts w:ascii="仿宋" w:eastAsia="仿宋"/>
          <w:sz w:val="32"/>
          <w:szCs w:val="32"/>
        </w:rPr>
        <w:t>%</w:t>
      </w:r>
      <w:r>
        <w:rPr>
          <w:rFonts w:hint="eastAsia" w:ascii="仿宋" w:eastAsia="仿宋"/>
          <w:sz w:val="32"/>
          <w:szCs w:val="32"/>
        </w:rPr>
        <w:t>；其他支出150万元，占20.80%。</w:t>
      </w:r>
      <w:bookmarkStart w:id="36" w:name="_Toc15378460"/>
      <w:bookmarkStart w:id="37" w:name="_Toc15377444"/>
      <w:bookmarkStart w:id="38" w:name="_Toc15377213"/>
    </w:p>
    <w:p>
      <w:pPr>
        <w:spacing w:line="600" w:lineRule="exact"/>
        <w:ind w:firstLine="5460" w:firstLineChars="2600"/>
        <w:outlineLvl w:val="2"/>
      </w:pPr>
    </w:p>
    <w:p>
      <w:pPr>
        <w:spacing w:line="600" w:lineRule="exact"/>
        <w:ind w:firstLine="5460" w:firstLineChars="2600"/>
        <w:outlineLvl w:val="2"/>
      </w:pPr>
    </w:p>
    <w:p>
      <w:pPr>
        <w:spacing w:line="600" w:lineRule="exact"/>
        <w:ind w:firstLine="5460" w:firstLineChars="2600"/>
        <w:outlineLvl w:val="2"/>
      </w:pPr>
    </w:p>
    <w:p>
      <w:pPr>
        <w:spacing w:line="600" w:lineRule="exact"/>
        <w:ind w:firstLine="5460" w:firstLineChars="2600"/>
        <w:outlineLvl w:val="2"/>
      </w:pPr>
    </w:p>
    <w:p>
      <w:pPr>
        <w:spacing w:line="600" w:lineRule="exact"/>
        <w:ind w:firstLine="5460" w:firstLineChars="2600"/>
        <w:outlineLvl w:val="2"/>
      </w:pPr>
    </w:p>
    <w:p>
      <w:pPr>
        <w:spacing w:line="600" w:lineRule="exact"/>
        <w:outlineLvl w:val="2"/>
        <w:rPr>
          <w:rFonts w:ascii="仿宋" w:eastAsia="仿宋"/>
          <w:b/>
          <w:color w:val="FF0000"/>
          <w:sz w:val="32"/>
          <w:szCs w:val="32"/>
        </w:rPr>
      </w:pPr>
      <w:r>
        <w:rPr>
          <w:rFonts w:hint="eastAsia"/>
        </w:rPr>
        <w:t xml:space="preserve">   </w:t>
      </w:r>
      <w:r>
        <w:drawing>
          <wp:anchor distT="0" distB="0" distL="114300" distR="114300" simplePos="0" relativeHeight="251660288" behindDoc="0" locked="0" layoutInCell="1" allowOverlap="1">
            <wp:simplePos x="0" y="0"/>
            <wp:positionH relativeFrom="column">
              <wp:posOffset>205105</wp:posOffset>
            </wp:positionH>
            <wp:positionV relativeFrom="paragraph">
              <wp:posOffset>-1786255</wp:posOffset>
            </wp:positionV>
            <wp:extent cx="4572000" cy="2068830"/>
            <wp:effectExtent l="5080" t="4445" r="13970" b="22225"/>
            <wp:wrapSquare wrapText="bothSides"/>
            <wp:docPr id="1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3" w:firstLineChars="200"/>
        <w:outlineLvl w:val="2"/>
        <w:rPr>
          <w:rFonts w:ascii="仿宋" w:eastAsia="仿宋"/>
          <w:b/>
          <w:sz w:val="32"/>
          <w:szCs w:val="32"/>
        </w:rPr>
      </w:pPr>
      <w:bookmarkStart w:id="39" w:name="_Toc15377212"/>
      <w:r>
        <w:rPr>
          <w:rFonts w:hint="eastAsia" w:ascii="仿宋" w:eastAsia="仿宋"/>
          <w:b/>
          <w:sz w:val="32"/>
          <w:szCs w:val="32"/>
        </w:rPr>
        <w:t>（三）一般公共预算财政拨款支出决算具体情况</w:t>
      </w:r>
      <w:bookmarkEnd w:id="39"/>
    </w:p>
    <w:p>
      <w:pPr>
        <w:spacing w:line="600" w:lineRule="exact"/>
        <w:outlineLvl w:val="2"/>
        <w:rPr>
          <w:rFonts w:ascii="仿宋" w:eastAsia="仿宋"/>
          <w:bCs/>
          <w:color w:val="FF0000"/>
          <w:sz w:val="32"/>
          <w:szCs w:val="32"/>
        </w:rPr>
      </w:pPr>
      <w:r>
        <w:rPr>
          <w:rFonts w:hint="eastAsia" w:ascii="仿宋" w:eastAsia="仿宋"/>
          <w:bCs/>
          <w:color w:val="FF0000"/>
          <w:sz w:val="32"/>
          <w:szCs w:val="32"/>
        </w:rPr>
        <w:t xml:space="preserve">    </w:t>
      </w:r>
      <w:r>
        <w:rPr>
          <w:rFonts w:hint="eastAsia" w:ascii="仿宋" w:eastAsia="仿宋"/>
          <w:bCs/>
          <w:sz w:val="32"/>
          <w:szCs w:val="32"/>
        </w:rPr>
        <w:t>2020年一般公共预算数为721.14万元，支出决算数为721.14万元，完</w:t>
      </w:r>
      <w:r>
        <w:rPr>
          <w:rStyle w:val="14"/>
          <w:rFonts w:hint="eastAsia" w:ascii="仿宋" w:eastAsia="仿宋"/>
          <w:b w:val="0"/>
          <w:bCs/>
          <w:sz w:val="32"/>
          <w:szCs w:val="32"/>
        </w:rPr>
        <w:t>成预算100</w:t>
      </w:r>
      <w:r>
        <w:rPr>
          <w:rStyle w:val="14"/>
          <w:rFonts w:ascii="仿宋" w:eastAsia="仿宋"/>
          <w:b w:val="0"/>
          <w:bCs/>
          <w:sz w:val="32"/>
          <w:szCs w:val="32"/>
        </w:rPr>
        <w:t>%</w:t>
      </w:r>
      <w:r>
        <w:rPr>
          <w:rStyle w:val="14"/>
          <w:rFonts w:hint="eastAsia" w:ascii="仿宋" w:eastAsia="仿宋"/>
          <w:b w:val="0"/>
          <w:bCs/>
          <w:sz w:val="32"/>
          <w:szCs w:val="32"/>
        </w:rPr>
        <w:t>。结转下年0万元。其中：</w:t>
      </w:r>
      <w:bookmarkEnd w:id="36"/>
      <w:bookmarkEnd w:id="37"/>
      <w:bookmarkEnd w:id="38"/>
    </w:p>
    <w:p>
      <w:pPr>
        <w:spacing w:line="600" w:lineRule="exact"/>
        <w:ind w:firstLine="643" w:firstLineChars="200"/>
        <w:rPr>
          <w:rStyle w:val="14"/>
          <w:rFonts w:ascii="仿宋" w:eastAsia="仿宋"/>
          <w:b w:val="0"/>
          <w:bCs/>
          <w:sz w:val="32"/>
          <w:szCs w:val="32"/>
        </w:rPr>
      </w:pPr>
      <w:r>
        <w:rPr>
          <w:rStyle w:val="14"/>
          <w:rFonts w:hint="eastAsia" w:ascii="仿宋" w:eastAsia="仿宋"/>
          <w:bCs/>
          <w:sz w:val="32"/>
          <w:szCs w:val="32"/>
        </w:rPr>
        <w:t>1.公共安全（类）公安（款）行政运行（项）</w:t>
      </w:r>
      <w:r>
        <w:rPr>
          <w:rStyle w:val="14"/>
          <w:rFonts w:ascii="仿宋" w:eastAsia="仿宋"/>
          <w:bCs/>
          <w:sz w:val="32"/>
          <w:szCs w:val="32"/>
        </w:rPr>
        <w:t>:</w:t>
      </w:r>
      <w:r>
        <w:rPr>
          <w:rStyle w:val="14"/>
          <w:rFonts w:ascii="仿宋" w:eastAsia="仿宋"/>
          <w:b w:val="0"/>
          <w:bCs/>
          <w:sz w:val="32"/>
          <w:szCs w:val="32"/>
        </w:rPr>
        <w:t xml:space="preserve"> </w:t>
      </w:r>
      <w:r>
        <w:rPr>
          <w:rStyle w:val="14"/>
          <w:rFonts w:hint="eastAsia" w:ascii="仿宋" w:eastAsia="仿宋"/>
          <w:b w:val="0"/>
          <w:bCs/>
          <w:sz w:val="32"/>
          <w:szCs w:val="32"/>
        </w:rPr>
        <w:t>支出决算为419.04万元，完成预算100</w:t>
      </w:r>
      <w:r>
        <w:rPr>
          <w:rStyle w:val="14"/>
          <w:rFonts w:ascii="仿宋" w:eastAsia="仿宋"/>
          <w:b w:val="0"/>
          <w:bCs/>
          <w:sz w:val="32"/>
          <w:szCs w:val="32"/>
        </w:rPr>
        <w:t>%</w:t>
      </w:r>
      <w:r>
        <w:rPr>
          <w:rStyle w:val="14"/>
          <w:rFonts w:hint="eastAsia" w:ascii="仿宋" w:eastAsia="仿宋"/>
          <w:b w:val="0"/>
          <w:bCs/>
          <w:sz w:val="32"/>
          <w:szCs w:val="32"/>
        </w:rPr>
        <w:t>。</w:t>
      </w:r>
    </w:p>
    <w:p>
      <w:pPr>
        <w:spacing w:line="600" w:lineRule="exact"/>
        <w:ind w:firstLine="643" w:firstLineChars="200"/>
        <w:rPr>
          <w:rStyle w:val="14"/>
          <w:rFonts w:ascii="仿宋" w:eastAsia="仿宋"/>
          <w:b w:val="0"/>
          <w:bCs/>
          <w:color w:val="FF0000"/>
          <w:sz w:val="32"/>
          <w:szCs w:val="32"/>
        </w:rPr>
      </w:pPr>
      <w:r>
        <w:rPr>
          <w:rStyle w:val="14"/>
          <w:rFonts w:ascii="仿宋" w:eastAsia="仿宋"/>
          <w:bCs/>
          <w:sz w:val="32"/>
          <w:szCs w:val="32"/>
        </w:rPr>
        <w:t>2.</w:t>
      </w:r>
      <w:r>
        <w:rPr>
          <w:rStyle w:val="14"/>
          <w:rFonts w:hint="eastAsia" w:ascii="仿宋" w:eastAsia="仿宋"/>
          <w:bCs/>
          <w:sz w:val="32"/>
          <w:szCs w:val="32"/>
        </w:rPr>
        <w:t>公共安全（类）公安（款）一般行政管理事务（项）</w:t>
      </w:r>
      <w:r>
        <w:rPr>
          <w:rStyle w:val="14"/>
          <w:rFonts w:ascii="仿宋" w:eastAsia="仿宋"/>
          <w:bCs/>
          <w:sz w:val="32"/>
          <w:szCs w:val="32"/>
        </w:rPr>
        <w:t>:</w:t>
      </w:r>
      <w:r>
        <w:rPr>
          <w:rStyle w:val="14"/>
          <w:rFonts w:ascii="仿宋" w:eastAsia="仿宋"/>
          <w:b w:val="0"/>
          <w:bCs/>
          <w:sz w:val="32"/>
          <w:szCs w:val="32"/>
        </w:rPr>
        <w:t xml:space="preserve"> </w:t>
      </w:r>
      <w:r>
        <w:rPr>
          <w:rStyle w:val="14"/>
          <w:rFonts w:hint="eastAsia" w:ascii="仿宋" w:eastAsia="仿宋"/>
          <w:b w:val="0"/>
          <w:bCs/>
          <w:sz w:val="32"/>
          <w:szCs w:val="32"/>
        </w:rPr>
        <w:t>支出决算为65.00万元，完成预算100</w:t>
      </w:r>
      <w:r>
        <w:rPr>
          <w:rStyle w:val="14"/>
          <w:rFonts w:ascii="仿宋" w:eastAsia="仿宋"/>
          <w:b w:val="0"/>
          <w:bCs/>
          <w:sz w:val="32"/>
          <w:szCs w:val="32"/>
        </w:rPr>
        <w:t>%</w:t>
      </w:r>
      <w:r>
        <w:rPr>
          <w:rStyle w:val="14"/>
          <w:rFonts w:hint="eastAsia" w:ascii="仿宋" w:eastAsia="仿宋"/>
          <w:b w:val="0"/>
          <w:bCs/>
          <w:sz w:val="32"/>
          <w:szCs w:val="32"/>
        </w:rPr>
        <w:t>。</w:t>
      </w:r>
    </w:p>
    <w:p>
      <w:pPr>
        <w:spacing w:line="600" w:lineRule="exact"/>
        <w:ind w:firstLine="643" w:firstLineChars="200"/>
        <w:rPr>
          <w:rStyle w:val="14"/>
          <w:rFonts w:ascii="仿宋" w:eastAsia="仿宋"/>
          <w:b w:val="0"/>
          <w:bCs/>
          <w:sz w:val="32"/>
          <w:szCs w:val="32"/>
        </w:rPr>
      </w:pPr>
      <w:r>
        <w:rPr>
          <w:rStyle w:val="14"/>
          <w:rFonts w:hint="eastAsia" w:ascii="仿宋" w:eastAsia="仿宋"/>
          <w:bCs/>
          <w:sz w:val="32"/>
          <w:szCs w:val="32"/>
        </w:rPr>
        <w:t>3</w:t>
      </w:r>
      <w:r>
        <w:rPr>
          <w:rStyle w:val="14"/>
          <w:rFonts w:ascii="仿宋" w:eastAsia="仿宋"/>
          <w:bCs/>
          <w:sz w:val="32"/>
          <w:szCs w:val="32"/>
        </w:rPr>
        <w:t>.</w:t>
      </w:r>
      <w:r>
        <w:rPr>
          <w:rStyle w:val="14"/>
          <w:rFonts w:hint="eastAsia" w:ascii="仿宋" w:eastAsia="仿宋"/>
          <w:bCs/>
          <w:sz w:val="32"/>
          <w:szCs w:val="32"/>
        </w:rPr>
        <w:t>公共安全（类）公安（款）其他公安支出（项）：支</w:t>
      </w:r>
      <w:r>
        <w:rPr>
          <w:rStyle w:val="14"/>
          <w:rFonts w:hint="eastAsia" w:ascii="仿宋" w:eastAsia="仿宋"/>
          <w:b w:val="0"/>
          <w:bCs/>
          <w:sz w:val="32"/>
          <w:szCs w:val="32"/>
        </w:rPr>
        <w:t>出决算为9.00万元，完成预算100%。</w:t>
      </w:r>
    </w:p>
    <w:p>
      <w:pPr>
        <w:spacing w:line="600" w:lineRule="exact"/>
        <w:ind w:firstLine="643" w:firstLineChars="200"/>
        <w:rPr>
          <w:rFonts w:ascii="仿宋" w:eastAsia="仿宋"/>
          <w:b/>
          <w:sz w:val="32"/>
          <w:szCs w:val="32"/>
        </w:rPr>
      </w:pPr>
      <w:r>
        <w:rPr>
          <w:rStyle w:val="14"/>
          <w:rFonts w:hint="eastAsia" w:ascii="仿宋" w:eastAsia="仿宋"/>
          <w:bCs/>
          <w:sz w:val="32"/>
          <w:szCs w:val="32"/>
        </w:rPr>
        <w:t>4</w:t>
      </w:r>
      <w:r>
        <w:rPr>
          <w:rStyle w:val="14"/>
          <w:rFonts w:ascii="仿宋" w:eastAsia="仿宋"/>
          <w:bCs/>
          <w:sz w:val="32"/>
          <w:szCs w:val="32"/>
        </w:rPr>
        <w:t>.</w:t>
      </w:r>
      <w:r>
        <w:rPr>
          <w:rStyle w:val="14"/>
          <w:rFonts w:ascii="仿宋" w:eastAsia="仿宋"/>
          <w:b w:val="0"/>
          <w:bCs/>
          <w:sz w:val="32"/>
          <w:szCs w:val="32"/>
        </w:rPr>
        <w:t xml:space="preserve"> </w:t>
      </w:r>
      <w:r>
        <w:rPr>
          <w:rStyle w:val="14"/>
          <w:rFonts w:hint="eastAsia" w:ascii="仿宋" w:eastAsia="仿宋"/>
          <w:bCs/>
          <w:sz w:val="32"/>
          <w:szCs w:val="32"/>
        </w:rPr>
        <w:t>社会保障和就业（类）行政事业单位离退休（款）机关事业单位基本养老保险缴费支出（项）</w:t>
      </w:r>
      <w:r>
        <w:rPr>
          <w:rStyle w:val="14"/>
          <w:rFonts w:ascii="仿宋" w:eastAsia="仿宋"/>
          <w:bCs/>
          <w:sz w:val="32"/>
          <w:szCs w:val="32"/>
        </w:rPr>
        <w:t>:</w:t>
      </w:r>
      <w:r>
        <w:rPr>
          <w:rStyle w:val="14"/>
          <w:rFonts w:ascii="仿宋" w:eastAsia="仿宋"/>
          <w:b w:val="0"/>
          <w:bCs/>
          <w:sz w:val="32"/>
          <w:szCs w:val="32"/>
        </w:rPr>
        <w:t xml:space="preserve"> </w:t>
      </w:r>
      <w:r>
        <w:rPr>
          <w:rStyle w:val="14"/>
          <w:rFonts w:hint="eastAsia" w:ascii="仿宋" w:eastAsia="仿宋"/>
          <w:b w:val="0"/>
          <w:bCs/>
          <w:sz w:val="32"/>
          <w:szCs w:val="32"/>
        </w:rPr>
        <w:t>支出决算为24.02万元，完成预算100</w:t>
      </w:r>
      <w:r>
        <w:rPr>
          <w:rStyle w:val="14"/>
          <w:rFonts w:ascii="仿宋" w:eastAsia="仿宋"/>
          <w:b w:val="0"/>
          <w:bCs/>
          <w:sz w:val="32"/>
          <w:szCs w:val="32"/>
        </w:rPr>
        <w:t>%</w:t>
      </w:r>
      <w:r>
        <w:rPr>
          <w:rStyle w:val="14"/>
          <w:rFonts w:hint="eastAsia" w:ascii="仿宋" w:eastAsia="仿宋"/>
          <w:b w:val="0"/>
          <w:bCs/>
          <w:sz w:val="32"/>
          <w:szCs w:val="32"/>
        </w:rPr>
        <w:t>，决算数等于预算数。</w:t>
      </w:r>
    </w:p>
    <w:p>
      <w:pPr>
        <w:spacing w:line="600" w:lineRule="exact"/>
        <w:ind w:firstLine="643" w:firstLineChars="200"/>
        <w:rPr>
          <w:rStyle w:val="14"/>
          <w:rFonts w:ascii="仿宋" w:eastAsia="仿宋"/>
          <w:b w:val="0"/>
          <w:bCs/>
          <w:sz w:val="32"/>
          <w:szCs w:val="32"/>
        </w:rPr>
      </w:pPr>
      <w:r>
        <w:rPr>
          <w:rStyle w:val="14"/>
          <w:rFonts w:hint="eastAsia" w:ascii="仿宋" w:eastAsia="仿宋"/>
          <w:bCs/>
          <w:sz w:val="32"/>
          <w:szCs w:val="32"/>
        </w:rPr>
        <w:t>5</w:t>
      </w:r>
      <w:r>
        <w:rPr>
          <w:rStyle w:val="14"/>
          <w:rFonts w:ascii="仿宋" w:eastAsia="仿宋"/>
          <w:bCs/>
          <w:sz w:val="32"/>
          <w:szCs w:val="32"/>
        </w:rPr>
        <w:t>.</w:t>
      </w:r>
      <w:r>
        <w:rPr>
          <w:rStyle w:val="14"/>
          <w:rFonts w:hint="eastAsia" w:ascii="仿宋" w:eastAsia="仿宋"/>
          <w:bCs/>
          <w:sz w:val="32"/>
          <w:szCs w:val="32"/>
        </w:rPr>
        <w:t>社会保障和就业（类）行政事业单位离退休（款）机关事业单位基本职业年金缴费支出（项）</w:t>
      </w:r>
      <w:r>
        <w:rPr>
          <w:rStyle w:val="14"/>
          <w:rFonts w:hint="eastAsia" w:ascii="仿宋" w:eastAsia="仿宋"/>
          <w:bCs/>
          <w:sz w:val="32"/>
          <w:szCs w:val="32"/>
          <w:lang w:eastAsia="zh-CN"/>
        </w:rPr>
        <w:t>：</w:t>
      </w:r>
      <w:r>
        <w:rPr>
          <w:rStyle w:val="14"/>
          <w:rFonts w:hint="eastAsia" w:ascii="仿宋" w:eastAsia="仿宋"/>
          <w:b w:val="0"/>
          <w:bCs/>
          <w:sz w:val="32"/>
          <w:szCs w:val="32"/>
        </w:rPr>
        <w:t>支出决算为12.01万元，完成预算100</w:t>
      </w:r>
      <w:r>
        <w:rPr>
          <w:rStyle w:val="14"/>
          <w:rFonts w:ascii="仿宋" w:eastAsia="仿宋"/>
          <w:b w:val="0"/>
          <w:bCs/>
          <w:sz w:val="32"/>
          <w:szCs w:val="32"/>
        </w:rPr>
        <w:t>%</w:t>
      </w:r>
      <w:r>
        <w:rPr>
          <w:rStyle w:val="14"/>
          <w:rFonts w:hint="eastAsia" w:ascii="仿宋" w:eastAsia="仿宋"/>
          <w:b w:val="0"/>
          <w:bCs/>
          <w:sz w:val="32"/>
          <w:szCs w:val="32"/>
        </w:rPr>
        <w:t>，决算数等于预算数。</w:t>
      </w:r>
    </w:p>
    <w:p>
      <w:pPr>
        <w:spacing w:line="600" w:lineRule="exact"/>
        <w:ind w:firstLine="643" w:firstLineChars="200"/>
        <w:rPr>
          <w:rStyle w:val="14"/>
          <w:rFonts w:ascii="仿宋" w:eastAsia="仿宋"/>
          <w:b w:val="0"/>
          <w:bCs/>
          <w:sz w:val="32"/>
          <w:szCs w:val="32"/>
        </w:rPr>
      </w:pPr>
      <w:r>
        <w:rPr>
          <w:rStyle w:val="14"/>
          <w:rFonts w:hint="eastAsia" w:ascii="仿宋" w:eastAsia="仿宋"/>
          <w:bCs/>
          <w:sz w:val="32"/>
          <w:szCs w:val="32"/>
        </w:rPr>
        <w:t>6.卫生健康支出（类）公共卫生（款）突发公共卫生事件应急处理（项）：</w:t>
      </w:r>
      <w:r>
        <w:rPr>
          <w:rStyle w:val="14"/>
          <w:rFonts w:hint="eastAsia" w:ascii="仿宋" w:eastAsia="仿宋"/>
          <w:b w:val="0"/>
          <w:bCs/>
          <w:sz w:val="32"/>
          <w:szCs w:val="32"/>
        </w:rPr>
        <w:t>支出决算为1.53万元，完成预算100</w:t>
      </w:r>
      <w:r>
        <w:rPr>
          <w:rStyle w:val="14"/>
          <w:rFonts w:ascii="仿宋" w:eastAsia="仿宋"/>
          <w:b w:val="0"/>
          <w:bCs/>
          <w:sz w:val="32"/>
          <w:szCs w:val="32"/>
        </w:rPr>
        <w:t>%</w:t>
      </w:r>
      <w:r>
        <w:rPr>
          <w:rStyle w:val="14"/>
          <w:rFonts w:hint="eastAsia" w:ascii="仿宋" w:eastAsia="仿宋"/>
          <w:b w:val="0"/>
          <w:bCs/>
          <w:sz w:val="32"/>
          <w:szCs w:val="32"/>
        </w:rPr>
        <w:t>，决算数等于预算数。</w:t>
      </w:r>
    </w:p>
    <w:p>
      <w:pPr>
        <w:spacing w:line="600" w:lineRule="exact"/>
        <w:ind w:firstLine="643" w:firstLineChars="200"/>
        <w:rPr>
          <w:rFonts w:ascii="仿宋" w:eastAsia="仿宋"/>
          <w:sz w:val="32"/>
          <w:szCs w:val="32"/>
        </w:rPr>
      </w:pPr>
      <w:r>
        <w:rPr>
          <w:rStyle w:val="14"/>
          <w:rFonts w:hint="eastAsia" w:ascii="仿宋" w:eastAsia="仿宋"/>
          <w:bCs/>
          <w:sz w:val="32"/>
          <w:szCs w:val="32"/>
        </w:rPr>
        <w:t>7.卫生健康支出（类）行政事业单位医疗（款）行政单位医疗（项）</w:t>
      </w:r>
      <w:r>
        <w:rPr>
          <w:rStyle w:val="14"/>
          <w:rFonts w:hint="eastAsia" w:ascii="仿宋" w:eastAsia="仿宋"/>
          <w:bCs/>
          <w:sz w:val="32"/>
          <w:szCs w:val="32"/>
          <w:lang w:eastAsia="zh-CN"/>
        </w:rPr>
        <w:t>：</w:t>
      </w:r>
      <w:r>
        <w:rPr>
          <w:rStyle w:val="14"/>
          <w:rFonts w:hint="eastAsia" w:ascii="仿宋" w:eastAsia="仿宋"/>
          <w:b w:val="0"/>
          <w:bCs/>
          <w:sz w:val="32"/>
          <w:szCs w:val="32"/>
        </w:rPr>
        <w:t>支出决算为10.98万元，完成预算100</w:t>
      </w:r>
      <w:r>
        <w:rPr>
          <w:rStyle w:val="14"/>
          <w:rFonts w:ascii="仿宋" w:eastAsia="仿宋"/>
          <w:b w:val="0"/>
          <w:bCs/>
          <w:sz w:val="32"/>
          <w:szCs w:val="32"/>
        </w:rPr>
        <w:t>%</w:t>
      </w:r>
      <w:r>
        <w:rPr>
          <w:rStyle w:val="14"/>
          <w:rFonts w:hint="eastAsia" w:ascii="仿宋" w:eastAsia="仿宋"/>
          <w:b w:val="0"/>
          <w:bCs/>
          <w:sz w:val="32"/>
          <w:szCs w:val="32"/>
        </w:rPr>
        <w:t>，决算数等于预算数。</w:t>
      </w:r>
    </w:p>
    <w:p>
      <w:pPr>
        <w:spacing w:line="600" w:lineRule="exact"/>
        <w:ind w:firstLine="643" w:firstLineChars="200"/>
        <w:rPr>
          <w:rFonts w:ascii="仿宋" w:eastAsia="仿宋"/>
          <w:sz w:val="32"/>
          <w:szCs w:val="32"/>
        </w:rPr>
      </w:pPr>
      <w:r>
        <w:rPr>
          <w:rStyle w:val="14"/>
          <w:rFonts w:hint="eastAsia" w:ascii="仿宋" w:eastAsia="仿宋"/>
          <w:bCs/>
          <w:sz w:val="32"/>
          <w:szCs w:val="32"/>
        </w:rPr>
        <w:t>8.卫生健康支出（类）行政事业单位医疗（款）公务员医疗补助（项）</w:t>
      </w:r>
      <w:r>
        <w:rPr>
          <w:rStyle w:val="14"/>
          <w:rFonts w:hint="eastAsia" w:ascii="仿宋" w:eastAsia="仿宋"/>
          <w:bCs/>
          <w:sz w:val="32"/>
          <w:szCs w:val="32"/>
          <w:lang w:eastAsia="zh-CN"/>
        </w:rPr>
        <w:t>：</w:t>
      </w:r>
      <w:r>
        <w:rPr>
          <w:rStyle w:val="14"/>
          <w:rFonts w:hint="eastAsia" w:ascii="仿宋" w:eastAsia="仿宋"/>
          <w:b w:val="0"/>
          <w:bCs/>
          <w:sz w:val="32"/>
          <w:szCs w:val="32"/>
        </w:rPr>
        <w:t>支出决算为3.64万元，完成预算100</w:t>
      </w:r>
      <w:r>
        <w:rPr>
          <w:rStyle w:val="14"/>
          <w:rFonts w:ascii="仿宋" w:eastAsia="仿宋"/>
          <w:b w:val="0"/>
          <w:bCs/>
          <w:sz w:val="32"/>
          <w:szCs w:val="32"/>
        </w:rPr>
        <w:t>%</w:t>
      </w:r>
      <w:r>
        <w:rPr>
          <w:rStyle w:val="14"/>
          <w:rFonts w:hint="eastAsia" w:ascii="仿宋" w:eastAsia="仿宋"/>
          <w:b w:val="0"/>
          <w:bCs/>
          <w:sz w:val="32"/>
          <w:szCs w:val="32"/>
        </w:rPr>
        <w:t>，决算数等于预算数。</w:t>
      </w:r>
    </w:p>
    <w:p>
      <w:pPr>
        <w:spacing w:line="600" w:lineRule="exact"/>
        <w:ind w:firstLine="643" w:firstLineChars="200"/>
        <w:rPr>
          <w:rStyle w:val="14"/>
          <w:rFonts w:ascii="仿宋" w:eastAsia="仿宋"/>
          <w:b w:val="0"/>
          <w:bCs/>
          <w:sz w:val="32"/>
          <w:szCs w:val="32"/>
        </w:rPr>
      </w:pPr>
      <w:bookmarkStart w:id="40" w:name="_Toc15377214"/>
      <w:bookmarkStart w:id="41" w:name="_Toc15396608"/>
      <w:r>
        <w:rPr>
          <w:rStyle w:val="14"/>
          <w:rFonts w:hint="eastAsia" w:ascii="仿宋" w:eastAsia="仿宋"/>
          <w:bCs/>
          <w:sz w:val="32"/>
          <w:szCs w:val="32"/>
        </w:rPr>
        <w:t>9.住房保障（类）住房改革支出（款）住房公积金（项）：</w:t>
      </w:r>
      <w:r>
        <w:rPr>
          <w:rStyle w:val="14"/>
          <w:rFonts w:hint="eastAsia" w:ascii="仿宋" w:eastAsia="仿宋"/>
          <w:b w:val="0"/>
          <w:bCs/>
          <w:sz w:val="32"/>
          <w:szCs w:val="32"/>
        </w:rPr>
        <w:t>支出决算为24.89万元，完成预算100</w:t>
      </w:r>
      <w:r>
        <w:rPr>
          <w:rStyle w:val="14"/>
          <w:rFonts w:ascii="仿宋" w:eastAsia="仿宋"/>
          <w:b w:val="0"/>
          <w:bCs/>
          <w:sz w:val="32"/>
          <w:szCs w:val="32"/>
        </w:rPr>
        <w:t>%</w:t>
      </w:r>
      <w:r>
        <w:rPr>
          <w:rStyle w:val="14"/>
          <w:rFonts w:hint="eastAsia" w:ascii="仿宋" w:eastAsia="仿宋"/>
          <w:b w:val="0"/>
          <w:bCs/>
          <w:sz w:val="32"/>
          <w:szCs w:val="32"/>
        </w:rPr>
        <w:t>，决算数等于预算数。</w:t>
      </w:r>
    </w:p>
    <w:p>
      <w:pPr>
        <w:spacing w:line="600" w:lineRule="exact"/>
        <w:ind w:firstLine="643" w:firstLineChars="200"/>
        <w:rPr>
          <w:rStyle w:val="14"/>
          <w:rFonts w:ascii="仿宋" w:eastAsia="仿宋"/>
          <w:b w:val="0"/>
          <w:bCs/>
          <w:sz w:val="32"/>
          <w:szCs w:val="32"/>
        </w:rPr>
      </w:pPr>
      <w:r>
        <w:rPr>
          <w:rStyle w:val="14"/>
          <w:rFonts w:hint="eastAsia" w:ascii="仿宋" w:eastAsia="仿宋"/>
          <w:bCs/>
          <w:sz w:val="32"/>
          <w:szCs w:val="32"/>
        </w:rPr>
        <w:t>10.住房保障（类）住房改革支出（款）购房补贴（项）：</w:t>
      </w:r>
      <w:r>
        <w:rPr>
          <w:rStyle w:val="14"/>
          <w:rFonts w:hint="eastAsia" w:ascii="仿宋" w:eastAsia="仿宋"/>
          <w:b w:val="0"/>
          <w:bCs/>
          <w:sz w:val="32"/>
          <w:szCs w:val="32"/>
        </w:rPr>
        <w:t>支出决算为1.03万元，完成预算100</w:t>
      </w:r>
      <w:r>
        <w:rPr>
          <w:rStyle w:val="14"/>
          <w:rFonts w:ascii="仿宋" w:eastAsia="仿宋"/>
          <w:b w:val="0"/>
          <w:bCs/>
          <w:sz w:val="32"/>
          <w:szCs w:val="32"/>
        </w:rPr>
        <w:t>%</w:t>
      </w:r>
      <w:r>
        <w:rPr>
          <w:rStyle w:val="14"/>
          <w:rFonts w:hint="eastAsia" w:ascii="仿宋" w:eastAsia="仿宋"/>
          <w:b w:val="0"/>
          <w:bCs/>
          <w:sz w:val="32"/>
          <w:szCs w:val="32"/>
        </w:rPr>
        <w:t>，决算数等于预算数。</w:t>
      </w:r>
    </w:p>
    <w:p>
      <w:pPr>
        <w:spacing w:line="600" w:lineRule="exact"/>
        <w:ind w:firstLine="640" w:firstLineChars="200"/>
        <w:rPr>
          <w:rStyle w:val="14"/>
          <w:rFonts w:ascii="仿宋" w:eastAsia="仿宋"/>
          <w:b w:val="0"/>
          <w:bCs/>
          <w:sz w:val="32"/>
          <w:szCs w:val="32"/>
        </w:rPr>
      </w:pPr>
      <w:r>
        <w:rPr>
          <w:rStyle w:val="14"/>
          <w:rFonts w:hint="eastAsia" w:ascii="仿宋" w:eastAsia="仿宋"/>
          <w:b w:val="0"/>
          <w:bCs/>
          <w:sz w:val="32"/>
          <w:szCs w:val="32"/>
        </w:rPr>
        <w:t>11、其他支出（类）其他支出（款）其他支出（项）：支出决算为150.00万元，完成预算100</w:t>
      </w:r>
      <w:r>
        <w:rPr>
          <w:rStyle w:val="14"/>
          <w:rFonts w:ascii="仿宋" w:eastAsia="仿宋"/>
          <w:b w:val="0"/>
          <w:bCs/>
          <w:sz w:val="32"/>
          <w:szCs w:val="32"/>
        </w:rPr>
        <w:t>%</w:t>
      </w:r>
      <w:r>
        <w:rPr>
          <w:rStyle w:val="14"/>
          <w:rFonts w:hint="eastAsia" w:ascii="仿宋" w:eastAsia="仿宋"/>
          <w:b w:val="0"/>
          <w:bCs/>
          <w:sz w:val="32"/>
          <w:szCs w:val="32"/>
        </w:rPr>
        <w:t>，决算数等于预算数。</w:t>
      </w:r>
    </w:p>
    <w:p>
      <w:pPr>
        <w:spacing w:line="600" w:lineRule="exact"/>
        <w:ind w:firstLine="640"/>
        <w:rPr>
          <w:rStyle w:val="17"/>
          <w:color w:val="FF0000"/>
        </w:rPr>
      </w:pPr>
      <w:r>
        <w:rPr>
          <w:rFonts w:hint="eastAsia" w:ascii="黑体" w:eastAsia="黑体"/>
          <w:sz w:val="32"/>
          <w:szCs w:val="32"/>
        </w:rPr>
        <w:t>六</w:t>
      </w:r>
      <w:r>
        <w:rPr>
          <w:rFonts w:hint="eastAsia" w:ascii="黑体" w:eastAsia="黑体"/>
          <w:b/>
          <w:sz w:val="32"/>
          <w:szCs w:val="32"/>
        </w:rPr>
        <w:t>、一</w:t>
      </w:r>
      <w:r>
        <w:rPr>
          <w:rStyle w:val="17"/>
          <w:rFonts w:hint="eastAsia" w:ascii="黑体" w:eastAsia="黑体"/>
          <w:b w:val="0"/>
        </w:rPr>
        <w:t>般公共预算财政拨款基本支出决算情况说明</w:t>
      </w:r>
      <w:bookmarkEnd w:id="40"/>
      <w:bookmarkEnd w:id="41"/>
      <w:r>
        <w:rPr>
          <w:rStyle w:val="17"/>
          <w:rFonts w:ascii="黑体" w:eastAsia="黑体"/>
          <w:b w:val="0"/>
          <w:color w:val="FF0000"/>
        </w:rPr>
        <w:tab/>
      </w:r>
    </w:p>
    <w:p>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20年一般公共预算财政拨款基本支出495.61万元，其中：</w:t>
      </w:r>
    </w:p>
    <w:p>
      <w:pPr>
        <w:spacing w:line="600" w:lineRule="exact"/>
        <w:ind w:firstLine="645"/>
        <w:rPr>
          <w:rFonts w:ascii="仿宋" w:eastAsia="仿宋"/>
          <w:color w:val="FF0000"/>
          <w:sz w:val="32"/>
          <w:szCs w:val="32"/>
        </w:rPr>
      </w:pPr>
      <w:r>
        <w:rPr>
          <w:rFonts w:hint="eastAsia" w:ascii="仿宋" w:eastAsia="仿宋"/>
          <w:sz w:val="32"/>
          <w:szCs w:val="32"/>
        </w:rPr>
        <w:t>人员经费404.66万元，主要包括：基本工资69.01万元、津贴补贴94.57万元、奖金6.03万元、机关事业单位基本养老保险缴费24.02万元、职业年金缴费12.01万元、职工基本医疗保险缴费10.98万元、公务员医疗补助缴费3.64万元、其他社会保障缴费0.68万元、住房公积金24.89万元、其他工资福利支出87.94万元、生活补助0.95万元、奖励金69.94万元等。</w:t>
      </w:r>
      <w:r>
        <w:rPr>
          <w:rFonts w:ascii="仿宋" w:eastAsia="仿宋"/>
          <w:sz w:val="32"/>
          <w:szCs w:val="32"/>
        </w:rPr>
        <w:br w:type="textWrapping"/>
      </w:r>
      <w:r>
        <w:rPr>
          <w:rFonts w:hint="eastAsia" w:ascii="仿宋" w:eastAsia="仿宋"/>
          <w:color w:val="FF0000"/>
          <w:sz w:val="32"/>
          <w:szCs w:val="32"/>
        </w:rPr>
        <w:t>　　</w:t>
      </w:r>
      <w:r>
        <w:rPr>
          <w:rFonts w:hint="eastAsia" w:ascii="仿宋" w:eastAsia="仿宋"/>
          <w:sz w:val="32"/>
          <w:szCs w:val="32"/>
        </w:rPr>
        <w:t>公用经费90.95万元，主要包括：办公费19.00万元、印刷费23.95万元、手续费0.06万元、电费0.40万元、邮电费2.40万元、取暖费0.10万元、差旅费14.58万元、因公出国（境）费用0万元、维修（护）费1万元、公务接待费0.67万元、劳务费1.00万元、委托业务费2.79万元、公务用车运行维护费19.00万元、其他交通费6.00万元等。</w:t>
      </w:r>
    </w:p>
    <w:p>
      <w:pPr>
        <w:spacing w:line="600" w:lineRule="exact"/>
        <w:ind w:firstLine="640" w:firstLineChars="200"/>
        <w:outlineLvl w:val="1"/>
        <w:rPr>
          <w:rStyle w:val="17"/>
          <w:rFonts w:ascii="黑体" w:eastAsia="黑体"/>
          <w:b w:val="0"/>
        </w:rPr>
      </w:pPr>
      <w:bookmarkStart w:id="42" w:name="_Toc15396609"/>
      <w:bookmarkStart w:id="43" w:name="_Toc15377215"/>
      <w:r>
        <w:rPr>
          <w:rFonts w:hint="eastAsia" w:ascii="黑体" w:eastAsia="黑体"/>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sz w:val="32"/>
          <w:szCs w:val="32"/>
        </w:rPr>
      </w:pPr>
      <w:bookmarkStart w:id="44" w:name="_Toc15377216"/>
      <w:r>
        <w:rPr>
          <w:rFonts w:hint="eastAsia" w:ascii="仿宋" w:eastAsia="仿宋"/>
          <w:b/>
          <w:sz w:val="32"/>
          <w:szCs w:val="32"/>
        </w:rPr>
        <w:t>（一）“三公”经费财政拨款支出决算总体情况说明</w:t>
      </w:r>
      <w:bookmarkEnd w:id="44"/>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20年“三公”经费财政拨款支出决算为19.67万元，完成预算100</w:t>
      </w:r>
      <w:r>
        <w:rPr>
          <w:rFonts w:ascii="仿宋" w:eastAsia="仿宋"/>
          <w:sz w:val="32"/>
          <w:szCs w:val="32"/>
        </w:rPr>
        <w:t>%</w:t>
      </w:r>
      <w:r>
        <w:rPr>
          <w:rFonts w:hint="eastAsia" w:ascii="仿宋" w:eastAsia="仿宋"/>
          <w:sz w:val="32"/>
          <w:szCs w:val="32"/>
        </w:rPr>
        <w:t>，决算数与预算数持平。</w:t>
      </w:r>
    </w:p>
    <w:p>
      <w:pPr>
        <w:spacing w:line="600" w:lineRule="exact"/>
        <w:ind w:firstLine="640"/>
        <w:outlineLvl w:val="2"/>
        <w:rPr>
          <w:rFonts w:ascii="仿宋" w:eastAsia="仿宋"/>
          <w:b/>
          <w:sz w:val="32"/>
          <w:szCs w:val="32"/>
        </w:rPr>
      </w:pPr>
      <w:bookmarkStart w:id="45" w:name="_Toc15377217"/>
      <w:r>
        <w:rPr>
          <w:rFonts w:hint="eastAsia" w:ascii="仿宋" w:eastAsia="仿宋"/>
          <w:b/>
          <w:sz w:val="32"/>
          <w:szCs w:val="32"/>
        </w:rPr>
        <w:t>（二）“三公”经费财政拨款支出决算具体情况说明</w:t>
      </w:r>
      <w:bookmarkEnd w:id="45"/>
    </w:p>
    <w:p>
      <w:pPr>
        <w:spacing w:line="600" w:lineRule="exact"/>
        <w:ind w:firstLine="640"/>
        <w:rPr>
          <w:rFonts w:ascii="仿宋" w:eastAsia="仿宋"/>
          <w:color w:val="FF0000"/>
          <w:sz w:val="32"/>
          <w:szCs w:val="32"/>
        </w:rPr>
      </w:pPr>
      <w:r>
        <w:rPr>
          <w:rFonts w:ascii="仿宋" w:eastAsia="仿宋"/>
          <w:sz w:val="32"/>
          <w:szCs w:val="32"/>
        </w:rPr>
        <w:t>20</w:t>
      </w:r>
      <w:r>
        <w:rPr>
          <w:rFonts w:hint="eastAsia" w:ascii="仿宋" w:eastAsia="仿宋"/>
          <w:sz w:val="32"/>
          <w:szCs w:val="32"/>
        </w:rPr>
        <w:t>20年“三公”经费财政拨款支出决算19.67万元，其中：因公出国（境）费支出决算0万元，占0</w:t>
      </w:r>
      <w:r>
        <w:rPr>
          <w:rFonts w:ascii="仿宋" w:eastAsia="仿宋"/>
          <w:sz w:val="32"/>
          <w:szCs w:val="32"/>
        </w:rPr>
        <w:t>%</w:t>
      </w:r>
      <w:r>
        <w:rPr>
          <w:rFonts w:hint="eastAsia" w:ascii="仿宋" w:eastAsia="仿宋"/>
          <w:sz w:val="32"/>
          <w:szCs w:val="32"/>
        </w:rPr>
        <w:t>；公务用车购置及运行维护费支出决算19.00万元，占96.59</w:t>
      </w:r>
      <w:r>
        <w:rPr>
          <w:rFonts w:ascii="仿宋" w:eastAsia="仿宋"/>
          <w:sz w:val="32"/>
          <w:szCs w:val="32"/>
        </w:rPr>
        <w:t>%</w:t>
      </w:r>
      <w:r>
        <w:rPr>
          <w:rFonts w:hint="eastAsia" w:ascii="仿宋" w:eastAsia="仿宋"/>
          <w:sz w:val="32"/>
          <w:szCs w:val="32"/>
        </w:rPr>
        <w:t>；公务接待费支出决算0.67万元，占3.41</w:t>
      </w:r>
      <w:r>
        <w:rPr>
          <w:rFonts w:ascii="仿宋" w:eastAsia="仿宋"/>
          <w:sz w:val="32"/>
          <w:szCs w:val="32"/>
        </w:rPr>
        <w:t>%</w:t>
      </w:r>
      <w:r>
        <w:rPr>
          <w:rFonts w:hint="eastAsia" w:ascii="仿宋" w:eastAsia="仿宋"/>
          <w:sz w:val="32"/>
          <w:szCs w:val="32"/>
        </w:rPr>
        <w:t>。具体情况如下：</w:t>
      </w: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ind w:firstLine="640"/>
        <w:rPr>
          <w:rFonts w:ascii="仿宋" w:eastAsia="仿宋"/>
          <w:color w:val="FF0000"/>
          <w:sz w:val="32"/>
          <w:szCs w:val="32"/>
        </w:rPr>
      </w:pPr>
      <w:r>
        <w:drawing>
          <wp:anchor distT="0" distB="0" distL="114300" distR="114300" simplePos="0" relativeHeight="251659264" behindDoc="0" locked="0" layoutInCell="1" allowOverlap="1">
            <wp:simplePos x="0" y="0"/>
            <wp:positionH relativeFrom="column">
              <wp:posOffset>410845</wp:posOffset>
            </wp:positionH>
            <wp:positionV relativeFrom="paragraph">
              <wp:posOffset>-2091055</wp:posOffset>
            </wp:positionV>
            <wp:extent cx="4572000" cy="2378710"/>
            <wp:effectExtent l="4445" t="4445" r="14605" b="17145"/>
            <wp:wrapSquare wrapText="bothSides"/>
            <wp:docPr id="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3" w:firstLineChars="200"/>
        <w:rPr>
          <w:rStyle w:val="14"/>
          <w:rFonts w:ascii="仿宋" w:eastAsia="仿宋"/>
          <w:b w:val="0"/>
          <w:bCs/>
          <w:sz w:val="32"/>
          <w:szCs w:val="32"/>
        </w:rPr>
      </w:pPr>
      <w:r>
        <w:rPr>
          <w:rFonts w:hint="eastAsia" w:ascii="仿宋_GB2312" w:eastAsia="仿宋_GB2312"/>
          <w:b/>
          <w:sz w:val="32"/>
          <w:szCs w:val="32"/>
        </w:rPr>
        <w:t>1、因公出国（境）经费支出</w:t>
      </w:r>
      <w:r>
        <w:rPr>
          <w:rFonts w:hint="eastAsia" w:ascii="仿宋_GB2312" w:eastAsia="仿宋_GB2312"/>
          <w:sz w:val="32"/>
          <w:szCs w:val="32"/>
        </w:rPr>
        <w:t>0万元</w:t>
      </w:r>
      <w:r>
        <w:rPr>
          <w:rStyle w:val="14"/>
          <w:rFonts w:hint="eastAsia" w:ascii="仿宋" w:eastAsia="仿宋"/>
          <w:b w:val="0"/>
          <w:bCs/>
          <w:sz w:val="32"/>
          <w:szCs w:val="32"/>
        </w:rPr>
        <w:t>。</w:t>
      </w:r>
    </w:p>
    <w:p>
      <w:pPr>
        <w:spacing w:line="600" w:lineRule="exact"/>
        <w:ind w:firstLine="643" w:firstLineChars="200"/>
        <w:rPr>
          <w:rFonts w:ascii="仿宋_GB2312" w:eastAsia="仿宋_GB2312"/>
          <w:b/>
          <w:color w:val="FF0000"/>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rPr>
        <w:t>19.00万元</w:t>
      </w:r>
      <w:r>
        <w:rPr>
          <w:rFonts w:hint="eastAsia" w:ascii="仿宋_GB2312" w:eastAsia="仿宋_GB2312"/>
          <w:sz w:val="32"/>
          <w:szCs w:val="32"/>
          <w:lang w:eastAsia="zh-CN"/>
        </w:rPr>
        <w:t>，</w:t>
      </w:r>
      <w:r>
        <w:rPr>
          <w:rStyle w:val="14"/>
          <w:rFonts w:hint="eastAsia" w:ascii="仿宋" w:eastAsia="仿宋"/>
          <w:b w:val="0"/>
          <w:bCs/>
          <w:sz w:val="32"/>
          <w:szCs w:val="32"/>
        </w:rPr>
        <w:t>完成预算100</w:t>
      </w:r>
      <w:r>
        <w:rPr>
          <w:rStyle w:val="14"/>
          <w:rFonts w:ascii="仿宋" w:eastAsia="仿宋"/>
          <w:b w:val="0"/>
          <w:bCs/>
          <w:sz w:val="32"/>
          <w:szCs w:val="32"/>
        </w:rPr>
        <w:t>%</w:t>
      </w:r>
      <w:r>
        <w:rPr>
          <w:rStyle w:val="14"/>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201</w:t>
      </w:r>
      <w:r>
        <w:rPr>
          <w:rFonts w:hint="eastAsia" w:ascii="仿宋_GB2312" w:eastAsia="仿宋_GB2312"/>
          <w:sz w:val="32"/>
          <w:szCs w:val="32"/>
        </w:rPr>
        <w:t>9年减少21万元，减少52.5</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s="仿宋"/>
          <w:sz w:val="32"/>
          <w:szCs w:val="32"/>
        </w:rPr>
        <w:t>减少原因主要是厉行节约。</w:t>
      </w:r>
    </w:p>
    <w:p>
      <w:pPr>
        <w:autoSpaceDE w:val="0"/>
        <w:autoSpaceDN w:val="0"/>
        <w:adjustRightInd w:val="0"/>
        <w:spacing w:line="600" w:lineRule="exact"/>
        <w:ind w:firstLine="640" w:firstLineChars="200"/>
        <w:jc w:val="left"/>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rPr>
        <w:t>0万元。全年按规定更新购置公务用车0辆。截至</w:t>
      </w:r>
      <w:r>
        <w:rPr>
          <w:rFonts w:ascii="仿宋_GB2312" w:eastAsia="仿宋_GB2312"/>
          <w:sz w:val="32"/>
          <w:szCs w:val="32"/>
        </w:rPr>
        <w:t>201</w:t>
      </w:r>
      <w:r>
        <w:rPr>
          <w:rFonts w:hint="eastAsia" w:ascii="仿宋_GB2312" w:eastAsia="仿宋_GB2312"/>
          <w:sz w:val="32"/>
          <w:szCs w:val="32"/>
        </w:rPr>
        <w:t>9年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日，共有车辆1辆，其中：部级领导干部用车0辆、主要领导干部用车0辆、机要通信用车0辆、应急保障用车1辆、执法执勤用车0辆、特种专业技术用车0辆、离退休干部用车0辆、其他用车0辆。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rPr>
        <w:t>19.00万元。主要用我单位所需的公务用车燃料费、维修费、过路过桥费、保险费等支出。</w:t>
      </w:r>
    </w:p>
    <w:p>
      <w:pPr>
        <w:spacing w:line="600" w:lineRule="exact"/>
        <w:ind w:firstLine="643" w:firstLineChars="200"/>
        <w:rPr>
          <w:rFonts w:ascii="仿宋_GB2312" w:eastAsia="仿宋_GB2312" w:cs="仿宋"/>
          <w:sz w:val="32"/>
          <w:szCs w:val="32"/>
        </w:rPr>
      </w:pPr>
      <w:r>
        <w:rPr>
          <w:rFonts w:hint="eastAsia" w:ascii="仿宋_GB2312" w:eastAsia="仿宋_GB2312"/>
          <w:b/>
          <w:sz w:val="32"/>
          <w:szCs w:val="32"/>
        </w:rPr>
        <w:t>3、公务接待费支出</w:t>
      </w:r>
      <w:r>
        <w:rPr>
          <w:rFonts w:hint="eastAsia" w:ascii="仿宋_GB2312" w:eastAsia="仿宋_GB2312"/>
          <w:sz w:val="32"/>
          <w:szCs w:val="32"/>
        </w:rPr>
        <w:t>0.67万元，</w:t>
      </w:r>
      <w:r>
        <w:rPr>
          <w:rStyle w:val="14"/>
          <w:rFonts w:hint="eastAsia" w:ascii="仿宋" w:eastAsia="仿宋"/>
          <w:b w:val="0"/>
          <w:bCs/>
          <w:sz w:val="32"/>
          <w:szCs w:val="32"/>
        </w:rPr>
        <w:t>完成预算100</w:t>
      </w:r>
      <w:r>
        <w:rPr>
          <w:rStyle w:val="14"/>
          <w:rFonts w:ascii="仿宋" w:eastAsia="仿宋"/>
          <w:b w:val="0"/>
          <w:bCs/>
          <w:sz w:val="32"/>
          <w:szCs w:val="32"/>
        </w:rPr>
        <w:t>%</w:t>
      </w:r>
      <w:r>
        <w:rPr>
          <w:rStyle w:val="14"/>
          <w:rFonts w:hint="eastAsia" w:ascii="仿宋" w:eastAsia="仿宋"/>
          <w:b w:val="0"/>
          <w:bCs/>
          <w:sz w:val="32"/>
          <w:szCs w:val="32"/>
        </w:rPr>
        <w:t>。</w:t>
      </w:r>
      <w:r>
        <w:rPr>
          <w:rFonts w:hint="eastAsia" w:ascii="仿宋_GB2312" w:eastAsia="仿宋_GB2312" w:cs="仿宋"/>
          <w:sz w:val="32"/>
          <w:szCs w:val="32"/>
        </w:rPr>
        <w:t>公务接待费0.67万元，与上年相同。</w:t>
      </w:r>
    </w:p>
    <w:p>
      <w:pPr>
        <w:spacing w:line="600" w:lineRule="exact"/>
        <w:ind w:firstLine="640" w:firstLineChars="200"/>
        <w:rPr>
          <w:rFonts w:ascii="仿宋_GB2312" w:eastAsia="仿宋_GB2312"/>
          <w:color w:val="FF0000"/>
          <w:sz w:val="32"/>
          <w:szCs w:val="32"/>
        </w:rPr>
      </w:pPr>
      <w:r>
        <w:rPr>
          <w:rFonts w:hint="eastAsia" w:ascii="仿宋_GB2312" w:eastAsia="仿宋_GB2312"/>
          <w:sz w:val="32"/>
          <w:szCs w:val="32"/>
        </w:rPr>
        <w:t>主要用于执行公务、开展业务活动开支的用餐费等。国内公务接待4批次，70人次，共计支出0.67万元。</w:t>
      </w:r>
    </w:p>
    <w:p>
      <w:pPr>
        <w:spacing w:line="600" w:lineRule="exact"/>
        <w:ind w:firstLine="640"/>
        <w:outlineLvl w:val="1"/>
        <w:rPr>
          <w:rFonts w:ascii="仿宋_GB2312" w:eastAsia="仿宋_GB2312"/>
          <w:color w:val="FF0000"/>
          <w:sz w:val="32"/>
          <w:szCs w:val="32"/>
        </w:rPr>
      </w:pPr>
      <w:r>
        <w:rPr>
          <w:rFonts w:hint="eastAsia" w:ascii="仿宋" w:eastAsia="仿宋"/>
          <w:b/>
          <w:sz w:val="32"/>
          <w:szCs w:val="32"/>
        </w:rPr>
        <w:t>外事接待支出</w:t>
      </w:r>
      <w:r>
        <w:rPr>
          <w:rFonts w:hint="eastAsia" w:ascii="仿宋" w:eastAsia="仿宋"/>
          <w:sz w:val="32"/>
          <w:szCs w:val="32"/>
        </w:rPr>
        <w:t>0</w:t>
      </w:r>
      <w:r>
        <w:rPr>
          <w:rFonts w:hint="eastAsia" w:ascii="仿宋_GB2312" w:eastAsia="仿宋_GB2312"/>
          <w:sz w:val="32"/>
          <w:szCs w:val="32"/>
        </w:rPr>
        <w:t>万元，外事接待0批次，0人，共计支出0万元。</w:t>
      </w:r>
      <w:bookmarkStart w:id="46" w:name="_Toc15396610"/>
      <w:bookmarkStart w:id="47" w:name="_Toc15377218"/>
    </w:p>
    <w:p>
      <w:pPr>
        <w:spacing w:line="600" w:lineRule="exact"/>
        <w:ind w:firstLine="640"/>
        <w:outlineLvl w:val="1"/>
        <w:rPr>
          <w:rStyle w:val="17"/>
          <w:rFonts w:ascii="黑体" w:eastAsia="黑体"/>
        </w:rPr>
      </w:pPr>
      <w:r>
        <w:rPr>
          <w:rFonts w:hint="eastAsia" w:ascii="黑体" w:eastAsia="黑体"/>
          <w:sz w:val="32"/>
          <w:szCs w:val="32"/>
        </w:rPr>
        <w:t>八、</w:t>
      </w:r>
      <w:r>
        <w:rPr>
          <w:rStyle w:val="17"/>
          <w:rFonts w:hint="eastAsia" w:ascii="黑体" w:eastAsia="黑体"/>
          <w:b w:val="0"/>
        </w:rPr>
        <w:t>政府性基金预算支出决算情况说明</w:t>
      </w:r>
      <w:bookmarkEnd w:id="46"/>
      <w:bookmarkEnd w:id="47"/>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20年政府性基金预算拨款支出0万元。</w:t>
      </w:r>
    </w:p>
    <w:p>
      <w:pPr>
        <w:numPr>
          <w:ilvl w:val="0"/>
          <w:numId w:val="1"/>
        </w:numPr>
        <w:spacing w:line="600" w:lineRule="exact"/>
        <w:ind w:firstLine="640"/>
        <w:outlineLvl w:val="1"/>
        <w:rPr>
          <w:rStyle w:val="17"/>
          <w:rFonts w:ascii="黑体" w:eastAsia="黑体"/>
          <w:b w:val="0"/>
        </w:rPr>
      </w:pPr>
      <w:bookmarkStart w:id="48" w:name="_Toc15396611"/>
      <w:bookmarkStart w:id="49" w:name="_Toc15377219"/>
      <w:r>
        <w:rPr>
          <w:rStyle w:val="17"/>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20年国有资本经营预算拨款支出0万元。</w:t>
      </w:r>
    </w:p>
    <w:p>
      <w:pPr>
        <w:pStyle w:val="22"/>
        <w:numPr>
          <w:ilvl w:val="0"/>
          <w:numId w:val="2"/>
        </w:numPr>
        <w:spacing w:line="580" w:lineRule="exact"/>
        <w:ind w:firstLineChars="0"/>
        <w:rPr>
          <w:rStyle w:val="17"/>
          <w:rFonts w:ascii="黑体" w:eastAsia="黑体"/>
          <w:b w:val="0"/>
        </w:rPr>
      </w:pPr>
      <w:r>
        <w:rPr>
          <w:rStyle w:val="17"/>
          <w:rFonts w:hint="eastAsia" w:ascii="黑体" w:eastAsia="黑体"/>
          <w:b w:val="0"/>
        </w:rPr>
        <w:t>预算绩效情况说明</w:t>
      </w:r>
    </w:p>
    <w:p>
      <w:pPr>
        <w:numPr>
          <w:ilvl w:val="0"/>
          <w:numId w:val="3"/>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我单位根据《金川县财政局关于开展2021年部门、政策和项目支出绩效工作的通知》（金财监绩〔2021〕26号）文件要求，对2020年部门整体支出开展绩效自评。本单位还组织了1个项目绩效评价，从评价情况来看我单位年初预算项目基本按照绩效目标完成支付。</w:t>
      </w:r>
    </w:p>
    <w:p>
      <w:pPr>
        <w:numPr>
          <w:ilvl w:val="0"/>
          <w:numId w:val="3"/>
        </w:numPr>
        <w:spacing w:line="580" w:lineRule="exact"/>
        <w:ind w:firstLine="643" w:firstLineChars="200"/>
        <w:jc w:val="left"/>
        <w:rPr>
          <w:rFonts w:ascii="仿宋_GB2312" w:eastAsia="仿宋_GB2312" w:cs="仿宋_GB2312"/>
          <w:sz w:val="32"/>
          <w:szCs w:val="32"/>
        </w:rPr>
      </w:pPr>
      <w:r>
        <w:rPr>
          <w:rFonts w:hint="eastAsia" w:ascii="仿宋" w:eastAsia="仿宋" w:cs="楷体_GB2312"/>
          <w:b/>
          <w:bCs/>
          <w:sz w:val="32"/>
          <w:szCs w:val="32"/>
        </w:rPr>
        <w:t>项目绩效目标完成情况。</w:t>
      </w:r>
      <w:r>
        <w:rPr>
          <w:rFonts w:hint="eastAsia" w:ascii="楷体_GB2312" w:eastAsia="楷体_GB2312" w:cs="楷体_GB2312"/>
          <w:b/>
          <w:bCs/>
          <w:sz w:val="32"/>
          <w:szCs w:val="32"/>
        </w:rPr>
        <w:br w:type="textWrapping"/>
      </w:r>
      <w:r>
        <w:rPr>
          <w:rFonts w:hint="eastAsia" w:ascii="仿宋_GB2312" w:eastAsia="仿宋_GB2312" w:cs="仿宋_GB2312"/>
          <w:sz w:val="32"/>
          <w:szCs w:val="32"/>
        </w:rPr>
        <w:t xml:space="preserve">   我单位在2020年度部门决算中反映“观音镇、安宁镇、勒乌镇综治中心设备采购及安装工程”1个项目绩效目标实际完成情况。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“观音镇、安宁镇、勒乌镇综治中心设备采购及安装工程”项目绩效目标完成情况综述。项目全年预算数150万元，执行数为150 万元，完成预算的100%。该项目建设是为推进平安乡镇、平安村庄建设，加强农村社会治安工作，推进县乡村三级综治中心建设，构建农村立体化社会治安防控体系。</w:t>
      </w:r>
    </w:p>
    <w:tbl>
      <w:tblPr>
        <w:tblStyle w:val="12"/>
        <w:tblpPr w:leftFromText="180" w:rightFromText="180" w:vertAnchor="text" w:horzAnchor="page" w:tblpXSpec="center" w:tblpY="423"/>
        <w:tblOverlap w:val="never"/>
        <w:tblW w:w="8623" w:type="dxa"/>
        <w:tblInd w:w="449" w:type="dxa"/>
        <w:tblLayout w:type="fixed"/>
        <w:tblCellMar>
          <w:top w:w="0" w:type="dxa"/>
          <w:left w:w="0" w:type="dxa"/>
          <w:bottom w:w="0" w:type="dxa"/>
          <w:right w:w="0" w:type="dxa"/>
        </w:tblCellMar>
      </w:tblPr>
      <w:tblGrid>
        <w:gridCol w:w="800"/>
        <w:gridCol w:w="508"/>
        <w:gridCol w:w="1267"/>
        <w:gridCol w:w="2150"/>
        <w:gridCol w:w="2394"/>
        <w:gridCol w:w="1504"/>
      </w:tblGrid>
      <w:tr>
        <w:tblPrEx>
          <w:tblCellMar>
            <w:top w:w="0" w:type="dxa"/>
            <w:left w:w="0" w:type="dxa"/>
            <w:bottom w:w="0" w:type="dxa"/>
            <w:right w:w="0" w:type="dxa"/>
          </w:tblCellMar>
        </w:tblPrEx>
        <w:trPr>
          <w:trHeight w:val="1034" w:hRule="atLeast"/>
        </w:trPr>
        <w:tc>
          <w:tcPr>
            <w:tcW w:w="8623" w:type="dxa"/>
            <w:gridSpan w:val="6"/>
            <w:noWrap/>
            <w:tcMar>
              <w:top w:w="15" w:type="dxa"/>
              <w:left w:w="15" w:type="dxa"/>
              <w:right w:w="15" w:type="dxa"/>
            </w:tcMar>
            <w:vAlign w:val="center"/>
          </w:tcPr>
          <w:p>
            <w:pPr>
              <w:pStyle w:val="22"/>
              <w:widowControl/>
              <w:ind w:left="4173" w:leftChars="1310" w:hanging="1422" w:hangingChars="395"/>
              <w:textAlignment w:val="center"/>
              <w:rPr>
                <w:rFonts w:ascii="宋体" w:cs="宋体"/>
                <w:sz w:val="36"/>
                <w:szCs w:val="36"/>
              </w:rPr>
            </w:pPr>
            <w:r>
              <w:rPr>
                <w:rFonts w:hint="eastAsia" w:ascii="黑体" w:eastAsia="黑体" w:cs="宋体"/>
                <w:bCs/>
                <w:kern w:val="0"/>
                <w:sz w:val="36"/>
                <w:szCs w:val="36"/>
              </w:rPr>
              <w:t>项目支出绩效目标完成情况表</w:t>
            </w:r>
            <w:r>
              <w:rPr>
                <w:rFonts w:hint="eastAsia" w:ascii="宋体" w:cs="宋体"/>
                <w:b/>
                <w:bCs/>
                <w:kern w:val="0"/>
                <w:sz w:val="36"/>
                <w:szCs w:val="36"/>
              </w:rPr>
              <w:br w:type="textWrapping"/>
            </w:r>
            <w:r>
              <w:rPr>
                <w:rFonts w:hint="eastAsia" w:ascii="宋体" w:cs="宋体"/>
                <w:kern w:val="0"/>
                <w:sz w:val="36"/>
                <w:szCs w:val="36"/>
              </w:rPr>
              <w:t>(2020年度</w:t>
            </w:r>
            <w:r>
              <w:rPr>
                <w:rFonts w:hint="eastAsia" w:ascii="宋体" w:cs="宋体"/>
                <w:kern w:val="0"/>
                <w:sz w:val="36"/>
                <w:szCs w:val="36"/>
                <w:lang w:eastAsia="zh-CN"/>
              </w:rPr>
              <w:t>）</w:t>
            </w:r>
          </w:p>
        </w:tc>
      </w:tr>
      <w:tr>
        <w:tblPrEx>
          <w:tblCellMar>
            <w:top w:w="0" w:type="dxa"/>
            <w:left w:w="0" w:type="dxa"/>
            <w:bottom w:w="0" w:type="dxa"/>
            <w:right w:w="0" w:type="dxa"/>
          </w:tblCellMar>
        </w:tblPrEx>
        <w:trPr>
          <w:trHeight w:val="276" w:hRule="atLeast"/>
        </w:trPr>
        <w:tc>
          <w:tcPr>
            <w:tcW w:w="257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kern w:val="0"/>
                <w:sz w:val="24"/>
              </w:rPr>
              <w:t>项目名称</w:t>
            </w:r>
          </w:p>
        </w:tc>
        <w:tc>
          <w:tcPr>
            <w:tcW w:w="604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仿宋_GB2312" w:eastAsia="仿宋_GB2312" w:cs="仿宋_GB2312"/>
                <w:sz w:val="24"/>
              </w:rPr>
              <w:t>观音镇、安宁镇、勒乌镇综治中心设备采购及安装工程</w:t>
            </w:r>
          </w:p>
        </w:tc>
      </w:tr>
      <w:tr>
        <w:tblPrEx>
          <w:tblCellMar>
            <w:top w:w="0" w:type="dxa"/>
            <w:left w:w="0" w:type="dxa"/>
            <w:bottom w:w="0" w:type="dxa"/>
            <w:right w:w="0" w:type="dxa"/>
          </w:tblCellMar>
        </w:tblPrEx>
        <w:trPr>
          <w:trHeight w:val="276" w:hRule="atLeast"/>
        </w:trPr>
        <w:tc>
          <w:tcPr>
            <w:tcW w:w="257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kern w:val="0"/>
                <w:sz w:val="24"/>
              </w:rPr>
              <w:t>预算单位</w:t>
            </w:r>
          </w:p>
        </w:tc>
        <w:tc>
          <w:tcPr>
            <w:tcW w:w="604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sz w:val="24"/>
              </w:rPr>
              <w:t>中共金川县委政法委员会</w:t>
            </w:r>
          </w:p>
        </w:tc>
      </w:tr>
      <w:tr>
        <w:tblPrEx>
          <w:tblCellMar>
            <w:top w:w="0" w:type="dxa"/>
            <w:left w:w="0" w:type="dxa"/>
            <w:bottom w:w="0" w:type="dxa"/>
            <w:right w:w="0" w:type="dxa"/>
          </w:tblCellMar>
        </w:tblPrEx>
        <w:trPr>
          <w:trHeight w:val="276" w:hRule="atLeast"/>
        </w:trPr>
        <w:tc>
          <w:tcPr>
            <w:tcW w:w="8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kern w:val="0"/>
                <w:sz w:val="24"/>
              </w:rPr>
              <w:t>预算执行情况</w:t>
            </w:r>
            <w:r>
              <w:rPr>
                <w:rFonts w:hint="eastAsia" w:ascii="宋体" w:cs="宋体"/>
                <w:kern w:val="0"/>
                <w:sz w:val="24"/>
                <w:lang w:eastAsia="zh-CN"/>
              </w:rPr>
              <w:t>（</w:t>
            </w:r>
            <w:r>
              <w:rPr>
                <w:rFonts w:hint="eastAsia" w:ascii="宋体" w:cs="宋体"/>
                <w:kern w:val="0"/>
                <w:sz w:val="24"/>
              </w:rPr>
              <w:t>万元</w:t>
            </w:r>
            <w:r>
              <w:rPr>
                <w:rFonts w:hint="eastAsia" w:ascii="宋体" w:cs="宋体"/>
                <w:kern w:val="0"/>
                <w:sz w:val="24"/>
                <w:lang w:eastAsia="zh-CN"/>
              </w:rPr>
              <w:t>）</w:t>
            </w:r>
          </w:p>
        </w:tc>
        <w:tc>
          <w:tcPr>
            <w:tcW w:w="177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kern w:val="0"/>
                <w:sz w:val="24"/>
              </w:rPr>
              <w:t>预算数</w:t>
            </w:r>
            <w:r>
              <w:rPr>
                <w:rFonts w:hint="eastAsia" w:ascii="宋体" w:cs="宋体"/>
                <w:kern w:val="0"/>
                <w:sz w:val="24"/>
                <w:lang w:eastAsia="zh-CN"/>
              </w:rPr>
              <w:t>：</w:t>
            </w:r>
          </w:p>
        </w:tc>
        <w:tc>
          <w:tcPr>
            <w:tcW w:w="21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sz w:val="24"/>
              </w:rPr>
              <w:t>150万元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kern w:val="0"/>
                <w:sz w:val="24"/>
              </w:rPr>
              <w:t>执行数</w:t>
            </w:r>
            <w:r>
              <w:rPr>
                <w:rFonts w:hint="eastAsia" w:ascii="宋体" w:cs="宋体"/>
                <w:kern w:val="0"/>
                <w:sz w:val="24"/>
                <w:lang w:eastAsia="zh-CN"/>
              </w:rPr>
              <w:t>：</w:t>
            </w:r>
          </w:p>
        </w:tc>
        <w:tc>
          <w:tcPr>
            <w:tcW w:w="15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sz w:val="24"/>
              </w:rPr>
              <w:t>150万元</w:t>
            </w:r>
          </w:p>
        </w:tc>
      </w:tr>
      <w:tr>
        <w:tblPrEx>
          <w:tblCellMar>
            <w:top w:w="0" w:type="dxa"/>
            <w:left w:w="0" w:type="dxa"/>
            <w:bottom w:w="0" w:type="dxa"/>
            <w:right w:w="0" w:type="dxa"/>
          </w:tblCellMar>
        </w:tblPrEx>
        <w:trPr>
          <w:trHeight w:val="276" w:hRule="atLeast"/>
        </w:trPr>
        <w:tc>
          <w:tcPr>
            <w:tcW w:w="80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77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kern w:val="0"/>
                <w:sz w:val="24"/>
              </w:rPr>
              <w:t>其中</w:t>
            </w:r>
            <w:r>
              <w:rPr>
                <w:rFonts w:hint="eastAsia" w:ascii="宋体" w:cs="宋体"/>
                <w:kern w:val="0"/>
                <w:sz w:val="24"/>
                <w:lang w:eastAsia="zh-CN"/>
              </w:rPr>
              <w:t>－</w:t>
            </w:r>
            <w:r>
              <w:rPr>
                <w:rFonts w:hint="eastAsia" w:ascii="宋体" w:cs="宋体"/>
                <w:kern w:val="0"/>
                <w:sz w:val="24"/>
              </w:rPr>
              <w:t>财政拨款</w:t>
            </w:r>
            <w:r>
              <w:rPr>
                <w:rFonts w:hint="eastAsia" w:ascii="宋体" w:cs="宋体"/>
                <w:kern w:val="0"/>
                <w:sz w:val="24"/>
                <w:lang w:eastAsia="zh-CN"/>
              </w:rPr>
              <w:t>：</w:t>
            </w:r>
          </w:p>
        </w:tc>
        <w:tc>
          <w:tcPr>
            <w:tcW w:w="21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sz w:val="24"/>
              </w:rPr>
              <w:t>150万元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kern w:val="0"/>
                <w:sz w:val="24"/>
              </w:rPr>
              <w:t>其中</w:t>
            </w:r>
            <w:r>
              <w:rPr>
                <w:rFonts w:hint="eastAsia" w:ascii="宋体" w:cs="宋体"/>
                <w:kern w:val="0"/>
                <w:sz w:val="24"/>
                <w:lang w:eastAsia="zh-CN"/>
              </w:rPr>
              <w:t>－</w:t>
            </w:r>
            <w:r>
              <w:rPr>
                <w:rFonts w:hint="eastAsia" w:ascii="宋体" w:cs="宋体"/>
                <w:kern w:val="0"/>
                <w:sz w:val="24"/>
              </w:rPr>
              <w:t>财政拨款</w:t>
            </w:r>
            <w:r>
              <w:rPr>
                <w:rFonts w:hint="eastAsia" w:ascii="宋体" w:cs="宋体"/>
                <w:kern w:val="0"/>
                <w:sz w:val="24"/>
                <w:lang w:eastAsia="zh-CN"/>
              </w:rPr>
              <w:t>：</w:t>
            </w:r>
          </w:p>
        </w:tc>
        <w:tc>
          <w:tcPr>
            <w:tcW w:w="15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sz w:val="24"/>
              </w:rPr>
              <w:t>150万元</w:t>
            </w:r>
          </w:p>
        </w:tc>
      </w:tr>
      <w:tr>
        <w:tblPrEx>
          <w:tblCellMar>
            <w:top w:w="0" w:type="dxa"/>
            <w:left w:w="0" w:type="dxa"/>
            <w:bottom w:w="0" w:type="dxa"/>
            <w:right w:w="0" w:type="dxa"/>
          </w:tblCellMar>
        </w:tblPrEx>
        <w:trPr>
          <w:trHeight w:val="463" w:hRule="atLeast"/>
        </w:trPr>
        <w:tc>
          <w:tcPr>
            <w:tcW w:w="80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77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kern w:val="0"/>
                <w:sz w:val="24"/>
                <w:lang w:eastAsia="zh-CN"/>
              </w:rPr>
              <w:t>其他</w:t>
            </w:r>
            <w:r>
              <w:rPr>
                <w:rFonts w:hint="eastAsia" w:ascii="宋体" w:cs="宋体"/>
                <w:kern w:val="0"/>
                <w:sz w:val="24"/>
              </w:rPr>
              <w:t>资金</w:t>
            </w:r>
            <w:r>
              <w:rPr>
                <w:rFonts w:hint="eastAsia" w:ascii="宋体" w:cs="宋体"/>
                <w:kern w:val="0"/>
                <w:sz w:val="24"/>
                <w:lang w:eastAsia="zh-CN"/>
              </w:rPr>
              <w:t>：</w:t>
            </w:r>
          </w:p>
        </w:tc>
        <w:tc>
          <w:tcPr>
            <w:tcW w:w="21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kern w:val="0"/>
                <w:sz w:val="24"/>
                <w:lang w:eastAsia="zh-CN"/>
              </w:rPr>
              <w:t>其他</w:t>
            </w:r>
            <w:r>
              <w:rPr>
                <w:rFonts w:hint="eastAsia" w:ascii="宋体" w:cs="宋体"/>
                <w:kern w:val="0"/>
                <w:sz w:val="24"/>
              </w:rPr>
              <w:t>资金</w:t>
            </w:r>
            <w:r>
              <w:rPr>
                <w:rFonts w:hint="eastAsia" w:ascii="宋体" w:cs="宋体"/>
                <w:kern w:val="0"/>
                <w:sz w:val="24"/>
                <w:lang w:eastAsia="zh-CN"/>
              </w:rPr>
              <w:t>：</w:t>
            </w:r>
          </w:p>
        </w:tc>
        <w:tc>
          <w:tcPr>
            <w:tcW w:w="15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sz w:val="24"/>
              </w:rPr>
            </w:pPr>
          </w:p>
        </w:tc>
      </w:tr>
      <w:tr>
        <w:tblPrEx>
          <w:tblCellMar>
            <w:top w:w="0" w:type="dxa"/>
            <w:left w:w="0" w:type="dxa"/>
            <w:bottom w:w="0" w:type="dxa"/>
            <w:right w:w="0" w:type="dxa"/>
          </w:tblCellMar>
        </w:tblPrEx>
        <w:trPr>
          <w:trHeight w:val="276" w:hRule="atLeast"/>
        </w:trPr>
        <w:tc>
          <w:tcPr>
            <w:tcW w:w="8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kern w:val="0"/>
                <w:sz w:val="24"/>
              </w:rPr>
              <w:t>年度目标完成情况</w:t>
            </w:r>
          </w:p>
        </w:tc>
        <w:tc>
          <w:tcPr>
            <w:tcW w:w="392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kern w:val="0"/>
                <w:sz w:val="24"/>
              </w:rPr>
              <w:t>预期目标</w:t>
            </w:r>
          </w:p>
        </w:tc>
        <w:tc>
          <w:tcPr>
            <w:tcW w:w="389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kern w:val="0"/>
                <w:sz w:val="24"/>
              </w:rPr>
              <w:t>实际完成目标</w:t>
            </w:r>
          </w:p>
        </w:tc>
      </w:tr>
      <w:tr>
        <w:tblPrEx>
          <w:tblCellMar>
            <w:top w:w="0" w:type="dxa"/>
            <w:left w:w="0" w:type="dxa"/>
            <w:bottom w:w="0" w:type="dxa"/>
            <w:right w:w="0" w:type="dxa"/>
          </w:tblCellMar>
        </w:tblPrEx>
        <w:trPr>
          <w:trHeight w:val="1174" w:hRule="atLeast"/>
        </w:trPr>
        <w:tc>
          <w:tcPr>
            <w:tcW w:w="80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392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sz w:val="24"/>
              </w:rPr>
            </w:pPr>
            <w:r>
              <w:rPr>
                <w:rFonts w:hint="eastAsia" w:ascii="宋体" w:cs="宋体"/>
                <w:sz w:val="24"/>
              </w:rPr>
              <w:t>切实为三个乡镇解决矛盾纠纷化解、网格化管理、群防群治、维护社会稳定、政策咨询、法律援助等提供工作场地和政府民生服务窗口。同时，三个乡镇成功经验可以辐射全县所有乡镇村，为全县综治中心建设提供“可视化”模板。</w:t>
            </w:r>
          </w:p>
        </w:tc>
        <w:tc>
          <w:tcPr>
            <w:tcW w:w="389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sz w:val="24"/>
              </w:rPr>
              <w:t>基本实现</w:t>
            </w:r>
          </w:p>
        </w:tc>
      </w:tr>
      <w:tr>
        <w:tblPrEx>
          <w:tblCellMar>
            <w:top w:w="0" w:type="dxa"/>
            <w:left w:w="0" w:type="dxa"/>
            <w:bottom w:w="0" w:type="dxa"/>
            <w:right w:w="0" w:type="dxa"/>
          </w:tblCellMar>
        </w:tblPrEx>
        <w:trPr>
          <w:trHeight w:val="1042" w:hRule="atLeast"/>
        </w:trPr>
        <w:tc>
          <w:tcPr>
            <w:tcW w:w="8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sz w:val="24"/>
              </w:rPr>
              <w:t>绩效指标完成情况</w:t>
            </w:r>
          </w:p>
        </w:tc>
        <w:tc>
          <w:tcPr>
            <w:tcW w:w="5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kern w:val="0"/>
                <w:sz w:val="24"/>
              </w:rPr>
              <w:t>一级指标</w:t>
            </w:r>
          </w:p>
        </w:tc>
        <w:tc>
          <w:tcPr>
            <w:tcW w:w="12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kern w:val="0"/>
                <w:sz w:val="24"/>
              </w:rPr>
              <w:t>二级指标</w:t>
            </w:r>
          </w:p>
        </w:tc>
        <w:tc>
          <w:tcPr>
            <w:tcW w:w="21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kern w:val="0"/>
                <w:sz w:val="24"/>
              </w:rPr>
              <w:t>预期指标值</w:t>
            </w:r>
            <w:r>
              <w:rPr>
                <w:rFonts w:hint="eastAsia" w:ascii="宋体" w:cs="宋体"/>
                <w:kern w:val="0"/>
                <w:sz w:val="24"/>
                <w:lang w:eastAsia="zh-CN"/>
              </w:rPr>
              <w:t>（</w:t>
            </w:r>
            <w:r>
              <w:rPr>
                <w:rFonts w:hint="eastAsia" w:ascii="宋体" w:cs="宋体"/>
                <w:kern w:val="0"/>
                <w:sz w:val="24"/>
              </w:rPr>
              <w:t>包含数字及文字描述</w:t>
            </w:r>
            <w:r>
              <w:rPr>
                <w:rFonts w:hint="eastAsia" w:ascii="宋体" w:cs="宋体"/>
                <w:kern w:val="0"/>
                <w:sz w:val="24"/>
                <w:lang w:eastAsia="zh-CN"/>
              </w:rPr>
              <w:t>）</w:t>
            </w:r>
          </w:p>
        </w:tc>
        <w:tc>
          <w:tcPr>
            <w:tcW w:w="15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kern w:val="0"/>
                <w:sz w:val="24"/>
              </w:rPr>
              <w:t>实际完成指标值</w:t>
            </w:r>
            <w:r>
              <w:rPr>
                <w:rFonts w:hint="eastAsia" w:ascii="宋体" w:cs="宋体"/>
                <w:kern w:val="0"/>
                <w:sz w:val="24"/>
                <w:lang w:eastAsia="zh-CN"/>
              </w:rPr>
              <w:t>（</w:t>
            </w:r>
            <w:r>
              <w:rPr>
                <w:rFonts w:hint="eastAsia" w:ascii="宋体" w:cs="宋体"/>
                <w:kern w:val="0"/>
                <w:sz w:val="24"/>
              </w:rPr>
              <w:t>包含数字及文字描述</w:t>
            </w:r>
            <w:r>
              <w:rPr>
                <w:rFonts w:hint="eastAsia" w:ascii="宋体" w:cs="宋体"/>
                <w:kern w:val="0"/>
                <w:sz w:val="24"/>
                <w:lang w:eastAsia="zh-CN"/>
              </w:rPr>
              <w:t>）</w:t>
            </w:r>
          </w:p>
        </w:tc>
      </w:tr>
      <w:tr>
        <w:tblPrEx>
          <w:tblCellMar>
            <w:top w:w="0" w:type="dxa"/>
            <w:left w:w="0" w:type="dxa"/>
            <w:bottom w:w="0" w:type="dxa"/>
            <w:right w:w="0" w:type="dxa"/>
          </w:tblCellMar>
        </w:tblPrEx>
        <w:trPr>
          <w:trHeight w:val="953" w:hRule="atLeast"/>
        </w:trPr>
        <w:tc>
          <w:tcPr>
            <w:tcW w:w="80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5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kern w:val="0"/>
                <w:sz w:val="24"/>
              </w:rPr>
              <w:t>项目完成指标</w:t>
            </w:r>
          </w:p>
        </w:tc>
        <w:tc>
          <w:tcPr>
            <w:tcW w:w="12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sz w:val="24"/>
              </w:rPr>
              <w:t>数量指标</w:t>
            </w:r>
          </w:p>
        </w:tc>
        <w:tc>
          <w:tcPr>
            <w:tcW w:w="21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仿宋_GB2312" w:eastAsia="仿宋_GB2312" w:cs="仿宋_GB2312"/>
                <w:sz w:val="24"/>
              </w:rPr>
              <w:t>观音镇、安宁镇、勒乌镇综治中心设备采购及安装工程</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sz w:val="24"/>
              </w:rPr>
              <w:t>150</w:t>
            </w:r>
            <w:r>
              <w:rPr>
                <w:rFonts w:hint="eastAsia" w:ascii="宋体" w:hAnsi="宋体" w:cs="宋体"/>
                <w:sz w:val="24"/>
              </w:rPr>
              <w:t>≧</w:t>
            </w:r>
          </w:p>
        </w:tc>
        <w:tc>
          <w:tcPr>
            <w:tcW w:w="15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sz w:val="24"/>
              </w:rPr>
              <w:t>万元</w:t>
            </w:r>
          </w:p>
        </w:tc>
      </w:tr>
      <w:tr>
        <w:tblPrEx>
          <w:tblCellMar>
            <w:top w:w="0" w:type="dxa"/>
            <w:left w:w="0" w:type="dxa"/>
            <w:bottom w:w="0" w:type="dxa"/>
            <w:right w:w="0" w:type="dxa"/>
          </w:tblCellMar>
        </w:tblPrEx>
        <w:trPr>
          <w:trHeight w:val="1702" w:hRule="atLeast"/>
        </w:trPr>
        <w:tc>
          <w:tcPr>
            <w:tcW w:w="80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5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kern w:val="0"/>
                <w:sz w:val="24"/>
              </w:rPr>
              <w:t>项目完成指标</w:t>
            </w:r>
          </w:p>
        </w:tc>
        <w:tc>
          <w:tcPr>
            <w:tcW w:w="12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sz w:val="24"/>
              </w:rPr>
              <w:t>时效指标</w:t>
            </w:r>
          </w:p>
        </w:tc>
        <w:tc>
          <w:tcPr>
            <w:tcW w:w="21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sz w:val="24"/>
              </w:rPr>
              <w:t>2020年1月19日前</w:t>
            </w:r>
          </w:p>
        </w:tc>
        <w:tc>
          <w:tcPr>
            <w:tcW w:w="15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sz w:val="24"/>
              </w:rPr>
            </w:pPr>
            <w:r>
              <w:rPr>
                <w:rFonts w:hint="eastAsia" w:ascii="宋体" w:cs="宋体"/>
                <w:sz w:val="24"/>
              </w:rPr>
              <w:t>完成</w:t>
            </w:r>
            <w:r>
              <w:rPr>
                <w:rFonts w:hint="eastAsia" w:ascii="仿宋_GB2312" w:eastAsia="仿宋_GB2312" w:cs="仿宋_GB2312"/>
                <w:sz w:val="24"/>
              </w:rPr>
              <w:t>观音镇、安宁镇、勒乌镇综治中心设备采购及安装工程</w:t>
            </w:r>
            <w:r>
              <w:rPr>
                <w:rFonts w:hint="eastAsia" w:ascii="宋体" w:cs="宋体"/>
                <w:sz w:val="24"/>
              </w:rPr>
              <w:t>。</w:t>
            </w:r>
          </w:p>
        </w:tc>
      </w:tr>
      <w:tr>
        <w:tblPrEx>
          <w:tblCellMar>
            <w:top w:w="0" w:type="dxa"/>
            <w:left w:w="0" w:type="dxa"/>
            <w:bottom w:w="0" w:type="dxa"/>
            <w:right w:w="0" w:type="dxa"/>
          </w:tblCellMar>
        </w:tblPrEx>
        <w:trPr>
          <w:trHeight w:val="547" w:hRule="atLeast"/>
        </w:trPr>
        <w:tc>
          <w:tcPr>
            <w:tcW w:w="80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5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kern w:val="0"/>
                <w:sz w:val="24"/>
              </w:rPr>
            </w:pPr>
            <w:r>
              <w:rPr>
                <w:rFonts w:hint="eastAsia" w:ascii="宋体" w:cs="宋体"/>
                <w:kern w:val="0"/>
                <w:sz w:val="24"/>
              </w:rPr>
              <w:t>满意度指标</w:t>
            </w:r>
          </w:p>
        </w:tc>
        <w:tc>
          <w:tcPr>
            <w:tcW w:w="12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sz w:val="24"/>
              </w:rPr>
              <w:t>满意度指标</w:t>
            </w:r>
          </w:p>
        </w:tc>
        <w:tc>
          <w:tcPr>
            <w:tcW w:w="21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r>
              <w:rPr>
                <w:rFonts w:hint="eastAsia" w:ascii="宋体" w:cs="宋体"/>
                <w:sz w:val="24"/>
              </w:rPr>
              <w:t>90</w:t>
            </w:r>
            <w:r>
              <w:rPr>
                <w:rFonts w:hint="eastAsia" w:ascii="宋体" w:hAnsi="宋体" w:cs="宋体"/>
                <w:sz w:val="24"/>
              </w:rPr>
              <w:t>≧</w:t>
            </w:r>
          </w:p>
        </w:tc>
        <w:tc>
          <w:tcPr>
            <w:tcW w:w="15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p>
        </w:tc>
      </w:tr>
      <w:tr>
        <w:tblPrEx>
          <w:tblCellMar>
            <w:top w:w="0" w:type="dxa"/>
            <w:left w:w="0" w:type="dxa"/>
            <w:bottom w:w="0" w:type="dxa"/>
            <w:right w:w="0" w:type="dxa"/>
          </w:tblCellMar>
        </w:tblPrEx>
        <w:trPr>
          <w:trHeight w:val="1050" w:hRule="atLeast"/>
        </w:trPr>
        <w:tc>
          <w:tcPr>
            <w:tcW w:w="80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5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p>
        </w:tc>
        <w:tc>
          <w:tcPr>
            <w:tcW w:w="12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p>
        </w:tc>
        <w:tc>
          <w:tcPr>
            <w:tcW w:w="21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p>
        </w:tc>
        <w:tc>
          <w:tcPr>
            <w:tcW w:w="15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sz w:val="24"/>
              </w:rPr>
            </w:pPr>
          </w:p>
        </w:tc>
      </w:tr>
    </w:tbl>
    <w:p>
      <w:pPr>
        <w:numPr>
          <w:ilvl w:val="0"/>
          <w:numId w:val="2"/>
        </w:numPr>
        <w:spacing w:line="600" w:lineRule="exact"/>
        <w:outlineLvl w:val="1"/>
        <w:rPr>
          <w:rStyle w:val="17"/>
          <w:rFonts w:ascii="黑体" w:eastAsia="黑体"/>
        </w:rPr>
      </w:pPr>
      <w:bookmarkStart w:id="50" w:name="_Toc15396612"/>
      <w:bookmarkStart w:id="51" w:name="_Toc15377221"/>
      <w:r>
        <w:rPr>
          <w:rStyle w:val="17"/>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sz w:val="32"/>
          <w:szCs w:val="32"/>
        </w:rPr>
      </w:pPr>
      <w:bookmarkStart w:id="52" w:name="_Toc15377222"/>
      <w:r>
        <w:rPr>
          <w:rFonts w:hint="eastAsia" w:ascii="仿宋" w:eastAsia="仿宋"/>
          <w:b/>
          <w:sz w:val="32"/>
          <w:szCs w:val="32"/>
        </w:rPr>
        <w:t>（一）机关运行经费支出情况</w:t>
      </w:r>
      <w:bookmarkEnd w:id="52"/>
    </w:p>
    <w:p>
      <w:pPr>
        <w:spacing w:line="600" w:lineRule="exact"/>
        <w:ind w:firstLine="640" w:firstLineChars="200"/>
        <w:rPr>
          <w:rFonts w:ascii="仿宋_GB2312" w:eastAsia="仿宋_GB2312"/>
          <w:color w:val="FF0000"/>
          <w:sz w:val="32"/>
          <w:szCs w:val="32"/>
        </w:rPr>
      </w:pPr>
      <w:r>
        <w:rPr>
          <w:rFonts w:ascii="仿宋_GB2312" w:eastAsia="仿宋_GB2312"/>
          <w:sz w:val="32"/>
          <w:szCs w:val="32"/>
        </w:rPr>
        <w:t>20</w:t>
      </w:r>
      <w:r>
        <w:rPr>
          <w:rFonts w:hint="eastAsia" w:ascii="仿宋_GB2312" w:eastAsia="仿宋_GB2312"/>
          <w:sz w:val="32"/>
          <w:szCs w:val="32"/>
        </w:rPr>
        <w:t>20年，中共金川县委政法委员会运行经费支出90.95比</w:t>
      </w:r>
      <w:r>
        <w:rPr>
          <w:rFonts w:ascii="仿宋_GB2312" w:eastAsia="仿宋_GB2312"/>
          <w:sz w:val="32"/>
          <w:szCs w:val="32"/>
        </w:rPr>
        <w:t>201</w:t>
      </w:r>
      <w:r>
        <w:rPr>
          <w:rFonts w:hint="eastAsia" w:ascii="仿宋_GB2312" w:eastAsia="仿宋_GB2312"/>
          <w:sz w:val="32"/>
          <w:szCs w:val="32"/>
        </w:rPr>
        <w:t>9年减少277.02万元，减少75.28</w:t>
      </w:r>
      <w:r>
        <w:rPr>
          <w:rFonts w:ascii="仿宋_GB2312" w:eastAsia="仿宋_GB2312"/>
          <w:sz w:val="32"/>
          <w:szCs w:val="32"/>
        </w:rPr>
        <w:t>%</w:t>
      </w:r>
      <w:r>
        <w:rPr>
          <w:rFonts w:hint="eastAsia" w:ascii="仿宋_GB2312" w:eastAsia="仿宋_GB2312"/>
          <w:sz w:val="32"/>
          <w:szCs w:val="32"/>
        </w:rPr>
        <w:t>。主要原因为差旅费、公务用车运行费、维修维护费、办公费等经费有所减少。</w:t>
      </w:r>
    </w:p>
    <w:p>
      <w:pPr>
        <w:autoSpaceDE w:val="0"/>
        <w:autoSpaceDN w:val="0"/>
        <w:adjustRightInd w:val="0"/>
        <w:spacing w:line="600" w:lineRule="exact"/>
        <w:ind w:firstLine="643" w:firstLineChars="200"/>
        <w:jc w:val="left"/>
        <w:outlineLvl w:val="2"/>
        <w:rPr>
          <w:rFonts w:ascii="仿宋" w:eastAsia="仿宋"/>
          <w:b/>
          <w:sz w:val="32"/>
          <w:szCs w:val="32"/>
        </w:rPr>
      </w:pPr>
      <w:bookmarkStart w:id="53" w:name="_Toc15377223"/>
      <w:r>
        <w:rPr>
          <w:rFonts w:hint="eastAsia" w:ascii="仿宋" w:eastAsia="仿宋"/>
          <w:b/>
          <w:sz w:val="32"/>
          <w:szCs w:val="32"/>
        </w:rPr>
        <w:t>（二）政府采购支出情况</w:t>
      </w:r>
      <w:bookmarkEnd w:id="53"/>
    </w:p>
    <w:p>
      <w:pPr>
        <w:spacing w:line="460" w:lineRule="exact"/>
        <w:ind w:firstLine="627" w:firstLineChars="196"/>
        <w:rPr>
          <w:rFonts w:ascii="仿宋" w:eastAsia="仿宋"/>
          <w:b/>
          <w:sz w:val="32"/>
          <w:szCs w:val="32"/>
        </w:rPr>
      </w:pPr>
      <w:r>
        <w:rPr>
          <w:rFonts w:ascii="仿宋_GB2312" w:eastAsia="仿宋_GB2312"/>
          <w:sz w:val="32"/>
          <w:szCs w:val="32"/>
        </w:rPr>
        <w:t>20</w:t>
      </w:r>
      <w:r>
        <w:rPr>
          <w:rFonts w:hint="eastAsia" w:ascii="仿宋_GB2312" w:eastAsia="仿宋_GB2312"/>
          <w:sz w:val="32"/>
          <w:szCs w:val="32"/>
        </w:rPr>
        <w:t>20年，政府采购支出总额150万元，其中：政府采购货物支出150万元、政府采购服务支出0万元。主要用于购置</w:t>
      </w:r>
      <w:r>
        <w:rPr>
          <w:rFonts w:hint="eastAsia" w:ascii="仿宋_GB2312" w:hAnsi="楷体_GB2312" w:eastAsia="仿宋_GB2312" w:cs="楷体_GB2312"/>
          <w:sz w:val="32"/>
          <w:szCs w:val="32"/>
        </w:rPr>
        <w:t>2020年新增县乡综治中心平台设备经费</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54" w:name="_Toc15377224"/>
      <w:r>
        <w:rPr>
          <w:rFonts w:hint="eastAsia" w:ascii="仿宋" w:eastAsia="仿宋"/>
          <w:b/>
          <w:sz w:val="32"/>
          <w:szCs w:val="32"/>
        </w:rPr>
        <w:t>（三）国有资产占有使用情况</w:t>
      </w:r>
      <w:bookmarkEnd w:id="54"/>
    </w:p>
    <w:p>
      <w:pPr>
        <w:widowControl/>
        <w:ind w:firstLine="640" w:firstLineChars="200"/>
        <w:jc w:val="left"/>
        <w:rPr>
          <w:rFonts w:ascii="仿宋_GB2312" w:eastAsia="仿宋_GB2312"/>
          <w:b/>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20年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日，共有车辆1辆，为日常工作及应急保障用车。</w:t>
      </w:r>
      <w:r>
        <w:rPr>
          <w:rFonts w:hint="eastAsia" w:ascii="仿宋_GB2312" w:eastAsia="仿宋_GB2312"/>
          <w:b/>
          <w:sz w:val="32"/>
          <w:szCs w:val="32"/>
        </w:rPr>
        <w:t xml:space="preserve">    </w:t>
      </w:r>
    </w:p>
    <w:p>
      <w:pPr>
        <w:numPr>
          <w:ilvl w:val="0"/>
          <w:numId w:val="4"/>
        </w:numPr>
        <w:spacing w:line="600" w:lineRule="exact"/>
        <w:ind w:firstLine="663" w:firstLineChars="150"/>
        <w:jc w:val="center"/>
        <w:outlineLvl w:val="0"/>
        <w:rPr>
          <w:rStyle w:val="16"/>
          <w:rFonts w:ascii="黑体" w:eastAsia="黑体"/>
          <w:b w:val="0"/>
        </w:rPr>
      </w:pPr>
      <w:bookmarkStart w:id="55" w:name="_Toc15377225"/>
      <w:bookmarkStart w:id="56" w:name="_Toc15396613"/>
      <w:r>
        <w:rPr>
          <w:rFonts w:hint="eastAsia" w:ascii="黑体" w:eastAsia="黑体"/>
          <w:b/>
          <w:sz w:val="44"/>
          <w:szCs w:val="44"/>
        </w:rPr>
        <w:t>名</w:t>
      </w:r>
      <w:r>
        <w:rPr>
          <w:rStyle w:val="16"/>
          <w:rFonts w:hint="eastAsia" w:ascii="黑体" w:eastAsia="黑体"/>
          <w:b w:val="0"/>
        </w:rPr>
        <w:t>词解释</w:t>
      </w:r>
      <w:bookmarkEnd w:id="55"/>
      <w:bookmarkEnd w:id="56"/>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、其他收入：指单位取得的除上述收入以外的各项收入。主要是银行存款利息和伙食团缴费等。</w:t>
      </w:r>
      <w:r>
        <w:rPr>
          <w:rFonts w:ascii="仿宋_GB2312" w:eastAsia="仿宋_GB2312"/>
          <w:color w:val="auto"/>
          <w:sz w:val="32"/>
          <w:szCs w:val="32"/>
        </w:rPr>
        <w:t xml:space="preserve"> </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1"/>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6、结余分配：指事业单位按照事业单位会计制度的规定从非财政补助结余中分配的事业基金和职工福利基金等。</w:t>
      </w:r>
    </w:p>
    <w:p>
      <w:pPr>
        <w:pStyle w:val="21"/>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7、年末结转和结余：指单位按有关规定结转到下年或以后年度继续使用的资金。</w:t>
      </w:r>
    </w:p>
    <w:p>
      <w:pPr>
        <w:ind w:firstLine="640" w:firstLineChars="200"/>
        <w:rPr>
          <w:rFonts w:ascii="仿宋_GB2312" w:eastAsia="仿宋_GB2312"/>
          <w:sz w:val="32"/>
          <w:szCs w:val="32"/>
        </w:rPr>
      </w:pPr>
      <w:r>
        <w:rPr>
          <w:rFonts w:hint="eastAsia" w:ascii="仿宋_GB2312" w:eastAsia="仿宋_GB2312"/>
          <w:sz w:val="32"/>
          <w:szCs w:val="32"/>
        </w:rPr>
        <w:t>8、</w:t>
      </w:r>
      <w:r>
        <w:rPr>
          <w:rFonts w:hint="eastAsia" w:ascii="仿宋_GB2312" w:eastAsia="仿宋_GB2312" w:cs="仿宋"/>
          <w:kern w:val="0"/>
          <w:sz w:val="32"/>
          <w:szCs w:val="32"/>
        </w:rPr>
        <w:t>公共安全（类）公安（款）行政运行（项）：指行政单位的基本支出</w:t>
      </w: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9、</w:t>
      </w:r>
      <w:r>
        <w:rPr>
          <w:rFonts w:hint="eastAsia" w:ascii="仿宋_GB2312" w:eastAsia="仿宋_GB2312" w:cs="仿宋"/>
          <w:kern w:val="0"/>
          <w:sz w:val="32"/>
          <w:szCs w:val="32"/>
        </w:rPr>
        <w:t>公共安全（类）公安（款）一般行政管理事务（项）：</w:t>
      </w:r>
      <w:r>
        <w:rPr>
          <w:rFonts w:hint="eastAsia" w:ascii="仿宋_GB2312" w:eastAsia="仿宋_GB2312"/>
          <w:sz w:val="32"/>
          <w:szCs w:val="32"/>
        </w:rPr>
        <w:t>指反映行政单位未单独设置顶级科目的其他项目支出。</w:t>
      </w:r>
    </w:p>
    <w:p>
      <w:pPr>
        <w:ind w:firstLine="640" w:firstLineChars="200"/>
        <w:rPr>
          <w:rFonts w:ascii="仿宋_GB2312" w:eastAsia="仿宋_GB2312"/>
          <w:sz w:val="32"/>
          <w:szCs w:val="32"/>
        </w:rPr>
      </w:pPr>
      <w:r>
        <w:rPr>
          <w:rFonts w:hint="eastAsia" w:ascii="仿宋_GB2312" w:eastAsia="仿宋_GB2312"/>
          <w:sz w:val="32"/>
          <w:szCs w:val="32"/>
        </w:rPr>
        <w:t>10、</w:t>
      </w:r>
      <w:r>
        <w:rPr>
          <w:rFonts w:hint="eastAsia" w:ascii="仿宋_GB2312" w:eastAsia="仿宋_GB2312" w:cs="仿宋"/>
          <w:kern w:val="0"/>
          <w:sz w:val="32"/>
          <w:szCs w:val="32"/>
        </w:rPr>
        <w:t>教育（类）其他教育支出（款）其他教育支出（项）：</w:t>
      </w:r>
      <w:r>
        <w:rPr>
          <w:rFonts w:hint="eastAsia" w:ascii="仿宋_GB2312" w:eastAsia="仿宋_GB2312"/>
          <w:sz w:val="32"/>
          <w:szCs w:val="32"/>
        </w:rPr>
        <w:t>除</w:t>
      </w:r>
      <w:r>
        <w:rPr>
          <w:rFonts w:hint="eastAsia" w:ascii="仿宋_GB2312" w:eastAsia="仿宋_GB2312"/>
          <w:sz w:val="32"/>
          <w:szCs w:val="32"/>
          <w:lang w:eastAsia="zh-CN"/>
        </w:rPr>
        <w:t>上述</w:t>
      </w:r>
      <w:r>
        <w:rPr>
          <w:rFonts w:hint="eastAsia" w:ascii="仿宋_GB2312" w:eastAsia="仿宋_GB2312"/>
          <w:sz w:val="32"/>
          <w:szCs w:val="32"/>
        </w:rPr>
        <w:t>项目以外用于教育管理事务方面的支出。</w:t>
      </w:r>
    </w:p>
    <w:p>
      <w:pPr>
        <w:ind w:firstLine="640" w:firstLineChars="200"/>
        <w:rPr>
          <w:rFonts w:ascii="仿宋_GB2312" w:eastAsia="仿宋_GB2312"/>
          <w:sz w:val="32"/>
          <w:szCs w:val="32"/>
        </w:rPr>
      </w:pPr>
      <w:r>
        <w:rPr>
          <w:rFonts w:hint="eastAsia" w:ascii="仿宋_GB2312" w:eastAsia="仿宋_GB2312"/>
          <w:sz w:val="32"/>
          <w:szCs w:val="32"/>
        </w:rPr>
        <w:t>11、</w:t>
      </w:r>
      <w:r>
        <w:rPr>
          <w:rFonts w:hint="eastAsia" w:ascii="仿宋_GB2312" w:eastAsia="仿宋_GB2312" w:cs="仿宋"/>
          <w:kern w:val="0"/>
          <w:sz w:val="32"/>
          <w:szCs w:val="32"/>
        </w:rPr>
        <w:t>社会保障和就业（类）行政事业单位离退休（款）机关事业单位基本养老保险缴费支出（项）：</w:t>
      </w:r>
      <w:r>
        <w:rPr>
          <w:rFonts w:hint="eastAsia" w:ascii="仿宋_GB2312" w:eastAsia="仿宋_GB2312"/>
          <w:sz w:val="32"/>
          <w:szCs w:val="32"/>
        </w:rPr>
        <w:t>指单位为职工缴纳的基本养老保险费。</w:t>
      </w:r>
    </w:p>
    <w:p>
      <w:pPr>
        <w:ind w:firstLine="640" w:firstLineChars="200"/>
        <w:rPr>
          <w:rFonts w:ascii="仿宋_GB2312" w:eastAsia="仿宋_GB2312"/>
          <w:sz w:val="32"/>
          <w:szCs w:val="32"/>
        </w:rPr>
      </w:pPr>
      <w:r>
        <w:rPr>
          <w:rFonts w:hint="eastAsia" w:ascii="仿宋_GB2312" w:eastAsia="仿宋_GB2312"/>
          <w:sz w:val="32"/>
          <w:szCs w:val="32"/>
        </w:rPr>
        <w:t>12、</w:t>
      </w:r>
      <w:r>
        <w:rPr>
          <w:rFonts w:hint="eastAsia" w:ascii="仿宋_GB2312" w:eastAsia="仿宋_GB2312" w:cs="仿宋"/>
          <w:kern w:val="0"/>
          <w:sz w:val="32"/>
          <w:szCs w:val="32"/>
        </w:rPr>
        <w:t>社会保障和就业（类）行政事业单位离退休（款）机关事业单位基本职业年金缴费支出（项）：</w:t>
      </w:r>
      <w:r>
        <w:rPr>
          <w:rFonts w:hint="eastAsia" w:ascii="仿宋_GB2312" w:eastAsia="仿宋_GB2312"/>
          <w:sz w:val="32"/>
          <w:szCs w:val="32"/>
        </w:rPr>
        <w:t>指单位为职工实际缴纳的职业年金。</w:t>
      </w:r>
    </w:p>
    <w:p>
      <w:pPr>
        <w:ind w:firstLine="640" w:firstLineChars="200"/>
        <w:rPr>
          <w:rFonts w:ascii="仿宋_GB2312" w:eastAsia="仿宋_GB2312"/>
          <w:sz w:val="32"/>
          <w:szCs w:val="32"/>
        </w:rPr>
      </w:pPr>
      <w:r>
        <w:rPr>
          <w:rFonts w:hint="eastAsia" w:ascii="仿宋_GB2312" w:eastAsia="仿宋_GB2312"/>
          <w:sz w:val="32"/>
          <w:szCs w:val="32"/>
        </w:rPr>
        <w:t>13、医疗卫生与计划生育（类）行政事业单位医疗（款）行政单位医疗（项）：指反映职工缴纳的基本医疗保险费。</w:t>
      </w:r>
    </w:p>
    <w:p>
      <w:pPr>
        <w:ind w:firstLine="640" w:firstLineChars="200"/>
        <w:rPr>
          <w:rFonts w:ascii="仿宋_GB2312" w:eastAsia="仿宋_GB2312"/>
          <w:sz w:val="32"/>
          <w:szCs w:val="32"/>
        </w:rPr>
      </w:pPr>
      <w:r>
        <w:rPr>
          <w:rFonts w:hint="eastAsia" w:ascii="仿宋_GB2312" w:eastAsia="仿宋_GB2312"/>
          <w:sz w:val="32"/>
          <w:szCs w:val="32"/>
        </w:rPr>
        <w:t>14、医疗卫生与计划生育（类）行政事业单位医疗（款）公务员医疗补助（项）：指按规定可享受公务员医疗补助单位为职工缴纳的公务员医疗补助费。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sz w:val="32"/>
          <w:szCs w:val="32"/>
        </w:rPr>
      </w:pPr>
      <w:r>
        <w:rPr>
          <w:rFonts w:hint="eastAsia" w:ascii="仿宋_GB2312" w:eastAsia="仿宋_GB2312"/>
          <w:sz w:val="32"/>
          <w:szCs w:val="32"/>
        </w:rPr>
        <w:t>15、住房保障（类）住房改革支出（款）住房公积金（项）：指单位按规定为职工缴纳的住房公积金。</w:t>
      </w:r>
    </w:p>
    <w:p>
      <w:pPr>
        <w:ind w:firstLine="640" w:firstLineChars="200"/>
        <w:rPr>
          <w:rFonts w:ascii="仿宋" w:hAnsi="仿宋" w:eastAsia="仿宋" w:cs="仿宋"/>
          <w:sz w:val="32"/>
          <w:szCs w:val="32"/>
        </w:rPr>
      </w:pPr>
      <w:r>
        <w:rPr>
          <w:rFonts w:hint="eastAsia" w:ascii="仿宋" w:hAnsi="仿宋" w:eastAsia="仿宋" w:cs="仿宋"/>
          <w:sz w:val="32"/>
          <w:szCs w:val="32"/>
        </w:rPr>
        <w:t>16、其他支出229其他支出99其他支出01：指其他不能划分到具体功能科目中的支出项目。</w:t>
      </w:r>
    </w:p>
    <w:p>
      <w:pPr>
        <w:ind w:firstLine="640" w:firstLineChars="200"/>
        <w:rPr>
          <w:rFonts w:ascii="仿宋_GB2312" w:eastAsia="仿宋_GB2312"/>
          <w:sz w:val="32"/>
          <w:szCs w:val="32"/>
        </w:rPr>
      </w:pPr>
      <w:r>
        <w:rPr>
          <w:rFonts w:hint="eastAsia" w:ascii="仿宋_GB2312" w:eastAsia="仿宋_GB2312"/>
          <w:sz w:val="32"/>
          <w:szCs w:val="32"/>
        </w:rPr>
        <w:t>17、基本支出：指为保障机构正常运转、完成日常工作任务而发生的人员支出和公用支出。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18、项目支出：指在基本支出之外为完成特定行政任务和事业发展目标所发生的支出。</w:t>
      </w:r>
    </w:p>
    <w:p>
      <w:pPr>
        <w:ind w:firstLine="640" w:firstLineChars="200"/>
        <w:rPr>
          <w:rFonts w:ascii="仿宋" w:hAnsi="仿宋" w:eastAsia="仿宋" w:cs="仿宋"/>
          <w:sz w:val="32"/>
          <w:szCs w:val="32"/>
        </w:rPr>
      </w:pPr>
      <w:r>
        <w:rPr>
          <w:rFonts w:hint="eastAsia" w:ascii="仿宋" w:hAnsi="仿宋" w:eastAsia="仿宋" w:cs="仿宋"/>
          <w:sz w:val="32"/>
          <w:szCs w:val="32"/>
        </w:rPr>
        <w:t>19、结余分配：指事业单位按规定提取的职工福利基金、事业基金和</w:t>
      </w:r>
      <w:r>
        <w:rPr>
          <w:rFonts w:hint="eastAsia" w:ascii="仿宋" w:hAnsi="仿宋" w:eastAsia="仿宋" w:cs="仿宋"/>
          <w:sz w:val="32"/>
          <w:szCs w:val="32"/>
          <w:lang w:eastAsia="zh-CN"/>
        </w:rPr>
        <w:t>缴纳得所</w:t>
      </w:r>
      <w:r>
        <w:rPr>
          <w:rFonts w:hint="eastAsia" w:ascii="仿宋" w:hAnsi="仿宋" w:eastAsia="仿宋" w:cs="仿宋"/>
          <w:sz w:val="32"/>
          <w:szCs w:val="32"/>
        </w:rPr>
        <w:t>得税，以及建设单位按规定应交回的基本建设竣工项目结余资金。</w:t>
      </w:r>
    </w:p>
    <w:p>
      <w:pPr>
        <w:ind w:firstLine="640" w:firstLineChars="200"/>
        <w:rPr>
          <w:rFonts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rPr>
        <w:t>20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color w:val="FF0000"/>
          <w:sz w:val="32"/>
          <w:szCs w:val="32"/>
        </w:rPr>
      </w:pPr>
      <w:r>
        <w:rPr>
          <w:rFonts w:hint="eastAsia" w:ascii="仿宋_GB2312" w:eastAsia="仿宋_GB2312"/>
          <w:color w:val="auto"/>
          <w:sz w:val="32"/>
          <w:szCs w:val="32"/>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FF0000"/>
          <w:sz w:val="44"/>
          <w:szCs w:val="44"/>
        </w:rPr>
      </w:pPr>
      <w:bookmarkStart w:id="57" w:name="_Toc15396614"/>
      <w:bookmarkStart w:id="58" w:name="_Toc15377226"/>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bookmarkEnd w:id="57"/>
    <w:bookmarkEnd w:id="58"/>
    <w:p>
      <w:pPr>
        <w:spacing w:line="600" w:lineRule="exact"/>
        <w:outlineLvl w:val="0"/>
        <w:rPr>
          <w:rFonts w:ascii="黑体" w:eastAsia="黑体"/>
          <w:color w:val="FF0000"/>
          <w:sz w:val="44"/>
          <w:szCs w:val="44"/>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8"/>
          <w:jc w:val="center"/>
        </w:pPr>
        <w:r>
          <w:fldChar w:fldCharType="begin"/>
        </w:r>
        <w:r>
          <w:instrText xml:space="preserve">PAGE   \* MERGEFORMAT</w:instrText>
        </w:r>
        <w:r>
          <w:fldChar w:fldCharType="separate"/>
        </w:r>
        <w:r>
          <w:rPr>
            <w:lang w:val="zh-CN"/>
          </w:rPr>
          <w:t>14</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175E6F"/>
    <w:rsid w:val="000F13E6"/>
    <w:rsid w:val="00175E6F"/>
    <w:rsid w:val="001A439F"/>
    <w:rsid w:val="003B5767"/>
    <w:rsid w:val="01652C21"/>
    <w:rsid w:val="02572915"/>
    <w:rsid w:val="038E641C"/>
    <w:rsid w:val="05611711"/>
    <w:rsid w:val="06727D2C"/>
    <w:rsid w:val="0698124F"/>
    <w:rsid w:val="08550316"/>
    <w:rsid w:val="0A06301A"/>
    <w:rsid w:val="0D052568"/>
    <w:rsid w:val="0E243772"/>
    <w:rsid w:val="106A1E83"/>
    <w:rsid w:val="10A1366A"/>
    <w:rsid w:val="10B112ED"/>
    <w:rsid w:val="10F371C8"/>
    <w:rsid w:val="11043ABA"/>
    <w:rsid w:val="12A60E3D"/>
    <w:rsid w:val="147902E9"/>
    <w:rsid w:val="15B34BB3"/>
    <w:rsid w:val="1609702B"/>
    <w:rsid w:val="17D3583C"/>
    <w:rsid w:val="180C1B3D"/>
    <w:rsid w:val="18164012"/>
    <w:rsid w:val="18256E58"/>
    <w:rsid w:val="18D62FB5"/>
    <w:rsid w:val="18FA06F0"/>
    <w:rsid w:val="19E52FCA"/>
    <w:rsid w:val="19FA3B82"/>
    <w:rsid w:val="1A766034"/>
    <w:rsid w:val="1B0C0E32"/>
    <w:rsid w:val="1D2E193A"/>
    <w:rsid w:val="1D55488E"/>
    <w:rsid w:val="1D635089"/>
    <w:rsid w:val="1E5C0DA7"/>
    <w:rsid w:val="1EE871AD"/>
    <w:rsid w:val="1EF1049B"/>
    <w:rsid w:val="1F223755"/>
    <w:rsid w:val="1F915073"/>
    <w:rsid w:val="1FAA2FBC"/>
    <w:rsid w:val="208A4E3C"/>
    <w:rsid w:val="210829AB"/>
    <w:rsid w:val="22D160D0"/>
    <w:rsid w:val="23301F2D"/>
    <w:rsid w:val="240C6575"/>
    <w:rsid w:val="246C45F0"/>
    <w:rsid w:val="24BE5C06"/>
    <w:rsid w:val="25FB3E0A"/>
    <w:rsid w:val="284B139B"/>
    <w:rsid w:val="29592358"/>
    <w:rsid w:val="297704B7"/>
    <w:rsid w:val="298A4996"/>
    <w:rsid w:val="2A451793"/>
    <w:rsid w:val="2BF338B1"/>
    <w:rsid w:val="2C940006"/>
    <w:rsid w:val="2D20554D"/>
    <w:rsid w:val="2D6F08E5"/>
    <w:rsid w:val="2DF550FE"/>
    <w:rsid w:val="2DF56405"/>
    <w:rsid w:val="2F050950"/>
    <w:rsid w:val="309F0E77"/>
    <w:rsid w:val="31DD5AD9"/>
    <w:rsid w:val="32510A69"/>
    <w:rsid w:val="326F263C"/>
    <w:rsid w:val="3320606D"/>
    <w:rsid w:val="34E20348"/>
    <w:rsid w:val="36AB285A"/>
    <w:rsid w:val="375D1867"/>
    <w:rsid w:val="37B05ACF"/>
    <w:rsid w:val="382A386B"/>
    <w:rsid w:val="38385C68"/>
    <w:rsid w:val="38802EDE"/>
    <w:rsid w:val="389B01EE"/>
    <w:rsid w:val="395C6F51"/>
    <w:rsid w:val="3AE204E6"/>
    <w:rsid w:val="3AE86712"/>
    <w:rsid w:val="3B3C042E"/>
    <w:rsid w:val="3B563950"/>
    <w:rsid w:val="3BA17548"/>
    <w:rsid w:val="3BE63976"/>
    <w:rsid w:val="3C132BB1"/>
    <w:rsid w:val="3CB314ED"/>
    <w:rsid w:val="3CD67B0B"/>
    <w:rsid w:val="3D426751"/>
    <w:rsid w:val="3E6C0918"/>
    <w:rsid w:val="3EFD52CB"/>
    <w:rsid w:val="3F0A2775"/>
    <w:rsid w:val="40136B89"/>
    <w:rsid w:val="406F7F49"/>
    <w:rsid w:val="413E7083"/>
    <w:rsid w:val="417D5D2B"/>
    <w:rsid w:val="43430E68"/>
    <w:rsid w:val="44201E9F"/>
    <w:rsid w:val="44657D1E"/>
    <w:rsid w:val="450C165A"/>
    <w:rsid w:val="456365AE"/>
    <w:rsid w:val="45872970"/>
    <w:rsid w:val="45B67819"/>
    <w:rsid w:val="45D97DA7"/>
    <w:rsid w:val="473C1F70"/>
    <w:rsid w:val="4873034B"/>
    <w:rsid w:val="48A91786"/>
    <w:rsid w:val="49161F92"/>
    <w:rsid w:val="4A980CA5"/>
    <w:rsid w:val="4B3567AC"/>
    <w:rsid w:val="4B593064"/>
    <w:rsid w:val="4CB22EF2"/>
    <w:rsid w:val="4CDE668E"/>
    <w:rsid w:val="4D0D5B08"/>
    <w:rsid w:val="4E6354A5"/>
    <w:rsid w:val="4E7510A7"/>
    <w:rsid w:val="4E8B233D"/>
    <w:rsid w:val="4E973F1E"/>
    <w:rsid w:val="4F1F0876"/>
    <w:rsid w:val="4FAF25A0"/>
    <w:rsid w:val="531C4E7A"/>
    <w:rsid w:val="535A2694"/>
    <w:rsid w:val="540B4F9F"/>
    <w:rsid w:val="54C43AED"/>
    <w:rsid w:val="54DE77B1"/>
    <w:rsid w:val="55916D0C"/>
    <w:rsid w:val="55FC228E"/>
    <w:rsid w:val="56144610"/>
    <w:rsid w:val="56391A41"/>
    <w:rsid w:val="584073DC"/>
    <w:rsid w:val="599D3469"/>
    <w:rsid w:val="59B14B59"/>
    <w:rsid w:val="59B244EF"/>
    <w:rsid w:val="5A0A348D"/>
    <w:rsid w:val="5A457C97"/>
    <w:rsid w:val="5A6041BE"/>
    <w:rsid w:val="5ABC5E10"/>
    <w:rsid w:val="5ADD1B88"/>
    <w:rsid w:val="5AF60C86"/>
    <w:rsid w:val="5BDD4A9E"/>
    <w:rsid w:val="5D6454AF"/>
    <w:rsid w:val="5DB45E2D"/>
    <w:rsid w:val="60573665"/>
    <w:rsid w:val="60DE5C0A"/>
    <w:rsid w:val="615E6765"/>
    <w:rsid w:val="63B66D9F"/>
    <w:rsid w:val="642F6BE8"/>
    <w:rsid w:val="659C2A08"/>
    <w:rsid w:val="65D5360A"/>
    <w:rsid w:val="660068A5"/>
    <w:rsid w:val="670C7A2C"/>
    <w:rsid w:val="6873232C"/>
    <w:rsid w:val="688E5EA5"/>
    <w:rsid w:val="69290718"/>
    <w:rsid w:val="69712474"/>
    <w:rsid w:val="6971387F"/>
    <w:rsid w:val="698616C3"/>
    <w:rsid w:val="6B1D1F1A"/>
    <w:rsid w:val="6CDC7433"/>
    <w:rsid w:val="6DA904F0"/>
    <w:rsid w:val="6DBC0EDC"/>
    <w:rsid w:val="6DF56357"/>
    <w:rsid w:val="6E150DA8"/>
    <w:rsid w:val="6EF11D9D"/>
    <w:rsid w:val="6F48144D"/>
    <w:rsid w:val="6FE07A7A"/>
    <w:rsid w:val="74136E12"/>
    <w:rsid w:val="742D1D02"/>
    <w:rsid w:val="74A9541C"/>
    <w:rsid w:val="76240367"/>
    <w:rsid w:val="773D7E58"/>
    <w:rsid w:val="77690C13"/>
    <w:rsid w:val="78431806"/>
    <w:rsid w:val="7871412B"/>
    <w:rsid w:val="78B418F8"/>
    <w:rsid w:val="78D25CE7"/>
    <w:rsid w:val="79A12D96"/>
    <w:rsid w:val="7A1C6F4F"/>
    <w:rsid w:val="7A572B69"/>
    <w:rsid w:val="7B026E75"/>
    <w:rsid w:val="7C996353"/>
    <w:rsid w:val="7C9B7DC9"/>
    <w:rsid w:val="7D115F20"/>
    <w:rsid w:val="7DAB709C"/>
    <w:rsid w:val="7EF743C2"/>
    <w:rsid w:val="7F005077"/>
    <w:rsid w:val="7F3A5BED"/>
    <w:rsid w:val="7F3C25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标题 1 Char"/>
    <w:basedOn w:val="13"/>
    <w:link w:val="2"/>
    <w:qFormat/>
    <w:uiPriority w:val="0"/>
    <w:rPr>
      <w:rFonts w:ascii="Times New Roman" w:hAnsi="Times New Roman" w:eastAsia="宋体" w:cs="Times New Roman"/>
      <w:b/>
      <w:bCs/>
      <w:kern w:val="44"/>
      <w:sz w:val="44"/>
      <w:szCs w:val="44"/>
      <w:lang w:val="en-US" w:eastAsia="zh-CN" w:bidi="ar-SA"/>
    </w:rPr>
  </w:style>
  <w:style w:type="character" w:customStyle="1" w:styleId="17">
    <w:name w:val="标题 2 Char"/>
    <w:basedOn w:val="13"/>
    <w:link w:val="3"/>
    <w:qFormat/>
    <w:uiPriority w:val="0"/>
    <w:rPr>
      <w:rFonts w:ascii="Cambria" w:hAnsi="Cambria" w:eastAsia="宋体" w:cs="Times New Roman"/>
      <w:b/>
      <w:bCs/>
      <w:kern w:val="2"/>
      <w:sz w:val="32"/>
      <w:szCs w:val="32"/>
      <w:lang w:val="en-US" w:eastAsia="zh-CN" w:bidi="ar-SA"/>
    </w:rPr>
  </w:style>
  <w:style w:type="character" w:customStyle="1" w:styleId="18">
    <w:name w:val="Header Char"/>
    <w:basedOn w:val="13"/>
    <w:qFormat/>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标题1"/>
    <w:basedOn w:val="2"/>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收、支决算结构图</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barChart>
        <c:barDir val="col"/>
        <c:grouping val="clustered"/>
        <c:varyColors val="0"/>
        <c:ser>
          <c:idx val="0"/>
          <c:order val="0"/>
          <c:tx>
            <c:strRef>
              <c:f>[工作簿1]Sheet1!$I$26</c:f>
              <c:strCache>
                <c:ptCount val="1"/>
                <c:pt idx="0">
                  <c:v>2020年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[工作簿1]Sheet1!$J$25:$K$25</c:f>
              <c:strCache>
                <c:ptCount val="2"/>
                <c:pt idx="0">
                  <c:v>总收入</c:v>
                </c:pt>
                <c:pt idx="1">
                  <c:v>总支出</c:v>
                </c:pt>
              </c:strCache>
            </c:strRef>
          </c:cat>
          <c:val>
            <c:numRef>
              <c:f>[工作簿1]Sheet1!$J$26:$K$26</c:f>
              <c:numCache>
                <c:formatCode>General</c:formatCode>
                <c:ptCount val="2"/>
                <c:pt idx="0">
                  <c:v>691.14</c:v>
                </c:pt>
                <c:pt idx="1">
                  <c:v>721.14</c:v>
                </c:pt>
              </c:numCache>
            </c:numRef>
          </c:val>
        </c:ser>
        <c:ser>
          <c:idx val="1"/>
          <c:order val="1"/>
          <c:tx>
            <c:strRef>
              <c:f>[工作簿1]Sheet1!$I$27</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[工作簿1]Sheet1!$J$25:$K$25</c:f>
              <c:strCache>
                <c:ptCount val="2"/>
                <c:pt idx="0">
                  <c:v>总收入</c:v>
                </c:pt>
                <c:pt idx="1">
                  <c:v>总支出</c:v>
                </c:pt>
              </c:strCache>
            </c:strRef>
          </c:cat>
          <c:val>
            <c:numRef>
              <c:f>[工作簿1]Sheet1!$J$27:$K$27</c:f>
              <c:numCache>
                <c:formatCode>General</c:formatCode>
                <c:ptCount val="2"/>
                <c:pt idx="0">
                  <c:v>538.31</c:v>
                </c:pt>
                <c:pt idx="1">
                  <c:v>661.33</c:v>
                </c:pt>
              </c:numCache>
            </c:numRef>
          </c:val>
        </c:ser>
        <c:dLbls>
          <c:showLegendKey val="0"/>
          <c:showVal val="1"/>
          <c:showCatName val="0"/>
          <c:showSerName val="0"/>
          <c:showPercent val="0"/>
          <c:showBubbleSize val="0"/>
        </c:dLbls>
        <c:gapWidth val="219"/>
        <c:overlap val="-27"/>
        <c:axId val="138238592"/>
        <c:axId val="138256768"/>
      </c:barChart>
      <c:catAx>
        <c:axId val="13823859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8256768"/>
        <c:crosses val="autoZero"/>
        <c:auto val="1"/>
        <c:lblAlgn val="ctr"/>
        <c:lblOffset val="100"/>
        <c:noMultiLvlLbl val="0"/>
      </c:catAx>
      <c:valAx>
        <c:axId val="138256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82385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收如决算结构图</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[工作簿1]Sheet1!$J$25:$J$26</c:f>
              <c:strCache>
                <c:ptCount val="2"/>
                <c:pt idx="0">
                  <c:v>一般公共预算收入</c:v>
                </c:pt>
                <c:pt idx="1">
                  <c:v>其他收入</c:v>
                </c:pt>
              </c:strCache>
            </c:strRef>
          </c:cat>
          <c:val>
            <c:numRef>
              <c:f>[工作簿1]Sheet1!$K$25:$K$26</c:f>
              <c:numCache>
                <c:formatCode>General</c:formatCode>
                <c:ptCount val="2"/>
                <c:pt idx="0">
                  <c:v>691.14</c:v>
                </c:pt>
                <c:pt idx="1">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支出对比图</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[工作簿1]Sheet1!$J$25:$J$26</c:f>
              <c:strCache>
                <c:ptCount val="2"/>
                <c:pt idx="0">
                  <c:v>基本支出</c:v>
                </c:pt>
                <c:pt idx="1">
                  <c:v>项目支出</c:v>
                </c:pt>
              </c:strCache>
            </c:strRef>
          </c:cat>
          <c:val>
            <c:numRef>
              <c:f>[工作簿1]Sheet1!$K$25:$K$26</c:f>
              <c:numCache>
                <c:formatCode>General</c:formatCode>
                <c:ptCount val="2"/>
                <c:pt idx="0">
                  <c:v>495.61</c:v>
                </c:pt>
                <c:pt idx="1">
                  <c:v>225.53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一般公共预算财政拨款支出对比图</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[工作簿1]Sheet1!$F$22:$F$23</c:f>
              <c:strCache>
                <c:ptCount val="2"/>
                <c:pt idx="0">
                  <c:v>2020年</c:v>
                </c:pt>
                <c:pt idx="1">
                  <c:v>2019年</c:v>
                </c:pt>
              </c:strCache>
            </c:strRef>
          </c:cat>
          <c:val>
            <c:numRef>
              <c:f>[工作簿1]Sheet1!$G$22:$G$23</c:f>
              <c:numCache>
                <c:formatCode>General</c:formatCode>
                <c:ptCount val="2"/>
                <c:pt idx="0">
                  <c:v>721.14</c:v>
                </c:pt>
                <c:pt idx="1">
                  <c:v>661.33</c:v>
                </c:pt>
              </c:numCache>
            </c:numRef>
          </c:val>
        </c:ser>
        <c:dLbls>
          <c:showLegendKey val="0"/>
          <c:showVal val="1"/>
          <c:showCatName val="0"/>
          <c:showSerName val="0"/>
          <c:showPercent val="0"/>
          <c:showBubbleSize val="0"/>
        </c:dLbls>
        <c:gapWidth val="219"/>
        <c:overlap val="-27"/>
        <c:axId val="108010880"/>
        <c:axId val="108013056"/>
      </c:barChart>
      <c:catAx>
        <c:axId val="108010880"/>
        <c:scaling>
          <c:orientation val="minMax"/>
        </c:scaling>
        <c:delete val="0"/>
        <c:axPos val="b"/>
        <c:title>
          <c:layout/>
          <c:overlay val="0"/>
          <c:spPr>
            <a:noFill/>
            <a:ln>
              <a:noFill/>
            </a:ln>
            <a:effectLst/>
          </c:spPr>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8013056"/>
        <c:crosses val="autoZero"/>
        <c:auto val="1"/>
        <c:lblAlgn val="ctr"/>
        <c:lblOffset val="100"/>
        <c:noMultiLvlLbl val="0"/>
      </c:catAx>
      <c:valAx>
        <c:axId val="108013056"/>
        <c:scaling>
          <c:orientation val="minMax"/>
        </c:scaling>
        <c:delete val="0"/>
        <c:axPos val="l"/>
        <c:majorGridlines>
          <c:spPr>
            <a:ln w="9525" cap="flat" cmpd="sng" algn="ctr">
              <a:solidFill>
                <a:schemeClr val="tx1">
                  <a:lumMod val="15000"/>
                  <a:lumOff val="85000"/>
                </a:schemeClr>
              </a:solidFill>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8010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财政拨款收支对比图</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barChart>
        <c:barDir val="col"/>
        <c:grouping val="clustered"/>
        <c:varyColors val="0"/>
        <c:ser>
          <c:idx val="0"/>
          <c:order val="0"/>
          <c:tx>
            <c:strRef>
              <c:f>[工作簿1]Sheet1!$E$29</c:f>
              <c:strCache>
                <c:ptCount val="1"/>
                <c:pt idx="0">
                  <c:v>2020年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[工作簿1]Sheet1!$F$28:$G$28</c:f>
              <c:strCache>
                <c:ptCount val="2"/>
                <c:pt idx="0">
                  <c:v>一般公共预算财政拨款收入</c:v>
                </c:pt>
                <c:pt idx="1">
                  <c:v>一般公共预算财政拨款支出</c:v>
                </c:pt>
              </c:strCache>
            </c:strRef>
          </c:cat>
          <c:val>
            <c:numRef>
              <c:f>[工作簿1]Sheet1!$F$29:$G$29</c:f>
              <c:numCache>
                <c:formatCode>General</c:formatCode>
                <c:ptCount val="2"/>
                <c:pt idx="0">
                  <c:v>691.14</c:v>
                </c:pt>
                <c:pt idx="1">
                  <c:v>721.14</c:v>
                </c:pt>
              </c:numCache>
            </c:numRef>
          </c:val>
        </c:ser>
        <c:ser>
          <c:idx val="1"/>
          <c:order val="1"/>
          <c:tx>
            <c:strRef>
              <c:f>[工作簿1]Sheet1!$E$30</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[工作簿1]Sheet1!$F$28:$G$28</c:f>
              <c:strCache>
                <c:ptCount val="2"/>
                <c:pt idx="0">
                  <c:v>一般公共预算财政拨款收入</c:v>
                </c:pt>
                <c:pt idx="1">
                  <c:v>一般公共预算财政拨款支出</c:v>
                </c:pt>
              </c:strCache>
            </c:strRef>
          </c:cat>
          <c:val>
            <c:numRef>
              <c:f>[工作簿1]Sheet1!$F$30:$G$30</c:f>
              <c:numCache>
                <c:formatCode>General</c:formatCode>
                <c:ptCount val="2"/>
                <c:pt idx="0">
                  <c:v>538.31</c:v>
                </c:pt>
                <c:pt idx="1">
                  <c:v>661.33</c:v>
                </c:pt>
              </c:numCache>
            </c:numRef>
          </c:val>
        </c:ser>
        <c:dLbls>
          <c:showLegendKey val="0"/>
          <c:showVal val="1"/>
          <c:showCatName val="0"/>
          <c:showSerName val="0"/>
          <c:showPercent val="0"/>
          <c:showBubbleSize val="0"/>
        </c:dLbls>
        <c:gapWidth val="219"/>
        <c:overlap val="-27"/>
        <c:axId val="108051072"/>
        <c:axId val="108065152"/>
      </c:barChart>
      <c:catAx>
        <c:axId val="10805107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8065152"/>
        <c:crosses val="autoZero"/>
        <c:auto val="1"/>
        <c:lblAlgn val="ctr"/>
        <c:lblOffset val="100"/>
        <c:noMultiLvlLbl val="0"/>
      </c:catAx>
      <c:valAx>
        <c:axId val="108065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805107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一般公共预算财政拨款支出决算结构图</a:t>
            </a:r>
          </a:p>
          <a:p>
            <a:pPr defTabSz="914400">
              <a:defRPr lang="zh-CN" sz="1400" b="0" i="0" u="none" strike="noStrike"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[工作簿1]Sheet1!$F$22:$F$26</c:f>
              <c:strCache>
                <c:ptCount val="5"/>
                <c:pt idx="0">
                  <c:v>公共安全</c:v>
                </c:pt>
                <c:pt idx="1">
                  <c:v>社会保障和就业</c:v>
                </c:pt>
                <c:pt idx="2">
                  <c:v>卫生健康支出</c:v>
                </c:pt>
                <c:pt idx="3">
                  <c:v>住房保障支出</c:v>
                </c:pt>
                <c:pt idx="4">
                  <c:v>其他支出</c:v>
                </c:pt>
              </c:strCache>
            </c:strRef>
          </c:cat>
          <c:val>
            <c:numRef>
              <c:f>[工作簿1]Sheet1!$G$22:$G$26</c:f>
              <c:numCache>
                <c:formatCode>General</c:formatCode>
                <c:ptCount val="5"/>
                <c:pt idx="0">
                  <c:v>493.04</c:v>
                </c:pt>
                <c:pt idx="1">
                  <c:v>36.03</c:v>
                </c:pt>
                <c:pt idx="2">
                  <c:v>16.15</c:v>
                </c:pt>
                <c:pt idx="3">
                  <c:v>25.92</c:v>
                </c:pt>
                <c:pt idx="4">
                  <c:v>150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三公经费</a:t>
            </a:r>
            <a:r>
              <a:rPr lang="en-US" altLang="zh-CN"/>
              <a:t>|</a:t>
            </a:r>
            <a:r>
              <a:rPr altLang="en-US"/>
              <a:t>财政拨款支出结构图</a:t>
            </a:r>
            <a:endParaRPr altLang="en-US"/>
          </a:p>
          <a:p>
            <a:pPr defTabSz="914400">
              <a:defRPr lang="zh-CN" sz="1400" b="0" i="0" u="none" strike="noStrike" kern="1200" spc="0" baseline="0">
                <a:solidFill>
                  <a:schemeClr val="tx1">
                    <a:lumMod val="65000"/>
                    <a:lumOff val="35000"/>
                  </a:schemeClr>
                </a:solidFill>
                <a:latin typeface="+mn-lt"/>
                <a:ea typeface="+mn-ea"/>
                <a:cs typeface="+mn-cs"/>
              </a:defRPr>
            </a:pPr>
            <a:r>
              <a:rPr altLang="en-US"/>
              <a:t>单位：万元</a:t>
            </a:r>
            <a:endParaRPr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[工作簿1]Sheet1!$F$18:$F$20</c:f>
              <c:strCache>
                <c:ptCount val="3"/>
                <c:pt idx="0">
                  <c:v>因公出国（境）费</c:v>
                </c:pt>
                <c:pt idx="1">
                  <c:v>公务用车购置及运行维护费</c:v>
                </c:pt>
                <c:pt idx="2">
                  <c:v>公务接待费</c:v>
                </c:pt>
              </c:strCache>
            </c:strRef>
          </c:cat>
          <c:val>
            <c:numRef>
              <c:f>[工作簿1]Sheet1!$G$18:$G$20</c:f>
              <c:numCache>
                <c:formatCode>General</c:formatCode>
                <c:ptCount val="3"/>
                <c:pt idx="0">
                  <c:v>0</c:v>
                </c:pt>
                <c:pt idx="1">
                  <c:v>19</c:v>
                </c:pt>
                <c:pt idx="2">
                  <c:v>0.67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17</Pages>
  <Words>1080</Words>
  <Characters>6159</Characters>
  <Lines>51</Lines>
  <Paragraphs>14</Paragraphs>
  <TotalTime>28</TotalTime>
  <ScaleCrop>false</ScaleCrop>
  <LinksUpToDate>false</LinksUpToDate>
  <CharactersWithSpaces>7225</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不改</cp:lastModifiedBy>
  <cp:lastPrinted>2020-09-29T10:36:00Z</cp:lastPrinted>
  <dcterms:modified xsi:type="dcterms:W3CDTF">2021-09-27T03:54:10Z</dcterms:modified>
  <dc:title>四川省***</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7446358C982B43FBBF5486ACE152A102</vt:lpwstr>
  </property>
</Properties>
</file>