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right="-1469" w:firstLine="2880" w:firstLineChars="400"/>
        <w:jc w:val="both"/>
        <w:outlineLvl w:val="0"/>
        <w:rPr>
          <w:rFonts w:ascii="方正小标宋简体" w:eastAsia="方正小标宋简体"/>
          <w:color w:val="000000"/>
          <w:sz w:val="72"/>
          <w:szCs w:val="72"/>
        </w:rPr>
      </w:pPr>
      <w:bookmarkStart w:id="0" w:name="_Toc15377193"/>
      <w:bookmarkStart w:id="1" w:name="_Toc15378441"/>
      <w:bookmarkStart w:id="2" w:name="_Toc15377425"/>
      <w:bookmarkStart w:id="3" w:name="_Toc15396597"/>
      <w:bookmarkStart w:id="4" w:name="_Toc15396475"/>
      <w:bookmarkStart w:id="5" w:name="_Toc15377196"/>
      <w:bookmarkStart w:id="6" w:name="_Toc15396599"/>
      <w:r>
        <w:rPr>
          <w:rFonts w:ascii="黑体" w:eastAsia="黑体"/>
          <w:color w:val="000000"/>
          <w:sz w:val="72"/>
          <w:szCs w:val="72"/>
        </w:rPr>
        <w:t>20</w:t>
      </w:r>
      <w:r>
        <w:rPr>
          <w:rFonts w:hint="eastAsia" w:ascii="黑体" w:eastAsia="黑体"/>
          <w:color w:val="000000"/>
          <w:sz w:val="72"/>
          <w:szCs w:val="72"/>
        </w:rPr>
        <w:t>2</w:t>
      </w:r>
      <w:r>
        <w:rPr>
          <w:rFonts w:hint="eastAsia" w:ascii="黑体" w:eastAsia="黑体"/>
          <w:color w:val="000000"/>
          <w:sz w:val="72"/>
          <w:szCs w:val="72"/>
          <w:lang w:val="en-US" w:eastAsia="zh-CN"/>
        </w:rPr>
        <w:t>4</w:t>
      </w:r>
      <w:r>
        <w:rPr>
          <w:rFonts w:hint="eastAsia" w:ascii="方正小标宋简体" w:eastAsia="方正小标宋简体"/>
          <w:color w:val="000000"/>
          <w:sz w:val="72"/>
          <w:szCs w:val="72"/>
        </w:rPr>
        <w:t>年度</w:t>
      </w:r>
      <w:bookmarkEnd w:id="0"/>
      <w:bookmarkEnd w:id="1"/>
      <w:bookmarkEnd w:id="2"/>
      <w:bookmarkEnd w:id="3"/>
      <w:bookmarkEnd w:id="4"/>
    </w:p>
    <w:p>
      <w:pPr>
        <w:adjustRightInd w:val="0"/>
        <w:snapToGrid w:val="0"/>
        <w:spacing w:line="360" w:lineRule="auto"/>
        <w:jc w:val="center"/>
        <w:outlineLvl w:val="0"/>
        <w:rPr>
          <w:rFonts w:hint="eastAsia" w:ascii="方正小标宋简体" w:eastAsia="方正小标宋简体"/>
          <w:color w:val="000000"/>
          <w:sz w:val="72"/>
          <w:szCs w:val="72"/>
          <w:lang w:val="en-US" w:eastAsia="zh-CN"/>
        </w:rPr>
      </w:pPr>
      <w:bookmarkStart w:id="7" w:name="_Toc15396476"/>
      <w:bookmarkStart w:id="8" w:name="_Toc15377426"/>
      <w:bookmarkStart w:id="9" w:name="_Toc15306268"/>
      <w:bookmarkStart w:id="10" w:name="_Toc15396598"/>
      <w:bookmarkStart w:id="11" w:name="_Toc15378442"/>
      <w:bookmarkStart w:id="12" w:name="_Toc15377194"/>
      <w:r>
        <w:rPr>
          <w:rFonts w:hint="eastAsia" w:ascii="方正小标宋简体" w:eastAsia="方正小标宋简体"/>
          <w:color w:val="000000"/>
          <w:sz w:val="72"/>
          <w:szCs w:val="72"/>
        </w:rPr>
        <w:t>中共金川县委宣传部部门决算</w:t>
      </w:r>
      <w:bookmarkEnd w:id="7"/>
      <w:bookmarkEnd w:id="8"/>
      <w:bookmarkEnd w:id="9"/>
      <w:bookmarkEnd w:id="10"/>
      <w:bookmarkEnd w:id="11"/>
      <w:bookmarkEnd w:id="12"/>
      <w:r>
        <w:rPr>
          <w:rFonts w:hint="eastAsia" w:ascii="方正小标宋简体" w:eastAsia="方正小标宋简体"/>
          <w:color w:val="000000"/>
          <w:sz w:val="72"/>
          <w:szCs w:val="72"/>
          <w:lang w:eastAsia="zh-CN"/>
        </w:rPr>
        <w:t>公开</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3"/>
      </w:pPr>
      <w:r>
        <w:rPr>
          <w:rFonts w:hint="eastAsia"/>
        </w:rPr>
        <w:t>公开时间：202</w:t>
      </w:r>
      <w:r>
        <w:rPr>
          <w:rFonts w:hint="eastAsia"/>
          <w:lang w:val="en-US" w:eastAsia="zh-CN"/>
        </w:rPr>
        <w:t>5</w:t>
      </w:r>
      <w:bookmarkStart w:id="70" w:name="_GoBack"/>
      <w:bookmarkEnd w:id="70"/>
      <w:r>
        <w:rPr>
          <w:rFonts w:hint="eastAsia"/>
        </w:rPr>
        <w:t>年8月</w:t>
      </w:r>
      <w:r>
        <w:rPr>
          <w:rFonts w:hint="eastAsia"/>
          <w:lang w:val="en-US" w:eastAsia="zh-CN"/>
        </w:rPr>
        <w:t>14</w:t>
      </w:r>
      <w:r>
        <w:rPr>
          <w:rFonts w:hint="eastAsia"/>
        </w:rPr>
        <w:t>日</w:t>
      </w:r>
    </w:p>
    <w:p/>
    <w:p/>
    <w:p/>
    <w:p/>
    <w:p>
      <w:pPr>
        <w:pStyle w:val="13"/>
        <w:rPr>
          <w:rFonts w:cs="Arial"/>
        </w:rPr>
      </w:pPr>
      <w:r>
        <w:fldChar w:fldCharType="begin"/>
      </w:r>
      <w:r>
        <w:instrText xml:space="preserve">Hyperlink \l "_Toc15396599"</w:instrText>
      </w:r>
      <w:r>
        <w:fldChar w:fldCharType="separate"/>
      </w:r>
      <w:r>
        <w:rPr>
          <w:rFonts w:hint="eastAsia"/>
        </w:rPr>
        <w:t>第一部分</w:t>
      </w:r>
      <w:r>
        <w:t xml:space="preserve"> </w:t>
      </w:r>
      <w:r>
        <w:rPr>
          <w:rFonts w:hint="eastAsia"/>
        </w:rPr>
        <w:t>部门概况</w:t>
      </w:r>
      <w:r>
        <w:tab/>
      </w:r>
      <w:r>
        <w:rPr>
          <w:rFonts w:hint="eastAsia"/>
        </w:rPr>
        <w:t>4</w:t>
      </w:r>
      <w:r>
        <w:fldChar w:fldCharType="end"/>
      </w:r>
    </w:p>
    <w:p>
      <w:pPr>
        <w:pStyle w:val="15"/>
        <w:rPr>
          <w:rFonts w:ascii="仿宋" w:eastAsia="仿宋"/>
          <w:sz w:val="28"/>
          <w:szCs w:val="28"/>
        </w:rPr>
      </w:pPr>
      <w:r>
        <w:rPr>
          <w:rFonts w:hint="eastAsia" w:ascii="仿宋" w:eastAsia="仿宋"/>
          <w:sz w:val="28"/>
          <w:szCs w:val="28"/>
        </w:rPr>
        <w:t>一、基本职能及主要工作</w:t>
      </w:r>
      <w:r>
        <w:rPr>
          <w:rFonts w:ascii="仿宋" w:eastAsia="仿宋"/>
          <w:sz w:val="28"/>
          <w:szCs w:val="28"/>
        </w:rPr>
        <w:t>…………………………………………</w:t>
      </w:r>
      <w:r>
        <w:rPr>
          <w:rFonts w:hint="eastAsia" w:ascii="仿宋" w:eastAsia="仿宋"/>
          <w:sz w:val="28"/>
          <w:szCs w:val="28"/>
        </w:rPr>
        <w:t>..4</w:t>
      </w:r>
    </w:p>
    <w:p>
      <w:pPr>
        <w:pStyle w:val="9"/>
        <w:rPr>
          <w:rFonts w:ascii="仿宋" w:eastAsia="仿宋"/>
          <w:sz w:val="28"/>
          <w:szCs w:val="28"/>
        </w:rPr>
      </w:pPr>
      <w:r>
        <w:rPr>
          <w:rFonts w:hint="eastAsia" w:ascii="仿宋" w:eastAsia="仿宋"/>
          <w:sz w:val="28"/>
          <w:szCs w:val="28"/>
        </w:rPr>
        <w:t>（一）主要职能</w:t>
      </w:r>
      <w:r>
        <w:rPr>
          <w:rFonts w:ascii="仿宋" w:eastAsia="仿宋"/>
          <w:sz w:val="28"/>
          <w:szCs w:val="28"/>
        </w:rPr>
        <w:t>………………………………………………</w:t>
      </w:r>
      <w:r>
        <w:rPr>
          <w:rFonts w:hint="eastAsia" w:ascii="仿宋" w:eastAsia="仿宋"/>
          <w:sz w:val="28"/>
          <w:szCs w:val="28"/>
        </w:rPr>
        <w:t>.</w:t>
      </w:r>
      <w:r>
        <w:rPr>
          <w:rFonts w:ascii="仿宋" w:eastAsia="仿宋"/>
          <w:sz w:val="28"/>
          <w:szCs w:val="28"/>
        </w:rPr>
        <w:t>…</w:t>
      </w:r>
      <w:r>
        <w:rPr>
          <w:rFonts w:hint="eastAsia" w:ascii="仿宋" w:eastAsia="仿宋"/>
          <w:sz w:val="28"/>
          <w:szCs w:val="28"/>
        </w:rPr>
        <w:t>4</w:t>
      </w:r>
    </w:p>
    <w:p>
      <w:pPr>
        <w:pStyle w:val="9"/>
        <w:rPr>
          <w:rFonts w:ascii="仿宋" w:eastAsia="仿宋"/>
          <w:sz w:val="28"/>
          <w:szCs w:val="28"/>
        </w:rPr>
      </w:pPr>
      <w:r>
        <w:rPr>
          <w:rFonts w:hint="eastAsia" w:ascii="仿宋" w:eastAsia="仿宋"/>
          <w:sz w:val="28"/>
          <w:szCs w:val="28"/>
        </w:rPr>
        <w:t>（二）202</w:t>
      </w:r>
      <w:r>
        <w:rPr>
          <w:rFonts w:hint="eastAsia" w:ascii="仿宋" w:eastAsia="仿宋"/>
          <w:sz w:val="28"/>
          <w:szCs w:val="28"/>
          <w:lang w:val="en-US" w:eastAsia="zh-CN"/>
        </w:rPr>
        <w:t>4</w:t>
      </w:r>
      <w:r>
        <w:rPr>
          <w:rFonts w:hint="eastAsia" w:ascii="仿宋" w:eastAsia="仿宋"/>
          <w:sz w:val="28"/>
          <w:szCs w:val="28"/>
        </w:rPr>
        <w:t>年重点工作完成情况</w:t>
      </w:r>
      <w:r>
        <w:rPr>
          <w:rFonts w:ascii="仿宋" w:eastAsia="仿宋"/>
          <w:sz w:val="28"/>
          <w:szCs w:val="28"/>
        </w:rPr>
        <w:t>……………………………</w:t>
      </w:r>
      <w:r>
        <w:rPr>
          <w:rFonts w:hint="eastAsia" w:ascii="仿宋" w:eastAsia="仿宋"/>
          <w:sz w:val="28"/>
          <w:szCs w:val="28"/>
        </w:rPr>
        <w:t>..4</w:t>
      </w:r>
      <w:r>
        <w:rPr>
          <w:rFonts w:ascii="仿宋" w:eastAsia="仿宋"/>
          <w:sz w:val="28"/>
          <w:szCs w:val="28"/>
        </w:rPr>
        <w:t xml:space="preserve"> </w:t>
      </w:r>
    </w:p>
    <w:p>
      <w:pPr>
        <w:pStyle w:val="15"/>
        <w:rPr>
          <w:rFonts w:ascii="仿宋" w:eastAsia="仿宋" w:cs="Arial"/>
          <w:sz w:val="28"/>
          <w:szCs w:val="28"/>
        </w:rPr>
      </w:pPr>
      <w:r>
        <w:fldChar w:fldCharType="begin"/>
      </w:r>
      <w:r>
        <w:instrText xml:space="preserve">Hyperlink \l "_Toc15396601"</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5</w:t>
      </w:r>
      <w:r>
        <w:fldChar w:fldCharType="end"/>
      </w:r>
    </w:p>
    <w:p>
      <w:pPr>
        <w:pStyle w:val="13"/>
      </w:pPr>
      <w:r>
        <w:fldChar w:fldCharType="begin"/>
      </w:r>
      <w:r>
        <w:instrText xml:space="preserve">Hyperlink \l "_Toc15396602"</w:instrText>
      </w:r>
      <w:r>
        <w:fldChar w:fldCharType="separate"/>
      </w:r>
      <w:r>
        <w:rPr>
          <w:rFonts w:hint="eastAsia"/>
        </w:rPr>
        <w:t>第二部分</w:t>
      </w:r>
      <w:r>
        <w:t xml:space="preserve"> </w:t>
      </w:r>
      <w:r>
        <w:rPr>
          <w:rFonts w:hint="eastAsia"/>
        </w:rPr>
        <w:t>部门决算情况说明</w:t>
      </w:r>
      <w:r>
        <w:tab/>
      </w:r>
      <w:r>
        <w:rPr>
          <w:rFonts w:hint="eastAsia"/>
        </w:rPr>
        <w:t>5</w:t>
      </w:r>
      <w:r>
        <w:fldChar w:fldCharType="end"/>
      </w:r>
    </w:p>
    <w:p>
      <w:pPr>
        <w:pStyle w:val="15"/>
        <w:rPr>
          <w:rFonts w:ascii="仿宋" w:eastAsia="仿宋" w:cs="Arial"/>
          <w:sz w:val="28"/>
          <w:szCs w:val="28"/>
        </w:rPr>
      </w:pPr>
      <w:r>
        <w:fldChar w:fldCharType="begin"/>
      </w:r>
      <w:r>
        <w:instrText xml:space="preserve">Hyperlink \l "_Toc15396603"</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6</w:t>
      </w:r>
      <w:r>
        <w:fldChar w:fldCharType="end"/>
      </w:r>
    </w:p>
    <w:p>
      <w:pPr>
        <w:pStyle w:val="15"/>
        <w:rPr>
          <w:rFonts w:ascii="仿宋" w:eastAsia="仿宋" w:cs="Arial"/>
          <w:sz w:val="28"/>
          <w:szCs w:val="28"/>
        </w:rPr>
      </w:pPr>
      <w:r>
        <w:fldChar w:fldCharType="begin"/>
      </w:r>
      <w:r>
        <w:instrText xml:space="preserve">Hyperlink \l "_Toc15396604"</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6</w:t>
      </w:r>
      <w:r>
        <w:fldChar w:fldCharType="end"/>
      </w:r>
    </w:p>
    <w:p>
      <w:pPr>
        <w:pStyle w:val="15"/>
      </w:pPr>
      <w:r>
        <w:fldChar w:fldCharType="begin"/>
      </w:r>
      <w:r>
        <w:instrText xml:space="preserve">Hyperlink \l "_Toc15396605"</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7</w:t>
      </w:r>
      <w:r>
        <w:fldChar w:fldCharType="end"/>
      </w:r>
    </w:p>
    <w:p>
      <w:pPr>
        <w:pStyle w:val="15"/>
        <w:rPr>
          <w:rFonts w:ascii="仿宋" w:eastAsia="仿宋" w:cs="Arial"/>
          <w:sz w:val="28"/>
          <w:szCs w:val="28"/>
        </w:rPr>
      </w:pPr>
      <w:r>
        <w:fldChar w:fldCharType="begin"/>
      </w:r>
      <w:r>
        <w:instrText xml:space="preserve">Hyperlink \l "_Toc15396606"</w:instrText>
      </w:r>
      <w:r>
        <w:fldChar w:fldCharType="separate"/>
      </w:r>
      <w:r>
        <w:rPr>
          <w:rFonts w:hint="eastAsia" w:ascii="仿宋" w:eastAsia="仿宋"/>
          <w:sz w:val="28"/>
          <w:szCs w:val="28"/>
        </w:rPr>
        <w:t>四、财政拨款收入支出决算总体情况说明</w:t>
      </w:r>
      <w:r>
        <w:rPr>
          <w:rFonts w:ascii="仿宋" w:eastAsia="仿宋"/>
          <w:sz w:val="28"/>
          <w:szCs w:val="28"/>
        </w:rPr>
        <w:tab/>
      </w:r>
      <w:r>
        <w:rPr>
          <w:rFonts w:hint="eastAsia" w:ascii="仿宋" w:eastAsia="仿宋"/>
          <w:sz w:val="28"/>
          <w:szCs w:val="28"/>
        </w:rPr>
        <w:t>7</w:t>
      </w:r>
      <w:r>
        <w:fldChar w:fldCharType="end"/>
      </w:r>
    </w:p>
    <w:p>
      <w:pPr>
        <w:pStyle w:val="15"/>
        <w:rPr>
          <w:rFonts w:ascii="仿宋" w:eastAsia="仿宋" w:cs="Arial"/>
          <w:sz w:val="28"/>
          <w:szCs w:val="28"/>
        </w:rPr>
      </w:pPr>
      <w:r>
        <w:fldChar w:fldCharType="begin"/>
      </w:r>
      <w:r>
        <w:instrText xml:space="preserve">Hyperlink \l "_Toc15396606"</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7</w:t>
      </w:r>
      <w:r>
        <w:fldChar w:fldCharType="end"/>
      </w:r>
    </w:p>
    <w:p>
      <w:pPr>
        <w:pStyle w:val="15"/>
        <w:rPr>
          <w:rFonts w:hint="eastAsia" w:ascii="仿宋" w:hAnsi="仿宋" w:eastAsia="宋体" w:cs="Arial"/>
          <w:sz w:val="28"/>
          <w:szCs w:val="28"/>
          <w:lang w:eastAsia="zh-CN"/>
        </w:rPr>
      </w:pPr>
      <w:r>
        <w:fldChar w:fldCharType="begin"/>
      </w:r>
      <w:r>
        <w:instrText xml:space="preserve">Hyperlink \l "_Toc15396607"</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fldChar w:fldCharType="end"/>
      </w:r>
      <w:r>
        <w:rPr>
          <w:rFonts w:ascii="仿宋" w:eastAsia="仿宋"/>
          <w:sz w:val="28"/>
          <w:szCs w:val="28"/>
          <w:lang w:val="en-US" w:eastAsia="zh-CN"/>
        </w:rPr>
        <w:t>8</w:t>
      </w:r>
    </w:p>
    <w:p>
      <w:pPr>
        <w:pStyle w:val="15"/>
        <w:rPr>
          <w:rFonts w:ascii="仿宋" w:eastAsia="仿宋" w:cs="Arial"/>
          <w:sz w:val="28"/>
          <w:szCs w:val="28"/>
        </w:rPr>
      </w:pPr>
      <w:r>
        <w:fldChar w:fldCharType="begin"/>
      </w:r>
      <w:r>
        <w:instrText xml:space="preserve">Hyperlink \l "_Toc15396608"</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ascii="仿宋" w:eastAsia="仿宋"/>
          <w:sz w:val="28"/>
          <w:szCs w:val="28"/>
          <w:lang w:val="en-US" w:eastAsia="zh-CN"/>
        </w:rPr>
        <w:t>9</w:t>
      </w:r>
      <w:r>
        <w:fldChar w:fldCharType="end"/>
      </w:r>
    </w:p>
    <w:p>
      <w:pPr>
        <w:pStyle w:val="15"/>
        <w:rPr>
          <w:rFonts w:ascii="仿宋" w:eastAsia="仿宋" w:cs="Arial"/>
          <w:color w:val="000000"/>
          <w:sz w:val="28"/>
          <w:szCs w:val="28"/>
          <w:shd w:val="solid" w:color="D9D9D9" w:fill="FFFFFF"/>
        </w:rPr>
      </w:pPr>
      <w:r>
        <w:rPr>
          <w:color w:val="000000"/>
          <w:shd w:val="solid" w:color="D9D9D9" w:fill="FFFFFF"/>
        </w:rPr>
        <w:fldChar w:fldCharType="begin"/>
      </w:r>
      <w:r>
        <w:rPr>
          <w:color w:val="000000"/>
          <w:shd w:val="solid" w:color="D9D9D9" w:fill="FFFFFF"/>
        </w:rPr>
        <w:instrText xml:space="preserve">Hyperlink \l "_Toc15396609"</w:instrText>
      </w:r>
      <w:r>
        <w:rPr>
          <w:color w:val="000000"/>
          <w:shd w:val="solid" w:color="D9D9D9" w:fill="FFFFFF"/>
        </w:rPr>
        <w:fldChar w:fldCharType="separate"/>
      </w:r>
      <w:r>
        <w:rPr>
          <w:rFonts w:hint="eastAsia" w:ascii="仿宋" w:eastAsia="仿宋"/>
          <w:color w:val="000000"/>
          <w:sz w:val="28"/>
          <w:szCs w:val="28"/>
          <w:shd w:val="solid" w:color="D9D9D9" w:fill="FFFFFF"/>
        </w:rPr>
        <w:t>八、</w:t>
      </w:r>
      <w:r>
        <w:rPr>
          <w:rFonts w:hint="eastAsia" w:ascii="仿宋" w:eastAsia="仿宋"/>
          <w:bCs/>
          <w:color w:val="000000"/>
          <w:sz w:val="28"/>
          <w:szCs w:val="28"/>
          <w:shd w:val="solid" w:color="D9D9D9" w:fill="FFFFFF"/>
        </w:rPr>
        <w:t>政府性基金预算支出决算情况说明</w:t>
      </w:r>
      <w:r>
        <w:rPr>
          <w:rFonts w:ascii="仿宋" w:eastAsia="仿宋"/>
          <w:color w:val="000000"/>
          <w:sz w:val="28"/>
          <w:szCs w:val="28"/>
          <w:shd w:val="solid" w:color="D9D9D9" w:fill="FFFFFF"/>
        </w:rPr>
        <w:tab/>
      </w:r>
      <w:r>
        <w:rPr>
          <w:rFonts w:hint="eastAsia" w:ascii="仿宋" w:eastAsia="仿宋"/>
          <w:color w:val="000000"/>
          <w:sz w:val="28"/>
          <w:szCs w:val="28"/>
          <w:shd w:val="solid" w:color="D9D9D9" w:fill="FFFFFF"/>
        </w:rPr>
        <w:t>1</w:t>
      </w:r>
      <w:r>
        <w:rPr>
          <w:color w:val="000000"/>
          <w:shd w:val="solid" w:color="D9D9D9" w:fill="FFFFFF"/>
        </w:rPr>
        <w:fldChar w:fldCharType="end"/>
      </w:r>
      <w:r>
        <w:rPr>
          <w:rStyle w:val="20"/>
          <w:rFonts w:hint="eastAsia" w:ascii="仿宋" w:eastAsia="仿宋"/>
          <w:bCs/>
          <w:color w:val="000000"/>
          <w:sz w:val="28"/>
          <w:szCs w:val="28"/>
          <w:shd w:val="solid" w:color="D9D9D9" w:fill="FFFFFF"/>
        </w:rPr>
        <w:t>0</w:t>
      </w:r>
    </w:p>
    <w:p>
      <w:pPr>
        <w:pStyle w:val="15"/>
        <w:rPr>
          <w:rFonts w:hint="eastAsia" w:ascii="仿宋" w:eastAsia="仿宋"/>
          <w:color w:val="000000"/>
          <w:sz w:val="28"/>
          <w:szCs w:val="28"/>
          <w:shd w:val="solid" w:color="D9D9D9" w:fill="FFFFFF"/>
        </w:rPr>
      </w:pPr>
      <w:r>
        <w:rPr>
          <w:color w:val="000000"/>
          <w:shd w:val="solid" w:color="D9D9D9" w:fill="FFFFFF"/>
        </w:rPr>
        <w:fldChar w:fldCharType="begin"/>
      </w:r>
      <w:r>
        <w:rPr>
          <w:color w:val="000000"/>
          <w:shd w:val="solid" w:color="D9D9D9" w:fill="FFFFFF"/>
        </w:rPr>
        <w:instrText xml:space="preserve">Hyperlink \l "_Toc15396610"</w:instrText>
      </w:r>
      <w:r>
        <w:rPr>
          <w:color w:val="000000"/>
          <w:shd w:val="solid" w:color="D9D9D9" w:fill="FFFFFF"/>
        </w:rPr>
        <w:fldChar w:fldCharType="separate"/>
      </w:r>
      <w:r>
        <w:rPr>
          <w:rFonts w:hint="eastAsia" w:ascii="仿宋" w:eastAsia="仿宋"/>
          <w:color w:val="000000"/>
          <w:sz w:val="28"/>
          <w:szCs w:val="28"/>
          <w:shd w:val="solid" w:color="D9D9D9" w:fill="FFFFFF"/>
        </w:rPr>
        <w:t>九、 国</w:t>
      </w:r>
      <w:r>
        <w:rPr>
          <w:rFonts w:hint="eastAsia" w:ascii="仿宋" w:eastAsia="仿宋"/>
          <w:bCs/>
          <w:color w:val="000000"/>
          <w:sz w:val="28"/>
          <w:szCs w:val="28"/>
          <w:shd w:val="solid" w:color="D9D9D9" w:fill="FFFFFF"/>
        </w:rPr>
        <w:t>有资本经营预算支出决算情况说明</w:t>
      </w:r>
      <w:r>
        <w:rPr>
          <w:rFonts w:ascii="仿宋" w:eastAsia="仿宋"/>
          <w:color w:val="000000"/>
          <w:sz w:val="28"/>
          <w:szCs w:val="28"/>
          <w:shd w:val="solid" w:color="D9D9D9" w:fill="FFFFFF"/>
        </w:rPr>
        <w:tab/>
      </w:r>
      <w:r>
        <w:rPr>
          <w:rFonts w:hint="eastAsia" w:ascii="仿宋" w:eastAsia="仿宋"/>
          <w:color w:val="000000"/>
          <w:sz w:val="28"/>
          <w:szCs w:val="28"/>
          <w:shd w:val="solid" w:color="D9D9D9" w:fill="FFFFFF"/>
        </w:rPr>
        <w:t>1</w:t>
      </w:r>
      <w:r>
        <w:rPr>
          <w:color w:val="000000"/>
          <w:shd w:val="solid" w:color="D9D9D9" w:fill="FFFFFF"/>
        </w:rPr>
        <w:fldChar w:fldCharType="end"/>
      </w:r>
      <w:r>
        <w:rPr>
          <w:rFonts w:hint="eastAsia" w:ascii="仿宋" w:eastAsia="仿宋"/>
          <w:color w:val="000000"/>
          <w:sz w:val="28"/>
          <w:szCs w:val="28"/>
          <w:shd w:val="solid" w:color="D9D9D9" w:fill="FFFFFF"/>
        </w:rPr>
        <w:t>1</w:t>
      </w:r>
    </w:p>
    <w:p>
      <w:pPr>
        <w:pStyle w:val="15"/>
        <w:rPr>
          <w:rFonts w:ascii="仿宋" w:eastAsia="仿宋"/>
          <w:color w:val="000000"/>
          <w:sz w:val="28"/>
          <w:szCs w:val="28"/>
          <w:shd w:val="solid" w:color="D9D9D9" w:fill="FFFFFF"/>
        </w:rPr>
      </w:pPr>
      <w:r>
        <w:rPr>
          <w:rStyle w:val="20"/>
          <w:rFonts w:hint="eastAsia" w:ascii="仿宋" w:eastAsia="仿宋"/>
          <w:bCs/>
          <w:color w:val="000000"/>
          <w:sz w:val="28"/>
          <w:szCs w:val="28"/>
          <w:shd w:val="solid" w:color="D9D9D9" w:fill="FFFFFF"/>
        </w:rPr>
        <w:t>十、预算绩效情况说明..................................1</w:t>
      </w:r>
      <w:r>
        <w:rPr>
          <w:rStyle w:val="20"/>
          <w:rFonts w:ascii="仿宋" w:eastAsia="仿宋"/>
          <w:bCs/>
          <w:color w:val="000000"/>
          <w:sz w:val="28"/>
          <w:szCs w:val="28"/>
          <w:shd w:val="solid" w:color="D9D9D9" w:fill="FFFFFF"/>
        </w:rPr>
        <w:t>1</w:t>
      </w:r>
    </w:p>
    <w:p/>
    <w:p>
      <w:pPr>
        <w:pStyle w:val="15"/>
        <w:rPr>
          <w:rFonts w:ascii="仿宋" w:eastAsia="仿宋"/>
          <w:bCs/>
          <w:sz w:val="28"/>
          <w:szCs w:val="28"/>
        </w:rPr>
      </w:pPr>
      <w:r>
        <w:rPr>
          <w:rFonts w:hint="eastAsia" w:ascii="仿宋" w:eastAsia="仿宋"/>
          <w:bCs/>
          <w:sz w:val="28"/>
          <w:szCs w:val="28"/>
        </w:rPr>
        <w:t>十</w:t>
      </w:r>
      <w:r>
        <w:rPr>
          <w:rFonts w:hint="eastAsia" w:ascii="仿宋" w:eastAsia="仿宋"/>
          <w:bCs/>
          <w:sz w:val="28"/>
          <w:szCs w:val="28"/>
          <w:lang w:eastAsia="zh-CN"/>
        </w:rPr>
        <w:t>一</w:t>
      </w:r>
      <w:r>
        <w:rPr>
          <w:rFonts w:hint="eastAsia" w:ascii="仿宋" w:eastAsia="仿宋"/>
          <w:bCs/>
          <w:sz w:val="28"/>
          <w:szCs w:val="28"/>
        </w:rPr>
        <w:t>、其他重要事项的情况说明</w:t>
      </w:r>
      <w:r>
        <w:rPr>
          <w:rFonts w:ascii="仿宋" w:eastAsia="仿宋"/>
          <w:bCs/>
          <w:sz w:val="28"/>
          <w:szCs w:val="28"/>
        </w:rPr>
        <w:tab/>
      </w:r>
      <w:r>
        <w:rPr>
          <w:rFonts w:hint="eastAsia" w:ascii="仿宋" w:eastAsia="仿宋"/>
          <w:bCs/>
          <w:sz w:val="28"/>
          <w:szCs w:val="28"/>
        </w:rPr>
        <w:t>11</w:t>
      </w:r>
    </w:p>
    <w:p>
      <w:pPr>
        <w:pStyle w:val="9"/>
        <w:ind w:left="399" w:leftChars="190"/>
        <w:rPr>
          <w:rFonts w:ascii="仿宋" w:eastAsia="仿宋"/>
          <w:bCs/>
          <w:sz w:val="28"/>
          <w:szCs w:val="28"/>
        </w:rPr>
      </w:pPr>
      <w:r>
        <w:rPr>
          <w:rFonts w:hint="eastAsia" w:ascii="仿宋" w:eastAsia="仿宋"/>
          <w:bCs/>
          <w:sz w:val="28"/>
          <w:szCs w:val="28"/>
        </w:rPr>
        <w:t>（一）机关运行经费支出情况</w:t>
      </w:r>
      <w:r>
        <w:rPr>
          <w:rFonts w:hint="eastAsia" w:ascii="仿宋" w:eastAsia="仿宋"/>
          <w:bCs/>
          <w:sz w:val="28"/>
          <w:szCs w:val="28"/>
        </w:rPr>
        <w:tab/>
      </w:r>
      <w:r>
        <w:rPr>
          <w:rFonts w:hint="eastAsia" w:ascii="仿宋" w:eastAsia="仿宋"/>
          <w:bCs/>
          <w:sz w:val="28"/>
          <w:szCs w:val="28"/>
        </w:rPr>
        <w:t>11</w:t>
      </w:r>
    </w:p>
    <w:p>
      <w:pPr>
        <w:pStyle w:val="9"/>
        <w:ind w:left="399" w:leftChars="190"/>
        <w:rPr>
          <w:rFonts w:ascii="仿宋" w:eastAsia="仿宋"/>
          <w:bCs/>
          <w:sz w:val="28"/>
          <w:szCs w:val="28"/>
        </w:rPr>
      </w:pPr>
      <w:r>
        <w:rPr>
          <w:rFonts w:hint="eastAsia" w:ascii="仿宋" w:eastAsia="仿宋"/>
          <w:bCs/>
          <w:sz w:val="28"/>
          <w:szCs w:val="28"/>
        </w:rPr>
        <w:t>（二）政府采购支出情况</w:t>
      </w:r>
      <w:r>
        <w:rPr>
          <w:rFonts w:hint="eastAsia" w:ascii="仿宋" w:eastAsia="仿宋"/>
          <w:bCs/>
          <w:sz w:val="28"/>
          <w:szCs w:val="28"/>
        </w:rPr>
        <w:tab/>
      </w:r>
      <w:r>
        <w:rPr>
          <w:rFonts w:hint="eastAsia" w:ascii="仿宋" w:eastAsia="仿宋"/>
          <w:bCs/>
          <w:sz w:val="28"/>
          <w:szCs w:val="28"/>
        </w:rPr>
        <w:t>11</w:t>
      </w:r>
    </w:p>
    <w:p>
      <w:pPr>
        <w:pStyle w:val="9"/>
        <w:ind w:left="399" w:leftChars="190"/>
        <w:rPr>
          <w:rFonts w:ascii="仿宋" w:eastAsia="仿宋"/>
          <w:bCs/>
          <w:sz w:val="28"/>
          <w:szCs w:val="28"/>
        </w:rPr>
      </w:pPr>
    </w:p>
    <w:p>
      <w:pPr>
        <w:pStyle w:val="9"/>
        <w:ind w:left="399" w:leftChars="190"/>
        <w:rPr>
          <w:rFonts w:ascii="仿宋" w:eastAsia="仿宋"/>
          <w:bCs/>
          <w:sz w:val="28"/>
          <w:szCs w:val="28"/>
        </w:rPr>
      </w:pPr>
      <w:r>
        <w:rPr>
          <w:rFonts w:hint="eastAsia" w:ascii="仿宋" w:eastAsia="仿宋"/>
          <w:bCs/>
          <w:sz w:val="28"/>
          <w:szCs w:val="28"/>
        </w:rPr>
        <w:t>（三）国有资产占有使用情况</w:t>
      </w:r>
      <w:r>
        <w:rPr>
          <w:rFonts w:hint="eastAsia" w:ascii="仿宋" w:eastAsia="仿宋"/>
          <w:bCs/>
          <w:sz w:val="28"/>
          <w:szCs w:val="28"/>
        </w:rPr>
        <w:tab/>
      </w:r>
      <w:r>
        <w:rPr>
          <w:rFonts w:hint="eastAsia" w:ascii="仿宋" w:eastAsia="仿宋"/>
          <w:bCs/>
          <w:sz w:val="28"/>
          <w:szCs w:val="28"/>
        </w:rPr>
        <w:t>11</w:t>
      </w:r>
    </w:p>
    <w:p>
      <w:pPr>
        <w:pStyle w:val="9"/>
        <w:ind w:left="399" w:leftChars="190"/>
        <w:rPr>
          <w:rFonts w:ascii="仿宋" w:eastAsia="仿宋"/>
          <w:bCs/>
          <w:sz w:val="28"/>
          <w:szCs w:val="28"/>
        </w:rPr>
      </w:pPr>
      <w:r>
        <w:rPr>
          <w:rFonts w:hint="eastAsia" w:ascii="仿宋" w:eastAsia="仿宋"/>
          <w:bCs/>
          <w:sz w:val="28"/>
          <w:szCs w:val="28"/>
        </w:rPr>
        <w:t>（四）预算绩效管理情况。</w:t>
      </w:r>
      <w:r>
        <w:rPr>
          <w:rFonts w:ascii="仿宋" w:eastAsia="仿宋"/>
          <w:bCs/>
          <w:sz w:val="28"/>
          <w:szCs w:val="28"/>
        </w:rPr>
        <w:tab/>
      </w:r>
      <w:r>
        <w:rPr>
          <w:rFonts w:hint="eastAsia" w:ascii="仿宋" w:eastAsia="仿宋"/>
          <w:bCs/>
          <w:sz w:val="28"/>
          <w:szCs w:val="28"/>
        </w:rPr>
        <w:t>11</w:t>
      </w:r>
    </w:p>
    <w:p>
      <w:pPr>
        <w:pStyle w:val="15"/>
        <w:rPr>
          <w:rFonts w:ascii="仿宋" w:eastAsia="仿宋"/>
          <w:bCs/>
          <w:sz w:val="28"/>
          <w:szCs w:val="28"/>
        </w:rPr>
      </w:pPr>
      <w:r>
        <w:fldChar w:fldCharType="begin"/>
      </w:r>
      <w:r>
        <w:instrText xml:space="preserve">Hyperlink \l "_Toc15396613"</w:instrText>
      </w:r>
      <w:r>
        <w:fldChar w:fldCharType="separate"/>
      </w:r>
      <w:r>
        <w:rPr>
          <w:rFonts w:hint="eastAsia" w:ascii="仿宋" w:eastAsia="仿宋"/>
          <w:bCs/>
          <w:sz w:val="28"/>
          <w:szCs w:val="28"/>
        </w:rPr>
        <w:t>第三部分 名词解释</w:t>
      </w:r>
      <w:r>
        <w:rPr>
          <w:rFonts w:hint="eastAsia" w:ascii="仿宋" w:eastAsia="仿宋"/>
          <w:bCs/>
          <w:sz w:val="28"/>
          <w:szCs w:val="28"/>
        </w:rPr>
        <w:tab/>
      </w:r>
      <w:r>
        <w:fldChar w:fldCharType="end"/>
      </w:r>
      <w:r>
        <w:rPr>
          <w:rFonts w:hint="eastAsia" w:ascii="仿宋" w:eastAsia="仿宋"/>
          <w:bCs/>
          <w:sz w:val="28"/>
          <w:szCs w:val="28"/>
        </w:rPr>
        <w:t>1</w:t>
      </w:r>
      <w:r>
        <w:rPr>
          <w:rFonts w:ascii="仿宋" w:eastAsia="仿宋"/>
          <w:bCs/>
          <w:sz w:val="28"/>
          <w:szCs w:val="28"/>
        </w:rPr>
        <w:t>2</w:t>
      </w:r>
    </w:p>
    <w:p>
      <w:pPr>
        <w:pStyle w:val="15"/>
        <w:rPr>
          <w:rFonts w:ascii="仿宋" w:eastAsia="仿宋"/>
          <w:bCs/>
          <w:sz w:val="28"/>
          <w:szCs w:val="28"/>
          <w:lang w:val="en-US" w:eastAsia="zh-CN"/>
        </w:rPr>
      </w:pPr>
      <w:r>
        <w:rPr>
          <w:rFonts w:hint="eastAsia" w:ascii="仿宋" w:eastAsia="仿宋"/>
          <w:bCs/>
          <w:sz w:val="28"/>
          <w:szCs w:val="28"/>
        </w:rPr>
        <w:t>第四部分 附件</w:t>
      </w:r>
      <w:r>
        <w:rPr>
          <w:rFonts w:hint="eastAsia" w:ascii="仿宋" w:eastAsia="仿宋"/>
          <w:bCs/>
          <w:sz w:val="28"/>
          <w:szCs w:val="28"/>
        </w:rPr>
        <w:tab/>
      </w:r>
      <w:r>
        <w:rPr>
          <w:rFonts w:hint="eastAsia" w:ascii="仿宋" w:eastAsia="仿宋"/>
          <w:bCs/>
          <w:sz w:val="28"/>
          <w:szCs w:val="28"/>
          <w:lang w:val="en-US" w:eastAsia="zh-CN"/>
        </w:rPr>
        <w:t>15</w:t>
      </w:r>
    </w:p>
    <w:p>
      <w:pPr>
        <w:pStyle w:val="15"/>
        <w:rPr>
          <w:rFonts w:ascii="仿宋" w:eastAsia="仿宋"/>
          <w:bCs/>
          <w:sz w:val="28"/>
          <w:szCs w:val="28"/>
          <w:lang w:val="en-US" w:eastAsia="zh-CN"/>
        </w:rPr>
      </w:pPr>
      <w:r>
        <w:rPr>
          <w:rFonts w:hint="eastAsia" w:ascii="仿宋" w:eastAsia="仿宋"/>
          <w:bCs/>
          <w:sz w:val="28"/>
          <w:szCs w:val="28"/>
        </w:rPr>
        <w:t>第五部分 附表</w:t>
      </w:r>
      <w:r>
        <w:rPr>
          <w:rFonts w:hint="eastAsia" w:ascii="仿宋" w:eastAsia="仿宋"/>
          <w:bCs/>
          <w:sz w:val="28"/>
          <w:szCs w:val="28"/>
        </w:rPr>
        <w:tab/>
      </w:r>
      <w:r>
        <w:rPr>
          <w:rFonts w:hint="eastAsia" w:ascii="仿宋" w:eastAsia="仿宋"/>
          <w:bCs/>
          <w:sz w:val="28"/>
          <w:szCs w:val="28"/>
          <w:lang w:val="en-US" w:eastAsia="zh-CN"/>
        </w:rPr>
        <w:t>21</w:t>
      </w:r>
    </w:p>
    <w:p>
      <w:pPr>
        <w:pStyle w:val="15"/>
        <w:rPr>
          <w:rFonts w:ascii="仿宋" w:eastAsia="仿宋"/>
          <w:color w:val="000000"/>
          <w:sz w:val="24"/>
        </w:rPr>
      </w:pPr>
      <w:r>
        <w:rPr>
          <w:rFonts w:ascii="仿宋" w:eastAsia="仿宋"/>
          <w:color w:val="000000"/>
          <w:sz w:val="24"/>
        </w:rPr>
        <w:fldChar w:fldCharType="end"/>
      </w: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rPr>
          <w:rFonts w:ascii="仿宋" w:eastAsia="仿宋"/>
          <w:color w:val="000000"/>
          <w:sz w:val="24"/>
        </w:rPr>
      </w:pPr>
    </w:p>
    <w:p>
      <w:pPr>
        <w:widowControl/>
        <w:jc w:val="left"/>
        <w:rPr>
          <w:rFonts w:ascii="黑体" w:eastAsia="黑体"/>
          <w:bCs/>
          <w:kern w:val="44"/>
          <w:sz w:val="44"/>
          <w:szCs w:val="44"/>
        </w:rPr>
      </w:pPr>
    </w:p>
    <w:p>
      <w:pPr>
        <w:pStyle w:val="5"/>
        <w:jc w:val="center"/>
        <w:rPr>
          <w:rFonts w:ascii="黑体" w:eastAsia="黑体"/>
          <w:color w:val="000000"/>
          <w:sz w:val="32"/>
          <w:szCs w:val="32"/>
        </w:rPr>
      </w:pPr>
      <w:r>
        <w:rPr>
          <w:rFonts w:hint="eastAsia" w:ascii="黑体" w:eastAsia="黑体"/>
          <w:b w:val="0"/>
        </w:rPr>
        <w:t xml:space="preserve">第一部分 </w:t>
      </w:r>
      <w:r>
        <w:rPr>
          <w:rStyle w:val="21"/>
          <w:rFonts w:hint="eastAsia" w:ascii="黑体" w:eastAsia="黑体"/>
          <w:b w:val="0"/>
          <w:bCs w:val="0"/>
        </w:rPr>
        <w:t>部门概况</w:t>
      </w:r>
      <w:bookmarkEnd w:id="5"/>
      <w:bookmarkEnd w:id="6"/>
    </w:p>
    <w:p>
      <w:pPr>
        <w:pStyle w:val="6"/>
        <w:spacing w:before="0" w:after="0" w:line="240" w:lineRule="auto"/>
        <w:ind w:left="640" w:hanging="640" w:hangingChars="200"/>
        <w:rPr>
          <w:rStyle w:val="22"/>
          <w:rFonts w:ascii="黑体" w:eastAsia="黑体"/>
          <w:b w:val="0"/>
          <w:bCs w:val="0"/>
        </w:rPr>
      </w:pPr>
      <w:bookmarkStart w:id="13" w:name="_Toc15377197"/>
      <w:bookmarkStart w:id="14" w:name="_Toc15396600"/>
      <w:r>
        <w:rPr>
          <w:rFonts w:hint="eastAsia" w:ascii="黑体" w:eastAsia="黑体"/>
          <w:b w:val="0"/>
          <w:color w:val="000000"/>
        </w:rPr>
        <w:t>一、基</w:t>
      </w:r>
      <w:r>
        <w:rPr>
          <w:rStyle w:val="22"/>
          <w:rFonts w:hint="eastAsia" w:ascii="黑体" w:eastAsia="黑体"/>
          <w:b w:val="0"/>
          <w:bCs w:val="0"/>
        </w:rPr>
        <w:t>本职能及主要工作</w:t>
      </w:r>
      <w:bookmarkEnd w:id="13"/>
      <w:bookmarkEnd w:id="14"/>
      <w:bookmarkStart w:id="15" w:name="_Toc15378445"/>
      <w:bookmarkStart w:id="16" w:name="_Toc15377198"/>
    </w:p>
    <w:p>
      <w:pPr>
        <w:pStyle w:val="6"/>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5"/>
      <w:bookmarkEnd w:id="16"/>
      <w:bookmarkStart w:id="17" w:name="_Toc15378446"/>
      <w:bookmarkStart w:id="18" w:name="_Toc15377199"/>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中共金川县委宣传部是县委组成部门。负责组织指导全县的理论研究、理论学习和理论宣传工作。负责引导社会舆论，指导协调县文体广新局电视台工作，负责从宏观上指导、协调精神产品的生产，联系县文体广新局。负责规划、不是全局性的思想政治工作任务，配合县委组织部做好党员教育工作，负责党员教育教材的编写；会同有关部门研究和改进群众思想教育工作。规划、部署、协调全县精神文明建设活动；规划、部署、协调全县对外文化交流工作。指导全县各级各类学校的德育、政治理论学习。制定全县宣传干部和有关宣传文化系统骨干的培训规划并组织实施；配合有关部门做好知识分子工作和理论、新闻、文艺等方面优秀人才的选拨培养工作。负责提出宣传思想文化事业发展的指导意见；指导文化系统制定规章制度；按照县委工作部署，对宣传文化系统各部门之间的工作进行协调。备案监管已开通的网站，组织方互联网新闻宣传。</w:t>
      </w:r>
    </w:p>
    <w:p>
      <w:pPr>
        <w:pStyle w:val="6"/>
        <w:spacing w:before="0" w:after="0" w:line="240" w:lineRule="auto"/>
        <w:ind w:firstLine="321" w:firstLineChars="100"/>
        <w:rPr>
          <w:rFonts w:ascii="楷体" w:eastAsia="楷体" w:cs="楷体"/>
          <w:color w:val="auto"/>
        </w:rPr>
      </w:pPr>
      <w:r>
        <w:rPr>
          <w:rFonts w:hint="eastAsia" w:ascii="楷体" w:eastAsia="楷体" w:cs="楷体"/>
          <w:color w:val="auto"/>
        </w:rPr>
        <w:t>（二）20</w:t>
      </w:r>
      <w:r>
        <w:rPr>
          <w:rFonts w:hint="eastAsia" w:ascii="楷体" w:eastAsia="楷体" w:cs="楷体"/>
          <w:color w:val="auto"/>
          <w:lang w:val="en-US" w:eastAsia="zh-CN"/>
        </w:rPr>
        <w:t>24</w:t>
      </w:r>
      <w:r>
        <w:rPr>
          <w:rFonts w:hint="eastAsia" w:ascii="楷体" w:eastAsia="楷体" w:cs="楷体"/>
          <w:color w:val="auto"/>
        </w:rPr>
        <w:t>年重点工作完成情况</w:t>
      </w:r>
      <w:bookmarkEnd w:id="17"/>
      <w:bookmarkEnd w:id="18"/>
    </w:p>
    <w:p>
      <w:pPr>
        <w:pStyle w:val="29"/>
        <w:spacing w:line="576" w:lineRule="exact"/>
        <w:ind w:firstLine="640" w:firstLineChars="200"/>
        <w:rPr>
          <w:rFonts w:hint="eastAsia" w:ascii="Times New Roman" w:hAnsi="Times New Roman" w:eastAsia="仿宋_GB2312" w:cs="Times New Roman"/>
          <w:b/>
          <w:bCs w:val="0"/>
          <w:color w:val="auto"/>
          <w:spacing w:val="-6"/>
          <w:sz w:val="32"/>
          <w:szCs w:val="32"/>
          <w:lang w:val="en-US" w:eastAsia="zh-CN"/>
        </w:rPr>
      </w:pPr>
      <w:bookmarkStart w:id="19" w:name="_Toc15377200"/>
      <w:bookmarkStart w:id="20" w:name="_Toc15396601"/>
      <w:r>
        <w:rPr>
          <w:rFonts w:ascii="仿宋_GB2312" w:eastAsia="仿宋_GB2312" w:cs="Times New Roman"/>
          <w:color w:val="auto"/>
          <w:sz w:val="32"/>
          <w:szCs w:val="32"/>
        </w:rPr>
        <w:t>2024年，始终坚持以习近平新时代中国特色社会主义思想为指导，深刻学习领会习近平总书记关于意识形态工作的重要论述，全面落实党中央、省委、州委关于意识形态工作的任务要求，按照县委“1266”高质量发展路径，抓好意识形态工作的统筹部署和2024年县委宣传工作会议的全面落实，抓实抓牢</w:t>
      </w:r>
      <w:r>
        <w:rPr>
          <w:rFonts w:hint="eastAsia" w:ascii="仿宋_GB2312" w:eastAsia="仿宋_GB2312" w:cs="Times New Roman"/>
          <w:color w:val="auto"/>
          <w:sz w:val="32"/>
          <w:szCs w:val="32"/>
        </w:rPr>
        <w:t>理论武装、舆论引导、文化供给、国防教育</w:t>
      </w:r>
      <w:r>
        <w:rPr>
          <w:rFonts w:ascii="仿宋_GB2312" w:eastAsia="仿宋_GB2312" w:cs="Times New Roman"/>
          <w:color w:val="auto"/>
          <w:sz w:val="32"/>
          <w:szCs w:val="32"/>
        </w:rPr>
        <w:t>等</w:t>
      </w:r>
      <w:r>
        <w:rPr>
          <w:rFonts w:hint="eastAsia" w:ascii="仿宋_GB2312" w:eastAsia="仿宋_GB2312" w:cs="Times New Roman"/>
          <w:color w:val="auto"/>
          <w:sz w:val="32"/>
          <w:szCs w:val="32"/>
        </w:rPr>
        <w:t>重点</w:t>
      </w:r>
      <w:r>
        <w:rPr>
          <w:rFonts w:ascii="仿宋_GB2312" w:eastAsia="仿宋_GB2312" w:cs="Times New Roman"/>
          <w:color w:val="auto"/>
          <w:sz w:val="32"/>
          <w:szCs w:val="32"/>
        </w:rPr>
        <w:t>工作，为全面建成现代化“美丽富裕幸福新金川”提供了坚强保障。一、坚持以党的创新理论</w:t>
      </w:r>
      <w:r>
        <w:rPr>
          <w:rFonts w:hint="eastAsia" w:ascii="仿宋_GB2312" w:eastAsia="仿宋_GB2312" w:cs="Times New Roman"/>
          <w:color w:val="auto"/>
          <w:sz w:val="32"/>
          <w:szCs w:val="32"/>
        </w:rPr>
        <w:t>武装头脑、指导实践</w:t>
      </w:r>
      <w:r>
        <w:rPr>
          <w:rFonts w:hint="eastAsia" w:ascii="仿宋_GB2312" w:eastAsia="仿宋_GB2312" w:cs="Times New Roman"/>
          <w:color w:val="auto"/>
          <w:sz w:val="32"/>
          <w:szCs w:val="32"/>
          <w:lang w:eastAsia="zh-CN"/>
        </w:rPr>
        <w:t>。</w:t>
      </w:r>
      <w:r>
        <w:rPr>
          <w:rFonts w:ascii="仿宋_GB2312" w:eastAsia="仿宋_GB2312" w:cs="Times New Roman"/>
          <w:color w:val="auto"/>
          <w:sz w:val="32"/>
          <w:szCs w:val="32"/>
          <w:lang w:eastAsia="zh-CN"/>
        </w:rPr>
        <w:t>二</w:t>
      </w:r>
      <w:r>
        <w:rPr>
          <w:rFonts w:ascii="仿宋_GB2312" w:eastAsia="仿宋_GB2312" w:cs="Times New Roman"/>
          <w:color w:val="auto"/>
          <w:sz w:val="32"/>
          <w:szCs w:val="32"/>
        </w:rPr>
        <w:t>、坚持以核心价值观</w:t>
      </w:r>
      <w:r>
        <w:rPr>
          <w:rFonts w:hint="eastAsia" w:ascii="仿宋_GB2312" w:eastAsia="仿宋_GB2312" w:cs="Times New Roman"/>
          <w:color w:val="auto"/>
          <w:sz w:val="32"/>
          <w:szCs w:val="32"/>
        </w:rPr>
        <w:t>塑造榜样、引领风尚</w:t>
      </w:r>
      <w:r>
        <w:rPr>
          <w:rFonts w:ascii="仿宋_GB2312" w:eastAsia="仿宋_GB2312" w:cs="Times New Roman"/>
          <w:color w:val="auto"/>
          <w:sz w:val="32"/>
          <w:szCs w:val="32"/>
          <w:lang w:eastAsia="zh-CN"/>
        </w:rPr>
        <w:t>三</w:t>
      </w:r>
      <w:r>
        <w:rPr>
          <w:rFonts w:ascii="仿宋_GB2312" w:eastAsia="仿宋_GB2312" w:cs="Times New Roman"/>
          <w:color w:val="auto"/>
          <w:sz w:val="32"/>
          <w:szCs w:val="32"/>
        </w:rPr>
        <w:t>、坚持以主流思想舆论</w:t>
      </w:r>
      <w:r>
        <w:rPr>
          <w:rFonts w:hint="eastAsia" w:ascii="仿宋_GB2312" w:eastAsia="仿宋_GB2312" w:cs="Times New Roman"/>
          <w:color w:val="auto"/>
          <w:sz w:val="32"/>
          <w:szCs w:val="32"/>
        </w:rPr>
        <w:t>鼓舞人心、凝聚力量</w:t>
      </w:r>
      <w:r>
        <w:rPr>
          <w:rFonts w:ascii="仿宋_GB2312" w:eastAsia="仿宋_GB2312" w:cs="Times New Roman"/>
          <w:color w:val="auto"/>
          <w:sz w:val="32"/>
          <w:szCs w:val="32"/>
          <w:lang w:eastAsia="zh-CN"/>
        </w:rPr>
        <w:t>四</w:t>
      </w:r>
      <w:r>
        <w:rPr>
          <w:rFonts w:ascii="仿宋_GB2312" w:eastAsia="仿宋_GB2312" w:cs="Times New Roman"/>
          <w:color w:val="auto"/>
          <w:sz w:val="32"/>
          <w:szCs w:val="32"/>
        </w:rPr>
        <w:t>、坚持以</w:t>
      </w:r>
      <w:r>
        <w:rPr>
          <w:rFonts w:hint="eastAsia" w:ascii="仿宋_GB2312" w:eastAsia="仿宋_GB2312" w:cs="Times New Roman"/>
          <w:color w:val="auto"/>
          <w:sz w:val="32"/>
          <w:szCs w:val="32"/>
        </w:rPr>
        <w:t>文化产品供给满足需求、丰富精神</w:t>
      </w:r>
      <w:r>
        <w:rPr>
          <w:rFonts w:ascii="仿宋_GB2312" w:eastAsia="仿宋_GB2312" w:cs="Times New Roman"/>
          <w:color w:val="auto"/>
          <w:sz w:val="32"/>
          <w:szCs w:val="32"/>
          <w:lang w:val="en-US" w:eastAsia="zh-CN"/>
        </w:rPr>
        <w:t>五</w:t>
      </w:r>
      <w:r>
        <w:rPr>
          <w:rFonts w:ascii="仿宋_GB2312" w:eastAsia="仿宋_GB2312" w:cs="Times New Roman"/>
          <w:color w:val="auto"/>
          <w:sz w:val="32"/>
          <w:szCs w:val="32"/>
        </w:rPr>
        <w:t>、坚持以防风险除隐患筑牢防线、守住底线</w:t>
      </w:r>
      <w:r>
        <w:rPr>
          <w:rFonts w:hint="eastAsia" w:ascii="仿宋_GB2312" w:eastAsia="仿宋_GB2312" w:cs="Times New Roman"/>
          <w:color w:val="auto"/>
          <w:sz w:val="32"/>
          <w:szCs w:val="32"/>
          <w:lang w:eastAsia="zh-CN"/>
        </w:rPr>
        <w:t>。</w:t>
      </w:r>
    </w:p>
    <w:p>
      <w:pPr>
        <w:spacing w:line="578" w:lineRule="exact"/>
        <w:ind w:firstLine="640" w:firstLineChars="200"/>
        <w:rPr>
          <w:rStyle w:val="22"/>
          <w:b w:val="0"/>
          <w:bCs w:val="0"/>
        </w:rPr>
      </w:pPr>
      <w:r>
        <w:rPr>
          <w:rStyle w:val="22"/>
          <w:rFonts w:hint="eastAsia" w:ascii="黑体" w:eastAsia="黑体"/>
          <w:b w:val="0"/>
          <w:bCs w:val="0"/>
        </w:rPr>
        <w:t>二、机构设置</w:t>
      </w:r>
      <w:bookmarkEnd w:id="19"/>
      <w:bookmarkEnd w:id="20"/>
    </w:p>
    <w:p>
      <w:pPr>
        <w:snapToGrid w:val="0"/>
        <w:spacing w:line="520" w:lineRule="exact"/>
        <w:ind w:firstLine="640" w:firstLineChars="200"/>
        <w:rPr>
          <w:rFonts w:ascii="仿宋_GB2312" w:eastAsia="仿宋_GB2312"/>
          <w:sz w:val="32"/>
          <w:szCs w:val="32"/>
        </w:rPr>
      </w:pPr>
      <w:bookmarkStart w:id="21" w:name="_Toc15377204"/>
      <w:bookmarkStart w:id="22" w:name="_Toc15396602"/>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年独立编制单位机构数为 1个</w:t>
      </w:r>
      <w:r>
        <w:rPr>
          <w:rFonts w:hint="eastAsia" w:ascii="仿宋_GB2312" w:eastAsia="仿宋_GB2312"/>
          <w:sz w:val="32"/>
          <w:szCs w:val="32"/>
        </w:rPr>
        <w:t>，</w:t>
      </w:r>
      <w:r>
        <w:rPr>
          <w:rFonts w:hint="eastAsia" w:ascii="仿宋_GB2312" w:eastAsia="仿宋_GB2312" w:cs="仿宋_GB2312"/>
          <w:sz w:val="32"/>
          <w:szCs w:val="32"/>
        </w:rPr>
        <w:t>财政供养人员编制为</w:t>
      </w:r>
      <w:r>
        <w:rPr>
          <w:rFonts w:hint="eastAsia" w:ascii="仿宋_GB2312" w:eastAsia="仿宋_GB2312" w:cs="仿宋_GB2312"/>
          <w:sz w:val="32"/>
          <w:szCs w:val="32"/>
          <w:lang w:val="en-US" w:eastAsia="zh-CN"/>
        </w:rPr>
        <w:t>15</w:t>
      </w:r>
      <w:r>
        <w:rPr>
          <w:rFonts w:hint="eastAsia" w:ascii="仿宋_GB2312" w:eastAsia="仿宋_GB2312" w:cs="仿宋_GB2312"/>
          <w:sz w:val="32"/>
          <w:szCs w:val="32"/>
        </w:rPr>
        <w:t>名，其中行政编制6名，行政工勤编制1名</w:t>
      </w:r>
      <w:r>
        <w:rPr>
          <w:rFonts w:hint="eastAsia" w:ascii="仿宋_GB2312" w:eastAsia="仿宋_GB2312" w:cs="仿宋_GB2312"/>
          <w:sz w:val="32"/>
          <w:szCs w:val="32"/>
          <w:lang w:val="en-US" w:eastAsia="zh-CN"/>
        </w:rPr>
        <w:t>,事业编制8名</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年实际财政供养人员</w:t>
      </w:r>
      <w:r>
        <w:rPr>
          <w:rFonts w:hint="eastAsia" w:ascii="仿宋_GB2312" w:eastAsia="仿宋_GB2312" w:cs="仿宋_GB2312"/>
          <w:sz w:val="32"/>
          <w:szCs w:val="32"/>
          <w:lang w:val="en-US" w:eastAsia="zh-CN"/>
        </w:rPr>
        <w:t>14</w:t>
      </w:r>
      <w:r>
        <w:rPr>
          <w:rFonts w:hint="eastAsia" w:ascii="仿宋_GB2312" w:eastAsia="仿宋_GB2312" w:cs="仿宋_GB2312"/>
          <w:sz w:val="32"/>
          <w:szCs w:val="32"/>
        </w:rPr>
        <w:t>人，与上年人数相</w:t>
      </w:r>
      <w:r>
        <w:rPr>
          <w:rFonts w:hint="eastAsia" w:ascii="仿宋_GB2312" w:eastAsia="仿宋_GB2312" w:cs="仿宋_GB2312"/>
          <w:sz w:val="32"/>
          <w:szCs w:val="32"/>
          <w:lang w:eastAsia="zh-CN"/>
        </w:rPr>
        <w:t>比减少</w:t>
      </w:r>
      <w:r>
        <w:rPr>
          <w:rFonts w:hint="eastAsia" w:ascii="仿宋_GB2312" w:eastAsia="仿宋_GB2312" w:cs="仿宋_GB2312"/>
          <w:sz w:val="32"/>
          <w:szCs w:val="32"/>
          <w:lang w:val="en-US" w:eastAsia="zh-CN"/>
        </w:rPr>
        <w:t>1人</w:t>
      </w:r>
      <w:r>
        <w:rPr>
          <w:rFonts w:hint="eastAsia" w:ascii="仿宋_GB2312" w:eastAsia="仿宋_GB2312" w:cs="仿宋_GB2312"/>
          <w:sz w:val="32"/>
          <w:szCs w:val="32"/>
        </w:rPr>
        <w:t>（不含退休人员），</w:t>
      </w:r>
      <w:r>
        <w:rPr>
          <w:rFonts w:hint="eastAsia" w:ascii="仿宋_GB2312" w:eastAsia="仿宋_GB2312" w:cs="仿宋_GB2312"/>
          <w:sz w:val="32"/>
          <w:szCs w:val="32"/>
          <w:lang w:eastAsia="zh-CN"/>
        </w:rPr>
        <w:t>原因为</w:t>
      </w:r>
      <w:r>
        <w:rPr>
          <w:rFonts w:hint="eastAsia" w:ascii="仿宋_GB2312" w:eastAsia="仿宋_GB2312" w:cs="仿宋_GB2312"/>
          <w:sz w:val="32"/>
          <w:szCs w:val="32"/>
          <w:lang w:val="en-US" w:eastAsia="zh-CN"/>
        </w:rPr>
        <w:t>2025年5月1行政工勤人员退休，</w:t>
      </w:r>
      <w:r>
        <w:rPr>
          <w:rFonts w:hint="eastAsia" w:ascii="仿宋_GB2312" w:eastAsia="仿宋_GB2312" w:cs="仿宋_GB2312"/>
          <w:sz w:val="32"/>
          <w:szCs w:val="32"/>
        </w:rPr>
        <w:t>其中：行政6人</w:t>
      </w:r>
      <w:r>
        <w:rPr>
          <w:rFonts w:hint="eastAsia" w:ascii="仿宋_GB2312" w:eastAsia="仿宋_GB2312" w:cs="仿宋_GB2312"/>
          <w:sz w:val="32"/>
          <w:szCs w:val="32"/>
          <w:lang w:eastAsia="zh-CN"/>
        </w:rPr>
        <w:t>、</w:t>
      </w:r>
      <w:r>
        <w:rPr>
          <w:rFonts w:hint="eastAsia" w:ascii="仿宋_GB2312" w:eastAsia="仿宋_GB2312" w:cs="仿宋_GB2312"/>
          <w:sz w:val="32"/>
          <w:szCs w:val="32"/>
        </w:rPr>
        <w:t>行政工勤</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人</w:t>
      </w:r>
      <w:r>
        <w:rPr>
          <w:rFonts w:hint="eastAsia" w:ascii="仿宋_GB2312" w:eastAsia="仿宋_GB2312" w:cs="仿宋_GB2312"/>
          <w:sz w:val="32"/>
          <w:szCs w:val="32"/>
          <w:lang w:eastAsia="zh-CN"/>
        </w:rPr>
        <w:t>、事业</w:t>
      </w:r>
      <w:r>
        <w:rPr>
          <w:rFonts w:hint="eastAsia" w:ascii="仿宋_GB2312" w:eastAsia="仿宋_GB2312" w:cs="仿宋_GB2312"/>
          <w:sz w:val="32"/>
          <w:szCs w:val="32"/>
          <w:lang w:val="en-US" w:eastAsia="zh-CN"/>
        </w:rPr>
        <w:t>8人</w:t>
      </w:r>
      <w:r>
        <w:rPr>
          <w:rFonts w:hint="eastAsia" w:ascii="仿宋_GB2312" w:eastAsia="仿宋_GB2312" w:cs="仿宋_GB2312"/>
          <w:sz w:val="32"/>
          <w:szCs w:val="32"/>
        </w:rPr>
        <w:t>。</w:t>
      </w:r>
    </w:p>
    <w:p>
      <w:pPr>
        <w:pStyle w:val="5"/>
        <w:ind w:right="440"/>
        <w:jc w:val="right"/>
      </w:pPr>
      <w:r>
        <w:rPr>
          <w:rFonts w:hint="eastAsia" w:ascii="黑体" w:eastAsia="黑体"/>
          <w:b w:val="0"/>
          <w:color w:val="000000"/>
        </w:rPr>
        <w:t>第二部分</w:t>
      </w:r>
      <w:r>
        <w:rPr>
          <w:rFonts w:hint="eastAsia" w:ascii="黑体" w:eastAsia="黑体"/>
          <w:color w:val="000000"/>
        </w:rPr>
        <w:t xml:space="preserve"> </w:t>
      </w:r>
      <w:r>
        <w:rPr>
          <w:rStyle w:val="21"/>
          <w:rFonts w:hint="eastAsia" w:ascii="黑体" w:eastAsia="黑体"/>
          <w:b w:val="0"/>
          <w:bCs w:val="0"/>
        </w:rPr>
        <w:t>202</w:t>
      </w:r>
      <w:r>
        <w:rPr>
          <w:rStyle w:val="21"/>
          <w:rFonts w:hint="eastAsia" w:ascii="黑体" w:eastAsia="黑体"/>
          <w:b w:val="0"/>
          <w:bCs w:val="0"/>
          <w:lang w:val="en-US"/>
        </w:rPr>
        <w:t>4</w:t>
      </w:r>
      <w:r>
        <w:rPr>
          <w:rStyle w:val="21"/>
          <w:rFonts w:hint="eastAsia" w:ascii="黑体" w:eastAsia="黑体"/>
          <w:b w:val="0"/>
          <w:bCs w:val="0"/>
        </w:rPr>
        <w:t>年度部门决算情况说明</w:t>
      </w:r>
      <w:bookmarkEnd w:id="21"/>
      <w:bookmarkEnd w:id="22"/>
    </w:p>
    <w:p>
      <w:pPr>
        <w:pStyle w:val="27"/>
        <w:numPr>
          <w:ilvl w:val="0"/>
          <w:numId w:val="1"/>
        </w:numPr>
        <w:ind w:left="0" w:firstLine="0" w:firstLineChars="0"/>
        <w:outlineLvl w:val="1"/>
        <w:rPr>
          <w:rStyle w:val="22"/>
          <w:rFonts w:ascii="黑体" w:eastAsia="黑体"/>
          <w:b w:val="0"/>
        </w:rPr>
      </w:pPr>
      <w:bookmarkStart w:id="23" w:name="_Toc15396603"/>
      <w:bookmarkStart w:id="24" w:name="_Toc15377205"/>
      <w:r>
        <w:rPr>
          <w:rFonts w:hint="eastAsia" w:ascii="黑体" w:eastAsia="黑体"/>
          <w:color w:val="000000"/>
          <w:sz w:val="32"/>
          <w:szCs w:val="32"/>
        </w:rPr>
        <w:t>收</w:t>
      </w:r>
      <w:r>
        <w:rPr>
          <w:rStyle w:val="22"/>
          <w:rFonts w:hint="eastAsia" w:ascii="黑体" w:eastAsia="黑体"/>
          <w:b w:val="0"/>
        </w:rPr>
        <w:t>入支出决算总体情况说明</w:t>
      </w:r>
      <w:bookmarkEnd w:id="23"/>
      <w:bookmarkEnd w:id="24"/>
    </w:p>
    <w:p>
      <w:pPr>
        <w:pStyle w:val="27"/>
        <w:numPr>
          <w:ilvl w:val="0"/>
          <w:numId w:val="2"/>
        </w:numPr>
        <w:spacing w:line="600" w:lineRule="exact"/>
        <w:ind w:firstLineChars="0"/>
        <w:rPr>
          <w:rFonts w:ascii="仿宋_GB2312" w:eastAsia="仿宋_GB2312"/>
          <w:color w:val="000000"/>
          <w:sz w:val="32"/>
          <w:szCs w:val="32"/>
        </w:rPr>
      </w:pPr>
      <w:bookmarkStart w:id="25" w:name="_Toc15377206"/>
      <w:bookmarkStart w:id="26" w:name="_Toc15396604"/>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年度财政拨款收入总决算</w:t>
      </w:r>
      <w:r>
        <w:rPr>
          <w:rFonts w:hint="eastAsia" w:ascii="仿宋_GB2312" w:eastAsia="仿宋_GB2312"/>
          <w:color w:val="000000"/>
          <w:sz w:val="32"/>
          <w:szCs w:val="32"/>
          <w:lang w:val="en-US" w:eastAsia="zh-CN"/>
        </w:rPr>
        <w:t>898.52</w:t>
      </w:r>
      <w:r>
        <w:rPr>
          <w:rFonts w:hint="eastAsia" w:ascii="仿宋_GB2312" w:eastAsia="仿宋_GB2312"/>
          <w:color w:val="000000"/>
          <w:sz w:val="32"/>
          <w:szCs w:val="32"/>
        </w:rPr>
        <w:t>万元与202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年财政拨款收入总决算</w:t>
      </w:r>
      <w:r>
        <w:rPr>
          <w:rFonts w:hint="eastAsia" w:ascii="仿宋_GB2312" w:eastAsia="仿宋_GB2312"/>
          <w:color w:val="000000"/>
          <w:sz w:val="32"/>
          <w:szCs w:val="32"/>
          <w:lang w:val="en-US" w:eastAsia="zh-CN"/>
        </w:rPr>
        <w:t>585.8</w:t>
      </w:r>
      <w:r>
        <w:rPr>
          <w:rFonts w:hint="eastAsia" w:ascii="仿宋_GB2312" w:eastAsia="仿宋_GB2312"/>
          <w:color w:val="000000"/>
          <w:sz w:val="32"/>
          <w:szCs w:val="32"/>
        </w:rPr>
        <w:t>万元相比收入</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312.72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53.38</w:t>
      </w:r>
      <w:r>
        <w:rPr>
          <w:rFonts w:hint="eastAsia" w:ascii="仿宋_GB2312" w:eastAsia="仿宋_GB2312"/>
          <w:color w:val="000000"/>
          <w:sz w:val="32"/>
          <w:szCs w:val="32"/>
        </w:rPr>
        <w:t>%。</w:t>
      </w:r>
    </w:p>
    <w:p>
      <w:pPr>
        <w:pStyle w:val="27"/>
        <w:numPr>
          <w:ilvl w:val="0"/>
          <w:numId w:val="2"/>
        </w:numPr>
        <w:spacing w:line="600" w:lineRule="exact"/>
        <w:ind w:firstLineChars="0"/>
        <w:rPr>
          <w:rFonts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年度财政拨款支出总决算</w:t>
      </w:r>
      <w:r>
        <w:rPr>
          <w:rFonts w:hint="eastAsia" w:ascii="仿宋_GB2312" w:eastAsia="仿宋_GB2312"/>
          <w:color w:val="000000"/>
          <w:sz w:val="32"/>
          <w:szCs w:val="32"/>
          <w:lang w:val="en-US" w:eastAsia="zh-CN"/>
        </w:rPr>
        <w:t>898.52</w:t>
      </w:r>
      <w:r>
        <w:rPr>
          <w:rFonts w:hint="eastAsia" w:ascii="仿宋_GB2312" w:eastAsia="仿宋_GB2312"/>
          <w:color w:val="000000"/>
          <w:sz w:val="32"/>
          <w:szCs w:val="32"/>
        </w:rPr>
        <w:t>万元与202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年财政拨款支出总决算</w:t>
      </w:r>
      <w:r>
        <w:rPr>
          <w:rFonts w:hint="eastAsia" w:ascii="仿宋_GB2312" w:eastAsia="仿宋_GB2312"/>
          <w:color w:val="000000"/>
          <w:sz w:val="32"/>
          <w:szCs w:val="32"/>
          <w:lang w:val="en-US" w:eastAsia="zh-CN"/>
        </w:rPr>
        <w:t>585.8</w:t>
      </w:r>
      <w:r>
        <w:rPr>
          <w:rFonts w:hint="eastAsia" w:ascii="仿宋_GB2312" w:eastAsia="仿宋_GB2312"/>
          <w:color w:val="000000"/>
          <w:sz w:val="32"/>
          <w:szCs w:val="32"/>
        </w:rPr>
        <w:t>万元相比</w:t>
      </w:r>
      <w:r>
        <w:rPr>
          <w:rFonts w:hint="eastAsia" w:ascii="仿宋_GB2312" w:eastAsia="仿宋_GB2312"/>
          <w:color w:val="000000"/>
          <w:sz w:val="32"/>
          <w:szCs w:val="32"/>
          <w:lang w:eastAsia="zh-CN"/>
        </w:rPr>
        <w:t>支出增加</w:t>
      </w:r>
      <w:r>
        <w:rPr>
          <w:rFonts w:hint="eastAsia" w:ascii="仿宋_GB2312" w:eastAsia="仿宋_GB2312"/>
          <w:color w:val="000000"/>
          <w:sz w:val="32"/>
          <w:szCs w:val="32"/>
          <w:lang w:val="en-US" w:eastAsia="zh-CN"/>
        </w:rPr>
        <w:t>312.72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53.38</w:t>
      </w:r>
      <w:r>
        <w:rPr>
          <w:rFonts w:hint="eastAsia" w:ascii="仿宋_GB2312" w:eastAsia="仿宋_GB2312"/>
          <w:color w:val="000000"/>
          <w:sz w:val="32"/>
          <w:szCs w:val="32"/>
        </w:rPr>
        <w:t>%。</w:t>
      </w: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r>
        <w:drawing>
          <wp:anchor distT="0" distB="0" distL="114300" distR="114300" simplePos="0" relativeHeight="1024" behindDoc="1" locked="0" layoutInCell="1" allowOverlap="1">
            <wp:simplePos x="0" y="0"/>
            <wp:positionH relativeFrom="column">
              <wp:posOffset>450850</wp:posOffset>
            </wp:positionH>
            <wp:positionV relativeFrom="paragraph">
              <wp:posOffset>-445770</wp:posOffset>
            </wp:positionV>
            <wp:extent cx="4572000" cy="2743200"/>
            <wp:effectExtent l="0" t="0" r="0" b="0"/>
            <wp:wrapNone/>
            <wp:docPr id="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Style w:val="22"/>
          <w:rFonts w:ascii="黑体" w:eastAsia="黑体"/>
          <w:b w:val="0"/>
        </w:rPr>
      </w:pPr>
      <w:r>
        <w:rPr>
          <w:rFonts w:hint="eastAsia" w:ascii="黑体" w:eastAsia="黑体"/>
          <w:color w:val="000000"/>
          <w:sz w:val="32"/>
          <w:szCs w:val="32"/>
        </w:rPr>
        <w:t>二、收入决</w:t>
      </w:r>
      <w:r>
        <w:rPr>
          <w:rStyle w:val="22"/>
          <w:rFonts w:hint="eastAsia" w:ascii="黑体" w:eastAsia="黑体"/>
          <w:b w:val="0"/>
        </w:rPr>
        <w:t>算情况说明</w:t>
      </w:r>
      <w:bookmarkEnd w:id="25"/>
      <w:bookmarkEnd w:id="26"/>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4</w:t>
      </w:r>
      <w:r>
        <w:rPr>
          <w:rFonts w:hint="eastAsia" w:ascii="仿宋" w:eastAsia="仿宋"/>
          <w:color w:val="000000"/>
          <w:sz w:val="32"/>
          <w:szCs w:val="32"/>
        </w:rPr>
        <w:t>年总收入</w:t>
      </w:r>
      <w:r>
        <w:rPr>
          <w:rFonts w:hint="eastAsia" w:ascii="仿宋_GB2312" w:eastAsia="仿宋_GB2312"/>
          <w:color w:val="000000"/>
          <w:sz w:val="32"/>
          <w:szCs w:val="32"/>
          <w:lang w:val="en-US" w:eastAsia="zh-CN"/>
        </w:rPr>
        <w:t>898.52</w:t>
      </w:r>
      <w:r>
        <w:rPr>
          <w:rFonts w:hint="eastAsia" w:ascii="仿宋" w:eastAsia="仿宋"/>
          <w:color w:val="000000"/>
          <w:sz w:val="32"/>
          <w:szCs w:val="32"/>
        </w:rPr>
        <w:t>万元，其中：一般公共预算财政拨款收入</w:t>
      </w:r>
      <w:r>
        <w:rPr>
          <w:rFonts w:hint="eastAsia" w:ascii="仿宋_GB2312" w:eastAsia="仿宋_GB2312"/>
          <w:color w:val="000000"/>
          <w:sz w:val="32"/>
          <w:szCs w:val="32"/>
          <w:lang w:val="en-US" w:eastAsia="zh-CN"/>
        </w:rPr>
        <w:t>898.42</w:t>
      </w:r>
      <w:r>
        <w:rPr>
          <w:rFonts w:hint="eastAsia" w:ascii="仿宋" w:eastAsia="仿宋"/>
          <w:color w:val="000000"/>
          <w:sz w:val="32"/>
          <w:szCs w:val="32"/>
        </w:rPr>
        <w:t>万元，占</w:t>
      </w:r>
      <w:r>
        <w:rPr>
          <w:rFonts w:hint="eastAsia" w:ascii="仿宋" w:eastAsia="仿宋"/>
          <w:color w:val="000000"/>
          <w:sz w:val="32"/>
          <w:szCs w:val="32"/>
          <w:lang w:val="en-US" w:eastAsia="zh-CN"/>
        </w:rPr>
        <w:t>99.99</w:t>
      </w:r>
      <w:r>
        <w:rPr>
          <w:rFonts w:ascii="仿宋" w:eastAsia="仿宋"/>
          <w:color w:val="000000"/>
          <w:sz w:val="32"/>
          <w:szCs w:val="32"/>
        </w:rPr>
        <w:t>%</w:t>
      </w:r>
      <w:r>
        <w:rPr>
          <w:rFonts w:hint="eastAsia" w:ascii="仿宋" w:eastAsia="仿宋"/>
          <w:color w:val="000000"/>
          <w:sz w:val="32"/>
          <w:szCs w:val="32"/>
        </w:rPr>
        <w:t>；政府性基金预算财政拨款收入0</w:t>
      </w:r>
      <w:r>
        <w:rPr>
          <w:rFonts w:hint="eastAsia" w:ascii="仿宋" w:eastAsia="仿宋"/>
          <w:color w:val="000000"/>
          <w:sz w:val="32"/>
          <w:szCs w:val="32"/>
          <w:lang w:val="en-US" w:eastAsia="zh-CN"/>
        </w:rPr>
        <w:t>.1</w:t>
      </w:r>
      <w:r>
        <w:rPr>
          <w:rFonts w:hint="eastAsia" w:ascii="仿宋" w:eastAsia="仿宋"/>
          <w:color w:val="000000"/>
          <w:sz w:val="32"/>
          <w:szCs w:val="32"/>
        </w:rPr>
        <w:t>万元，占0</w:t>
      </w:r>
      <w:r>
        <w:rPr>
          <w:rFonts w:hint="eastAsia" w:ascii="仿宋" w:eastAsia="仿宋"/>
          <w:color w:val="000000"/>
          <w:sz w:val="32"/>
          <w:szCs w:val="32"/>
          <w:lang w:val="en-US" w:eastAsia="zh-CN"/>
        </w:rPr>
        <w:t>.01</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Start w:id="27" w:name="_Toc15377207"/>
      <w:bookmarkStart w:id="28" w:name="_Toc15396605"/>
    </w:p>
    <w:p>
      <w:pPr>
        <w:spacing w:line="600" w:lineRule="exact"/>
        <w:ind w:firstLine="420" w:firstLineChars="200"/>
        <w:outlineLvl w:val="1"/>
        <w:rPr>
          <w:rFonts w:ascii="仿宋" w:eastAsia="仿宋"/>
          <w:color w:val="000000"/>
          <w:sz w:val="32"/>
          <w:szCs w:val="32"/>
        </w:rPr>
      </w:pPr>
      <w:r>
        <w:drawing>
          <wp:anchor distT="0" distB="0" distL="114300" distR="114300" simplePos="0" relativeHeight="1024" behindDoc="1" locked="0" layoutInCell="1" allowOverlap="1">
            <wp:simplePos x="0" y="0"/>
            <wp:positionH relativeFrom="column">
              <wp:posOffset>425450</wp:posOffset>
            </wp:positionH>
            <wp:positionV relativeFrom="paragraph">
              <wp:posOffset>163195</wp:posOffset>
            </wp:positionV>
            <wp:extent cx="4572000" cy="2743200"/>
            <wp:effectExtent l="0" t="0" r="0" b="0"/>
            <wp:wrapNone/>
            <wp:docPr id="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outlineLvl w:val="1"/>
        <w:rPr>
          <w:rStyle w:val="22"/>
          <w:rFonts w:ascii="仿宋" w:eastAsia="仿宋"/>
          <w:b w:val="0"/>
          <w:bCs w:val="0"/>
          <w:color w:val="000000"/>
        </w:rPr>
      </w:pPr>
      <w:r>
        <w:rPr>
          <w:rFonts w:hint="eastAsia" w:ascii="黑体" w:eastAsia="黑体"/>
          <w:color w:val="000000"/>
          <w:sz w:val="32"/>
          <w:szCs w:val="32"/>
        </w:rPr>
        <w:t>三、支出决</w:t>
      </w:r>
      <w:r>
        <w:rPr>
          <w:rStyle w:val="22"/>
          <w:rFonts w:hint="eastAsia" w:ascii="黑体" w:eastAsia="黑体"/>
          <w:b w:val="0"/>
        </w:rPr>
        <w:t>算情况说明</w:t>
      </w:r>
      <w:bookmarkEnd w:id="27"/>
      <w:bookmarkEnd w:id="28"/>
    </w:p>
    <w:p>
      <w:pPr>
        <w:spacing w:line="600" w:lineRule="exact"/>
        <w:ind w:firstLine="640"/>
        <w:rPr>
          <w:rFonts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4</w:t>
      </w:r>
      <w:r>
        <w:rPr>
          <w:rFonts w:hint="eastAsia" w:ascii="仿宋" w:eastAsia="仿宋"/>
          <w:color w:val="000000"/>
          <w:sz w:val="32"/>
          <w:szCs w:val="32"/>
        </w:rPr>
        <w:t>年本年总支出</w:t>
      </w:r>
      <w:r>
        <w:rPr>
          <w:rFonts w:hint="eastAsia" w:ascii="仿宋_GB2312" w:eastAsia="仿宋_GB2312"/>
          <w:color w:val="000000"/>
          <w:sz w:val="32"/>
          <w:szCs w:val="32"/>
          <w:lang w:val="en-US" w:eastAsia="zh-CN"/>
        </w:rPr>
        <w:t>898.52</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319.09</w:t>
      </w:r>
      <w:r>
        <w:rPr>
          <w:rFonts w:hint="eastAsia" w:ascii="仿宋" w:eastAsia="仿宋"/>
          <w:color w:val="000000"/>
          <w:sz w:val="32"/>
          <w:szCs w:val="32"/>
        </w:rPr>
        <w:t>万元，占</w:t>
      </w:r>
      <w:r>
        <w:rPr>
          <w:rFonts w:hint="eastAsia" w:ascii="仿宋" w:eastAsia="仿宋"/>
          <w:color w:val="000000"/>
          <w:sz w:val="32"/>
          <w:szCs w:val="32"/>
          <w:lang w:val="en-US" w:eastAsia="zh-CN"/>
        </w:rPr>
        <w:t>35.51</w:t>
      </w:r>
      <w:r>
        <w:rPr>
          <w:rFonts w:hint="eastAsia" w:ascii="仿宋" w:eastAsia="仿宋"/>
          <w:color w:val="000000"/>
          <w:sz w:val="32"/>
          <w:szCs w:val="32"/>
        </w:rPr>
        <w:t>%；项目支出</w:t>
      </w:r>
      <w:r>
        <w:rPr>
          <w:rFonts w:hint="eastAsia" w:ascii="仿宋" w:eastAsia="仿宋"/>
          <w:color w:val="000000"/>
          <w:sz w:val="32"/>
          <w:szCs w:val="32"/>
          <w:lang w:val="en-US" w:eastAsia="zh-CN"/>
        </w:rPr>
        <w:t>579.43</w:t>
      </w:r>
      <w:r>
        <w:rPr>
          <w:rFonts w:hint="eastAsia" w:ascii="仿宋" w:eastAsia="仿宋"/>
          <w:color w:val="000000"/>
          <w:sz w:val="32"/>
          <w:szCs w:val="32"/>
        </w:rPr>
        <w:t>万元，占</w:t>
      </w:r>
      <w:r>
        <w:rPr>
          <w:rFonts w:hint="eastAsia" w:ascii="仿宋" w:eastAsia="仿宋"/>
          <w:color w:val="000000"/>
          <w:sz w:val="32"/>
          <w:szCs w:val="32"/>
          <w:lang w:val="en-US" w:eastAsia="zh-CN"/>
        </w:rPr>
        <w:t>64.49</w:t>
      </w:r>
      <w:r>
        <w:rPr>
          <w:rFonts w:hint="eastAsia" w:ascii="仿宋" w:eastAsia="仿宋"/>
          <w:color w:val="000000"/>
          <w:sz w:val="32"/>
          <w:szCs w:val="32"/>
        </w:rPr>
        <w:t>%；上缴上级支出0万元，占0%；经营支出0万元，占0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 w:eastAsia="仿宋"/>
          <w:color w:val="000000"/>
          <w:sz w:val="32"/>
          <w:szCs w:val="32"/>
          <w:shd w:val="pct10" w:color="auto" w:fill="FFFFFF"/>
        </w:rPr>
      </w:pPr>
      <w:r>
        <w:drawing>
          <wp:anchor distT="0" distB="0" distL="114300" distR="114300" simplePos="0" relativeHeight="1024" behindDoc="1" locked="0" layoutInCell="1" allowOverlap="1">
            <wp:simplePos x="0" y="0"/>
            <wp:positionH relativeFrom="column">
              <wp:posOffset>499110</wp:posOffset>
            </wp:positionH>
            <wp:positionV relativeFrom="paragraph">
              <wp:posOffset>147955</wp:posOffset>
            </wp:positionV>
            <wp:extent cx="4572000" cy="2743200"/>
            <wp:effectExtent l="0" t="0" r="0" b="0"/>
            <wp:wrapNone/>
            <wp:docPr id="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rPr>
          <w:rFonts w:ascii="黑体" w:eastAsia="黑体"/>
          <w:color w:val="000000"/>
          <w:sz w:val="32"/>
          <w:szCs w:val="32"/>
        </w:rPr>
      </w:pPr>
      <w:bookmarkStart w:id="29" w:name="_Toc15377209"/>
      <w:bookmarkStart w:id="30" w:name="_Toc15396607"/>
    </w:p>
    <w:p>
      <w:pPr>
        <w:pStyle w:val="27"/>
        <w:numPr>
          <w:ilvl w:val="0"/>
          <w:numId w:val="3"/>
        </w:numPr>
        <w:spacing w:line="600" w:lineRule="exact"/>
        <w:ind w:firstLineChars="0"/>
        <w:outlineLvl w:val="1"/>
        <w:rPr>
          <w:rStyle w:val="22"/>
          <w:rFonts w:ascii="黑体" w:eastAsia="黑体"/>
          <w:b w:val="0"/>
        </w:rPr>
      </w:pPr>
      <w:bookmarkStart w:id="31" w:name="_Toc15396606"/>
      <w:bookmarkStart w:id="32" w:name="_Toc15377208"/>
      <w:r>
        <w:rPr>
          <w:rFonts w:hint="eastAsia" w:ascii="黑体" w:eastAsia="黑体"/>
          <w:color w:val="000000"/>
          <w:sz w:val="32"/>
          <w:szCs w:val="32"/>
        </w:rPr>
        <w:t>财</w:t>
      </w:r>
      <w:r>
        <w:rPr>
          <w:rStyle w:val="22"/>
          <w:rFonts w:hint="eastAsia" w:ascii="黑体" w:eastAsia="黑体"/>
          <w:b w:val="0"/>
        </w:rPr>
        <w:t>政拨款收入支出决算总体情况说明</w:t>
      </w:r>
      <w:bookmarkEnd w:id="31"/>
      <w:bookmarkEnd w:id="32"/>
    </w:p>
    <w:p>
      <w:pPr>
        <w:pStyle w:val="27"/>
        <w:spacing w:line="600" w:lineRule="exact"/>
        <w:ind w:left="160" w:firstLine="320" w:firstLineChars="100"/>
        <w:rPr>
          <w:rFonts w:ascii="黑体" w:eastAsia="黑体"/>
          <w:color w:val="000000"/>
          <w:sz w:val="32"/>
          <w:szCs w:val="32"/>
        </w:rPr>
      </w:pPr>
      <w:r>
        <w:rPr>
          <w:rFonts w:hint="eastAsia" w:ascii="仿宋_GB2312" w:eastAsia="仿宋_GB2312"/>
          <w:color w:val="000000"/>
          <w:sz w:val="32"/>
          <w:szCs w:val="32"/>
        </w:rPr>
        <w:t xml:space="preserve"> 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年度财政拨款收入总决算</w:t>
      </w:r>
      <w:r>
        <w:rPr>
          <w:rFonts w:hint="eastAsia" w:ascii="仿宋_GB2312" w:eastAsia="仿宋_GB2312"/>
          <w:color w:val="000000"/>
          <w:sz w:val="32"/>
          <w:szCs w:val="32"/>
          <w:lang w:val="en-US" w:eastAsia="zh-CN"/>
        </w:rPr>
        <w:t>898.52</w:t>
      </w:r>
      <w:r>
        <w:rPr>
          <w:rFonts w:hint="eastAsia" w:ascii="仿宋_GB2312" w:eastAsia="仿宋_GB2312"/>
          <w:color w:val="000000"/>
          <w:sz w:val="32"/>
          <w:szCs w:val="32"/>
        </w:rPr>
        <w:t>万元与202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年财政拨款收入总决算</w:t>
      </w:r>
      <w:r>
        <w:rPr>
          <w:rFonts w:hint="eastAsia" w:ascii="仿宋_GB2312" w:eastAsia="仿宋_GB2312"/>
          <w:color w:val="000000"/>
          <w:sz w:val="32"/>
          <w:szCs w:val="32"/>
          <w:lang w:val="en-US" w:eastAsia="zh-CN"/>
        </w:rPr>
        <w:t>585.8</w:t>
      </w:r>
      <w:r>
        <w:rPr>
          <w:rFonts w:hint="eastAsia" w:ascii="仿宋_GB2312" w:eastAsia="仿宋_GB2312"/>
          <w:color w:val="000000"/>
          <w:sz w:val="32"/>
          <w:szCs w:val="32"/>
        </w:rPr>
        <w:t>万元相比收入</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312.72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53.38</w:t>
      </w:r>
      <w:r>
        <w:rPr>
          <w:rFonts w:hint="eastAsia" w:ascii="仿宋_GB2312" w:eastAsia="仿宋_GB2312"/>
          <w:color w:val="000000"/>
          <w:sz w:val="32"/>
          <w:szCs w:val="32"/>
        </w:rPr>
        <w:t>%。</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原因为</w:t>
      </w:r>
      <w:r>
        <w:rPr>
          <w:rFonts w:hint="eastAsia" w:ascii="仿宋_GB2312" w:eastAsia="仿宋_GB2312"/>
          <w:color w:val="000000"/>
          <w:sz w:val="32"/>
          <w:szCs w:val="32"/>
          <w:lang w:eastAsia="zh-CN"/>
        </w:rPr>
        <w:t>本年度项目资金及人员增加等</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年度财政拨款支出总决算</w:t>
      </w:r>
      <w:r>
        <w:rPr>
          <w:rFonts w:hint="eastAsia" w:ascii="仿宋_GB2312" w:eastAsia="仿宋_GB2312"/>
          <w:color w:val="000000"/>
          <w:sz w:val="32"/>
          <w:szCs w:val="32"/>
          <w:lang w:val="en-US" w:eastAsia="zh-CN"/>
        </w:rPr>
        <w:t>898.52</w:t>
      </w:r>
      <w:r>
        <w:rPr>
          <w:rFonts w:hint="eastAsia" w:ascii="仿宋_GB2312" w:eastAsia="仿宋_GB2312"/>
          <w:color w:val="000000"/>
          <w:sz w:val="32"/>
          <w:szCs w:val="32"/>
        </w:rPr>
        <w:t>万元与202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年财政拨款支出总决算</w:t>
      </w:r>
      <w:r>
        <w:rPr>
          <w:rFonts w:hint="eastAsia" w:ascii="仿宋_GB2312" w:eastAsia="仿宋_GB2312"/>
          <w:color w:val="000000"/>
          <w:sz w:val="32"/>
          <w:szCs w:val="32"/>
          <w:lang w:val="en-US" w:eastAsia="zh-CN"/>
        </w:rPr>
        <w:t>585.8</w:t>
      </w:r>
      <w:r>
        <w:rPr>
          <w:rFonts w:hint="eastAsia" w:ascii="仿宋_GB2312" w:eastAsia="仿宋_GB2312"/>
          <w:color w:val="000000"/>
          <w:sz w:val="32"/>
          <w:szCs w:val="32"/>
        </w:rPr>
        <w:t>万元相比</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312.72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53.38</w:t>
      </w:r>
      <w:r>
        <w:rPr>
          <w:rFonts w:hint="eastAsia" w:ascii="仿宋_GB2312" w:eastAsia="仿宋_GB2312"/>
          <w:color w:val="000000"/>
          <w:sz w:val="32"/>
          <w:szCs w:val="32"/>
        </w:rPr>
        <w:t>%。</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原因为</w:t>
      </w:r>
      <w:r>
        <w:rPr>
          <w:rFonts w:hint="eastAsia" w:ascii="仿宋_GB2312" w:eastAsia="仿宋_GB2312"/>
          <w:color w:val="000000"/>
          <w:sz w:val="32"/>
          <w:szCs w:val="32"/>
          <w:lang w:eastAsia="zh-CN"/>
        </w:rPr>
        <w:t>本年度项目资金及人员增加等</w:t>
      </w:r>
      <w:r>
        <w:rPr>
          <w:rFonts w:hint="eastAsia" w:ascii="仿宋_GB2312" w:eastAsia="仿宋_GB2312"/>
          <w:color w:val="000000"/>
          <w:sz w:val="32"/>
          <w:szCs w:val="32"/>
        </w:rPr>
        <w:t>。</w:t>
      </w:r>
    </w:p>
    <w:p>
      <w:pPr>
        <w:spacing w:line="600" w:lineRule="exact"/>
        <w:rPr>
          <w:rStyle w:val="22"/>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2"/>
          <w:rFonts w:hint="eastAsia" w:ascii="黑体" w:eastAsia="黑体"/>
          <w:b w:val="0"/>
        </w:rPr>
        <w:t>般公共预算财政拨款支出决算情况说明</w:t>
      </w:r>
      <w:bookmarkEnd w:id="29"/>
      <w:bookmarkEnd w:id="30"/>
    </w:p>
    <w:p>
      <w:pPr>
        <w:spacing w:line="600" w:lineRule="exact"/>
        <w:outlineLvl w:val="2"/>
        <w:rPr>
          <w:rFonts w:ascii="仿宋" w:eastAsia="仿宋"/>
          <w:b/>
          <w:color w:val="000000"/>
          <w:sz w:val="32"/>
          <w:szCs w:val="32"/>
        </w:rPr>
      </w:pPr>
      <w:bookmarkStart w:id="33" w:name="_Toc15377210"/>
      <w:r>
        <w:rPr>
          <w:rFonts w:hint="eastAsia" w:ascii="仿宋" w:eastAsia="仿宋"/>
          <w:b/>
          <w:color w:val="000000"/>
          <w:sz w:val="32"/>
          <w:szCs w:val="32"/>
        </w:rPr>
        <w:t>（一）一般公共预算财政拨款支出决算总体情况</w:t>
      </w:r>
      <w:bookmarkEnd w:id="33"/>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4</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hint="eastAsia" w:ascii="仿宋_GB2312" w:eastAsia="仿宋_GB2312"/>
          <w:color w:val="000000"/>
          <w:sz w:val="32"/>
          <w:szCs w:val="32"/>
          <w:lang w:val="en-US" w:eastAsia="zh-CN"/>
        </w:rPr>
        <w:t>898.42</w:t>
      </w:r>
      <w:r>
        <w:rPr>
          <w:rFonts w:hint="eastAsia" w:ascii="仿宋_GB2312" w:eastAsia="仿宋_GB2312"/>
          <w:spacing w:val="-2"/>
          <w:sz w:val="32"/>
          <w:szCs w:val="32"/>
        </w:rPr>
        <w:t>万元，</w:t>
      </w:r>
      <w:r>
        <w:rPr>
          <w:rFonts w:hint="eastAsia" w:ascii="仿宋" w:eastAsia="仿宋"/>
          <w:color w:val="000000"/>
          <w:sz w:val="32"/>
          <w:szCs w:val="32"/>
        </w:rPr>
        <w:t>占本年总支出的</w:t>
      </w:r>
      <w:r>
        <w:rPr>
          <w:rFonts w:hint="eastAsia" w:ascii="仿宋" w:eastAsia="仿宋"/>
          <w:color w:val="000000"/>
          <w:sz w:val="32"/>
          <w:szCs w:val="32"/>
          <w:lang w:val="en-US" w:eastAsia="zh-CN"/>
        </w:rPr>
        <w:t>99.99</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3</w:t>
      </w:r>
      <w:r>
        <w:rPr>
          <w:rFonts w:hint="eastAsia" w:ascii="仿宋" w:eastAsia="仿宋"/>
          <w:color w:val="000000"/>
          <w:sz w:val="32"/>
          <w:szCs w:val="32"/>
        </w:rPr>
        <w:t>年相比，一般公共预算财政拨款</w:t>
      </w:r>
      <w:r>
        <w:rPr>
          <w:rFonts w:hint="eastAsia" w:ascii="仿宋_GB2312" w:eastAsia="仿宋_GB2312"/>
          <w:spacing w:val="-2"/>
          <w:sz w:val="32"/>
          <w:szCs w:val="32"/>
        </w:rPr>
        <w:t>支出</w:t>
      </w:r>
      <w:r>
        <w:rPr>
          <w:rFonts w:hint="eastAsia" w:ascii="仿宋_GB2312" w:eastAsia="仿宋_GB2312"/>
          <w:spacing w:val="-2"/>
          <w:sz w:val="32"/>
          <w:szCs w:val="32"/>
          <w:lang w:eastAsia="zh-CN"/>
        </w:rPr>
        <w:t>增加</w:t>
      </w:r>
      <w:r>
        <w:rPr>
          <w:rFonts w:hint="eastAsia" w:ascii="仿宋_GB2312" w:eastAsia="仿宋_GB2312"/>
          <w:spacing w:val="-2"/>
          <w:sz w:val="32"/>
          <w:szCs w:val="32"/>
          <w:lang w:val="en-US" w:eastAsia="zh-CN"/>
        </w:rPr>
        <w:t>312.62</w:t>
      </w:r>
      <w:r>
        <w:rPr>
          <w:rFonts w:hint="eastAsia" w:ascii="仿宋_GB2312" w:eastAsia="仿宋_GB2312"/>
          <w:spacing w:val="-2"/>
          <w:sz w:val="32"/>
          <w:szCs w:val="32"/>
        </w:rPr>
        <w:t>万元，</w:t>
      </w:r>
      <w:r>
        <w:rPr>
          <w:rFonts w:hint="eastAsia" w:ascii="仿宋_GB2312" w:eastAsia="仿宋_GB2312"/>
          <w:spacing w:val="-2"/>
          <w:sz w:val="32"/>
          <w:szCs w:val="32"/>
          <w:lang w:eastAsia="zh-CN"/>
        </w:rPr>
        <w:t>增加</w:t>
      </w:r>
      <w:r>
        <w:rPr>
          <w:rFonts w:hint="eastAsia" w:ascii="仿宋_GB2312" w:eastAsia="仿宋_GB2312"/>
          <w:spacing w:val="-2"/>
          <w:sz w:val="32"/>
          <w:szCs w:val="32"/>
          <w:lang w:val="en-US" w:eastAsia="zh-CN"/>
        </w:rPr>
        <w:t>34.8</w:t>
      </w:r>
      <w:r>
        <w:rPr>
          <w:rFonts w:hint="eastAsia" w:ascii="仿宋_GB2312" w:eastAsia="仿宋_GB2312"/>
          <w:spacing w:val="-2"/>
          <w:sz w:val="32"/>
          <w:szCs w:val="32"/>
        </w:rPr>
        <w:t>%。主要原因是</w:t>
      </w:r>
      <w:r>
        <w:rPr>
          <w:rFonts w:hint="eastAsia" w:ascii="仿宋_GB2312" w:eastAsia="仿宋_GB2312"/>
          <w:color w:val="000000"/>
          <w:sz w:val="32"/>
          <w:szCs w:val="32"/>
          <w:lang w:eastAsia="zh-CN"/>
        </w:rPr>
        <w:t>本年度项目资金及人员增加等</w:t>
      </w:r>
      <w:r>
        <w:rPr>
          <w:rFonts w:hint="eastAsia" w:ascii="仿宋_GB2312" w:eastAsia="仿宋_GB2312"/>
          <w:spacing w:val="-2"/>
          <w:sz w:val="32"/>
          <w:szCs w:val="32"/>
        </w:rPr>
        <w:t>。</w:t>
      </w:r>
    </w:p>
    <w:p>
      <w:pPr>
        <w:snapToGrid w:val="0"/>
        <w:spacing w:line="520" w:lineRule="exact"/>
        <w:rPr>
          <w:rFonts w:ascii="仿宋" w:eastAsia="仿宋"/>
          <w:b/>
          <w:color w:val="000000"/>
          <w:sz w:val="32"/>
          <w:szCs w:val="32"/>
        </w:rPr>
      </w:pPr>
      <w:bookmarkStart w:id="34" w:name="_Toc15377211"/>
      <w:r>
        <w:rPr>
          <w:rFonts w:hint="eastAsia" w:ascii="仿宋" w:eastAsia="仿宋"/>
          <w:b/>
          <w:color w:val="000000"/>
          <w:sz w:val="32"/>
          <w:szCs w:val="32"/>
        </w:rPr>
        <w:t>（二）一般公共预算财政拨款支出决算结构情况</w:t>
      </w:r>
      <w:bookmarkEnd w:id="3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4</w:t>
      </w:r>
      <w:r>
        <w:rPr>
          <w:rFonts w:hint="eastAsia" w:ascii="仿宋" w:eastAsia="仿宋"/>
          <w:color w:val="000000"/>
          <w:sz w:val="32"/>
          <w:szCs w:val="32"/>
        </w:rPr>
        <w:t>年一般公共预算财政拨款支出</w:t>
      </w:r>
      <w:r>
        <w:rPr>
          <w:rFonts w:hint="eastAsia" w:ascii="仿宋_GB2312" w:eastAsia="仿宋_GB2312"/>
          <w:color w:val="000000"/>
          <w:sz w:val="32"/>
          <w:szCs w:val="32"/>
          <w:lang w:val="en-US" w:eastAsia="zh-CN"/>
        </w:rPr>
        <w:t>898.42</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507.83</w:t>
      </w:r>
      <w:r>
        <w:rPr>
          <w:rFonts w:hint="eastAsia" w:ascii="仿宋" w:eastAsia="仿宋"/>
          <w:color w:val="000000"/>
          <w:sz w:val="32"/>
          <w:szCs w:val="32"/>
        </w:rPr>
        <w:t>万元，占</w:t>
      </w:r>
      <w:r>
        <w:rPr>
          <w:rFonts w:hint="eastAsia" w:ascii="仿宋" w:eastAsia="仿宋"/>
          <w:color w:val="000000"/>
          <w:sz w:val="32"/>
          <w:szCs w:val="32"/>
          <w:lang w:val="en-US" w:eastAsia="zh-CN"/>
        </w:rPr>
        <w:t>56.52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文化旅游体育与传媒支出</w:t>
      </w:r>
      <w:r>
        <w:rPr>
          <w:rFonts w:hint="eastAsia" w:ascii="仿宋" w:eastAsia="仿宋"/>
          <w:color w:val="000000"/>
          <w:sz w:val="32"/>
          <w:szCs w:val="32"/>
        </w:rPr>
        <w:t>（类）支出</w:t>
      </w:r>
      <w:r>
        <w:rPr>
          <w:rFonts w:hint="eastAsia" w:ascii="仿宋" w:eastAsia="仿宋"/>
          <w:color w:val="000000"/>
          <w:sz w:val="32"/>
          <w:szCs w:val="32"/>
          <w:lang w:val="en-US" w:eastAsia="zh-CN"/>
        </w:rPr>
        <w:t>303.47</w:t>
      </w:r>
      <w:r>
        <w:rPr>
          <w:rFonts w:hint="eastAsia" w:ascii="仿宋" w:eastAsia="仿宋"/>
          <w:color w:val="000000"/>
          <w:sz w:val="32"/>
          <w:szCs w:val="32"/>
        </w:rPr>
        <w:t>万元，占</w:t>
      </w:r>
      <w:r>
        <w:rPr>
          <w:rFonts w:hint="eastAsia" w:ascii="仿宋" w:eastAsia="仿宋"/>
          <w:color w:val="000000"/>
          <w:sz w:val="32"/>
          <w:szCs w:val="32"/>
          <w:lang w:val="en-US" w:eastAsia="zh-CN"/>
        </w:rPr>
        <w:t>33.78</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44.36</w:t>
      </w:r>
      <w:r>
        <w:rPr>
          <w:rFonts w:hint="eastAsia" w:ascii="仿宋" w:eastAsia="仿宋"/>
          <w:color w:val="000000"/>
          <w:sz w:val="32"/>
          <w:szCs w:val="32"/>
        </w:rPr>
        <w:t>万元，占</w:t>
      </w:r>
      <w:r>
        <w:rPr>
          <w:rFonts w:hint="eastAsia" w:ascii="仿宋" w:eastAsia="仿宋"/>
          <w:color w:val="000000"/>
          <w:sz w:val="32"/>
          <w:szCs w:val="32"/>
          <w:lang w:val="en-US" w:eastAsia="zh-CN"/>
        </w:rPr>
        <w:t>4.94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lang w:val="en-US" w:eastAsia="zh-CN"/>
        </w:rPr>
        <w:t>17.84</w:t>
      </w:r>
      <w:r>
        <w:rPr>
          <w:rFonts w:hint="eastAsia" w:ascii="仿宋" w:eastAsia="仿宋"/>
          <w:color w:val="000000"/>
          <w:sz w:val="32"/>
          <w:szCs w:val="32"/>
        </w:rPr>
        <w:t>万元，占</w:t>
      </w:r>
      <w:r>
        <w:rPr>
          <w:rFonts w:hint="eastAsia" w:ascii="仿宋" w:eastAsia="仿宋"/>
          <w:color w:val="000000"/>
          <w:sz w:val="32"/>
          <w:szCs w:val="32"/>
          <w:lang w:val="en-US" w:eastAsia="zh-CN"/>
        </w:rPr>
        <w:t>1.99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24.92</w:t>
      </w:r>
      <w:r>
        <w:rPr>
          <w:rFonts w:hint="eastAsia" w:ascii="仿宋" w:eastAsia="仿宋"/>
          <w:color w:val="000000"/>
          <w:sz w:val="32"/>
          <w:szCs w:val="32"/>
        </w:rPr>
        <w:t>万元，占</w:t>
      </w:r>
      <w:r>
        <w:rPr>
          <w:rFonts w:hint="eastAsia" w:ascii="仿宋" w:eastAsia="仿宋"/>
          <w:color w:val="000000"/>
          <w:sz w:val="32"/>
          <w:szCs w:val="32"/>
          <w:lang w:val="en-US" w:eastAsia="zh-CN"/>
        </w:rPr>
        <w:t>2.77</w:t>
      </w:r>
      <w:r>
        <w:rPr>
          <w:rFonts w:ascii="仿宋" w:eastAsia="仿宋"/>
          <w:color w:val="000000"/>
          <w:sz w:val="32"/>
          <w:szCs w:val="32"/>
        </w:rPr>
        <w:t>%</w:t>
      </w:r>
      <w:r>
        <w:rPr>
          <w:rFonts w:hint="eastAsia" w:ascii="仿宋" w:eastAsia="仿宋"/>
          <w:color w:val="000000"/>
          <w:sz w:val="32"/>
          <w:szCs w:val="32"/>
        </w:rPr>
        <w:t>。</w:t>
      </w:r>
      <w:bookmarkStart w:id="35" w:name="_Toc15378460"/>
      <w:bookmarkStart w:id="36" w:name="_Toc15377444"/>
      <w:bookmarkStart w:id="37" w:name="_Toc15377213"/>
    </w:p>
    <w:p>
      <w:pPr>
        <w:spacing w:line="600" w:lineRule="exact"/>
        <w:outlineLvl w:val="2"/>
        <w:rPr>
          <w:rFonts w:ascii="仿宋" w:eastAsia="仿宋"/>
          <w:b/>
          <w:color w:val="000000"/>
          <w:sz w:val="32"/>
          <w:szCs w:val="32"/>
        </w:rPr>
      </w:pPr>
      <w:bookmarkStart w:id="38" w:name="_Toc15377212"/>
      <w:r>
        <w:rPr>
          <w:rFonts w:hint="eastAsia" w:ascii="仿宋" w:eastAsia="仿宋"/>
          <w:b/>
          <w:color w:val="000000"/>
          <w:sz w:val="32"/>
          <w:szCs w:val="32"/>
        </w:rPr>
        <w:t>（三）一般公共预算财政拨款支出决算具体情况</w:t>
      </w:r>
      <w:bookmarkEnd w:id="38"/>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w:t>
      </w:r>
      <w:r>
        <w:rPr>
          <w:rFonts w:hint="eastAsia" w:ascii="仿宋" w:eastAsia="仿宋"/>
          <w:bCs/>
          <w:color w:val="000000"/>
          <w:sz w:val="32"/>
          <w:szCs w:val="32"/>
          <w:lang w:val="en-US" w:eastAsia="zh-CN"/>
        </w:rPr>
        <w:t>4</w:t>
      </w:r>
      <w:r>
        <w:rPr>
          <w:rFonts w:hint="eastAsia" w:ascii="仿宋" w:eastAsia="仿宋"/>
          <w:bCs/>
          <w:color w:val="000000"/>
          <w:sz w:val="32"/>
          <w:szCs w:val="32"/>
        </w:rPr>
        <w:t>年一般公共预算年初预算数为</w:t>
      </w:r>
      <w:r>
        <w:rPr>
          <w:rFonts w:hint="eastAsia" w:ascii="仿宋" w:eastAsia="仿宋"/>
          <w:bCs/>
          <w:color w:val="000000"/>
          <w:sz w:val="32"/>
          <w:szCs w:val="32"/>
          <w:lang w:val="en-US" w:eastAsia="zh-CN"/>
        </w:rPr>
        <w:t>470.09</w:t>
      </w:r>
      <w:r>
        <w:rPr>
          <w:rFonts w:hint="eastAsia" w:ascii="仿宋" w:eastAsia="仿宋"/>
          <w:bCs/>
          <w:color w:val="000000"/>
          <w:sz w:val="32"/>
          <w:szCs w:val="32"/>
        </w:rPr>
        <w:t>万元，支出决算数为</w:t>
      </w:r>
      <w:r>
        <w:rPr>
          <w:rFonts w:hint="eastAsia" w:ascii="仿宋_GB2312" w:eastAsia="仿宋_GB2312"/>
          <w:color w:val="000000"/>
          <w:sz w:val="32"/>
          <w:szCs w:val="32"/>
          <w:lang w:val="en-US" w:eastAsia="zh-CN"/>
        </w:rPr>
        <w:t>898.42</w:t>
      </w:r>
      <w:r>
        <w:rPr>
          <w:rFonts w:hint="eastAsia" w:ascii="仿宋" w:eastAsia="仿宋"/>
          <w:bCs/>
          <w:color w:val="000000"/>
          <w:sz w:val="32"/>
          <w:szCs w:val="32"/>
        </w:rPr>
        <w:t>万元，完</w:t>
      </w:r>
      <w:r>
        <w:rPr>
          <w:rStyle w:val="19"/>
          <w:rFonts w:hint="eastAsia" w:ascii="仿宋" w:eastAsia="仿宋"/>
          <w:b w:val="0"/>
          <w:bCs/>
          <w:color w:val="000000"/>
          <w:sz w:val="32"/>
          <w:szCs w:val="32"/>
        </w:rPr>
        <w:t>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。其中：</w:t>
      </w:r>
      <w:bookmarkEnd w:id="35"/>
      <w:bookmarkEnd w:id="36"/>
      <w:bookmarkEnd w:id="37"/>
    </w:p>
    <w:p>
      <w:pPr>
        <w:spacing w:line="600" w:lineRule="exact"/>
        <w:ind w:firstLine="643" w:firstLineChars="200"/>
        <w:rPr>
          <w:rStyle w:val="19"/>
          <w:rFonts w:ascii="仿宋" w:eastAsia="仿宋"/>
          <w:b w:val="0"/>
          <w:bCs/>
          <w:color w:val="000000"/>
          <w:sz w:val="32"/>
          <w:szCs w:val="32"/>
        </w:rPr>
      </w:pPr>
      <w:r>
        <w:rPr>
          <w:rStyle w:val="19"/>
          <w:rFonts w:hint="eastAsia" w:ascii="仿宋" w:eastAsia="仿宋"/>
          <w:bCs/>
          <w:color w:val="000000"/>
          <w:sz w:val="32"/>
          <w:szCs w:val="32"/>
        </w:rPr>
        <w:t>1.</w:t>
      </w:r>
      <w:r>
        <w:rPr>
          <w:rFonts w:hint="eastAsia" w:ascii="仿宋" w:eastAsia="仿宋"/>
          <w:b/>
          <w:color w:val="000000"/>
          <w:sz w:val="32"/>
          <w:szCs w:val="32"/>
        </w:rPr>
        <w:t xml:space="preserve"> 一般公共服务（类）</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Fonts w:hint="eastAsia" w:ascii="仿宋" w:eastAsia="仿宋"/>
          <w:color w:val="000000"/>
          <w:sz w:val="32"/>
          <w:szCs w:val="32"/>
          <w:lang w:val="en-US" w:eastAsia="zh-CN"/>
        </w:rPr>
        <w:t>507.83</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spacing w:line="600" w:lineRule="exact"/>
        <w:ind w:firstLine="643" w:firstLineChars="200"/>
        <w:rPr>
          <w:rStyle w:val="19"/>
          <w:rFonts w:ascii="仿宋" w:eastAsia="仿宋"/>
          <w:b w:val="0"/>
          <w:bCs/>
          <w:color w:val="000000"/>
          <w:sz w:val="32"/>
          <w:szCs w:val="32"/>
        </w:rPr>
      </w:pPr>
      <w:r>
        <w:rPr>
          <w:rStyle w:val="19"/>
          <w:rFonts w:ascii="仿宋" w:eastAsia="仿宋"/>
          <w:bCs/>
          <w:color w:val="000000"/>
          <w:sz w:val="32"/>
          <w:szCs w:val="32"/>
        </w:rPr>
        <w:t>2.</w:t>
      </w:r>
      <w:r>
        <w:rPr>
          <w:rFonts w:hint="eastAsia" w:ascii="仿宋" w:eastAsia="仿宋"/>
          <w:b/>
          <w:color w:val="000000"/>
          <w:sz w:val="32"/>
          <w:szCs w:val="32"/>
        </w:rPr>
        <w:t xml:space="preserve"> 文化旅游体育与传媒支出</w:t>
      </w:r>
      <w:r>
        <w:rPr>
          <w:rFonts w:hint="eastAsia" w:ascii="仿宋" w:eastAsia="仿宋"/>
          <w:color w:val="000000"/>
          <w:sz w:val="32"/>
          <w:szCs w:val="32"/>
        </w:rPr>
        <w:t>（类）</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Fonts w:hint="eastAsia" w:ascii="仿宋" w:eastAsia="仿宋"/>
          <w:color w:val="000000"/>
          <w:sz w:val="32"/>
          <w:szCs w:val="32"/>
          <w:lang w:val="en-US" w:eastAsia="zh-CN"/>
        </w:rPr>
        <w:t>303.47</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9"/>
          <w:rFonts w:hint="eastAsia" w:ascii="仿宋" w:eastAsia="仿宋"/>
          <w:bCs/>
          <w:color w:val="000000"/>
          <w:sz w:val="32"/>
          <w:szCs w:val="32"/>
        </w:rPr>
        <w:t>3</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Fonts w:hint="eastAsia" w:ascii="仿宋" w:eastAsia="仿宋"/>
          <w:b/>
          <w:color w:val="000000"/>
          <w:sz w:val="32"/>
          <w:szCs w:val="32"/>
        </w:rPr>
        <w:t>社会保障和就业（类）</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Fonts w:hint="eastAsia" w:ascii="仿宋" w:eastAsia="仿宋"/>
          <w:color w:val="000000"/>
          <w:sz w:val="32"/>
          <w:szCs w:val="32"/>
          <w:lang w:val="en-US" w:eastAsia="zh-CN"/>
        </w:rPr>
        <w:t>44.36</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9"/>
          <w:rFonts w:hint="eastAsia" w:ascii="仿宋" w:eastAsia="仿宋"/>
          <w:bCs/>
          <w:color w:val="000000"/>
          <w:sz w:val="32"/>
          <w:szCs w:val="32"/>
        </w:rPr>
        <w:t>4.</w:t>
      </w:r>
      <w:r>
        <w:rPr>
          <w:rFonts w:hint="eastAsia" w:ascii="仿宋" w:eastAsia="仿宋"/>
          <w:b/>
          <w:bCs/>
          <w:color w:val="000000"/>
          <w:sz w:val="32"/>
          <w:szCs w:val="32"/>
        </w:rPr>
        <w:t xml:space="preserve"> 卫生健康支出</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Fonts w:hint="eastAsia" w:ascii="仿宋" w:eastAsia="仿宋"/>
          <w:color w:val="000000"/>
          <w:sz w:val="32"/>
          <w:szCs w:val="32"/>
          <w:lang w:val="en-US" w:eastAsia="zh-CN"/>
        </w:rPr>
        <w:t>17.84</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spacing w:line="600" w:lineRule="exact"/>
        <w:ind w:firstLine="643" w:firstLineChars="200"/>
        <w:rPr>
          <w:rStyle w:val="19"/>
          <w:rFonts w:ascii="仿宋" w:eastAsia="仿宋"/>
          <w:b w:val="0"/>
          <w:bCs/>
          <w:color w:val="000000"/>
          <w:sz w:val="32"/>
          <w:szCs w:val="32"/>
        </w:rPr>
      </w:pPr>
      <w:bookmarkStart w:id="39" w:name="_Toc15396608"/>
      <w:bookmarkStart w:id="40" w:name="_Toc15377214"/>
      <w:r>
        <w:rPr>
          <w:rStyle w:val="19"/>
          <w:rFonts w:hint="eastAsia" w:ascii="仿宋" w:eastAsia="仿宋"/>
          <w:bCs/>
          <w:color w:val="000000"/>
          <w:sz w:val="32"/>
          <w:szCs w:val="32"/>
        </w:rPr>
        <w:t>5.住房保障（类）：</w:t>
      </w:r>
      <w:r>
        <w:rPr>
          <w:rStyle w:val="19"/>
          <w:rFonts w:hint="eastAsia" w:ascii="仿宋" w:eastAsia="仿宋"/>
          <w:b w:val="0"/>
          <w:bCs/>
          <w:color w:val="000000"/>
          <w:sz w:val="32"/>
          <w:szCs w:val="32"/>
        </w:rPr>
        <w:t>支出决算为</w:t>
      </w:r>
      <w:r>
        <w:rPr>
          <w:rFonts w:hint="eastAsia" w:ascii="仿宋" w:eastAsia="仿宋"/>
          <w:color w:val="000000"/>
          <w:sz w:val="32"/>
          <w:szCs w:val="32"/>
          <w:lang w:val="en-US" w:eastAsia="zh-CN"/>
        </w:rPr>
        <w:t>24.92</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p>
    <w:p>
      <w:pPr>
        <w:spacing w:line="600" w:lineRule="exact"/>
        <w:ind w:firstLine="640"/>
        <w:rPr>
          <w:rStyle w:val="22"/>
        </w:rPr>
      </w:pPr>
      <w:r>
        <w:rPr>
          <w:rFonts w:hint="eastAsia" w:ascii="黑体" w:eastAsia="黑体"/>
          <w:color w:val="000000"/>
          <w:sz w:val="32"/>
          <w:szCs w:val="32"/>
        </w:rPr>
        <w:t>六</w:t>
      </w:r>
      <w:r>
        <w:rPr>
          <w:rFonts w:hint="eastAsia" w:ascii="黑体" w:eastAsia="黑体"/>
          <w:b/>
          <w:color w:val="000000"/>
          <w:sz w:val="32"/>
          <w:szCs w:val="32"/>
        </w:rPr>
        <w:t>、一</w:t>
      </w:r>
      <w:r>
        <w:rPr>
          <w:rStyle w:val="22"/>
          <w:rFonts w:hint="eastAsia" w:ascii="黑体" w:eastAsia="黑体"/>
          <w:b w:val="0"/>
        </w:rPr>
        <w:t>般公共预算财政拨款基本支出决算情况说明</w:t>
      </w:r>
      <w:r>
        <w:rPr>
          <w:rStyle w:val="22"/>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4</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319.09</w:t>
      </w:r>
      <w:r>
        <w:rPr>
          <w:rFonts w:hint="eastAsia" w:ascii="仿宋" w:eastAsia="仿宋"/>
          <w:color w:val="000000"/>
          <w:sz w:val="32"/>
          <w:szCs w:val="32"/>
        </w:rPr>
        <w:t>万元，其中：</w:t>
      </w:r>
    </w:p>
    <w:p>
      <w:pPr>
        <w:spacing w:line="600" w:lineRule="exact"/>
        <w:ind w:firstLine="645"/>
        <w:rPr>
          <w:rStyle w:val="19"/>
          <w:rFonts w:ascii="仿宋" w:eastAsia="仿宋"/>
          <w:b w:val="0"/>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306.07</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57.74</w:t>
      </w:r>
      <w:r>
        <w:rPr>
          <w:rFonts w:hint="eastAsia" w:ascii="仿宋" w:eastAsia="仿宋"/>
          <w:color w:val="000000"/>
          <w:sz w:val="32"/>
          <w:szCs w:val="32"/>
        </w:rPr>
        <w:t>万元、津贴补贴</w:t>
      </w:r>
      <w:r>
        <w:rPr>
          <w:rFonts w:hint="eastAsia" w:ascii="仿宋" w:eastAsia="仿宋"/>
          <w:color w:val="000000"/>
          <w:sz w:val="32"/>
          <w:szCs w:val="32"/>
          <w:lang w:val="en-US" w:eastAsia="zh-CN"/>
        </w:rPr>
        <w:t>54.87</w:t>
      </w:r>
      <w:r>
        <w:rPr>
          <w:rFonts w:hint="eastAsia" w:ascii="仿宋" w:eastAsia="仿宋"/>
          <w:color w:val="000000"/>
          <w:sz w:val="32"/>
          <w:szCs w:val="32"/>
        </w:rPr>
        <w:t>万元、奖金</w:t>
      </w:r>
      <w:r>
        <w:rPr>
          <w:rFonts w:hint="eastAsia" w:ascii="仿宋" w:eastAsia="仿宋"/>
          <w:color w:val="000000"/>
          <w:sz w:val="32"/>
          <w:szCs w:val="32"/>
          <w:lang w:val="en-US" w:eastAsia="zh-CN"/>
        </w:rPr>
        <w:t>77.35</w:t>
      </w:r>
      <w:r>
        <w:rPr>
          <w:rFonts w:hint="eastAsia" w:ascii="仿宋" w:eastAsia="仿宋"/>
          <w:color w:val="000000"/>
          <w:sz w:val="32"/>
          <w:szCs w:val="32"/>
        </w:rPr>
        <w:t>万元、</w:t>
      </w:r>
      <w:r>
        <w:rPr>
          <w:rFonts w:hint="eastAsia" w:ascii="仿宋" w:eastAsia="仿宋"/>
          <w:color w:val="000000"/>
          <w:sz w:val="32"/>
          <w:szCs w:val="32"/>
          <w:lang w:eastAsia="zh-CN"/>
        </w:rPr>
        <w:t>绩效工资</w:t>
      </w:r>
      <w:r>
        <w:rPr>
          <w:rFonts w:hint="eastAsia" w:ascii="仿宋" w:eastAsia="仿宋"/>
          <w:color w:val="000000"/>
          <w:sz w:val="32"/>
          <w:szCs w:val="32"/>
          <w:lang w:val="en-US" w:eastAsia="zh-CN"/>
        </w:rPr>
        <w:t>22.21</w:t>
      </w:r>
      <w:r>
        <w:rPr>
          <w:rFonts w:hint="eastAsia"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29.56</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14.78</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14.19</w:t>
      </w:r>
      <w:r>
        <w:rPr>
          <w:rFonts w:hint="eastAsia" w:ascii="仿宋" w:eastAsia="仿宋"/>
          <w:color w:val="000000"/>
          <w:sz w:val="32"/>
          <w:szCs w:val="32"/>
        </w:rPr>
        <w:t>万元、公务员医疗补助缴费1.9</w:t>
      </w:r>
      <w:r>
        <w:rPr>
          <w:rFonts w:hint="eastAsia" w:ascii="仿宋" w:eastAsia="仿宋"/>
          <w:color w:val="000000"/>
          <w:sz w:val="32"/>
          <w:szCs w:val="32"/>
          <w:lang w:val="en-US" w:eastAsia="zh-CN"/>
        </w:rPr>
        <w:t>9</w:t>
      </w:r>
      <w:r>
        <w:rPr>
          <w:rFonts w:hint="eastAsia" w:ascii="仿宋" w:eastAsia="仿宋"/>
          <w:color w:val="000000"/>
          <w:sz w:val="32"/>
          <w:szCs w:val="32"/>
        </w:rPr>
        <w:t>万元、其他社会保障缴费</w:t>
      </w:r>
      <w:r>
        <w:rPr>
          <w:rFonts w:hint="eastAsia" w:ascii="仿宋" w:eastAsia="仿宋"/>
          <w:color w:val="000000"/>
          <w:sz w:val="32"/>
          <w:szCs w:val="32"/>
          <w:lang w:val="en-US" w:eastAsia="zh-CN"/>
        </w:rPr>
        <w:t>5.58</w:t>
      </w:r>
      <w:r>
        <w:rPr>
          <w:rFonts w:hint="eastAsia" w:ascii="仿宋" w:eastAsia="仿宋"/>
          <w:color w:val="000000"/>
          <w:sz w:val="32"/>
          <w:szCs w:val="32"/>
        </w:rPr>
        <w:t>万元、住房公积金</w:t>
      </w:r>
      <w:r>
        <w:rPr>
          <w:rFonts w:hint="eastAsia" w:ascii="仿宋" w:eastAsia="仿宋"/>
          <w:color w:val="000000"/>
          <w:sz w:val="32"/>
          <w:szCs w:val="32"/>
          <w:lang w:val="en-US" w:eastAsia="zh-CN"/>
        </w:rPr>
        <w:t>23.92</w:t>
      </w:r>
      <w:r>
        <w:rPr>
          <w:rFonts w:hint="eastAsia" w:ascii="仿宋" w:eastAsia="仿宋"/>
          <w:color w:val="000000"/>
          <w:sz w:val="32"/>
          <w:szCs w:val="32"/>
        </w:rPr>
        <w:t>万元、生活补助</w:t>
      </w:r>
      <w:r>
        <w:rPr>
          <w:rFonts w:hint="eastAsia" w:ascii="仿宋" w:eastAsia="仿宋"/>
          <w:color w:val="000000"/>
          <w:sz w:val="32"/>
          <w:szCs w:val="32"/>
          <w:lang w:val="en-US" w:eastAsia="zh-CN"/>
        </w:rPr>
        <w:t>3.88</w:t>
      </w:r>
      <w:r>
        <w:rPr>
          <w:rFonts w:hint="eastAsia" w:ascii="仿宋" w:eastAsia="仿宋"/>
          <w:color w:val="000000"/>
          <w:sz w:val="32"/>
          <w:szCs w:val="32"/>
        </w:rPr>
        <w:t>万元。</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 w:eastAsia="仿宋"/>
          <w:color w:val="000000"/>
          <w:sz w:val="32"/>
          <w:szCs w:val="32"/>
          <w:lang w:val="en-US" w:eastAsia="zh-CN"/>
        </w:rPr>
        <w:t>13.02</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2</w:t>
      </w:r>
      <w:r>
        <w:rPr>
          <w:rFonts w:hint="eastAsia" w:ascii="仿宋" w:eastAsia="仿宋"/>
          <w:color w:val="000000"/>
          <w:sz w:val="32"/>
          <w:szCs w:val="32"/>
        </w:rPr>
        <w:t>万元、印刷费</w:t>
      </w:r>
      <w:r>
        <w:rPr>
          <w:rFonts w:hint="eastAsia" w:ascii="仿宋" w:eastAsia="仿宋"/>
          <w:color w:val="000000"/>
          <w:sz w:val="32"/>
          <w:szCs w:val="32"/>
          <w:lang w:val="en-US" w:eastAsia="zh-CN"/>
        </w:rPr>
        <w:t>1.24</w:t>
      </w:r>
      <w:r>
        <w:rPr>
          <w:rFonts w:hint="eastAsia" w:ascii="仿宋" w:eastAsia="仿宋"/>
          <w:color w:val="000000"/>
          <w:sz w:val="32"/>
          <w:szCs w:val="32"/>
        </w:rPr>
        <w:t>万元、</w:t>
      </w:r>
      <w:r>
        <w:rPr>
          <w:rFonts w:hint="eastAsia" w:ascii="仿宋" w:eastAsia="仿宋"/>
          <w:color w:val="000000"/>
          <w:sz w:val="32"/>
          <w:szCs w:val="32"/>
          <w:lang w:eastAsia="zh-CN"/>
        </w:rPr>
        <w:t>水费</w:t>
      </w:r>
      <w:r>
        <w:rPr>
          <w:rFonts w:hint="eastAsia" w:ascii="仿宋" w:eastAsia="仿宋"/>
          <w:color w:val="000000"/>
          <w:sz w:val="32"/>
          <w:szCs w:val="32"/>
          <w:lang w:val="en-US" w:eastAsia="zh-CN"/>
        </w:rPr>
        <w:t>0.2万元、</w:t>
      </w:r>
      <w:r>
        <w:rPr>
          <w:rFonts w:hint="eastAsia" w:ascii="仿宋" w:eastAsia="仿宋"/>
          <w:color w:val="000000"/>
          <w:sz w:val="32"/>
          <w:szCs w:val="32"/>
        </w:rPr>
        <w:t>电费</w:t>
      </w:r>
      <w:r>
        <w:rPr>
          <w:rFonts w:hint="eastAsia" w:ascii="仿宋" w:eastAsia="仿宋"/>
          <w:color w:val="000000"/>
          <w:sz w:val="32"/>
          <w:szCs w:val="32"/>
          <w:lang w:val="en-US" w:eastAsia="zh-CN"/>
        </w:rPr>
        <w:t>1</w:t>
      </w:r>
      <w:r>
        <w:rPr>
          <w:rFonts w:hint="eastAsia" w:ascii="仿宋" w:eastAsia="仿宋"/>
          <w:color w:val="000000"/>
          <w:sz w:val="32"/>
          <w:szCs w:val="32"/>
        </w:rPr>
        <w:t>万元、邮电费2.</w:t>
      </w:r>
      <w:r>
        <w:rPr>
          <w:rFonts w:hint="eastAsia" w:ascii="仿宋" w:eastAsia="仿宋"/>
          <w:color w:val="000000"/>
          <w:sz w:val="32"/>
          <w:szCs w:val="32"/>
          <w:lang w:val="en-US" w:eastAsia="zh-CN"/>
        </w:rPr>
        <w:t>4</w:t>
      </w:r>
      <w:r>
        <w:rPr>
          <w:rFonts w:hint="eastAsia" w:ascii="仿宋" w:eastAsia="仿宋"/>
          <w:color w:val="000000"/>
          <w:sz w:val="32"/>
          <w:szCs w:val="32"/>
        </w:rPr>
        <w:t>万元、差旅费</w:t>
      </w:r>
      <w:r>
        <w:rPr>
          <w:rFonts w:hint="eastAsia" w:ascii="仿宋" w:eastAsia="仿宋"/>
          <w:color w:val="000000"/>
          <w:sz w:val="32"/>
          <w:szCs w:val="32"/>
          <w:lang w:val="en-US" w:eastAsia="zh-CN"/>
        </w:rPr>
        <w:t>2</w:t>
      </w:r>
      <w:r>
        <w:rPr>
          <w:rFonts w:hint="eastAsia" w:ascii="仿宋" w:eastAsia="仿宋"/>
          <w:color w:val="000000"/>
          <w:sz w:val="32"/>
          <w:szCs w:val="32"/>
        </w:rPr>
        <w:t>万元、公务接待费0.1</w:t>
      </w:r>
      <w:r>
        <w:rPr>
          <w:rFonts w:hint="eastAsia" w:ascii="仿宋" w:eastAsia="仿宋"/>
          <w:color w:val="000000"/>
          <w:sz w:val="32"/>
          <w:szCs w:val="32"/>
          <w:lang w:val="en-US" w:eastAsia="zh-CN"/>
        </w:rPr>
        <w:t>8</w:t>
      </w:r>
      <w:r>
        <w:rPr>
          <w:rFonts w:hint="eastAsia" w:ascii="仿宋" w:eastAsia="仿宋"/>
          <w:color w:val="000000"/>
          <w:sz w:val="32"/>
          <w:szCs w:val="32"/>
        </w:rPr>
        <w:t>万元、公务用车运行维护费</w:t>
      </w:r>
      <w:r>
        <w:rPr>
          <w:rFonts w:hint="eastAsia" w:ascii="仿宋" w:eastAsia="仿宋"/>
          <w:color w:val="000000"/>
          <w:sz w:val="32"/>
          <w:szCs w:val="32"/>
          <w:lang w:val="en-US" w:eastAsia="zh-CN"/>
        </w:rPr>
        <w:t>4</w:t>
      </w:r>
      <w:r>
        <w:rPr>
          <w:rFonts w:hint="eastAsia" w:ascii="仿宋" w:eastAsia="仿宋"/>
          <w:color w:val="000000"/>
          <w:sz w:val="32"/>
          <w:szCs w:val="32"/>
        </w:rPr>
        <w:t>万元。</w:t>
      </w:r>
    </w:p>
    <w:p>
      <w:pPr>
        <w:spacing w:line="600" w:lineRule="exact"/>
        <w:ind w:firstLine="640" w:firstLineChars="200"/>
        <w:outlineLvl w:val="1"/>
        <w:rPr>
          <w:rStyle w:val="22"/>
          <w:rFonts w:ascii="黑体" w:eastAsia="黑体"/>
          <w:b w:val="0"/>
        </w:rPr>
      </w:pPr>
      <w:bookmarkStart w:id="41" w:name="_Toc15396609"/>
      <w:bookmarkStart w:id="42" w:name="_Toc15377215"/>
      <w:r>
        <w:rPr>
          <w:rFonts w:hint="eastAsia" w:ascii="黑体" w:eastAsia="黑体"/>
          <w:color w:val="000000"/>
          <w:sz w:val="32"/>
          <w:szCs w:val="32"/>
        </w:rPr>
        <w:t>七、</w:t>
      </w:r>
      <w:r>
        <w:rPr>
          <w:rStyle w:val="22"/>
          <w:rFonts w:hint="eastAsia" w:ascii="黑体" w:eastAsia="黑体"/>
        </w:rPr>
        <w:t>“</w:t>
      </w:r>
      <w:r>
        <w:rPr>
          <w:rStyle w:val="22"/>
          <w:rFonts w:hint="eastAsia" w:ascii="黑体" w:eastAsia="黑体"/>
          <w:b w:val="0"/>
        </w:rPr>
        <w:t>三公”经费财政拨款支出决算情况说明</w:t>
      </w:r>
      <w:bookmarkEnd w:id="41"/>
      <w:bookmarkEnd w:id="42"/>
    </w:p>
    <w:p>
      <w:pPr>
        <w:spacing w:line="600" w:lineRule="exact"/>
        <w:ind w:firstLine="640"/>
        <w:outlineLvl w:val="2"/>
        <w:rPr>
          <w:rFonts w:ascii="仿宋" w:eastAsia="仿宋"/>
          <w:b/>
          <w:color w:val="000000"/>
          <w:sz w:val="32"/>
          <w:szCs w:val="32"/>
        </w:rPr>
      </w:pPr>
      <w:bookmarkStart w:id="43" w:name="_Toc15377216"/>
      <w:r>
        <w:rPr>
          <w:rFonts w:hint="eastAsia" w:ascii="仿宋" w:eastAsia="仿宋"/>
          <w:b/>
          <w:color w:val="000000"/>
          <w:sz w:val="32"/>
          <w:szCs w:val="32"/>
        </w:rPr>
        <w:t>（一）“三公”经费财政拨款支出决算总体情况说明</w:t>
      </w:r>
      <w:bookmarkEnd w:id="43"/>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4</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4</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w:t>
      </w:r>
      <w:r>
        <w:rPr>
          <w:rFonts w:ascii="仿宋" w:eastAsia="仿宋"/>
          <w:color w:val="000000"/>
          <w:sz w:val="32"/>
          <w:szCs w:val="32"/>
        </w:rPr>
        <w:t>预算数</w:t>
      </w:r>
      <w:r>
        <w:rPr>
          <w:rFonts w:hint="eastAsia" w:ascii="仿宋" w:eastAsia="仿宋"/>
          <w:color w:val="000000"/>
          <w:sz w:val="32"/>
          <w:szCs w:val="32"/>
          <w:lang w:val="en-US" w:eastAsia="zh-CN"/>
        </w:rPr>
        <w:t>4</w:t>
      </w:r>
      <w:r>
        <w:rPr>
          <w:rFonts w:ascii="仿宋" w:eastAsia="仿宋"/>
          <w:color w:val="000000"/>
          <w:sz w:val="32"/>
          <w:szCs w:val="32"/>
        </w:rPr>
        <w:t>万元，</w:t>
      </w:r>
      <w:r>
        <w:rPr>
          <w:rFonts w:hint="eastAsia" w:ascii="仿宋" w:eastAsia="仿宋"/>
          <w:color w:val="000000"/>
          <w:sz w:val="32"/>
          <w:szCs w:val="32"/>
        </w:rPr>
        <w:t>决算数与预算数持平</w:t>
      </w:r>
      <w:r>
        <w:rPr>
          <w:rFonts w:hint="eastAsia" w:ascii="仿宋" w:eastAsia="仿宋"/>
          <w:color w:val="000000"/>
          <w:sz w:val="32"/>
          <w:szCs w:val="32"/>
          <w:lang w:eastAsia="zh-CN"/>
        </w:rPr>
        <w:t>。公务接待费支出</w:t>
      </w:r>
      <w:r>
        <w:rPr>
          <w:rFonts w:hint="eastAsia" w:ascii="仿宋" w:eastAsia="仿宋"/>
          <w:color w:val="000000"/>
          <w:sz w:val="32"/>
          <w:szCs w:val="32"/>
          <w:lang w:val="en-US" w:eastAsia="zh-CN"/>
        </w:rPr>
        <w:t>0.18万元，</w:t>
      </w:r>
      <w:r>
        <w:rPr>
          <w:rFonts w:hint="eastAsia" w:ascii="仿宋" w:eastAsia="仿宋"/>
          <w:color w:val="000000"/>
          <w:sz w:val="32"/>
          <w:szCs w:val="32"/>
        </w:rPr>
        <w:t>完成预算100</w:t>
      </w:r>
      <w:r>
        <w:rPr>
          <w:rFonts w:ascii="仿宋" w:eastAsia="仿宋"/>
          <w:color w:val="000000"/>
          <w:sz w:val="32"/>
          <w:szCs w:val="32"/>
        </w:rPr>
        <w:t>%</w:t>
      </w:r>
      <w:r>
        <w:rPr>
          <w:rFonts w:hint="eastAsia" w:ascii="仿宋" w:eastAsia="仿宋"/>
          <w:color w:val="000000"/>
          <w:sz w:val="32"/>
          <w:szCs w:val="32"/>
          <w:lang w:eastAsia="zh-CN"/>
        </w:rPr>
        <w:t>。</w:t>
      </w:r>
      <w:r>
        <w:rPr>
          <w:rFonts w:ascii="仿宋" w:eastAsia="仿宋"/>
          <w:color w:val="000000"/>
          <w:sz w:val="32"/>
          <w:szCs w:val="32"/>
        </w:rPr>
        <w:t>预算数</w:t>
      </w:r>
      <w:r>
        <w:rPr>
          <w:rFonts w:hint="eastAsia" w:ascii="仿宋" w:eastAsia="仿宋"/>
          <w:color w:val="000000"/>
          <w:sz w:val="32"/>
          <w:szCs w:val="32"/>
          <w:lang w:val="en-US" w:eastAsia="zh-CN"/>
        </w:rPr>
        <w:t>0.18</w:t>
      </w:r>
      <w:r>
        <w:rPr>
          <w:rFonts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4" w:name="_Toc15377217"/>
      <w:r>
        <w:rPr>
          <w:rFonts w:hint="eastAsia" w:ascii="仿宋" w:eastAsia="仿宋"/>
          <w:b/>
          <w:color w:val="000000"/>
          <w:sz w:val="32"/>
          <w:szCs w:val="32"/>
        </w:rPr>
        <w:t>（二）“三公”经费财政拨款支出决算具体情况说明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3</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sz w:val="32"/>
          <w:szCs w:val="32"/>
          <w:lang w:val="en-US" w:eastAsia="zh-CN"/>
        </w:rPr>
        <w:t>4.18</w:t>
      </w:r>
      <w:r>
        <w:rPr>
          <w:rFonts w:hint="eastAsia" w:ascii="仿宋" w:eastAsia="仿宋"/>
          <w:sz w:val="32"/>
          <w:szCs w:val="32"/>
        </w:rPr>
        <w:t>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4</w:t>
      </w:r>
      <w:r>
        <w:rPr>
          <w:rFonts w:hint="eastAsia" w:ascii="仿宋" w:eastAsia="仿宋"/>
          <w:color w:val="000000"/>
          <w:sz w:val="32"/>
          <w:szCs w:val="32"/>
        </w:rPr>
        <w:t>万元，占</w:t>
      </w:r>
      <w:r>
        <w:rPr>
          <w:rFonts w:hint="eastAsia" w:ascii="仿宋" w:eastAsia="仿宋"/>
          <w:color w:val="000000"/>
          <w:sz w:val="32"/>
          <w:szCs w:val="32"/>
          <w:lang w:val="en-US" w:eastAsia="zh-CN"/>
        </w:rPr>
        <w:t>95.69</w:t>
      </w:r>
      <w:r>
        <w:rPr>
          <w:rFonts w:ascii="仿宋" w:eastAsia="仿宋"/>
          <w:color w:val="000000"/>
          <w:sz w:val="32"/>
          <w:szCs w:val="32"/>
        </w:rPr>
        <w:t>%</w:t>
      </w:r>
      <w:r>
        <w:rPr>
          <w:rFonts w:hint="eastAsia" w:ascii="仿宋" w:eastAsia="仿宋"/>
          <w:color w:val="000000"/>
          <w:sz w:val="32"/>
          <w:szCs w:val="32"/>
        </w:rPr>
        <w:t>；公务接待费支出决算0.</w:t>
      </w:r>
      <w:r>
        <w:rPr>
          <w:rFonts w:hint="eastAsia" w:ascii="仿宋" w:eastAsia="仿宋"/>
          <w:color w:val="000000"/>
          <w:sz w:val="32"/>
          <w:szCs w:val="32"/>
          <w:lang w:val="en-US" w:eastAsia="zh-CN"/>
        </w:rPr>
        <w:t>18</w:t>
      </w:r>
      <w:r>
        <w:rPr>
          <w:rFonts w:hint="eastAsia" w:ascii="仿宋" w:eastAsia="仿宋"/>
          <w:color w:val="000000"/>
          <w:sz w:val="32"/>
          <w:szCs w:val="32"/>
        </w:rPr>
        <w:t>万元，占</w:t>
      </w:r>
      <w:r>
        <w:rPr>
          <w:rFonts w:hint="eastAsia" w:ascii="仿宋" w:eastAsia="仿宋"/>
          <w:color w:val="000000"/>
          <w:sz w:val="32"/>
          <w:szCs w:val="32"/>
          <w:lang w:val="en-US" w:eastAsia="zh-CN"/>
        </w:rPr>
        <w:t>4.31</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_GB2312" w:eastAsia="仿宋_GB2312"/>
          <w:b/>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Style w:val="19"/>
          <w:rFonts w:hint="eastAsia" w:ascii="仿宋" w:eastAsia="仿宋"/>
          <w:b w:val="0"/>
          <w:bCs/>
          <w:color w:val="000000"/>
          <w:sz w:val="32"/>
          <w:szCs w:val="32"/>
        </w:rPr>
        <w:t>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2023年支出持平</w:t>
      </w:r>
      <w:r>
        <w:rPr>
          <w:rFonts w:hint="eastAsia" w:ascii="仿宋_GB2312" w:eastAsia="仿宋_GB2312"/>
          <w:sz w:val="32"/>
          <w:szCs w:val="32"/>
        </w:rPr>
        <w:t>。</w:t>
      </w:r>
      <w:r>
        <w:rPr>
          <w:rFonts w:hint="eastAsia" w:ascii="仿宋_GB2312" w:eastAsia="仿宋_GB2312" w:cs="仿宋"/>
          <w:color w:val="000000"/>
          <w:sz w:val="32"/>
          <w:szCs w:val="32"/>
        </w:rPr>
        <w:t>。</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辆、执法执勤用车0辆、特种专业技术用车0辆、离退休干部用车0辆、其他用车0辆；</w:t>
      </w:r>
      <w:r>
        <w:rPr>
          <w:rFonts w:hint="eastAsia" w:ascii="仿宋_GB2312" w:eastAsia="仿宋_GB2312"/>
          <w:b/>
          <w:color w:val="000000"/>
          <w:sz w:val="32"/>
          <w:szCs w:val="32"/>
        </w:rPr>
        <w:t>公务用车运行维护费支出</w:t>
      </w:r>
      <w:r>
        <w:rPr>
          <w:rFonts w:hint="eastAsia" w:ascii="仿宋_GB2312" w:eastAsia="仿宋_GB2312"/>
          <w:sz w:val="32"/>
          <w:szCs w:val="32"/>
          <w:lang w:val="en-US" w:eastAsia="zh-CN"/>
        </w:rPr>
        <w:t>4</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numPr>
          <w:ilvl w:val="0"/>
          <w:numId w:val="4"/>
        </w:numPr>
        <w:spacing w:line="600" w:lineRule="exact"/>
        <w:ind w:left="0" w:firstLine="803" w:firstLineChars="250"/>
        <w:rPr>
          <w:rFonts w:hint="eastAsia"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w:t>
      </w:r>
      <w:r>
        <w:rPr>
          <w:rStyle w:val="19"/>
          <w:rFonts w:hint="eastAsia" w:ascii="仿宋" w:eastAsia="仿宋"/>
          <w:b w:val="0"/>
          <w:bCs/>
          <w:color w:val="000000"/>
          <w:sz w:val="32"/>
          <w:szCs w:val="32"/>
        </w:rPr>
        <w:t>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w:t>
      </w:r>
      <w:r>
        <w:rPr>
          <w:rFonts w:hint="eastAsia" w:ascii="仿宋_GB2312" w:eastAsia="仿宋_GB2312" w:cs="仿宋"/>
          <w:color w:val="000000"/>
          <w:sz w:val="32"/>
          <w:szCs w:val="32"/>
        </w:rPr>
        <w:t>。</w:t>
      </w:r>
      <w:r>
        <w:rPr>
          <w:rFonts w:hint="eastAsia" w:ascii="仿宋_GB2312" w:eastAsia="仿宋_GB2312"/>
          <w:color w:val="000000"/>
          <w:sz w:val="32"/>
          <w:szCs w:val="32"/>
        </w:rPr>
        <w:t>主要用于执行公务、开展业务活动开支的交通费、住宿费、用餐费等。</w:t>
      </w:r>
    </w:p>
    <w:p>
      <w:pPr>
        <w:widowControl w:val="0"/>
        <w:spacing w:line="600" w:lineRule="exact"/>
        <w:jc w:val="both"/>
        <w:rPr>
          <w:rFonts w:hint="eastAsia" w:ascii="仿宋_GB2312" w:eastAsia="仿宋_GB2312"/>
          <w:color w:val="000000"/>
          <w:sz w:val="32"/>
          <w:szCs w:val="32"/>
        </w:rPr>
      </w:pPr>
      <w:r>
        <w:drawing>
          <wp:anchor distT="0" distB="0" distL="114300" distR="114300" simplePos="0" relativeHeight="1024" behindDoc="1" locked="0" layoutInCell="1" allowOverlap="1">
            <wp:simplePos x="0" y="0"/>
            <wp:positionH relativeFrom="column">
              <wp:posOffset>452755</wp:posOffset>
            </wp:positionH>
            <wp:positionV relativeFrom="paragraph">
              <wp:posOffset>88265</wp:posOffset>
            </wp:positionV>
            <wp:extent cx="4572000" cy="2743200"/>
            <wp:effectExtent l="0" t="0" r="0" b="0"/>
            <wp:wrapNone/>
            <wp:docPr id="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widowControl w:val="0"/>
        <w:spacing w:line="600" w:lineRule="exact"/>
        <w:jc w:val="both"/>
        <w:rPr>
          <w:rFonts w:hint="eastAsia" w:ascii="仿宋_GB2312" w:eastAsia="仿宋_GB2312"/>
          <w:color w:val="000000"/>
          <w:sz w:val="32"/>
          <w:szCs w:val="32"/>
        </w:rPr>
      </w:pPr>
    </w:p>
    <w:p>
      <w:pPr>
        <w:widowControl w:val="0"/>
        <w:spacing w:line="600" w:lineRule="exact"/>
        <w:jc w:val="both"/>
        <w:rPr>
          <w:rFonts w:hint="eastAsia" w:ascii="仿宋_GB2312" w:eastAsia="仿宋_GB2312"/>
          <w:color w:val="000000"/>
          <w:sz w:val="32"/>
          <w:szCs w:val="32"/>
        </w:rPr>
      </w:pPr>
    </w:p>
    <w:p>
      <w:pPr>
        <w:widowControl w:val="0"/>
        <w:spacing w:line="600" w:lineRule="exact"/>
        <w:jc w:val="both"/>
        <w:rPr>
          <w:rFonts w:hint="eastAsia" w:ascii="仿宋_GB2312" w:eastAsia="仿宋_GB2312"/>
          <w:color w:val="000000"/>
          <w:sz w:val="32"/>
          <w:szCs w:val="32"/>
        </w:rPr>
      </w:pPr>
    </w:p>
    <w:p>
      <w:pPr>
        <w:widowControl w:val="0"/>
        <w:spacing w:line="600" w:lineRule="exact"/>
        <w:jc w:val="both"/>
        <w:rPr>
          <w:rFonts w:hint="eastAsia" w:ascii="仿宋_GB2312" w:eastAsia="仿宋_GB2312"/>
          <w:color w:val="000000"/>
          <w:sz w:val="32"/>
          <w:szCs w:val="32"/>
        </w:rPr>
      </w:pPr>
    </w:p>
    <w:p>
      <w:pPr>
        <w:widowControl w:val="0"/>
        <w:spacing w:line="600" w:lineRule="exact"/>
        <w:jc w:val="both"/>
        <w:rPr>
          <w:rFonts w:hint="eastAsia" w:ascii="仿宋_GB2312" w:eastAsia="仿宋_GB2312"/>
          <w:color w:val="000000"/>
          <w:sz w:val="32"/>
          <w:szCs w:val="32"/>
        </w:rPr>
      </w:pPr>
    </w:p>
    <w:p>
      <w:pPr>
        <w:widowControl w:val="0"/>
        <w:spacing w:line="600" w:lineRule="exact"/>
        <w:jc w:val="both"/>
        <w:rPr>
          <w:rFonts w:hint="eastAsia" w:ascii="仿宋_GB2312" w:eastAsia="仿宋_GB2312"/>
          <w:color w:val="000000"/>
          <w:sz w:val="32"/>
          <w:szCs w:val="32"/>
        </w:rPr>
      </w:pPr>
    </w:p>
    <w:p>
      <w:pPr>
        <w:widowControl w:val="0"/>
        <w:spacing w:line="600" w:lineRule="exact"/>
        <w:jc w:val="both"/>
        <w:rPr>
          <w:rFonts w:hint="eastAsia" w:ascii="仿宋_GB2312" w:eastAsia="仿宋_GB2312"/>
          <w:color w:val="000000"/>
          <w:sz w:val="32"/>
          <w:szCs w:val="32"/>
        </w:rPr>
      </w:pPr>
    </w:p>
    <w:bookmarkEnd w:id="39"/>
    <w:bookmarkEnd w:id="40"/>
    <w:p>
      <w:pPr>
        <w:spacing w:line="600" w:lineRule="exact"/>
        <w:ind w:firstLine="800" w:firstLineChars="250"/>
        <w:rPr>
          <w:rStyle w:val="22"/>
          <w:rFonts w:ascii="仿宋_GB2312" w:eastAsia="仿宋_GB2312" w:cs="仿宋"/>
          <w:b w:val="0"/>
          <w:bCs w:val="0"/>
          <w:color w:val="000000"/>
        </w:rPr>
      </w:pPr>
      <w:bookmarkStart w:id="45" w:name="_Toc15396610"/>
      <w:bookmarkStart w:id="46" w:name="_Toc15377218"/>
      <w:r>
        <w:rPr>
          <w:rFonts w:hint="eastAsia" w:ascii="黑体" w:eastAsia="黑体"/>
          <w:color w:val="000000"/>
          <w:sz w:val="32"/>
          <w:szCs w:val="32"/>
        </w:rPr>
        <w:t>八、</w:t>
      </w:r>
      <w:r>
        <w:rPr>
          <w:rStyle w:val="22"/>
          <w:rFonts w:hint="eastAsia" w:ascii="黑体" w:eastAsia="黑体"/>
          <w:b w:val="0"/>
        </w:rPr>
        <w:t>政府性基金预算支出决算情况说明</w:t>
      </w:r>
      <w:bookmarkEnd w:id="45"/>
      <w:bookmarkEnd w:id="46"/>
    </w:p>
    <w:p>
      <w:pPr>
        <w:spacing w:line="600" w:lineRule="exact"/>
        <w:ind w:firstLine="640"/>
        <w:outlineLvl w:val="1"/>
        <w:rPr>
          <w:rStyle w:val="22"/>
          <w:rFonts w:ascii="黑体" w:hAnsi="黑体" w:eastAsia="仿宋_GB2312"/>
          <w:b w:val="0"/>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4</w:t>
      </w:r>
      <w:r>
        <w:rPr>
          <w:rFonts w:hint="eastAsia" w:ascii="仿宋" w:eastAsia="仿宋"/>
          <w:color w:val="000000"/>
          <w:sz w:val="32"/>
          <w:szCs w:val="32"/>
        </w:rPr>
        <w:t>年政府性基金预算</w:t>
      </w:r>
      <w:r>
        <w:rPr>
          <w:rFonts w:hint="eastAsia" w:ascii="仿宋_GB2312" w:eastAsia="仿宋_GB2312"/>
          <w:spacing w:val="-2"/>
          <w:sz w:val="32"/>
          <w:szCs w:val="32"/>
        </w:rPr>
        <w:t>拨款支出</w:t>
      </w:r>
      <w:r>
        <w:rPr>
          <w:rFonts w:hint="eastAsia" w:ascii="仿宋_GB2312" w:eastAsia="仿宋_GB2312"/>
          <w:spacing w:val="-2"/>
          <w:sz w:val="32"/>
          <w:szCs w:val="32"/>
          <w:lang w:val="en-US" w:eastAsia="zh-CN"/>
        </w:rPr>
        <w:t>0.1</w:t>
      </w:r>
      <w:r>
        <w:rPr>
          <w:rFonts w:hint="eastAsia" w:ascii="仿宋_GB2312" w:eastAsia="仿宋_GB2312"/>
          <w:spacing w:val="-2"/>
          <w:sz w:val="32"/>
          <w:szCs w:val="32"/>
        </w:rPr>
        <w:t>万元，</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3</w:t>
      </w:r>
      <w:r>
        <w:rPr>
          <w:rFonts w:hint="eastAsia" w:ascii="仿宋" w:eastAsia="仿宋"/>
          <w:color w:val="000000"/>
          <w:sz w:val="32"/>
          <w:szCs w:val="32"/>
        </w:rPr>
        <w:t>年相比政府性基金预算</w:t>
      </w:r>
      <w:r>
        <w:rPr>
          <w:rFonts w:hint="eastAsia" w:ascii="仿宋_GB2312" w:eastAsia="仿宋_GB2312"/>
          <w:spacing w:val="-2"/>
          <w:sz w:val="32"/>
          <w:szCs w:val="32"/>
        </w:rPr>
        <w:t>拨款支出</w:t>
      </w:r>
      <w:r>
        <w:rPr>
          <w:rFonts w:hint="eastAsia" w:ascii="仿宋_GB2312" w:eastAsia="仿宋_GB2312"/>
          <w:spacing w:val="-2"/>
          <w:sz w:val="32"/>
          <w:szCs w:val="32"/>
          <w:lang w:eastAsia="zh-CN"/>
        </w:rPr>
        <w:t>增加</w:t>
      </w:r>
      <w:r>
        <w:rPr>
          <w:rFonts w:hint="eastAsia" w:ascii="仿宋_GB2312" w:eastAsia="仿宋_GB2312"/>
          <w:spacing w:val="-2"/>
          <w:sz w:val="32"/>
          <w:szCs w:val="32"/>
          <w:lang w:val="en-US" w:eastAsia="zh-CN"/>
        </w:rPr>
        <w:t>0.1万元，原因为：本年新增1基金项目</w:t>
      </w:r>
      <w:r>
        <w:rPr>
          <w:rFonts w:hint="eastAsia" w:ascii="仿宋_GB2312" w:eastAsia="仿宋_GB2312"/>
          <w:spacing w:val="-2"/>
          <w:sz w:val="32"/>
          <w:szCs w:val="32"/>
        </w:rPr>
        <w:t>。</w:t>
      </w:r>
    </w:p>
    <w:p>
      <w:pPr>
        <w:pStyle w:val="27"/>
        <w:numPr>
          <w:ilvl w:val="0"/>
          <w:numId w:val="5"/>
        </w:numPr>
        <w:spacing w:line="600" w:lineRule="exact"/>
        <w:ind w:firstLineChars="0"/>
        <w:outlineLvl w:val="1"/>
        <w:rPr>
          <w:rStyle w:val="22"/>
          <w:rFonts w:ascii="黑体" w:eastAsia="黑体"/>
          <w:b w:val="0"/>
        </w:rPr>
      </w:pPr>
      <w:bookmarkStart w:id="47" w:name="_Toc15396611"/>
      <w:bookmarkStart w:id="48" w:name="_Toc15377219"/>
      <w:r>
        <w:rPr>
          <w:rStyle w:val="22"/>
          <w:rFonts w:hint="eastAsia" w:ascii="黑体" w:eastAsia="黑体"/>
          <w:b w:val="0"/>
        </w:rPr>
        <w:t>国有资本经营预算支出决算情况说明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年国有资本经营预算拨款支出0万元。</w:t>
      </w:r>
    </w:p>
    <w:p>
      <w:pPr>
        <w:pStyle w:val="27"/>
        <w:numPr>
          <w:ilvl w:val="0"/>
          <w:numId w:val="6"/>
        </w:numPr>
        <w:spacing w:line="580" w:lineRule="exact"/>
        <w:ind w:firstLineChars="0"/>
        <w:rPr>
          <w:rFonts w:ascii="仿宋" w:eastAsia="仿宋" w:cs="楷体_GB2312"/>
          <w:b/>
          <w:bCs/>
          <w:sz w:val="32"/>
          <w:szCs w:val="32"/>
        </w:rPr>
      </w:pPr>
      <w:bookmarkStart w:id="49" w:name="_Toc11163"/>
      <w:bookmarkStart w:id="50" w:name="_Toc22310"/>
      <w:bookmarkStart w:id="51" w:name="_Toc23566"/>
      <w:r>
        <w:rPr>
          <w:rStyle w:val="22"/>
          <w:rFonts w:hint="eastAsia" w:ascii="黑体" w:eastAsia="黑体"/>
          <w:b w:val="0"/>
        </w:rPr>
        <w:t>预算绩效情况说明</w:t>
      </w:r>
      <w:bookmarkEnd w:id="49"/>
      <w:bookmarkEnd w:id="50"/>
      <w:bookmarkEnd w:id="51"/>
    </w:p>
    <w:p>
      <w:pPr>
        <w:rPr>
          <w:rStyle w:val="22"/>
          <w:rFonts w:ascii="黑体" w:eastAsia="黑体"/>
          <w:b w:val="0"/>
        </w:rPr>
      </w:pPr>
      <w:r>
        <w:rPr>
          <w:rFonts w:hint="eastAsia" w:ascii="仿宋_GB2312" w:eastAsia="仿宋_GB2312" w:cs="仿宋_GB2312"/>
          <w:color w:val="FF0000"/>
          <w:sz w:val="32"/>
          <w:szCs w:val="32"/>
        </w:rPr>
        <w:t>　　</w:t>
      </w:r>
      <w:r>
        <w:rPr>
          <w:rFonts w:hint="eastAsia" w:ascii="仿宋_GB2312" w:eastAsia="仿宋_GB2312" w:cs="仿宋_GB2312"/>
          <w:sz w:val="32"/>
          <w:szCs w:val="32"/>
        </w:rPr>
        <w:t>根据预算绩效管理要求，我单位在年初预算编制阶段，开展了预算事前绩效评估，编制了部门整体绩效目标。</w:t>
      </w:r>
    </w:p>
    <w:p>
      <w:pPr>
        <w:pStyle w:val="27"/>
        <w:spacing w:line="580" w:lineRule="exact"/>
        <w:ind w:left="568"/>
        <w:rPr>
          <w:rStyle w:val="22"/>
          <w:rFonts w:ascii="黑体" w:eastAsia="黑体"/>
          <w:b w:val="0"/>
        </w:rPr>
      </w:pPr>
      <w:r>
        <w:rPr>
          <w:rStyle w:val="22"/>
          <w:rFonts w:hint="eastAsia" w:ascii="黑体" w:eastAsia="黑体"/>
          <w:b w:val="0"/>
        </w:rPr>
        <w:t>十一、其他重要事项的情况说明</w:t>
      </w:r>
    </w:p>
    <w:p>
      <w:pPr>
        <w:spacing w:line="600" w:lineRule="exact"/>
        <w:ind w:firstLine="321" w:firstLineChars="100"/>
        <w:outlineLvl w:val="2"/>
        <w:rPr>
          <w:rFonts w:ascii="仿宋" w:eastAsia="仿宋"/>
          <w:color w:val="000000"/>
          <w:sz w:val="32"/>
          <w:szCs w:val="32"/>
        </w:rPr>
      </w:pPr>
      <w:bookmarkStart w:id="52" w:name="_Toc79163628"/>
      <w:bookmarkStart w:id="53" w:name="_Toc79163878"/>
      <w:r>
        <w:rPr>
          <w:rFonts w:hint="eastAsia" w:ascii="仿宋" w:eastAsia="仿宋"/>
          <w:b/>
          <w:color w:val="000000"/>
          <w:sz w:val="32"/>
          <w:szCs w:val="32"/>
        </w:rPr>
        <w:t>（一）机关运行经费支出情况</w:t>
      </w:r>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ascii="仿宋_GB2312" w:eastAsia="仿宋_GB2312"/>
          <w:color w:val="000000"/>
          <w:sz w:val="32"/>
          <w:szCs w:val="32"/>
          <w:lang w:val="en-US" w:eastAsia="zh-CN"/>
        </w:rPr>
        <w:t>4</w:t>
      </w:r>
      <w:r>
        <w:rPr>
          <w:rFonts w:hint="eastAsia" w:ascii="仿宋_GB2312" w:eastAsia="仿宋_GB2312"/>
          <w:color w:val="000000"/>
          <w:sz w:val="32"/>
          <w:szCs w:val="32"/>
        </w:rPr>
        <w:t>年，金川县宣传部运行经费支出</w:t>
      </w:r>
      <w:r>
        <w:rPr>
          <w:rFonts w:hint="eastAsia" w:ascii="仿宋_GB2312" w:eastAsia="仿宋_GB2312"/>
          <w:color w:val="000000"/>
          <w:sz w:val="32"/>
          <w:szCs w:val="32"/>
          <w:lang w:val="en-US" w:eastAsia="zh-CN"/>
        </w:rPr>
        <w:t>6.78</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0.46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7.28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w:t>
      </w:r>
      <w:r>
        <w:rPr>
          <w:rFonts w:hint="eastAsia" w:ascii="仿宋_GB2312" w:eastAsia="仿宋_GB2312"/>
          <w:sz w:val="32"/>
          <w:szCs w:val="32"/>
          <w:lang w:eastAsia="zh-CN"/>
        </w:rPr>
        <w:t>是本年度年初预算机关运行经费增加</w:t>
      </w:r>
      <w:r>
        <w:rPr>
          <w:rFonts w:hint="eastAsia" w:ascii="仿宋_GB2312" w:eastAsia="仿宋_GB2312"/>
          <w:sz w:val="32"/>
          <w:szCs w:val="32"/>
        </w:rPr>
        <w:t>。</w:t>
      </w:r>
    </w:p>
    <w:p>
      <w:pPr>
        <w:autoSpaceDE w:val="0"/>
        <w:autoSpaceDN w:val="0"/>
        <w:adjustRightInd w:val="0"/>
        <w:spacing w:line="600" w:lineRule="exact"/>
        <w:ind w:firstLine="321" w:firstLineChars="1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600" w:lineRule="exact"/>
        <w:ind w:firstLine="480" w:firstLineChars="15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45</w:t>
      </w:r>
      <w:r>
        <w:rPr>
          <w:rFonts w:hint="eastAsia" w:ascii="仿宋_GB2312" w:eastAsia="仿宋_GB2312"/>
          <w:color w:val="000000"/>
          <w:sz w:val="32"/>
          <w:szCs w:val="32"/>
        </w:rPr>
        <w:t>万元，其中：政府采购</w:t>
      </w:r>
      <w:r>
        <w:rPr>
          <w:rFonts w:hint="eastAsia" w:ascii="仿宋_GB2312" w:eastAsia="仿宋_GB2312"/>
          <w:color w:val="000000"/>
          <w:sz w:val="32"/>
          <w:szCs w:val="32"/>
          <w:lang w:eastAsia="zh-CN"/>
        </w:rPr>
        <w:t>服务</w:t>
      </w:r>
      <w:r>
        <w:rPr>
          <w:rFonts w:hint="eastAsia" w:ascii="仿宋_GB2312" w:eastAsia="仿宋_GB2312"/>
          <w:color w:val="000000"/>
          <w:sz w:val="32"/>
          <w:szCs w:val="32"/>
        </w:rPr>
        <w:t>支出</w:t>
      </w:r>
      <w:r>
        <w:rPr>
          <w:rFonts w:hint="eastAsia" w:ascii="仿宋_GB2312" w:eastAsia="仿宋_GB2312"/>
          <w:color w:val="000000"/>
          <w:sz w:val="32"/>
          <w:szCs w:val="32"/>
          <w:lang w:val="en-US" w:eastAsia="zh-CN"/>
        </w:rPr>
        <w:t>45</w:t>
      </w:r>
      <w:r>
        <w:rPr>
          <w:rFonts w:hint="eastAsia" w:ascii="仿宋_GB2312" w:eastAsia="仿宋_GB2312"/>
          <w:color w:val="000000"/>
          <w:sz w:val="32"/>
          <w:szCs w:val="32"/>
        </w:rPr>
        <w:t>万元</w:t>
      </w:r>
      <w:r>
        <w:rPr>
          <w:rFonts w:hint="eastAsia" w:ascii="仿宋_GB2312" w:eastAsia="仿宋_GB2312"/>
          <w:sz w:val="32"/>
          <w:szCs w:val="32"/>
        </w:rPr>
        <w:t>。</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%，其中：授予小微企业合同金额0万元，占政府采购支出总额的0%</w:t>
      </w:r>
      <w:r>
        <w:rPr>
          <w:rFonts w:hint="eastAsia" w:ascii="仿宋_GB2312" w:eastAsia="仿宋_GB2312"/>
          <w:sz w:val="32"/>
          <w:szCs w:val="32"/>
        </w:rPr>
        <w:t>。</w:t>
      </w:r>
    </w:p>
    <w:p>
      <w:pPr>
        <w:autoSpaceDE w:val="0"/>
        <w:autoSpaceDN w:val="0"/>
        <w:adjustRightInd w:val="0"/>
        <w:spacing w:line="600" w:lineRule="exact"/>
        <w:ind w:firstLine="321" w:firstLineChars="100"/>
        <w:jc w:val="left"/>
        <w:outlineLvl w:val="2"/>
        <w:rPr>
          <w:rFonts w:ascii="仿宋" w:eastAsia="仿宋"/>
          <w:b/>
          <w:color w:val="000000"/>
          <w:sz w:val="32"/>
          <w:szCs w:val="32"/>
        </w:rPr>
      </w:pPr>
      <w:r>
        <w:rPr>
          <w:rFonts w:hint="eastAsia" w:ascii="仿宋" w:eastAsia="仿宋"/>
          <w:b/>
          <w:color w:val="000000"/>
          <w:sz w:val="32"/>
          <w:szCs w:val="32"/>
        </w:rPr>
        <w:t>（三）国有资产占有使用情况</w:t>
      </w:r>
    </w:p>
    <w:p>
      <w:pPr>
        <w:widowControl/>
        <w:ind w:firstLine="480" w:firstLineChars="15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辆，为日常工作及应急保障用车，单价50万元以上通用设备0台，单价100万元以上专用设备0台（套）。</w:t>
      </w:r>
      <w:r>
        <w:rPr>
          <w:rFonts w:hint="eastAsia" w:ascii="仿宋_GB2312" w:eastAsia="仿宋_GB2312"/>
          <w:b/>
          <w:color w:val="000000"/>
          <w:sz w:val="32"/>
          <w:szCs w:val="32"/>
        </w:rPr>
        <w:t xml:space="preserve">    </w:t>
      </w:r>
    </w:p>
    <w:bookmarkEnd w:id="52"/>
    <w:bookmarkEnd w:id="53"/>
    <w:p>
      <w:pPr>
        <w:autoSpaceDE w:val="0"/>
        <w:autoSpaceDN w:val="0"/>
        <w:adjustRightInd w:val="0"/>
        <w:spacing w:line="560" w:lineRule="exact"/>
        <w:ind w:firstLine="321" w:firstLineChars="100"/>
        <w:jc w:val="left"/>
        <w:outlineLvl w:val="2"/>
        <w:rPr>
          <w:rFonts w:ascii="仿宋" w:eastAsia="仿宋"/>
          <w:b/>
          <w:color w:val="000000"/>
          <w:sz w:val="32"/>
          <w:szCs w:val="32"/>
        </w:rPr>
      </w:pPr>
      <w:r>
        <w:rPr>
          <w:rFonts w:hint="eastAsia" w:ascii="仿宋" w:eastAsia="仿宋"/>
          <w:b/>
          <w:color w:val="000000"/>
          <w:sz w:val="32"/>
          <w:szCs w:val="32"/>
        </w:rPr>
        <w:t>（四）预算绩效管理情况。</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1.概述项目绩效目标完成情况。</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年一般公共预算项目支出开展了绩效目标管理，共编制绩效目标</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个，涉及财政资金</w:t>
      </w:r>
      <w:r>
        <w:rPr>
          <w:rFonts w:hint="eastAsia" w:ascii="仿宋_GB2312" w:eastAsia="仿宋_GB2312"/>
          <w:color w:val="000000"/>
          <w:sz w:val="32"/>
          <w:szCs w:val="32"/>
          <w:lang w:val="en-US" w:eastAsia="zh-CN"/>
        </w:rPr>
        <w:t>579.33</w:t>
      </w:r>
      <w:r>
        <w:rPr>
          <w:rFonts w:hint="eastAsia" w:ascii="仿宋_GB2312" w:eastAsia="仿宋_GB2312"/>
          <w:color w:val="000000"/>
          <w:sz w:val="32"/>
          <w:szCs w:val="32"/>
        </w:rPr>
        <w:t>万元。</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2.部门整体支出绩效自评开展情况。</w:t>
      </w:r>
    </w:p>
    <w:p>
      <w:pPr>
        <w:spacing w:line="600" w:lineRule="atLeast"/>
        <w:ind w:firstLine="640" w:firstLineChars="200"/>
        <w:rPr>
          <w:rFonts w:ascii="仿宋_GB2312" w:eastAsia="仿宋_GB2312" w:cs="仿宋_GB2312"/>
          <w:sz w:val="32"/>
          <w:szCs w:val="32"/>
        </w:rPr>
      </w:pPr>
      <w:r>
        <w:rPr>
          <w:rFonts w:hint="eastAsia" w:ascii="仿宋_GB2312" w:eastAsia="仿宋_GB2312"/>
          <w:color w:val="000000"/>
          <w:sz w:val="32"/>
          <w:szCs w:val="32"/>
        </w:rPr>
        <w:t>按照预算绩效管理要求，本部门对202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年整体支出开展绩效自评，自评得分9</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分，存在问题：</w:t>
      </w:r>
      <w:r>
        <w:rPr>
          <w:rFonts w:hint="eastAsia" w:ascii="仿宋_GB2312" w:eastAsia="仿宋_GB2312" w:cs="仿宋_GB2312"/>
          <w:sz w:val="32"/>
          <w:szCs w:val="32"/>
        </w:rPr>
        <w:t>一是预算经费支出进度缓，特别是转移支付资金；二是部门预算、决算上报效率有待提高。下一步改进措施：一是加快完善部门财务规章制度建设；二是加强会计核算和财务管理能力；三是加强与县财政局相关科室对接工作，提升工作效率。</w:t>
      </w:r>
    </w:p>
    <w:p>
      <w:pPr>
        <w:autoSpaceDE w:val="0"/>
        <w:autoSpaceDN w:val="0"/>
        <w:adjustRightInd w:val="0"/>
        <w:spacing w:line="560" w:lineRule="exact"/>
        <w:ind w:firstLine="321" w:firstLineChars="100"/>
        <w:jc w:val="left"/>
        <w:outlineLvl w:val="2"/>
        <w:rPr>
          <w:rStyle w:val="22"/>
          <w:rFonts w:ascii="仿宋" w:eastAsia="仿宋"/>
          <w:bCs w:val="0"/>
          <w:color w:val="000000"/>
        </w:rPr>
      </w:pPr>
    </w:p>
    <w:p>
      <w:pPr>
        <w:numPr>
          <w:ilvl w:val="0"/>
          <w:numId w:val="7"/>
        </w:numPr>
        <w:spacing w:line="600" w:lineRule="exact"/>
        <w:ind w:left="0" w:firstLine="663" w:firstLineChars="150"/>
        <w:jc w:val="center"/>
        <w:outlineLvl w:val="0"/>
        <w:rPr>
          <w:rStyle w:val="21"/>
          <w:rFonts w:ascii="黑体" w:eastAsia="黑体"/>
          <w:b w:val="0"/>
        </w:rPr>
      </w:pPr>
      <w:bookmarkStart w:id="54" w:name="_Toc15377225"/>
      <w:bookmarkStart w:id="55" w:name="_Toc15396613"/>
      <w:r>
        <w:rPr>
          <w:rFonts w:hint="eastAsia" w:ascii="黑体" w:eastAsia="黑体"/>
          <w:b/>
          <w:color w:val="000000"/>
          <w:sz w:val="44"/>
          <w:szCs w:val="44"/>
        </w:rPr>
        <w:t>名</w:t>
      </w:r>
      <w:r>
        <w:rPr>
          <w:rStyle w:val="21"/>
          <w:rFonts w:hint="eastAsia" w:ascii="黑体" w:eastAsia="黑体"/>
          <w:b w:val="0"/>
        </w:rPr>
        <w:t>词解释</w:t>
      </w:r>
      <w:bookmarkEnd w:id="54"/>
      <w:bookmarkEnd w:id="55"/>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仿宋_GB2312" w:eastAsia="仿宋_GB2312"/>
          <w:sz w:val="32"/>
          <w:szCs w:val="32"/>
        </w:rPr>
      </w:pPr>
    </w:p>
    <w:p>
      <w:pPr>
        <w:pStyle w:val="26"/>
        <w:spacing w:line="560" w:lineRule="exact"/>
        <w:rPr>
          <w:rFonts w:ascii="仿宋_GB2312" w:eastAsia="仿宋_GB2312"/>
          <w:sz w:val="32"/>
          <w:szCs w:val="32"/>
        </w:rPr>
      </w:pPr>
    </w:p>
    <w:p>
      <w:pPr>
        <w:pStyle w:val="6"/>
        <w:rPr>
          <w:rFonts w:ascii="仿宋" w:eastAsia="仿宋"/>
          <w:color w:val="000000"/>
        </w:rPr>
      </w:pPr>
    </w:p>
    <w:p>
      <w:pPr>
        <w:rPr>
          <w:rFonts w:ascii="仿宋" w:eastAsia="仿宋"/>
          <w:color w:val="000000"/>
        </w:rPr>
      </w:pPr>
    </w:p>
    <w:p>
      <w:pPr>
        <w:rPr>
          <w:rFonts w:ascii="仿宋" w:eastAsia="仿宋"/>
          <w:color w:val="000000"/>
        </w:rPr>
      </w:pPr>
    </w:p>
    <w:p>
      <w:pPr>
        <w:pStyle w:val="5"/>
        <w:numPr>
          <w:ilvl w:val="0"/>
          <w:numId w:val="7"/>
        </w:numPr>
        <w:ind w:left="0" w:firstLine="660" w:firstLineChars="150"/>
        <w:jc w:val="center"/>
        <w:rPr>
          <w:rFonts w:hint="eastAsia" w:ascii="黑体" w:eastAsia="黑体"/>
          <w:b w:val="0"/>
        </w:rPr>
      </w:pPr>
      <w:r>
        <w:rPr>
          <w:rFonts w:hint="eastAsia" w:ascii="黑体" w:eastAsia="黑体"/>
          <w:b w:val="0"/>
        </w:rPr>
        <w:t>附件</w:t>
      </w:r>
    </w:p>
    <w:p>
      <w:r>
        <w:rPr>
          <w:rFonts w:hint="eastAsia" w:ascii="黑体" w:eastAsia="黑体"/>
          <w:sz w:val="32"/>
          <w:szCs w:val="32"/>
        </w:rPr>
        <w:t>附件1</w:t>
      </w:r>
    </w:p>
    <w:p>
      <w:pPr>
        <w:widowControl/>
        <w:spacing w:line="580" w:lineRule="exact"/>
        <w:ind w:firstLine="883" w:firstLineChars="200"/>
        <w:contextualSpacing/>
        <w:rPr>
          <w:rFonts w:ascii="宋体" w:eastAsia="宋体" w:cs="Times New Roman"/>
          <w:b/>
          <w:sz w:val="44"/>
          <w:szCs w:val="44"/>
          <w:shd w:val="clear" w:color="auto" w:fill="FFFFFF"/>
        </w:rPr>
      </w:pPr>
      <w:r>
        <w:rPr>
          <w:rFonts w:hint="eastAsia" w:ascii="宋体" w:eastAsia="宋体" w:cs="Times New Roman"/>
          <w:b/>
          <w:sz w:val="44"/>
          <w:szCs w:val="44"/>
          <w:shd w:val="clear" w:color="auto" w:fill="FFFFFF"/>
        </w:rPr>
        <w:t>2024年中共金川县委宣传部整体预算</w:t>
      </w:r>
    </w:p>
    <w:p>
      <w:pPr>
        <w:widowControl/>
        <w:spacing w:line="580" w:lineRule="exact"/>
        <w:contextualSpacing/>
        <w:jc w:val="center"/>
        <w:rPr>
          <w:rFonts w:ascii="宋体" w:eastAsia="宋体" w:cs="Times New Roman"/>
          <w:b/>
          <w:sz w:val="44"/>
          <w:szCs w:val="44"/>
          <w:shd w:val="clear" w:color="auto" w:fill="FFFFFF"/>
        </w:rPr>
      </w:pPr>
      <w:r>
        <w:rPr>
          <w:rFonts w:hint="eastAsia" w:ascii="宋体" w:eastAsia="宋体" w:cs="Times New Roman"/>
          <w:b/>
          <w:sz w:val="44"/>
          <w:szCs w:val="44"/>
          <w:shd w:val="clear" w:color="auto" w:fill="FFFFFF"/>
        </w:rPr>
        <w:t>绩效评价报告</w:t>
      </w:r>
    </w:p>
    <w:p>
      <w:pPr>
        <w:widowControl/>
        <w:adjustRightInd w:val="0"/>
        <w:snapToGrid w:val="0"/>
        <w:spacing w:line="480" w:lineRule="exact"/>
        <w:ind w:firstLine="720"/>
        <w:jc w:val="left"/>
        <w:rPr>
          <w:rFonts w:ascii="Times New Roman" w:hAnsi="Times New Roman" w:eastAsia="黑体" w:cs="Times New Roman"/>
          <w:color w:val="000000"/>
          <w:kern w:val="0"/>
          <w:sz w:val="24"/>
          <w:szCs w:val="32"/>
          <w:shd w:val="clear" w:color="auto" w:fill="FFFFFF"/>
        </w:rPr>
      </w:pPr>
      <w:r>
        <w:rPr>
          <w:rFonts w:hint="eastAsia" w:ascii="仿宋_GB2312" w:eastAsia="仿宋_GB2312" w:cs="仿宋_GB2312"/>
          <w:sz w:val="32"/>
          <w:szCs w:val="32"/>
        </w:rPr>
        <w:t>根据《金川县财政局关于2024年县级部门绩效评价工作的通知》（金财监绩【2025】35号）文件要求，结合本单位的实际，认真开展部门预算支出绩效自评工作，现将2024年部门预算支出绩效自评工作报告如下：</w:t>
      </w:r>
    </w:p>
    <w:p>
      <w:pPr>
        <w:widowControl/>
        <w:adjustRightInd w:val="0"/>
        <w:snapToGrid w:val="0"/>
        <w:spacing w:line="578" w:lineRule="exact"/>
        <w:ind w:firstLine="640" w:firstLineChars="200"/>
        <w:contextualSpacing/>
        <w:jc w:val="left"/>
        <w:rPr>
          <w:rFonts w:ascii="Times New Roman" w:hAnsi="Times New Roman" w:eastAsia="仿宋_GB2312" w:cs="Times New Roman"/>
          <w:sz w:val="32"/>
          <w:szCs w:val="32"/>
        </w:rPr>
      </w:pPr>
      <w:r>
        <w:rPr>
          <w:rFonts w:ascii="Times New Roman" w:hAnsi="Times New Roman" w:eastAsia="黑体" w:cs="Times New Roman"/>
          <w:color w:val="000000"/>
          <w:kern w:val="0"/>
          <w:sz w:val="32"/>
          <w:szCs w:val="32"/>
          <w:shd w:val="clear" w:color="auto" w:fill="FFFFFF"/>
          <w:lang w:val="zh-CN"/>
        </w:rPr>
        <w:t>一、部门（单位）基本情况</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21" w:firstLineChars="100"/>
        <w:jc w:val="left"/>
        <w:rPr>
          <w:rFonts w:ascii="仿宋_GB2312" w:eastAsia="仿宋_GB2312" w:cs="Times New Roman"/>
          <w:kern w:val="0"/>
          <w:sz w:val="32"/>
          <w:szCs w:val="32"/>
          <w:lang w:val="en-US" w:eastAsia="zh-CN" w:bidi="ar-SA"/>
        </w:rPr>
      </w:pPr>
      <w:r>
        <w:rPr>
          <w:rFonts w:ascii="Times New Roman" w:hAnsi="Times New Roman" w:eastAsia="楷体_GB2312" w:cs="Times New Roman"/>
          <w:b/>
          <w:bCs/>
          <w:color w:val="000000"/>
          <w:kern w:val="0"/>
          <w:sz w:val="32"/>
          <w:szCs w:val="32"/>
          <w:shd w:val="clear" w:color="auto" w:fill="FFFFFF"/>
          <w:lang w:val="zh-CN" w:eastAsia="zh-CN" w:bidi="ar-SA"/>
        </w:rPr>
        <w:t>（一）机构组成</w:t>
      </w:r>
      <w:r>
        <w:rPr>
          <w:rFonts w:ascii="Times New Roman" w:hAnsi="Times New Roman" w:eastAsia="楷体_GB2312" w:cs="Times New Roman"/>
          <w:b/>
          <w:bCs/>
          <w:color w:val="000000"/>
          <w:kern w:val="0"/>
          <w:sz w:val="24"/>
          <w:szCs w:val="32"/>
          <w:shd w:val="clear" w:color="auto" w:fill="FFFFFF"/>
          <w:lang w:val="zh-CN" w:eastAsia="zh-CN" w:bidi="ar-SA"/>
        </w:rPr>
        <w:t>。</w:t>
      </w:r>
      <w:r>
        <w:rPr>
          <w:rFonts w:hint="eastAsia" w:ascii="仿宋_GB2312" w:eastAsia="仿宋_GB2312" w:cs="仿宋_GB2312"/>
          <w:kern w:val="0"/>
          <w:sz w:val="32"/>
          <w:szCs w:val="32"/>
          <w:lang w:val="en-US" w:eastAsia="zh-CN" w:bidi="ar-SA"/>
        </w:rPr>
        <w:t>2024年独立编制单位机构数为 1个</w:t>
      </w:r>
    </w:p>
    <w:p>
      <w:pPr>
        <w:widowControl/>
        <w:adjustRightInd w:val="0"/>
        <w:snapToGrid w:val="0"/>
        <w:spacing w:line="480" w:lineRule="exact"/>
        <w:ind w:firstLine="321" w:firstLineChars="100"/>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（二）机构职能</w:t>
      </w:r>
      <w:r>
        <w:rPr>
          <w:rFonts w:hint="eastAsia" w:ascii="Times New Roman" w:hAnsi="Times New Roman" w:eastAsia="楷体_GB2312" w:cs="Times New Roman"/>
          <w:b/>
          <w:bCs/>
          <w:color w:val="000000"/>
          <w:kern w:val="0"/>
          <w:sz w:val="32"/>
          <w:szCs w:val="32"/>
          <w:shd w:val="clear" w:color="auto" w:fill="FFFFFF"/>
          <w:lang w:val="zh-CN"/>
        </w:rPr>
        <w:t>。</w:t>
      </w:r>
      <w:r>
        <w:rPr>
          <w:rFonts w:hint="eastAsia" w:ascii="仿宋_GB2312" w:eastAsia="仿宋_GB2312" w:cs="仿宋_GB2312"/>
          <w:kern w:val="0"/>
          <w:sz w:val="32"/>
          <w:szCs w:val="32"/>
        </w:rPr>
        <w:t>1、负责组织、指导全县理论研究、理论学习、理论宣传和社会科学规划的工作，做好党员教育工作。 2、负责规划、部署全县性的宣传思想工作，会同有关部门研究和改进基层宣传思想工作；负责指导、协调和组织全县社会宣传工作。3、负责引导社会舆论，指导、监督、管理和协调全县新闻宣传、出版工作，对县新闻媒体实施方针政策的指导；负责指导、监督和管理全县网络新闻宣传；联系中央、省、市各级新闻单位。 4、负责全县对外宣传工作的总体规划，组织协调、指导和管理全县的外宣工作。 5、负责从宏观上指导文化艺术工作、精神产品的生产和文化市场的管理，对县文体局、县新闻中心、县文联从政治方向和方针政策方面实施领导，对宣传口各部门有关工作进行协调指导。 6、负责全县群众性精神文明创建工作的规划和组织实施；协调、指导和监督全县文明城市、行业、村镇、社区、未成年人思想道德建设等各类群众性精神文明创建活动。7、完成县委交办的其它任务。</w:t>
      </w:r>
    </w:p>
    <w:p>
      <w:pPr>
        <w:widowControl/>
        <w:adjustRightInd w:val="0"/>
        <w:snapToGrid w:val="0"/>
        <w:spacing w:line="578" w:lineRule="exact"/>
        <w:ind w:firstLine="643" w:firstLineChars="200"/>
        <w:contextualSpacing/>
        <w:jc w:val="left"/>
        <w:rPr>
          <w:rFonts w:ascii="仿宋_GB2312" w:eastAsia="仿宋_GB2312" w:cs="仿宋_GB2312"/>
          <w:kern w:val="0"/>
          <w:sz w:val="32"/>
          <w:szCs w:val="32"/>
        </w:rPr>
      </w:pP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三</w:t>
      </w:r>
      <w:r>
        <w:rPr>
          <w:rFonts w:ascii="Times New Roman" w:hAnsi="Times New Roman" w:eastAsia="楷体_GB2312" w:cs="Times New Roman"/>
          <w:b/>
          <w:bCs/>
          <w:color w:val="000000"/>
          <w:kern w:val="0"/>
          <w:sz w:val="32"/>
          <w:szCs w:val="32"/>
          <w:shd w:val="clear" w:color="auto" w:fill="FFFFFF"/>
          <w:lang w:val="zh-CN"/>
        </w:rPr>
        <w:t>）人员概况</w:t>
      </w:r>
      <w:r>
        <w:rPr>
          <w:rFonts w:hint="eastAsia" w:ascii="Times New Roman" w:hAnsi="Times New Roman" w:eastAsia="楷体_GB2312" w:cs="Times New Roman"/>
          <w:b/>
          <w:bCs/>
          <w:color w:val="000000"/>
          <w:kern w:val="0"/>
          <w:sz w:val="32"/>
          <w:szCs w:val="32"/>
          <w:shd w:val="clear" w:color="auto" w:fill="FFFFFF"/>
          <w:lang w:val="zh-CN"/>
        </w:rPr>
        <w:t>。</w:t>
      </w:r>
      <w:r>
        <w:rPr>
          <w:rFonts w:ascii="Times New Roman" w:hAnsi="Times New Roman" w:eastAsia="仿宋_GB2312" w:cs="Times New Roman"/>
          <w:sz w:val="32"/>
          <w:szCs w:val="32"/>
        </w:rPr>
        <w:t>截至202</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年末，</w:t>
      </w:r>
      <w:r>
        <w:rPr>
          <w:rFonts w:hint="eastAsia" w:ascii="仿宋_GB2312" w:eastAsia="仿宋_GB2312" w:cs="仿宋_GB2312"/>
          <w:kern w:val="0"/>
          <w:sz w:val="32"/>
          <w:szCs w:val="32"/>
        </w:rPr>
        <w:t>财政供养人员编制为15名，其中行政编制6名，行政工勤编制1名，事业编制8名；2024年实际财政供养人员14人，其中：行政6人，行政工勤0人，事业8人。</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二、部门资金收支情况</w:t>
      </w:r>
    </w:p>
    <w:p>
      <w:pPr>
        <w:widowControl/>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rPr>
      </w:pPr>
      <w:r>
        <w:rPr>
          <w:rFonts w:ascii="Times New Roman" w:hAnsi="Times New Roman" w:eastAsia="楷体_GB2312" w:cs="Times New Roman"/>
          <w:b/>
          <w:bCs/>
          <w:color w:val="000000"/>
          <w:kern w:val="0"/>
          <w:sz w:val="32"/>
          <w:szCs w:val="32"/>
          <w:shd w:val="clear" w:color="auto" w:fill="FFFFFF"/>
          <w:lang w:val="zh-CN"/>
        </w:rPr>
        <w:t>（一）</w:t>
      </w:r>
      <w:r>
        <w:rPr>
          <w:rFonts w:hint="eastAsia" w:ascii="Times New Roman" w:hAnsi="Times New Roman" w:eastAsia="楷体_GB2312" w:cs="Times New Roman"/>
          <w:b/>
          <w:bCs/>
          <w:color w:val="000000"/>
          <w:kern w:val="0"/>
          <w:sz w:val="32"/>
          <w:szCs w:val="32"/>
          <w:shd w:val="clear" w:color="auto" w:fill="FFFFFF"/>
          <w:lang w:val="zh-CN"/>
        </w:rPr>
        <w:t>收入情况</w:t>
      </w: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仿宋_GB2312" w:cs="Times New Roman"/>
          <w:sz w:val="32"/>
          <w:szCs w:val="32"/>
        </w:rPr>
        <w:t>2024年年初预算收入470.09万元、决算收入898.52万元。</w:t>
      </w:r>
    </w:p>
    <w:p>
      <w:pPr>
        <w:widowControl/>
        <w:adjustRightInd w:val="0"/>
        <w:snapToGrid w:val="0"/>
        <w:spacing w:line="578" w:lineRule="exact"/>
        <w:ind w:firstLine="643" w:firstLineChars="200"/>
        <w:contextualSpacing/>
        <w:jc w:val="left"/>
        <w:rPr>
          <w:rFonts w:ascii="Times New Roman" w:hAnsi="Times New Roman" w:eastAsia="仿宋_GB2312" w:cs="Times New Roman"/>
          <w:sz w:val="32"/>
          <w:szCs w:val="32"/>
          <w:lang w:val="zh-CN"/>
        </w:rPr>
      </w:pP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二</w:t>
      </w: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支出情况</w:t>
      </w: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仿宋_GB2312" w:cs="Times New Roman"/>
          <w:sz w:val="32"/>
          <w:szCs w:val="32"/>
        </w:rPr>
        <w:t>2024年年初预算收支出470.09万元、决算支出898.52万元。。</w:t>
      </w:r>
    </w:p>
    <w:p>
      <w:pPr>
        <w:widowControl/>
        <w:adjustRightInd w:val="0"/>
        <w:snapToGrid w:val="0"/>
        <w:spacing w:line="578" w:lineRule="exact"/>
        <w:ind w:firstLine="643"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三</w:t>
      </w:r>
      <w:r>
        <w:rPr>
          <w:rFonts w:ascii="Times New Roman" w:hAnsi="Times New Roman" w:eastAsia="楷体_GB2312" w:cs="Times New Roman"/>
          <w:b/>
          <w:bCs/>
          <w:color w:val="000000"/>
          <w:kern w:val="0"/>
          <w:sz w:val="32"/>
          <w:szCs w:val="32"/>
          <w:shd w:val="clear" w:color="auto" w:fill="FFFFFF"/>
          <w:lang w:val="zh-CN"/>
        </w:rPr>
        <w:t>）</w:t>
      </w:r>
      <w:r>
        <w:rPr>
          <w:rFonts w:ascii="Times New Roman" w:hAnsi="Times New Roman" w:eastAsia="楷体_GB2312" w:cs="Times New Roman"/>
          <w:b/>
          <w:sz w:val="32"/>
          <w:szCs w:val="32"/>
        </w:rPr>
        <w:t>结余分配和结转结余情况</w:t>
      </w:r>
      <w:r>
        <w:rPr>
          <w:rFonts w:hint="eastAsia" w:ascii="Times New Roman" w:hAnsi="Times New Roman" w:eastAsia="楷体_GB2312" w:cs="Times New Roman"/>
          <w:b/>
          <w:sz w:val="32"/>
          <w:szCs w:val="32"/>
        </w:rPr>
        <w:t>。</w:t>
      </w:r>
      <w:r>
        <w:rPr>
          <w:rFonts w:hint="eastAsia" w:ascii="Times New Roman" w:hAnsi="Times New Roman" w:eastAsia="仿宋_GB2312" w:cs="Times New Roman"/>
          <w:sz w:val="32"/>
          <w:szCs w:val="32"/>
        </w:rPr>
        <w:t>2024年决算</w:t>
      </w:r>
      <w:r>
        <w:rPr>
          <w:rFonts w:ascii="Times New Roman" w:hAnsi="Times New Roman" w:eastAsia="仿宋_GB2312" w:cs="Times New Roman"/>
          <w:color w:val="000000"/>
          <w:kern w:val="0"/>
          <w:sz w:val="32"/>
          <w:szCs w:val="32"/>
          <w:shd w:val="clear" w:color="auto" w:fill="FFFFFF"/>
        </w:rPr>
        <w:t>结转结余</w:t>
      </w:r>
      <w:r>
        <w:rPr>
          <w:rFonts w:hint="eastAsia" w:ascii="Times New Roman" w:hAnsi="Times New Roman" w:eastAsia="仿宋_GB2312" w:cs="Times New Roman"/>
          <w:color w:val="000000"/>
          <w:kern w:val="0"/>
          <w:sz w:val="32"/>
          <w:szCs w:val="32"/>
          <w:shd w:val="clear" w:color="auto" w:fill="FFFFFF"/>
        </w:rPr>
        <w:t>0万元</w:t>
      </w:r>
      <w:r>
        <w:rPr>
          <w:rFonts w:ascii="Times New Roman" w:hAnsi="Times New Roman" w:eastAsia="仿宋_GB2312" w:cs="Times New Roman"/>
          <w:color w:val="000000"/>
          <w:kern w:val="0"/>
          <w:sz w:val="32"/>
          <w:szCs w:val="32"/>
          <w:shd w:val="clear" w:color="auto" w:fill="FFFFFF"/>
        </w:rPr>
        <w:t>。</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三、部门预算绩效分析</w:t>
      </w:r>
    </w:p>
    <w:p>
      <w:pPr>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（一）部门预算总体绩效分析。</w:t>
      </w:r>
    </w:p>
    <w:p>
      <w:p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hint="eastAsia" w:ascii="楷体_GB2312" w:eastAsia="楷体_GB2312" w:cs="楷体_GB2312"/>
          <w:color w:val="000000"/>
          <w:kern w:val="0"/>
          <w:sz w:val="32"/>
          <w:szCs w:val="32"/>
          <w:shd w:val="clear" w:color="auto" w:fill="FFFFFF"/>
        </w:rPr>
        <w:t>1.</w:t>
      </w:r>
      <w:r>
        <w:rPr>
          <w:rFonts w:hint="eastAsia" w:ascii="楷体_GB2312" w:eastAsia="楷体_GB2312" w:cs="楷体_GB2312"/>
          <w:color w:val="000000"/>
          <w:kern w:val="0"/>
          <w:sz w:val="32"/>
          <w:szCs w:val="32"/>
          <w:shd w:val="clear" w:color="auto" w:fill="FFFFFF"/>
          <w:lang w:val="zh-CN"/>
        </w:rPr>
        <w:t>履职效能</w:t>
      </w:r>
      <w:r>
        <w:rPr>
          <w:rFonts w:hint="eastAsia" w:ascii="Times New Roman" w:hAnsi="Times New Roman" w:eastAsia="仿宋_GB2312" w:cs="Times New Roman"/>
          <w:color w:val="000000"/>
          <w:kern w:val="0"/>
          <w:sz w:val="32"/>
          <w:szCs w:val="32"/>
          <w:shd w:val="clear" w:color="auto" w:fill="FFFFFF"/>
          <w:lang w:val="zh-CN"/>
        </w:rPr>
        <w:t>。我单位在工作效果、工作效率、社会服务、创新能力等方面进行全面分析，作为宣传部门，坚持抓好文化建设，带好文化队伍，做好舆论导向，不断提升工作效能，为全面做好宣传工作贡献一部分力量。</w:t>
      </w:r>
    </w:p>
    <w:p>
      <w:pPr>
        <w:widowControl/>
        <w:adjustRightInd w:val="0"/>
        <w:snapToGrid w:val="0"/>
        <w:spacing w:line="540" w:lineRule="exact"/>
        <w:ind w:firstLine="720"/>
        <w:jc w:val="left"/>
        <w:rPr>
          <w:rFonts w:ascii="仿宋_GB2312" w:eastAsia="仿宋_GB2312" w:cs="仿宋_GB2312"/>
          <w:kern w:val="0"/>
          <w:sz w:val="32"/>
          <w:szCs w:val="32"/>
        </w:rPr>
      </w:pPr>
      <w:r>
        <w:rPr>
          <w:rFonts w:hint="eastAsia" w:ascii="楷体_GB2312" w:eastAsia="楷体_GB2312" w:cs="楷体_GB2312"/>
          <w:color w:val="000000"/>
          <w:kern w:val="0"/>
          <w:sz w:val="32"/>
          <w:szCs w:val="32"/>
          <w:shd w:val="clear" w:color="auto" w:fill="FFFFFF"/>
        </w:rPr>
        <w:t>2.</w:t>
      </w:r>
      <w:r>
        <w:rPr>
          <w:rFonts w:ascii="楷体_GB2312" w:eastAsia="楷体_GB2312" w:cs="楷体_GB2312"/>
          <w:color w:val="000000"/>
          <w:kern w:val="0"/>
          <w:sz w:val="32"/>
          <w:szCs w:val="32"/>
          <w:shd w:val="clear" w:color="auto" w:fill="FFFFFF"/>
          <w:lang w:val="zh-CN"/>
        </w:rPr>
        <w:t>预算管理</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_GB2312"/>
          <w:kern w:val="0"/>
          <w:sz w:val="32"/>
          <w:szCs w:val="32"/>
        </w:rPr>
        <w:t>2024年预算编制严格按照县级部门预算编制通知和有关要求，遵守国家编制的原则，按时完成2024年预算编制工作，并按时提交部门预算报告，预算编制全面、科学。截止2024年底已完成预算资金支出100%，预算年终结余为0万元。未发现违规使用资金情况</w:t>
      </w:r>
    </w:p>
    <w:p>
      <w:pPr>
        <w:adjustRightInd w:val="0"/>
        <w:snapToGrid w:val="0"/>
        <w:spacing w:line="578" w:lineRule="exact"/>
        <w:ind w:firstLine="640" w:firstLineChars="200"/>
        <w:contextualSpacing/>
        <w:jc w:val="left"/>
        <w:rPr>
          <w:rFonts w:ascii="楷体_GB2312" w:eastAsia="楷体_GB2312" w:cs="楷体_GB2312"/>
          <w:color w:val="000000"/>
          <w:kern w:val="0"/>
          <w:sz w:val="32"/>
          <w:szCs w:val="32"/>
          <w:shd w:val="clear" w:color="auto" w:fill="FFFFFF"/>
          <w:lang w:val="zh-CN"/>
        </w:rPr>
      </w:pPr>
      <w:r>
        <w:rPr>
          <w:rFonts w:hint="eastAsia" w:ascii="楷体_GB2312" w:eastAsia="楷体_GB2312" w:cs="楷体_GB2312"/>
          <w:color w:val="000000"/>
          <w:kern w:val="0"/>
          <w:sz w:val="32"/>
          <w:szCs w:val="32"/>
          <w:shd w:val="clear" w:color="auto" w:fill="FFFFFF"/>
        </w:rPr>
        <w:t>3.</w:t>
      </w:r>
      <w:r>
        <w:rPr>
          <w:rFonts w:ascii="楷体_GB2312" w:eastAsia="楷体_GB2312" w:cs="楷体_GB2312"/>
          <w:color w:val="000000"/>
          <w:kern w:val="0"/>
          <w:sz w:val="32"/>
          <w:szCs w:val="32"/>
          <w:shd w:val="clear" w:color="auto" w:fill="FFFFFF"/>
          <w:lang w:val="zh-CN"/>
        </w:rPr>
        <w:t>财务管理</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lang w:val="zh-CN"/>
        </w:rPr>
        <w:t>单位制定了财务、会计制度和预算管理制度，建立和完善财务管理和会计核算体系，财务岗位设置会计岗位和出纳岗位，严格按照财务制度规范资金的使用，未发现违规情况。</w:t>
      </w:r>
    </w:p>
    <w:p>
      <w:pPr>
        <w:adjustRightInd w:val="0"/>
        <w:snapToGrid w:val="0"/>
        <w:spacing w:line="578" w:lineRule="exact"/>
        <w:ind w:firstLine="640" w:firstLineChars="200"/>
        <w:contextualSpacing/>
        <w:jc w:val="left"/>
        <w:rPr>
          <w:rFonts w:ascii="楷体_GB2312" w:eastAsia="楷体_GB2312" w:cs="楷体_GB2312"/>
          <w:color w:val="000000"/>
          <w:kern w:val="0"/>
          <w:sz w:val="32"/>
          <w:szCs w:val="32"/>
          <w:shd w:val="clear" w:color="auto" w:fill="FFFFFF"/>
          <w:lang w:val="zh-CN"/>
        </w:rPr>
      </w:pPr>
      <w:r>
        <w:rPr>
          <w:rFonts w:hint="eastAsia" w:ascii="楷体_GB2312" w:eastAsia="楷体_GB2312" w:cs="楷体_GB2312"/>
          <w:color w:val="000000"/>
          <w:kern w:val="0"/>
          <w:sz w:val="32"/>
          <w:szCs w:val="32"/>
          <w:shd w:val="clear" w:color="auto" w:fill="FFFFFF"/>
        </w:rPr>
        <w:t>4.</w:t>
      </w:r>
      <w:r>
        <w:rPr>
          <w:rFonts w:ascii="楷体_GB2312" w:eastAsia="楷体_GB2312" w:cs="楷体_GB2312"/>
          <w:color w:val="000000"/>
          <w:kern w:val="0"/>
          <w:sz w:val="32"/>
          <w:szCs w:val="32"/>
          <w:shd w:val="clear" w:color="auto" w:fill="FFFFFF"/>
          <w:lang w:val="zh-CN"/>
        </w:rPr>
        <w:t>资产管理</w:t>
      </w:r>
      <w:r>
        <w:rPr>
          <w:rFonts w:hint="eastAsia" w:ascii="楷体_GB2312" w:eastAsia="楷体_GB2312" w:cs="楷体_GB2312"/>
          <w:color w:val="000000"/>
          <w:kern w:val="0"/>
          <w:sz w:val="32"/>
          <w:szCs w:val="32"/>
          <w:shd w:val="clear" w:color="auto" w:fill="FFFFFF"/>
          <w:lang w:val="zh-CN"/>
        </w:rPr>
        <w:t>。</w:t>
      </w:r>
      <w:r>
        <w:rPr>
          <w:rFonts w:hint="eastAsia" w:ascii="仿宋_GB2312" w:eastAsia="仿宋_GB2312" w:cs="Times New Roman"/>
          <w:color w:val="000000"/>
          <w:sz w:val="32"/>
          <w:szCs w:val="32"/>
          <w:lang w:val="zh-CN"/>
        </w:rPr>
        <w:t>截止202</w:t>
      </w:r>
      <w:r>
        <w:rPr>
          <w:rFonts w:hint="eastAsia" w:ascii="仿宋_GB2312" w:eastAsia="仿宋_GB2312" w:cs="Times New Roman"/>
          <w:color w:val="000000"/>
          <w:sz w:val="32"/>
          <w:szCs w:val="32"/>
        </w:rPr>
        <w:t>4</w:t>
      </w:r>
      <w:r>
        <w:rPr>
          <w:rFonts w:hint="eastAsia" w:ascii="仿宋_GB2312" w:eastAsia="仿宋_GB2312" w:cs="Times New Roman"/>
          <w:color w:val="000000"/>
          <w:sz w:val="32"/>
          <w:szCs w:val="32"/>
          <w:lang w:val="zh-CN"/>
        </w:rPr>
        <w:t>年底，县委宣传部固定资产总额为10</w:t>
      </w:r>
      <w:r>
        <w:rPr>
          <w:rFonts w:hint="eastAsia" w:ascii="仿宋_GB2312" w:eastAsia="仿宋_GB2312" w:cs="Times New Roman"/>
          <w:color w:val="000000"/>
          <w:sz w:val="32"/>
          <w:szCs w:val="32"/>
        </w:rPr>
        <w:t>2.31</w:t>
      </w:r>
      <w:r>
        <w:rPr>
          <w:rFonts w:hint="eastAsia" w:ascii="仿宋_GB2312" w:eastAsia="仿宋_GB2312" w:cs="Times New Roman"/>
          <w:color w:val="000000"/>
          <w:sz w:val="32"/>
          <w:szCs w:val="32"/>
          <w:lang w:val="zh-CN"/>
        </w:rPr>
        <w:t>万元。主要由办公设备、家具等组成，保障单位工作正常开展。本年度无利用国有资产对外投资、出租出借或处置国有资产取得收益。根据财政部门的要求，将全部固定资产纳入了国有资产管理系统，及时、准确、全面开展资产清查工作，并按时按质按量完成了国有资产月报表、年报表，做到了数据无错漏。</w:t>
      </w:r>
    </w:p>
    <w:p>
      <w:pPr>
        <w:adjustRightInd w:val="0"/>
        <w:snapToGrid w:val="0"/>
        <w:spacing w:line="578" w:lineRule="exact"/>
        <w:ind w:firstLine="640" w:firstLineChars="200"/>
        <w:contextualSpacing/>
        <w:jc w:val="left"/>
        <w:rPr>
          <w:rFonts w:ascii="楷体_GB2312" w:eastAsia="楷体_GB2312" w:cs="楷体_GB2312"/>
          <w:color w:val="000000"/>
          <w:kern w:val="0"/>
          <w:sz w:val="32"/>
          <w:szCs w:val="32"/>
          <w:shd w:val="clear" w:color="auto" w:fill="FFFFFF"/>
        </w:rPr>
      </w:pPr>
      <w:r>
        <w:rPr>
          <w:rFonts w:hint="eastAsia" w:ascii="楷体_GB2312" w:eastAsia="楷体_GB2312" w:cs="楷体_GB2312"/>
          <w:color w:val="000000"/>
          <w:kern w:val="0"/>
          <w:sz w:val="32"/>
          <w:szCs w:val="32"/>
          <w:shd w:val="clear" w:color="auto" w:fill="FFFFFF"/>
        </w:rPr>
        <w:t>5.</w:t>
      </w:r>
      <w:r>
        <w:rPr>
          <w:rFonts w:ascii="楷体_GB2312" w:eastAsia="楷体_GB2312" w:cs="楷体_GB2312"/>
          <w:color w:val="000000"/>
          <w:kern w:val="0"/>
          <w:sz w:val="32"/>
          <w:szCs w:val="32"/>
          <w:shd w:val="clear" w:color="auto" w:fill="FFFFFF"/>
          <w:lang w:val="zh-CN"/>
        </w:rPr>
        <w:t>采购管理</w:t>
      </w:r>
      <w:r>
        <w:rPr>
          <w:rFonts w:hint="eastAsia" w:ascii="楷体_GB2312" w:eastAsia="楷体_GB2312" w:cs="楷体_GB2312"/>
          <w:color w:val="000000"/>
          <w:kern w:val="0"/>
          <w:sz w:val="32"/>
          <w:szCs w:val="32"/>
          <w:shd w:val="clear" w:color="auto" w:fill="FFFFFF"/>
          <w:lang w:val="zh-CN"/>
        </w:rPr>
        <w:t>。截止</w:t>
      </w:r>
      <w:r>
        <w:rPr>
          <w:rFonts w:hint="eastAsia" w:ascii="楷体_GB2312" w:eastAsia="楷体_GB2312" w:cs="楷体_GB2312"/>
          <w:color w:val="000000"/>
          <w:kern w:val="0"/>
          <w:sz w:val="32"/>
          <w:szCs w:val="32"/>
          <w:shd w:val="clear" w:color="auto" w:fill="FFFFFF"/>
        </w:rPr>
        <w:t>2024年底，我单位完成采购项目1个，采购项目严格按照政府采购管理制度进行招投标，采购资金严格按照财务报账制度按合同规定的时间在规定时间内拨付，采购项目完成率100%达到了预期要求。</w:t>
      </w:r>
    </w:p>
    <w:p>
      <w:pPr>
        <w:widowControl/>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（二）部门预算项目绩效分析。</w:t>
      </w:r>
    </w:p>
    <w:p>
      <w:p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rPr>
        <w:t>常年项目绩效分析。</w:t>
      </w:r>
      <w:r>
        <w:rPr>
          <w:rFonts w:ascii="Times New Roman" w:hAnsi="Times New Roman" w:eastAsia="仿宋_GB2312" w:cs="Times New Roman"/>
          <w:color w:val="000000"/>
          <w:kern w:val="0"/>
          <w:sz w:val="32"/>
          <w:szCs w:val="32"/>
          <w:shd w:val="clear" w:color="auto" w:fill="FFFFFF"/>
          <w:lang w:val="zh-CN"/>
        </w:rPr>
        <w:t>该类项目总数</w:t>
      </w:r>
      <w:r>
        <w:rPr>
          <w:rFonts w:ascii="Times New Roman" w:hAnsi="Times New Roman" w:eastAsia="仿宋_GB2312" w:cs="Times New Roman"/>
          <w:color w:val="000000"/>
          <w:kern w:val="0"/>
          <w:sz w:val="32"/>
          <w:szCs w:val="32"/>
          <w:shd w:val="clear" w:color="auto" w:fill="FFFFFF"/>
        </w:rPr>
        <w:t xml:space="preserve"> </w:t>
      </w:r>
      <w:r>
        <w:rPr>
          <w:rFonts w:hint="eastAsia" w:ascii="Times New Roman" w:hAnsi="Times New Roman" w:eastAsia="仿宋_GB2312" w:cs="Times New Roman"/>
          <w:color w:val="000000"/>
          <w:kern w:val="0"/>
          <w:sz w:val="32"/>
          <w:szCs w:val="32"/>
          <w:shd w:val="clear" w:color="auto" w:fill="FFFFFF"/>
        </w:rPr>
        <w:t>5</w:t>
      </w:r>
      <w:r>
        <w:rPr>
          <w:rFonts w:ascii="Times New Roman" w:hAnsi="Times New Roman" w:eastAsia="仿宋_GB2312" w:cs="Times New Roman"/>
          <w:color w:val="000000"/>
          <w:kern w:val="0"/>
          <w:sz w:val="32"/>
          <w:szCs w:val="32"/>
          <w:shd w:val="clear" w:color="auto" w:fill="FFFFFF"/>
        </w:rPr>
        <w:t xml:space="preserve"> </w:t>
      </w:r>
      <w:r>
        <w:rPr>
          <w:rFonts w:ascii="Times New Roman" w:hAnsi="Times New Roman" w:eastAsia="仿宋_GB2312" w:cs="Times New Roman"/>
          <w:color w:val="000000"/>
          <w:kern w:val="0"/>
          <w:sz w:val="32"/>
          <w:szCs w:val="32"/>
          <w:shd w:val="clear" w:color="auto" w:fill="FFFFFF"/>
          <w:lang w:val="zh-CN"/>
        </w:rPr>
        <w:t>个，涉及预算总金额</w:t>
      </w:r>
      <w:r>
        <w:rPr>
          <w:rFonts w:ascii="Times New Roman" w:hAnsi="Times New Roman" w:eastAsia="仿宋_GB2312" w:cs="Times New Roman"/>
          <w:color w:val="000000"/>
          <w:kern w:val="0"/>
          <w:sz w:val="32"/>
          <w:szCs w:val="32"/>
          <w:shd w:val="clear" w:color="auto" w:fill="FFFFFF"/>
        </w:rPr>
        <w:t xml:space="preserve"> </w:t>
      </w:r>
      <w:r>
        <w:rPr>
          <w:rFonts w:hint="eastAsia" w:ascii="Times New Roman" w:hAnsi="Times New Roman" w:eastAsia="仿宋_GB2312" w:cs="Times New Roman"/>
          <w:color w:val="000000"/>
          <w:kern w:val="0"/>
          <w:sz w:val="32"/>
          <w:szCs w:val="32"/>
          <w:shd w:val="clear" w:color="auto" w:fill="FFFFFF"/>
        </w:rPr>
        <w:t>168</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w:t>
      </w:r>
      <w:r>
        <w:rPr>
          <w:rFonts w:ascii="Times New Roman" w:hAnsi="Times New Roman" w:eastAsia="仿宋_GB2312" w:cs="Times New Roman"/>
          <w:color w:val="000000"/>
          <w:kern w:val="0"/>
          <w:sz w:val="32"/>
          <w:szCs w:val="32"/>
          <w:shd w:val="clear" w:color="auto" w:fill="FFFFFF"/>
        </w:rPr>
        <w:t>2</w:t>
      </w:r>
      <w:r>
        <w:rPr>
          <w:rFonts w:ascii="Times New Roman" w:hAnsi="Times New Roman" w:eastAsia="仿宋_GB2312" w:cs="Times New Roman"/>
          <w:color w:val="000000"/>
          <w:kern w:val="0"/>
          <w:sz w:val="32"/>
          <w:szCs w:val="32"/>
          <w:shd w:val="clear" w:color="auto" w:fill="FFFFFF"/>
          <w:lang w:val="zh-CN"/>
        </w:rPr>
        <w:t>月预算执行总体进度为</w:t>
      </w:r>
      <w:r>
        <w:rPr>
          <w:rFonts w:hint="eastAsia" w:ascii="Times New Roman" w:hAnsi="Times New Roman" w:eastAsia="仿宋_GB2312" w:cs="Times New Roman"/>
          <w:color w:val="000000"/>
          <w:kern w:val="0"/>
          <w:sz w:val="32"/>
          <w:szCs w:val="32"/>
          <w:shd w:val="clear" w:color="auto" w:fill="FFFFFF"/>
        </w:rPr>
        <w:t>100</w:t>
      </w:r>
      <w:r>
        <w:rPr>
          <w:rFonts w:ascii="Times New Roman" w:hAnsi="Times New Roman" w:eastAsia="仿宋_GB2312" w:cs="Times New Roman"/>
          <w:color w:val="000000"/>
          <w:kern w:val="0"/>
          <w:sz w:val="32"/>
          <w:szCs w:val="32"/>
          <w:shd w:val="clear" w:color="auto" w:fill="FFFFFF"/>
          <w:lang w:val="zh-CN"/>
        </w:rPr>
        <w:t>%，其中：预算结余率大于</w:t>
      </w:r>
      <w:r>
        <w:rPr>
          <w:rFonts w:ascii="Times New Roman" w:hAnsi="Times New Roman" w:eastAsia="仿宋_GB2312" w:cs="Times New Roman"/>
          <w:color w:val="000000"/>
          <w:kern w:val="0"/>
          <w:sz w:val="32"/>
          <w:szCs w:val="32"/>
          <w:shd w:val="clear" w:color="auto" w:fill="FFFFFF"/>
        </w:rPr>
        <w:t>10%</w:t>
      </w:r>
      <w:r>
        <w:rPr>
          <w:rFonts w:ascii="Times New Roman" w:hAnsi="Times New Roman" w:eastAsia="仿宋_GB2312" w:cs="Times New Roman"/>
          <w:color w:val="000000"/>
          <w:kern w:val="0"/>
          <w:sz w:val="32"/>
          <w:szCs w:val="32"/>
          <w:shd w:val="clear" w:color="auto" w:fill="FFFFFF"/>
          <w:lang w:val="zh-CN"/>
        </w:rPr>
        <w:t>的项目共计</w:t>
      </w:r>
      <w:r>
        <w:rPr>
          <w:rFonts w:hint="eastAsia" w:ascii="Times New Roman" w:hAnsi="Times New Roman" w:eastAsia="仿宋_GB2312" w:cs="Times New Roman"/>
          <w:color w:val="000000"/>
          <w:kern w:val="0"/>
          <w:sz w:val="32"/>
          <w:szCs w:val="32"/>
          <w:shd w:val="clear" w:color="auto" w:fill="FFFFFF"/>
        </w:rPr>
        <w:t>0</w:t>
      </w:r>
      <w:r>
        <w:rPr>
          <w:rFonts w:ascii="Times New Roman" w:hAnsi="Times New Roman" w:eastAsia="仿宋_GB2312" w:cs="Times New Roman"/>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rPr>
        <w:t>阶段（</w:t>
      </w:r>
      <w:r>
        <w:rPr>
          <w:rFonts w:hint="eastAsia" w:ascii="Times New Roman" w:hAnsi="Times New Roman" w:eastAsia="仿宋_GB2312" w:cs="Times New Roman"/>
          <w:color w:val="000000"/>
          <w:kern w:val="0"/>
          <w:sz w:val="32"/>
          <w:szCs w:val="32"/>
          <w:shd w:val="clear" w:color="auto" w:fill="FFFFFF"/>
        </w:rPr>
        <w:t>含</w:t>
      </w:r>
      <w:r>
        <w:rPr>
          <w:rFonts w:ascii="Times New Roman" w:hAnsi="Times New Roman" w:eastAsia="仿宋_GB2312" w:cs="Times New Roman"/>
          <w:color w:val="000000"/>
          <w:kern w:val="0"/>
          <w:sz w:val="32"/>
          <w:szCs w:val="32"/>
          <w:shd w:val="clear" w:color="auto" w:fill="FFFFFF"/>
        </w:rPr>
        <w:t>一次性）项目绩效分析。</w:t>
      </w:r>
      <w:r>
        <w:rPr>
          <w:rFonts w:ascii="Times New Roman" w:hAnsi="Times New Roman" w:eastAsia="仿宋_GB2312" w:cs="Times New Roman"/>
          <w:color w:val="000000"/>
          <w:kern w:val="0"/>
          <w:sz w:val="32"/>
          <w:szCs w:val="32"/>
          <w:shd w:val="clear" w:color="auto" w:fill="FFFFFF"/>
          <w:lang w:val="zh-CN"/>
        </w:rPr>
        <w:t>该类项目总数</w:t>
      </w:r>
      <w:r>
        <w:rPr>
          <w:rFonts w:hint="eastAsia" w:ascii="Times New Roman" w:hAnsi="Times New Roman" w:eastAsia="仿宋_GB2312" w:cs="Times New Roman"/>
          <w:color w:val="000000"/>
          <w:kern w:val="0"/>
          <w:sz w:val="32"/>
          <w:szCs w:val="32"/>
          <w:shd w:val="clear" w:color="auto" w:fill="FFFFFF"/>
        </w:rPr>
        <w:t>15</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rPr>
        <w:t>402.93</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w:t>
      </w:r>
      <w:r>
        <w:rPr>
          <w:rFonts w:ascii="Times New Roman" w:hAnsi="Times New Roman" w:eastAsia="仿宋_GB2312" w:cs="Times New Roman"/>
          <w:color w:val="000000"/>
          <w:kern w:val="0"/>
          <w:sz w:val="32"/>
          <w:szCs w:val="32"/>
          <w:shd w:val="clear" w:color="auto" w:fill="FFFFFF"/>
        </w:rPr>
        <w:t>2</w:t>
      </w:r>
      <w:r>
        <w:rPr>
          <w:rFonts w:ascii="Times New Roman" w:hAnsi="Times New Roman" w:eastAsia="仿宋_GB2312" w:cs="Times New Roman"/>
          <w:color w:val="000000"/>
          <w:kern w:val="0"/>
          <w:sz w:val="32"/>
          <w:szCs w:val="32"/>
          <w:shd w:val="clear" w:color="auto" w:fill="FFFFFF"/>
          <w:lang w:val="zh-CN"/>
        </w:rPr>
        <w:t>月预算执行总体进度为</w:t>
      </w:r>
      <w:r>
        <w:rPr>
          <w:rFonts w:hint="eastAsia" w:ascii="Times New Roman" w:hAnsi="Times New Roman" w:eastAsia="仿宋_GB2312" w:cs="Times New Roman"/>
          <w:color w:val="000000"/>
          <w:kern w:val="0"/>
          <w:sz w:val="32"/>
          <w:szCs w:val="32"/>
          <w:shd w:val="clear" w:color="auto" w:fill="FFFFFF"/>
        </w:rPr>
        <w:t>100</w:t>
      </w:r>
      <w:r>
        <w:rPr>
          <w:rFonts w:ascii="Times New Roman" w:hAnsi="Times New Roman" w:eastAsia="仿宋_GB2312" w:cs="Times New Roman"/>
          <w:color w:val="000000"/>
          <w:kern w:val="0"/>
          <w:sz w:val="32"/>
          <w:szCs w:val="32"/>
          <w:shd w:val="clear" w:color="auto" w:fill="FFFFFF"/>
          <w:lang w:val="zh-CN"/>
        </w:rPr>
        <w:t>%，其中：预算结余率大于</w:t>
      </w:r>
      <w:r>
        <w:rPr>
          <w:rFonts w:ascii="Times New Roman" w:hAnsi="Times New Roman" w:eastAsia="仿宋_GB2312" w:cs="Times New Roman"/>
          <w:color w:val="000000"/>
          <w:kern w:val="0"/>
          <w:sz w:val="32"/>
          <w:szCs w:val="32"/>
          <w:shd w:val="clear" w:color="auto" w:fill="FFFFFF"/>
        </w:rPr>
        <w:t>10%</w:t>
      </w:r>
      <w:r>
        <w:rPr>
          <w:rFonts w:ascii="Times New Roman" w:hAnsi="Times New Roman" w:eastAsia="仿宋_GB2312" w:cs="Times New Roman"/>
          <w:color w:val="000000"/>
          <w:kern w:val="0"/>
          <w:sz w:val="32"/>
          <w:szCs w:val="32"/>
          <w:shd w:val="clear" w:color="auto" w:fill="FFFFFF"/>
          <w:lang w:val="zh-CN"/>
        </w:rPr>
        <w:t>的项目共计</w:t>
      </w:r>
      <w:r>
        <w:rPr>
          <w:rFonts w:hint="eastAsia" w:ascii="Times New Roman" w:hAnsi="Times New Roman" w:eastAsia="仿宋_GB2312" w:cs="Times New Roman"/>
          <w:color w:val="000000"/>
          <w:kern w:val="0"/>
          <w:sz w:val="32"/>
          <w:szCs w:val="32"/>
          <w:shd w:val="clear" w:color="auto" w:fill="FFFFFF"/>
        </w:rPr>
        <w:t>0</w:t>
      </w:r>
      <w:r>
        <w:rPr>
          <w:rFonts w:ascii="Times New Roman" w:hAnsi="Times New Roman" w:eastAsia="仿宋_GB2312" w:cs="Times New Roman"/>
          <w:color w:val="000000"/>
          <w:kern w:val="0"/>
          <w:sz w:val="32"/>
          <w:szCs w:val="32"/>
          <w:shd w:val="clear" w:color="auto" w:fill="FFFFFF"/>
        </w:rPr>
        <w:t xml:space="preserve"> </w:t>
      </w:r>
      <w:r>
        <w:rPr>
          <w:rFonts w:ascii="Times New Roman" w:hAnsi="Times New Roman" w:eastAsia="仿宋_GB2312" w:cs="Times New Roman"/>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ascii="楷体_GB2312" w:eastAsia="楷体_GB2312" w:cs="楷体_GB2312"/>
          <w:color w:val="000000"/>
          <w:kern w:val="0"/>
          <w:sz w:val="32"/>
          <w:szCs w:val="32"/>
          <w:shd w:val="clear" w:color="auto" w:fill="FFFFFF"/>
          <w:lang w:val="zh-CN"/>
        </w:rPr>
      </w:pPr>
      <w:r>
        <w:rPr>
          <w:rFonts w:hint="eastAsia" w:ascii="楷体_GB2312" w:eastAsia="楷体_GB2312" w:cs="楷体_GB2312"/>
          <w:color w:val="000000"/>
          <w:kern w:val="0"/>
          <w:sz w:val="32"/>
          <w:szCs w:val="32"/>
          <w:shd w:val="clear" w:color="auto" w:fill="FFFFFF"/>
        </w:rPr>
        <w:t>1.</w:t>
      </w:r>
      <w:r>
        <w:rPr>
          <w:rFonts w:hint="eastAsia" w:ascii="楷体_GB2312" w:eastAsia="楷体_GB2312" w:cs="楷体_GB2312"/>
          <w:color w:val="000000"/>
          <w:kern w:val="0"/>
          <w:sz w:val="32"/>
          <w:szCs w:val="32"/>
          <w:shd w:val="clear" w:color="auto" w:fill="FFFFFF"/>
          <w:lang w:val="zh-CN"/>
        </w:rPr>
        <w:t>项目决策。</w:t>
      </w:r>
      <w:r>
        <w:rPr>
          <w:rFonts w:hint="eastAsia" w:ascii="Times New Roman" w:hAnsi="Times New Roman" w:eastAsia="仿宋_GB2312" w:cs="Times New Roman"/>
          <w:color w:val="000000"/>
          <w:kern w:val="0"/>
          <w:sz w:val="32"/>
          <w:szCs w:val="32"/>
          <w:shd w:val="clear" w:color="auto" w:fill="FFFFFF"/>
          <w:lang w:val="zh-CN"/>
        </w:rPr>
        <w:t>决策程序，部门预算项目严格按规定履行评估论证、申报程序。目标设置，部门预算项目绩效目标与计划期内的任务量、预算安排的资金量匹配情况，绩效目标设置科学合理、规范完整、量化细化、预算匹配</w:t>
      </w:r>
      <w:r>
        <w:rPr>
          <w:rFonts w:hint="eastAsia" w:ascii="Times New Roman" w:hAnsi="Times New Roman" w:eastAsia="仿宋_GB2312" w:cs="Times New Roman"/>
          <w:color w:val="000000"/>
          <w:kern w:val="0"/>
          <w:sz w:val="32"/>
          <w:szCs w:val="32"/>
          <w:shd w:val="clear" w:color="auto" w:fill="FFFFFF"/>
        </w:rPr>
        <w:t>。</w:t>
      </w:r>
      <w:r>
        <w:rPr>
          <w:rFonts w:hint="eastAsia" w:ascii="Times New Roman" w:hAnsi="Times New Roman" w:eastAsia="仿宋_GB2312" w:cs="Times New Roman"/>
          <w:color w:val="000000"/>
          <w:kern w:val="0"/>
          <w:sz w:val="32"/>
          <w:szCs w:val="32"/>
          <w:shd w:val="clear" w:color="auto" w:fill="FFFFFF"/>
          <w:lang w:val="zh-CN"/>
        </w:rPr>
        <w:t>项目入库，</w:t>
      </w:r>
      <w:r>
        <w:rPr>
          <w:rFonts w:ascii="Times New Roman" w:hAnsi="Times New Roman" w:eastAsia="仿宋_GB2312" w:cs="Times New Roman"/>
          <w:color w:val="000000"/>
          <w:kern w:val="0"/>
          <w:sz w:val="32"/>
          <w:szCs w:val="32"/>
          <w:shd w:val="clear" w:color="auto" w:fill="FFFFFF"/>
          <w:lang w:val="zh-CN"/>
        </w:rPr>
        <w:t>部门预算项目</w:t>
      </w:r>
      <w:r>
        <w:rPr>
          <w:rFonts w:hint="eastAsia" w:ascii="Times New Roman" w:hAnsi="Times New Roman" w:eastAsia="仿宋_GB2312" w:cs="Times New Roman"/>
          <w:color w:val="000000"/>
          <w:kern w:val="0"/>
          <w:sz w:val="32"/>
          <w:szCs w:val="32"/>
          <w:shd w:val="clear" w:color="auto" w:fill="FFFFFF"/>
          <w:lang w:val="zh-CN"/>
        </w:rPr>
        <w:t>均在</w:t>
      </w:r>
      <w:r>
        <w:rPr>
          <w:rFonts w:ascii="Times New Roman" w:hAnsi="Times New Roman" w:eastAsia="仿宋_GB2312" w:cs="Times New Roman"/>
          <w:color w:val="000000"/>
          <w:kern w:val="0"/>
          <w:sz w:val="32"/>
          <w:szCs w:val="32"/>
          <w:shd w:val="clear" w:color="auto" w:fill="FFFFFF"/>
          <w:lang w:val="zh-CN"/>
        </w:rPr>
        <w:t>在规定时间完成项目入库</w:t>
      </w:r>
      <w:r>
        <w:rPr>
          <w:rFonts w:hint="eastAsia" w:ascii="Times New Roman" w:hAnsi="Times New Roman" w:eastAsia="仿宋_GB2312" w:cs="Times New Roman"/>
          <w:color w:val="000000"/>
          <w:kern w:val="0"/>
          <w:sz w:val="32"/>
          <w:szCs w:val="32"/>
          <w:shd w:val="clear" w:color="auto" w:fill="FFFFFF"/>
          <w:lang w:val="zh-CN"/>
        </w:rPr>
        <w:t>。</w:t>
      </w:r>
    </w:p>
    <w:p>
      <w:pPr>
        <w:adjustRightInd w:val="0"/>
        <w:snapToGrid w:val="0"/>
        <w:spacing w:line="578" w:lineRule="exact"/>
        <w:ind w:firstLine="640" w:firstLineChars="200"/>
        <w:contextualSpacing/>
        <w:jc w:val="left"/>
        <w:rPr>
          <w:rFonts w:ascii="楷体_GB2312" w:eastAsia="楷体_GB2312" w:cs="楷体_GB2312"/>
          <w:color w:val="000000"/>
          <w:kern w:val="0"/>
          <w:sz w:val="32"/>
          <w:szCs w:val="32"/>
          <w:shd w:val="clear" w:color="auto" w:fill="FFFFFF"/>
          <w:lang w:val="zh-CN"/>
        </w:rPr>
      </w:pPr>
      <w:r>
        <w:rPr>
          <w:rFonts w:hint="eastAsia" w:ascii="楷体_GB2312" w:eastAsia="楷体_GB2312" w:cs="楷体_GB2312"/>
          <w:color w:val="000000"/>
          <w:kern w:val="0"/>
          <w:sz w:val="32"/>
          <w:szCs w:val="32"/>
          <w:shd w:val="clear" w:color="auto" w:fill="FFFFFF"/>
        </w:rPr>
        <w:t>2.项目执行</w:t>
      </w:r>
      <w:r>
        <w:rPr>
          <w:rFonts w:hint="eastAsia" w:ascii="楷体_GB2312" w:eastAsia="楷体_GB2312" w:cs="楷体_GB2312"/>
          <w:color w:val="000000"/>
          <w:kern w:val="0"/>
          <w:sz w:val="32"/>
          <w:szCs w:val="32"/>
          <w:shd w:val="clear" w:color="auto" w:fill="FFFFFF"/>
          <w:lang w:val="zh-CN"/>
        </w:rPr>
        <w:t>。</w:t>
      </w:r>
      <w:r>
        <w:rPr>
          <w:rFonts w:hint="eastAsia" w:ascii="Times New Roman" w:hAnsi="Times New Roman" w:eastAsia="仿宋_GB2312" w:cs="Times New Roman"/>
          <w:color w:val="000000"/>
          <w:kern w:val="0"/>
          <w:sz w:val="32"/>
          <w:szCs w:val="32"/>
          <w:shd w:val="clear" w:color="auto" w:fill="FFFFFF"/>
          <w:lang w:val="zh-CN"/>
        </w:rPr>
        <w:t>资金执行同向，部门预算项目实际列支内容与绩效目标设置方向相符。项目调整，部门预算项目采取对应调整措施。执行结果，</w:t>
      </w:r>
      <w:r>
        <w:rPr>
          <w:rFonts w:ascii="Times New Roman" w:hAnsi="Times New Roman" w:eastAsia="仿宋_GB2312" w:cs="Times New Roman"/>
          <w:color w:val="000000"/>
          <w:kern w:val="0"/>
          <w:sz w:val="32"/>
          <w:szCs w:val="32"/>
          <w:shd w:val="clear" w:color="auto" w:fill="FFFFFF"/>
          <w:lang w:val="zh-CN"/>
        </w:rPr>
        <w:t>部门预算项目预算执行情况</w:t>
      </w:r>
      <w:r>
        <w:rPr>
          <w:rFonts w:hint="eastAsia" w:ascii="Times New Roman" w:hAnsi="Times New Roman" w:eastAsia="仿宋_GB2312" w:cs="Times New Roman"/>
          <w:color w:val="000000"/>
          <w:kern w:val="0"/>
          <w:sz w:val="32"/>
          <w:szCs w:val="32"/>
          <w:shd w:val="clear" w:color="auto" w:fill="FFFFFF"/>
          <w:lang w:val="zh-CN"/>
        </w:rPr>
        <w:t>完成率均为</w:t>
      </w:r>
      <w:r>
        <w:rPr>
          <w:rFonts w:hint="eastAsia" w:ascii="Times New Roman" w:hAnsi="Times New Roman" w:eastAsia="仿宋_GB2312" w:cs="Times New Roman"/>
          <w:color w:val="000000"/>
          <w:kern w:val="0"/>
          <w:sz w:val="32"/>
          <w:szCs w:val="32"/>
          <w:shd w:val="clear" w:color="auto" w:fill="FFFFFF"/>
        </w:rPr>
        <w:t>100%</w:t>
      </w:r>
      <w:r>
        <w:rPr>
          <w:rFonts w:hint="eastAsia" w:ascii="Times New Roman" w:hAnsi="Times New Roman" w:eastAsia="仿宋_GB2312" w:cs="Times New Roman"/>
          <w:color w:val="000000"/>
          <w:kern w:val="0"/>
          <w:sz w:val="32"/>
          <w:szCs w:val="32"/>
          <w:shd w:val="clear" w:color="auto" w:fill="FFFFFF"/>
          <w:lang w:val="zh-CN"/>
        </w:rPr>
        <w:t>。</w:t>
      </w:r>
    </w:p>
    <w:p>
      <w:pPr>
        <w:adjustRightInd w:val="0"/>
        <w:snapToGrid w:val="0"/>
        <w:spacing w:line="578" w:lineRule="exact"/>
        <w:ind w:firstLine="640" w:firstLineChars="200"/>
        <w:contextualSpacing/>
        <w:jc w:val="left"/>
        <w:rPr>
          <w:rFonts w:ascii="楷体_GB2312" w:eastAsia="楷体_GB2312" w:cs="楷体_GB2312"/>
          <w:color w:val="000000"/>
          <w:kern w:val="0"/>
          <w:sz w:val="32"/>
          <w:szCs w:val="32"/>
          <w:shd w:val="clear" w:color="auto" w:fill="FFFFFF"/>
          <w:lang w:val="zh-CN"/>
        </w:rPr>
      </w:pPr>
      <w:r>
        <w:rPr>
          <w:rFonts w:hint="eastAsia" w:ascii="楷体_GB2312" w:eastAsia="楷体_GB2312" w:cs="楷体_GB2312"/>
          <w:color w:val="000000"/>
          <w:kern w:val="0"/>
          <w:sz w:val="32"/>
          <w:szCs w:val="32"/>
          <w:shd w:val="clear" w:color="auto" w:fill="FFFFFF"/>
        </w:rPr>
        <w:t>3.</w:t>
      </w:r>
      <w:r>
        <w:rPr>
          <w:rFonts w:hint="eastAsia" w:ascii="楷体_GB2312" w:eastAsia="楷体_GB2312" w:cs="楷体_GB2312"/>
          <w:color w:val="000000"/>
          <w:kern w:val="0"/>
          <w:sz w:val="32"/>
          <w:szCs w:val="32"/>
          <w:shd w:val="clear" w:color="auto" w:fill="FFFFFF"/>
          <w:lang w:val="zh-CN"/>
        </w:rPr>
        <w:t>目标实现。</w:t>
      </w:r>
      <w:r>
        <w:rPr>
          <w:rFonts w:hint="eastAsia" w:ascii="Times New Roman" w:hAnsi="Times New Roman" w:eastAsia="仿宋_GB2312" w:cs="Times New Roman"/>
          <w:color w:val="000000"/>
          <w:kern w:val="0"/>
          <w:sz w:val="32"/>
          <w:szCs w:val="32"/>
          <w:shd w:val="clear" w:color="auto" w:fill="FFFFFF"/>
          <w:lang w:val="zh-CN"/>
        </w:rPr>
        <w:t>目标完成，部门预算项目绩效目标数量指标完成情况完成率基本为</w:t>
      </w:r>
      <w:r>
        <w:rPr>
          <w:rFonts w:hint="eastAsia" w:ascii="Times New Roman" w:hAnsi="Times New Roman" w:eastAsia="仿宋_GB2312" w:cs="Times New Roman"/>
          <w:color w:val="000000"/>
          <w:kern w:val="0"/>
          <w:sz w:val="32"/>
          <w:szCs w:val="32"/>
          <w:shd w:val="clear" w:color="auto" w:fill="FFFFFF"/>
        </w:rPr>
        <w:t>100%</w:t>
      </w:r>
      <w:r>
        <w:rPr>
          <w:rFonts w:hint="eastAsia" w:ascii="Times New Roman" w:hAnsi="Times New Roman" w:eastAsia="仿宋_GB2312" w:cs="Times New Roman"/>
          <w:color w:val="000000"/>
          <w:kern w:val="0"/>
          <w:sz w:val="32"/>
          <w:szCs w:val="32"/>
          <w:shd w:val="clear" w:color="auto" w:fill="FFFFFF"/>
          <w:lang w:val="zh-CN"/>
        </w:rPr>
        <w:t>。目标偏离，部门预算项目绩效目标数量指标实现程度与预期目标的偏离率为基本在＜</w:t>
      </w:r>
      <w:r>
        <w:rPr>
          <w:rFonts w:hint="eastAsia" w:ascii="Times New Roman" w:hAnsi="Times New Roman" w:eastAsia="仿宋_GB2312" w:cs="Times New Roman"/>
          <w:color w:val="000000"/>
          <w:kern w:val="0"/>
          <w:sz w:val="32"/>
          <w:szCs w:val="32"/>
          <w:shd w:val="clear" w:color="auto" w:fill="FFFFFF"/>
        </w:rPr>
        <w:t>30%</w:t>
      </w:r>
      <w:r>
        <w:rPr>
          <w:rFonts w:hint="eastAsia" w:ascii="Times New Roman" w:hAnsi="Times New Roman" w:eastAsia="仿宋_GB2312" w:cs="Times New Roman"/>
          <w:color w:val="000000"/>
          <w:kern w:val="0"/>
          <w:sz w:val="32"/>
          <w:szCs w:val="32"/>
          <w:shd w:val="clear" w:color="auto" w:fill="FFFFFF"/>
          <w:lang w:val="zh-CN"/>
        </w:rPr>
        <w:t>。实现效果，部门预算项目绩效目标效益指标实施效果。</w:t>
      </w:r>
    </w:p>
    <w:p>
      <w:pPr>
        <w:snapToGrid w:val="0"/>
        <w:spacing w:line="600" w:lineRule="exact"/>
        <w:ind w:firstLine="643" w:firstLineChars="200"/>
        <w:rPr>
          <w:rFonts w:ascii="Times New Roman" w:hAnsi="Times New Roman" w:eastAsia="楷体_GB2312" w:cs="Times New Roman"/>
          <w:b/>
          <w:bCs/>
          <w:sz w:val="32"/>
          <w:szCs w:val="32"/>
          <w:lang w:val="zh-CN"/>
        </w:rPr>
      </w:pPr>
      <w:r>
        <w:rPr>
          <w:rFonts w:ascii="Times New Roman" w:hAnsi="Times New Roman" w:eastAsia="楷体_GB2312" w:cs="Times New Roman"/>
          <w:b/>
          <w:bCs/>
          <w:color w:val="000000"/>
          <w:kern w:val="0"/>
          <w:sz w:val="32"/>
          <w:szCs w:val="32"/>
          <w:shd w:val="clear" w:color="auto" w:fill="FFFFFF"/>
          <w:lang w:val="zh-CN"/>
        </w:rPr>
        <w:t>（三）</w:t>
      </w:r>
      <w:r>
        <w:rPr>
          <w:rFonts w:ascii="Times New Roman" w:hAnsi="Times New Roman" w:eastAsia="楷体_GB2312" w:cs="Times New Roman"/>
          <w:b/>
          <w:bCs/>
          <w:sz w:val="32"/>
          <w:szCs w:val="32"/>
          <w:lang w:val="zh-CN"/>
        </w:rPr>
        <w:t>绩效结果应用情况</w:t>
      </w:r>
    </w:p>
    <w:p>
      <w:pPr>
        <w:widowControl/>
        <w:shd w:val="clear" w:color="auto" w:fill="FFFFFF"/>
        <w:spacing w:before="0" w:beforeAutospacing="0" w:after="0" w:afterAutospacing="0" w:line="351" w:lineRule="atLeast"/>
        <w:ind w:firstLine="538"/>
        <w:jc w:val="left"/>
        <w:rPr>
          <w:rFonts w:ascii="仿宋_GB2312" w:eastAsia="仿宋_GB2312" w:cs="宋体"/>
          <w:color w:val="000000"/>
          <w:kern w:val="0"/>
          <w:sz w:val="32"/>
          <w:szCs w:val="32"/>
          <w:lang w:val="en-US" w:eastAsia="zh-CN" w:bidi="ar-SA"/>
        </w:rPr>
      </w:pPr>
      <w:r>
        <w:rPr>
          <w:rFonts w:hint="eastAsia" w:ascii="仿宋_GB2312" w:eastAsia="仿宋_GB2312" w:cs="宋体"/>
          <w:color w:val="000000"/>
          <w:kern w:val="0"/>
          <w:sz w:val="32"/>
          <w:szCs w:val="32"/>
          <w:lang w:val="zh-CN" w:eastAsia="zh-CN" w:bidi="ar-SA"/>
        </w:rPr>
        <w:t>1.内部应用情况：本年度我单位资金使用率达到</w:t>
      </w:r>
      <w:r>
        <w:rPr>
          <w:rFonts w:hint="eastAsia" w:ascii="仿宋_GB2312" w:eastAsia="仿宋_GB2312" w:cs="宋体"/>
          <w:color w:val="000000"/>
          <w:kern w:val="0"/>
          <w:sz w:val="32"/>
          <w:szCs w:val="32"/>
          <w:lang w:val="en-US" w:eastAsia="zh-CN" w:bidi="ar-SA"/>
        </w:rPr>
        <w:t>100%，足额保障率100%，提升工作效率100%,群众满意率95%。</w:t>
      </w:r>
    </w:p>
    <w:p>
      <w:pPr>
        <w:widowControl/>
        <w:shd w:val="clear" w:color="auto" w:fill="FFFFFF"/>
        <w:spacing w:before="0" w:beforeAutospacing="0" w:after="0" w:afterAutospacing="0" w:line="351" w:lineRule="atLeast"/>
        <w:ind w:firstLine="538"/>
        <w:jc w:val="left"/>
        <w:rPr>
          <w:rFonts w:ascii="仿宋_GB2312" w:eastAsia="仿宋_GB2312" w:cs="宋体"/>
          <w:color w:val="000000"/>
          <w:kern w:val="0"/>
          <w:sz w:val="32"/>
          <w:szCs w:val="32"/>
          <w:lang w:val="zh-CN" w:eastAsia="zh-CN" w:bidi="ar-SA"/>
        </w:rPr>
      </w:pPr>
      <w:r>
        <w:rPr>
          <w:rFonts w:hint="eastAsia" w:ascii="仿宋_GB2312" w:eastAsia="仿宋_GB2312" w:cs="宋体"/>
          <w:color w:val="000000"/>
          <w:kern w:val="0"/>
          <w:sz w:val="32"/>
          <w:szCs w:val="32"/>
          <w:lang w:val="zh-CN" w:eastAsia="zh-CN" w:bidi="ar-SA"/>
        </w:rPr>
        <w:t>2.信息公开情况：202</w:t>
      </w:r>
      <w:r>
        <w:rPr>
          <w:rFonts w:hint="eastAsia" w:ascii="仿宋_GB2312" w:eastAsia="仿宋_GB2312" w:cs="宋体"/>
          <w:color w:val="000000"/>
          <w:kern w:val="0"/>
          <w:sz w:val="32"/>
          <w:szCs w:val="32"/>
          <w:lang w:val="en-US" w:eastAsia="zh-CN" w:bidi="ar-SA"/>
        </w:rPr>
        <w:t>4</w:t>
      </w:r>
      <w:r>
        <w:rPr>
          <w:rFonts w:hint="eastAsia" w:ascii="仿宋_GB2312" w:eastAsia="仿宋_GB2312" w:cs="宋体"/>
          <w:color w:val="000000"/>
          <w:kern w:val="0"/>
          <w:sz w:val="32"/>
          <w:szCs w:val="32"/>
          <w:lang w:val="zh-CN" w:eastAsia="zh-CN" w:bidi="ar-SA"/>
        </w:rPr>
        <w:t>年预决算在金川县政务网站进行公开</w:t>
      </w:r>
    </w:p>
    <w:p>
      <w:pPr>
        <w:widowControl/>
        <w:shd w:val="clear" w:color="auto" w:fill="FFFFFF"/>
        <w:spacing w:before="0" w:beforeAutospacing="0" w:after="0" w:afterAutospacing="0" w:line="351" w:lineRule="atLeast"/>
        <w:ind w:firstLine="538"/>
        <w:jc w:val="left"/>
        <w:rPr>
          <w:rFonts w:ascii="仿宋_GB2312" w:eastAsia="仿宋_GB2312" w:cs="宋体"/>
          <w:color w:val="000000"/>
          <w:kern w:val="0"/>
          <w:sz w:val="32"/>
          <w:szCs w:val="32"/>
          <w:lang w:val="en-US" w:eastAsia="zh-CN" w:bidi="ar-SA"/>
        </w:rPr>
      </w:pPr>
      <w:r>
        <w:rPr>
          <w:rFonts w:hint="eastAsia" w:ascii="仿宋_GB2312" w:eastAsia="仿宋_GB2312" w:cs="宋体"/>
          <w:color w:val="000000"/>
          <w:kern w:val="0"/>
          <w:sz w:val="32"/>
          <w:szCs w:val="32"/>
          <w:lang w:val="zh-CN" w:eastAsia="zh-CN" w:bidi="ar-SA"/>
        </w:rPr>
        <w:t>3.整体反馈情况：截止</w:t>
      </w:r>
      <w:r>
        <w:rPr>
          <w:rFonts w:hint="eastAsia" w:ascii="仿宋_GB2312" w:eastAsia="仿宋_GB2312" w:cs="宋体"/>
          <w:color w:val="000000"/>
          <w:kern w:val="0"/>
          <w:sz w:val="32"/>
          <w:szCs w:val="32"/>
          <w:lang w:val="en-US" w:eastAsia="zh-CN" w:bidi="ar-SA"/>
        </w:rPr>
        <w:t>2024年度，我单位的整体绩效评价得分96分，评价结果为优。</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四、评价结论及建议</w:t>
      </w:r>
    </w:p>
    <w:p>
      <w:pPr>
        <w:widowControl/>
        <w:adjustRightInd w:val="0"/>
        <w:snapToGrid w:val="0"/>
        <w:spacing w:line="480" w:lineRule="exact"/>
        <w:ind w:firstLine="720"/>
        <w:jc w:val="left"/>
        <w:rPr>
          <w:rFonts w:ascii="仿宋_GB2312" w:eastAsia="仿宋_GB2312" w:cs="仿宋_GB2312"/>
          <w:kern w:val="0"/>
          <w:sz w:val="32"/>
          <w:szCs w:val="32"/>
        </w:rPr>
      </w:pPr>
      <w:r>
        <w:rPr>
          <w:rFonts w:ascii="Times New Roman" w:hAnsi="Times New Roman" w:eastAsia="楷体_GB2312" w:cs="Times New Roman"/>
          <w:b/>
          <w:bCs/>
          <w:color w:val="000000"/>
          <w:kern w:val="0"/>
          <w:sz w:val="32"/>
          <w:szCs w:val="32"/>
          <w:shd w:val="clear" w:color="auto" w:fill="FFFFFF"/>
          <w:lang w:val="zh-CN"/>
        </w:rPr>
        <w:t>（一）评价结论。</w:t>
      </w:r>
      <w:r>
        <w:rPr>
          <w:rFonts w:hint="eastAsia" w:ascii="仿宋_GB2312" w:eastAsia="仿宋_GB2312" w:cs="仿宋_GB2312"/>
          <w:kern w:val="0"/>
          <w:sz w:val="32"/>
          <w:szCs w:val="32"/>
        </w:rPr>
        <w:t>我部2024年部门预算收支与年初预算基本一致，达到预期绩效目标。本次自评得分96分。</w:t>
      </w:r>
    </w:p>
    <w:p>
      <w:pPr>
        <w:widowControl/>
        <w:adjustRightInd w:val="0"/>
        <w:snapToGrid w:val="0"/>
        <w:spacing w:line="480" w:lineRule="exact"/>
        <w:ind w:firstLine="720"/>
        <w:jc w:val="left"/>
        <w:rPr>
          <w:rFonts w:ascii="仿宋_GB2312" w:eastAsia="仿宋_GB2312" w:cs="仿宋_GB2312"/>
          <w:kern w:val="0"/>
          <w:sz w:val="32"/>
          <w:szCs w:val="32"/>
        </w:rPr>
      </w:pPr>
      <w:r>
        <w:rPr>
          <w:rFonts w:ascii="Times New Roman" w:hAnsi="Times New Roman" w:eastAsia="楷体_GB2312" w:cs="Times New Roman"/>
          <w:b/>
          <w:bCs/>
          <w:color w:val="000000"/>
          <w:kern w:val="0"/>
          <w:sz w:val="32"/>
          <w:szCs w:val="32"/>
          <w:shd w:val="clear" w:color="auto" w:fill="FFFFFF"/>
          <w:lang w:val="zh-CN"/>
        </w:rPr>
        <w:t>（二）存在问题。</w:t>
      </w:r>
      <w:r>
        <w:rPr>
          <w:rFonts w:hint="eastAsia" w:ascii="仿宋_GB2312" w:eastAsia="仿宋_GB2312" w:cs="仿宋_GB2312"/>
          <w:kern w:val="0"/>
          <w:sz w:val="32"/>
          <w:szCs w:val="32"/>
        </w:rPr>
        <w:t>预算编制还需进一步细化，执行进度还需要进一步提升。</w:t>
      </w:r>
    </w:p>
    <w:p>
      <w:pPr>
        <w:widowControl/>
        <w:adjustRightInd w:val="0"/>
        <w:snapToGrid w:val="0"/>
        <w:spacing w:line="480" w:lineRule="exact"/>
        <w:ind w:firstLine="720"/>
        <w:jc w:val="left"/>
        <w:rPr>
          <w:rFonts w:ascii="仿宋_GB2312" w:eastAsia="仿宋_GB2312" w:cs="仿宋_GB2312"/>
          <w:kern w:val="0"/>
          <w:sz w:val="32"/>
          <w:szCs w:val="32"/>
        </w:rPr>
      </w:pPr>
      <w:r>
        <w:rPr>
          <w:rFonts w:ascii="Times New Roman" w:hAnsi="Times New Roman" w:eastAsia="楷体_GB2312" w:cs="Times New Roman"/>
          <w:b/>
          <w:bCs/>
          <w:color w:val="000000"/>
          <w:kern w:val="0"/>
          <w:sz w:val="32"/>
          <w:szCs w:val="32"/>
          <w:shd w:val="clear" w:color="auto" w:fill="FFFFFF"/>
          <w:lang w:val="zh-CN"/>
        </w:rPr>
        <w:t>（三）改进建议。</w:t>
      </w:r>
      <w:bookmarkStart w:id="56" w:name="_Hlk110546638"/>
      <w:r>
        <w:rPr>
          <w:rFonts w:hint="eastAsia" w:ascii="仿宋_GB2312" w:eastAsia="仿宋_GB2312" w:cs="仿宋_GB2312"/>
          <w:kern w:val="0"/>
          <w:sz w:val="32"/>
          <w:szCs w:val="32"/>
        </w:rPr>
        <w:t xml:space="preserve">1、遵循先有预算、后有支出的原则，加强财务管理和内部控制监督制度。严禁超预算和无预算安排支出，严格开支范围和标准，严格支出报销审核，不报销任何超范围、超标准的费用。 </w:t>
      </w:r>
      <w:r>
        <w:rPr>
          <w:rFonts w:hint="eastAsia" w:ascii="仿宋_GB2312" w:eastAsia="仿宋_GB2312" w:cs="仿宋_GB2312"/>
          <w:kern w:val="0"/>
          <w:sz w:val="32"/>
          <w:szCs w:val="32"/>
        </w:rPr>
        <w:br w:type="textWrapping"/>
      </w:r>
      <w:r>
        <w:rPr>
          <w:rFonts w:hint="eastAsia" w:ascii="仿宋_GB2312" w:eastAsia="仿宋_GB2312" w:cs="仿宋_GB2312"/>
          <w:kern w:val="0"/>
          <w:sz w:val="32"/>
          <w:szCs w:val="32"/>
        </w:rPr>
        <w:t xml:space="preserve">   2、严格控制“三公”经费。认真贯彻落实中央、省委省政府和县委县政府相关规定，严格“三公”经费支出的审核和审批，合理压缩“三公”经费支出。</w:t>
      </w:r>
    </w:p>
    <w:p>
      <w:pPr>
        <w:widowControl/>
        <w:adjustRightInd w:val="0"/>
        <w:snapToGrid w:val="0"/>
        <w:spacing w:line="578" w:lineRule="exact"/>
        <w:ind w:firstLine="640" w:firstLineChars="200"/>
        <w:contextualSpacing/>
        <w:jc w:val="left"/>
        <w:rPr>
          <w:rFonts w:ascii="仿宋_GB2312" w:eastAsia="仿宋_GB2312" w:cs="仿宋_GB2312"/>
          <w:kern w:val="0"/>
          <w:sz w:val="32"/>
          <w:szCs w:val="32"/>
        </w:rPr>
      </w:pPr>
      <w:r>
        <w:rPr>
          <w:rFonts w:hint="eastAsia" w:ascii="仿宋_GB2312" w:eastAsia="仿宋_GB2312" w:cs="仿宋_GB2312"/>
          <w:kern w:val="0"/>
          <w:sz w:val="32"/>
          <w:szCs w:val="32"/>
        </w:rPr>
        <w:t>3、提升资金支付进度，严格按照绩效评价体系要求，规范资金使用进度。</w:t>
      </w:r>
    </w:p>
    <w:bookmarkEnd w:id="56"/>
    <w:p>
      <w:pPr>
        <w:rPr>
          <w:rFonts w:ascii="仿宋" w:eastAsia="仿宋"/>
          <w:color w:val="000000"/>
        </w:rPr>
      </w:pPr>
    </w:p>
    <w:p>
      <w:pPr>
        <w:rPr>
          <w:rFonts w:ascii="仿宋" w:eastAsia="仿宋"/>
          <w:color w:val="000000"/>
        </w:rPr>
      </w:pPr>
    </w:p>
    <w:p>
      <w:pPr>
        <w:rPr>
          <w:rFonts w:ascii="仿宋" w:eastAsia="仿宋"/>
          <w:color w:val="000000"/>
        </w:rPr>
      </w:pPr>
    </w:p>
    <w:p>
      <w:pPr>
        <w:rPr>
          <w:rFonts w:ascii="仿宋" w:eastAsia="仿宋"/>
          <w:color w:val="000000"/>
        </w:rPr>
      </w:pPr>
    </w:p>
    <w:p>
      <w:pPr>
        <w:pStyle w:val="14"/>
        <w:rPr>
          <w:rFonts w:ascii="仿宋" w:eastAsia="仿宋"/>
          <w:color w:val="000000"/>
        </w:rPr>
      </w:pPr>
    </w:p>
    <w:p>
      <w:pPr>
        <w:rPr>
          <w:rFonts w:ascii="仿宋" w:eastAsia="仿宋"/>
          <w:color w:val="000000"/>
        </w:rPr>
      </w:pPr>
    </w:p>
    <w:p>
      <w:pPr>
        <w:pStyle w:val="14"/>
        <w:rPr>
          <w:rFonts w:ascii="仿宋" w:eastAsia="仿宋"/>
          <w:color w:val="000000"/>
        </w:rPr>
      </w:pPr>
    </w:p>
    <w:p>
      <w:pPr>
        <w:rPr>
          <w:rFonts w:ascii="仿宋" w:eastAsia="仿宋"/>
          <w:color w:val="000000"/>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s="仿宋_GB2312"/>
          <w:color w:val="000000"/>
          <w:kern w:val="0"/>
          <w:sz w:val="32"/>
          <w:szCs w:val="32"/>
          <w:highlight w:val="none"/>
          <w:shd w:val="clear" w:color="auto" w:fill="FFFFFF"/>
          <w:lang w:val="en-US" w:eastAsia="zh-CN"/>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pPr>
        <w:pStyle w:val="14"/>
        <w:rPr>
          <w:rFonts w:hint="eastAsia" w:ascii="仿宋_GB2312" w:eastAsia="仿宋_GB2312" w:cs="仿宋_GB2312"/>
          <w:color w:val="000000"/>
          <w:kern w:val="0"/>
          <w:sz w:val="32"/>
          <w:szCs w:val="32"/>
          <w:highlight w:val="none"/>
          <w:shd w:val="clear" w:color="auto" w:fill="FFFFFF"/>
          <w:lang w:val="en-US" w:eastAsia="zh-CN"/>
        </w:rPr>
      </w:pPr>
      <w:r>
        <w:rPr>
          <w:rFonts w:hint="eastAsia" w:ascii="仿宋_GB2312" w:eastAsia="仿宋_GB2312" w:cs="仿宋_GB2312"/>
          <w:color w:val="000000"/>
          <w:kern w:val="0"/>
          <w:sz w:val="32"/>
          <w:szCs w:val="32"/>
          <w:highlight w:val="none"/>
          <w:shd w:val="clear" w:color="auto" w:fill="FFFFFF"/>
          <w:lang w:val="en-US" w:eastAsia="zh-CN"/>
        </w:rPr>
        <w:t>附表：部门整体支出绩效目标完成情况自评表</w:t>
      </w:r>
    </w:p>
    <w:tbl>
      <w:tblPr>
        <w:tblStyle w:val="17"/>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9"/>
        <w:gridCol w:w="1347"/>
        <w:gridCol w:w="1273"/>
        <w:gridCol w:w="1100"/>
        <w:gridCol w:w="1145"/>
        <w:gridCol w:w="1289"/>
        <w:gridCol w:w="1058"/>
        <w:gridCol w:w="926"/>
        <w:gridCol w:w="1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9"/>
            <w:shd w:val="clear" w:color="auto" w:fill="auto"/>
            <w:noWrap/>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rPr>
              <w:t>部门整体绩效目标完成情况自评表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（202</w:t>
            </w:r>
            <w:r>
              <w:rPr>
                <w:rFonts w:hint="eastAsia" w:eastAsia="宋体"/>
                <w:color w:val="000000"/>
                <w:kern w:val="0"/>
                <w:sz w:val="21"/>
                <w:szCs w:val="21"/>
              </w:rPr>
              <w:t>4</w:t>
            </w:r>
            <w:r>
              <w:rPr>
                <w:rFonts w:eastAsia="宋体"/>
                <w:color w:val="000000"/>
                <w:kern w:val="0"/>
                <w:sz w:val="21"/>
                <w:szCs w:val="21"/>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noWrap/>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部门名称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hint="eastAsia" w:eastAsia="宋体"/>
                <w:color w:val="000000"/>
                <w:kern w:val="0"/>
                <w:sz w:val="21"/>
                <w:szCs w:val="21"/>
              </w:rPr>
              <w:t>中共金川县委宣传部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hint="eastAsia" w:eastAsia="宋体"/>
                <w:color w:val="000000"/>
                <w:kern w:val="0"/>
                <w:sz w:val="21"/>
                <w:szCs w:val="21"/>
              </w:rPr>
              <w:t>898.42</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hint="eastAsia" w:eastAsia="宋体"/>
                <w:color w:val="000000"/>
                <w:kern w:val="0"/>
                <w:sz w:val="21"/>
                <w:szCs w:val="21"/>
              </w:rPr>
              <w:t>898.42</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hint="eastAsia" w:eastAsia="宋体"/>
                <w:color w:val="000000"/>
                <w:kern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kern w:val="0"/>
                <w:sz w:val="21"/>
                <w:szCs w:val="21"/>
              </w:rPr>
            </w:pPr>
            <w:r>
              <w:rPr>
                <w:rFonts w:eastAsia="宋体"/>
                <w:color w:val="000000"/>
                <w:kern w:val="0"/>
                <w:sz w:val="21"/>
                <w:szCs w:val="21"/>
              </w:rPr>
              <w:t>年度总体</w:t>
            </w:r>
          </w:p>
          <w:p>
            <w:pPr>
              <w:widowControl/>
              <w:spacing w:line="300" w:lineRule="exact"/>
              <w:jc w:val="center"/>
              <w:textAlignment w:val="center"/>
              <w:rPr>
                <w:rFonts w:eastAsia="宋体"/>
                <w:color w:val="000000"/>
                <w:sz w:val="21"/>
                <w:szCs w:val="21"/>
              </w:rPr>
            </w:pPr>
            <w:r>
              <w:rPr>
                <w:rFonts w:eastAsia="宋体"/>
                <w:color w:val="000000"/>
                <w:kern w:val="0"/>
                <w:sz w:val="21"/>
                <w:szCs w:val="21"/>
              </w:rPr>
              <w:t>目标</w:t>
            </w:r>
          </w:p>
        </w:tc>
        <w:tc>
          <w:tcPr>
            <w:tcW w:w="9251"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eastAsia="宋体"/>
                <w:color w:val="000000"/>
                <w:sz w:val="21"/>
                <w:szCs w:val="21"/>
              </w:rPr>
            </w:pPr>
            <w:r>
              <w:rPr>
                <w:rFonts w:eastAsia="宋体"/>
                <w:color w:val="000000"/>
                <w:kern w:val="0"/>
                <w:sz w:val="21"/>
                <w:szCs w:val="21"/>
              </w:rPr>
              <w:t>组织、协调有关部门开展对外宣传工作，参与重大对外宣传活动；统筹协调全县意识形态工作，规划、组织与制作重点对外宣传品，制定对外新闻传播的计划；收集综合国内外信息；培训对外宣传干部，联络境外新闻媒体。拟定并组织全省精神文明建设总体规划；协调、指导各有关部门开展精神文明建设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kern w:val="0"/>
                <w:sz w:val="21"/>
                <w:szCs w:val="21"/>
              </w:rPr>
            </w:pPr>
            <w:r>
              <w:rPr>
                <w:rFonts w:eastAsia="宋体"/>
                <w:color w:val="000000"/>
                <w:kern w:val="0"/>
                <w:sz w:val="21"/>
                <w:szCs w:val="21"/>
              </w:rPr>
              <w:t>年度主要</w:t>
            </w:r>
          </w:p>
          <w:p>
            <w:pPr>
              <w:widowControl/>
              <w:spacing w:line="300" w:lineRule="exact"/>
              <w:jc w:val="center"/>
              <w:textAlignment w:val="center"/>
              <w:rPr>
                <w:rFonts w:eastAsia="宋体"/>
                <w:color w:val="000000"/>
                <w:sz w:val="21"/>
                <w:szCs w:val="21"/>
              </w:rPr>
            </w:pPr>
            <w:r>
              <w:rPr>
                <w:rFonts w:eastAsia="宋体"/>
                <w:color w:val="000000"/>
                <w:kern w:val="0"/>
                <w:sz w:val="21"/>
                <w:szCs w:val="21"/>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任务名称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70"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eastAsia="宋体"/>
                <w:color w:val="000000"/>
                <w:sz w:val="21"/>
                <w:szCs w:val="21"/>
              </w:rPr>
            </w:pPr>
            <w:r>
              <w:rPr>
                <w:rFonts w:eastAsia="宋体"/>
                <w:color w:val="000000"/>
                <w:kern w:val="0"/>
                <w:sz w:val="21"/>
                <w:szCs w:val="21"/>
              </w:rPr>
              <w:t>宣传部文化</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eastAsia="宋体"/>
                <w:color w:val="000000"/>
                <w:sz w:val="21"/>
                <w:szCs w:val="21"/>
              </w:rPr>
            </w:pPr>
            <w:r>
              <w:rPr>
                <w:rFonts w:eastAsia="宋体"/>
                <w:color w:val="000000"/>
                <w:kern w:val="0"/>
                <w:sz w:val="21"/>
                <w:szCs w:val="21"/>
              </w:rPr>
              <w:t>一、组织县委中心组理论学习研讨、党委秘书培训、政策宣讲、舆情信息报送等活动；组织实施宣传工作的政策、发展规划与计划；负责对外宣传、精神文明建设、新闻出版、调查研究宣传思想工作的发展政策法规及信息工作。二、负责分配本级宣传文化事业发展专项资金。三、文明生态村创建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eastAsia="宋体"/>
                <w:color w:val="000000"/>
                <w:sz w:val="21"/>
                <w:szCs w:val="21"/>
              </w:rPr>
              <w:t>其他宣传事务</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eastAsia="宋体"/>
                <w:color w:val="000000"/>
                <w:sz w:val="21"/>
                <w:szCs w:val="21"/>
              </w:rPr>
              <w:t>负责全县新闻队伍建设、新闻评奖、学术研讨、行业自律、维护权益、对外交流、组织全县新闻媒体工作；完成县委、政府交办开展的活动。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kern w:val="0"/>
                <w:sz w:val="21"/>
                <w:szCs w:val="21"/>
              </w:rPr>
            </w:pPr>
            <w:r>
              <w:rPr>
                <w:rFonts w:eastAsia="宋体"/>
                <w:color w:val="000000"/>
                <w:kern w:val="0"/>
                <w:sz w:val="21"/>
                <w:szCs w:val="21"/>
              </w:rPr>
              <w:t>年度绩效</w:t>
            </w:r>
          </w:p>
          <w:p>
            <w:pPr>
              <w:widowControl/>
              <w:spacing w:line="300" w:lineRule="exact"/>
              <w:jc w:val="center"/>
              <w:textAlignment w:val="center"/>
              <w:rPr>
                <w:rFonts w:eastAsia="宋体"/>
                <w:color w:val="000000"/>
                <w:sz w:val="21"/>
                <w:szCs w:val="21"/>
              </w:rPr>
            </w:pPr>
            <w:r>
              <w:rPr>
                <w:rFonts w:eastAsia="宋体"/>
                <w:color w:val="000000"/>
                <w:kern w:val="0"/>
                <w:sz w:val="21"/>
                <w:szCs w:val="21"/>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kern w:val="0"/>
                <w:sz w:val="21"/>
                <w:szCs w:val="21"/>
              </w:rPr>
            </w:pPr>
            <w:r>
              <w:rPr>
                <w:rFonts w:eastAsia="宋体"/>
                <w:color w:val="000000"/>
                <w:kern w:val="0"/>
                <w:sz w:val="21"/>
                <w:szCs w:val="21"/>
              </w:rPr>
              <w:t>绩效指标</w:t>
            </w:r>
          </w:p>
          <w:p>
            <w:pPr>
              <w:widowControl/>
              <w:spacing w:line="300" w:lineRule="exact"/>
              <w:jc w:val="center"/>
              <w:textAlignment w:val="center"/>
              <w:rPr>
                <w:rFonts w:eastAsia="宋体"/>
                <w:color w:val="000000"/>
                <w:sz w:val="21"/>
                <w:szCs w:val="21"/>
              </w:rPr>
            </w:pPr>
            <w:r>
              <w:rPr>
                <w:rFonts w:eastAsia="宋体"/>
                <w:color w:val="000000"/>
                <w:kern w:val="0"/>
                <w:sz w:val="21"/>
                <w:szCs w:val="21"/>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绩效度量单位</w:t>
            </w:r>
          </w:p>
        </w:tc>
        <w:tc>
          <w:tcPr>
            <w:tcW w:w="926" w:type="dxa"/>
            <w:tcBorders>
              <w:top w:val="single" w:color="000000" w:sz="4" w:space="0"/>
              <w:left w:val="single" w:color="000000" w:sz="4" w:space="0"/>
              <w:bottom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kern w:val="0"/>
                <w:sz w:val="21"/>
                <w:szCs w:val="21"/>
              </w:rPr>
            </w:pPr>
            <w:r>
              <w:rPr>
                <w:rFonts w:eastAsia="宋体"/>
                <w:color w:val="000000"/>
                <w:kern w:val="0"/>
                <w:sz w:val="21"/>
                <w:szCs w:val="21"/>
              </w:rPr>
              <w:t>实际完成</w:t>
            </w:r>
          </w:p>
          <w:p>
            <w:pPr>
              <w:widowControl/>
              <w:spacing w:line="300" w:lineRule="exact"/>
              <w:jc w:val="center"/>
              <w:textAlignment w:val="center"/>
              <w:rPr>
                <w:rFonts w:eastAsia="宋体"/>
                <w:color w:val="000000"/>
                <w:sz w:val="21"/>
                <w:szCs w:val="21"/>
              </w:rPr>
            </w:pPr>
            <w:r>
              <w:rPr>
                <w:rFonts w:eastAsia="宋体"/>
                <w:color w:val="000000"/>
                <w:kern w:val="0"/>
                <w:sz w:val="21"/>
                <w:szCs w:val="21"/>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eastAsia="宋体"/>
                <w:color w:val="000000"/>
                <w:sz w:val="21"/>
                <w:szCs w:val="21"/>
              </w:rPr>
            </w:pPr>
            <w:r>
              <w:rPr>
                <w:rFonts w:eastAsia="宋体"/>
                <w:color w:val="000000"/>
                <w:kern w:val="0"/>
                <w:sz w:val="21"/>
                <w:szCs w:val="21"/>
              </w:rPr>
              <w:t>科目调整次数</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eastAsia="宋体"/>
                <w:color w:val="000000"/>
                <w:sz w:val="21"/>
                <w:szCs w:val="21"/>
              </w:rPr>
            </w:pPr>
            <w:r>
              <w:rPr>
                <w:rFonts w:hint="eastAsia" w:eastAsia="宋体"/>
                <w:color w:val="000000"/>
                <w:kern w:val="0"/>
                <w:sz w:val="21"/>
                <w:szCs w:val="21"/>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eastAsia="宋体"/>
                <w:color w:val="000000"/>
                <w:sz w:val="21"/>
                <w:szCs w:val="21"/>
              </w:rPr>
            </w:pPr>
            <w:r>
              <w:rPr>
                <w:rFonts w:hint="eastAsia" w:eastAsia="宋体"/>
                <w:color w:val="000000"/>
                <w:kern w:val="0"/>
                <w:sz w:val="21"/>
                <w:szCs w:val="21"/>
              </w:rPr>
              <w:t>10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eastAsia="宋体"/>
                <w:color w:val="000000"/>
                <w:sz w:val="21"/>
                <w:szCs w:val="21"/>
              </w:rPr>
            </w:pPr>
            <w:r>
              <w:rPr>
                <w:rFonts w:hint="eastAsia" w:eastAsia="宋体"/>
                <w:color w:val="000000"/>
                <w:kern w:val="0"/>
                <w:sz w:val="21"/>
                <w:szCs w:val="21"/>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eastAsia="宋体"/>
                <w:color w:val="000000"/>
                <w:sz w:val="21"/>
                <w:szCs w:val="21"/>
              </w:rPr>
            </w:pPr>
            <w:r>
              <w:rPr>
                <w:rFonts w:hint="eastAsia" w:eastAsia="宋体"/>
                <w:color w:val="000000"/>
                <w:kern w:val="0"/>
                <w:sz w:val="21"/>
                <w:szCs w:val="21"/>
              </w:rPr>
              <w:t>10</w:t>
            </w:r>
          </w:p>
        </w:tc>
        <w:tc>
          <w:tcPr>
            <w:tcW w:w="1113" w:type="dxa"/>
            <w:tcBorders>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textAlignment w:val="center"/>
              <w:rPr>
                <w:rFonts w:eastAsia="宋体"/>
                <w:color w:val="000000"/>
                <w:sz w:val="21"/>
                <w:szCs w:val="21"/>
              </w:rPr>
            </w:pPr>
            <w:r>
              <w:rPr>
                <w:rFonts w:hint="eastAsia" w:eastAsia="宋体"/>
                <w:color w:val="000000"/>
                <w:kern w:val="0"/>
                <w:sz w:val="21"/>
                <w:szCs w:val="21"/>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eastAsia="宋体"/>
                <w:color w:val="000000"/>
                <w:sz w:val="21"/>
                <w:szCs w:val="21"/>
              </w:rPr>
              <w:t>人员经费足额保障率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hint="eastAsia" w:eastAsia="宋体"/>
                <w:color w:val="000000"/>
                <w:kern w:val="0"/>
                <w:sz w:val="21"/>
                <w:szCs w:val="21"/>
              </w:rPr>
              <w:t>质量</w:t>
            </w:r>
            <w:r>
              <w:rPr>
                <w:rFonts w:eastAsia="宋体"/>
                <w:color w:val="000000"/>
                <w:kern w:val="0"/>
                <w:sz w:val="21"/>
                <w:szCs w:val="21"/>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eastAsia="宋体"/>
                <w:color w:val="000000"/>
                <w:sz w:val="21"/>
                <w:szCs w:val="21"/>
              </w:rPr>
              <w:t>预算编制准确率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eastAsia="宋体"/>
                <w:color w:val="000000"/>
                <w:sz w:val="21"/>
                <w:szCs w:val="21"/>
              </w:rPr>
              <w:t>按时发放率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效益指标</w:t>
            </w:r>
          </w:p>
        </w:tc>
        <w:tc>
          <w:tcPr>
            <w:tcW w:w="1273"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00" w:lineRule="exact"/>
              <w:jc w:val="center"/>
              <w:rPr>
                <w:rFonts w:eastAsia="宋体"/>
                <w:color w:val="000000"/>
                <w:sz w:val="21"/>
                <w:szCs w:val="21"/>
              </w:rPr>
            </w:pPr>
          </w:p>
          <w:p>
            <w:pPr>
              <w:widowControl/>
              <w:spacing w:line="300" w:lineRule="exact"/>
              <w:jc w:val="center"/>
              <w:textAlignment w:val="center"/>
              <w:rPr>
                <w:rFonts w:eastAsia="宋体"/>
                <w:color w:val="000000"/>
                <w:sz w:val="21"/>
                <w:szCs w:val="21"/>
              </w:rPr>
            </w:pPr>
            <w:r>
              <w:rPr>
                <w:rFonts w:hint="eastAsia" w:eastAsia="宋体"/>
                <w:color w:val="000000"/>
                <w:sz w:val="21"/>
                <w:szCs w:val="21"/>
              </w:rPr>
              <w:t>经济效益指标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eastAsia="宋体"/>
                <w:color w:val="000000"/>
                <w:sz w:val="21"/>
                <w:szCs w:val="21"/>
              </w:rPr>
              <w:t>三公经费控制率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73" w:type="dxa"/>
            <w:tcBorders>
              <w:top w:val="single" w:color="auto" w:sz="4" w:space="0"/>
              <w:left w:val="single" w:color="000000" w:sz="4" w:space="0"/>
              <w:right w:val="single" w:color="000000" w:sz="4" w:space="0"/>
            </w:tcBorders>
            <w:shd w:val="clear" w:color="auto" w:fill="auto"/>
            <w:noWrap/>
            <w:vAlign w:val="center"/>
          </w:tcPr>
          <w:p>
            <w:pPr>
              <w:widowControl/>
              <w:spacing w:line="300" w:lineRule="exact"/>
              <w:jc w:val="center"/>
              <w:rPr>
                <w:rFonts w:eastAsia="宋体"/>
                <w:color w:val="000000"/>
                <w:sz w:val="21"/>
                <w:szCs w:val="21"/>
              </w:rPr>
            </w:pPr>
            <w:r>
              <w:rPr>
                <w:rFonts w:hint="eastAsia" w:eastAsia="宋体"/>
                <w:color w:val="000000"/>
                <w:sz w:val="21"/>
                <w:szCs w:val="21"/>
              </w:rPr>
              <w:t>经济效益指标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eastAsia="宋体"/>
                <w:color w:val="000000"/>
                <w:sz w:val="21"/>
                <w:szCs w:val="21"/>
              </w:rPr>
              <w:t>预算结余率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kern w:val="0"/>
                <w:sz w:val="21"/>
                <w:szCs w:val="21"/>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hint="eastAsia" w:eastAsia="宋体"/>
                <w:color w:val="000000"/>
                <w:sz w:val="21"/>
                <w:szCs w:val="21"/>
              </w:rPr>
              <w:t>经济效益指标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eastAsia="宋体"/>
                <w:color w:val="000000"/>
                <w:sz w:val="21"/>
                <w:szCs w:val="21"/>
              </w:rPr>
              <w:t>运转保障率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center"/>
              <w:textAlignment w:val="center"/>
              <w:rPr>
                <w:rFonts w:eastAsia="宋体"/>
                <w:color w:val="000000"/>
                <w:sz w:val="21"/>
                <w:szCs w:val="21"/>
              </w:rPr>
            </w:pPr>
            <w:r>
              <w:rPr>
                <w:rFonts w:eastAsia="宋体"/>
                <w:color w:val="000000"/>
                <w:kern w:val="0"/>
                <w:sz w:val="21"/>
                <w:szCs w:val="21"/>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eastAsia="宋体"/>
                <w:color w:val="000000"/>
                <w:sz w:val="21"/>
                <w:szCs w:val="21"/>
              </w:rPr>
              <w:t>群众满意度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99</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00" w:lineRule="exact"/>
              <w:jc w:val="left"/>
              <w:rPr>
                <w:rFonts w:eastAsia="宋体"/>
                <w:color w:val="000000"/>
                <w:sz w:val="21"/>
                <w:szCs w:val="21"/>
              </w:rPr>
            </w:pPr>
            <w:r>
              <w:rPr>
                <w:rFonts w:hint="eastAsia" w:eastAsia="宋体"/>
                <w:color w:val="000000"/>
                <w:sz w:val="21"/>
                <w:szCs w:val="21"/>
              </w:rPr>
              <w:t>99</w:t>
            </w:r>
          </w:p>
        </w:tc>
      </w:tr>
    </w:tbl>
    <w:p>
      <w:pPr>
        <w:widowControl/>
        <w:jc w:val="center"/>
        <w:rPr>
          <w:rFonts w:hint="eastAsia" w:ascii="Times New Roman" w:hAnsi="Times New Roman" w:eastAsia="黑体"/>
          <w:color w:val="auto"/>
          <w:sz w:val="44"/>
          <w:szCs w:val="44"/>
          <w:highlight w:val="none"/>
        </w:rPr>
      </w:pPr>
    </w:p>
    <w:p>
      <w:pPr>
        <w:widowControl/>
        <w:jc w:val="center"/>
        <w:rPr>
          <w:rFonts w:hint="eastAsia" w:ascii="Times New Roman" w:hAnsi="Times New Roman" w:eastAsia="黑体"/>
          <w:color w:val="auto"/>
          <w:sz w:val="44"/>
          <w:szCs w:val="44"/>
          <w:highlight w:val="none"/>
        </w:rPr>
      </w:pPr>
    </w:p>
    <w:p>
      <w:pPr>
        <w:widowControl/>
        <w:jc w:val="both"/>
        <w:rPr>
          <w:rFonts w:hint="eastAsia" w:ascii="Times New Roman" w:hAnsi="Times New Roman" w:eastAsia="黑体"/>
          <w:color w:val="auto"/>
          <w:sz w:val="44"/>
          <w:szCs w:val="44"/>
          <w:highlight w:val="none"/>
        </w:rPr>
      </w:pPr>
    </w:p>
    <w:p>
      <w:pPr>
        <w:widowControl/>
        <w:ind w:firstLine="2200" w:firstLineChars="500"/>
        <w:jc w:val="both"/>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1"/>
          <w:rFonts w:hint="eastAsia" w:ascii="Times New Roman" w:hAnsi="Times New Roman" w:eastAsia="黑体"/>
          <w:b w:val="0"/>
          <w:color w:val="auto"/>
          <w:highlight w:val="none"/>
        </w:rPr>
        <w:t>五部分 附表</w:t>
      </w:r>
      <w:bookmarkStart w:id="57" w:name="_Toc15396619"/>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7"/>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0"/>
      <w:r>
        <w:rPr>
          <w:rFonts w:hint="eastAsia" w:ascii="Times New Roman" w:hAnsi="Times New Roman" w:eastAsia="仿宋_GB2312" w:cs="仿宋_GB2312"/>
          <w:color w:val="auto"/>
          <w:sz w:val="32"/>
          <w:szCs w:val="32"/>
          <w:highlight w:val="none"/>
        </w:rPr>
        <w:t>二、收入决算表</w:t>
      </w:r>
      <w:bookmarkEnd w:id="58"/>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1"/>
      <w:r>
        <w:rPr>
          <w:rFonts w:hint="eastAsia" w:ascii="Times New Roman" w:hAnsi="Times New Roman" w:eastAsia="仿宋_GB2312" w:cs="仿宋_GB2312"/>
          <w:color w:val="auto"/>
          <w:sz w:val="32"/>
          <w:szCs w:val="32"/>
          <w:highlight w:val="none"/>
        </w:rPr>
        <w:t>三、支出决算表</w:t>
      </w:r>
      <w:bookmarkEnd w:id="59"/>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2"/>
      <w:r>
        <w:rPr>
          <w:rFonts w:hint="eastAsia" w:ascii="Times New Roman" w:hAnsi="Times New Roman" w:eastAsia="仿宋_GB2312" w:cs="仿宋_GB2312"/>
          <w:color w:val="auto"/>
          <w:sz w:val="32"/>
          <w:szCs w:val="32"/>
          <w:highlight w:val="none"/>
        </w:rPr>
        <w:t>四、财政拨款收入支出决算总表</w:t>
      </w:r>
      <w:bookmarkEnd w:id="60"/>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3"/>
      <w:r>
        <w:rPr>
          <w:rFonts w:hint="eastAsia" w:ascii="Times New Roman" w:hAnsi="Times New Roman" w:eastAsia="仿宋_GB2312" w:cs="仿宋_GB2312"/>
          <w:color w:val="auto"/>
          <w:sz w:val="32"/>
          <w:szCs w:val="32"/>
          <w:highlight w:val="none"/>
        </w:rPr>
        <w:t>五、财政拨款支出决算明细表</w:t>
      </w:r>
      <w:bookmarkEnd w:id="61"/>
      <w:bookmarkStart w:id="62" w:name="_Toc15396624"/>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2"/>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5"/>
      <w:r>
        <w:rPr>
          <w:rFonts w:hint="eastAsia" w:ascii="Times New Roman" w:hAnsi="Times New Roman" w:eastAsia="仿宋_GB2312" w:cs="仿宋_GB2312"/>
          <w:color w:val="auto"/>
          <w:sz w:val="32"/>
          <w:szCs w:val="32"/>
          <w:highlight w:val="none"/>
        </w:rPr>
        <w:t>七、一般公共预算财政拨款支出决算明细表</w:t>
      </w:r>
      <w:bookmarkEnd w:id="63"/>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6"/>
      <w:r>
        <w:rPr>
          <w:rFonts w:hint="eastAsia" w:ascii="Times New Roman" w:hAnsi="Times New Roman" w:eastAsia="仿宋_GB2312" w:cs="仿宋_GB2312"/>
          <w:color w:val="auto"/>
          <w:sz w:val="32"/>
          <w:szCs w:val="32"/>
          <w:highlight w:val="none"/>
        </w:rPr>
        <w:t>八、一般公共预算财政拨款基本支出决算表</w:t>
      </w:r>
      <w:bookmarkEnd w:id="64"/>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7"/>
      <w:r>
        <w:rPr>
          <w:rFonts w:hint="eastAsia" w:ascii="Times New Roman" w:hAnsi="Times New Roman" w:eastAsia="仿宋_GB2312" w:cs="仿宋_GB2312"/>
          <w:color w:val="auto"/>
          <w:sz w:val="32"/>
          <w:szCs w:val="32"/>
          <w:highlight w:val="none"/>
        </w:rPr>
        <w:t>九、一般公共预算财政拨款项目支出决算表</w:t>
      </w:r>
      <w:bookmarkEnd w:id="65"/>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8"/>
      <w:r>
        <w:rPr>
          <w:rFonts w:hint="eastAsia" w:ascii="Times New Roman" w:hAnsi="Times New Roman" w:eastAsia="仿宋_GB2312" w:cs="仿宋_GB2312"/>
          <w:color w:val="auto"/>
          <w:sz w:val="32"/>
          <w:szCs w:val="32"/>
          <w:highlight w:val="none"/>
        </w:rPr>
        <w:t>十、</w:t>
      </w:r>
      <w:bookmarkEnd w:id="66"/>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9"/>
      <w:r>
        <w:rPr>
          <w:rFonts w:hint="eastAsia" w:ascii="Times New Roman" w:hAnsi="Times New Roman" w:eastAsia="仿宋_GB2312" w:cs="仿宋_GB2312"/>
          <w:color w:val="auto"/>
          <w:sz w:val="32"/>
          <w:szCs w:val="32"/>
          <w:highlight w:val="none"/>
        </w:rPr>
        <w:t>十一、</w:t>
      </w:r>
      <w:bookmarkEnd w:id="67"/>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30"/>
      <w:r>
        <w:rPr>
          <w:rFonts w:hint="eastAsia" w:ascii="Times New Roman" w:hAnsi="Times New Roman" w:eastAsia="仿宋_GB2312" w:cs="仿宋_GB2312"/>
          <w:color w:val="auto"/>
          <w:sz w:val="32"/>
          <w:szCs w:val="32"/>
          <w:highlight w:val="none"/>
        </w:rPr>
        <w:t>十二、</w:t>
      </w:r>
      <w:bookmarkEnd w:id="68"/>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9" w:name="_Toc15396631"/>
      <w:r>
        <w:rPr>
          <w:rFonts w:hint="eastAsia" w:ascii="Times New Roman" w:hAnsi="Times New Roman" w:eastAsia="仿宋_GB2312" w:cs="仿宋_GB2312"/>
          <w:color w:val="auto"/>
          <w:sz w:val="32"/>
          <w:szCs w:val="32"/>
          <w:highlight w:val="none"/>
        </w:rPr>
        <w:t>十三、</w:t>
      </w:r>
      <w:bookmarkEnd w:id="69"/>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p/>
    <w:sectPr>
      <w:headerReference r:id="rId3" w:type="default"/>
      <w:footerReference r:id="rId4" w:type="default"/>
      <w:pgSz w:w="11906" w:h="16838"/>
      <w:pgMar w:top="1440" w:right="1800" w:bottom="1440" w:left="1800" w:header="851" w:footer="992" w:gutter="0"/>
      <w:pgNumType w:start="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9894600"/>
      <w:docPartList>
        <w:docPartGallery w:val="Quick Parts"/>
      </w:docPartList>
    </w:sdtPr>
    <w:sdtContent>
      <w:p>
        <w:pPr>
          <w:pStyle w:val="11"/>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1A0417"/>
    <w:multiLevelType w:val="singleLevel"/>
    <w:tmpl w:val="9C1A0417"/>
    <w:lvl w:ilvl="0" w:tentative="0">
      <w:start w:val="2"/>
      <w:numFmt w:val="decimal"/>
      <w:suff w:val="space"/>
      <w:lvlText w:val="%1."/>
      <w:lvlJc w:val="left"/>
      <w:pPr>
        <w:tabs>
          <w:tab w:val="left" w:pos="0"/>
        </w:tabs>
        <w:ind w:left="0" w:firstLine="0"/>
      </w:p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4">
    <w:nsid w:val="39077C2D"/>
    <w:multiLevelType w:val="multilevel"/>
    <w:tmpl w:val="39077C2D"/>
    <w:lvl w:ilvl="0" w:tentative="0">
      <w:start w:val="1"/>
      <w:numFmt w:val="decimal"/>
      <w:lvlText w:val="%1、"/>
      <w:lvlJc w:val="left"/>
      <w:pPr>
        <w:tabs>
          <w:tab w:val="left" w:pos="0"/>
        </w:tabs>
        <w:ind w:left="720" w:hanging="72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49CC52F5"/>
    <w:multiLevelType w:val="multilevel"/>
    <w:tmpl w:val="49CC52F5"/>
    <w:lvl w:ilvl="0" w:tentative="0">
      <w:start w:val="4"/>
      <w:numFmt w:val="japaneseCounting"/>
      <w:lvlText w:val="%1、"/>
      <w:lvlJc w:val="left"/>
      <w:pPr>
        <w:tabs>
          <w:tab w:val="left" w:pos="0"/>
        </w:tabs>
        <w:ind w:left="720" w:hanging="720"/>
      </w:pPr>
      <w:rPr>
        <w:rFonts w:hint="default"/>
        <w:color w:val="000000"/>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6">
    <w:nsid w:val="72AB6C06"/>
    <w:multiLevelType w:val="multilevel"/>
    <w:tmpl w:val="72AB6C06"/>
    <w:lvl w:ilvl="0" w:tentative="0">
      <w:start w:val="9"/>
      <w:numFmt w:val="japaneseCounting"/>
      <w:lvlText w:val="%1、"/>
      <w:lvlJc w:val="left"/>
      <w:pPr>
        <w:tabs>
          <w:tab w:val="left" w:pos="0"/>
        </w:tabs>
        <w:ind w:left="1288" w:hanging="720"/>
      </w:pPr>
      <w:rPr>
        <w:rFonts w:hint="default"/>
      </w:rPr>
    </w:lvl>
    <w:lvl w:ilvl="1" w:tentative="0">
      <w:start w:val="1"/>
      <w:numFmt w:val="lowerLetter"/>
      <w:lvlText w:val="%2)"/>
      <w:lvlJc w:val="left"/>
      <w:pPr>
        <w:tabs>
          <w:tab w:val="left" w:pos="0"/>
        </w:tabs>
        <w:ind w:left="1408" w:hanging="420"/>
      </w:pPr>
    </w:lvl>
    <w:lvl w:ilvl="2" w:tentative="0">
      <w:start w:val="1"/>
      <w:numFmt w:val="lowerRoman"/>
      <w:lvlText w:val="%3."/>
      <w:lvlJc w:val="right"/>
      <w:pPr>
        <w:tabs>
          <w:tab w:val="left" w:pos="0"/>
        </w:tabs>
        <w:ind w:left="1828" w:hanging="420"/>
      </w:pPr>
    </w:lvl>
    <w:lvl w:ilvl="3" w:tentative="0">
      <w:start w:val="1"/>
      <w:numFmt w:val="decimal"/>
      <w:lvlText w:val="%4."/>
      <w:lvlJc w:val="left"/>
      <w:pPr>
        <w:tabs>
          <w:tab w:val="left" w:pos="0"/>
        </w:tabs>
        <w:ind w:left="2248" w:hanging="420"/>
      </w:pPr>
    </w:lvl>
    <w:lvl w:ilvl="4" w:tentative="0">
      <w:start w:val="1"/>
      <w:numFmt w:val="lowerLetter"/>
      <w:lvlText w:val="%5)"/>
      <w:lvlJc w:val="left"/>
      <w:pPr>
        <w:tabs>
          <w:tab w:val="left" w:pos="0"/>
        </w:tabs>
        <w:ind w:left="2668" w:hanging="420"/>
      </w:pPr>
    </w:lvl>
    <w:lvl w:ilvl="5" w:tentative="0">
      <w:start w:val="1"/>
      <w:numFmt w:val="lowerRoman"/>
      <w:lvlText w:val="%6."/>
      <w:lvlJc w:val="right"/>
      <w:pPr>
        <w:tabs>
          <w:tab w:val="left" w:pos="0"/>
        </w:tabs>
        <w:ind w:left="3088" w:hanging="420"/>
      </w:pPr>
    </w:lvl>
    <w:lvl w:ilvl="6" w:tentative="0">
      <w:start w:val="1"/>
      <w:numFmt w:val="decimal"/>
      <w:lvlText w:val="%7."/>
      <w:lvlJc w:val="left"/>
      <w:pPr>
        <w:tabs>
          <w:tab w:val="left" w:pos="0"/>
        </w:tabs>
        <w:ind w:left="3508" w:hanging="420"/>
      </w:pPr>
    </w:lvl>
    <w:lvl w:ilvl="7" w:tentative="0">
      <w:start w:val="1"/>
      <w:numFmt w:val="lowerLetter"/>
      <w:lvlText w:val="%8)"/>
      <w:lvlJc w:val="left"/>
      <w:pPr>
        <w:tabs>
          <w:tab w:val="left" w:pos="0"/>
        </w:tabs>
        <w:ind w:left="3928" w:hanging="420"/>
      </w:pPr>
    </w:lvl>
    <w:lvl w:ilvl="8" w:tentative="0">
      <w:start w:val="1"/>
      <w:numFmt w:val="lowerRoman"/>
      <w:lvlText w:val="%9."/>
      <w:lvlJc w:val="right"/>
      <w:pPr>
        <w:tabs>
          <w:tab w:val="left" w:pos="0"/>
        </w:tabs>
        <w:ind w:left="4348" w:hanging="420"/>
      </w:pPr>
    </w:lvl>
  </w:abstractNum>
  <w:num w:numId="1">
    <w:abstractNumId w:val="2"/>
  </w:num>
  <w:num w:numId="2">
    <w:abstractNumId w:val="4"/>
  </w:num>
  <w:num w:numId="3">
    <w:abstractNumId w:val="5"/>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23270E1D"/>
    <w:rsid w:val="2B68425A"/>
    <w:rsid w:val="546D1E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1"/>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2"/>
    <w:uiPriority w:val="0"/>
    <w:pPr>
      <w:keepNext/>
      <w:keepLines/>
      <w:widowControl w:val="0"/>
      <w:spacing w:before="260" w:after="260" w:line="415" w:lineRule="auto"/>
      <w:outlineLvl w:val="1"/>
    </w:pPr>
    <w:rPr>
      <w:rFonts w:ascii="Cambria" w:hAnsi="Cambria"/>
      <w:b/>
      <w:bCs/>
      <w:sz w:val="32"/>
      <w:szCs w:val="32"/>
    </w:rPr>
  </w:style>
  <w:style w:type="paragraph" w:styleId="7">
    <w:name w:val="heading 3"/>
    <w:basedOn w:val="1"/>
    <w:next w:val="1"/>
    <w:uiPriority w:val="0"/>
    <w:pPr>
      <w:keepNext/>
      <w:keepLines/>
      <w:widowControl w:val="0"/>
      <w:spacing w:before="260" w:after="260" w:line="415" w:lineRule="auto"/>
      <w:outlineLvl w:val="2"/>
    </w:pPr>
    <w:rPr>
      <w:b/>
      <w:bCs/>
      <w:sz w:val="32"/>
      <w:szCs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footnote text"/>
    <w:basedOn w:val="1"/>
    <w:next w:val="3"/>
    <w:uiPriority w:val="0"/>
    <w:pPr>
      <w:snapToGrid w:val="0"/>
      <w:jc w:val="left"/>
    </w:pPr>
    <w:rPr>
      <w:sz w:val="18"/>
      <w:szCs w:val="18"/>
    </w:rPr>
  </w:style>
  <w:style w:type="paragraph" w:styleId="3">
    <w:name w:val="Body Text First Indent 2"/>
    <w:basedOn w:val="4"/>
    <w:uiPriority w:val="0"/>
    <w:pPr>
      <w:ind w:firstLine="200" w:firstLineChars="200"/>
    </w:pPr>
  </w:style>
  <w:style w:type="paragraph" w:styleId="4">
    <w:name w:val="Body Text Indent"/>
    <w:basedOn w:val="1"/>
    <w:next w:val="3"/>
    <w:qFormat/>
    <w:uiPriority w:val="0"/>
    <w:pPr>
      <w:spacing w:after="120"/>
      <w:ind w:left="200" w:leftChars="200"/>
    </w:pPr>
    <w:rPr>
      <w:rFonts w:ascii="仿宋_GB2312" w:hAnsi="仿宋_GB2312"/>
      <w:szCs w:val="32"/>
    </w:r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able of figures"/>
    <w:basedOn w:val="1"/>
    <w:next w:val="1"/>
    <w:qFormat/>
    <w:uiPriority w:val="0"/>
    <w:pPr>
      <w:ind w:left="400" w:leftChars="200" w:hanging="200" w:hangingChars="200"/>
    </w:pPr>
  </w:style>
  <w:style w:type="paragraph" w:styleId="15">
    <w:name w:val="toc 2"/>
    <w:basedOn w:val="1"/>
    <w:next w:val="1"/>
    <w:qFormat/>
    <w:uiPriority w:val="0"/>
    <w:pPr>
      <w:tabs>
        <w:tab w:val="right" w:leader="dot" w:pos="8296"/>
      </w:tabs>
      <w:ind w:left="200" w:leftChars="200"/>
    </w:pPr>
  </w:style>
  <w:style w:type="paragraph" w:styleId="16">
    <w:name w:val="Normal (Web)"/>
    <w:basedOn w:val="1"/>
    <w:qFormat/>
    <w:uiPriority w:val="0"/>
    <w:pPr>
      <w:widowControl/>
      <w:spacing w:before="100" w:beforeAutospacing="1" w:after="100" w:afterAutospacing="1"/>
      <w:jc w:val="left"/>
    </w:pPr>
    <w:rPr>
      <w:rFonts w:ascii="宋体" w:cs="宋体"/>
      <w:kern w:val="0"/>
      <w:sz w:val="24"/>
    </w:r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customStyle="1" w:styleId="21">
    <w:name w:val="heading 1 Char"/>
    <w:basedOn w:val="18"/>
    <w:link w:val="5"/>
    <w:qFormat/>
    <w:uiPriority w:val="0"/>
    <w:rPr>
      <w:rFonts w:ascii="Times New Roman" w:hAnsi="Times New Roman" w:eastAsia="宋体" w:cs="Times New Roman"/>
      <w:b/>
      <w:bCs/>
      <w:kern w:val="44"/>
      <w:sz w:val="44"/>
      <w:szCs w:val="44"/>
      <w:lang w:val="en-US" w:eastAsia="zh-CN" w:bidi="ar-SA"/>
    </w:rPr>
  </w:style>
  <w:style w:type="character" w:customStyle="1" w:styleId="22">
    <w:name w:val="heading 2 Char"/>
    <w:basedOn w:val="18"/>
    <w:link w:val="6"/>
    <w:qFormat/>
    <w:uiPriority w:val="0"/>
    <w:rPr>
      <w:rFonts w:ascii="Cambria" w:hAnsi="Cambria" w:eastAsia="宋体" w:cs="Times New Roman"/>
      <w:b/>
      <w:bCs/>
      <w:kern w:val="2"/>
      <w:sz w:val="32"/>
      <w:szCs w:val="32"/>
      <w:lang w:val="en-US" w:eastAsia="zh-CN" w:bidi="ar-SA"/>
    </w:rPr>
  </w:style>
  <w:style w:type="character" w:customStyle="1" w:styleId="23">
    <w:name w:val="Header Char"/>
    <w:basedOn w:val="18"/>
    <w:qFormat/>
    <w:uiPriority w:val="0"/>
    <w:rPr>
      <w:rFonts w:ascii="Times New Roman" w:hAnsi="Times New Roman"/>
      <w:sz w:val="18"/>
      <w:szCs w:val="18"/>
    </w:rPr>
  </w:style>
  <w:style w:type="character" w:customStyle="1" w:styleId="24">
    <w:name w:val="Footer Char"/>
    <w:basedOn w:val="18"/>
    <w:qFormat/>
    <w:uiPriority w:val="0"/>
    <w:rPr>
      <w:rFonts w:ascii="Times New Roman" w:hAnsi="Times New Roman"/>
      <w:sz w:val="18"/>
      <w:szCs w:val="18"/>
    </w:rPr>
  </w:style>
  <w:style w:type="character" w:customStyle="1" w:styleId="25">
    <w:name w:val="Body Text Char"/>
    <w:basedOn w:val="18"/>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5"/>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9">
    <w:name w:val="文档正文"/>
    <w:basedOn w:val="1"/>
    <w:qFormat/>
    <w:uiPriority w:val="0"/>
    <w:pPr>
      <w:adjustRightInd w:val="0"/>
      <w:spacing w:line="480" w:lineRule="atLeast"/>
      <w:textAlignment w:val="baseline"/>
    </w:pPr>
    <w:rPr>
      <w:rFonts w:ascii="Arial" w:hAnsi="Arial"/>
      <w:kern w:val="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2024年决算收支对比图</a:t>
            </a:r>
            <a:endParaRPr lang="zh-CN"/>
          </a:p>
        </c:rich>
      </c:tx>
      <c:layout/>
      <c:overlay val="0"/>
      <c:spPr>
        <a:noFill/>
        <a:ln>
          <a:noFill/>
        </a:ln>
      </c:spPr>
    </c:title>
    <c:autoTitleDeleted val="0"/>
    <c:plotArea>
      <c:layout/>
      <c:barChart>
        <c:barDir val="col"/>
        <c:grouping val="clustered"/>
        <c:varyColors val="0"/>
        <c:ser>
          <c:idx val="0"/>
          <c:order val="0"/>
          <c:tx>
            <c:strRef>
              <c:f>2024年决算收支对比图</c:f>
              <c:strCache>
                <c:ptCount val="1"/>
                <c:pt idx="0">
                  <c:v>2024年决算收支对比图</c:v>
                </c:pt>
              </c:strCache>
            </c:strRef>
          </c:tx>
          <c:spPr>
            <a:solidFill>
              <a:srgbClr val="4F81BD"/>
            </a:solidFill>
            <a:ln>
              <a:noFill/>
            </a:ln>
          </c:spPr>
          <c:invertIfNegative val="0"/>
          <c:dLbls>
            <c:dLbl>
              <c:idx val="0"/>
              <c:delete val="1"/>
            </c:dLbl>
            <c:dLbl>
              <c:idx val="1"/>
              <c:delete val="1"/>
            </c:dLbl>
            <c:dLbl>
              <c:idx val="2"/>
              <c:delete val="1"/>
            </c:dLbl>
            <c:dLbl>
              <c:idx val="3"/>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{"2024年度财政拨款收入","2023年度财政拨款收入","2024年度财政拨款支出","2023年度财政拨款支出"}</c:f>
              <c:strCache>
                <c:ptCount val="4"/>
                <c:pt idx="0">
                  <c:v>2024年度财政拨款收入</c:v>
                </c:pt>
                <c:pt idx="1">
                  <c:v>2023年度财政拨款收入</c:v>
                </c:pt>
                <c:pt idx="2">
                  <c:v>2024年度财政拨款支出</c:v>
                </c:pt>
                <c:pt idx="3">
                  <c:v>2023年度财政拨款支出</c:v>
                </c:pt>
              </c:strCache>
            </c:strRef>
          </c:cat>
          <c:val>
            <c:numRef>
              <c:f>{898.52,585.8,898.52,585.8}</c:f>
              <c:numCache>
                <c:formatCode>General</c:formatCode>
                <c:ptCount val="4"/>
                <c:pt idx="0">
                  <c:v>898.52</c:v>
                </c:pt>
                <c:pt idx="1">
                  <c:v>585.8</c:v>
                </c:pt>
                <c:pt idx="2">
                  <c:v>898.52</c:v>
                </c:pt>
                <c:pt idx="3">
                  <c:v>585.8</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dTable>
        <c:showHorzBorder val="1"/>
        <c:showVertBorder val="1"/>
        <c:showOutline val="1"/>
        <c:showKeys val="1"/>
        <c:spPr>
          <a:ln w="6350" cap="flat" cmpd="sng" algn="ctr">
            <a:solidFill>
              <a:srgbClr val="D9D9D9"/>
            </a:solidFill>
            <a:prstDash val="solid"/>
            <a:round/>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dTable>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2024年收入情况占比图</a:t>
            </a:r>
            <a:endParaRPr lang="zh-CN"/>
          </a:p>
        </c:rich>
      </c:tx>
      <c:layout/>
      <c:overlay val="0"/>
      <c:spPr>
        <a:noFill/>
        <a:ln>
          <a:noFill/>
        </a:ln>
      </c:spPr>
    </c:title>
    <c:autoTitleDeleted val="0"/>
    <c:plotArea>
      <c:layout/>
      <c:pieChart>
        <c:varyColors val="1"/>
        <c:ser>
          <c:idx val="0"/>
          <c:order val="0"/>
          <c:tx>
            <c:strRef>
              <c:f>2024年收入情况占比图</c:f>
              <c:strCache>
                <c:ptCount val="1"/>
                <c:pt idx="0">
                  <c:v>2024年收入情况占比图</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{"一般公共预算财政拨款收入","政府性基金预算财政拨款收入","国有资本经营预算财政拨款收入","事业收入","经营收入","附属单位上缴收入","其他收入"}</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{898.52,0.1,#N/A,#N/A,#N/A,#N/A,#N/A}</c:f>
              <c:numCache>
                <c:formatCode>General</c:formatCode>
                <c:ptCount val="7"/>
                <c:pt idx="0">
                  <c:v>898.52</c:v>
                </c:pt>
                <c:pt idx="1">
                  <c:v>0.1</c:v>
                </c:pt>
              </c:numCache>
            </c:numRef>
          </c:val>
        </c:ser>
        <c:dLbls>
          <c:showLegendKey val="0"/>
          <c:showVal val="0"/>
          <c:showCatName val="0"/>
          <c:showSerName val="0"/>
          <c:showPercent val="1"/>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2024年决算支出情况</a:t>
            </a:r>
            <a:endParaRPr lang="zh-CN"/>
          </a:p>
        </c:rich>
      </c:tx>
      <c:layout/>
      <c:overlay val="0"/>
      <c:spPr>
        <a:noFill/>
        <a:ln>
          <a:noFill/>
        </a:ln>
      </c:spPr>
    </c:title>
    <c:autoTitleDeleted val="0"/>
    <c:plotArea>
      <c:layout/>
      <c:pieChart>
        <c:varyColors val="1"/>
        <c:ser>
          <c:idx val="0"/>
          <c:order val="0"/>
          <c:tx>
            <c:strRef>
              <c:f>2024年决算支出情况</c:f>
              <c:strCache>
                <c:ptCount val="1"/>
                <c:pt idx="0">
                  <c:v>2024年决算支出情况</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{319.09,579.43,#N/A,#N/A,#N/A}</c:f>
              <c:numCache>
                <c:formatCode>General</c:formatCode>
                <c:ptCount val="5"/>
                <c:pt idx="0">
                  <c:v>319.09</c:v>
                </c:pt>
                <c:pt idx="1">
                  <c:v>579.43</c:v>
                </c:pt>
              </c:numCache>
            </c:numRef>
          </c:val>
        </c:ser>
        <c:dLbls>
          <c:showLegendKey val="0"/>
          <c:showVal val="0"/>
          <c:showCatName val="0"/>
          <c:showSerName val="0"/>
          <c:showPercent val="1"/>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2024年“三公”经费对比图</a:t>
            </a:r>
            <a:endParaRPr lang="zh-CN"/>
          </a:p>
        </c:rich>
      </c:tx>
      <c:layout/>
      <c:overlay val="0"/>
      <c:spPr>
        <a:noFill/>
        <a:ln>
          <a:noFill/>
        </a:ln>
      </c:spPr>
    </c:title>
    <c:autoTitleDeleted val="0"/>
    <c:plotArea>
      <c:layout/>
      <c:barChart>
        <c:barDir val="col"/>
        <c:grouping val="clustered"/>
        <c:varyColors val="0"/>
        <c:ser>
          <c:idx val="0"/>
          <c:order val="0"/>
          <c:tx>
            <c:strRef>
              <c:f>2024年“三公”经费对比图</c:f>
              <c:strCache>
                <c:ptCount val="1"/>
                <c:pt idx="0">
                  <c:v>2024年“三公”经费对比图</c:v>
                </c:pt>
              </c:strCache>
            </c:strRef>
          </c:tx>
          <c:spPr>
            <a:solidFill>
              <a:srgbClr val="4F81BD"/>
            </a:solidFill>
            <a:ln>
              <a:noFill/>
            </a:ln>
          </c:spPr>
          <c:invertIfNegative val="0"/>
          <c:dLbls>
            <c:dLbl>
              <c:idx val="0"/>
              <c:delete val="1"/>
            </c:dLbl>
            <c:dLbl>
              <c:idx val="1"/>
              <c:delete val="1"/>
            </c:dLbl>
            <c:dLbl>
              <c:idx val="2"/>
              <c:delete val="1"/>
            </c:dLbl>
            <c:dLbl>
              <c:idx val="3"/>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{"2024公务用车购置及运行维护费支出","2024公务接待费支出","2023公务用车购置及运行维护费支出","2023公务接待费支出"}</c:f>
              <c:strCache>
                <c:ptCount val="4"/>
                <c:pt idx="0">
                  <c:v>2024公务用车购置及运行维护费支出</c:v>
                </c:pt>
                <c:pt idx="1">
                  <c:v>2024公务接待费支出</c:v>
                </c:pt>
                <c:pt idx="2">
                  <c:v>2023公务用车购置及运行维护费支出</c:v>
                </c:pt>
                <c:pt idx="3">
                  <c:v>2023公务接待费支出</c:v>
                </c:pt>
              </c:strCache>
            </c:strRef>
          </c:cat>
          <c:val>
            <c:numRef>
              <c:f>{4,0.18,4,0.18}</c:f>
              <c:numCache>
                <c:formatCode>General</c:formatCode>
                <c:ptCount val="4"/>
                <c:pt idx="0">
                  <c:v>4</c:v>
                </c:pt>
                <c:pt idx="1">
                  <c:v>0.18</c:v>
                </c:pt>
                <c:pt idx="2">
                  <c:v>4</c:v>
                </c:pt>
                <c:pt idx="3">
                  <c:v>0.18</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dTable>
        <c:showHorzBorder val="1"/>
        <c:showVertBorder val="1"/>
        <c:showOutline val="1"/>
        <c:showKeys val="1"/>
        <c:spPr>
          <a:ln w="6350" cap="flat" cmpd="sng" algn="ctr">
            <a:solidFill>
              <a:srgbClr val="D9D9D9"/>
            </a:solidFill>
            <a:prstDash val="solid"/>
            <a:round/>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dTable>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21</Pages>
  <Words>7604</Words>
  <Characters>8427</Characters>
  <Lines>568</Lines>
  <Paragraphs>250</Paragraphs>
  <TotalTime>2</TotalTime>
  <ScaleCrop>false</ScaleCrop>
  <LinksUpToDate>false</LinksUpToDate>
  <CharactersWithSpaces>8509</CharactersWithSpaces>
  <Application>WPS Office_11.1.0.9912_F1E327BC-269C-435d-A152-05C5408002CA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2022-08-23T08:41:00Z</dcterms:created>
  <dc:creator>张彬茜</dc:creator>
  <cp:lastModifiedBy>Administrator</cp:lastModifiedBy>
  <cp:lastPrinted>2022-08-26T09:43:00Z</cp:lastPrinted>
  <dcterms:modified xsi:type="dcterms:W3CDTF">2025-08-14T02:40:46Z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7446358C982B43FBBF5486ACE152A102</vt:lpwstr>
  </property>
</Properties>
</file>