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360" w:lineRule="auto"/>
        <w:ind w:right="-1469" w:firstLineChars="350" w:firstLine="2520"/>
        <w:outlineLvl w:val="0"/>
        <w:rPr>
          <w:rFonts w:ascii="方正小标宋简体" w:eastAsia="方正小标宋简体"/>
          <w:color w:val="000000"/>
          <w:sz w:val="72"/>
          <w:szCs w:val="72"/>
        </w:rPr>
      </w:pPr>
      <w:bookmarkStart w:id="0" w:name="_Toc15396475"/>
      <w:bookmarkStart w:id="1" w:name="_Toc15378441"/>
      <w:bookmarkStart w:id="2" w:name="_Toc15396597"/>
      <w:bookmarkStart w:id="3" w:name="_Toc15377425"/>
      <w:bookmarkStart w:id="4" w:name="_Toc15377193"/>
      <w:bookmarkStart w:id="5" w:name="_Toc15377196"/>
      <w:bookmarkStart w:id="6" w:name="_Toc15396599"/>
      <w:r>
        <w:rPr>
          <w:rFonts w:ascii="黑体" w:eastAsia="黑体"/>
          <w:color w:val="000000"/>
          <w:sz w:val="72"/>
          <w:szCs w:val="72"/>
        </w:rPr>
        <w:t>20</w:t>
      </w:r>
      <w:r>
        <w:rPr>
          <w:rFonts w:ascii="黑体" w:eastAsia="黑体" w:hint="eastAsia"/>
          <w:color w:val="000000"/>
          <w:sz w:val="72"/>
          <w:szCs w:val="72"/>
        </w:rPr>
        <w:t>22</w:t>
      </w:r>
      <w:r>
        <w:rPr>
          <w:rFonts w:ascii="方正小标宋简体" w:eastAsia="方正小标宋简体" w:hint="eastAsia"/>
          <w:color w:val="000000"/>
          <w:sz w:val="72"/>
          <w:szCs w:val="72"/>
        </w:rPr>
        <w:t>年度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olor w:val="000000"/>
          <w:sz w:val="72"/>
          <w:szCs w:val="72"/>
        </w:rPr>
      </w:pPr>
      <w:bookmarkStart w:id="7" w:name="_Toc15377426"/>
      <w:bookmarkStart w:id="8" w:name="_Toc15396598"/>
      <w:bookmarkStart w:id="9" w:name="_Toc15378442"/>
      <w:bookmarkStart w:id="10" w:name="_Toc15396476"/>
      <w:bookmarkStart w:id="11" w:name="_Toc15306268"/>
      <w:bookmarkStart w:id="12" w:name="_Toc15377194"/>
      <w:r>
        <w:rPr>
          <w:rFonts w:ascii="方正小标宋简体" w:eastAsia="方正小标宋简体" w:hint="eastAsia"/>
          <w:color w:val="000000"/>
          <w:sz w:val="72"/>
          <w:szCs w:val="72"/>
        </w:rPr>
        <w:t>中共金川县委宣传部部门决算</w:t>
      </w:r>
      <w:bookmarkEnd w:id="7"/>
      <w:bookmarkEnd w:id="8"/>
      <w:bookmarkEnd w:id="9"/>
      <w:bookmarkEnd w:id="10"/>
      <w:bookmarkEnd w:id="11"/>
      <w:bookmarkEnd w:id="12"/>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0"/>
        <w:tabs>
          <w:tab w:val="right" w:leader="dot" w:pos="8296"/>
        </w:tabs>
        <w:rPr>
          <w:rFonts w:ascii="Times New Roman" w:hAnsi="Times New Roman"/>
        </w:rPr>
      </w:pPr>
      <w:r>
        <w:rPr>
          <w:rFonts w:ascii="Times New Roman" w:hAnsi="Times New Roman"/>
        </w:rPr>
        <w:t>公开时间：2023年8月23日</w:t>
      </w:r>
    </w:p>
    <w:p/>
    <w:p/>
    <w:p/>
    <w:p>
      <w:pPr>
        <w:pStyle w:val="20"/>
        <w:tabs>
          <w:tab w:val="right" w:leader="dot" w:pos="8296"/>
        </w:tabs>
        <w:rPr>
          <w:rFonts w:cs="Arial"/>
        </w:rPr>
      </w:pPr>
      <w:r>
        <w:fldChar w:fldCharType="begin"/>
      </w:r>
      <w:r>
        <w:instrText>Hyperlink \l "_Toc15396599"</w:instrText>
      </w:r>
      <w:r>
        <w:fldChar w:fldCharType="separate"/>
      </w:r>
      <w:r>
        <w:rPr>
          <w:rFonts w:hint="eastAsia"/>
        </w:rPr>
        <w:t>第一部分</w:t>
      </w:r>
      <w:r>
        <w:t xml:space="preserve"> </w:t>
      </w:r>
      <w:r>
        <w:rPr>
          <w:rFonts w:hint="eastAsia"/>
        </w:rPr>
        <w:t>部门概况</w:t>
      </w:r>
      <w:r>
        <w:tab/>
      </w:r>
      <w:r>
        <w:rPr>
          <w:rFonts w:hint="eastAsia"/>
        </w:rPr>
        <w:t>4</w:t>
      </w:r>
      <w:r>
        <w:fldChar w:fldCharType="end"/>
      </w:r>
    </w:p>
    <w:p>
      <w:pPr>
        <w:pStyle w:val="21"/>
        <w:tabs>
          <w:tab w:val="right" w:leader="dot" w:pos="8296"/>
        </w:tabs>
        <w:rPr>
          <w:rFonts w:ascii="仿宋" w:eastAsia="仿宋"/>
          <w:sz w:val="28"/>
          <w:szCs w:val="28"/>
        </w:rPr>
      </w:pPr>
      <w:r>
        <w:rPr>
          <w:rFonts w:ascii="仿宋" w:eastAsia="仿宋" w:hint="eastAsia"/>
          <w:sz w:val="28"/>
          <w:szCs w:val="28"/>
        </w:rPr>
        <w:t>一、基本职能及主要工作</w:t>
      </w:r>
      <w:r>
        <w:rPr>
          <w:rFonts w:ascii="仿宋" w:eastAsia="仿宋"/>
          <w:sz w:val="28"/>
          <w:szCs w:val="28"/>
        </w:rPr>
        <w:t>…………………………………………</w:t>
      </w:r>
      <w:r>
        <w:rPr>
          <w:rFonts w:ascii="仿宋" w:eastAsia="仿宋" w:hint="eastAsia"/>
          <w:sz w:val="28"/>
          <w:szCs w:val="28"/>
        </w:rPr>
        <w:t>..4</w:t>
      </w:r>
    </w:p>
    <w:p>
      <w:pPr>
        <w:pStyle w:val="16"/>
        <w:tabs>
          <w:tab w:val="right" w:leader="dot" w:pos="8296"/>
        </w:tabs>
        <w:rPr>
          <w:rFonts w:ascii="仿宋" w:eastAsia="仿宋"/>
          <w:sz w:val="28"/>
          <w:szCs w:val="28"/>
        </w:rPr>
      </w:pPr>
      <w:r>
        <w:rPr>
          <w:rFonts w:ascii="仿宋" w:eastAsia="仿宋" w:hint="eastAsia"/>
          <w:sz w:val="28"/>
          <w:szCs w:val="28"/>
        </w:rPr>
        <w:t>（一）主要职能</w:t>
      </w:r>
      <w:r>
        <w:rPr>
          <w:rFonts w:ascii="仿宋" w:eastAsia="仿宋"/>
          <w:sz w:val="28"/>
          <w:szCs w:val="28"/>
        </w:rPr>
        <w:t>………………………………………………</w:t>
      </w:r>
      <w:r>
        <w:rPr>
          <w:rFonts w:ascii="仿宋" w:eastAsia="仿宋" w:hint="eastAsia"/>
          <w:sz w:val="28"/>
          <w:szCs w:val="28"/>
        </w:rPr>
        <w:t>.</w:t>
      </w:r>
      <w:r>
        <w:rPr>
          <w:rFonts w:ascii="仿宋" w:eastAsia="仿宋"/>
          <w:sz w:val="28"/>
          <w:szCs w:val="28"/>
        </w:rPr>
        <w:t>…</w:t>
      </w:r>
      <w:r>
        <w:rPr>
          <w:rFonts w:ascii="仿宋" w:eastAsia="仿宋" w:hint="eastAsia"/>
          <w:sz w:val="28"/>
          <w:szCs w:val="28"/>
        </w:rPr>
        <w:t>4</w:t>
      </w:r>
    </w:p>
    <w:p>
      <w:pPr>
        <w:pStyle w:val="16"/>
        <w:tabs>
          <w:tab w:val="right" w:leader="dot" w:pos="8296"/>
        </w:tabs>
        <w:rPr>
          <w:rFonts w:ascii="仿宋" w:eastAsia="仿宋"/>
          <w:sz w:val="28"/>
          <w:szCs w:val="28"/>
        </w:rPr>
      </w:pPr>
      <w:r>
        <w:rPr>
          <w:rFonts w:ascii="仿宋" w:eastAsia="仿宋" w:hint="eastAsia"/>
          <w:sz w:val="28"/>
          <w:szCs w:val="28"/>
        </w:rPr>
        <w:t>（二）2022年重点工作完成情况</w:t>
      </w:r>
      <w:r>
        <w:rPr>
          <w:rFonts w:ascii="仿宋" w:eastAsia="仿宋"/>
          <w:sz w:val="28"/>
          <w:szCs w:val="28"/>
        </w:rPr>
        <w:t>……………………………</w:t>
      </w:r>
      <w:r>
        <w:rPr>
          <w:rFonts w:ascii="仿宋" w:eastAsia="仿宋" w:hint="eastAsia"/>
          <w:sz w:val="28"/>
          <w:szCs w:val="28"/>
        </w:rPr>
        <w:t>..4</w:t>
      </w:r>
      <w:r>
        <w:rPr>
          <w:rFonts w:ascii="仿宋" w:eastAsia="仿宋"/>
          <w:sz w:val="28"/>
          <w:szCs w:val="28"/>
        </w:rPr>
        <w:t xml:space="preserve"> </w:t>
      </w:r>
    </w:p>
    <w:p>
      <w:pPr>
        <w:pStyle w:val="21"/>
        <w:tabs>
          <w:tab w:val="right" w:leader="dot" w:pos="8296"/>
        </w:tabs>
        <w:rPr>
          <w:rFonts w:ascii="仿宋" w:eastAsia="仿宋" w:cs="Arial"/>
          <w:sz w:val="28"/>
          <w:szCs w:val="28"/>
        </w:rPr>
      </w:pPr>
      <w:r>
        <w:fldChar w:fldCharType="begin"/>
      </w:r>
      <w:r>
        <w:instrText>Hyperlink \l "_Toc15396601"</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5</w:t>
      </w:r>
      <w:r>
        <w:fldChar w:fldCharType="end"/>
      </w:r>
    </w:p>
    <w:p>
      <w:pPr>
        <w:pStyle w:val="20"/>
        <w:tabs>
          <w:tab w:val="right" w:leader="dot" w:pos="8296"/>
        </w:tabs>
      </w:pPr>
      <w:r>
        <w:fldChar w:fldCharType="begin"/>
      </w:r>
      <w:r>
        <w:instrText>Hyperlink \l "_Toc15396602"</w:instrText>
      </w:r>
      <w:r>
        <w:fldChar w:fldCharType="separate"/>
      </w:r>
      <w:r>
        <w:rPr>
          <w:rFonts w:hint="eastAsia"/>
        </w:rPr>
        <w:t>第二部分</w:t>
      </w:r>
      <w:r>
        <w:t xml:space="preserve"> </w:t>
      </w:r>
      <w:r>
        <w:rPr>
          <w:rFonts w:hint="eastAsia"/>
        </w:rPr>
        <w:t>部门决算情况说明</w:t>
      </w:r>
      <w:r>
        <w:tab/>
      </w:r>
      <w:r>
        <w:rPr>
          <w:rFonts w:hint="eastAsia"/>
        </w:rPr>
        <w:t>5</w:t>
      </w:r>
      <w:r>
        <w:fldChar w:fldCharType="end"/>
      </w:r>
    </w:p>
    <w:p>
      <w:pPr>
        <w:pStyle w:val="21"/>
        <w:tabs>
          <w:tab w:val="right" w:leader="dot" w:pos="8296"/>
        </w:tabs>
        <w:rPr>
          <w:rFonts w:ascii="仿宋" w:eastAsia="仿宋" w:cs="Arial"/>
          <w:sz w:val="28"/>
          <w:szCs w:val="28"/>
        </w:rPr>
      </w:pPr>
      <w:r>
        <w:fldChar w:fldCharType="begin"/>
      </w:r>
      <w:r>
        <w:instrText>Hyperlink \l "_Toc15396603"</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rPr>
        <w:t>6</w:t>
      </w:r>
      <w:r>
        <w:fldChar w:fldCharType="end"/>
      </w:r>
    </w:p>
    <w:p>
      <w:pPr>
        <w:pStyle w:val="21"/>
        <w:tabs>
          <w:tab w:val="right" w:leader="dot" w:pos="8296"/>
        </w:tabs>
        <w:rPr>
          <w:rFonts w:ascii="仿宋" w:eastAsia="仿宋" w:cs="Arial"/>
          <w:sz w:val="28"/>
          <w:szCs w:val="28"/>
        </w:rPr>
      </w:pPr>
      <w:r>
        <w:fldChar w:fldCharType="begin"/>
      </w:r>
      <w:r>
        <w:instrText>Hyperlink \l "_Toc15396604"</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t>6</w:t>
      </w:r>
      <w:r>
        <w:fldChar w:fldCharType="end"/>
      </w:r>
    </w:p>
    <w:p>
      <w:pPr>
        <w:pStyle w:val="21"/>
        <w:tabs>
          <w:tab w:val="right" w:leader="dot" w:pos="8296"/>
        </w:tabs>
      </w:pPr>
      <w:r>
        <w:fldChar w:fldCharType="begin"/>
      </w:r>
      <w:r>
        <w:instrText>Hyperlink \l "_Toc15396605"</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t>7</w:t>
      </w:r>
      <w:r>
        <w:fldChar w:fldCharType="end"/>
      </w:r>
    </w:p>
    <w:p>
      <w:pPr>
        <w:pStyle w:val="21"/>
        <w:tabs>
          <w:tab w:val="right" w:leader="dot" w:pos="8296"/>
        </w:tabs>
        <w:rPr>
          <w:rFonts w:ascii="仿宋" w:eastAsia="仿宋" w:cs="Arial"/>
          <w:sz w:val="28"/>
          <w:szCs w:val="28"/>
        </w:rPr>
      </w:pPr>
      <w:r>
        <w:fldChar w:fldCharType="begin"/>
      </w:r>
      <w:r>
        <w:instrText>Hyperlink \l "_Toc15396606"</w:instrText>
      </w:r>
      <w:r>
        <w:fldChar w:fldCharType="separate"/>
      </w:r>
      <w:r>
        <w:rPr>
          <w:rFonts w:ascii="仿宋" w:eastAsia="仿宋" w:hint="eastAsia"/>
          <w:sz w:val="28"/>
          <w:szCs w:val="28"/>
        </w:rPr>
        <w:t>四、财政拨款收入支出决算总体情况说明</w:t>
      </w:r>
      <w:r>
        <w:rPr>
          <w:rFonts w:ascii="仿宋" w:eastAsia="仿宋"/>
          <w:sz w:val="28"/>
          <w:szCs w:val="28"/>
        </w:rPr>
        <w:tab/>
      </w:r>
      <w:r>
        <w:rPr>
          <w:rFonts w:ascii="仿宋" w:eastAsia="仿宋" w:hint="eastAsia"/>
          <w:sz w:val="28"/>
          <w:szCs w:val="28"/>
        </w:rPr>
        <w:t>7</w:t>
      </w:r>
      <w:r>
        <w:fldChar w:fldCharType="end"/>
      </w:r>
    </w:p>
    <w:p>
      <w:pPr>
        <w:pStyle w:val="21"/>
        <w:tabs>
          <w:tab w:val="right" w:leader="dot" w:pos="8296"/>
        </w:tabs>
        <w:rPr>
          <w:rFonts w:ascii="仿宋" w:eastAsia="仿宋" w:cs="Arial"/>
          <w:sz w:val="28"/>
          <w:szCs w:val="28"/>
        </w:rPr>
      </w:pPr>
      <w:r>
        <w:fldChar w:fldCharType="begin"/>
      </w:r>
      <w:r>
        <w:instrText>Hyperlink \l "_Toc15396606"</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7</w:t>
      </w:r>
      <w:r>
        <w:fldChar w:fldCharType="end"/>
      </w:r>
    </w:p>
    <w:p>
      <w:pPr>
        <w:pStyle w:val="21"/>
        <w:tabs>
          <w:tab w:val="right" w:leader="dot" w:pos="8296"/>
        </w:tabs>
        <w:rPr>
          <w:rFonts w:ascii="仿宋" w:eastAsia="仿宋" w:cs="Arial"/>
          <w:sz w:val="28"/>
          <w:szCs w:val="28"/>
        </w:rPr>
      </w:pPr>
      <w:r>
        <w:fldChar w:fldCharType="begin"/>
      </w:r>
      <w:r>
        <w:instrText>Hyperlink \l "_Toc15396607"</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fldChar w:fldCharType="end"/>
      </w:r>
      <w:r>
        <w:rPr>
          <w:rFonts w:ascii="仿宋" w:eastAsia="仿宋" w:hint="eastAsia"/>
          <w:sz w:val="28"/>
          <w:szCs w:val="28"/>
        </w:rPr>
        <w:t>8</w:t>
      </w:r>
    </w:p>
    <w:p>
      <w:pPr>
        <w:pStyle w:val="21"/>
        <w:tabs>
          <w:tab w:val="right" w:leader="dot" w:pos="8296"/>
        </w:tabs>
        <w:rPr>
          <w:rFonts w:ascii="仿宋" w:eastAsia="仿宋" w:cs="Arial"/>
          <w:sz w:val="28"/>
          <w:szCs w:val="28"/>
        </w:rPr>
      </w:pPr>
      <w:r>
        <w:fldChar w:fldCharType="begin"/>
      </w:r>
      <w:r>
        <w:instrText>Hyperlink \l "_Toc15396608"</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9</w:t>
      </w:r>
      <w:r>
        <w:fldChar w:fldCharType="end"/>
      </w:r>
    </w:p>
    <w:p>
      <w:pPr>
        <w:pStyle w:val="21"/>
        <w:tabs>
          <w:tab w:val="right" w:leader="dot" w:pos="8296"/>
        </w:tabs>
        <w:rPr>
          <w:rFonts w:ascii="仿宋" w:eastAsia="仿宋" w:cs="Arial"/>
          <w:sz w:val="28"/>
          <w:szCs w:val="28"/>
        </w:rPr>
      </w:pPr>
      <w:r>
        <w:fldChar w:fldCharType="begin"/>
      </w:r>
      <w:r>
        <w:instrText>Hyperlink \l "_Toc15396609"</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1</w:t>
      </w:r>
    </w:p>
    <w:p>
      <w:pPr>
        <w:pStyle w:val="21"/>
        <w:tabs>
          <w:tab w:val="right" w:leader="dot" w:pos="8296"/>
        </w:tabs>
        <w:rPr>
          <w:rFonts w:ascii="仿宋" w:eastAsia="仿宋"/>
          <w:sz w:val="28"/>
          <w:szCs w:val="28"/>
        </w:rPr>
      </w:pPr>
      <w:r>
        <w:fldChar w:fldCharType="begin"/>
      </w:r>
      <w:r>
        <w:instrText>Hyperlink \l "_Toc15396610"</w:instrText>
      </w:r>
      <w:r>
        <w:fldChar w:fldCharType="separate"/>
      </w:r>
      <w:r>
        <w:rPr>
          <w:rFonts w:ascii="仿宋" w:eastAsia="仿宋" w:hint="eastAsia"/>
          <w:sz w:val="28"/>
          <w:szCs w:val="28"/>
        </w:rPr>
        <w:t>九、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1</w:t>
      </w:r>
    </w:p>
    <w:p>
      <w:pPr>
        <w:pStyle w:val="21"/>
        <w:tabs>
          <w:tab w:val="right" w:leader="dot" w:pos="8296"/>
        </w:tabs>
        <w:rPr>
          <w:rFonts w:ascii="仿宋" w:eastAsia="仿宋"/>
          <w:bCs/>
          <w:sz w:val="28"/>
          <w:szCs w:val="28"/>
        </w:rPr>
      </w:pPr>
      <w:r>
        <w:rPr>
          <w:rFonts w:ascii="仿宋" w:eastAsia="仿宋" w:hint="eastAsia"/>
          <w:bCs/>
          <w:sz w:val="28"/>
          <w:szCs w:val="28"/>
        </w:rPr>
        <w:t>十、其他重要事项的情况说明</w:t>
      </w:r>
      <w:r>
        <w:rPr>
          <w:rFonts w:ascii="仿宋" w:eastAsia="仿宋"/>
          <w:bCs/>
          <w:sz w:val="28"/>
          <w:szCs w:val="28"/>
        </w:rPr>
        <w:tab/>
      </w:r>
      <w:r>
        <w:rPr>
          <w:rFonts w:ascii="仿宋" w:eastAsia="仿宋" w:hint="eastAsia"/>
          <w:bCs/>
          <w:sz w:val="28"/>
          <w:szCs w:val="28"/>
        </w:rPr>
        <w:t>11</w:t>
      </w:r>
    </w:p>
    <w:p>
      <w:pPr>
        <w:pStyle w:val="16"/>
        <w:tabs>
          <w:tab w:val="right" w:leader="dot" w:pos="8296"/>
        </w:tabs>
        <w:ind w:leftChars="190" w:left="399"/>
        <w:rPr>
          <w:rFonts w:ascii="仿宋" w:eastAsia="仿宋"/>
          <w:bCs/>
          <w:sz w:val="28"/>
          <w:szCs w:val="28"/>
        </w:rPr>
      </w:pPr>
      <w:r>
        <w:rPr>
          <w:rFonts w:ascii="仿宋" w:eastAsia="仿宋" w:hint="eastAsia"/>
          <w:bCs/>
          <w:sz w:val="28"/>
          <w:szCs w:val="28"/>
        </w:rPr>
        <w:t>（一）机关运行经费支出情况</w:t>
        <w:tab/>
        <w:t>11</w:t>
      </w:r>
    </w:p>
    <w:p>
      <w:pPr>
        <w:pStyle w:val="16"/>
        <w:tabs>
          <w:tab w:val="right" w:leader="dot" w:pos="8296"/>
        </w:tabs>
        <w:ind w:leftChars="190" w:left="399"/>
        <w:rPr>
          <w:rFonts w:ascii="仿宋" w:eastAsia="仿宋"/>
          <w:bCs/>
          <w:sz w:val="28"/>
          <w:szCs w:val="28"/>
        </w:rPr>
      </w:pPr>
      <w:r>
        <w:rPr>
          <w:rFonts w:ascii="仿宋" w:eastAsia="仿宋" w:hint="eastAsia"/>
          <w:bCs/>
          <w:sz w:val="28"/>
          <w:szCs w:val="28"/>
        </w:rPr>
        <w:t>（二）政府采购支出情况</w:t>
        <w:tab/>
        <w:t>11</w:t>
      </w:r>
    </w:p>
    <w:p>
      <w:pPr>
        <w:pStyle w:val="16"/>
        <w:tabs>
          <w:tab w:val="right" w:leader="dot" w:pos="8296"/>
        </w:tabs>
        <w:ind w:leftChars="190" w:left="399"/>
        <w:rPr>
          <w:rFonts w:ascii="仿宋" w:eastAsia="仿宋"/>
          <w:bCs/>
          <w:sz w:val="28"/>
          <w:szCs w:val="28"/>
        </w:rPr>
      </w:pPr>
    </w:p>
    <w:p>
      <w:pPr>
        <w:pStyle w:val="16"/>
        <w:tabs>
          <w:tab w:val="right" w:leader="dot" w:pos="8296"/>
        </w:tabs>
        <w:ind w:leftChars="190" w:left="399"/>
        <w:rPr>
          <w:rFonts w:ascii="仿宋" w:eastAsia="仿宋"/>
          <w:bCs/>
          <w:sz w:val="28"/>
          <w:szCs w:val="28"/>
        </w:rPr>
      </w:pPr>
      <w:r>
        <w:rPr>
          <w:rFonts w:ascii="仿宋" w:eastAsia="仿宋" w:hint="eastAsia"/>
          <w:bCs/>
          <w:sz w:val="28"/>
          <w:szCs w:val="28"/>
        </w:rPr>
        <w:t>（三）国有资产占有使用情况</w:t>
        <w:tab/>
        <w:t>11</w:t>
      </w:r>
    </w:p>
    <w:p>
      <w:pPr>
        <w:pStyle w:val="16"/>
        <w:tabs>
          <w:tab w:val="right" w:leader="dot" w:pos="8296"/>
        </w:tabs>
        <w:ind w:leftChars="190" w:left="399"/>
        <w:rPr>
          <w:rFonts w:ascii="仿宋" w:eastAsia="仿宋"/>
          <w:bCs/>
          <w:sz w:val="28"/>
          <w:szCs w:val="28"/>
        </w:rPr>
      </w:pPr>
      <w:r>
        <w:rPr>
          <w:rFonts w:ascii="仿宋" w:eastAsia="仿宋" w:hint="eastAsia"/>
          <w:bCs/>
          <w:sz w:val="28"/>
          <w:szCs w:val="28"/>
        </w:rPr>
        <w:t>（四）预算绩效管理情况。</w:t>
      </w:r>
      <w:r>
        <w:rPr>
          <w:rFonts w:ascii="仿宋" w:eastAsia="仿宋"/>
          <w:bCs/>
          <w:sz w:val="28"/>
          <w:szCs w:val="28"/>
        </w:rPr>
        <w:tab/>
      </w:r>
      <w:r>
        <w:rPr>
          <w:rFonts w:ascii="仿宋" w:eastAsia="仿宋" w:hint="eastAsia"/>
          <w:bCs/>
          <w:sz w:val="28"/>
          <w:szCs w:val="28"/>
        </w:rPr>
        <w:t>11</w:t>
      </w:r>
    </w:p>
    <w:p>
      <w:pPr>
        <w:pStyle w:val="20"/>
        <w:tabs>
          <w:tab w:val="right" w:leader="dot" w:pos="8296"/>
        </w:tabs>
        <w:rPr>
          <w:bCs/>
        </w:rPr>
      </w:pPr>
      <w:r>
        <w:fldChar w:fldCharType="begin"/>
      </w:r>
      <w:r>
        <w:instrText>Hyperlink \l "_Toc15396613"</w:instrText>
      </w:r>
      <w:r>
        <w:fldChar w:fldCharType="separate"/>
      </w:r>
      <w:r>
        <w:rPr>
          <w:rFonts w:hint="eastAsia"/>
          <w:bCs/>
        </w:rPr>
        <w:t>第三部分 名词解释</w:t>
        <w:tab/>
      </w:r>
      <w:r>
        <w:fldChar w:fldCharType="end"/>
      </w:r>
      <w:r>
        <w:rPr>
          <w:rFonts w:hint="eastAsia"/>
          <w:bCs/>
        </w:rPr>
        <w:t>13</w:t>
      </w:r>
      <w:r>
        <w:rPr>
          <w:rFonts w:ascii="Times New Roman" w:hAnsi="Times New Roman"/>
        </w:rPr>
        <w:fldChar w:fldCharType="begin"/>
      </w:r>
      <w:r>
        <w:rPr>
          <w:rFonts w:ascii="Times New Roman" w:hAnsi="Times New Roman"/>
        </w:rPr>
        <w:instrText xml:space="preserve"> TOC \o "1-2" \h \u </w:instrText>
      </w:r>
      <w:r>
        <w:rPr>
          <w:rFonts w:ascii="Times New Roman" w:hAnsi="Times New Roman"/>
        </w:rPr>
        <w:fldChar w:fldCharType="separate"/>
      </w:r>
    </w:p>
    <w:p>
      <w:pPr>
        <w:pStyle w:val="20"/>
        <w:tabs>
          <w:tab w:val="right" w:leader="dot" w:pos="8296"/>
        </w:tabs>
        <w:adjustRightInd w:val="0"/>
        <w:snapToGrid w:val="0"/>
        <w:spacing w:before="0" w:line="440" w:lineRule="exact"/>
        <w:jc w:val="left"/>
        <w:rPr>
          <w:rFonts w:ascii="Times New Roman" w:hAnsi="Times New Roman"/>
          <w:sz w:val="24"/>
        </w:rPr>
      </w:pPr>
      <w:r>
        <w:fldChar w:fldCharType="begin"/>
      </w:r>
      <w:r>
        <w:instrText>Hyperlink \l "_Toc26843623"</w:instrText>
      </w:r>
      <w:r>
        <w:fldChar w:fldCharType="separate"/>
      </w:r>
      <w:r>
        <w:rPr>
          <w:rFonts w:ascii="Times New Roman" w:hAnsi="Times New Roman"/>
          <w:sz w:val="24"/>
        </w:rPr>
        <w:t>第</w:t>
      </w:r>
      <w:r>
        <w:rPr>
          <w:rFonts w:ascii="Times New Roman" w:hAnsi="Times New Roman"/>
          <w:bCs/>
          <w:sz w:val="24"/>
        </w:rPr>
        <w:t>四部分 附件</w:t>
      </w:r>
      <w:r>
        <w:rPr>
          <w:rFonts w:ascii="Times New Roman" w:hAnsi="Times New Roman"/>
          <w:sz w:val="24"/>
        </w:rPr>
        <w:tab/>
      </w:r>
      <w:r>
        <w:rPr>
          <w:rFonts w:ascii="Times New Roman" w:hAnsi="Times New Roman" w:hint="eastAsia"/>
          <w:sz w:val="24"/>
        </w:rPr>
        <w:t>16</w:t>
      </w:r>
      <w:r>
        <w:fldChar w:fldCharType="end"/>
      </w:r>
    </w:p>
    <w:p>
      <w:pPr>
        <w:pStyle w:val="20"/>
        <w:tabs>
          <w:tab w:val="right" w:leader="dot" w:pos="8296"/>
        </w:tabs>
        <w:adjustRightInd w:val="0"/>
        <w:snapToGrid w:val="0"/>
        <w:spacing w:before="0" w:line="440" w:lineRule="exact"/>
        <w:jc w:val="left"/>
        <w:rPr>
          <w:rFonts w:ascii="Times New Roman" w:hAnsi="Times New Roman"/>
          <w:sz w:val="24"/>
        </w:rPr>
      </w:pPr>
      <w:r>
        <w:fldChar w:fldCharType="begin"/>
      </w:r>
      <w:r>
        <w:instrText>Hyperlink \l "_Toc26843625"</w:instrText>
      </w:r>
      <w:r>
        <w:fldChar w:fldCharType="separate"/>
      </w:r>
      <w:r>
        <w:rPr>
          <w:rFonts w:ascii="Times New Roman" w:hAnsi="Times New Roman"/>
          <w:sz w:val="24"/>
        </w:rPr>
        <w:t>第</w:t>
      </w:r>
      <w:r>
        <w:rPr>
          <w:rFonts w:ascii="Times New Roman" w:hAnsi="Times New Roman"/>
          <w:bCs/>
          <w:sz w:val="24"/>
        </w:rPr>
        <w:t>五部分 附表</w:t>
      </w:r>
      <w:r>
        <w:rPr>
          <w:rFonts w:ascii="Times New Roman" w:hAnsi="Times New Roman"/>
          <w:sz w:val="24"/>
        </w:rPr>
        <w:tab/>
      </w:r>
      <w:r>
        <w:rPr>
          <w:rFonts w:ascii="Times New Roman" w:hAnsi="Times New Roman" w:hint="eastAsia"/>
          <w:sz w:val="24"/>
        </w:rPr>
        <w:t>20</w:t>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"_Toc26843626"</w:instrText>
      </w:r>
      <w:r>
        <w:fldChar w:fldCharType="separate"/>
      </w:r>
      <w:r>
        <w:rPr>
          <w:sz w:val="24"/>
        </w:rPr>
        <w:t>一、收</w:t>
      </w:r>
      <w:r>
        <w:rPr>
          <w:bCs/>
          <w:sz w:val="24"/>
        </w:rPr>
        <w:t>入支出决算总表</w:t>
      </w:r>
      <w:r>
        <w:rPr>
          <w:sz w:val="24"/>
        </w:rPr>
        <w:tab/>
      </w:r>
      <w:r>
        <w:rPr>
          <w:rFonts w:hint="eastAsia"/>
          <w:sz w:val="24"/>
        </w:rPr>
        <w:t>20</w:t>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"_Toc26843627"</w:instrText>
      </w:r>
      <w:r>
        <w:fldChar w:fldCharType="separate"/>
      </w:r>
      <w:r>
        <w:rPr>
          <w:sz w:val="24"/>
        </w:rPr>
        <w:t>二、收</w:t>
      </w:r>
      <w:r>
        <w:rPr>
          <w:bCs/>
          <w:sz w:val="24"/>
        </w:rPr>
        <w:t>入决算表</w:t>
      </w:r>
      <w:r>
        <w:rPr>
          <w:sz w:val="24"/>
        </w:rPr>
        <w:tab/>
      </w:r>
      <w:r>
        <w:rPr>
          <w:rFonts w:hint="eastAsia"/>
          <w:sz w:val="24"/>
        </w:rPr>
        <w:t>20</w:t>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"_Toc26843628"</w:instrText>
      </w:r>
      <w:r>
        <w:fldChar w:fldCharType="separate"/>
      </w:r>
      <w:r>
        <w:rPr>
          <w:bCs/>
          <w:sz w:val="24"/>
        </w:rPr>
        <w:t>三、</w:t>
      </w:r>
      <w:r>
        <w:rPr>
          <w:sz w:val="24"/>
        </w:rPr>
        <w:t>支</w:t>
      </w:r>
      <w:r>
        <w:rPr>
          <w:bCs/>
          <w:sz w:val="24"/>
        </w:rPr>
        <w:t>出决算表</w:t>
      </w:r>
      <w:r>
        <w:rPr>
          <w:sz w:val="24"/>
        </w:rPr>
        <w:tab/>
      </w:r>
      <w:r>
        <w:rPr>
          <w:rFonts w:hint="eastAsia"/>
          <w:sz w:val="24"/>
        </w:rPr>
        <w:t>20</w:t>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"_Toc26843629"</w:instrText>
      </w:r>
      <w:r>
        <w:fldChar w:fldCharType="separate"/>
      </w:r>
      <w:r>
        <w:rPr>
          <w:bCs/>
          <w:sz w:val="24"/>
        </w:rPr>
        <w:t>四、</w:t>
      </w:r>
      <w:r>
        <w:rPr>
          <w:sz w:val="24"/>
        </w:rPr>
        <w:t>财</w:t>
      </w:r>
      <w:r>
        <w:rPr>
          <w:bCs/>
          <w:sz w:val="24"/>
        </w:rPr>
        <w:t>政拨款收入支出决算总表</w:t>
      </w:r>
      <w:r>
        <w:rPr>
          <w:sz w:val="24"/>
        </w:rPr>
        <w:tab/>
      </w:r>
      <w:r>
        <w:rPr>
          <w:rFonts w:hint="eastAsia"/>
          <w:sz w:val="24"/>
        </w:rPr>
        <w:t>20</w:t>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"_Toc26843630"</w:instrText>
      </w:r>
      <w:r>
        <w:fldChar w:fldCharType="separate"/>
      </w:r>
      <w:r>
        <w:rPr>
          <w:bCs/>
          <w:sz w:val="24"/>
        </w:rPr>
        <w:t>五、</w:t>
      </w:r>
      <w:r>
        <w:rPr>
          <w:sz w:val="24"/>
        </w:rPr>
        <w:t>财</w:t>
      </w:r>
      <w:r>
        <w:rPr>
          <w:bCs/>
          <w:sz w:val="24"/>
        </w:rPr>
        <w:t>政拨款支出决算明细表</w:t>
      </w:r>
      <w:r>
        <w:rPr>
          <w:sz w:val="24"/>
        </w:rPr>
        <w:tab/>
      </w:r>
      <w:r>
        <w:rPr>
          <w:rFonts w:hint="eastAsia"/>
          <w:sz w:val="24"/>
        </w:rPr>
        <w:t>20</w:t>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"_Toc26843631"</w:instrText>
      </w:r>
      <w:r>
        <w:fldChar w:fldCharType="separate"/>
      </w:r>
      <w:r>
        <w:rPr>
          <w:bCs/>
          <w:sz w:val="24"/>
        </w:rPr>
        <w:t>六、</w:t>
      </w:r>
      <w:r>
        <w:rPr>
          <w:sz w:val="24"/>
        </w:rPr>
        <w:t>一</w:t>
      </w:r>
      <w:r>
        <w:rPr>
          <w:bCs/>
          <w:sz w:val="24"/>
        </w:rPr>
        <w:t>般公共预算财政拨款支出决算表</w:t>
      </w:r>
      <w:r>
        <w:rPr>
          <w:sz w:val="24"/>
        </w:rPr>
        <w:tab/>
      </w:r>
      <w:r>
        <w:rPr>
          <w:rFonts w:hint="eastAsia"/>
          <w:sz w:val="24"/>
        </w:rPr>
        <w:t>20</w:t>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"_Toc26843632"</w:instrText>
      </w:r>
      <w:r>
        <w:fldChar w:fldCharType="separate"/>
      </w:r>
      <w:r>
        <w:rPr>
          <w:bCs/>
          <w:sz w:val="24"/>
        </w:rPr>
        <w:t>七、</w:t>
      </w:r>
      <w:r>
        <w:rPr>
          <w:sz w:val="24"/>
        </w:rPr>
        <w:t>一</w:t>
      </w:r>
      <w:r>
        <w:rPr>
          <w:bCs/>
          <w:sz w:val="24"/>
        </w:rPr>
        <w:t>般公共预算财政拨款支出决算明细表</w:t>
      </w:r>
      <w:r>
        <w:rPr>
          <w:sz w:val="24"/>
        </w:rPr>
        <w:tab/>
      </w:r>
      <w:r>
        <w:rPr>
          <w:rFonts w:hint="eastAsia"/>
          <w:sz w:val="24"/>
        </w:rPr>
        <w:t>20</w:t>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"_Toc26843633"</w:instrText>
      </w:r>
      <w:r>
        <w:fldChar w:fldCharType="separate"/>
      </w:r>
      <w:r>
        <w:rPr>
          <w:bCs/>
          <w:sz w:val="24"/>
        </w:rPr>
        <w:t>八、</w:t>
      </w:r>
      <w:r>
        <w:rPr>
          <w:sz w:val="24"/>
        </w:rPr>
        <w:t>一</w:t>
      </w:r>
      <w:r>
        <w:rPr>
          <w:bCs/>
          <w:sz w:val="24"/>
        </w:rPr>
        <w:t>般公共预算财政拨款基本支出决算表</w:t>
      </w:r>
      <w:r>
        <w:rPr>
          <w:sz w:val="24"/>
        </w:rPr>
        <w:tab/>
      </w:r>
      <w:r>
        <w:rPr>
          <w:rFonts w:hint="eastAsia"/>
          <w:sz w:val="24"/>
        </w:rPr>
        <w:t>20</w:t>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"_Toc26843634"</w:instrText>
      </w:r>
      <w:r>
        <w:fldChar w:fldCharType="separate"/>
      </w:r>
      <w:r>
        <w:rPr>
          <w:bCs/>
          <w:sz w:val="24"/>
        </w:rPr>
        <w:t>九、</w:t>
      </w:r>
      <w:r>
        <w:rPr>
          <w:sz w:val="24"/>
        </w:rPr>
        <w:t>一</w:t>
      </w:r>
      <w:r>
        <w:rPr>
          <w:bCs/>
          <w:sz w:val="24"/>
        </w:rPr>
        <w:t>般公共预算财政拨款项目支出决算表</w:t>
      </w:r>
      <w:r>
        <w:rPr>
          <w:sz w:val="24"/>
        </w:rPr>
        <w:tab/>
      </w:r>
      <w:r>
        <w:rPr>
          <w:rFonts w:hint="eastAsia"/>
          <w:sz w:val="24"/>
        </w:rPr>
        <w:t>20</w:t>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"_Toc26843635"</w:instrText>
      </w:r>
      <w:r>
        <w:fldChar w:fldCharType="separate"/>
      </w:r>
      <w:r>
        <w:rPr>
          <w:bCs/>
          <w:sz w:val="24"/>
        </w:rPr>
        <w:t>十、</w:t>
      </w:r>
      <w:r>
        <w:rPr>
          <w:sz w:val="24"/>
        </w:rPr>
        <w:t>一</w:t>
      </w:r>
      <w:r>
        <w:rPr>
          <w:bCs/>
          <w:sz w:val="24"/>
        </w:rPr>
        <w:t>般公共预算财政拨款“三公”经费支出决算表</w:t>
      </w:r>
      <w:r>
        <w:rPr>
          <w:sz w:val="24"/>
        </w:rPr>
        <w:tab/>
      </w:r>
      <w:r>
        <w:rPr>
          <w:rFonts w:hint="eastAsia"/>
          <w:sz w:val="24"/>
        </w:rPr>
        <w:t>20</w:t>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"_Toc26843636"</w:instrText>
      </w:r>
      <w:r>
        <w:fldChar w:fldCharType="separate"/>
      </w:r>
      <w:r>
        <w:rPr>
          <w:bCs/>
          <w:sz w:val="24"/>
        </w:rPr>
        <w:t>十一、</w:t>
      </w:r>
      <w:r>
        <w:rPr>
          <w:sz w:val="24"/>
        </w:rPr>
        <w:t>政</w:t>
      </w:r>
      <w:r>
        <w:rPr>
          <w:bCs/>
          <w:sz w:val="24"/>
        </w:rPr>
        <w:t>府性基金预算财政拨款收入支出决算表</w:t>
      </w:r>
      <w:r>
        <w:rPr>
          <w:sz w:val="24"/>
        </w:rPr>
        <w:tab/>
      </w:r>
      <w:r>
        <w:rPr>
          <w:rFonts w:hint="eastAsia"/>
          <w:sz w:val="24"/>
        </w:rPr>
        <w:t>20</w:t>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"_Toc26843637"</w:instrText>
      </w:r>
      <w:r>
        <w:fldChar w:fldCharType="separate"/>
      </w:r>
      <w:r>
        <w:rPr>
          <w:bCs/>
          <w:sz w:val="24"/>
        </w:rPr>
        <w:t>十二、</w:t>
      </w:r>
      <w:r>
        <w:rPr>
          <w:sz w:val="24"/>
        </w:rPr>
        <w:t>国</w:t>
      </w:r>
      <w:r>
        <w:rPr>
          <w:bCs/>
          <w:sz w:val="24"/>
        </w:rPr>
        <w:t>有资本经营预算财政拨款收入支出决算表</w:t>
      </w:r>
      <w:r>
        <w:rPr>
          <w:sz w:val="24"/>
        </w:rPr>
        <w:tab/>
      </w:r>
      <w:r>
        <w:rPr>
          <w:rFonts w:hint="eastAsia"/>
          <w:sz w:val="24"/>
        </w:rPr>
        <w:t>20</w:t>
      </w:r>
      <w:r>
        <w:fldChar w:fldCharType="end"/>
      </w:r>
    </w:p>
    <w:p>
      <w:pPr>
        <w:pStyle w:val="21"/>
        <w:tabs>
          <w:tab w:val="right" w:leader="dot" w:pos="8296"/>
        </w:tabs>
        <w:adjustRightInd w:val="0"/>
        <w:snapToGrid w:val="0"/>
        <w:spacing w:line="440" w:lineRule="exact"/>
        <w:jc w:val="left"/>
      </w:pPr>
      <w:r>
        <w:fldChar w:fldCharType="begin"/>
      </w:r>
      <w:r>
        <w:instrText>Hyperlink \l "_Toc26843638"</w:instrText>
      </w:r>
      <w:r>
        <w:fldChar w:fldCharType="separate"/>
      </w:r>
      <w:r>
        <w:rPr>
          <w:bCs/>
          <w:sz w:val="24"/>
        </w:rPr>
        <w:t>十三、</w:t>
      </w:r>
      <w:r>
        <w:rPr>
          <w:sz w:val="24"/>
        </w:rPr>
        <w:t>国有资本经营预算财政拨款支出决算</w:t>
        <w:tab/>
      </w:r>
      <w:r>
        <w:rPr>
          <w:rFonts w:hint="eastAsia"/>
          <w:sz w:val="24"/>
        </w:rPr>
        <w:t>20</w:t>
      </w:r>
      <w:r>
        <w:fldChar w:fldCharType="end"/>
      </w:r>
    </w:p>
    <w:p/>
    <w:p/>
    <w:p/>
    <w:p>
      <w:pPr>
        <w:pStyle w:val="21"/>
        <w:tabs>
          <w:tab w:val="right" w:leader="dot" w:pos="8296"/>
        </w:tabs>
        <w:adjustRightInd w:val="0"/>
        <w:snapToGrid w:val="0"/>
        <w:spacing w:line="440" w:lineRule="exact"/>
        <w:jc w:val="left"/>
      </w:pPr>
      <w:r>
        <w:rPr>
          <w:sz w:val="24"/>
        </w:rPr>
        <w:t>表</w:t>
      </w:r>
      <w:r>
        <w:fldChar w:fldCharType="end"/>
      </w:r>
    </w:p>
    <w:p>
      <w:pPr>
        <w:pStyle w:val="21"/>
        <w:tabs>
          <w:tab w:val="right" w:leader="dot" w:pos="8296"/>
        </w:tabs>
        <w:ind w:leftChars="0" w:left="0" w:firstLine="0"/>
        <w:rPr>
          <w:rFonts w:ascii="仿宋" w:eastAsia="仿宋"/>
          <w:color w:val="000000"/>
          <w:sz w:val="24"/>
        </w:rPr>
      </w:pPr>
      <w:r>
        <w:rPr>
          <w:rFonts w:ascii="仿宋" w:eastAsia="仿宋"/>
          <w:color w:val="000000"/>
          <w:sz w:val="24"/>
        </w:rPr>
        <w:fldChar w:fldCharType="end"/>
      </w: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widowControl/>
        <w:jc w:val="left"/>
        <w:rPr>
          <w:rFonts w:ascii="黑体" w:eastAsia="黑体"/>
          <w:bCs/>
          <w:kern w:val="44"/>
          <w:sz w:val="44"/>
          <w:szCs w:val="44"/>
        </w:rPr>
      </w:pP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rPr>
        <w:t>部门概况</w:t>
      </w:r>
      <w:bookmarkEnd w:id="5"/>
      <w:bookmarkEnd w:id="6"/>
    </w:p>
    <w:p>
      <w:pPr>
        <w:pStyle w:val="2"/>
        <w:spacing w:before="0" w:after="0" w:line="240" w:lineRule="auto"/>
        <w:ind w:left="640" w:hangingChars="200" w:hanging="640"/>
        <w:rPr>
          <w:rStyle w:val="2Char"/>
          <w:rFonts w:ascii="黑体" w:eastAsia="黑体"/>
        </w:rPr>
      </w:pPr>
      <w:bookmarkStart w:id="13" w:name="_Toc15377197"/>
      <w:bookmarkStart w:id="14" w:name="_Toc15396600"/>
      <w:r>
        <w:rPr>
          <w:rFonts w:ascii="黑体" w:eastAsia="黑体" w:hint="eastAsia"/>
          <w:b w:val="0"/>
          <w:color w:val="000000"/>
        </w:rPr>
        <w:t>一、基</w:t>
      </w:r>
      <w:r>
        <w:rPr>
          <w:rStyle w:val="2Char"/>
          <w:rFonts w:ascii="黑体" w:eastAsia="黑体" w:hint="eastAsia"/>
        </w:rPr>
        <w:t>本职能及主要工作</w:t>
      </w:r>
      <w:bookmarkStart w:id="15" w:name="_Toc15378445"/>
      <w:bookmarkStart w:id="16" w:name="_Toc15377198"/>
      <w:bookmarkEnd w:id="13"/>
      <w:bookmarkEnd w:id="14"/>
    </w:p>
    <w:p>
      <w:pPr>
        <w:pStyle w:val="2"/>
        <w:spacing w:before="0" w:after="0" w:line="240" w:lineRule="auto"/>
        <w:ind w:leftChars="153" w:left="641" w:hangingChars="100" w:hanging="320"/>
        <w:rPr>
          <w:rFonts w:ascii="楷体" w:eastAsia="楷体" w:cs="楷体"/>
          <w:color w:val="000000"/>
        </w:rPr>
      </w:pPr>
      <w:r>
        <w:rPr>
          <w:rFonts w:ascii="楷体" w:eastAsia="楷体" w:cs="楷体" w:hint="eastAsia"/>
          <w:color w:val="000000"/>
        </w:rPr>
        <w:t>（一）主要职能</w:t>
      </w:r>
      <w:bookmarkStart w:id="17" w:name="_Toc15377199"/>
      <w:bookmarkStart w:id="18" w:name="_Toc15378446"/>
      <w:bookmarkEnd w:id="15"/>
      <w:bookmarkEnd w:id="16"/>
    </w:p>
    <w:p>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中共金川县委宣传部是县委组成部门。负责组织指导全县的理论研究、理论学习和理论宣传工作。负责引导社会舆论，指导协调县文体广新局电视台工作，负责从宏观上指导、协调精神产品的生产，联系县文体广新局。负责规划、不是全局性的思想政治工作任务，配合县委组织部做好党员教育工作，负责党员教育教材的编写；会同有关部门研究和改进群众思想教育工作。规划、部署、协调全县精神文明建设活动；规划、部署、协调全县对外文化交流工作。指导全县各级各类学校的德育、政治理论学习。制定全县宣传干部和有关宣传文化系统骨干的培训规划并组织实施；配合有关部门做好知识分子工作和理论、新闻、文艺等方面优秀人才的选</w:t>
      </w:r>
      <w:r>
        <w:rPr>
          <w:rFonts w:ascii="仿宋_GB2312" w:eastAsia="仿宋_GB2312"/>
          <w:sz w:val="32"/>
          <w:szCs w:val="32"/>
        </w:rPr>
        <w:t>拔</w:t>
      </w:r>
      <w:r>
        <w:rPr>
          <w:rFonts w:ascii="仿宋_GB2312" w:eastAsia="仿宋_GB2312" w:hint="eastAsia"/>
          <w:sz w:val="32"/>
          <w:szCs w:val="32"/>
        </w:rPr>
        <w:t>培养工作。负责提出宣传思想文化事业发展的指导意见；指导文化系统制定规章制度；按照县委工作部署，对宣传文化系统各部门之间的工作进行协调。备案监管已开通的网站，组织方互联网新闻宣传。</w:t>
      </w:r>
    </w:p>
    <w:p>
      <w:pPr>
        <w:pStyle w:val="2"/>
        <w:spacing w:before="0" w:after="0" w:line="240" w:lineRule="auto"/>
        <w:ind w:firstLineChars="100" w:firstLine="320"/>
        <w:rPr>
          <w:rFonts w:ascii="楷体" w:eastAsia="楷体" w:cs="楷体"/>
          <w:color w:val="000000"/>
        </w:rPr>
      </w:pPr>
      <w:r>
        <w:rPr>
          <w:rFonts w:ascii="楷体" w:eastAsia="楷体" w:cs="楷体" w:hint="eastAsia"/>
          <w:color w:val="000000"/>
        </w:rPr>
        <w:t>（二）2022年重点工作完成情况</w:t>
      </w:r>
      <w:bookmarkEnd w:id="17"/>
      <w:bookmarkEnd w:id="18"/>
    </w:p>
    <w:p>
      <w:pPr>
        <w:snapToGrid w:val="0"/>
        <w:spacing w:line="560" w:lineRule="exact"/>
        <w:ind w:firstLineChars="200" w:firstLine="640"/>
        <w:rPr>
          <w:rFonts w:eastAsia="仿宋_GB2312"/>
          <w:b/>
          <w:bCs/>
          <w:color w:val="000000"/>
          <w:sz w:val="32"/>
          <w:szCs w:val="32"/>
        </w:rPr>
      </w:pPr>
      <w:bookmarkStart w:id="19" w:name="_Toc15396601"/>
      <w:bookmarkStart w:id="20" w:name="_Toc15377200"/>
      <w:r>
        <w:rPr>
          <w:rFonts w:ascii="仿宋_GB2312" w:eastAsia="仿宋_GB2312" w:hint="eastAsia"/>
          <w:sz w:val="32"/>
          <w:szCs w:val="32"/>
        </w:rPr>
        <w:t>2022年，全县宣传思想文化战线突出学习宣传习近平新时代中国特色社会主义思想首要政治任务，紧扣学习宣传党的二十大、习近平总书记来川视察重要指示精神和省第十二次党代会工作主线，在守正中出实招、在创新中出奇招、在出彩中出绝招，推动宣传思想文化工作取得了新突破。一、坚定不移用习近平新时代中国特色社会主义思想武装头脑。二、抓好主流舆论引导。三、提高社会文明程度。四、推进文化高质量发展。五、防范化解意识形态领域风险。</w:t>
      </w:r>
    </w:p>
    <w:p>
      <w:pPr>
        <w:spacing w:line="578" w:lineRule="exact"/>
        <w:ind w:firstLineChars="200" w:firstLine="640"/>
        <w:rPr>
          <w:rStyle w:val="2Char"/>
          <w:b w:val="0"/>
          <w:bCs w:val="0"/>
        </w:rPr>
      </w:pPr>
      <w:r>
        <w:rPr>
          <w:rStyle w:val="2Char"/>
          <w:rFonts w:ascii="黑体" w:eastAsia="黑体" w:hint="eastAsia"/>
          <w:b w:val="0"/>
          <w:bCs w:val="0"/>
        </w:rPr>
        <w:t>二、机构设置</w:t>
      </w:r>
      <w:bookmarkEnd w:id="19"/>
      <w:bookmarkEnd w:id="20"/>
    </w:p>
    <w:p>
      <w:pPr>
        <w:snapToGrid w:val="0"/>
        <w:spacing w:line="520" w:lineRule="exact"/>
        <w:ind w:firstLineChars="200" w:firstLine="640"/>
        <w:rPr>
          <w:rFonts w:ascii="仿宋_GB2312" w:eastAsia="仿宋_GB2312"/>
          <w:sz w:val="32"/>
          <w:szCs w:val="32"/>
        </w:rPr>
      </w:pPr>
      <w:bookmarkStart w:id="21" w:name="_Toc15396602"/>
      <w:bookmarkStart w:id="22" w:name="_Toc15377204"/>
      <w:r>
        <w:rPr>
          <w:rFonts w:ascii="仿宋_GB2312" w:eastAsia="仿宋_GB2312" w:cs="仿宋_GB2312" w:hint="eastAsia"/>
          <w:sz w:val="32"/>
          <w:szCs w:val="32"/>
        </w:rPr>
        <w:t>2022年独立编制单位机构数为 1个</w:t>
      </w:r>
      <w:r>
        <w:rPr>
          <w:rFonts w:ascii="仿宋_GB2312" w:eastAsia="仿宋_GB2312" w:hint="eastAsia"/>
          <w:sz w:val="32"/>
          <w:szCs w:val="32"/>
        </w:rPr>
        <w:t>，</w:t>
      </w:r>
      <w:r>
        <w:rPr>
          <w:rFonts w:ascii="仿宋_GB2312" w:eastAsia="仿宋_GB2312" w:cs="仿宋_GB2312" w:hint="eastAsia"/>
          <w:sz w:val="32"/>
          <w:szCs w:val="32"/>
        </w:rPr>
        <w:t>财政供养人员编制为15名，其中行政编制6名，行政工勤编制1名,事业编制8名；2022年实际财政供养人员14人，与上年人数相等（不含退休人员），其中：行政6人、行政工勤1人、事业7人。</w:t>
      </w:r>
    </w:p>
    <w:p>
      <w:pPr>
        <w:pStyle w:val="1"/>
        <w:ind w:right="440"/>
        <w:jc w:val="right"/>
      </w:pPr>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rPr>
        <w:t>2022年度部门决算情况说明</w:t>
      </w:r>
      <w:bookmarkEnd w:id="21"/>
      <w:bookmarkEnd w:id="22"/>
    </w:p>
    <w:p>
      <w:pPr>
        <w:pStyle w:val="29"/>
        <w:numPr>
          <w:ilvl w:val="0"/>
          <w:numId w:val="1"/>
        </w:numPr>
        <w:ind w:left="0" w:firstLineChars="0" w:firstLine="0"/>
        <w:outlineLvl w:val="1"/>
        <w:rPr>
          <w:rStyle w:val="2Char"/>
          <w:rFonts w:ascii="黑体" w:eastAsia="黑体"/>
          <w:b w:val="0"/>
        </w:rPr>
      </w:pPr>
      <w:bookmarkStart w:id="23" w:name="_Toc15377205"/>
      <w:bookmarkStart w:id="24"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23"/>
      <w:bookmarkEnd w:id="24"/>
    </w:p>
    <w:p>
      <w:pPr>
        <w:pStyle w:val="29"/>
        <w:numPr>
          <w:ilvl w:val="0"/>
          <w:numId w:val="2"/>
        </w:numPr>
        <w:spacing w:line="600" w:lineRule="exact"/>
        <w:ind w:firstLineChars="0"/>
        <w:rPr>
          <w:rFonts w:ascii="仿宋_GB2312" w:eastAsia="仿宋_GB2312"/>
          <w:color w:val="000000"/>
          <w:sz w:val="32"/>
          <w:szCs w:val="32"/>
        </w:rPr>
      </w:pPr>
      <w:bookmarkStart w:id="25" w:name="_Toc15396604"/>
      <w:bookmarkStart w:id="26" w:name="_Toc15377206"/>
      <w:r>
        <w:rPr>
          <w:rFonts w:ascii="仿宋_GB2312" w:eastAsia="仿宋_GB2312" w:hint="eastAsia"/>
          <w:color w:val="000000"/>
          <w:sz w:val="32"/>
          <w:szCs w:val="32"/>
        </w:rPr>
        <w:t>2022年度财政拨款收入总决算472.92万元与2021年财政拨款收入总决算490.23万元相比收入减少17.31万元，减少3.53%。</w:t>
      </w:r>
    </w:p>
    <w:p>
      <w:pPr>
        <w:pStyle w:val="29"/>
        <w:numPr>
          <w:ilvl w:val="0"/>
          <w:numId w:val="2"/>
        </w:numPr>
        <w:spacing w:line="600" w:lineRule="exact"/>
        <w:ind w:firstLineChars="0"/>
        <w:rPr>
          <w:rFonts w:ascii="仿宋_GB2312" w:eastAsia="仿宋_GB2312"/>
          <w:color w:val="000000"/>
          <w:sz w:val="32"/>
          <w:szCs w:val="32"/>
        </w:rPr>
      </w:pPr>
      <w:r>
        <w:rPr>
          <w:rFonts w:ascii="仿宋_GB2312" w:eastAsia="仿宋_GB2312" w:hint="eastAsia"/>
          <w:color w:val="000000"/>
          <w:sz w:val="32"/>
          <w:szCs w:val="32"/>
        </w:rPr>
        <w:t>2022年度财政拨款支出总决算472.92万元与2021年财政拨款支出总决算732.75万元相比减少259.83万元减少35.46%。</w:t>
      </w:r>
    </w:p>
    <w:p>
      <w:pPr>
        <w:spacing w:line="600" w:lineRule="exact"/>
        <w:rPr>
          <w:rFonts w:ascii="仿宋_GB2312" w:eastAsia="仿宋_GB2312"/>
          <w:color w:val="000000"/>
          <w:sz w:val="32"/>
          <w:szCs w:val="32"/>
        </w:rPr>
      </w:pPr>
      <w:r>
        <w:drawing>
          <wp:anchor distT="0" distB="0" distL="114300" distR="114300" simplePos="0" relativeHeight="2" behindDoc="1" locked="0" layoutInCell="1" hidden="0" allowOverlap="1">
            <wp:simplePos x="0" y="0"/>
            <wp:positionH relativeFrom="column">
              <wp:posOffset>480695</wp:posOffset>
            </wp:positionH>
            <wp:positionV relativeFrom="paragraph">
              <wp:posOffset>278129</wp:posOffset>
            </wp:positionV>
            <wp:extent cx="4571998" cy="2743200"/>
            <wp:effectExtent l="0" t="0" r="0" b="0"/>
            <wp:wrapNone/>
            <wp:docPr id="1" name="图表 5"/>
            <wp:cNvGraphicFramePr>
              <a:graphicFrameLocks noChangeAspect="0"/>
            </wp:cNvGraphicFramePr>
            <a:graphic>
              <a:graphicData uri="http://schemas.openxmlformats.org/drawingml/2006/chart">
                <c:chart xmlns:c="http://schemas.openxmlformats.org/drawingml/2006/chart" r:id="rId4"/>
              </a:graphicData>
            </a:graphic>
          </wp:anchor>
        </w:drawing>
      </w: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Style w:val="2Char"/>
          <w:rFonts w:ascii="黑体" w:eastAsia="黑体"/>
          <w:b w:val="0"/>
        </w:rPr>
      </w:pPr>
      <w:r>
        <w:rPr>
          <w:rFonts w:ascii="黑体" w:eastAsia="黑体" w:hint="eastAsia"/>
          <w:color w:val="000000"/>
          <w:sz w:val="32"/>
          <w:szCs w:val="32"/>
        </w:rPr>
        <w:t>二、收入决</w:t>
      </w:r>
      <w:r>
        <w:rPr>
          <w:rStyle w:val="2Char"/>
          <w:rFonts w:ascii="黑体" w:eastAsia="黑体" w:hint="eastAsia"/>
          <w:b w:val="0"/>
        </w:rPr>
        <w:t>算情况说明</w:t>
      </w:r>
      <w:bookmarkEnd w:id="25"/>
      <w:bookmarkEnd w:id="26"/>
    </w:p>
    <w:p>
      <w:pPr>
        <w:spacing w:line="600" w:lineRule="exact"/>
        <w:ind w:firstLineChars="200" w:firstLine="640"/>
        <w:outlineLvl w:val="1"/>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22年总收入</w:t>
      </w:r>
      <w:r>
        <w:rPr>
          <w:rFonts w:ascii="仿宋_GB2312" w:eastAsia="仿宋_GB2312" w:hint="eastAsia"/>
          <w:color w:val="000000"/>
          <w:sz w:val="32"/>
          <w:szCs w:val="32"/>
        </w:rPr>
        <w:t>472.92</w:t>
      </w:r>
      <w:r>
        <w:rPr>
          <w:rFonts w:ascii="仿宋" w:eastAsia="仿宋" w:hint="eastAsia"/>
          <w:color w:val="000000"/>
          <w:sz w:val="32"/>
          <w:szCs w:val="32"/>
        </w:rPr>
        <w:t>万元，其中：一般公共预算财政拨款收入</w:t>
      </w:r>
      <w:r>
        <w:rPr>
          <w:rFonts w:ascii="仿宋_GB2312" w:eastAsia="仿宋_GB2312" w:hint="eastAsia"/>
          <w:color w:val="000000"/>
          <w:sz w:val="32"/>
          <w:szCs w:val="32"/>
        </w:rPr>
        <w:t>472.92</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Start w:id="27" w:name="_Toc15396605"/>
      <w:bookmarkStart w:id="28" w:name="_Toc15377207"/>
    </w:p>
    <w:p>
      <w:pPr>
        <w:spacing w:line="600" w:lineRule="exact"/>
        <w:ind w:firstLineChars="200" w:firstLine="420"/>
        <w:outlineLvl w:val="1"/>
        <w:rPr>
          <w:rFonts w:ascii="仿宋" w:eastAsia="仿宋"/>
          <w:color w:val="000000"/>
          <w:sz w:val="32"/>
          <w:szCs w:val="32"/>
        </w:rPr>
      </w:pPr>
      <w:r>
        <w:drawing>
          <wp:anchor distT="0" distB="0" distL="114300" distR="114300" simplePos="0" relativeHeight="4" behindDoc="1" locked="0" layoutInCell="1" hidden="0" allowOverlap="1">
            <wp:simplePos x="0" y="0"/>
            <wp:positionH relativeFrom="column">
              <wp:posOffset>405765</wp:posOffset>
            </wp:positionH>
            <wp:positionV relativeFrom="paragraph">
              <wp:posOffset>166370</wp:posOffset>
            </wp:positionV>
            <wp:extent cx="4572000" cy="2743200"/>
            <wp:effectExtent l="0" t="0" r="0" b="0"/>
            <wp:wrapNone/>
            <wp:docPr id="2" name="图表 6"/>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640"/>
        <w:outlineLvl w:val="1"/>
        <w:rPr>
          <w:rFonts w:ascii="仿宋" w:eastAsia="仿宋"/>
          <w:color w:val="000000"/>
          <w:sz w:val="32"/>
          <w:szCs w:val="32"/>
        </w:rPr>
      </w:pPr>
    </w:p>
    <w:p>
      <w:pPr>
        <w:spacing w:line="600" w:lineRule="exact"/>
        <w:ind w:firstLineChars="200" w:firstLine="640"/>
        <w:outlineLvl w:val="1"/>
        <w:rPr>
          <w:rFonts w:ascii="仿宋" w:eastAsia="仿宋"/>
          <w:color w:val="000000"/>
          <w:sz w:val="32"/>
          <w:szCs w:val="32"/>
        </w:rPr>
      </w:pPr>
    </w:p>
    <w:p>
      <w:pPr>
        <w:spacing w:line="600" w:lineRule="exact"/>
        <w:ind w:firstLineChars="200" w:firstLine="640"/>
        <w:outlineLvl w:val="1"/>
        <w:rPr>
          <w:rFonts w:ascii="仿宋" w:eastAsia="仿宋"/>
          <w:color w:val="000000"/>
          <w:sz w:val="32"/>
          <w:szCs w:val="32"/>
        </w:rPr>
      </w:pPr>
    </w:p>
    <w:p>
      <w:pPr>
        <w:spacing w:line="600" w:lineRule="exact"/>
        <w:ind w:firstLineChars="200" w:firstLine="640"/>
        <w:outlineLvl w:val="1"/>
        <w:rPr>
          <w:rFonts w:ascii="仿宋" w:eastAsia="仿宋"/>
          <w:color w:val="000000"/>
          <w:sz w:val="32"/>
          <w:szCs w:val="32"/>
        </w:rPr>
      </w:pPr>
    </w:p>
    <w:p>
      <w:pPr>
        <w:spacing w:line="600" w:lineRule="exact"/>
        <w:ind w:firstLineChars="200" w:firstLine="640"/>
        <w:outlineLvl w:val="1"/>
        <w:rPr>
          <w:rFonts w:ascii="仿宋" w:eastAsia="仿宋"/>
          <w:color w:val="000000"/>
          <w:sz w:val="32"/>
          <w:szCs w:val="32"/>
        </w:rPr>
      </w:pPr>
    </w:p>
    <w:p>
      <w:pPr>
        <w:spacing w:line="600" w:lineRule="exact"/>
        <w:ind w:firstLineChars="200" w:firstLine="640"/>
        <w:outlineLvl w:val="1"/>
        <w:rPr>
          <w:rFonts w:ascii="仿宋" w:eastAsia="仿宋"/>
          <w:color w:val="000000"/>
          <w:sz w:val="32"/>
          <w:szCs w:val="32"/>
        </w:rPr>
      </w:pPr>
    </w:p>
    <w:p>
      <w:pPr>
        <w:spacing w:line="600" w:lineRule="exact"/>
        <w:outlineLvl w:val="1"/>
        <w:rPr>
          <w:rStyle w:val="2Char"/>
          <w:rFonts w:ascii="仿宋" w:eastAsia="仿宋"/>
          <w:b w:val="0"/>
          <w:bCs w:val="0"/>
          <w:color w:val="000000"/>
        </w:rPr>
      </w:pPr>
      <w:r>
        <w:rPr>
          <w:rFonts w:ascii="黑体" w:eastAsia="黑体" w:hint="eastAsia"/>
          <w:color w:val="000000"/>
          <w:sz w:val="32"/>
          <w:szCs w:val="32"/>
        </w:rPr>
        <w:t>三、支出决</w:t>
      </w:r>
      <w:r>
        <w:rPr>
          <w:rStyle w:val="2Char"/>
          <w:rFonts w:ascii="黑体" w:eastAsia="黑体" w:hint="eastAsia"/>
          <w:b w:val="0"/>
        </w:rPr>
        <w:t>算情况说明</w:t>
      </w:r>
      <w:bookmarkEnd w:id="27"/>
      <w:bookmarkEnd w:id="28"/>
    </w:p>
    <w:p>
      <w:pPr>
        <w:spacing w:line="600" w:lineRule="exact"/>
        <w:ind w:firstLine="640"/>
        <w:rPr>
          <w:rFonts w:ascii="仿宋" w:eastAsia="仿宋"/>
          <w:color w:val="000000"/>
          <w:sz w:val="32"/>
          <w:szCs w:val="32"/>
        </w:rPr>
      </w:pPr>
      <w:r>
        <w:rPr>
          <w:rFonts w:ascii="仿宋" w:eastAsia="仿宋" w:hint="eastAsia"/>
          <w:color w:val="000000"/>
          <w:sz w:val="32"/>
          <w:szCs w:val="32"/>
        </w:rPr>
        <w:t>2022年本年总支出</w:t>
      </w:r>
      <w:r>
        <w:rPr>
          <w:rFonts w:ascii="仿宋_GB2312" w:eastAsia="仿宋_GB2312" w:hint="eastAsia"/>
          <w:color w:val="000000"/>
          <w:sz w:val="32"/>
          <w:szCs w:val="32"/>
        </w:rPr>
        <w:t>472.92</w:t>
      </w:r>
      <w:r>
        <w:rPr>
          <w:rFonts w:ascii="仿宋" w:eastAsia="仿宋" w:hint="eastAsia"/>
          <w:color w:val="000000"/>
          <w:sz w:val="32"/>
          <w:szCs w:val="32"/>
        </w:rPr>
        <w:t>万元，其中：基本支出305.57万元，占64.61%；项目支出167.35万元，占35.39%；上缴上级支出0万元，占0%；经营支出0万元，占0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r>
        <w:drawing>
          <wp:anchor distT="0" distB="0" distL="114300" distR="114300" simplePos="0" relativeHeight="6" behindDoc="1" locked="0" layoutInCell="1" hidden="0" allowOverlap="1">
            <wp:simplePos x="0" y="0"/>
            <wp:positionH relativeFrom="column">
              <wp:posOffset>363220</wp:posOffset>
            </wp:positionH>
            <wp:positionV relativeFrom="paragraph">
              <wp:posOffset>24130</wp:posOffset>
            </wp:positionV>
            <wp:extent cx="4572000" cy="2743200"/>
            <wp:effectExtent l="0" t="0" r="0" b="0"/>
            <wp:wrapNone/>
            <wp:docPr id="3" name="图表 7"/>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p>
    <w:p>
      <w:pPr>
        <w:spacing w:line="600" w:lineRule="exact"/>
        <w:rPr>
          <w:rFonts w:ascii="黑体" w:eastAsia="黑体"/>
          <w:color w:val="000000"/>
          <w:sz w:val="32"/>
          <w:szCs w:val="32"/>
        </w:rPr>
      </w:pPr>
      <w:bookmarkStart w:id="29" w:name="_Toc15396607"/>
      <w:bookmarkStart w:id="30" w:name="_Toc15377209"/>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pStyle w:val="29"/>
        <w:numPr>
          <w:ilvl w:val="0"/>
          <w:numId w:val="3"/>
        </w:numPr>
        <w:spacing w:line="600" w:lineRule="exact"/>
        <w:ind w:firstLineChars="0"/>
        <w:outlineLvl w:val="1"/>
        <w:rPr>
          <w:rStyle w:val="2Char"/>
          <w:rFonts w:ascii="黑体" w:eastAsia="黑体"/>
          <w:b w:val="0"/>
        </w:rPr>
      </w:pPr>
      <w:bookmarkStart w:id="31" w:name="_Toc15377208"/>
      <w:bookmarkStart w:id="32" w:name="_Toc15396606"/>
      <w:r>
        <w:rPr>
          <w:rFonts w:ascii="黑体" w:eastAsia="黑体" w:hint="eastAsia"/>
          <w:color w:val="000000"/>
          <w:sz w:val="32"/>
          <w:szCs w:val="32"/>
        </w:rPr>
        <w:t>财</w:t>
      </w:r>
      <w:r>
        <w:rPr>
          <w:rStyle w:val="2Char"/>
          <w:rFonts w:ascii="黑体" w:eastAsia="黑体" w:hint="eastAsia"/>
          <w:b w:val="0"/>
        </w:rPr>
        <w:t>政拨款收入支出决算总体情况说明</w:t>
      </w:r>
      <w:bookmarkEnd w:id="31"/>
      <w:bookmarkEnd w:id="32"/>
    </w:p>
    <w:p>
      <w:pPr>
        <w:pStyle w:val="29"/>
        <w:spacing w:line="600" w:lineRule="exact"/>
        <w:ind w:left="160" w:firstLineChars="100" w:firstLine="320"/>
        <w:rPr>
          <w:rFonts w:ascii="黑体" w:eastAsia="黑体"/>
          <w:color w:val="000000"/>
          <w:sz w:val="32"/>
          <w:szCs w:val="32"/>
        </w:rPr>
      </w:pPr>
      <w:r>
        <w:rPr>
          <w:rFonts w:ascii="仿宋_GB2312" w:eastAsia="仿宋_GB2312" w:hint="eastAsia"/>
          <w:color w:val="000000"/>
          <w:sz w:val="32"/>
          <w:szCs w:val="32"/>
        </w:rPr>
        <w:t xml:space="preserve"> 2022年度财政拨款收入总决算472.92万元与2021年财政拨款收入总决算490.23万元相比收入减少17.31万元，减少3.53%。减少原因为本年度项目资金减少，2022年度财政拨款支出总决算472.92万元与2020年财政拨款支出总决算732.75万元相比减少259.83万元，减少35.46%。减少原因为本年度项目资金减少。</w:t>
      </w:r>
    </w:p>
    <w:p>
      <w:pPr>
        <w:spacing w:line="600" w:lineRule="exact"/>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29"/>
      <w:bookmarkEnd w:id="30"/>
    </w:p>
    <w:p>
      <w:pPr>
        <w:spacing w:line="600" w:lineRule="exact"/>
        <w:outlineLvl w:val="2"/>
        <w:rPr>
          <w:rFonts w:ascii="仿宋" w:eastAsia="仿宋"/>
          <w:b/>
          <w:color w:val="000000"/>
          <w:sz w:val="32"/>
          <w:szCs w:val="32"/>
        </w:rPr>
      </w:pPr>
      <w:bookmarkStart w:id="33" w:name="_Toc15377210"/>
      <w:r>
        <w:rPr>
          <w:rFonts w:ascii="仿宋" w:eastAsia="仿宋" w:hint="eastAsia"/>
          <w:b/>
          <w:color w:val="000000"/>
          <w:sz w:val="32"/>
          <w:szCs w:val="32"/>
        </w:rPr>
        <w:t>（一）一般公共预算财政拨款支出决算总体情况</w:t>
      </w:r>
      <w:bookmarkEnd w:id="33"/>
    </w:p>
    <w:p>
      <w:pPr>
        <w:snapToGrid w:val="0"/>
        <w:spacing w:line="520" w:lineRule="exact"/>
        <w:ind w:firstLineChars="200" w:firstLine="640"/>
        <w:rPr>
          <w:rFonts w:ascii="仿宋_GB2312" w:eastAsia="仿宋_GB2312"/>
          <w:color w:val="FF0000"/>
          <w:spacing w:val="-2"/>
          <w:sz w:val="32"/>
          <w:szCs w:val="32"/>
        </w:rPr>
      </w:pPr>
      <w:r>
        <w:rPr>
          <w:rFonts w:ascii="仿宋" w:eastAsia="仿宋"/>
          <w:color w:val="000000"/>
          <w:sz w:val="32"/>
          <w:szCs w:val="32"/>
        </w:rPr>
        <w:t>20</w:t>
      </w:r>
      <w:r>
        <w:rPr>
          <w:rFonts w:ascii="仿宋" w:eastAsia="仿宋" w:hint="eastAsia"/>
          <w:color w:val="000000"/>
          <w:sz w:val="32"/>
          <w:szCs w:val="32"/>
        </w:rPr>
        <w:t>22年</w:t>
      </w:r>
      <w:r>
        <w:rPr>
          <w:rFonts w:ascii="仿宋_GB2312" w:eastAsia="仿宋_GB2312" w:hint="eastAsia"/>
          <w:spacing w:val="-2"/>
          <w:sz w:val="32"/>
          <w:szCs w:val="32"/>
        </w:rPr>
        <w:t>一般公共预算财政拨款支出</w:t>
      </w:r>
      <w:r>
        <w:rPr>
          <w:rFonts w:ascii="仿宋_GB2312" w:eastAsia="仿宋_GB2312" w:hint="eastAsia"/>
          <w:color w:val="000000"/>
          <w:sz w:val="32"/>
          <w:szCs w:val="32"/>
        </w:rPr>
        <w:t>472.92</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rPr>
        <w:t>21年相比，一般公共预算财政拨款</w:t>
      </w:r>
      <w:r>
        <w:rPr>
          <w:rFonts w:ascii="仿宋_GB2312" w:eastAsia="仿宋_GB2312" w:hint="eastAsia"/>
          <w:spacing w:val="-2"/>
          <w:sz w:val="32"/>
          <w:szCs w:val="32"/>
        </w:rPr>
        <w:t>支出减少259.83万元，减少35.46%。主要原因是</w:t>
      </w:r>
      <w:r>
        <w:rPr>
          <w:rFonts w:ascii="仿宋_GB2312" w:eastAsia="仿宋_GB2312" w:hint="eastAsia"/>
          <w:color w:val="000000"/>
          <w:sz w:val="32"/>
          <w:szCs w:val="32"/>
        </w:rPr>
        <w:t>本年度项目资金减少及2022年无财返资金支出</w:t>
      </w:r>
      <w:r>
        <w:rPr>
          <w:rFonts w:ascii="仿宋_GB2312" w:eastAsia="仿宋_GB2312" w:hint="eastAsia"/>
          <w:spacing w:val="-2"/>
          <w:sz w:val="32"/>
          <w:szCs w:val="32"/>
        </w:rPr>
        <w:t>。</w:t>
      </w:r>
    </w:p>
    <w:p>
      <w:pPr>
        <w:snapToGrid w:val="0"/>
        <w:spacing w:line="520" w:lineRule="exact"/>
        <w:rPr>
          <w:rFonts w:ascii="仿宋" w:eastAsia="仿宋"/>
          <w:b/>
          <w:color w:val="000000"/>
          <w:sz w:val="32"/>
          <w:szCs w:val="32"/>
        </w:rPr>
      </w:pPr>
      <w:bookmarkStart w:id="34" w:name="_Toc15377211"/>
      <w:r>
        <w:rPr>
          <w:rFonts w:ascii="仿宋" w:eastAsia="仿宋" w:hint="eastAsia"/>
          <w:b/>
          <w:color w:val="000000"/>
          <w:sz w:val="32"/>
          <w:szCs w:val="32"/>
        </w:rPr>
        <w:t>（二）一般公共预算财政拨款支出决算结构情况</w:t>
      </w:r>
      <w:bookmarkEnd w:id="34"/>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22年一般公共预算财政拨款支出</w:t>
      </w:r>
      <w:r>
        <w:rPr>
          <w:rFonts w:ascii="仿宋_GB2312" w:eastAsia="仿宋_GB2312" w:hint="eastAsia"/>
          <w:color w:val="000000"/>
          <w:sz w:val="32"/>
          <w:szCs w:val="32"/>
        </w:rPr>
        <w:t>472.92</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支出383.37万元，占81.06</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文化旅游体育与传媒支出</w:t>
      </w:r>
      <w:r>
        <w:rPr>
          <w:rFonts w:ascii="仿宋" w:eastAsia="仿宋" w:hint="eastAsia"/>
          <w:color w:val="000000"/>
          <w:sz w:val="32"/>
          <w:szCs w:val="32"/>
        </w:rPr>
        <w:t>（类）支出20.00万元，占4.23%；</w:t>
      </w:r>
      <w:r>
        <w:rPr>
          <w:rFonts w:ascii="仿宋" w:eastAsia="仿宋" w:hint="eastAsia"/>
          <w:b/>
          <w:color w:val="000000"/>
          <w:sz w:val="32"/>
          <w:szCs w:val="32"/>
        </w:rPr>
        <w:t>社会保障和就业（类）</w:t>
      </w:r>
      <w:r>
        <w:rPr>
          <w:rFonts w:ascii="仿宋" w:eastAsia="仿宋" w:hint="eastAsia"/>
          <w:color w:val="000000"/>
          <w:sz w:val="32"/>
          <w:szCs w:val="32"/>
        </w:rPr>
        <w:t>支出35.12万元，占7.43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color w:val="000000"/>
          <w:sz w:val="32"/>
          <w:szCs w:val="32"/>
        </w:rPr>
        <w:t>13.88万元，占2.93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rPr>
        <w:t>20.54万元，占4.35</w:t>
      </w:r>
      <w:r>
        <w:rPr>
          <w:rFonts w:ascii="仿宋" w:eastAsia="仿宋"/>
          <w:color w:val="000000"/>
          <w:sz w:val="32"/>
          <w:szCs w:val="32"/>
        </w:rPr>
        <w:t>%</w:t>
      </w:r>
      <w:r>
        <w:rPr>
          <w:rFonts w:ascii="仿宋" w:eastAsia="仿宋" w:hint="eastAsia"/>
          <w:color w:val="000000"/>
          <w:sz w:val="32"/>
          <w:szCs w:val="32"/>
        </w:rPr>
        <w:t>。</w:t>
      </w:r>
      <w:bookmarkStart w:id="35" w:name="_Toc15377444"/>
      <w:bookmarkStart w:id="36" w:name="_Toc15378460"/>
      <w:bookmarkStart w:id="37" w:name="_Toc15377213"/>
    </w:p>
    <w:p>
      <w:pPr>
        <w:spacing w:line="600" w:lineRule="exact"/>
        <w:outlineLvl w:val="2"/>
        <w:rPr>
          <w:rFonts w:ascii="仿宋" w:eastAsia="仿宋"/>
          <w:b/>
          <w:color w:val="000000"/>
          <w:sz w:val="32"/>
          <w:szCs w:val="32"/>
        </w:rPr>
      </w:pPr>
      <w:bookmarkStart w:id="38" w:name="_Toc15377212"/>
      <w:r>
        <w:rPr>
          <w:rFonts w:ascii="仿宋" w:eastAsia="仿宋" w:hint="eastAsia"/>
          <w:b/>
          <w:color w:val="000000"/>
          <w:sz w:val="32"/>
          <w:szCs w:val="32"/>
        </w:rPr>
        <w:t>（三）一般公共预算财政拨款支出决算具体情况</w:t>
      </w:r>
      <w:bookmarkEnd w:id="38"/>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2022年一般公共预算年初预算数为238.10万元，支出决算数为472.92万元，完</w:t>
      </w:r>
      <w:r>
        <w:rPr>
          <w:rStyle w:val="23"/>
          <w:rFonts w:ascii="仿宋" w:eastAsia="仿宋" w:hint="eastAsia"/>
          <w:b w:val="0"/>
          <w:bCs/>
          <w:color w:val="000000"/>
          <w:sz w:val="32"/>
          <w:szCs w:val="32"/>
        </w:rPr>
        <w:t>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。其中：</w:t>
      </w:r>
      <w:bookmarkEnd w:id="35"/>
      <w:bookmarkEnd w:id="36"/>
      <w:bookmarkEnd w:id="37"/>
    </w:p>
    <w:p>
      <w:pPr>
        <w:spacing w:line="600" w:lineRule="exact"/>
        <w:ind w:firstLineChars="200" w:firstLine="640"/>
        <w:rPr>
          <w:rStyle w:val="23"/>
          <w:rFonts w:ascii="仿宋" w:eastAsia="仿宋"/>
          <w:b w:val="0"/>
          <w:bCs/>
          <w:color w:val="000000"/>
          <w:sz w:val="32"/>
          <w:szCs w:val="32"/>
        </w:rPr>
      </w:pPr>
      <w:r>
        <w:rPr>
          <w:rStyle w:val="23"/>
          <w:rFonts w:ascii="仿宋" w:eastAsia="仿宋" w:hint="eastAsia"/>
          <w:bCs/>
          <w:color w:val="000000"/>
          <w:sz w:val="32"/>
          <w:szCs w:val="32"/>
        </w:rPr>
        <w:t>1.</w:t>
      </w:r>
      <w:r>
        <w:rPr>
          <w:rFonts w:ascii="仿宋" w:eastAsia="仿宋" w:hint="eastAsia"/>
          <w:b/>
          <w:color w:val="000000"/>
          <w:sz w:val="32"/>
          <w:szCs w:val="32"/>
        </w:rPr>
        <w:t xml:space="preserve"> 一般公共服务（类）</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Fonts w:ascii="仿宋" w:eastAsia="仿宋" w:hint="eastAsia"/>
          <w:color w:val="000000"/>
          <w:sz w:val="32"/>
          <w:szCs w:val="32"/>
        </w:rPr>
        <w:t>383.37</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b w:val="0"/>
          <w:bCs/>
          <w:color w:val="000000"/>
          <w:sz w:val="32"/>
          <w:szCs w:val="32"/>
        </w:rPr>
      </w:pPr>
      <w:r>
        <w:rPr>
          <w:rStyle w:val="23"/>
          <w:rFonts w:ascii="仿宋" w:eastAsia="仿宋"/>
          <w:bCs/>
          <w:color w:val="000000"/>
          <w:sz w:val="32"/>
          <w:szCs w:val="32"/>
        </w:rPr>
        <w:t>2.</w:t>
      </w:r>
      <w:r>
        <w:rPr>
          <w:rFonts w:ascii="仿宋" w:eastAsia="仿宋" w:hint="eastAsia"/>
          <w:b/>
          <w:color w:val="000000"/>
          <w:sz w:val="32"/>
          <w:szCs w:val="32"/>
        </w:rPr>
        <w:t xml:space="preserve"> 文化旅游体育与传媒支出</w:t>
      </w:r>
      <w:r>
        <w:rPr>
          <w:rFonts w:ascii="仿宋" w:eastAsia="仿宋" w:hint="eastAsia"/>
          <w:color w:val="000000"/>
          <w:sz w:val="32"/>
          <w:szCs w:val="32"/>
        </w:rPr>
        <w:t>（类）</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Fonts w:ascii="仿宋" w:eastAsia="仿宋" w:hint="eastAsia"/>
          <w:color w:val="000000"/>
          <w:sz w:val="32"/>
          <w:szCs w:val="32"/>
        </w:rPr>
        <w:t>20.00</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3"/>
          <w:rFonts w:ascii="仿宋" w:eastAsia="仿宋" w:hint="eastAsia"/>
          <w:bCs/>
          <w:color w:val="000000"/>
          <w:sz w:val="32"/>
          <w:szCs w:val="32"/>
        </w:rPr>
        <w:t>3</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Fonts w:ascii="仿宋" w:eastAsia="仿宋" w:hint="eastAsia"/>
          <w:b/>
          <w:color w:val="000000"/>
          <w:sz w:val="32"/>
          <w:szCs w:val="32"/>
        </w:rPr>
        <w:t>社会保障和就业（类）</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Fonts w:ascii="仿宋" w:eastAsia="仿宋" w:hint="eastAsia"/>
          <w:color w:val="000000"/>
          <w:sz w:val="32"/>
          <w:szCs w:val="32"/>
        </w:rPr>
        <w:t>35.12</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3"/>
          <w:rFonts w:ascii="仿宋" w:eastAsia="仿宋" w:hint="eastAsia"/>
          <w:bCs/>
          <w:color w:val="000000"/>
          <w:sz w:val="32"/>
          <w:szCs w:val="32"/>
        </w:rPr>
        <w:t>4.</w:t>
      </w:r>
      <w:r>
        <w:rPr>
          <w:rFonts w:ascii="仿宋" w:eastAsia="仿宋" w:hint="eastAsia"/>
          <w:b/>
          <w:bCs/>
          <w:color w:val="000000"/>
          <w:sz w:val="32"/>
          <w:szCs w:val="32"/>
        </w:rPr>
        <w:t xml:space="preserve"> 卫生健康支出</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Fonts w:ascii="仿宋" w:eastAsia="仿宋" w:hint="eastAsia"/>
          <w:color w:val="000000"/>
          <w:sz w:val="32"/>
          <w:szCs w:val="32"/>
        </w:rPr>
        <w:t>13.88</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b w:val="0"/>
          <w:bCs/>
          <w:color w:val="000000"/>
          <w:sz w:val="32"/>
          <w:szCs w:val="32"/>
        </w:rPr>
      </w:pPr>
      <w:bookmarkStart w:id="39" w:name="_Toc15396608"/>
      <w:bookmarkStart w:id="40" w:name="_Toc15377214"/>
      <w:r>
        <w:rPr>
          <w:rStyle w:val="23"/>
          <w:rFonts w:ascii="仿宋" w:eastAsia="仿宋" w:hint="eastAsia"/>
          <w:bCs/>
          <w:color w:val="000000"/>
          <w:sz w:val="32"/>
          <w:szCs w:val="32"/>
        </w:rPr>
        <w:t>5.住房保障（类）：</w:t>
      </w:r>
      <w:r>
        <w:rPr>
          <w:rStyle w:val="23"/>
          <w:rFonts w:ascii="仿宋" w:eastAsia="仿宋" w:hint="eastAsia"/>
          <w:b w:val="0"/>
          <w:bCs/>
          <w:color w:val="000000"/>
          <w:sz w:val="32"/>
          <w:szCs w:val="32"/>
        </w:rPr>
        <w:t>支出决算为</w:t>
      </w:r>
      <w:r>
        <w:rPr>
          <w:rFonts w:ascii="仿宋" w:eastAsia="仿宋" w:hint="eastAsia"/>
          <w:color w:val="000000"/>
          <w:sz w:val="32"/>
          <w:szCs w:val="32"/>
        </w:rPr>
        <w:t>20.54</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22年一般公共预算财政拨款基本支出179.66万元，其中：</w:t>
      </w:r>
    </w:p>
    <w:p>
      <w:pPr>
        <w:spacing w:line="600" w:lineRule="exact"/>
        <w:ind w:firstLine="645"/>
        <w:rPr>
          <w:rStyle w:val="23"/>
          <w:rFonts w:ascii="仿宋" w:eastAsia="仿宋"/>
          <w:b w:val="0"/>
          <w:color w:val="000000"/>
          <w:sz w:val="32"/>
          <w:szCs w:val="32"/>
        </w:rPr>
      </w:pPr>
      <w:r>
        <w:rPr>
          <w:rFonts w:ascii="仿宋" w:eastAsia="仿宋" w:hint="eastAsia"/>
          <w:color w:val="000000"/>
          <w:sz w:val="32"/>
          <w:szCs w:val="32"/>
        </w:rPr>
        <w:t>人员经费305.57万元，主要包括：基本工资58.76万元、津贴补贴49.76万元、奖金52.38万元、绩效工资18.72万元、机关事业单位基本养老保险缴费23.41万元、职业年金缴费11.71万元、职工基本医疗保险缴费10.79万元、公务员医疗补助缴费1.93万元、其他社会保障缴费3.60万元、住房公积金20.54万元、奖励金支出35.58万元等、生活补助4.18万元、。</w:t>
      </w:r>
      <w:r>
        <w:rPr>
          <w:rFonts w:ascii="仿宋" w:eastAsia="仿宋"/>
          <w:color w:val="000000"/>
          <w:sz w:val="32"/>
          <w:szCs w:val="32"/>
        </w:rPr>
        <w:br/>
      </w:r>
      <w:r>
        <w:rPr>
          <w:rFonts w:ascii="仿宋" w:eastAsia="仿宋" w:hint="eastAsia"/>
          <w:color w:val="000000"/>
          <w:sz w:val="32"/>
          <w:szCs w:val="32"/>
        </w:rPr>
        <w:t>　　公用经费14.21万元，主要包括：办公费2.00万元、印刷费1.90万元、电费0.60万元、邮电费2.40万元、差旅费3.14万元、公务接待费0.17万元、公务用车运行维护费4万元。</w:t>
      </w:r>
    </w:p>
    <w:p>
      <w:pPr>
        <w:spacing w:line="600" w:lineRule="exact"/>
        <w:ind w:firstLineChars="200" w:firstLine="640"/>
        <w:outlineLvl w:val="1"/>
        <w:rPr>
          <w:rStyle w:val="2Char"/>
          <w:rFonts w:ascii="黑体" w:eastAsia="黑体"/>
          <w:b w:val="0"/>
        </w:rPr>
      </w:pPr>
      <w:bookmarkStart w:id="41" w:name="_Toc15396609"/>
      <w:bookmarkStart w:id="42"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1"/>
      <w:bookmarkEnd w:id="42"/>
    </w:p>
    <w:p>
      <w:pPr>
        <w:spacing w:line="600" w:lineRule="exact"/>
        <w:ind w:firstLine="640"/>
        <w:outlineLvl w:val="2"/>
        <w:rPr>
          <w:rFonts w:ascii="仿宋" w:eastAsia="仿宋"/>
          <w:b/>
          <w:color w:val="000000"/>
          <w:sz w:val="32"/>
          <w:szCs w:val="32"/>
        </w:rPr>
      </w:pPr>
      <w:bookmarkStart w:id="43" w:name="_Toc15377216"/>
      <w:r>
        <w:rPr>
          <w:rFonts w:ascii="仿宋" w:eastAsia="仿宋" w:hint="eastAsia"/>
          <w:b/>
          <w:color w:val="000000"/>
          <w:sz w:val="32"/>
          <w:szCs w:val="32"/>
        </w:rPr>
        <w:t>（一）“三公”经费财政拨款支出决算总体情况说明</w:t>
      </w:r>
      <w:bookmarkEnd w:id="43"/>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22年“三公”经费财政拨款支出决算为4万元，完成预算100</w:t>
      </w:r>
      <w:r>
        <w:rPr>
          <w:rFonts w:ascii="仿宋" w:eastAsia="仿宋"/>
          <w:color w:val="000000"/>
          <w:sz w:val="32"/>
          <w:szCs w:val="32"/>
        </w:rPr>
        <w:t>%</w:t>
      </w:r>
      <w:r>
        <w:rPr>
          <w:rFonts w:ascii="仿宋" w:eastAsia="仿宋" w:hint="eastAsia"/>
          <w:color w:val="000000"/>
          <w:sz w:val="32"/>
          <w:szCs w:val="32"/>
        </w:rPr>
        <w:t>，</w:t>
      </w:r>
      <w:r>
        <w:rPr>
          <w:rFonts w:ascii="仿宋" w:eastAsia="仿宋"/>
          <w:color w:val="000000"/>
          <w:sz w:val="32"/>
          <w:szCs w:val="32"/>
        </w:rPr>
        <w:t>预算数</w:t>
      </w:r>
      <w:r>
        <w:rPr>
          <w:rFonts w:ascii="仿宋" w:eastAsia="仿宋" w:hint="eastAsia"/>
          <w:color w:val="000000"/>
          <w:sz w:val="32"/>
          <w:szCs w:val="32"/>
        </w:rPr>
        <w:t>4</w:t>
      </w:r>
      <w:r>
        <w:rPr>
          <w:rFonts w:ascii="仿宋" w:eastAsia="仿宋"/>
          <w:color w:val="000000"/>
          <w:sz w:val="32"/>
          <w:szCs w:val="32"/>
        </w:rPr>
        <w:t>万元，</w:t>
      </w:r>
      <w:r>
        <w:rPr>
          <w:rFonts w:ascii="仿宋" w:eastAsia="仿宋" w:hint="eastAsia"/>
          <w:color w:val="000000"/>
          <w:sz w:val="32"/>
          <w:szCs w:val="32"/>
        </w:rPr>
        <w:t>决算数与预算数持平。公务接待费支出0.17万元，完成预算100</w:t>
      </w:r>
      <w:r>
        <w:rPr>
          <w:rFonts w:ascii="仿宋" w:eastAsia="仿宋"/>
          <w:color w:val="000000"/>
          <w:sz w:val="32"/>
          <w:szCs w:val="32"/>
        </w:rPr>
        <w:t>%</w:t>
      </w:r>
      <w:r>
        <w:rPr>
          <w:rFonts w:ascii="仿宋" w:eastAsia="仿宋" w:hint="eastAsia"/>
          <w:color w:val="000000"/>
          <w:sz w:val="32"/>
          <w:szCs w:val="32"/>
        </w:rPr>
        <w:t>。</w:t>
      </w:r>
      <w:r>
        <w:rPr>
          <w:rFonts w:ascii="仿宋" w:eastAsia="仿宋"/>
          <w:color w:val="000000"/>
          <w:sz w:val="32"/>
          <w:szCs w:val="32"/>
        </w:rPr>
        <w:t>预算数</w:t>
      </w:r>
      <w:r>
        <w:rPr>
          <w:rFonts w:ascii="仿宋" w:eastAsia="仿宋" w:hint="eastAsia"/>
          <w:color w:val="000000"/>
          <w:sz w:val="32"/>
          <w:szCs w:val="32"/>
        </w:rPr>
        <w:t>0.17</w:t>
      </w:r>
      <w:r>
        <w:rPr>
          <w:rFonts w:ascii="仿宋" w:eastAsia="仿宋"/>
          <w:color w:val="000000"/>
          <w:sz w:val="32"/>
          <w:szCs w:val="32"/>
        </w:rPr>
        <w:t>万元</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4" w:name="_Toc15377217"/>
      <w:r>
        <w:rPr>
          <w:rFonts w:ascii="仿宋" w:eastAsia="仿宋" w:hint="eastAsia"/>
          <w:b/>
          <w:color w:val="000000"/>
          <w:sz w:val="32"/>
          <w:szCs w:val="32"/>
        </w:rPr>
        <w:t>（二）“三公”经费财政拨款支出决算具体情况说明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22年“三公”经费财政拨款支出</w:t>
      </w:r>
      <w:r>
        <w:rPr>
          <w:rFonts w:ascii="仿宋" w:eastAsia="仿宋" w:hint="eastAsia"/>
          <w:sz w:val="32"/>
          <w:szCs w:val="32"/>
        </w:rPr>
        <w:t>决算4.17万元</w:t>
      </w:r>
      <w:r>
        <w:rPr>
          <w:rFonts w:ascii="仿宋" w:eastAsia="仿宋" w:hint="eastAsia"/>
          <w:color w:val="000000"/>
          <w:sz w:val="32"/>
          <w:szCs w:val="32"/>
        </w:rPr>
        <w:t>，其中：因公出国（境）费支出决算0万元，占0</w:t>
      </w:r>
      <w:r>
        <w:rPr>
          <w:rFonts w:ascii="仿宋" w:eastAsia="仿宋"/>
          <w:color w:val="000000"/>
          <w:sz w:val="32"/>
          <w:szCs w:val="32"/>
        </w:rPr>
        <w:t>%</w:t>
      </w:r>
      <w:r>
        <w:rPr>
          <w:rFonts w:ascii="仿宋" w:eastAsia="仿宋" w:hint="eastAsia"/>
          <w:color w:val="000000"/>
          <w:sz w:val="32"/>
          <w:szCs w:val="32"/>
        </w:rPr>
        <w:t>；公务用车购置及运行维护费支出决算4万元，占95.92</w:t>
      </w:r>
      <w:r>
        <w:rPr>
          <w:rFonts w:ascii="仿宋" w:eastAsia="仿宋"/>
          <w:color w:val="000000"/>
          <w:sz w:val="32"/>
          <w:szCs w:val="32"/>
        </w:rPr>
        <w:t>%</w:t>
      </w:r>
      <w:r>
        <w:rPr>
          <w:rFonts w:ascii="仿宋" w:eastAsia="仿宋" w:hint="eastAsia"/>
          <w:color w:val="000000"/>
          <w:sz w:val="32"/>
          <w:szCs w:val="32"/>
        </w:rPr>
        <w:t>；公务接待费支出决算0.17万元，占4.08</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_GB2312" w:eastAsia="仿宋_GB2312"/>
          <w:b/>
          <w:sz w:val="32"/>
          <w:szCs w:val="32"/>
        </w:rPr>
      </w:pPr>
      <w:r>
        <w:rPr>
          <w:rFonts w:ascii="仿宋_GB2312" w:eastAsia="仿宋_GB2312" w:hint="eastAsia"/>
          <w:b/>
          <w:color w:val="000000"/>
          <w:sz w:val="32"/>
          <w:szCs w:val="32"/>
        </w:rPr>
        <w:t>1</w:t>
      </w:r>
      <w:r>
        <w:rPr>
          <w:rFonts w:ascii="仿宋_GB2312" w:eastAsia="仿宋_GB2312"/>
          <w:b/>
          <w:color w:val="000000"/>
          <w:sz w:val="32"/>
          <w:szCs w:val="32"/>
        </w:rPr>
        <w:t>.</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hint="eastAsia"/>
          <w:color w:val="000000"/>
          <w:sz w:val="32"/>
          <w:szCs w:val="32"/>
        </w:rPr>
        <w:t>4万元,</w:t>
      </w:r>
      <w:r>
        <w:rPr>
          <w:rStyle w:val="23"/>
          <w:rFonts w:ascii="仿宋" w:eastAsia="仿宋" w:hint="eastAsia"/>
          <w:b w:val="0"/>
          <w:bCs/>
          <w:color w:val="000000"/>
          <w:sz w:val="32"/>
          <w:szCs w:val="32"/>
        </w:rPr>
        <w:t>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公务用车购置及运行维护费支出决算与2021年支出持平</w:t>
      </w:r>
      <w:r>
        <w:rPr>
          <w:rFonts w:ascii="仿宋_GB2312" w:eastAsia="仿宋_GB2312" w:hint="eastAsia"/>
          <w:sz w:val="32"/>
          <w:szCs w:val="32"/>
        </w:rPr>
        <w:t>。</w:t>
      </w:r>
      <w:r>
        <w:rPr>
          <w:rFonts w:ascii="仿宋_GB2312" w:eastAsia="仿宋_GB2312" w:cs="仿宋" w:hint="eastAsia"/>
          <w:color w:val="000000"/>
          <w:sz w:val="32"/>
          <w:szCs w:val="32"/>
        </w:rPr>
        <w:t>。</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w:t>
      </w:r>
      <w:r>
        <w:rPr>
          <w:rFonts w:ascii="仿宋_GB2312" w:eastAsia="仿宋_GB2312" w:hint="eastAsia"/>
          <w:color w:val="000000"/>
          <w:sz w:val="32"/>
          <w:szCs w:val="32"/>
        </w:rPr>
        <w:t>22年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日，共有车辆2辆，其中：部级领导干部用车0辆、主要领导干部用车0辆、机要通信用车0辆、应急保障用车2辆、执法执勤用车0辆、特种专业技术用车0辆、离退休干部用车0辆、其他用车0辆；</w:t>
      </w:r>
      <w:r>
        <w:rPr>
          <w:rFonts w:ascii="仿宋_GB2312" w:eastAsia="仿宋_GB2312" w:hint="eastAsia"/>
          <w:b/>
          <w:color w:val="000000"/>
          <w:sz w:val="32"/>
          <w:szCs w:val="32"/>
        </w:rPr>
        <w:t>公务用车运行维护费支出</w:t>
      </w:r>
      <w:r>
        <w:rPr>
          <w:rFonts w:ascii="仿宋_GB2312" w:eastAsia="仿宋_GB2312"/>
          <w:sz w:val="32"/>
          <w:szCs w:val="32"/>
        </w:rPr>
        <w:t>4</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2. 公务接待费支出</w:t>
      </w:r>
      <w:r>
        <w:rPr>
          <w:rFonts w:ascii="仿宋_GB2312" w:eastAsia="仿宋_GB2312" w:hint="eastAsia"/>
          <w:color w:val="000000"/>
          <w:sz w:val="32"/>
          <w:szCs w:val="32"/>
        </w:rPr>
        <w:t>0.17万元，</w:t>
      </w:r>
      <w:r>
        <w:rPr>
          <w:rStyle w:val="23"/>
          <w:rFonts w:ascii="仿宋" w:eastAsia="仿宋" w:hint="eastAsia"/>
          <w:b w:val="0"/>
          <w:bCs/>
          <w:color w:val="000000"/>
          <w:sz w:val="32"/>
          <w:szCs w:val="32"/>
        </w:rPr>
        <w:t>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cs="仿宋" w:hint="eastAsia"/>
          <w:color w:val="000000"/>
          <w:sz w:val="32"/>
          <w:szCs w:val="32"/>
        </w:rPr>
        <w:t>。</w:t>
      </w:r>
      <w:r>
        <w:rPr>
          <w:rFonts w:ascii="仿宋_GB2312" w:eastAsia="仿宋_GB2312" w:hint="eastAsia"/>
          <w:color w:val="000000"/>
          <w:sz w:val="32"/>
          <w:szCs w:val="32"/>
        </w:rPr>
        <w:t>主要用于执行公务、开展业务活动开支的交通费、住宿费、用餐费等。国内公务接待</w:t>
      </w:r>
      <w:r>
        <w:rPr>
          <w:rFonts w:ascii="仿宋_GB2312" w:eastAsia="仿宋_GB2312"/>
          <w:color w:val="000000"/>
          <w:sz w:val="32"/>
          <w:szCs w:val="32"/>
        </w:rPr>
        <w:t>2</w:t>
      </w:r>
      <w:r>
        <w:rPr>
          <w:rFonts w:ascii="仿宋_GB2312" w:eastAsia="仿宋_GB2312" w:hint="eastAsia"/>
          <w:color w:val="000000"/>
          <w:sz w:val="32"/>
          <w:szCs w:val="32"/>
        </w:rPr>
        <w:t>批次，</w:t>
      </w:r>
      <w:r>
        <w:rPr>
          <w:rFonts w:ascii="仿宋_GB2312" w:eastAsia="仿宋_GB2312"/>
          <w:color w:val="000000"/>
          <w:sz w:val="32"/>
          <w:szCs w:val="32"/>
        </w:rPr>
        <w:t>10</w:t>
      </w:r>
      <w:r>
        <w:rPr>
          <w:rFonts w:ascii="仿宋_GB2312" w:eastAsia="仿宋_GB2312" w:hint="eastAsia"/>
          <w:color w:val="000000"/>
          <w:sz w:val="32"/>
          <w:szCs w:val="32"/>
        </w:rPr>
        <w:t>人次，共计支出0.</w:t>
      </w:r>
      <w:r>
        <w:rPr>
          <w:rFonts w:ascii="仿宋_GB2312" w:eastAsia="仿宋_GB2312"/>
          <w:color w:val="000000"/>
          <w:sz w:val="32"/>
          <w:szCs w:val="32"/>
        </w:rPr>
        <w:t>17</w:t>
      </w:r>
      <w:r>
        <w:rPr>
          <w:rFonts w:ascii="仿宋_GB2312" w:eastAsia="仿宋_GB2312" w:hint="eastAsia"/>
          <w:color w:val="000000"/>
          <w:sz w:val="32"/>
          <w:szCs w:val="32"/>
        </w:rPr>
        <w:t>万元。</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spacing w:line="600" w:lineRule="exact"/>
        <w:ind w:firstLineChars="250" w:firstLine="800"/>
        <w:rPr>
          <w:rStyle w:val="23"/>
          <w:rFonts w:ascii="仿宋_GB2312" w:eastAsia="仿宋_GB2312"/>
          <w:b w:val="0"/>
          <w:color w:val="000000"/>
          <w:sz w:val="32"/>
          <w:szCs w:val="32"/>
        </w:rPr>
      </w:pPr>
      <w:bookmarkStart w:id="45" w:name="_GoBack"/>
      <w:bookmarkEnd w:id="45"/>
    </w:p>
    <w:p>
      <w:pPr>
        <w:spacing w:line="600" w:lineRule="exact"/>
        <w:ind w:firstLineChars="250" w:firstLine="800"/>
        <w:rPr>
          <w:rStyle w:val="2Char"/>
          <w:rFonts w:ascii="仿宋_GB2312" w:eastAsia="仿宋_GB2312" w:cs="仿宋"/>
          <w:b w:val="0"/>
          <w:bCs w:val="0"/>
          <w:color w:val="000000"/>
        </w:rPr>
      </w:pPr>
      <w:r>
        <w:rPr>
          <w:rFonts w:ascii="仿宋_GB2312" w:eastAsia="仿宋_GB2312" w:cs="仿宋" w:hint="eastAsia"/>
          <w:color w:val="000000"/>
          <w:sz w:val="32"/>
          <w:szCs w:val="32"/>
        </w:rPr>
        <w:drawing>
          <wp:anchor distT="0" distB="0" distL="114300" distR="114300" simplePos="0" relativeHeight="21" behindDoc="0" locked="0" layoutInCell="1" hidden="0" allowOverlap="1">
            <wp:simplePos x="0" y="0"/>
            <wp:positionH relativeFrom="column">
              <wp:posOffset>274955</wp:posOffset>
            </wp:positionH>
            <wp:positionV relativeFrom="paragraph">
              <wp:posOffset>-182880</wp:posOffset>
            </wp:positionV>
            <wp:extent cx="5273675" cy="2759075"/>
            <wp:effectExtent l="0" t="0" r="0" b="0"/>
            <wp:wrapSquare wrapText="bothSides"/>
            <wp:docPr id="4" name="图片 2"/>
            <wp:cNvGraphicFramePr>
              <a:graphicFrameLocks noChangeAspect="1"/>
            </wp:cNvGraphicFramePr>
            <a:graphic>
              <a:graphicData uri="http://schemas.openxmlformats.org/drawingml/2006/picture">
                <pic:pic>
                  <pic:nvPicPr>
                    <pic:cNvPr id="6" name="图片 2 6"/>
                    <pic:cNvPicPr/>
                  </pic:nvPicPr>
                  <pic:blipFill>
                    <a:blip r:embed="rId7"/>
                    <a:stretch>
                      <a:fillRect/>
                    </a:stretch>
                  </pic:blipFill>
                  <pic:spPr>
                    <a:xfrm rot="0">
                      <a:off x="0" y="0"/>
                      <a:ext cx="5273675" cy="2759075"/>
                    </a:xfrm>
                    <a:prstGeom prst="rect"/>
                    <a:noFill/>
                    <a:ln w="9525" cmpd="sng" cap="flat">
                      <a:noFill/>
                      <a:prstDash val="solid"/>
                      <a:miter/>
                    </a:ln>
                  </pic:spPr>
                </pic:pic>
              </a:graphicData>
            </a:graphic>
          </wp:anchor>
        </w:drawing>
      </w:r>
      <w:bookmarkStart w:id="46" w:name="_Toc15396610"/>
      <w:bookmarkStart w:id="47" w:name="_Toc15377218"/>
      <w:bookmarkEnd w:id="39"/>
      <w:bookmarkEnd w:id="40"/>
      <w:r>
        <w:rPr>
          <w:rFonts w:ascii="黑体" w:eastAsia="黑体" w:hint="eastAsia"/>
          <w:color w:val="000000"/>
          <w:sz w:val="32"/>
          <w:szCs w:val="32"/>
        </w:rPr>
        <w:t>八、</w:t>
      </w:r>
      <w:r>
        <w:rPr>
          <w:rStyle w:val="2Char"/>
          <w:rFonts w:ascii="黑体" w:eastAsia="黑体" w:hint="eastAsia"/>
          <w:b w:val="0"/>
        </w:rPr>
        <w:t>政府性基金预算支出决算情况说明</w:t>
      </w:r>
      <w:bookmarkEnd w:id="46"/>
      <w:bookmarkEnd w:id="47"/>
    </w:p>
    <w:p>
      <w:pPr>
        <w:spacing w:line="600" w:lineRule="exact"/>
        <w:ind w:firstLine="640"/>
        <w:outlineLvl w:val="1"/>
        <w:rPr>
          <w:rStyle w:val="2Char"/>
          <w:rFonts w:ascii="黑体" w:eastAsia="仿宋_GB2312" w:hAnsi="黑体"/>
          <w:b w:val="0"/>
        </w:rPr>
      </w:pPr>
      <w:r>
        <w:rPr>
          <w:rFonts w:ascii="仿宋" w:eastAsia="仿宋"/>
          <w:color w:val="000000"/>
          <w:sz w:val="32"/>
          <w:szCs w:val="32"/>
        </w:rPr>
        <w:t>20</w:t>
      </w:r>
      <w:r>
        <w:rPr>
          <w:rFonts w:ascii="仿宋" w:eastAsia="仿宋" w:hint="eastAsia"/>
          <w:color w:val="000000"/>
          <w:sz w:val="32"/>
          <w:szCs w:val="32"/>
        </w:rPr>
        <w:t>22年政府性基金预算</w:t>
      </w:r>
      <w:r>
        <w:rPr>
          <w:rFonts w:ascii="仿宋_GB2312" w:eastAsia="仿宋_GB2312" w:hint="eastAsia"/>
          <w:spacing w:val="-2"/>
          <w:sz w:val="32"/>
          <w:szCs w:val="32"/>
        </w:rPr>
        <w:t>拨款支出0万元，</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rPr>
        <w:t>21年相比政府性基金预算</w:t>
      </w:r>
      <w:r>
        <w:rPr>
          <w:rFonts w:ascii="仿宋_GB2312" w:eastAsia="仿宋_GB2312" w:hint="eastAsia"/>
          <w:spacing w:val="-2"/>
          <w:sz w:val="32"/>
          <w:szCs w:val="32"/>
        </w:rPr>
        <w:t>拨款支出减少3万元，减少100%。主要原因本年度无政府性基金预算项目。</w:t>
      </w:r>
    </w:p>
    <w:p>
      <w:pPr>
        <w:pStyle w:val="29"/>
        <w:numPr>
          <w:ilvl w:val="0"/>
          <w:numId w:val="4"/>
        </w:numPr>
        <w:spacing w:line="600" w:lineRule="exact"/>
        <w:ind w:firstLineChars="0"/>
        <w:outlineLvl w:val="1"/>
        <w:rPr>
          <w:rStyle w:val="2Char"/>
          <w:rFonts w:ascii="黑体" w:eastAsia="黑体"/>
          <w:b w:val="0"/>
        </w:rPr>
      </w:pPr>
      <w:bookmarkStart w:id="48" w:name="_Toc15377219"/>
      <w:bookmarkStart w:id="49" w:name="_Toc15396611"/>
      <w:r>
        <w:rPr>
          <w:rStyle w:val="2Char"/>
          <w:rFonts w:ascii="黑体" w:eastAsia="黑体" w:hint="eastAsia"/>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22年国有资本经营预算拨款支出0万元。</w:t>
      </w:r>
    </w:p>
    <w:p>
      <w:pPr>
        <w:spacing w:line="580" w:lineRule="exact"/>
        <w:ind w:firstLineChars="150" w:firstLine="480"/>
        <w:rPr>
          <w:rFonts w:ascii="黑体" w:eastAsia="黑体"/>
          <w:bCs/>
          <w:sz w:val="32"/>
          <w:szCs w:val="32"/>
        </w:rPr>
      </w:pPr>
      <w:r>
        <w:rPr>
          <w:rStyle w:val="2Char"/>
          <w:rFonts w:ascii="黑体" w:eastAsia="黑体" w:hint="eastAsia"/>
          <w:b w:val="0"/>
        </w:rPr>
        <w:t>十、其他重要事项的情况说明</w:t>
      </w:r>
    </w:p>
    <w:p>
      <w:pPr>
        <w:rPr>
          <w:rStyle w:val="2Char"/>
          <w:rFonts w:ascii="黑体" w:eastAsia="黑体"/>
          <w:b w:val="0"/>
        </w:rPr>
      </w:pPr>
      <w:r>
        <w:rPr>
          <w:rFonts w:ascii="仿宋_GB2312" w:eastAsia="仿宋_GB2312" w:cs="仿宋_GB2312" w:hint="eastAsia"/>
          <w:color w:val="FF0000"/>
          <w:sz w:val="32"/>
          <w:szCs w:val="32"/>
        </w:rPr>
        <w:t>　　</w:t>
      </w:r>
      <w:r>
        <w:rPr>
          <w:rFonts w:ascii="仿宋_GB2312" w:eastAsia="仿宋_GB2312" w:cs="仿宋_GB2312" w:hint="eastAsia"/>
          <w:sz w:val="32"/>
          <w:szCs w:val="32"/>
        </w:rPr>
        <w:t>根据预算绩效管理要求，我单位在年初预算编制阶段，开展了预算事前绩效评估，编制了部门整体绩效目标。</w:t>
      </w:r>
    </w:p>
    <w:p>
      <w:pPr>
        <w:spacing w:line="600" w:lineRule="exact"/>
        <w:ind w:firstLineChars="100" w:firstLine="320"/>
        <w:outlineLvl w:val="2"/>
        <w:rPr>
          <w:rFonts w:ascii="仿宋" w:eastAsia="仿宋"/>
          <w:color w:val="000000"/>
          <w:sz w:val="32"/>
          <w:szCs w:val="32"/>
        </w:rPr>
      </w:pPr>
      <w:bookmarkStart w:id="50" w:name="_Toc79163628"/>
      <w:bookmarkStart w:id="51" w:name="_Toc79163878"/>
      <w:r>
        <w:rPr>
          <w:rFonts w:ascii="仿宋" w:eastAsia="仿宋" w:hint="eastAsia"/>
          <w:b/>
          <w:color w:val="000000"/>
          <w:sz w:val="32"/>
          <w:szCs w:val="32"/>
        </w:rPr>
        <w:t>（一）机关运行经费支出情况</w:t>
      </w:r>
    </w:p>
    <w:p>
      <w:pPr>
        <w:spacing w:line="600" w:lineRule="exact"/>
        <w:ind w:firstLineChars="200" w:firstLine="640"/>
        <w:rPr>
          <w:rFonts w:ascii="仿宋_GB2312" w:eastAsia="仿宋_GB2312"/>
          <w:sz w:val="32"/>
          <w:szCs w:val="32"/>
        </w:rPr>
      </w:pPr>
      <w:r>
        <w:rPr>
          <w:rFonts w:ascii="仿宋_GB2312" w:eastAsia="仿宋_GB2312"/>
          <w:color w:val="000000"/>
          <w:sz w:val="32"/>
          <w:szCs w:val="32"/>
        </w:rPr>
        <w:t>20</w:t>
      </w:r>
      <w:r>
        <w:rPr>
          <w:rFonts w:ascii="仿宋_GB2312" w:eastAsia="仿宋_GB2312" w:hint="eastAsia"/>
          <w:color w:val="000000"/>
          <w:sz w:val="32"/>
          <w:szCs w:val="32"/>
        </w:rPr>
        <w:t>22年，金川县</w:t>
      </w:r>
      <w:r>
        <w:rPr>
          <w:rFonts w:ascii="仿宋_GB2312" w:eastAsia="仿宋_GB2312"/>
          <w:color w:val="000000"/>
          <w:sz w:val="32"/>
          <w:szCs w:val="32"/>
        </w:rPr>
        <w:t>委</w:t>
      </w:r>
      <w:r>
        <w:rPr>
          <w:rFonts w:ascii="仿宋_GB2312" w:eastAsia="仿宋_GB2312" w:hint="eastAsia"/>
          <w:color w:val="000000"/>
          <w:sz w:val="32"/>
          <w:szCs w:val="32"/>
        </w:rPr>
        <w:t>宣传部运行经费支出7.24万元，比</w:t>
      </w:r>
      <w:r>
        <w:rPr>
          <w:rFonts w:ascii="仿宋_GB2312" w:eastAsia="仿宋_GB2312"/>
          <w:color w:val="000000"/>
          <w:sz w:val="32"/>
          <w:szCs w:val="32"/>
        </w:rPr>
        <w:t>20</w:t>
      </w:r>
      <w:r>
        <w:rPr>
          <w:rFonts w:ascii="仿宋_GB2312" w:eastAsia="仿宋_GB2312" w:hint="eastAsia"/>
          <w:color w:val="000000"/>
          <w:sz w:val="32"/>
          <w:szCs w:val="32"/>
        </w:rPr>
        <w:t>21年减少58.84万元，下降89.04</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sz w:val="32"/>
          <w:szCs w:val="32"/>
        </w:rPr>
        <w:t>主要原因是本年度年初预算项目不纳入决算运行经费。</w:t>
      </w:r>
    </w:p>
    <w:p>
      <w:pPr>
        <w:autoSpaceDE w:val="0"/>
        <w:autoSpaceDN w:val="0"/>
        <w:adjustRightInd w:val="0"/>
        <w:spacing w:line="600" w:lineRule="exact"/>
        <w:ind w:firstLineChars="100" w:firstLine="320"/>
        <w:jc w:val="left"/>
        <w:outlineLvl w:val="2"/>
        <w:rPr>
          <w:rFonts w:ascii="仿宋" w:eastAsia="仿宋"/>
          <w:b/>
          <w:color w:val="000000"/>
          <w:sz w:val="32"/>
          <w:szCs w:val="32"/>
        </w:rPr>
      </w:pPr>
      <w:r>
        <w:rPr>
          <w:rFonts w:ascii="仿宋" w:eastAsia="仿宋" w:hint="eastAsia"/>
          <w:b/>
          <w:color w:val="000000"/>
          <w:sz w:val="32"/>
          <w:szCs w:val="32"/>
        </w:rPr>
        <w:t>（二）政府采购支出情况</w:t>
      </w:r>
    </w:p>
    <w:p>
      <w:pPr>
        <w:spacing w:line="600" w:lineRule="exact"/>
        <w:ind w:firstLineChars="150" w:firstLine="480"/>
        <w:rPr>
          <w:rFonts w:ascii="仿宋" w:eastAsia="仿宋"/>
          <w:b/>
          <w:sz w:val="32"/>
          <w:szCs w:val="32"/>
        </w:rPr>
      </w:pPr>
      <w:r>
        <w:rPr>
          <w:rFonts w:ascii="仿宋_GB2312" w:eastAsia="仿宋_GB2312"/>
          <w:color w:val="000000"/>
          <w:sz w:val="32"/>
          <w:szCs w:val="32"/>
        </w:rPr>
        <w:t>20</w:t>
      </w:r>
      <w:r>
        <w:rPr>
          <w:rFonts w:ascii="仿宋_GB2312" w:eastAsia="仿宋_GB2312" w:hint="eastAsia"/>
          <w:color w:val="000000"/>
          <w:sz w:val="32"/>
          <w:szCs w:val="32"/>
        </w:rPr>
        <w:t>22年，政府采购支出总额276.56万元，其中：政府采购服务支出276.56万元，</w:t>
      </w:r>
      <w:r>
        <w:rPr>
          <w:rFonts w:ascii="仿宋_GB2312" w:eastAsia="仿宋_GB2312" w:hint="eastAsia"/>
          <w:sz w:val="32"/>
          <w:szCs w:val="32"/>
        </w:rPr>
        <w:t>主要用于安宁镇数字乡村建设。</w:t>
      </w:r>
      <w:r>
        <w:rPr>
          <w:rFonts w:ascii="仿宋_GB2312" w:eastAsia="仿宋_GB2312" w:hint="eastAsia"/>
          <w:color w:val="000000"/>
          <w:sz w:val="32"/>
          <w:szCs w:val="32"/>
        </w:rPr>
        <w:t>授予中小企业合同金额276.56万元，占政府采购支出总额的100%，其中：授予小微企业合同金额0万元，占政府采购支出总额的0%</w:t>
      </w:r>
      <w:r>
        <w:rPr>
          <w:rFonts w:ascii="仿宋_GB2312" w:eastAsia="仿宋_GB2312" w:hint="eastAsia"/>
          <w:sz w:val="32"/>
          <w:szCs w:val="32"/>
        </w:rPr>
        <w:t>。</w:t>
      </w:r>
    </w:p>
    <w:p>
      <w:pPr>
        <w:autoSpaceDE w:val="0"/>
        <w:autoSpaceDN w:val="0"/>
        <w:adjustRightInd w:val="0"/>
        <w:spacing w:line="600" w:lineRule="exact"/>
        <w:ind w:firstLineChars="100" w:firstLine="320"/>
        <w:jc w:val="left"/>
        <w:outlineLvl w:val="2"/>
        <w:rPr>
          <w:rFonts w:ascii="仿宋" w:eastAsia="仿宋"/>
          <w:b/>
          <w:color w:val="000000"/>
          <w:sz w:val="32"/>
          <w:szCs w:val="32"/>
        </w:rPr>
      </w:pPr>
      <w:r>
        <w:rPr>
          <w:rFonts w:ascii="仿宋" w:eastAsia="仿宋" w:hint="eastAsia"/>
          <w:b/>
          <w:color w:val="000000"/>
          <w:sz w:val="32"/>
          <w:szCs w:val="32"/>
        </w:rPr>
        <w:t>（三）国有资产占有使用情况</w:t>
      </w:r>
    </w:p>
    <w:p>
      <w:pPr>
        <w:widowControl/>
        <w:ind w:firstLineChars="150" w:firstLine="480"/>
        <w:jc w:val="left"/>
        <w:rPr>
          <w:rFonts w:ascii="仿宋_GB2312" w:eastAsia="仿宋_GB2312"/>
          <w:b/>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22年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日，共有车辆2辆，为日常工作及应急保障用车，单价50万元以上通用设备0台，单价100万元以上专用设备0台（套）。</w:t>
      </w:r>
      <w:r>
        <w:rPr>
          <w:rFonts w:ascii="仿宋_GB2312" w:eastAsia="仿宋_GB2312" w:hint="eastAsia"/>
          <w:b/>
          <w:color w:val="000000"/>
          <w:sz w:val="32"/>
          <w:szCs w:val="32"/>
        </w:rPr>
        <w:t xml:space="preserve">    </w:t>
      </w:r>
    </w:p>
    <w:p>
      <w:pPr>
        <w:autoSpaceDE w:val="0"/>
        <w:autoSpaceDN w:val="0"/>
        <w:adjustRightInd w:val="0"/>
        <w:spacing w:line="560" w:lineRule="exact"/>
        <w:ind w:firstLineChars="100" w:firstLine="320"/>
        <w:jc w:val="left"/>
        <w:outlineLvl w:val="2"/>
        <w:rPr>
          <w:rFonts w:ascii="仿宋" w:eastAsia="仿宋"/>
          <w:b/>
          <w:color w:val="000000"/>
          <w:sz w:val="32"/>
          <w:szCs w:val="32"/>
        </w:rPr>
      </w:pPr>
      <w:bookmarkEnd w:id="50"/>
      <w:bookmarkEnd w:id="51"/>
      <w:r>
        <w:rPr>
          <w:rFonts w:ascii="仿宋" w:eastAsia="仿宋" w:hint="eastAsia"/>
          <w:b/>
          <w:color w:val="000000"/>
          <w:sz w:val="32"/>
          <w:szCs w:val="32"/>
        </w:rPr>
        <w:t>（四）预算绩效管理情况。</w:t>
      </w:r>
    </w:p>
    <w:p>
      <w:pPr>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1.概述项目绩效目标完成情况。</w:t>
      </w:r>
    </w:p>
    <w:p>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按照预算绩效管理要求，本部门对2022年一般公共预算项目支出开展了绩效目标管理，共编制绩效目标6个，涉及财政资金167.35万元。</w:t>
      </w:r>
    </w:p>
    <w:p>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2.部门整体支出绩效自评开展情况。</w:t>
      </w:r>
    </w:p>
    <w:p>
      <w:pPr>
        <w:spacing w:line="600" w:lineRule="atLeast"/>
        <w:ind w:firstLineChars="200" w:firstLine="640"/>
        <w:rPr>
          <w:rFonts w:ascii="仿宋_GB2312" w:eastAsia="仿宋_GB2312" w:cs="仿宋_GB2312"/>
          <w:sz w:val="32"/>
          <w:szCs w:val="32"/>
        </w:rPr>
      </w:pPr>
      <w:r>
        <w:rPr>
          <w:rFonts w:ascii="仿宋_GB2312" w:eastAsia="仿宋_GB2312" w:hint="eastAsia"/>
          <w:color w:val="000000"/>
          <w:sz w:val="32"/>
          <w:szCs w:val="32"/>
        </w:rPr>
        <w:t>按照预算绩效管理要求，本部门对2022年整体支出开展绩效自评，自评得分90分，存在问题：</w:t>
      </w:r>
      <w:r>
        <w:rPr>
          <w:rFonts w:ascii="仿宋_GB2312" w:eastAsia="仿宋_GB2312" w:cs="仿宋_GB2312" w:hint="eastAsia"/>
          <w:sz w:val="32"/>
          <w:szCs w:val="32"/>
        </w:rPr>
        <w:t>一是预算经费支出进度缓，特别是中央政法转移支付资金；二是部门预算、决算上报效率有待提高。下一步改进措施：一是加快完善部门财务规章制度建设；二是加强会计核算和财务管理能力；三是加强与县财政局相关科室对接工作，提升工作效率。</w:t>
      </w:r>
    </w:p>
    <w:p>
      <w:pPr>
        <w:autoSpaceDE w:val="0"/>
        <w:autoSpaceDN w:val="0"/>
        <w:adjustRightInd w:val="0"/>
        <w:spacing w:line="560" w:lineRule="exact"/>
        <w:ind w:firstLineChars="100" w:firstLine="320"/>
        <w:jc w:val="left"/>
        <w:outlineLvl w:val="2"/>
        <w:rPr>
          <w:rStyle w:val="2Char"/>
          <w:rFonts w:ascii="仿宋" w:eastAsia="仿宋"/>
          <w:bCs w:val="0"/>
          <w:color w:val="000000"/>
        </w:rPr>
      </w:pPr>
    </w:p>
    <w:p>
      <w:pPr>
        <w:autoSpaceDE w:val="0"/>
        <w:autoSpaceDN w:val="0"/>
        <w:adjustRightInd w:val="0"/>
        <w:spacing w:line="560" w:lineRule="exact"/>
        <w:ind w:firstLineChars="100" w:firstLine="320"/>
        <w:jc w:val="left"/>
        <w:outlineLvl w:val="2"/>
        <w:rPr>
          <w:rStyle w:val="2Char"/>
          <w:rFonts w:ascii="仿宋" w:eastAsia="仿宋" w:hint="eastAsia"/>
          <w:bCs w:val="0"/>
          <w:color w:val="000000"/>
        </w:rPr>
      </w:pPr>
    </w:p>
    <w:p>
      <w:pPr>
        <w:autoSpaceDE w:val="0"/>
        <w:autoSpaceDN w:val="0"/>
        <w:adjustRightInd w:val="0"/>
        <w:spacing w:line="560" w:lineRule="exact"/>
        <w:ind w:firstLineChars="100" w:firstLine="320"/>
        <w:jc w:val="left"/>
        <w:outlineLvl w:val="2"/>
        <w:rPr>
          <w:rStyle w:val="2Char"/>
          <w:rFonts w:ascii="仿宋" w:eastAsia="仿宋"/>
          <w:bCs w:val="0"/>
          <w:color w:val="000000"/>
        </w:rPr>
      </w:pPr>
    </w:p>
    <w:p>
      <w:pPr>
        <w:autoSpaceDE w:val="0"/>
        <w:autoSpaceDN w:val="0"/>
        <w:adjustRightInd w:val="0"/>
        <w:spacing w:line="560" w:lineRule="exact"/>
        <w:ind w:firstLineChars="100" w:firstLine="320"/>
        <w:jc w:val="left"/>
        <w:outlineLvl w:val="2"/>
        <w:rPr>
          <w:rStyle w:val="2Char"/>
          <w:rFonts w:ascii="仿宋" w:eastAsia="仿宋"/>
          <w:bCs w:val="0"/>
          <w:color w:val="000000"/>
        </w:rPr>
      </w:pPr>
    </w:p>
    <w:p>
      <w:pPr>
        <w:numPr>
          <w:ilvl w:val="0"/>
          <w:numId w:val="5"/>
        </w:numPr>
        <w:spacing w:line="600" w:lineRule="exact"/>
        <w:ind w:left="0" w:firstLineChars="150" w:firstLine="660"/>
        <w:jc w:val="center"/>
        <w:outlineLvl w:val="0"/>
        <w:rPr>
          <w:rStyle w:val="1Char"/>
          <w:rFonts w:ascii="黑体" w:eastAsia="黑体"/>
          <w:b w:val="0"/>
        </w:rPr>
      </w:pPr>
      <w:bookmarkStart w:id="52" w:name="_Toc15377225"/>
      <w:bookmarkStart w:id="53" w:name="_Toc15396613"/>
      <w:r>
        <w:rPr>
          <w:rFonts w:ascii="黑体" w:eastAsia="黑体" w:hint="eastAsia"/>
          <w:b/>
          <w:color w:val="000000"/>
          <w:sz w:val="44"/>
          <w:szCs w:val="44"/>
        </w:rPr>
        <w:t>名</w:t>
      </w:r>
      <w:r>
        <w:rPr>
          <w:rStyle w:val="1Char"/>
          <w:rFonts w:ascii="黑体" w:eastAsia="黑体" w:hint="eastAsia"/>
          <w:b w:val="0"/>
        </w:rPr>
        <w:t>词解释</w:t>
      </w:r>
      <w:bookmarkEnd w:id="52"/>
      <w:bookmarkEnd w:id="53"/>
    </w:p>
    <w:p>
      <w:pPr>
        <w:pStyle w:val="28"/>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8"/>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560" w:lineRule="exact"/>
        <w:ind w:firstLineChars="200" w:firstLine="640"/>
        <w:rPr>
          <w:rFonts w:ascii="仿宋_GB2312" w:eastAsia="仿宋_GB2312"/>
          <w:sz w:val="32"/>
          <w:szCs w:val="32"/>
        </w:rPr>
      </w:pPr>
    </w:p>
    <w:p>
      <w:pPr>
        <w:pStyle w:val="28"/>
        <w:spacing w:line="560" w:lineRule="exact"/>
        <w:rPr>
          <w:rFonts w:ascii="仿宋_GB2312" w:eastAsia="仿宋_GB2312"/>
          <w:sz w:val="32"/>
          <w:szCs w:val="32"/>
        </w:rPr>
      </w:pPr>
    </w:p>
    <w:p>
      <w:pPr>
        <w:pStyle w:val="2"/>
        <w:rPr>
          <w:rFonts w:ascii="仿宋" w:eastAsia="仿宋"/>
          <w:color w:val="000000"/>
        </w:rPr>
      </w:pPr>
    </w:p>
    <w:p/>
    <w:p/>
    <w:p/>
    <w:p/>
    <w:p/>
    <w:p/>
    <w:p/>
    <w:p/>
    <w:p/>
    <w:p/>
    <w:p/>
    <w:p/>
    <w:p/>
    <w:p/>
    <w:p/>
    <w:p/>
    <w:p/>
    <w:p/>
    <w:p/>
    <w:p/>
    <w:p/>
    <w:p/>
    <w:p/>
    <w:p/>
    <w:p/>
    <w:p/>
    <w:p>
      <w:pPr>
        <w:spacing w:line="576" w:lineRule="exact"/>
        <w:jc w:val="center"/>
        <w:outlineLvl w:val="0"/>
        <w:rPr>
          <w:rStyle w:val="1Char"/>
          <w:rFonts w:eastAsia="黑体"/>
          <w:b w:val="0"/>
        </w:rPr>
      </w:pPr>
      <w:bookmarkStart w:id="54" w:name="_Toc26843623"/>
      <w:bookmarkStart w:id="55" w:name="_Toc15396614"/>
      <w:r>
        <w:rPr>
          <w:rFonts w:eastAsia="黑体"/>
          <w:sz w:val="44"/>
          <w:szCs w:val="44"/>
        </w:rPr>
        <w:t>第</w:t>
      </w:r>
      <w:r>
        <w:rPr>
          <w:rStyle w:val="1Char"/>
          <w:rFonts w:eastAsia="黑体"/>
        </w:rPr>
        <w:t>四部分 附件</w:t>
      </w:r>
      <w:bookmarkEnd w:id="54"/>
      <w:bookmarkEnd w:id="55"/>
    </w:p>
    <w:p>
      <w:pPr>
        <w:spacing w:line="576" w:lineRule="exact"/>
        <w:jc w:val="left"/>
        <w:outlineLvl w:val="0"/>
        <w:rPr>
          <w:rFonts w:eastAsia="方正小标宋简体"/>
          <w:sz w:val="44"/>
          <w:szCs w:val="44"/>
        </w:rPr>
      </w:pPr>
      <w:bookmarkStart w:id="56" w:name="_Toc26843624"/>
      <w:r>
        <w:rPr>
          <w:rFonts w:eastAsia="黑体"/>
          <w:sz w:val="32"/>
          <w:szCs w:val="32"/>
        </w:rPr>
        <w:t>附件</w:t>
      </w:r>
      <w:bookmarkEnd w:id="56"/>
    </w:p>
    <w:p>
      <w:pPr>
        <w:widowControl/>
        <w:spacing w:line="580" w:lineRule="exact"/>
        <w:contextualSpacing/>
        <w:jc w:val="center"/>
        <w:rPr>
          <w:rFonts w:ascii="黑体" w:eastAsia="黑体"/>
          <w:b/>
          <w:sz w:val="44"/>
          <w:szCs w:val="44"/>
          <w:shd w:val="clear" w:color="auto" w:fill="FFFFFF"/>
        </w:rPr>
      </w:pPr>
      <w:r>
        <w:rPr>
          <w:rFonts w:ascii="黑体" w:eastAsia="黑体" w:hint="eastAsia"/>
          <w:b/>
          <w:sz w:val="44"/>
          <w:szCs w:val="44"/>
          <w:shd w:val="clear" w:color="auto" w:fill="FFFFFF"/>
        </w:rPr>
        <w:t>2022年中共金川县委宣传部整体支出</w:t>
      </w:r>
    </w:p>
    <w:p>
      <w:pPr>
        <w:widowControl/>
        <w:spacing w:line="580" w:lineRule="exact"/>
        <w:contextualSpacing/>
        <w:jc w:val="center"/>
        <w:rPr>
          <w:rFonts w:ascii="黑体" w:eastAsia="黑体"/>
          <w:b/>
          <w:sz w:val="44"/>
          <w:szCs w:val="44"/>
          <w:shd w:val="clear" w:color="auto" w:fill="FFFFFF"/>
        </w:rPr>
      </w:pPr>
      <w:r>
        <w:rPr>
          <w:rFonts w:ascii="黑体" w:eastAsia="黑体" w:hint="eastAsia"/>
          <w:b/>
          <w:sz w:val="44"/>
          <w:szCs w:val="44"/>
          <w:shd w:val="clear" w:color="auto" w:fill="FFFFFF"/>
        </w:rPr>
        <w:t>绩效评价报告</w:t>
      </w:r>
    </w:p>
    <w:p>
      <w:pPr>
        <w:widowControl/>
        <w:adjustRightInd w:val="0"/>
        <w:snapToGrid w:val="0"/>
        <w:spacing w:line="480" w:lineRule="exact"/>
        <w:ind w:firstLine="720"/>
        <w:jc w:val="left"/>
        <w:rPr>
          <w:rFonts w:ascii="仿宋_GB2312" w:eastAsia="仿宋_GB2312" w:cs="仿宋_GB2312"/>
          <w:sz w:val="32"/>
          <w:szCs w:val="32"/>
        </w:rPr>
      </w:pPr>
      <w:r>
        <w:rPr>
          <w:rFonts w:ascii="仿宋_GB2312" w:eastAsia="仿宋_GB2312" w:cs="仿宋_GB2312" w:hint="eastAsia"/>
          <w:sz w:val="32"/>
          <w:szCs w:val="32"/>
        </w:rPr>
        <w:t>根据《金川县财政局关于开展2022年部门、政策和项目支出绩效工作的通知》（金财监绩【2022】22号）文件要求，结合本单位的实际，认真开展部门预算支出绩效自评工作，现将2021年部门预算支出绩效自评工作报告如下：</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widowControl/>
        <w:adjustRightInd w:val="0"/>
        <w:snapToGrid w:val="0"/>
        <w:spacing w:line="580" w:lineRule="exact"/>
        <w:ind w:firstLineChars="150" w:firstLine="48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（一）机构组成：</w:t>
      </w:r>
      <w:r>
        <w:rPr>
          <w:rFonts w:ascii="仿宋_GB2312" w:eastAsia="仿宋_GB2312" w:cs="仿宋_GB2312" w:hint="eastAsia"/>
          <w:sz w:val="32"/>
          <w:szCs w:val="32"/>
        </w:rPr>
        <w:t>2022年独立编制单位机构数为 1个</w:t>
      </w:r>
    </w:p>
    <w:p>
      <w:pPr>
        <w:widowControl/>
        <w:adjustRightInd w:val="0"/>
        <w:snapToGrid w:val="0"/>
        <w:spacing w:line="480" w:lineRule="exact"/>
        <w:ind w:firstLineChars="150" w:firstLine="48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shd w:val="clear" w:color="auto" w:fill="FFFFFF"/>
          <w:lang w:val="zh-CN"/>
        </w:rPr>
        <w:t>（二）机构职能：</w:t>
      </w:r>
      <w:r>
        <w:rPr>
          <w:rFonts w:ascii="仿宋_GB2312" w:eastAsia="仿宋_GB2312" w:cs="宋体" w:hint="eastAsia"/>
          <w:color w:val="000000"/>
          <w:kern w:val="0"/>
          <w:sz w:val="32"/>
          <w:szCs w:val="32"/>
          <w:lang w:val="zh-CN"/>
        </w:rPr>
        <w:t>1</w:t>
      </w:r>
      <w:r>
        <w:rPr>
          <w:rFonts w:ascii="仿宋_GB2312" w:eastAsia="仿宋_GB2312" w:cs="仿宋_GB2312" w:hint="eastAsia"/>
          <w:sz w:val="32"/>
          <w:szCs w:val="32"/>
        </w:rPr>
        <w:t>、负责组织、指导全县理论研究、理论学习、理论宣传和社会科学规划的工作，做好党员教育工作。 2、负责规划、部署全县性的宣传思想工作，会同有关部门研究和改进基层宣传思想工作；负责指导、协调和组织全县社会宣传工作。3、负责引导社会舆论，指导、监督、管理和协调全县新闻宣传、出版工作，对县新闻媒体实施方针政策的指导；负责指导、监督和管理全县网络新闻宣传；联系中央、省、市各级新闻单位。 4、负责全县对外宣传工作的总体规划，组织协调、指导和管理全县的外宣工作。 5、负责从宏观上指导文化艺术工作、精神产品的生产和文化市场的管理，对县文体局、县新闻中心、县文联从政治方向和方针政策方面实施领导，对宣传口各部门有关工作进行协调指导。 6、负责全县群众性精神文明创建工作的规划和组织实施；协调、指导和监督全县文明城市、行业、村镇、社区、未成年人思想道德建设等各类群众性精神文明创建活动。7、完成县委交办的其它任务。</w:t>
      </w:r>
    </w:p>
    <w:p>
      <w:pPr>
        <w:ind w:firstLineChars="100" w:firstLine="320"/>
        <w:rPr>
          <w:rFonts w:ascii="仿宋_GB2312" w:eastAsia="仿宋_GB2312" w:cs="仿宋_GB2312"/>
          <w:sz w:val="32"/>
          <w:szCs w:val="32"/>
        </w:rPr>
      </w:pPr>
      <w:r>
        <w:rPr>
          <w:rFonts w:ascii="仿宋_GB2312" w:eastAsia="仿宋_GB2312" w:cs="宋体" w:hint="eastAsia"/>
          <w:color w:val="000000"/>
          <w:kern w:val="0"/>
          <w:sz w:val="32"/>
          <w:szCs w:val="32"/>
          <w:shd w:val="clear" w:color="auto" w:fill="FFFFFF"/>
          <w:lang w:val="zh-CN"/>
        </w:rPr>
        <w:t>（三）人员概况：</w:t>
      </w:r>
      <w:r>
        <w:rPr>
          <w:rFonts w:ascii="仿宋_GB2312" w:eastAsia="仿宋_GB2312" w:cs="仿宋_GB2312" w:hint="eastAsia"/>
          <w:sz w:val="32"/>
          <w:szCs w:val="32"/>
        </w:rPr>
        <w:t xml:space="preserve">财政供养人员编制为13名，其中行政编制6名，行政工勤编制1名，事业编制6名；2022年实际财政供养人员13人，其中：行政6人，行政工勤1人，事业6人。 </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widowControl/>
        <w:adjustRightInd w:val="0"/>
        <w:snapToGrid w:val="0"/>
        <w:spacing w:line="480" w:lineRule="exact"/>
        <w:ind w:firstLineChars="250" w:firstLine="800"/>
        <w:jc w:val="left"/>
        <w:rPr>
          <w:rFonts w:ascii="仿宋_GB2312" w:eastAsia="仿宋_GB2312" w:cs="宋体"/>
          <w:color w:val="000000"/>
          <w:kern w:val="0"/>
          <w:sz w:val="32"/>
          <w:szCs w:val="32"/>
        </w:rPr>
      </w:pPr>
      <w:r>
        <w:rPr>
          <w:rFonts w:ascii="仿宋_GB2312" w:eastAsia="仿宋_GB2312" w:cs="宋体" w:hint="eastAsia"/>
          <w:color w:val="000000"/>
          <w:kern w:val="0"/>
          <w:sz w:val="32"/>
          <w:szCs w:val="32"/>
          <w:lang w:val="zh-CN"/>
        </w:rPr>
        <w:t>（一）1、2021年度总收入</w:t>
      </w:r>
      <w:r>
        <w:rPr>
          <w:rFonts w:ascii="仿宋_GB2312" w:eastAsia="仿宋_GB2312" w:cs="宋体" w:hint="eastAsia"/>
          <w:color w:val="000000"/>
          <w:kern w:val="0"/>
          <w:sz w:val="32"/>
          <w:szCs w:val="32"/>
        </w:rPr>
        <w:t>490.23万</w:t>
      </w:r>
      <w:r>
        <w:rPr>
          <w:rFonts w:ascii="仿宋_GB2312" w:eastAsia="仿宋_GB2312" w:cs="宋体" w:hint="eastAsia"/>
          <w:color w:val="000000"/>
          <w:kern w:val="0"/>
          <w:sz w:val="32"/>
          <w:szCs w:val="32"/>
          <w:lang w:val="zh-CN"/>
        </w:rPr>
        <w:t>元，其中</w:t>
      </w:r>
      <w:r>
        <w:rPr>
          <w:rFonts w:ascii="仿宋_GB2312" w:eastAsia="仿宋_GB2312" w:cs="宋体" w:hint="eastAsia"/>
          <w:color w:val="000000"/>
          <w:kern w:val="0"/>
          <w:sz w:val="32"/>
          <w:szCs w:val="32"/>
        </w:rPr>
        <w:t>一般公共预算财政拨款732.45万元，政府性基金预算拨款0万元。</w:t>
      </w:r>
    </w:p>
    <w:p>
      <w:pPr>
        <w:widowControl/>
        <w:adjustRightInd w:val="0"/>
        <w:snapToGrid w:val="0"/>
        <w:spacing w:line="480" w:lineRule="exact"/>
        <w:ind w:firstLineChars="250" w:firstLine="80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（二）1、2020年度总支出</w:t>
      </w:r>
      <w:r>
        <w:rPr>
          <w:rFonts w:ascii="仿宋_GB2312" w:eastAsia="仿宋_GB2312" w:cs="宋体" w:hint="eastAsia"/>
          <w:color w:val="000000"/>
          <w:kern w:val="0"/>
          <w:sz w:val="32"/>
          <w:szCs w:val="32"/>
        </w:rPr>
        <w:t>732.75</w:t>
      </w:r>
      <w:r>
        <w:rPr>
          <w:rFonts w:ascii="仿宋_GB2312" w:eastAsia="仿宋_GB2312" w:cs="宋体" w:hint="eastAsia"/>
          <w:color w:val="000000"/>
          <w:kern w:val="0"/>
          <w:sz w:val="32"/>
          <w:szCs w:val="32"/>
          <w:lang w:val="zh-CN"/>
        </w:rPr>
        <w:t>万元。其中商品和服务支出323.35</w:t>
      </w:r>
      <w:r>
        <w:rPr>
          <w:rFonts w:ascii="仿宋_GB2312" w:eastAsia="仿宋_GB2312" w:cs="宋体" w:hint="eastAsia"/>
          <w:color w:val="000000"/>
          <w:kern w:val="0"/>
          <w:sz w:val="32"/>
          <w:szCs w:val="32"/>
        </w:rPr>
        <w:t>万</w:t>
      </w:r>
      <w:r>
        <w:rPr>
          <w:rFonts w:ascii="仿宋_GB2312" w:eastAsia="仿宋_GB2312" w:cs="宋体" w:hint="eastAsia"/>
          <w:color w:val="000000"/>
          <w:kern w:val="0"/>
          <w:sz w:val="32"/>
          <w:szCs w:val="32"/>
          <w:lang w:val="zh-CN"/>
        </w:rPr>
        <w:t>元，工资福利支出174.94万元，对个人和家庭补助支出111.33万元，其他资本性支出123.13万元。</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widowControl/>
        <w:adjustRightInd w:val="0"/>
        <w:snapToGrid w:val="0"/>
        <w:spacing w:line="48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（一）预算编制情况。</w:t>
      </w:r>
    </w:p>
    <w:p>
      <w:pPr>
        <w:widowControl/>
        <w:adjustRightInd w:val="0"/>
        <w:snapToGrid w:val="0"/>
        <w:spacing w:line="54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2022年预算编制严格按照县级部门预算编制通知和有关要求，遵守国家编制的原则，按时完成2022年预算编制工作，并按时提交部门预算报告，预算编制全面、科学。</w:t>
      </w:r>
    </w:p>
    <w:p>
      <w:pPr>
        <w:widowControl/>
        <w:adjustRightInd w:val="0"/>
        <w:snapToGrid w:val="0"/>
        <w:spacing w:line="48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（二）执行管理情况。</w:t>
        <w:tab/>
      </w:r>
    </w:p>
    <w:p>
      <w:pPr>
        <w:widowControl/>
        <w:adjustRightInd w:val="0"/>
        <w:snapToGrid w:val="0"/>
        <w:spacing w:line="48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2021年公务接待费与2020年公务接待费无增减</w:t>
      </w:r>
    </w:p>
    <w:p>
      <w:pPr>
        <w:widowControl/>
        <w:adjustRightInd w:val="0"/>
        <w:snapToGrid w:val="0"/>
        <w:spacing w:line="48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2021年因公出国（境）费用为0元</w:t>
      </w:r>
    </w:p>
    <w:p>
      <w:pPr>
        <w:widowControl/>
        <w:adjustRightInd w:val="0"/>
        <w:snapToGrid w:val="0"/>
        <w:spacing w:line="48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2021年公务用车维护费比2020年公务用车维护费减减少8万元，厉行节约，严格按照国家规定的“三公”经费制度执行</w:t>
      </w:r>
    </w:p>
    <w:p>
      <w:pPr>
        <w:widowControl/>
        <w:adjustRightInd w:val="0"/>
        <w:snapToGrid w:val="0"/>
        <w:spacing w:line="48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（三）综合管理情况。</w:t>
      </w:r>
    </w:p>
    <w:p>
      <w:pPr>
        <w:pStyle w:val="2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1.政府性债务管理：2021年无政府性债务。</w:t>
      </w:r>
    </w:p>
    <w:p>
      <w:pPr>
        <w:pStyle w:val="2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2.非税收入执收：2021年无非税收入。</w:t>
      </w:r>
    </w:p>
    <w:p>
      <w:pPr>
        <w:pStyle w:val="2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3.政策采购实施计划：按照政府采购标准规定执行，2021年度完成农家书屋、新华书店大型修缮、新时代文明实践中心采购项目。</w:t>
      </w:r>
    </w:p>
    <w:p>
      <w:pPr>
        <w:pStyle w:val="2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4.资产管理：截止2021年底，县委宣传部固定资产总额为100.95万元。主要由办公设备、家具等组成，保障单位工作正常开展。本年度无利用国有资产对外投资、出租出借或处置国有资产取得收益。根据财政部门的要求，将全部固定资产纳入了国有资产管理系统，及时、准确、全面开展资产清查工作，并按时按质按量完成了国有资产月报表、年报表，做到了数据无错漏。</w:t>
      </w:r>
    </w:p>
    <w:p>
      <w:pPr>
        <w:pStyle w:val="2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5.内控制度管理：成立由县委常委、宣传部部长王仕文同志为组长，吴永洪同志为副组长，李川、李波为成员的内部控制领导小组，建立内部控制联席工作机制并开展工作；明确内部控制牵头股室为人秘股，负责内部控制建设实施工作，监督部门为纪检部门，负责建立权力运行监督及考评机制，定期督查决策权、执行权等权力行使的情况，及时发现权力运行过程中的问题，予以校正和改进；根据单位“三定”方案，组织进行经济业务流程梳理、再造；开展对单位不相容岗位职务分离情况、涉及内部权力集中重点领域和关键岗位建立制衡机制情况排查工作。</w:t>
      </w:r>
    </w:p>
    <w:p>
      <w:pPr>
        <w:pStyle w:val="2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6.信息公开：县委宣传部按要求及时对部门预算进行了公开。</w:t>
      </w:r>
    </w:p>
    <w:p>
      <w:pPr>
        <w:pStyle w:val="2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7.绩效评价：根据《金川县财政局关于开展2022年财政绩效评价工作的通知》（金财监绩〔2022〕22号）精神，县委宣传部明确专人依据方案组织开展绩效评价工作，对2021年财政资金整体绩效进行分析，形成报告。</w:t>
      </w:r>
    </w:p>
    <w:p>
      <w:pPr>
        <w:pStyle w:val="2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8.接受财政监督：县委宣传部依法接受财政监督。</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四、评价结论及建议</w:t>
      </w:r>
    </w:p>
    <w:p>
      <w:pPr>
        <w:widowControl/>
        <w:adjustRightInd w:val="0"/>
        <w:snapToGrid w:val="0"/>
        <w:spacing w:line="480" w:lineRule="exact"/>
        <w:ind w:firstLine="720"/>
        <w:jc w:val="left"/>
        <w:rPr>
          <w:rFonts w:ascii="仿宋_GB2312" w:eastAsia="仿宋_GB2312" w:cs="宋体"/>
          <w:b/>
          <w:color w:val="000000"/>
          <w:kern w:val="0"/>
          <w:sz w:val="32"/>
          <w:szCs w:val="32"/>
          <w:lang w:val="zh-CN"/>
        </w:rPr>
      </w:pPr>
      <w:r>
        <w:rPr>
          <w:rFonts w:ascii="仿宋_GB2312" w:eastAsia="仿宋_GB2312" w:cs="宋体" w:hint="eastAsia"/>
          <w:b/>
          <w:color w:val="000000"/>
          <w:kern w:val="0"/>
          <w:sz w:val="32"/>
          <w:szCs w:val="32"/>
          <w:lang w:val="zh-CN"/>
        </w:rPr>
        <w:t>（一）评价结论。</w:t>
      </w:r>
    </w:p>
    <w:p>
      <w:pPr>
        <w:widowControl/>
        <w:adjustRightInd w:val="0"/>
        <w:snapToGrid w:val="0"/>
        <w:spacing w:line="48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 xml:space="preserve">   我部2021年部门支出与年初预算基本一致，达到预期绩效目标。</w:t>
      </w:r>
    </w:p>
    <w:p>
      <w:pPr>
        <w:widowControl/>
        <w:adjustRightInd w:val="0"/>
        <w:snapToGrid w:val="0"/>
        <w:spacing w:line="480" w:lineRule="exact"/>
        <w:ind w:firstLine="720"/>
        <w:jc w:val="left"/>
        <w:rPr>
          <w:rFonts w:ascii="仿宋_GB2312" w:eastAsia="仿宋_GB2312" w:cs="宋体"/>
          <w:color w:val="000000"/>
          <w:kern w:val="0"/>
          <w:sz w:val="32"/>
          <w:szCs w:val="32"/>
          <w:lang w:val="zh-CN"/>
        </w:rPr>
      </w:pPr>
      <w:r>
        <w:rPr>
          <w:rFonts w:ascii="仿宋_GB2312" w:eastAsia="仿宋_GB2312" w:cs="宋体" w:hint="eastAsia"/>
          <w:b/>
          <w:color w:val="000000"/>
          <w:kern w:val="0"/>
          <w:sz w:val="32"/>
          <w:szCs w:val="32"/>
          <w:lang w:val="zh-CN"/>
        </w:rPr>
        <w:t>（二）存在问题。</w:t>
      </w:r>
    </w:p>
    <w:p>
      <w:pPr>
        <w:widowControl/>
        <w:adjustRightInd w:val="0"/>
        <w:snapToGrid w:val="0"/>
        <w:spacing w:line="48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 xml:space="preserve">  预算编制还需进一步细化。</w:t>
      </w:r>
    </w:p>
    <w:p>
      <w:pPr>
        <w:widowControl/>
        <w:adjustRightInd w:val="0"/>
        <w:snapToGrid w:val="0"/>
        <w:spacing w:line="480" w:lineRule="exact"/>
        <w:ind w:firstLine="720"/>
        <w:jc w:val="left"/>
        <w:rPr>
          <w:rFonts w:ascii="仿宋_GB2312" w:eastAsia="仿宋_GB2312" w:cs="宋体"/>
          <w:b/>
          <w:color w:val="000000"/>
          <w:kern w:val="0"/>
          <w:sz w:val="32"/>
          <w:szCs w:val="32"/>
          <w:lang w:val="zh-CN"/>
        </w:rPr>
      </w:pPr>
      <w:r>
        <w:rPr>
          <w:rFonts w:ascii="仿宋_GB2312" w:eastAsia="仿宋_GB2312" w:cs="宋体" w:hint="eastAsia"/>
          <w:b/>
          <w:color w:val="000000"/>
          <w:kern w:val="0"/>
          <w:sz w:val="32"/>
          <w:szCs w:val="32"/>
          <w:lang w:val="zh-CN"/>
        </w:rPr>
        <w:t>（三）改进建议。</w:t>
      </w:r>
    </w:p>
    <w:p>
      <w:pPr>
        <w:widowControl/>
        <w:adjustRightInd w:val="0"/>
        <w:snapToGrid w:val="0"/>
        <w:spacing w:line="480" w:lineRule="exact"/>
        <w:ind w:firstLine="720"/>
        <w:jc w:val="left"/>
        <w:rPr>
          <w:rFonts w:ascii="仿宋_GB2312" w:eastAsia="仿宋_GB2312" w:cs="宋体"/>
          <w:color w:val="000000"/>
          <w:kern w:val="0"/>
          <w:sz w:val="32"/>
          <w:szCs w:val="32"/>
          <w:lang w:val="zh-CN"/>
        </w:rPr>
      </w:pPr>
      <w:r>
        <w:rPr>
          <w:rFonts w:ascii="仿宋_GB2312" w:eastAsia="仿宋_GB2312" w:cs="宋体" w:hint="eastAsia"/>
          <w:color w:val="000000"/>
          <w:kern w:val="0"/>
          <w:sz w:val="32"/>
          <w:szCs w:val="32"/>
          <w:lang w:val="zh-CN"/>
        </w:rPr>
        <w:t xml:space="preserve">1、遵循先有预算、后有支出的原则，加强财务管理和内部控制监督制度。严禁超预算和无预算安排支出，严格开支范围和标准，严格支出报销审核，不报销任何超范围、超标准的费用。 </w:t>
        <w:br/>
        <w:t xml:space="preserve">   2、严格控制“三公”经费。认真贯彻落实中央、省委省政府和县委县政府相关规定，严格“三公”经费支出的审核和审批，合理压缩“三公”经费支出。</w:t>
      </w:r>
    </w:p>
    <w:p/>
    <w:p/>
    <w:p/>
    <w:p/>
    <w:p/>
    <w:p/>
    <w:p/>
    <w:p/>
    <w:p/>
    <w:p/>
    <w:p/>
    <w:p/>
    <w:p/>
    <w:p/>
    <w:p/>
    <w:p/>
    <w:p/>
    <w:p>
      <w:pPr>
        <w:spacing w:line="576" w:lineRule="exact"/>
        <w:jc w:val="center"/>
        <w:outlineLvl w:val="0"/>
        <w:rPr>
          <w:rFonts w:eastAsia="黑体"/>
          <w:sz w:val="44"/>
          <w:szCs w:val="44"/>
        </w:rPr>
      </w:pPr>
      <w:bookmarkStart w:id="57" w:name="_Toc15396618"/>
      <w:bookmarkStart w:id="58" w:name="_Toc26843625"/>
    </w:p>
    <w:p>
      <w:pPr>
        <w:spacing w:line="576" w:lineRule="exact"/>
        <w:jc w:val="center"/>
        <w:outlineLvl w:val="0"/>
        <w:rPr>
          <w:rFonts w:eastAsia="黑体"/>
          <w:sz w:val="44"/>
          <w:szCs w:val="44"/>
        </w:rPr>
      </w:pPr>
    </w:p>
    <w:p>
      <w:pPr>
        <w:spacing w:line="576" w:lineRule="exact"/>
        <w:jc w:val="center"/>
        <w:outlineLvl w:val="0"/>
        <w:rPr>
          <w:rFonts w:eastAsia="黑体"/>
          <w:sz w:val="44"/>
          <w:szCs w:val="44"/>
        </w:rPr>
      </w:pPr>
    </w:p>
    <w:p>
      <w:pPr>
        <w:spacing w:line="576" w:lineRule="exact"/>
        <w:jc w:val="center"/>
        <w:outlineLvl w:val="0"/>
        <w:rPr>
          <w:rFonts w:eastAsia="黑体"/>
          <w:sz w:val="44"/>
          <w:szCs w:val="44"/>
        </w:rPr>
      </w:pPr>
    </w:p>
    <w:p>
      <w:pPr>
        <w:spacing w:line="576" w:lineRule="exact"/>
        <w:jc w:val="center"/>
        <w:outlineLvl w:val="0"/>
        <w:rPr>
          <w:rFonts w:eastAsia="黑体"/>
          <w:sz w:val="44"/>
          <w:szCs w:val="44"/>
        </w:rPr>
      </w:pPr>
    </w:p>
    <w:p>
      <w:pPr>
        <w:spacing w:line="576" w:lineRule="exact"/>
        <w:jc w:val="center"/>
        <w:outlineLvl w:val="0"/>
        <w:rPr>
          <w:rFonts w:eastAsia="黑体"/>
          <w:sz w:val="44"/>
          <w:szCs w:val="44"/>
        </w:rPr>
      </w:pPr>
    </w:p>
    <w:p>
      <w:pPr>
        <w:spacing w:line="576" w:lineRule="exact"/>
        <w:jc w:val="center"/>
        <w:outlineLvl w:val="0"/>
        <w:rPr>
          <w:rFonts w:eastAsia="黑体"/>
          <w:sz w:val="44"/>
          <w:szCs w:val="44"/>
        </w:rPr>
      </w:pPr>
    </w:p>
    <w:p>
      <w:pPr>
        <w:spacing w:line="576" w:lineRule="exact"/>
        <w:jc w:val="center"/>
        <w:outlineLvl w:val="0"/>
        <w:rPr>
          <w:rFonts w:eastAsia="黑体"/>
          <w:sz w:val="44"/>
          <w:szCs w:val="44"/>
        </w:rPr>
      </w:pPr>
    </w:p>
    <w:p>
      <w:pPr>
        <w:spacing w:line="576" w:lineRule="exact"/>
        <w:jc w:val="center"/>
        <w:outlineLvl w:val="0"/>
        <w:rPr>
          <w:rFonts w:eastAsia="黑体"/>
          <w:sz w:val="44"/>
          <w:szCs w:val="44"/>
        </w:rPr>
      </w:pPr>
    </w:p>
    <w:p>
      <w:pPr>
        <w:spacing w:line="576" w:lineRule="exact"/>
        <w:jc w:val="center"/>
        <w:outlineLvl w:val="0"/>
        <w:rPr>
          <w:rFonts w:eastAsia="黑体"/>
          <w:sz w:val="44"/>
          <w:szCs w:val="44"/>
        </w:rPr>
      </w:pPr>
    </w:p>
    <w:p>
      <w:pPr>
        <w:spacing w:line="576" w:lineRule="exact"/>
        <w:jc w:val="center"/>
        <w:outlineLvl w:val="0"/>
        <w:rPr>
          <w:rFonts w:eastAsia="仿宋"/>
        </w:rPr>
      </w:pPr>
      <w:r>
        <w:rPr>
          <w:rFonts w:eastAsia="黑体"/>
          <w:sz w:val="44"/>
          <w:szCs w:val="44"/>
        </w:rPr>
        <w:t>第</w:t>
      </w:r>
      <w:r>
        <w:rPr>
          <w:rStyle w:val="1Char"/>
          <w:rFonts w:eastAsia="黑体"/>
        </w:rPr>
        <w:t>五部分 附表</w:t>
      </w:r>
      <w:bookmarkStart w:id="59" w:name="_Toc15396619"/>
      <w:bookmarkEnd w:id="57"/>
      <w:bookmarkEnd w:id="58"/>
    </w:p>
    <w:p>
      <w:pPr>
        <w:pStyle w:val="2"/>
        <w:spacing w:line="576" w:lineRule="exact"/>
        <w:rPr>
          <w:rFonts w:ascii="Times New Roman" w:eastAsia="仿宋" w:hAnsi="Times New Roman"/>
        </w:rPr>
      </w:pPr>
      <w:bookmarkStart w:id="60" w:name="_Toc26843626"/>
      <w:r>
        <w:rPr>
          <w:rFonts w:ascii="Times New Roman" w:eastAsia="仿宋" w:hAnsi="Times New Roman"/>
          <w:b w:val="0"/>
        </w:rPr>
        <w:t>一、收</w:t>
      </w:r>
      <w:r>
        <w:rPr>
          <w:rStyle w:val="2Char"/>
          <w:rFonts w:ascii="Times New Roman" w:eastAsia="仿宋" w:hAnsi="Times New Roman"/>
          <w:b/>
          <w:bCs/>
        </w:rPr>
        <w:t>入支出决算总表</w:t>
      </w:r>
      <w:bookmarkEnd w:id="59"/>
      <w:bookmarkEnd w:id="60"/>
    </w:p>
    <w:p>
      <w:pPr>
        <w:pStyle w:val="2"/>
        <w:spacing w:line="576" w:lineRule="exact"/>
        <w:rPr>
          <w:rFonts w:ascii="Times New Roman" w:eastAsia="仿宋" w:hAnsi="Times New Roman"/>
        </w:rPr>
      </w:pPr>
      <w:bookmarkStart w:id="61" w:name="_Toc26843627"/>
      <w:bookmarkStart w:id="62" w:name="_Toc15396620"/>
      <w:r>
        <w:rPr>
          <w:rFonts w:ascii="Times New Roman" w:eastAsia="仿宋" w:hAnsi="Times New Roman"/>
          <w:b w:val="0"/>
        </w:rPr>
        <w:t>二、收</w:t>
      </w:r>
      <w:r>
        <w:rPr>
          <w:rStyle w:val="2Char"/>
          <w:rFonts w:ascii="Times New Roman" w:eastAsia="仿宋" w:hAnsi="Times New Roman"/>
          <w:b/>
          <w:bCs/>
        </w:rPr>
        <w:t>入决算表</w:t>
      </w:r>
      <w:bookmarkEnd w:id="61"/>
      <w:bookmarkEnd w:id="62"/>
    </w:p>
    <w:p>
      <w:pPr>
        <w:pStyle w:val="2"/>
        <w:spacing w:line="576" w:lineRule="exact"/>
        <w:rPr>
          <w:rFonts w:ascii="Times New Roman" w:eastAsia="仿宋" w:hAnsi="Times New Roman"/>
        </w:rPr>
      </w:pPr>
      <w:bookmarkStart w:id="63" w:name="_Toc26843628"/>
      <w:bookmarkStart w:id="64" w:name="_Toc15396621"/>
      <w:r>
        <w:rPr>
          <w:rStyle w:val="2Char"/>
          <w:rFonts w:ascii="Times New Roman" w:eastAsia="仿宋" w:hAnsi="Times New Roman"/>
          <w:b/>
          <w:bCs/>
        </w:rPr>
        <w:t>三、</w:t>
      </w:r>
      <w:r>
        <w:rPr>
          <w:rFonts w:ascii="Times New Roman" w:eastAsia="仿宋" w:hAnsi="Times New Roman"/>
          <w:b w:val="0"/>
        </w:rPr>
        <w:t>支</w:t>
      </w:r>
      <w:r>
        <w:rPr>
          <w:rStyle w:val="2Char"/>
          <w:rFonts w:ascii="Times New Roman" w:eastAsia="仿宋" w:hAnsi="Times New Roman"/>
          <w:b/>
          <w:bCs/>
        </w:rPr>
        <w:t>出决算表</w:t>
      </w:r>
      <w:bookmarkEnd w:id="63"/>
      <w:bookmarkEnd w:id="64"/>
    </w:p>
    <w:p>
      <w:pPr>
        <w:pStyle w:val="2"/>
        <w:spacing w:line="576" w:lineRule="exact"/>
        <w:rPr>
          <w:rFonts w:ascii="Times New Roman" w:eastAsia="仿宋" w:hAnsi="Times New Roman"/>
          <w:b w:val="0"/>
        </w:rPr>
      </w:pPr>
      <w:bookmarkStart w:id="65" w:name="_Toc26843629"/>
      <w:bookmarkStart w:id="66" w:name="_Toc15396622"/>
      <w:r>
        <w:rPr>
          <w:rStyle w:val="2Char"/>
          <w:rFonts w:ascii="Times New Roman" w:eastAsia="仿宋" w:hAnsi="Times New Roman"/>
          <w:b/>
          <w:bCs/>
        </w:rPr>
        <w:t>四、</w:t>
      </w:r>
      <w:r>
        <w:rPr>
          <w:rFonts w:ascii="Times New Roman" w:eastAsia="仿宋" w:hAnsi="Times New Roman"/>
          <w:b w:val="0"/>
        </w:rPr>
        <w:t>财</w:t>
      </w:r>
      <w:r>
        <w:rPr>
          <w:rStyle w:val="2Char"/>
          <w:rFonts w:ascii="Times New Roman" w:eastAsia="仿宋" w:hAnsi="Times New Roman"/>
          <w:b/>
          <w:bCs/>
        </w:rPr>
        <w:t>政拨款收入支出决算总表</w:t>
      </w:r>
      <w:bookmarkEnd w:id="65"/>
      <w:bookmarkEnd w:id="66"/>
    </w:p>
    <w:p>
      <w:pPr>
        <w:pStyle w:val="2"/>
        <w:spacing w:line="576" w:lineRule="exact"/>
        <w:rPr>
          <w:rStyle w:val="2Char"/>
          <w:rFonts w:ascii="Times New Roman" w:eastAsia="仿宋" w:hAnsi="Times New Roman"/>
        </w:rPr>
      </w:pPr>
      <w:bookmarkStart w:id="67" w:name="_Toc15396623"/>
      <w:bookmarkStart w:id="68" w:name="_Toc26843630"/>
      <w:r>
        <w:rPr>
          <w:rStyle w:val="2Char"/>
          <w:rFonts w:ascii="Times New Roman" w:eastAsia="仿宋" w:hAnsi="Times New Roman"/>
          <w:b/>
          <w:bCs/>
        </w:rPr>
        <w:t>五、</w:t>
      </w:r>
      <w:r>
        <w:rPr>
          <w:rFonts w:ascii="Times New Roman" w:eastAsia="仿宋" w:hAnsi="Times New Roman"/>
          <w:b w:val="0"/>
        </w:rPr>
        <w:t>财</w:t>
      </w:r>
      <w:r>
        <w:rPr>
          <w:rStyle w:val="2Char"/>
          <w:rFonts w:ascii="Times New Roman" w:eastAsia="仿宋" w:hAnsi="Times New Roman"/>
          <w:b/>
          <w:bCs/>
        </w:rPr>
        <w:t>政拨款支出决算明细表</w:t>
      </w:r>
      <w:bookmarkStart w:id="69" w:name="_Toc15396624"/>
      <w:bookmarkEnd w:id="67"/>
      <w:bookmarkEnd w:id="68"/>
    </w:p>
    <w:p>
      <w:pPr>
        <w:pStyle w:val="2"/>
        <w:spacing w:line="576" w:lineRule="exact"/>
        <w:rPr>
          <w:rFonts w:ascii="Times New Roman" w:eastAsia="仿宋" w:hAnsi="Times New Roman"/>
        </w:rPr>
      </w:pPr>
      <w:bookmarkStart w:id="70" w:name="_Toc26843631"/>
      <w:r>
        <w:rPr>
          <w:rStyle w:val="2Char"/>
          <w:rFonts w:ascii="Times New Roman" w:eastAsia="仿宋" w:hAnsi="Times New Roman"/>
          <w:b/>
          <w:bCs/>
        </w:rPr>
        <w:t>六、</w:t>
      </w:r>
      <w:r>
        <w:rPr>
          <w:rFonts w:ascii="Times New Roman" w:eastAsia="仿宋" w:hAnsi="Times New Roman"/>
          <w:b w:val="0"/>
        </w:rPr>
        <w:t>一</w:t>
      </w:r>
      <w:r>
        <w:rPr>
          <w:rStyle w:val="2Char"/>
          <w:rFonts w:ascii="Times New Roman" w:eastAsia="仿宋" w:hAnsi="Times New Roman"/>
          <w:b/>
          <w:bCs/>
        </w:rPr>
        <w:t>般公共预算财政拨款支出决算表</w:t>
      </w:r>
      <w:bookmarkEnd w:id="69"/>
      <w:bookmarkEnd w:id="70"/>
    </w:p>
    <w:p>
      <w:pPr>
        <w:pStyle w:val="2"/>
        <w:spacing w:line="576" w:lineRule="exact"/>
        <w:rPr>
          <w:rFonts w:ascii="Times New Roman" w:eastAsia="仿宋" w:hAnsi="Times New Roman"/>
        </w:rPr>
      </w:pPr>
      <w:bookmarkStart w:id="71" w:name="_Toc15396625"/>
      <w:bookmarkStart w:id="72" w:name="_Toc26843632"/>
      <w:r>
        <w:rPr>
          <w:rStyle w:val="2Char"/>
          <w:rFonts w:ascii="Times New Roman" w:eastAsia="仿宋" w:hAnsi="Times New Roman"/>
          <w:b/>
          <w:bCs/>
        </w:rPr>
        <w:t>七、</w:t>
      </w:r>
      <w:r>
        <w:rPr>
          <w:rFonts w:ascii="Times New Roman" w:eastAsia="仿宋" w:hAnsi="Times New Roman"/>
          <w:b w:val="0"/>
        </w:rPr>
        <w:t>一</w:t>
      </w:r>
      <w:r>
        <w:rPr>
          <w:rStyle w:val="2Char"/>
          <w:rFonts w:ascii="Times New Roman" w:eastAsia="仿宋" w:hAnsi="Times New Roman"/>
          <w:b/>
          <w:bCs/>
        </w:rPr>
        <w:t>般公共预算财政拨款支出决算明细表</w:t>
      </w:r>
      <w:bookmarkEnd w:id="71"/>
      <w:bookmarkEnd w:id="72"/>
    </w:p>
    <w:p>
      <w:pPr>
        <w:pStyle w:val="2"/>
        <w:spacing w:line="576" w:lineRule="exact"/>
        <w:rPr>
          <w:rFonts w:ascii="Times New Roman" w:eastAsia="仿宋" w:hAnsi="Times New Roman"/>
        </w:rPr>
      </w:pPr>
      <w:bookmarkStart w:id="73" w:name="_Toc26843633"/>
      <w:bookmarkStart w:id="74" w:name="_Toc15396626"/>
      <w:r>
        <w:rPr>
          <w:rStyle w:val="2Char"/>
          <w:rFonts w:ascii="Times New Roman" w:eastAsia="仿宋" w:hAnsi="Times New Roman"/>
          <w:b/>
          <w:bCs/>
        </w:rPr>
        <w:t>八、</w:t>
      </w:r>
      <w:r>
        <w:rPr>
          <w:rFonts w:ascii="Times New Roman" w:eastAsia="仿宋" w:hAnsi="Times New Roman"/>
          <w:b w:val="0"/>
        </w:rPr>
        <w:t>一</w:t>
      </w:r>
      <w:r>
        <w:rPr>
          <w:rStyle w:val="2Char"/>
          <w:rFonts w:ascii="Times New Roman" w:eastAsia="仿宋" w:hAnsi="Times New Roman"/>
          <w:b/>
          <w:bCs/>
        </w:rPr>
        <w:t>般公共预算财政拨款基本支出决算表</w:t>
      </w:r>
      <w:bookmarkEnd w:id="73"/>
      <w:bookmarkEnd w:id="74"/>
    </w:p>
    <w:p>
      <w:pPr>
        <w:pStyle w:val="2"/>
        <w:spacing w:line="576" w:lineRule="exact"/>
        <w:rPr>
          <w:rFonts w:ascii="Times New Roman" w:eastAsia="仿宋" w:hAnsi="Times New Roman"/>
        </w:rPr>
      </w:pPr>
      <w:bookmarkStart w:id="75" w:name="_Toc15396627"/>
      <w:bookmarkStart w:id="76" w:name="_Toc26843634"/>
      <w:r>
        <w:rPr>
          <w:rStyle w:val="2Char"/>
          <w:rFonts w:ascii="Times New Roman" w:eastAsia="仿宋" w:hAnsi="Times New Roman"/>
          <w:b/>
          <w:bCs/>
        </w:rPr>
        <w:t>九、</w:t>
      </w:r>
      <w:r>
        <w:rPr>
          <w:rFonts w:ascii="Times New Roman" w:eastAsia="仿宋" w:hAnsi="Times New Roman"/>
          <w:b w:val="0"/>
        </w:rPr>
        <w:t>一</w:t>
      </w:r>
      <w:r>
        <w:rPr>
          <w:rStyle w:val="2Char"/>
          <w:rFonts w:ascii="Times New Roman" w:eastAsia="仿宋" w:hAnsi="Times New Roman"/>
          <w:b/>
          <w:bCs/>
        </w:rPr>
        <w:t>般公共预算财政拨款项目支出决算表</w:t>
      </w:r>
      <w:bookmarkEnd w:id="75"/>
      <w:bookmarkEnd w:id="76"/>
    </w:p>
    <w:p>
      <w:pPr>
        <w:pStyle w:val="2"/>
        <w:spacing w:line="576" w:lineRule="exact"/>
        <w:rPr>
          <w:rFonts w:ascii="Times New Roman" w:eastAsia="仿宋" w:hAnsi="Times New Roman"/>
        </w:rPr>
      </w:pPr>
      <w:bookmarkStart w:id="77" w:name="_Toc15396628"/>
      <w:bookmarkStart w:id="78" w:name="_Toc26843635"/>
      <w:r>
        <w:rPr>
          <w:rStyle w:val="2Char"/>
          <w:rFonts w:ascii="Times New Roman" w:eastAsia="仿宋" w:hAnsi="Times New Roman"/>
          <w:b/>
          <w:bCs/>
        </w:rPr>
        <w:t>十、</w:t>
      </w:r>
      <w:r>
        <w:rPr>
          <w:rFonts w:ascii="Times New Roman" w:eastAsia="仿宋" w:hAnsi="Times New Roman"/>
          <w:b w:val="0"/>
        </w:rPr>
        <w:t>一</w:t>
      </w:r>
      <w:r>
        <w:rPr>
          <w:rStyle w:val="2Char"/>
          <w:rFonts w:ascii="Times New Roman" w:eastAsia="仿宋" w:hAnsi="Times New Roman"/>
          <w:b/>
          <w:bCs/>
        </w:rPr>
        <w:t>般公共预算财政拨款“三公”经费支出决算表</w:t>
      </w:r>
      <w:bookmarkEnd w:id="77"/>
      <w:bookmarkEnd w:id="78"/>
    </w:p>
    <w:p>
      <w:pPr>
        <w:pStyle w:val="2"/>
        <w:spacing w:line="576" w:lineRule="exact"/>
        <w:rPr>
          <w:rFonts w:ascii="Times New Roman" w:eastAsia="仿宋" w:hAnsi="Times New Roman"/>
        </w:rPr>
      </w:pPr>
      <w:bookmarkStart w:id="79" w:name="_Toc26843636"/>
      <w:bookmarkStart w:id="80" w:name="_Toc15396629"/>
      <w:r>
        <w:rPr>
          <w:rStyle w:val="2Char"/>
          <w:rFonts w:ascii="Times New Roman" w:eastAsia="仿宋" w:hAnsi="Times New Roman"/>
          <w:b/>
          <w:bCs/>
        </w:rPr>
        <w:t>十一、</w:t>
      </w:r>
      <w:r>
        <w:rPr>
          <w:rFonts w:ascii="Times New Roman" w:eastAsia="仿宋" w:hAnsi="Times New Roman"/>
          <w:b w:val="0"/>
        </w:rPr>
        <w:t>政</w:t>
      </w:r>
      <w:r>
        <w:rPr>
          <w:rStyle w:val="2Char"/>
          <w:rFonts w:ascii="Times New Roman" w:eastAsia="仿宋" w:hAnsi="Times New Roman"/>
          <w:b/>
          <w:bCs/>
        </w:rPr>
        <w:t>府性基金预算财政拨款收入支出决算表</w:t>
      </w:r>
      <w:bookmarkEnd w:id="79"/>
      <w:bookmarkEnd w:id="80"/>
    </w:p>
    <w:p>
      <w:pPr>
        <w:pStyle w:val="2"/>
        <w:spacing w:line="576" w:lineRule="exact"/>
        <w:rPr>
          <w:rStyle w:val="2Char"/>
          <w:rFonts w:ascii="Times New Roman" w:eastAsia="仿宋" w:hAnsi="Times New Roman"/>
        </w:rPr>
      </w:pPr>
      <w:bookmarkStart w:id="81" w:name="_Toc26843637"/>
      <w:bookmarkStart w:id="82" w:name="_Toc15396630"/>
      <w:r>
        <w:rPr>
          <w:rStyle w:val="2Char"/>
          <w:rFonts w:ascii="Times New Roman" w:eastAsia="仿宋" w:hAnsi="Times New Roman"/>
          <w:b/>
          <w:bCs/>
        </w:rPr>
        <w:t>十二、</w:t>
      </w:r>
      <w:bookmarkStart w:id="83" w:name="_Toc15396631"/>
      <w:bookmarkStart w:id="84" w:name="_Toc26843638"/>
      <w:bookmarkEnd w:id="81"/>
      <w:bookmarkEnd w:id="82"/>
      <w:r>
        <w:rPr>
          <w:rFonts w:ascii="Times New Roman" w:eastAsia="仿宋" w:hAnsi="Times New Roman"/>
          <w:b w:val="0"/>
        </w:rPr>
        <w:t>国</w:t>
      </w:r>
      <w:r>
        <w:rPr>
          <w:rStyle w:val="2Char"/>
          <w:rFonts w:ascii="Times New Roman" w:eastAsia="仿宋" w:hAnsi="Times New Roman"/>
          <w:b/>
          <w:bCs/>
        </w:rPr>
        <w:t>有资本经营预算财政拨款收入支出决算表</w:t>
      </w:r>
    </w:p>
    <w:p>
      <w:pPr>
        <w:pStyle w:val="2"/>
        <w:spacing w:line="576" w:lineRule="exact"/>
        <w:rPr>
          <w:rStyle w:val="2Char"/>
          <w:rFonts w:ascii="Times New Roman" w:eastAsia="仿宋" w:hAnsi="Times New Roman"/>
        </w:rPr>
      </w:pPr>
      <w:r>
        <w:rPr>
          <w:rStyle w:val="2Char"/>
          <w:rFonts w:ascii="Times New Roman" w:eastAsia="仿宋" w:hAnsi="Times New Roman"/>
          <w:b/>
          <w:bCs/>
        </w:rPr>
        <w:t>十三、</w:t>
      </w:r>
      <w:bookmarkEnd w:id="83"/>
      <w:bookmarkEnd w:id="84"/>
      <w:r>
        <w:rPr>
          <w:rStyle w:val="2Char"/>
          <w:rFonts w:eastAsia="仿宋"/>
        </w:rPr>
        <w:t>国有资本经营预算财政拨款支出决算表</w:t>
      </w:r>
    </w:p>
    <w:p>
      <w:pPr>
        <w:spacing w:line="576" w:lineRule="exact"/>
        <w:rPr>
          <w:rFonts w:eastAsia="仿宋"/>
        </w:rPr>
      </w:pPr>
      <w:bookmarkStart w:id="85" w:name="_Toc26843639"/>
      <w:bookmarkEnd w:id="85"/>
    </w:p>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AR PL UKai CN"/>
    <w:panose1 w:val="02010609060101010101"/>
    <w:charset w:val="86"/>
    <w:family w:val="modern"/>
    <w:pitch w:val="variable"/>
    <w:sig w:usb0="800002BF" w:usb1="38CF7CFA" w:usb2="00000016" w:usb3="00000000" w:csb0="00040001" w:csb1="00000000"/>
  </w:font>
  <w:font w:name="方正小标宋简体">
    <w:altName w:val="AR PL UKai CN"/>
    <w:panose1 w:val="00000000000000000000"/>
    <w:charset w:val="86"/>
    <w:family w:val="auto"/>
    <w:pitch w:val="variable"/>
    <w:sig w:usb0="00000000" w:usb1="080E0000" w:usb2="00000000" w:usb3="00000000" w:csb0="00040000" w:csb1="00000000"/>
  </w:font>
  <w:font w:name="Arial">
    <w:altName w:val="DejaVu Sans"/>
    <w:panose1 w:val="020B0604020202020204"/>
    <w:charset w:val="00"/>
    <w:family w:val="swiss"/>
    <w:pitch w:val="variable"/>
    <w:sig w:usb0="E0002AFF" w:usb1="C0007843" w:usb2="00000009" w:usb3="00000000" w:csb0="000001FF" w:csb1="00000000"/>
  </w:font>
  <w:font w:name="Times New Roman">
    <w:altName w:val="DejaVu Sans"/>
    <w:panose1 w:val="02020603050405020304"/>
    <w:charset w:val="00"/>
    <w:family w:val="roman"/>
    <w:pitch w:val="variable"/>
    <w:sig w:usb0="E0002AFF" w:usb1="C0007841" w:usb2="00000009" w:usb3="00000000" w:csb0="000001FF" w:csb1="00000000"/>
  </w:font>
  <w:font w:name="仿宋">
    <w:altName w:val="仿宋_GB2312"/>
    <w:panose1 w:val="02010609060101010101"/>
    <w:charset w:val="86"/>
    <w:family w:val="modern"/>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宋体">
    <w:altName w:val="AR PL UKai CN"/>
    <w:panose1 w:val="02010600030101010101"/>
    <w:charset w:val="86"/>
    <w:family w:val="auto"/>
    <w:pitch w:val="variable"/>
    <w:sig w:usb0="00000003" w:usb1="288F0000" w:usb2="00000016" w:usb3="00000000" w:csb0="00040001" w:csb1="00000000"/>
  </w:font>
  <w:font w:name="Cambria">
    <w:altName w:val="DejaVu Sans"/>
    <w:panose1 w:val="02040503050406030204"/>
    <w:charset w:val="00"/>
    <w:family w:val="roman"/>
    <w:pitch w:val="variable"/>
    <w:sig w:usb0="E00002FF" w:usb1="400004FF" w:usb2="00000000" w:usb3="00000000" w:csb0="0000019F" w:csb1="00000000"/>
  </w:font>
  <w:font w:name="Calibri">
    <w:altName w:val="DejaVu Sans"/>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058122280"/>
      <w:docPartList>
        <w:docPartGallery w:val="Quick Parts"/>
      </w:docPartList>
    </w:sdtPr>
    <w:sdtContent>
      <w:p>
        <w:pPr>
          <w:pStyle w:val="18"/>
          <w:tabs>
            <w:tab w:val="center" w:pos="4153"/>
            <w:tab w:val="right" w:pos="8306"/>
          </w:tabs>
          <w:jc w:val="center"/>
        </w:pPr>
        <w:r>
          <w:fldChar w:fldCharType="begin"/>
        </w:r>
        <w:r>
          <w:instrText>PAGE   \* MERGEFORMAT</w:instrText>
        </w:r>
        <w:r>
          <w:fldChar w:fldCharType="separate"/>
        </w:r>
        <w:r>
          <w:rPr>
            <w:lang w:val="zh-CN"/>
          </w:rPr>
          <w:t>13</w:t>
        </w:r>
        <w:r>
          <w:rPr>
            <w:lang w:val="zh-CN"/>
          </w:rP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39077C2D"/>
    <w:multiLevelType w:val="multilevel"/>
    <w:tmpl w:val="39077C2D"/>
    <w:lvl w:ilvl="0">
      <w:start w:val="1"/>
      <w:numFmt w:val="decimal"/>
      <w:lvlRestart w:val="0"/>
      <w:lvlText w:val="%1、"/>
      <w:lvlJc w:val="left"/>
      <w:pPr>
        <w:tabs>
          <w:tab w:val="num" w:pos="0"/>
        </w:tabs>
        <w:ind w:left="720" w:hanging="720"/>
      </w:pPr>
      <w:rPr>
        <w:rFonts w:hint="default"/>
      </w:r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2">
    <w:nsid w:val="49CC52F5"/>
    <w:multiLevelType w:val="multilevel"/>
    <w:tmpl w:val="49CC52F5"/>
    <w:lvl w:ilvl="0">
      <w:start w:val="4"/>
      <w:numFmt w:val="japaneseCounting"/>
      <w:lvlRestart w:val="0"/>
      <w:lvlText w:val="%1、"/>
      <w:lvlJc w:val="left"/>
      <w:pPr>
        <w:tabs>
          <w:tab w:val="num" w:pos="0"/>
        </w:tabs>
        <w:ind w:left="720" w:hanging="720"/>
      </w:pPr>
      <w:rPr>
        <w:rFonts w:hint="default"/>
        <w:color w:val="000000"/>
      </w:r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3">
    <w:nsid w:val="72AB6C06"/>
    <w:multiLevelType w:val="multilevel"/>
    <w:tmpl w:val="72AB6C06"/>
    <w:lvl w:ilvl="0">
      <w:start w:val="9"/>
      <w:numFmt w:val="japaneseCounting"/>
      <w:lvlRestart w:val="0"/>
      <w:lvlText w:val="%1、"/>
      <w:lvlJc w:val="left"/>
      <w:pPr>
        <w:tabs>
          <w:tab w:val="num" w:pos="0"/>
        </w:tabs>
        <w:ind w:left="1288" w:hanging="720"/>
      </w:pPr>
      <w:rPr>
        <w:rFonts w:hint="default"/>
      </w:rPr>
    </w:lvl>
    <w:lvl w:ilvl="1">
      <w:start w:val="1"/>
      <w:numFmt w:val="lowerLetter"/>
      <w:lvlText w:val="%2)"/>
      <w:lvlJc w:val="left"/>
      <w:pPr>
        <w:tabs>
          <w:tab w:val="num" w:pos="0"/>
        </w:tabs>
        <w:ind w:left="1408" w:hanging="420"/>
      </w:pPr>
    </w:lvl>
    <w:lvl w:ilvl="2">
      <w:start w:val="1"/>
      <w:numFmt w:val="lowerRoman"/>
      <w:lvlText w:val="%3."/>
      <w:lvlJc w:val="right"/>
      <w:pPr>
        <w:tabs>
          <w:tab w:val="num" w:pos="0"/>
        </w:tabs>
        <w:ind w:left="1828" w:hanging="420"/>
      </w:pPr>
    </w:lvl>
    <w:lvl w:ilvl="3">
      <w:start w:val="1"/>
      <w:numFmt w:val="decimal"/>
      <w:lvlText w:val="%4."/>
      <w:lvlJc w:val="left"/>
      <w:pPr>
        <w:tabs>
          <w:tab w:val="num" w:pos="0"/>
        </w:tabs>
        <w:ind w:left="2248" w:hanging="420"/>
      </w:pPr>
    </w:lvl>
    <w:lvl w:ilvl="4">
      <w:start w:val="1"/>
      <w:numFmt w:val="lowerLetter"/>
      <w:lvlText w:val="%5)"/>
      <w:lvlJc w:val="left"/>
      <w:pPr>
        <w:tabs>
          <w:tab w:val="num" w:pos="0"/>
        </w:tabs>
        <w:ind w:left="2668" w:hanging="420"/>
      </w:pPr>
    </w:lvl>
    <w:lvl w:ilvl="5">
      <w:start w:val="1"/>
      <w:numFmt w:val="lowerRoman"/>
      <w:lvlText w:val="%6."/>
      <w:lvlJc w:val="right"/>
      <w:pPr>
        <w:tabs>
          <w:tab w:val="num" w:pos="0"/>
        </w:tabs>
        <w:ind w:left="3088" w:hanging="420"/>
      </w:pPr>
    </w:lvl>
    <w:lvl w:ilvl="6">
      <w:start w:val="1"/>
      <w:numFmt w:val="decimal"/>
      <w:lvlText w:val="%7."/>
      <w:lvlJc w:val="left"/>
      <w:pPr>
        <w:tabs>
          <w:tab w:val="num" w:pos="0"/>
        </w:tabs>
        <w:ind w:left="3508" w:hanging="420"/>
      </w:pPr>
    </w:lvl>
    <w:lvl w:ilvl="7">
      <w:start w:val="1"/>
      <w:numFmt w:val="lowerLetter"/>
      <w:lvlText w:val="%8)"/>
      <w:lvlJc w:val="left"/>
      <w:pPr>
        <w:tabs>
          <w:tab w:val="num" w:pos="0"/>
        </w:tabs>
        <w:ind w:left="3928" w:hanging="420"/>
      </w:pPr>
    </w:lvl>
    <w:lvl w:ilvl="8">
      <w:start w:val="1"/>
      <w:numFmt w:val="lowerRoman"/>
      <w:lvlText w:val="%9."/>
      <w:lvlJc w:val="right"/>
      <w:pPr>
        <w:tabs>
          <w:tab w:val="num" w:pos="0"/>
        </w:tabs>
        <w:ind w:left="4348" w:hanging="420"/>
      </w:pPr>
    </w:lvl>
  </w:abstractNum>
  <w:abstractNum w:abstractNumId="4">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paragraph" w:styleId="22">
    <w:name w:val="Normal (Web)"/>
    <w:basedOn w:val="0"/>
    <w:pPr>
      <w:widowControl/>
      <w:spacing w:before="100" w:beforeAutospacing="1" w:after="100" w:afterAutospacing="1"/>
      <w:jc w:val="left"/>
    </w:pPr>
    <w:rPr>
      <w:rFonts w:ascii="宋体" w:cs="宋体"/>
      <w:kern w:val="0"/>
      <w:sz w:val="24"/>
    </w:rPr>
  </w:style>
  <w:style w:type="character" w:styleId="23">
    <w:name w:val="Strong"/>
    <w:basedOn w:val="10"/>
    <w:rPr>
      <w:b/>
    </w:rPr>
  </w:style>
  <w:style w:type="character" w:styleId="24">
    <w:name w:val="Hyperlink"/>
    <w:basedOn w:val="10"/>
    <w:rPr>
      <w:color w:val="0000FF"/>
      <w:u w:val="single"/>
    </w:rPr>
  </w:style>
  <w:style w:type="character" w:customStyle="1" w:styleId="25">
    <w:name w:val="Header Char"/>
    <w:basedOn w:val="10"/>
    <w:rPr>
      <w:rFonts w:ascii="Times New Roman" w:hAnsi="Times New Roman"/>
      <w:sz w:val="18"/>
      <w:szCs w:val="18"/>
    </w:rPr>
  </w:style>
  <w:style w:type="character" w:customStyle="1" w:styleId="26">
    <w:name w:val="Footer Char"/>
    <w:basedOn w:val="10"/>
    <w:rPr>
      <w:rFonts w:ascii="Times New Roman" w:hAnsi="Times New Roman"/>
      <w:sz w:val="18"/>
      <w:szCs w:val="18"/>
    </w:rPr>
  </w:style>
  <w:style w:type="character" w:customStyle="1" w:styleId="27">
    <w:name w:val="Body Text Char"/>
    <w:basedOn w:val="10"/>
    <w:rPr>
      <w:rFonts w:ascii="Times New Roman" w:hAnsi="Times New Roman"/>
      <w:szCs w:val="24"/>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9">
    <w:name w:val="List Paragraph"/>
    <w:basedOn w:val="0"/>
    <w:pPr>
      <w:ind w:firstLineChars="200" w:firstLine="200"/>
    </w:pPr>
  </w:style>
  <w:style w:type="paragraph" w:customStyle="1" w:styleId="30">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image" Target="media/5.png"/><Relationship Id="rId8" Type="http://schemas.openxmlformats.org/officeDocument/2006/relationships/styles" Target="styles.xml"/><Relationship Id="rId9" Type="http://schemas.openxmlformats.org/officeDocument/2006/relationships/numbering" Target="numbering.xml"/><Relationship Id="rId1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2022年决算收支对比图</c:v>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0"/>
            <c:dLblPos val="in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2022年度财政拨款收入</c:v>
              </c:pt>
              <c:pt idx="1">
                <c:v>2021年度财政拨款收入</c:v>
              </c:pt>
              <c:pt idx="2">
                <c:v>2022年度财政拨款支出</c:v>
              </c:pt>
              <c:pt idx="3">
                <c:v>2021年度财政拨款支出</c:v>
              </c:pt>
            </c:strLit>
          </c:cat>
          <c:val>
            <c:numRef>
              <c:f/>
              <c:numCache>
                <c:formatCode>General</c:formatCode>
                <c:ptCount val="4"/>
                <c:pt idx="0">
                  <c:v>472.9199999999998</c:v>
                </c:pt>
                <c:pt idx="1">
                  <c:v>490.2299999999998</c:v>
                </c:pt>
                <c:pt idx="2">
                  <c:v>472.9199999999998</c:v>
                </c:pt>
                <c:pt idx="3">
                  <c:v>732.75</c:v>
                </c:pt>
              </c:numCache>
            </c:numRef>
          </c:val>
        </c:ser>
        <c:overlap val="40"/>
        <c:gapWidth val="75"/>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v>2022年收入情况占比图</c:v>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Pt>
            <c:idx val="6"/>
            <c:bubble3D val="0"/>
            <c:spPr>
              <a:solidFill>
                <a:srgbClr val="2C4D75"/>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0%" sourceLinked="0"/>
            <c:dLblPos val="inEnd"/>
            <c:showLegendKey val="0"/>
            <c:showVal val="0"/>
            <c:showCatName val="0"/>
            <c:showSerName val="0"/>
            <c:showPercent val="1"/>
            <c:showBubbleSize val="0"/>
            <c:showLeaderLines val="1"/>
          </c:dLbls>
          <c:cat>
            <c:strLit>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Lit>
          </c:cat>
          <c:val>
            <c:numRef>
              <c:f/>
              <c:numCache>
                <c:formatCode>General</c:formatCode>
                <c:ptCount val="7"/>
                <c:pt idx="0">
                  <c:v>472.9199999999998</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v>2022年决算支出情况</c:v>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0%" sourceLinked="0"/>
            <c:dLblPos val="inEnd"/>
            <c:showLegendKey val="0"/>
            <c:showVal val="0"/>
            <c:showCatName val="0"/>
            <c:showSerName val="0"/>
            <c:showPercent val="1"/>
            <c:showBubbleSize val="0"/>
            <c:showLeaderLines val="1"/>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472.9199999999998</c:v>
                </c:pt>
                <c:pt idx="1">
                  <c:v>305.57</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22</TotalTime>
  <Application>Yozo_Office27021597764231179</Application>
  <Pages>20</Pages>
  <Words>6829</Words>
  <Characters>7577</Characters>
  <Lines>464</Lines>
  <Paragraphs>169</Paragraphs>
  <CharactersWithSpaces>7672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33</cp:revision>
  <cp:lastPrinted>2022-08-26T09:43:00Z</cp:lastPrinted>
  <dcterms:created xsi:type="dcterms:W3CDTF">2022-08-23T08:41:00Z</dcterms:created>
  <dcterms:modified xsi:type="dcterms:W3CDTF">2023-09-21T01:55:58Z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2052-11.1.0.9912</vt:lpwstr>
  </property>
  <property fmtid="{D5CDD505-2E9C-101B-9397-08002B2CF9AE}" pid="3" name="ICV">
    <vt:lpwstr>7446358C982B43FBBF5486ACE152A102</vt:lpwstr>
  </property>
</Properties>
</file>