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adjustRightInd w:val="0"/>
        <w:snapToGrid w:val="0"/>
        <w:spacing w:line="360" w:lineRule="auto"/>
        <w:ind w:right="-1469"/>
        <w:jc w:val="center"/>
        <w:outlineLvl w:val="0"/>
        <w:rPr>
          <w:rFonts w:ascii="方正小标宋简体" w:eastAsia="方正小标宋简体"/>
          <w:color w:val="000000"/>
          <w:sz w:val="72"/>
          <w:szCs w:val="72"/>
        </w:rPr>
      </w:pPr>
      <w:bookmarkStart w:id="0" w:name="_Toc15396597"/>
      <w:bookmarkStart w:id="1" w:name="_Toc15377425"/>
      <w:bookmarkStart w:id="2" w:name="_Toc15378441"/>
      <w:bookmarkStart w:id="3" w:name="_Toc15377193"/>
      <w:bookmarkStart w:id="4" w:name="_Toc15396475"/>
      <w:bookmarkStart w:id="5" w:name="_Toc15377196"/>
      <w:bookmarkStart w:id="6" w:name="_Toc15396599"/>
      <w:r>
        <w:rPr>
          <w:rFonts w:ascii="黑体" w:eastAsia="黑体"/>
          <w:color w:val="000000"/>
          <w:sz w:val="72"/>
          <w:szCs w:val="72"/>
        </w:rPr>
        <w:t>20</w:t>
      </w:r>
      <w:r>
        <w:rPr>
          <w:rFonts w:ascii="黑体" w:eastAsia="黑体" w:hint="eastAsia"/>
          <w:color w:val="000000"/>
          <w:sz w:val="72"/>
          <w:szCs w:val="72"/>
        </w:rPr>
        <w:t>21</w:t>
      </w:r>
      <w:r>
        <w:rPr>
          <w:rFonts w:ascii="方正小标宋简体" w:eastAsia="方正小标宋简体" w:hint="eastAsia"/>
          <w:color w:val="000000"/>
          <w:sz w:val="72"/>
          <w:szCs w:val="72"/>
        </w:rPr>
        <w:t>年度</w:t>
      </w:r>
      <w:bookmarkEnd w:id="0"/>
      <w:bookmarkEnd w:id="1"/>
      <w:bookmarkEnd w:id="2"/>
      <w:bookmarkEnd w:id="3"/>
      <w:bookmarkEnd w:id="4"/>
    </w:p>
    <w:p>
      <w:pPr>
        <w:adjustRightInd w:val="0"/>
        <w:snapToGrid w:val="0"/>
        <w:spacing w:line="360" w:lineRule="auto"/>
        <w:jc w:val="center"/>
        <w:outlineLvl w:val="0"/>
        <w:rPr>
          <w:rFonts w:ascii="方正小标宋简体" w:eastAsia="方正小标宋简体"/>
          <w:color w:val="000000"/>
          <w:sz w:val="72"/>
          <w:szCs w:val="72"/>
        </w:rPr>
      </w:pPr>
      <w:bookmarkStart w:id="7" w:name="_Toc15396598"/>
      <w:bookmarkStart w:id="8" w:name="_Toc15378442"/>
      <w:bookmarkStart w:id="9" w:name="_Toc15396476"/>
      <w:bookmarkStart w:id="10" w:name="_Toc15377426"/>
      <w:bookmarkStart w:id="11" w:name="_Toc15377194"/>
      <w:r>
        <w:rPr>
          <w:rFonts w:ascii="方正小标宋简体" w:eastAsia="方正小标宋简体" w:hint="eastAsia"/>
          <w:color w:val="000000"/>
          <w:sz w:val="72"/>
          <w:szCs w:val="72"/>
        </w:rPr>
        <w:t>四川省</w:t>
      </w:r>
      <w:bookmarkStart w:id="12" w:name="_Toc15306268"/>
      <w:r>
        <w:rPr>
          <w:rFonts w:ascii="方正小标宋简体" w:eastAsia="方正小标宋简体" w:hint="eastAsia"/>
          <w:color w:val="000000"/>
          <w:sz w:val="72"/>
          <w:szCs w:val="72"/>
        </w:rPr>
        <w:t>阿坝州</w:t>
      </w:r>
    </w:p>
    <w:p>
      <w:pPr>
        <w:adjustRightInd w:val="0"/>
        <w:snapToGrid w:val="0"/>
        <w:spacing w:line="360" w:lineRule="auto"/>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中共金川县委宣传部部门决算</w:t>
      </w:r>
      <w:bookmarkEnd w:id="7"/>
      <w:bookmarkEnd w:id="8"/>
      <w:bookmarkEnd w:id="9"/>
      <w:bookmarkEnd w:id="10"/>
      <w:bookmarkEnd w:id="11"/>
      <w:bookmarkEnd w:id="12"/>
      <w:r>
        <w:rPr>
          <w:rFonts w:ascii="方正小标宋简体" w:eastAsia="方正小标宋简体" w:hint="eastAsia"/>
          <w:color w:val="000000"/>
          <w:sz w:val="72"/>
          <w:szCs w:val="72"/>
        </w:rPr>
        <w:t>公开分析报告</w:t>
      </w: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
    <w:p/>
    <w:p/>
    <w:p>
      <w:pPr>
        <w:pStyle w:val="20"/>
        <w:tabs>
          <w:tab w:val="right" w:leader="dot" w:pos="8296"/>
        </w:tabs>
        <w:rPr>
          <w:rFonts w:cs="Arial"/>
        </w:rPr>
      </w:pPr>
      <w:r>
        <w:fldChar w:fldCharType="begin"/>
      </w:r>
      <w:r>
        <w:instrText>Hyperlink \l "_Toc15396599"</w:instrText>
      </w:r>
      <w:r>
        <w:fldChar w:fldCharType="separate"/>
      </w:r>
      <w:r>
        <w:rPr>
          <w:rFonts w:hint="eastAsia"/>
        </w:rPr>
        <w:t>第一部分</w:t>
      </w:r>
      <w:r>
        <w:t xml:space="preserve"> </w:t>
      </w:r>
      <w:r>
        <w:rPr>
          <w:rFonts w:hint="eastAsia"/>
        </w:rPr>
        <w:t>部门概况</w:t>
      </w:r>
      <w:r>
        <w:tab/>
      </w:r>
      <w:r>
        <w:rPr>
          <w:rFonts w:hint="eastAsia"/>
        </w:rPr>
        <w:t>4</w:t>
      </w:r>
      <w:r>
        <w:fldChar w:fldCharType="end"/>
      </w:r>
    </w:p>
    <w:p>
      <w:pPr>
        <w:pStyle w:val="21"/>
        <w:tabs>
          <w:tab w:val="right" w:leader="dot" w:pos="8296"/>
        </w:tabs>
        <w:rPr>
          <w:rFonts w:ascii="仿宋" w:eastAsia="仿宋"/>
          <w:sz w:val="28"/>
          <w:szCs w:val="28"/>
        </w:rPr>
      </w:pPr>
      <w:r>
        <w:rPr>
          <w:rFonts w:ascii="仿宋" w:eastAsia="仿宋" w:hint="eastAsia"/>
          <w:sz w:val="28"/>
          <w:szCs w:val="28"/>
        </w:rPr>
        <w:t>一、基本职能及主要工作</w:t>
      </w:r>
      <w:r>
        <w:rPr>
          <w:rFonts w:ascii="仿宋" w:eastAsia="仿宋"/>
          <w:sz w:val="28"/>
          <w:szCs w:val="28"/>
        </w:rPr>
        <w:t>…………………………………………</w:t>
      </w:r>
      <w:r>
        <w:rPr>
          <w:rFonts w:ascii="仿宋" w:eastAsia="仿宋" w:hint="eastAsia"/>
          <w:sz w:val="28"/>
          <w:szCs w:val="28"/>
        </w:rPr>
        <w:t>..4</w:t>
      </w:r>
    </w:p>
    <w:p>
      <w:pPr>
        <w:pStyle w:val="16"/>
        <w:tabs>
          <w:tab w:val="right" w:leader="dot" w:pos="8296"/>
        </w:tabs>
        <w:rPr>
          <w:rFonts w:ascii="仿宋" w:eastAsia="仿宋"/>
          <w:sz w:val="28"/>
          <w:szCs w:val="28"/>
        </w:rPr>
      </w:pPr>
      <w:r>
        <w:rPr>
          <w:rFonts w:ascii="仿宋" w:eastAsia="仿宋" w:hint="eastAsia"/>
          <w:sz w:val="28"/>
          <w:szCs w:val="28"/>
        </w:rPr>
        <w:t>（一）主要职能</w:t>
      </w:r>
      <w:r>
        <w:rPr>
          <w:rFonts w:ascii="仿宋" w:eastAsia="仿宋"/>
          <w:sz w:val="28"/>
          <w:szCs w:val="28"/>
        </w:rPr>
        <w:t>………………………………………………</w:t>
      </w:r>
      <w:r>
        <w:rPr>
          <w:rFonts w:ascii="仿宋" w:eastAsia="仿宋" w:hint="eastAsia"/>
          <w:sz w:val="28"/>
          <w:szCs w:val="28"/>
        </w:rPr>
        <w:t>.</w:t>
      </w:r>
      <w:r>
        <w:rPr>
          <w:rFonts w:ascii="仿宋" w:eastAsia="仿宋"/>
          <w:sz w:val="28"/>
          <w:szCs w:val="28"/>
        </w:rPr>
        <w:t>…</w:t>
      </w:r>
      <w:r>
        <w:rPr>
          <w:rFonts w:ascii="仿宋" w:eastAsia="仿宋" w:hint="eastAsia"/>
          <w:sz w:val="28"/>
          <w:szCs w:val="28"/>
        </w:rPr>
        <w:t>4</w:t>
      </w:r>
    </w:p>
    <w:p>
      <w:pPr>
        <w:pStyle w:val="16"/>
        <w:tabs>
          <w:tab w:val="right" w:leader="dot" w:pos="8296"/>
        </w:tabs>
        <w:rPr>
          <w:rFonts w:ascii="仿宋" w:eastAsia="仿宋"/>
          <w:sz w:val="28"/>
          <w:szCs w:val="28"/>
        </w:rPr>
      </w:pPr>
      <w:r>
        <w:rPr>
          <w:rFonts w:ascii="仿宋" w:eastAsia="仿宋" w:hint="eastAsia"/>
          <w:sz w:val="28"/>
          <w:szCs w:val="28"/>
        </w:rPr>
        <w:t>（二）2020年重点工作完成情况</w:t>
      </w:r>
      <w:r>
        <w:rPr>
          <w:rFonts w:ascii="仿宋" w:eastAsia="仿宋"/>
          <w:sz w:val="28"/>
          <w:szCs w:val="28"/>
        </w:rPr>
        <w:t>……………………………</w:t>
      </w:r>
      <w:r>
        <w:rPr>
          <w:rFonts w:ascii="仿宋" w:eastAsia="仿宋" w:hint="eastAsia"/>
          <w:sz w:val="28"/>
          <w:szCs w:val="28"/>
        </w:rPr>
        <w:t>..4</w:t>
      </w:r>
      <w:r>
        <w:rPr>
          <w:rFonts w:ascii="仿宋" w:eastAsia="仿宋"/>
          <w:sz w:val="28"/>
          <w:szCs w:val="28"/>
        </w:rPr>
        <w:t xml:space="preserve"> </w:t>
      </w:r>
    </w:p>
    <w:p>
      <w:pPr>
        <w:pStyle w:val="21"/>
        <w:tabs>
          <w:tab w:val="right" w:leader="dot" w:pos="8296"/>
        </w:tabs>
        <w:rPr>
          <w:rFonts w:ascii="仿宋" w:eastAsia="仿宋" w:cs="Arial"/>
          <w:sz w:val="28"/>
          <w:szCs w:val="28"/>
        </w:rPr>
      </w:pPr>
      <w:r>
        <w:fldChar w:fldCharType="begin"/>
      </w:r>
      <w:r>
        <w:instrText>Hyperlink \l "_Toc15396601"</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rPr>
        <w:t>5</w:t>
      </w:r>
      <w:r>
        <w:fldChar w:fldCharType="end"/>
      </w:r>
    </w:p>
    <w:p>
      <w:pPr>
        <w:pStyle w:val="20"/>
        <w:tabs>
          <w:tab w:val="right" w:leader="dot" w:pos="8296"/>
        </w:tabs>
      </w:pPr>
      <w:r>
        <w:fldChar w:fldCharType="begin"/>
      </w:r>
      <w:r>
        <w:instrText>Hyperlink \l "_Toc15396602"</w:instrText>
      </w:r>
      <w:r>
        <w:fldChar w:fldCharType="separate"/>
      </w:r>
      <w:r>
        <w:rPr>
          <w:rFonts w:hint="eastAsia"/>
        </w:rPr>
        <w:t>第二部分</w:t>
      </w:r>
      <w:r>
        <w:t xml:space="preserve"> </w:t>
      </w:r>
      <w:r>
        <w:rPr>
          <w:rFonts w:hint="eastAsia"/>
        </w:rPr>
        <w:t>部门决算情况说明</w:t>
      </w:r>
      <w:r>
        <w:tab/>
      </w:r>
      <w:r>
        <w:rPr>
          <w:rFonts w:hint="eastAsia"/>
        </w:rPr>
        <w:t>5</w:t>
      </w:r>
      <w:r>
        <w:fldChar w:fldCharType="end"/>
      </w:r>
    </w:p>
    <w:p>
      <w:pPr>
        <w:pStyle w:val="21"/>
        <w:tabs>
          <w:tab w:val="right" w:leader="dot" w:pos="8296"/>
        </w:tabs>
        <w:rPr>
          <w:rFonts w:ascii="仿宋" w:eastAsia="仿宋" w:cs="Arial"/>
          <w:sz w:val="28"/>
          <w:szCs w:val="28"/>
        </w:rPr>
      </w:pPr>
      <w:r>
        <w:fldChar w:fldCharType="begin"/>
      </w:r>
      <w:r>
        <w:instrText>Hyperlink \l "_Toc15396603"</w:instrText>
      </w:r>
      <w:r>
        <w:fldChar w:fldCharType="separate"/>
      </w:r>
      <w:r>
        <w:rPr>
          <w:rFonts w:ascii="仿宋" w:eastAsia="仿宋" w:hint="eastAsia"/>
          <w:bCs/>
          <w:sz w:val="28"/>
          <w:szCs w:val="28"/>
        </w:rPr>
        <w:t>一、</w:t>
      </w:r>
      <w:r>
        <w:rPr>
          <w:rFonts w:ascii="仿宋" w:eastAsia="仿宋" w:hint="eastAsia"/>
          <w:sz w:val="28"/>
          <w:szCs w:val="28"/>
        </w:rPr>
        <w:t>收</w:t>
      </w:r>
      <w:r>
        <w:rPr>
          <w:rFonts w:ascii="仿宋" w:eastAsia="仿宋" w:hint="eastAsia"/>
          <w:bCs/>
          <w:sz w:val="28"/>
          <w:szCs w:val="28"/>
        </w:rPr>
        <w:t>入支出决算总体情况说明</w:t>
      </w:r>
      <w:r>
        <w:rPr>
          <w:rFonts w:ascii="仿宋" w:eastAsia="仿宋"/>
          <w:sz w:val="28"/>
          <w:szCs w:val="28"/>
        </w:rPr>
        <w:tab/>
      </w:r>
      <w:r>
        <w:rPr>
          <w:rFonts w:ascii="仿宋" w:eastAsia="仿宋" w:hint="eastAsia"/>
          <w:sz w:val="28"/>
          <w:szCs w:val="28"/>
        </w:rPr>
        <w:t>6</w:t>
      </w:r>
      <w:r>
        <w:fldChar w:fldCharType="end"/>
      </w:r>
    </w:p>
    <w:p>
      <w:pPr>
        <w:pStyle w:val="21"/>
        <w:tabs>
          <w:tab w:val="right" w:leader="dot" w:pos="8296"/>
        </w:tabs>
        <w:rPr>
          <w:rFonts w:ascii="仿宋" w:eastAsia="仿宋" w:cs="Arial"/>
          <w:sz w:val="28"/>
          <w:szCs w:val="28"/>
        </w:rPr>
      </w:pPr>
      <w:r>
        <w:fldChar w:fldCharType="begin"/>
      </w:r>
      <w:r>
        <w:instrText>Hyperlink \l "_Toc15396604"</w:instrText>
      </w:r>
      <w:r>
        <w:fldChar w:fldCharType="separate"/>
      </w:r>
      <w:r>
        <w:rPr>
          <w:rFonts w:ascii="仿宋" w:eastAsia="仿宋" w:hint="eastAsia"/>
          <w:bCs/>
          <w:sz w:val="28"/>
          <w:szCs w:val="28"/>
        </w:rPr>
        <w:t>二、</w:t>
      </w:r>
      <w:r>
        <w:rPr>
          <w:rFonts w:ascii="仿宋" w:eastAsia="仿宋" w:hint="eastAsia"/>
          <w:sz w:val="28"/>
          <w:szCs w:val="28"/>
        </w:rPr>
        <w:t>收</w:t>
      </w:r>
      <w:r>
        <w:rPr>
          <w:rFonts w:ascii="仿宋" w:eastAsia="仿宋" w:hint="eastAsia"/>
          <w:bCs/>
          <w:sz w:val="28"/>
          <w:szCs w:val="28"/>
        </w:rPr>
        <w:t>入决算情况说明</w:t>
      </w:r>
      <w:r>
        <w:rPr>
          <w:rFonts w:ascii="仿宋" w:eastAsia="仿宋"/>
          <w:sz w:val="28"/>
          <w:szCs w:val="28"/>
        </w:rPr>
        <w:tab/>
      </w:r>
      <w:r>
        <w:rPr>
          <w:rFonts w:ascii="仿宋" w:eastAsia="仿宋" w:hint="eastAsia"/>
          <w:sz w:val="28"/>
          <w:szCs w:val="28"/>
        </w:rPr>
        <w:t>6</w:t>
      </w:r>
      <w:r>
        <w:fldChar w:fldCharType="end"/>
      </w:r>
    </w:p>
    <w:p>
      <w:pPr>
        <w:pStyle w:val="21"/>
        <w:tabs>
          <w:tab w:val="right" w:leader="dot" w:pos="8296"/>
        </w:tabs>
      </w:pPr>
      <w:r>
        <w:fldChar w:fldCharType="begin"/>
      </w:r>
      <w:r>
        <w:instrText>Hyperlink \l "_Toc15396605"</w:instrText>
      </w:r>
      <w:r>
        <w:fldChar w:fldCharType="separate"/>
      </w:r>
      <w:r>
        <w:rPr>
          <w:rFonts w:ascii="仿宋" w:eastAsia="仿宋" w:hint="eastAsia"/>
          <w:bCs/>
          <w:sz w:val="28"/>
          <w:szCs w:val="28"/>
        </w:rPr>
        <w:t>三、</w:t>
      </w:r>
      <w:r>
        <w:rPr>
          <w:rFonts w:ascii="仿宋" w:eastAsia="仿宋" w:hint="eastAsia"/>
          <w:sz w:val="28"/>
          <w:szCs w:val="28"/>
        </w:rPr>
        <w:t>支</w:t>
      </w:r>
      <w:r>
        <w:rPr>
          <w:rFonts w:ascii="仿宋" w:eastAsia="仿宋" w:hint="eastAsia"/>
          <w:bCs/>
          <w:sz w:val="28"/>
          <w:szCs w:val="28"/>
        </w:rPr>
        <w:t>出决算情况说明</w:t>
      </w:r>
      <w:r>
        <w:rPr>
          <w:rFonts w:ascii="仿宋" w:eastAsia="仿宋"/>
          <w:sz w:val="28"/>
          <w:szCs w:val="28"/>
        </w:rPr>
        <w:tab/>
      </w:r>
      <w:r>
        <w:rPr>
          <w:rFonts w:ascii="仿宋" w:eastAsia="仿宋" w:hint="eastAsia"/>
          <w:sz w:val="28"/>
          <w:szCs w:val="28"/>
        </w:rPr>
        <w:t>7</w:t>
      </w:r>
      <w:r>
        <w:fldChar w:fldCharType="end"/>
      </w:r>
    </w:p>
    <w:p>
      <w:pPr>
        <w:pStyle w:val="21"/>
        <w:tabs>
          <w:tab w:val="right" w:leader="dot" w:pos="8296"/>
        </w:tabs>
        <w:rPr>
          <w:rFonts w:ascii="仿宋" w:eastAsia="仿宋" w:cs="Arial"/>
          <w:sz w:val="28"/>
          <w:szCs w:val="28"/>
        </w:rPr>
      </w:pPr>
      <w:r>
        <w:fldChar w:fldCharType="begin"/>
      </w:r>
      <w:r>
        <w:instrText>Hyperlink \l "_Toc15396606"</w:instrText>
      </w:r>
      <w:r>
        <w:fldChar w:fldCharType="separate"/>
      </w:r>
      <w:r>
        <w:rPr>
          <w:rFonts w:ascii="仿宋" w:eastAsia="仿宋" w:hint="eastAsia"/>
          <w:sz w:val="28"/>
          <w:szCs w:val="28"/>
        </w:rPr>
        <w:t>四、财政拨款收入支出决算总体情况说明</w:t>
      </w:r>
      <w:r>
        <w:rPr>
          <w:rFonts w:ascii="仿宋" w:eastAsia="仿宋"/>
          <w:sz w:val="28"/>
          <w:szCs w:val="28"/>
        </w:rPr>
        <w:tab/>
      </w:r>
      <w:r>
        <w:rPr>
          <w:rFonts w:ascii="仿宋" w:eastAsia="仿宋" w:hint="eastAsia"/>
          <w:sz w:val="28"/>
          <w:szCs w:val="28"/>
        </w:rPr>
        <w:t>7</w:t>
      </w:r>
      <w:r>
        <w:fldChar w:fldCharType="end"/>
      </w:r>
    </w:p>
    <w:p>
      <w:pPr>
        <w:pStyle w:val="21"/>
        <w:tabs>
          <w:tab w:val="right" w:leader="dot" w:pos="8296"/>
        </w:tabs>
        <w:rPr>
          <w:rFonts w:ascii="仿宋" w:eastAsia="仿宋" w:cs="Arial"/>
          <w:sz w:val="28"/>
          <w:szCs w:val="28"/>
        </w:rPr>
      </w:pPr>
      <w:r>
        <w:fldChar w:fldCharType="begin"/>
      </w:r>
      <w:r>
        <w:instrText>Hyperlink \l "_Toc15396606"</w:instrText>
      </w:r>
      <w:r>
        <w:fldChar w:fldCharType="separate"/>
      </w:r>
      <w:r>
        <w:rPr>
          <w:rFonts w:ascii="仿宋" w:eastAsia="仿宋" w:hint="eastAsia"/>
          <w:sz w:val="28"/>
          <w:szCs w:val="28"/>
        </w:rPr>
        <w:t>五、一</w:t>
      </w:r>
      <w:r>
        <w:rPr>
          <w:rFonts w:ascii="仿宋" w:eastAsia="仿宋" w:hint="eastAsia"/>
          <w:bCs/>
          <w:sz w:val="28"/>
          <w:szCs w:val="28"/>
        </w:rPr>
        <w:t>般公共预算财政拨款支出决算情况说明</w:t>
      </w:r>
      <w:r>
        <w:rPr>
          <w:rFonts w:ascii="仿宋" w:eastAsia="仿宋"/>
          <w:sz w:val="28"/>
          <w:szCs w:val="28"/>
        </w:rPr>
        <w:tab/>
      </w:r>
      <w:r>
        <w:rPr>
          <w:rFonts w:ascii="仿宋" w:eastAsia="仿宋" w:hint="eastAsia"/>
          <w:sz w:val="28"/>
          <w:szCs w:val="28"/>
        </w:rPr>
        <w:t>7</w:t>
      </w:r>
      <w:r>
        <w:fldChar w:fldCharType="end"/>
      </w:r>
    </w:p>
    <w:p>
      <w:pPr>
        <w:pStyle w:val="21"/>
        <w:tabs>
          <w:tab w:val="right" w:leader="dot" w:pos="8296"/>
        </w:tabs>
        <w:rPr>
          <w:rFonts w:ascii="仿宋" w:eastAsia="仿宋" w:cs="Arial"/>
          <w:sz w:val="28"/>
          <w:szCs w:val="28"/>
        </w:rPr>
      </w:pPr>
      <w:r>
        <w:fldChar w:fldCharType="begin"/>
      </w:r>
      <w:r>
        <w:instrText>Hyperlink \l "_Toc15396607"</w:instrText>
      </w:r>
      <w:r>
        <w:fldChar w:fldCharType="separate"/>
      </w:r>
      <w:r>
        <w:rPr>
          <w:rFonts w:ascii="仿宋" w:eastAsia="仿宋" w:hint="eastAsia"/>
          <w:sz w:val="28"/>
          <w:szCs w:val="28"/>
        </w:rPr>
        <w:t>六、一</w:t>
      </w:r>
      <w:r>
        <w:rPr>
          <w:rFonts w:ascii="仿宋" w:eastAsia="仿宋" w:hint="eastAsia"/>
          <w:bCs/>
          <w:sz w:val="28"/>
          <w:szCs w:val="28"/>
        </w:rPr>
        <w:t>般公共预算财政拨款基本支出决算情况说明</w:t>
      </w:r>
      <w:r>
        <w:rPr>
          <w:rFonts w:ascii="仿宋" w:eastAsia="仿宋"/>
          <w:sz w:val="28"/>
          <w:szCs w:val="28"/>
        </w:rPr>
        <w:tab/>
      </w:r>
      <w:r>
        <w:fldChar w:fldCharType="end"/>
      </w:r>
      <w:r>
        <w:rPr>
          <w:rFonts w:ascii="仿宋" w:eastAsia="仿宋" w:hint="eastAsia"/>
          <w:sz w:val="28"/>
          <w:szCs w:val="28"/>
        </w:rPr>
        <w:t>8</w:t>
      </w:r>
    </w:p>
    <w:p>
      <w:pPr>
        <w:pStyle w:val="21"/>
        <w:tabs>
          <w:tab w:val="right" w:leader="dot" w:pos="8296"/>
        </w:tabs>
        <w:rPr>
          <w:rFonts w:ascii="仿宋" w:eastAsia="仿宋" w:cs="Arial"/>
          <w:sz w:val="28"/>
          <w:szCs w:val="28"/>
        </w:rPr>
      </w:pPr>
      <w:r>
        <w:fldChar w:fldCharType="begin"/>
      </w:r>
      <w:r>
        <w:instrText>Hyperlink \l "_Toc15396608"</w:instrText>
      </w:r>
      <w:r>
        <w:fldChar w:fldCharType="separate"/>
      </w:r>
      <w:r>
        <w:rPr>
          <w:rFonts w:ascii="仿宋" w:eastAsia="仿宋" w:hint="eastAsia"/>
          <w:sz w:val="28"/>
          <w:szCs w:val="28"/>
        </w:rPr>
        <w:t>七、</w:t>
      </w:r>
      <w:r>
        <w:rPr>
          <w:rFonts w:ascii="仿宋" w:eastAsia="仿宋"/>
          <w:sz w:val="28"/>
          <w:szCs w:val="28"/>
        </w:rPr>
        <w:t>“</w:t>
      </w:r>
      <w:r>
        <w:rPr>
          <w:rFonts w:ascii="仿宋" w:eastAsia="仿宋" w:hint="eastAsia"/>
          <w:bCs/>
          <w:sz w:val="28"/>
          <w:szCs w:val="28"/>
        </w:rPr>
        <w:t>三公”经费财政拨款支出决算情况说明</w:t>
      </w:r>
      <w:r>
        <w:rPr>
          <w:rFonts w:ascii="仿宋" w:eastAsia="仿宋"/>
          <w:sz w:val="28"/>
          <w:szCs w:val="28"/>
        </w:rPr>
        <w:tab/>
      </w:r>
      <w:r>
        <w:rPr>
          <w:rFonts w:ascii="仿宋" w:eastAsia="仿宋" w:hint="eastAsia"/>
          <w:sz w:val="28"/>
          <w:szCs w:val="28"/>
        </w:rPr>
        <w:t>9</w:t>
      </w:r>
      <w:r>
        <w:fldChar w:fldCharType="end"/>
      </w:r>
    </w:p>
    <w:p>
      <w:pPr>
        <w:pStyle w:val="21"/>
        <w:tabs>
          <w:tab w:val="right" w:leader="dot" w:pos="8296"/>
        </w:tabs>
        <w:rPr>
          <w:rFonts w:ascii="仿宋" w:eastAsia="仿宋" w:cs="Arial"/>
          <w:sz w:val="28"/>
          <w:szCs w:val="28"/>
        </w:rPr>
      </w:pPr>
      <w:r>
        <w:fldChar w:fldCharType="begin"/>
      </w:r>
      <w:r>
        <w:instrText>Hyperlink \l "_Toc15396609"</w:instrText>
      </w:r>
      <w:r>
        <w:fldChar w:fldCharType="separate"/>
      </w:r>
      <w:r>
        <w:rPr>
          <w:rFonts w:ascii="仿宋" w:eastAsia="仿宋" w:hint="eastAsia"/>
          <w:sz w:val="28"/>
          <w:szCs w:val="28"/>
        </w:rPr>
        <w:t>八、</w:t>
      </w:r>
      <w:r>
        <w:rPr>
          <w:rFonts w:ascii="仿宋" w:eastAsia="仿宋" w:hint="eastAsia"/>
          <w:bCs/>
          <w:sz w:val="28"/>
          <w:szCs w:val="28"/>
        </w:rPr>
        <w:t>政府性基金预算支出决算情况说明</w:t>
      </w:r>
      <w:r>
        <w:rPr>
          <w:rFonts w:ascii="仿宋" w:eastAsia="仿宋"/>
          <w:sz w:val="28"/>
          <w:szCs w:val="28"/>
        </w:rPr>
        <w:tab/>
      </w:r>
      <w:r>
        <w:rPr>
          <w:rFonts w:ascii="仿宋" w:eastAsia="仿宋" w:hint="eastAsia"/>
          <w:sz w:val="28"/>
          <w:szCs w:val="28"/>
        </w:rPr>
        <w:t>1</w:t>
      </w:r>
      <w:r>
        <w:fldChar w:fldCharType="end"/>
      </w:r>
      <w:r>
        <w:rPr>
          <w:rFonts w:ascii="仿宋" w:eastAsia="仿宋" w:hint="eastAsia"/>
          <w:sz w:val="28"/>
          <w:szCs w:val="28"/>
        </w:rPr>
        <w:t>1</w:t>
      </w:r>
    </w:p>
    <w:p>
      <w:pPr>
        <w:pStyle w:val="21"/>
        <w:tabs>
          <w:tab w:val="right" w:leader="dot" w:pos="8296"/>
        </w:tabs>
        <w:rPr>
          <w:rFonts w:ascii="仿宋" w:eastAsia="仿宋" w:cs="Arial"/>
          <w:sz w:val="28"/>
          <w:szCs w:val="28"/>
        </w:rPr>
      </w:pPr>
      <w:r>
        <w:fldChar w:fldCharType="begin"/>
      </w:r>
      <w:r>
        <w:instrText>Hyperlink \l "_Toc15396610"</w:instrText>
      </w:r>
      <w:r>
        <w:fldChar w:fldCharType="separate"/>
      </w:r>
      <w:r>
        <w:rPr>
          <w:rFonts w:ascii="仿宋" w:eastAsia="仿宋" w:hint="eastAsia"/>
          <w:sz w:val="28"/>
          <w:szCs w:val="28"/>
        </w:rPr>
        <w:t>九、 国</w:t>
      </w:r>
      <w:r>
        <w:rPr>
          <w:rFonts w:ascii="仿宋" w:eastAsia="仿宋" w:hint="eastAsia"/>
          <w:bCs/>
          <w:sz w:val="28"/>
          <w:szCs w:val="28"/>
        </w:rPr>
        <w:t>有资本经营预算支出决算情况说明</w:t>
      </w:r>
      <w:r>
        <w:rPr>
          <w:rFonts w:ascii="仿宋" w:eastAsia="仿宋"/>
          <w:sz w:val="28"/>
          <w:szCs w:val="28"/>
        </w:rPr>
        <w:tab/>
      </w:r>
      <w:r>
        <w:rPr>
          <w:rFonts w:ascii="仿宋" w:eastAsia="仿宋" w:hint="eastAsia"/>
          <w:sz w:val="28"/>
          <w:szCs w:val="28"/>
        </w:rPr>
        <w:t>1</w:t>
      </w:r>
      <w:r>
        <w:fldChar w:fldCharType="end"/>
      </w:r>
      <w:r>
        <w:rPr>
          <w:rFonts w:ascii="仿宋" w:eastAsia="仿宋" w:hint="eastAsia"/>
          <w:sz w:val="28"/>
          <w:szCs w:val="28"/>
        </w:rPr>
        <w:t>1</w:t>
      </w:r>
    </w:p>
    <w:p>
      <w:pPr>
        <w:pStyle w:val="21"/>
        <w:tabs>
          <w:tab w:val="right" w:leader="dot" w:pos="8296"/>
        </w:tabs>
        <w:rPr>
          <w:rFonts w:ascii="仿宋" w:eastAsia="仿宋"/>
          <w:bCs/>
          <w:sz w:val="28"/>
          <w:szCs w:val="28"/>
        </w:rPr>
      </w:pPr>
      <w:r>
        <w:rPr>
          <w:rFonts w:ascii="仿宋" w:eastAsia="仿宋" w:hint="eastAsia"/>
          <w:bCs/>
          <w:sz w:val="28"/>
          <w:szCs w:val="28"/>
        </w:rPr>
        <w:t>十、其他重要事项的情况说明</w:t>
      </w:r>
      <w:r>
        <w:rPr>
          <w:rFonts w:ascii="仿宋" w:eastAsia="仿宋"/>
          <w:bCs/>
          <w:sz w:val="28"/>
          <w:szCs w:val="28"/>
        </w:rPr>
        <w:tab/>
      </w:r>
      <w:r>
        <w:rPr>
          <w:rFonts w:ascii="仿宋" w:eastAsia="仿宋" w:hint="eastAsia"/>
          <w:bCs/>
          <w:sz w:val="28"/>
          <w:szCs w:val="28"/>
        </w:rPr>
        <w:t>11</w:t>
      </w:r>
    </w:p>
    <w:p>
      <w:pPr>
        <w:pStyle w:val="16"/>
        <w:tabs>
          <w:tab w:val="right" w:leader="dot" w:pos="8296"/>
        </w:tabs>
        <w:ind w:leftChars="190" w:left="399"/>
        <w:rPr>
          <w:rFonts w:ascii="仿宋" w:eastAsia="仿宋"/>
          <w:bCs/>
          <w:sz w:val="28"/>
          <w:szCs w:val="28"/>
        </w:rPr>
      </w:pPr>
      <w:r>
        <w:rPr>
          <w:rFonts w:ascii="仿宋" w:eastAsia="仿宋" w:hint="eastAsia"/>
          <w:bCs/>
          <w:sz w:val="28"/>
          <w:szCs w:val="28"/>
        </w:rPr>
        <w:t>（一）机关运行经费支出情况</w:t>
        <w:tab/>
        <w:t>11</w:t>
      </w:r>
    </w:p>
    <w:p>
      <w:pPr>
        <w:pStyle w:val="16"/>
        <w:tabs>
          <w:tab w:val="right" w:leader="dot" w:pos="8296"/>
        </w:tabs>
        <w:ind w:leftChars="190" w:left="399"/>
        <w:rPr>
          <w:rFonts w:ascii="仿宋" w:eastAsia="仿宋"/>
          <w:bCs/>
          <w:sz w:val="28"/>
          <w:szCs w:val="28"/>
        </w:rPr>
      </w:pPr>
      <w:r>
        <w:rPr>
          <w:rFonts w:ascii="仿宋" w:eastAsia="仿宋" w:hint="eastAsia"/>
          <w:bCs/>
          <w:sz w:val="28"/>
          <w:szCs w:val="28"/>
        </w:rPr>
        <w:t>（二）政府采购支出情况</w:t>
        <w:tab/>
        <w:t>11</w:t>
      </w:r>
    </w:p>
    <w:p>
      <w:pPr>
        <w:pStyle w:val="16"/>
        <w:tabs>
          <w:tab w:val="right" w:leader="dot" w:pos="8296"/>
        </w:tabs>
        <w:ind w:leftChars="190" w:left="399"/>
        <w:rPr>
          <w:rFonts w:ascii="仿宋" w:eastAsia="仿宋"/>
          <w:bCs/>
          <w:sz w:val="28"/>
          <w:szCs w:val="28"/>
        </w:rPr>
      </w:pPr>
    </w:p>
    <w:p>
      <w:pPr>
        <w:pStyle w:val="16"/>
        <w:tabs>
          <w:tab w:val="right" w:leader="dot" w:pos="8296"/>
        </w:tabs>
        <w:ind w:leftChars="190" w:left="399"/>
        <w:rPr>
          <w:rFonts w:ascii="仿宋" w:eastAsia="仿宋"/>
          <w:bCs/>
          <w:sz w:val="28"/>
          <w:szCs w:val="28"/>
        </w:rPr>
      </w:pPr>
      <w:r>
        <w:rPr>
          <w:rFonts w:ascii="仿宋" w:eastAsia="仿宋" w:hint="eastAsia"/>
          <w:bCs/>
          <w:sz w:val="28"/>
          <w:szCs w:val="28"/>
        </w:rPr>
        <w:t>（三）国有资产占有使用情况</w:t>
        <w:tab/>
        <w:t>11</w:t>
      </w:r>
    </w:p>
    <w:p>
      <w:pPr>
        <w:pStyle w:val="16"/>
        <w:tabs>
          <w:tab w:val="right" w:leader="dot" w:pos="8296"/>
        </w:tabs>
        <w:ind w:leftChars="190" w:left="399"/>
        <w:rPr>
          <w:rFonts w:ascii="仿宋" w:eastAsia="仿宋"/>
          <w:bCs/>
          <w:sz w:val="28"/>
          <w:szCs w:val="28"/>
        </w:rPr>
      </w:pPr>
      <w:r>
        <w:rPr>
          <w:rFonts w:ascii="仿宋" w:eastAsia="仿宋" w:hint="eastAsia"/>
          <w:bCs/>
          <w:sz w:val="28"/>
          <w:szCs w:val="28"/>
        </w:rPr>
        <w:t>（四）预算绩效管理情况。</w:t>
      </w:r>
      <w:r>
        <w:rPr>
          <w:rFonts w:ascii="仿宋" w:eastAsia="仿宋"/>
          <w:bCs/>
          <w:sz w:val="28"/>
          <w:szCs w:val="28"/>
        </w:rPr>
        <w:tab/>
      </w:r>
      <w:r>
        <w:rPr>
          <w:rFonts w:ascii="仿宋" w:eastAsia="仿宋" w:hint="eastAsia"/>
          <w:bCs/>
          <w:sz w:val="28"/>
          <w:szCs w:val="28"/>
        </w:rPr>
        <w:t>11</w:t>
      </w:r>
    </w:p>
    <w:p>
      <w:pPr>
        <w:pStyle w:val="21"/>
        <w:tabs>
          <w:tab w:val="right" w:leader="dot" w:pos="8296"/>
        </w:tabs>
        <w:rPr>
          <w:rFonts w:ascii="仿宋" w:eastAsia="仿宋"/>
          <w:bCs/>
          <w:sz w:val="28"/>
          <w:szCs w:val="28"/>
        </w:rPr>
      </w:pPr>
      <w:r>
        <w:fldChar w:fldCharType="begin"/>
      </w:r>
      <w:r>
        <w:instrText>Hyperlink \l "_Toc15396613"</w:instrText>
      </w:r>
      <w:r>
        <w:fldChar w:fldCharType="separate"/>
      </w:r>
      <w:r>
        <w:rPr>
          <w:rFonts w:ascii="仿宋" w:eastAsia="仿宋" w:hint="eastAsia"/>
          <w:bCs/>
          <w:sz w:val="28"/>
          <w:szCs w:val="28"/>
        </w:rPr>
        <w:t>第三部分 名词解释</w:t>
        <w:tab/>
      </w:r>
      <w:r>
        <w:fldChar w:fldCharType="end"/>
      </w:r>
      <w:r>
        <w:rPr>
          <w:rFonts w:ascii="仿宋" w:eastAsia="仿宋" w:hint="eastAsia"/>
          <w:bCs/>
          <w:sz w:val="28"/>
          <w:szCs w:val="28"/>
        </w:rPr>
        <w:t>13</w:t>
      </w:r>
    </w:p>
    <w:p>
      <w:pPr>
        <w:pStyle w:val="21"/>
        <w:tabs>
          <w:tab w:val="right" w:leader="dot" w:pos="8296"/>
        </w:tabs>
        <w:rPr>
          <w:rFonts w:eastAsia="仿宋" w:cs="Arial"/>
        </w:rPr>
      </w:pPr>
      <w:r>
        <w:fldChar w:fldCharType="begin"/>
      </w:r>
      <w:r>
        <w:instrText>Hyperlink \l "_Toc15396614"</w:instrText>
      </w:r>
      <w:r>
        <w:fldChar w:fldCharType="separate"/>
      </w:r>
      <w:r>
        <w:rPr>
          <w:rFonts w:ascii="仿宋" w:eastAsia="仿宋" w:hint="eastAsia"/>
          <w:bCs/>
          <w:sz w:val="28"/>
          <w:szCs w:val="28"/>
        </w:rPr>
        <w:t>第四部分 附件</w:t>
        <w:tab/>
      </w:r>
      <w:r>
        <w:fldChar w:fldCharType="end"/>
      </w:r>
      <w:r>
        <w:rPr>
          <w:rFonts w:hint="eastAsia"/>
        </w:rPr>
        <w:t>16</w:t>
      </w:r>
    </w:p>
    <w:p>
      <w:pPr>
        <w:pStyle w:val="21"/>
        <w:tabs>
          <w:tab w:val="right" w:leader="dot" w:pos="8296"/>
        </w:tabs>
        <w:rPr>
          <w:rFonts w:ascii="仿宋" w:eastAsia="仿宋"/>
          <w:sz w:val="28"/>
          <w:szCs w:val="28"/>
        </w:rPr>
      </w:pPr>
      <w:r>
        <w:fldChar w:fldCharType="begin"/>
      </w:r>
      <w:r>
        <w:instrText>Hyperlink \l "_Toc15396615"</w:instrText>
      </w:r>
      <w:r>
        <w:fldChar w:fldCharType="separate"/>
      </w:r>
      <w:r>
        <w:rPr>
          <w:rFonts w:ascii="仿宋" w:eastAsia="仿宋" w:hint="eastAsia"/>
          <w:kern w:val="44"/>
          <w:sz w:val="28"/>
          <w:szCs w:val="28"/>
        </w:rPr>
        <w:t>附件</w:t>
      </w:r>
      <w:r>
        <w:rPr>
          <w:rFonts w:ascii="仿宋" w:eastAsia="仿宋"/>
          <w:kern w:val="44"/>
          <w:sz w:val="28"/>
          <w:szCs w:val="28"/>
        </w:rPr>
        <w:t>1</w:t>
      </w:r>
      <w:r>
        <w:rPr>
          <w:rFonts w:ascii="仿宋" w:eastAsia="仿宋"/>
          <w:sz w:val="28"/>
          <w:szCs w:val="28"/>
        </w:rPr>
        <w:tab/>
      </w:r>
      <w:r>
        <w:fldChar w:fldCharType="end"/>
      </w:r>
      <w:r>
        <w:rPr>
          <w:rFonts w:ascii="仿宋" w:eastAsia="仿宋" w:hint="eastAsia"/>
          <w:sz w:val="28"/>
          <w:szCs w:val="28"/>
        </w:rPr>
        <w:t>16</w:t>
      </w:r>
    </w:p>
    <w:p>
      <w:pPr>
        <w:widowControl/>
        <w:spacing w:line="580" w:lineRule="exact"/>
        <w:ind w:firstLineChars="150" w:firstLine="420"/>
        <w:contextualSpacing/>
        <w:rPr>
          <w:rFonts w:ascii="仿宋" w:eastAsia="仿宋"/>
          <w:bCs/>
          <w:sz w:val="28"/>
          <w:szCs w:val="28"/>
        </w:rPr>
      </w:pPr>
      <w:r>
        <w:rPr>
          <w:rFonts w:ascii="仿宋" w:eastAsia="仿宋" w:hint="eastAsia"/>
          <w:bCs/>
          <w:sz w:val="28"/>
          <w:szCs w:val="28"/>
        </w:rPr>
        <w:t>2021年中共金川县委宣传部整体支出绩效评价报告</w:t>
      </w:r>
      <w:r>
        <w:rPr>
          <w:rFonts w:ascii="仿宋" w:eastAsia="仿宋"/>
          <w:bCs/>
          <w:sz w:val="28"/>
          <w:szCs w:val="28"/>
        </w:rPr>
        <w:t>……………</w:t>
      </w:r>
      <w:r>
        <w:rPr>
          <w:rFonts w:ascii="仿宋" w:eastAsia="仿宋" w:hint="eastAsia"/>
          <w:bCs/>
          <w:sz w:val="28"/>
          <w:szCs w:val="28"/>
        </w:rPr>
        <w:t>16</w:t>
      </w:r>
    </w:p>
    <w:p>
      <w:pPr>
        <w:pStyle w:val="20"/>
        <w:tabs>
          <w:tab w:val="right" w:leader="dot" w:pos="8296"/>
        </w:tabs>
        <w:rPr>
          <w:rFonts w:cs="Arial"/>
        </w:rPr>
      </w:pPr>
      <w:r>
        <w:rPr>
          <w:rFonts w:hint="eastAsia"/>
        </w:rPr>
        <w:t xml:space="preserve">   </w:t>
      </w:r>
      <w:r>
        <w:fldChar w:fldCharType="begin"/>
      </w:r>
      <w:r>
        <w:instrText>Hyperlink \l "_Toc15396618"</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fldChar w:fldCharType="end"/>
      </w:r>
      <w:r>
        <w:rPr>
          <w:rFonts w:hint="eastAsia"/>
        </w:rPr>
        <w:t>0</w:t>
      </w:r>
    </w:p>
    <w:p>
      <w:pPr>
        <w:pStyle w:val="21"/>
        <w:tabs>
          <w:tab w:val="right" w:leader="dot" w:pos="8296"/>
        </w:tabs>
        <w:rPr>
          <w:rFonts w:ascii="仿宋" w:eastAsia="仿宋" w:cs="Arial"/>
          <w:sz w:val="28"/>
          <w:szCs w:val="28"/>
        </w:rPr>
      </w:pPr>
      <w:r>
        <w:rPr>
          <w:rFonts w:ascii="仿宋" w:eastAsia="仿宋" w:hint="eastAsia"/>
          <w:sz w:val="28"/>
          <w:szCs w:val="28"/>
        </w:rPr>
        <w:t>一、</w:t>
      </w:r>
      <w:r>
        <w:fldChar w:fldCharType="begin"/>
      </w:r>
      <w:r>
        <w:instrText>Hyperlink \l "_Toc15396619"</w:instrText>
      </w:r>
      <w:r>
        <w:fldChar w:fldCharType="separate"/>
      </w:r>
      <w:r>
        <w:rPr>
          <w:rFonts w:ascii="仿宋" w:eastAsia="仿宋" w:hint="eastAsia"/>
          <w:sz w:val="28"/>
          <w:szCs w:val="28"/>
        </w:rPr>
        <w:t>收入支出决算总表</w:t>
      </w:r>
      <w:r>
        <w:rPr>
          <w:rFonts w:ascii="仿宋" w:eastAsia="仿宋"/>
          <w:sz w:val="28"/>
          <w:szCs w:val="28"/>
        </w:rPr>
        <w:tab/>
      </w:r>
      <w:r>
        <w:rPr>
          <w:rFonts w:ascii="仿宋" w:eastAsia="仿宋" w:hint="eastAsia"/>
          <w:sz w:val="28"/>
          <w:szCs w:val="28"/>
        </w:rPr>
        <w:t>2</w:t>
      </w:r>
      <w:r>
        <w:fldChar w:fldCharType="end"/>
      </w:r>
      <w:r>
        <w:rPr>
          <w:rFonts w:ascii="仿宋" w:eastAsia="仿宋" w:hint="eastAsia"/>
          <w:sz w:val="28"/>
          <w:szCs w:val="28"/>
        </w:rPr>
        <w:t>0</w:t>
      </w:r>
    </w:p>
    <w:p>
      <w:pPr>
        <w:pStyle w:val="21"/>
        <w:tabs>
          <w:tab w:val="right" w:leader="dot" w:pos="8296"/>
        </w:tabs>
        <w:rPr>
          <w:rFonts w:ascii="仿宋" w:eastAsia="仿宋" w:cs="Arial"/>
          <w:sz w:val="28"/>
          <w:szCs w:val="28"/>
        </w:rPr>
      </w:pPr>
      <w:r>
        <w:rPr>
          <w:rFonts w:ascii="仿宋" w:eastAsia="仿宋" w:hint="eastAsia"/>
          <w:sz w:val="28"/>
          <w:szCs w:val="28"/>
        </w:rPr>
        <w:t>二、</w:t>
      </w:r>
      <w:r>
        <w:fldChar w:fldCharType="begin"/>
      </w:r>
      <w:r>
        <w:instrText>Hyperlink \l "_Toc15396620"</w:instrText>
      </w:r>
      <w:r>
        <w:fldChar w:fldCharType="separate"/>
      </w:r>
      <w:r>
        <w:rPr>
          <w:rFonts w:ascii="仿宋" w:eastAsia="仿宋" w:hint="eastAsia"/>
          <w:sz w:val="28"/>
          <w:szCs w:val="28"/>
        </w:rPr>
        <w:t>收入总表</w:t>
      </w:r>
      <w:r>
        <w:rPr>
          <w:rFonts w:ascii="仿宋" w:eastAsia="仿宋"/>
          <w:sz w:val="28"/>
          <w:szCs w:val="28"/>
        </w:rPr>
        <w:tab/>
      </w:r>
      <w:r>
        <w:fldChar w:fldCharType="end"/>
      </w:r>
      <w:r>
        <w:rPr>
          <w:rFonts w:ascii="仿宋" w:eastAsia="仿宋" w:hint="eastAsia"/>
          <w:sz w:val="28"/>
          <w:szCs w:val="28"/>
        </w:rPr>
        <w:t>20</w:t>
      </w:r>
    </w:p>
    <w:p>
      <w:pPr>
        <w:pStyle w:val="21"/>
        <w:tabs>
          <w:tab w:val="right" w:leader="dot" w:pos="8296"/>
        </w:tabs>
        <w:rPr>
          <w:rFonts w:ascii="仿宋" w:eastAsia="仿宋" w:cs="Arial"/>
          <w:sz w:val="28"/>
          <w:szCs w:val="28"/>
        </w:rPr>
      </w:pPr>
      <w:r>
        <w:rPr>
          <w:rFonts w:ascii="仿宋" w:eastAsia="仿宋" w:hint="eastAsia"/>
          <w:sz w:val="28"/>
          <w:szCs w:val="28"/>
        </w:rPr>
        <w:t>三、</w:t>
      </w:r>
      <w:r>
        <w:fldChar w:fldCharType="begin"/>
      </w:r>
      <w:r>
        <w:instrText>Hyperlink \l "_Toc15396621"</w:instrText>
      </w:r>
      <w:r>
        <w:fldChar w:fldCharType="separate"/>
      </w:r>
      <w:r>
        <w:rPr>
          <w:rFonts w:ascii="仿宋" w:eastAsia="仿宋" w:hint="eastAsia"/>
          <w:sz w:val="28"/>
          <w:szCs w:val="28"/>
        </w:rPr>
        <w:t>支出总表</w:t>
      </w:r>
      <w:r>
        <w:rPr>
          <w:rFonts w:ascii="仿宋" w:eastAsia="仿宋"/>
          <w:sz w:val="28"/>
          <w:szCs w:val="28"/>
        </w:rPr>
        <w:tab/>
      </w:r>
      <w:r>
        <w:fldChar w:fldCharType="end"/>
      </w:r>
      <w:r>
        <w:rPr>
          <w:rFonts w:ascii="仿宋" w:eastAsia="仿宋" w:hint="eastAsia"/>
          <w:sz w:val="28"/>
          <w:szCs w:val="28"/>
        </w:rPr>
        <w:t>20</w:t>
      </w:r>
    </w:p>
    <w:p>
      <w:pPr>
        <w:pStyle w:val="21"/>
        <w:tabs>
          <w:tab w:val="right" w:leader="dot" w:pos="8296"/>
        </w:tabs>
        <w:rPr>
          <w:rFonts w:ascii="仿宋" w:eastAsia="仿宋" w:cs="Arial"/>
          <w:sz w:val="28"/>
          <w:szCs w:val="28"/>
        </w:rPr>
      </w:pPr>
      <w:r>
        <w:rPr>
          <w:rFonts w:ascii="仿宋" w:eastAsia="仿宋" w:hint="eastAsia"/>
          <w:sz w:val="28"/>
          <w:szCs w:val="28"/>
        </w:rPr>
        <w:t>四、</w:t>
      </w:r>
      <w:r>
        <w:fldChar w:fldCharType="begin"/>
      </w:r>
      <w:r>
        <w:instrText>Hyperlink \l "_Toc15396622"</w:instrText>
      </w:r>
      <w:r>
        <w:fldChar w:fldCharType="separate"/>
      </w:r>
      <w:r>
        <w:rPr>
          <w:rFonts w:ascii="仿宋" w:eastAsia="仿宋" w:hint="eastAsia"/>
          <w:sz w:val="28"/>
          <w:szCs w:val="28"/>
        </w:rPr>
        <w:t>财政拨款收入支出决算总表</w:t>
      </w:r>
      <w:r>
        <w:rPr>
          <w:rFonts w:ascii="仿宋" w:eastAsia="仿宋"/>
          <w:sz w:val="28"/>
          <w:szCs w:val="28"/>
        </w:rPr>
        <w:tab/>
      </w:r>
      <w:r>
        <w:fldChar w:fldCharType="end"/>
      </w:r>
      <w:r>
        <w:rPr>
          <w:rFonts w:ascii="仿宋" w:eastAsia="仿宋" w:hint="eastAsia"/>
          <w:sz w:val="28"/>
          <w:szCs w:val="28"/>
        </w:rPr>
        <w:t>20</w:t>
      </w:r>
    </w:p>
    <w:p>
      <w:pPr>
        <w:pStyle w:val="21"/>
        <w:tabs>
          <w:tab w:val="right" w:leader="dot" w:pos="8296"/>
        </w:tabs>
        <w:rPr>
          <w:rFonts w:ascii="仿宋" w:eastAsia="仿宋"/>
          <w:sz w:val="28"/>
          <w:szCs w:val="28"/>
        </w:rPr>
      </w:pPr>
      <w:r>
        <w:rPr>
          <w:rFonts w:ascii="仿宋" w:eastAsia="仿宋" w:hint="eastAsia"/>
          <w:sz w:val="28"/>
          <w:szCs w:val="28"/>
        </w:rPr>
        <w:t>五、</w:t>
      </w:r>
      <w:r>
        <w:fldChar w:fldCharType="begin"/>
      </w:r>
      <w:r>
        <w:instrText>Hyperlink \l "_Toc15396623"</w:instrText>
      </w:r>
      <w:r>
        <w:fldChar w:fldCharType="separate"/>
      </w:r>
      <w:r>
        <w:rPr>
          <w:rFonts w:ascii="仿宋" w:eastAsia="仿宋" w:hint="eastAsia"/>
          <w:sz w:val="28"/>
          <w:szCs w:val="28"/>
        </w:rPr>
        <w:t>财政拨款支出决算明细表（政府经济分类科目）</w:t>
      </w:r>
      <w:r>
        <w:rPr>
          <w:rFonts w:ascii="仿宋" w:eastAsia="仿宋"/>
          <w:sz w:val="28"/>
          <w:szCs w:val="28"/>
        </w:rPr>
        <w:tab/>
      </w:r>
      <w:r>
        <w:fldChar w:fldCharType="end"/>
      </w:r>
      <w:r>
        <w:rPr>
          <w:rFonts w:ascii="仿宋" w:eastAsia="仿宋" w:hint="eastAsia"/>
          <w:sz w:val="28"/>
          <w:szCs w:val="28"/>
        </w:rPr>
        <w:t>20</w:t>
      </w:r>
    </w:p>
    <w:p>
      <w:pPr>
        <w:pStyle w:val="21"/>
        <w:tabs>
          <w:tab w:val="right" w:leader="dot" w:pos="8296"/>
        </w:tabs>
        <w:rPr>
          <w:rFonts w:ascii="仿宋" w:eastAsia="仿宋" w:cs="Arial"/>
          <w:sz w:val="28"/>
          <w:szCs w:val="28"/>
        </w:rPr>
      </w:pPr>
      <w:r>
        <w:rPr>
          <w:rFonts w:ascii="仿宋" w:eastAsia="仿宋" w:hint="eastAsia"/>
          <w:sz w:val="28"/>
          <w:szCs w:val="28"/>
        </w:rPr>
        <w:t>六、</w:t>
      </w:r>
      <w:r>
        <w:fldChar w:fldCharType="begin"/>
      </w:r>
      <w:r>
        <w:instrText>Hyperlink \l "_Toc15396624"</w:instrText>
      </w:r>
      <w:r>
        <w:fldChar w:fldCharType="separate"/>
      </w:r>
      <w:r>
        <w:rPr>
          <w:rFonts w:ascii="仿宋" w:eastAsia="仿宋" w:hint="eastAsia"/>
          <w:sz w:val="28"/>
          <w:szCs w:val="28"/>
        </w:rPr>
        <w:t>一般公共预算财政拨款支出决算表</w:t>
      </w:r>
      <w:r>
        <w:rPr>
          <w:rFonts w:ascii="仿宋" w:eastAsia="仿宋"/>
          <w:sz w:val="28"/>
          <w:szCs w:val="28"/>
        </w:rPr>
        <w:tab/>
      </w:r>
      <w:r>
        <w:fldChar w:fldCharType="end"/>
      </w:r>
      <w:r>
        <w:rPr>
          <w:rFonts w:ascii="仿宋" w:eastAsia="仿宋" w:hint="eastAsia"/>
          <w:sz w:val="28"/>
          <w:szCs w:val="28"/>
        </w:rPr>
        <w:t>20</w:t>
      </w:r>
    </w:p>
    <w:p>
      <w:pPr>
        <w:pStyle w:val="21"/>
        <w:tabs>
          <w:tab w:val="right" w:leader="dot" w:pos="8296"/>
        </w:tabs>
        <w:rPr>
          <w:rFonts w:ascii="仿宋" w:eastAsia="仿宋" w:cs="Arial"/>
          <w:sz w:val="28"/>
          <w:szCs w:val="28"/>
        </w:rPr>
      </w:pPr>
      <w:r>
        <w:rPr>
          <w:rFonts w:ascii="仿宋" w:eastAsia="仿宋" w:hint="eastAsia"/>
          <w:sz w:val="28"/>
          <w:szCs w:val="28"/>
        </w:rPr>
        <w:t>七、</w:t>
      </w:r>
      <w:r>
        <w:fldChar w:fldCharType="begin"/>
      </w:r>
      <w:r>
        <w:instrText>Hyperlink \l "_Toc15396625"</w:instrText>
      </w:r>
      <w:r>
        <w:fldChar w:fldCharType="separate"/>
      </w:r>
      <w:r>
        <w:rPr>
          <w:rFonts w:ascii="仿宋" w:eastAsia="仿宋" w:hint="eastAsia"/>
          <w:sz w:val="28"/>
          <w:szCs w:val="28"/>
        </w:rPr>
        <w:t>一般公共预算财政拨款支出决算明细表</w:t>
      </w:r>
      <w:r>
        <w:rPr>
          <w:rFonts w:ascii="仿宋" w:eastAsia="仿宋"/>
          <w:sz w:val="28"/>
          <w:szCs w:val="28"/>
        </w:rPr>
        <w:tab/>
      </w:r>
      <w:r>
        <w:fldChar w:fldCharType="end"/>
      </w:r>
      <w:r>
        <w:rPr>
          <w:rFonts w:ascii="仿宋" w:eastAsia="仿宋" w:hint="eastAsia"/>
          <w:sz w:val="28"/>
          <w:szCs w:val="28"/>
        </w:rPr>
        <w:t>20</w:t>
      </w:r>
    </w:p>
    <w:p>
      <w:pPr>
        <w:pStyle w:val="21"/>
        <w:tabs>
          <w:tab w:val="right" w:leader="dot" w:pos="8296"/>
        </w:tabs>
        <w:rPr>
          <w:rFonts w:ascii="仿宋" w:eastAsia="仿宋" w:cs="Arial"/>
          <w:sz w:val="28"/>
          <w:szCs w:val="28"/>
        </w:rPr>
      </w:pPr>
      <w:r>
        <w:rPr>
          <w:rFonts w:ascii="仿宋" w:eastAsia="仿宋" w:hint="eastAsia"/>
          <w:sz w:val="28"/>
          <w:szCs w:val="28"/>
        </w:rPr>
        <w:t>八、</w:t>
      </w:r>
      <w:r>
        <w:fldChar w:fldCharType="begin"/>
      </w:r>
      <w:r>
        <w:instrText>Hyperlink \l "_Toc15396626"</w:instrText>
      </w:r>
      <w:r>
        <w:fldChar w:fldCharType="separate"/>
      </w:r>
      <w:r>
        <w:rPr>
          <w:rFonts w:ascii="仿宋" w:eastAsia="仿宋" w:hint="eastAsia"/>
          <w:sz w:val="28"/>
          <w:szCs w:val="28"/>
        </w:rPr>
        <w:t>一般公共预算财政拨款基本支出决算表</w:t>
      </w:r>
      <w:r>
        <w:rPr>
          <w:rFonts w:ascii="仿宋" w:eastAsia="仿宋"/>
          <w:sz w:val="28"/>
          <w:szCs w:val="28"/>
        </w:rPr>
        <w:tab/>
      </w:r>
      <w:r>
        <w:fldChar w:fldCharType="end"/>
      </w:r>
      <w:r>
        <w:rPr>
          <w:rFonts w:ascii="仿宋" w:eastAsia="仿宋" w:hint="eastAsia"/>
          <w:sz w:val="28"/>
          <w:szCs w:val="28"/>
        </w:rPr>
        <w:t>20</w:t>
      </w:r>
    </w:p>
    <w:p>
      <w:pPr>
        <w:pStyle w:val="21"/>
        <w:tabs>
          <w:tab w:val="right" w:leader="dot" w:pos="8296"/>
        </w:tabs>
        <w:rPr>
          <w:rFonts w:ascii="仿宋" w:eastAsia="仿宋"/>
          <w:sz w:val="28"/>
          <w:szCs w:val="28"/>
        </w:rPr>
      </w:pPr>
      <w:r>
        <w:rPr>
          <w:rFonts w:ascii="仿宋" w:eastAsia="仿宋" w:hint="eastAsia"/>
          <w:sz w:val="28"/>
          <w:szCs w:val="28"/>
        </w:rPr>
        <w:t>九、</w:t>
      </w:r>
      <w:r>
        <w:fldChar w:fldCharType="begin"/>
      </w:r>
      <w:r>
        <w:instrText>Hyperlink \l "_Toc15396627"</w:instrText>
      </w:r>
      <w:r>
        <w:fldChar w:fldCharType="separate"/>
      </w:r>
      <w:r>
        <w:rPr>
          <w:rFonts w:ascii="仿宋" w:eastAsia="仿宋" w:hint="eastAsia"/>
          <w:sz w:val="28"/>
          <w:szCs w:val="28"/>
        </w:rPr>
        <w:t>一般公共预算财政拨款项目支出决算表</w:t>
      </w:r>
      <w:r>
        <w:rPr>
          <w:rFonts w:ascii="仿宋" w:eastAsia="仿宋"/>
          <w:sz w:val="28"/>
          <w:szCs w:val="28"/>
        </w:rPr>
        <w:tab/>
      </w:r>
      <w:r>
        <w:fldChar w:fldCharType="end"/>
      </w:r>
      <w:r>
        <w:rPr>
          <w:rFonts w:ascii="仿宋" w:eastAsia="仿宋" w:hint="eastAsia"/>
          <w:sz w:val="28"/>
          <w:szCs w:val="28"/>
        </w:rPr>
        <w:t>20</w:t>
      </w:r>
    </w:p>
    <w:p>
      <w:pPr>
        <w:pStyle w:val="21"/>
        <w:tabs>
          <w:tab w:val="right" w:leader="dot" w:pos="8296"/>
        </w:tabs>
        <w:spacing w:line="500" w:lineRule="exact"/>
        <w:rPr>
          <w:sz w:val="28"/>
          <w:szCs w:val="28"/>
        </w:rPr>
      </w:pPr>
      <w:r>
        <w:rPr>
          <w:rFonts w:ascii="仿宋" w:eastAsia="仿宋" w:hint="eastAsia"/>
          <w:bCs/>
          <w:sz w:val="28"/>
          <w:szCs w:val="28"/>
        </w:rPr>
        <w:t>十、一</w:t>
      </w:r>
      <w:r>
        <w:rPr>
          <w:rFonts w:hint="eastAsia"/>
          <w:sz w:val="28"/>
          <w:szCs w:val="28"/>
        </w:rPr>
        <w:t>般公共预算财政拨款“三公”经费支出决算表</w:t>
      </w:r>
      <w:r>
        <w:rPr>
          <w:sz w:val="28"/>
          <w:szCs w:val="28"/>
        </w:rPr>
        <w:t>………</w:t>
      </w:r>
      <w:r>
        <w:rPr>
          <w:rFonts w:hint="eastAsia"/>
          <w:sz w:val="28"/>
          <w:szCs w:val="28"/>
        </w:rPr>
        <w:t>.</w:t>
      </w:r>
      <w:r>
        <w:rPr>
          <w:sz w:val="28"/>
          <w:szCs w:val="28"/>
        </w:rPr>
        <w:t>…</w:t>
      </w:r>
      <w:r>
        <w:rPr>
          <w:rFonts w:hint="eastAsia"/>
          <w:sz w:val="28"/>
          <w:szCs w:val="28"/>
        </w:rPr>
        <w:t>.20</w:t>
      </w:r>
    </w:p>
    <w:p>
      <w:pPr>
        <w:pStyle w:val="21"/>
        <w:tabs>
          <w:tab w:val="right" w:leader="dot" w:pos="8296"/>
        </w:tabs>
        <w:spacing w:line="500" w:lineRule="exact"/>
        <w:rPr>
          <w:rFonts w:ascii="仿宋" w:eastAsia="仿宋" w:cs="Arial"/>
          <w:sz w:val="28"/>
          <w:szCs w:val="28"/>
        </w:rPr>
      </w:pPr>
      <w:r>
        <w:rPr>
          <w:rFonts w:hint="eastAsia"/>
          <w:sz w:val="28"/>
          <w:szCs w:val="28"/>
        </w:rPr>
        <w:t>十一、</w:t>
      </w:r>
      <w:r>
        <w:rPr>
          <w:rFonts w:ascii="仿宋" w:eastAsia="仿宋" w:hint="eastAsia"/>
          <w:bCs/>
          <w:sz w:val="28"/>
          <w:szCs w:val="28"/>
        </w:rPr>
        <w:t>政</w:t>
      </w:r>
      <w:r>
        <w:rPr>
          <w:rFonts w:hint="eastAsia"/>
          <w:sz w:val="28"/>
          <w:szCs w:val="28"/>
        </w:rPr>
        <w:t>府性基金预算财政拨款收入支出决算表</w:t>
      </w:r>
      <w:r>
        <w:rPr>
          <w:sz w:val="28"/>
          <w:szCs w:val="28"/>
        </w:rPr>
        <w:t>………………</w:t>
      </w:r>
      <w:r>
        <w:rPr>
          <w:rFonts w:hint="eastAsia"/>
          <w:sz w:val="28"/>
          <w:szCs w:val="28"/>
        </w:rPr>
        <w:t>..20</w:t>
      </w:r>
    </w:p>
    <w:p>
      <w:pPr>
        <w:pStyle w:val="2"/>
        <w:spacing w:line="500" w:lineRule="exact"/>
        <w:ind w:firstLineChars="150" w:firstLine="420"/>
        <w:rPr>
          <w:rFonts w:ascii="仿宋" w:eastAsia="仿宋"/>
          <w:b w:val="0"/>
          <w:bCs w:val="0"/>
          <w:sz w:val="28"/>
          <w:szCs w:val="28"/>
        </w:rPr>
      </w:pPr>
      <w:r>
        <w:rPr>
          <w:rFonts w:hint="eastAsia"/>
          <w:b w:val="0"/>
          <w:sz w:val="28"/>
          <w:szCs w:val="28"/>
        </w:rPr>
        <w:t>十二、</w:t>
      </w:r>
      <w:r>
        <w:rPr>
          <w:rFonts w:ascii="仿宋" w:eastAsia="仿宋" w:hint="eastAsia"/>
          <w:b w:val="0"/>
          <w:bCs w:val="0"/>
          <w:sz w:val="28"/>
          <w:szCs w:val="28"/>
        </w:rPr>
        <w:t>政</w:t>
      </w:r>
      <w:r>
        <w:rPr>
          <w:rFonts w:hint="eastAsia"/>
          <w:b w:val="0"/>
          <w:sz w:val="28"/>
          <w:szCs w:val="28"/>
        </w:rPr>
        <w:t>府性基金预算财政拨款“三公”经费支出决算表</w:t>
      </w:r>
      <w:r>
        <w:rPr>
          <w:b w:val="0"/>
          <w:sz w:val="28"/>
          <w:szCs w:val="28"/>
        </w:rPr>
        <w:t>……</w:t>
      </w:r>
      <w:r>
        <w:rPr>
          <w:rFonts w:hint="eastAsia"/>
          <w:b w:val="0"/>
          <w:sz w:val="28"/>
          <w:szCs w:val="28"/>
        </w:rPr>
        <w:t>.20</w:t>
      </w:r>
    </w:p>
    <w:p>
      <w:pPr>
        <w:pStyle w:val="2"/>
        <w:spacing w:line="500" w:lineRule="exact"/>
        <w:ind w:firstLineChars="150" w:firstLine="420"/>
        <w:rPr>
          <w:b w:val="0"/>
          <w:sz w:val="28"/>
          <w:szCs w:val="28"/>
        </w:rPr>
      </w:pPr>
      <w:r>
        <w:rPr>
          <w:rFonts w:hint="eastAsia"/>
          <w:b w:val="0"/>
          <w:sz w:val="28"/>
          <w:szCs w:val="28"/>
        </w:rPr>
        <w:t>十三、</w:t>
      </w:r>
      <w:r>
        <w:rPr>
          <w:rFonts w:ascii="仿宋" w:eastAsia="仿宋" w:hint="eastAsia"/>
          <w:b w:val="0"/>
          <w:bCs w:val="0"/>
          <w:sz w:val="28"/>
          <w:szCs w:val="28"/>
        </w:rPr>
        <w:t>国</w:t>
      </w:r>
      <w:r>
        <w:rPr>
          <w:rFonts w:hint="eastAsia"/>
          <w:b w:val="0"/>
          <w:sz w:val="28"/>
          <w:szCs w:val="28"/>
        </w:rPr>
        <w:t>有资本经营预算支出决算表</w:t>
      </w:r>
      <w:r>
        <w:rPr>
          <w:b w:val="0"/>
          <w:sz w:val="28"/>
          <w:szCs w:val="28"/>
        </w:rPr>
        <w:t>……………………………</w:t>
      </w:r>
      <w:r>
        <w:rPr>
          <w:rFonts w:hint="eastAsia"/>
          <w:b w:val="0"/>
          <w:sz w:val="28"/>
          <w:szCs w:val="28"/>
        </w:rPr>
        <w:t>.20</w:t>
      </w:r>
    </w:p>
    <w:p>
      <w:pPr>
        <w:spacing w:line="500" w:lineRule="exact"/>
        <w:ind w:firstLineChars="150" w:firstLine="420"/>
        <w:rPr>
          <w:rFonts w:ascii="Cambria" w:hAnsi="Cambria"/>
          <w:bCs/>
          <w:sz w:val="28"/>
          <w:szCs w:val="28"/>
        </w:rPr>
      </w:pPr>
      <w:r>
        <w:rPr>
          <w:rFonts w:ascii="Cambria" w:hAnsi="Cambria" w:hint="eastAsia"/>
          <w:sz w:val="28"/>
          <w:szCs w:val="28"/>
        </w:rPr>
        <w:t>十四、国有资本经营预算财政拨款支出决算表</w:t>
      </w:r>
      <w:r>
        <w:rPr>
          <w:rFonts w:ascii="Cambria" w:hAnsi="Cambria"/>
          <w:sz w:val="28"/>
          <w:szCs w:val="28"/>
        </w:rPr>
        <w:t>…………………</w:t>
      </w:r>
      <w:r>
        <w:rPr>
          <w:rFonts w:ascii="Cambria" w:hAnsi="Cambria" w:hint="eastAsia"/>
          <w:sz w:val="28"/>
          <w:szCs w:val="28"/>
        </w:rPr>
        <w:t>..20</w:t>
      </w:r>
    </w:p>
    <w:p>
      <w:pPr>
        <w:pStyle w:val="21"/>
        <w:tabs>
          <w:tab w:val="right" w:leader="dot" w:pos="8296"/>
        </w:tabs>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p>
    <w:p>
      <w:pPr>
        <w:pStyle w:val="1"/>
        <w:jc w:val="center"/>
        <w:rPr>
          <w:rFonts w:ascii="黑体" w:eastAsia="黑体"/>
          <w:color w:val="000000"/>
          <w:sz w:val="32"/>
          <w:szCs w:val="32"/>
        </w:rPr>
      </w:pPr>
      <w:r>
        <w:rPr>
          <w:rFonts w:ascii="黑体" w:eastAsia="黑体" w:hint="eastAsia"/>
          <w:b w:val="0"/>
        </w:rPr>
        <w:t xml:space="preserve">第一部分 </w:t>
      </w:r>
      <w:r>
        <w:rPr>
          <w:rStyle w:val="1Char"/>
          <w:rFonts w:ascii="黑体" w:eastAsia="黑体" w:hint="eastAsia"/>
        </w:rPr>
        <w:t>部门概况</w:t>
      </w:r>
      <w:bookmarkEnd w:id="5"/>
      <w:bookmarkEnd w:id="6"/>
    </w:p>
    <w:p>
      <w:pPr>
        <w:pStyle w:val="2"/>
        <w:spacing w:before="0" w:after="0" w:line="240" w:lineRule="auto"/>
        <w:ind w:left="640" w:hangingChars="200" w:hanging="640"/>
        <w:rPr>
          <w:rStyle w:val="2Char"/>
          <w:rFonts w:ascii="黑体" w:eastAsia="黑体"/>
        </w:rPr>
      </w:pPr>
      <w:bookmarkStart w:id="13" w:name="_Toc15377197"/>
      <w:bookmarkStart w:id="14" w:name="_Toc15396600"/>
      <w:r>
        <w:rPr>
          <w:rFonts w:ascii="黑体" w:eastAsia="黑体" w:hint="eastAsia"/>
          <w:b w:val="0"/>
          <w:color w:val="000000"/>
        </w:rPr>
        <w:t>一、基</w:t>
      </w:r>
      <w:r>
        <w:rPr>
          <w:rStyle w:val="2Char"/>
          <w:rFonts w:ascii="黑体" w:eastAsia="黑体" w:hint="eastAsia"/>
        </w:rPr>
        <w:t>本职能及主要工作</w:t>
      </w:r>
      <w:bookmarkStart w:id="15" w:name="_Toc15378445"/>
      <w:bookmarkStart w:id="16" w:name="_Toc15377198"/>
      <w:bookmarkEnd w:id="13"/>
      <w:bookmarkEnd w:id="14"/>
    </w:p>
    <w:p>
      <w:pPr>
        <w:pStyle w:val="2"/>
        <w:spacing w:before="0" w:after="0" w:line="240" w:lineRule="auto"/>
        <w:ind w:leftChars="153" w:left="641" w:hangingChars="100" w:hanging="320"/>
        <w:rPr>
          <w:rFonts w:ascii="楷体" w:eastAsia="楷体" w:cs="楷体"/>
          <w:color w:val="000000"/>
        </w:rPr>
      </w:pPr>
      <w:r>
        <w:rPr>
          <w:rFonts w:ascii="楷体" w:eastAsia="楷体" w:cs="楷体" w:hint="eastAsia"/>
          <w:color w:val="000000"/>
        </w:rPr>
        <w:t>（一）主要职能</w:t>
      </w:r>
      <w:bookmarkStart w:id="17" w:name="_Toc15377199"/>
      <w:bookmarkStart w:id="18" w:name="_Toc15378446"/>
      <w:bookmarkEnd w:id="15"/>
      <w:bookmarkEnd w:id="16"/>
    </w:p>
    <w:p>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中共金川县委宣传部是县委组成部门。负责组织指导全县的理论研究、理论学习和理论宣传工作。负责引导社会舆论，指导协调县文体广新局电视台工作，负责从宏观上指导、协调精神产品的生产，联系县文体广新局。负责规划、不是全局性的思想政治工作任务，配合县委组织部做好党员教育工作，负责党员教育教材的编写；会同有关部门研究和改进群众思想教育工作。规划、部署、协调全县精神文明建设活动；规划、部署、协调全县对外文化交流工作。指导全县各级各类学校的德育、政治理论学习。制定全县宣传干部和有关宣传文化系统骨干的培训规划并组织实施；配合有关部门做好知识分子工作和理论、新闻、文艺等方面优秀人才的选拨培养工作。负责提出宣传思想文化事业发展的指导意见；指导文化系统制定规章制度；按照县委工作部署，对宣传文化系统各部门之间的工作进行协调。备案监管已开通的网站，组织方互联网新闻宣传。</w:t>
      </w:r>
    </w:p>
    <w:p>
      <w:pPr>
        <w:pStyle w:val="2"/>
        <w:spacing w:before="0" w:after="0" w:line="240" w:lineRule="auto"/>
        <w:ind w:firstLineChars="100" w:firstLine="320"/>
        <w:rPr>
          <w:rFonts w:ascii="楷体" w:eastAsia="楷体" w:cs="楷体"/>
          <w:color w:val="000000"/>
        </w:rPr>
      </w:pPr>
      <w:r>
        <w:rPr>
          <w:rFonts w:ascii="楷体" w:eastAsia="楷体" w:cs="楷体" w:hint="eastAsia"/>
          <w:color w:val="000000"/>
        </w:rPr>
        <w:t>（二）2021年重点工作完成情况</w:t>
      </w:r>
      <w:bookmarkEnd w:id="17"/>
      <w:bookmarkEnd w:id="18"/>
    </w:p>
    <w:p>
      <w:pPr>
        <w:ind w:left="480"/>
        <w:rPr>
          <w:rFonts w:ascii="楷体_GB2312" w:eastAsia="楷体_GB2312"/>
          <w:bCs/>
          <w:sz w:val="32"/>
          <w:szCs w:val="32"/>
        </w:rPr>
      </w:pPr>
      <w:bookmarkStart w:id="19" w:name="_Toc15396601"/>
      <w:bookmarkStart w:id="20" w:name="_Toc15377200"/>
      <w:r>
        <w:rPr>
          <w:rFonts w:ascii="黑体" w:eastAsia="黑体" w:hint="eastAsia"/>
          <w:bCs/>
          <w:sz w:val="32"/>
          <w:szCs w:val="32"/>
        </w:rPr>
        <w:t>1、理论武装工作</w:t>
      </w:r>
      <w:r>
        <w:rPr>
          <w:rFonts w:ascii="楷体_GB2312" w:eastAsia="楷体_GB2312" w:hint="eastAsia"/>
          <w:bCs/>
          <w:sz w:val="32"/>
          <w:szCs w:val="32"/>
        </w:rPr>
        <w:t>（1）</w:t>
      </w:r>
      <w:r>
        <w:rPr>
          <w:rFonts w:ascii="楷体_GB2312" w:eastAsia="楷体_GB2312" w:cs="Tahoma" w:hint="eastAsia"/>
          <w:bCs/>
          <w:color w:val="000000"/>
          <w:kern w:val="0"/>
          <w:sz w:val="32"/>
          <w:szCs w:val="32"/>
        </w:rPr>
        <w:t>突出学习重点，</w:t>
      </w:r>
      <w:r>
        <w:rPr>
          <w:rFonts w:ascii="楷体_GB2312" w:eastAsia="楷体_GB2312" w:hint="eastAsia"/>
          <w:bCs/>
          <w:sz w:val="32"/>
          <w:szCs w:val="32"/>
        </w:rPr>
        <w:t>发挥各级党委（党组）中心组的带动作用（2）开展走基层活动</w:t>
      </w:r>
    </w:p>
    <w:p>
      <w:pPr>
        <w:ind w:left="480"/>
        <w:rPr>
          <w:rFonts w:ascii="黑体" w:eastAsia="黑体" w:cs="Tahoma"/>
          <w:bCs/>
          <w:color w:val="000000"/>
          <w:kern w:val="0"/>
          <w:sz w:val="32"/>
          <w:szCs w:val="32"/>
        </w:rPr>
      </w:pPr>
      <w:r>
        <w:rPr>
          <w:rFonts w:ascii="黑体" w:eastAsia="黑体" w:cs="Tahoma" w:hint="eastAsia"/>
          <w:bCs/>
          <w:color w:val="000000"/>
          <w:kern w:val="0"/>
          <w:sz w:val="32"/>
          <w:szCs w:val="32"/>
        </w:rPr>
        <w:t>2、意识形态工作（1）</w:t>
      </w:r>
      <w:r>
        <w:rPr>
          <w:rFonts w:ascii="楷体_GB2312" w:eastAsia="楷体_GB2312" w:hint="eastAsia"/>
          <w:bCs/>
          <w:sz w:val="32"/>
          <w:szCs w:val="32"/>
        </w:rPr>
        <w:t>建立健全意识形态工作责任制（2）进一步开展精准思想政治教育（3）不断强化舆论引导和舆论反制</w:t>
      </w:r>
    </w:p>
    <w:p>
      <w:pPr>
        <w:ind w:left="480"/>
        <w:rPr>
          <w:rFonts w:ascii="黑体" w:eastAsia="黑体" w:cs="Tahoma"/>
          <w:bCs/>
          <w:color w:val="000000"/>
          <w:kern w:val="0"/>
          <w:sz w:val="32"/>
          <w:szCs w:val="32"/>
        </w:rPr>
      </w:pPr>
      <w:r>
        <w:rPr>
          <w:rFonts w:ascii="黑体" w:eastAsia="黑体" w:cs="Tahoma" w:hint="eastAsia"/>
          <w:bCs/>
          <w:color w:val="000000"/>
          <w:kern w:val="0"/>
          <w:sz w:val="32"/>
          <w:szCs w:val="32"/>
        </w:rPr>
        <w:t>3、精神文明工作（1）</w:t>
      </w:r>
      <w:r>
        <w:rPr>
          <w:rFonts w:ascii="楷体_GB2312" w:eastAsia="楷体_GB2312" w:hint="eastAsia"/>
          <w:bCs/>
          <w:sz w:val="32"/>
          <w:szCs w:val="32"/>
        </w:rPr>
        <w:t>抓好社会主义核心价值观在我县落地生根（2）深化群众性精神文明创建在我县遍地开花（3）强化未成年人思想道德建设在我县蓬勃发展</w:t>
      </w:r>
    </w:p>
    <w:p>
      <w:pPr>
        <w:widowControl/>
        <w:spacing w:line="576" w:lineRule="exact"/>
        <w:ind w:left="480"/>
        <w:jc w:val="left"/>
        <w:rPr>
          <w:rFonts w:ascii="黑体" w:eastAsia="黑体" w:cs="Tahoma"/>
          <w:bCs/>
          <w:color w:val="000000"/>
          <w:kern w:val="0"/>
          <w:sz w:val="32"/>
          <w:szCs w:val="32"/>
        </w:rPr>
      </w:pPr>
      <w:r>
        <w:rPr>
          <w:rFonts w:ascii="黑体" w:eastAsia="黑体" w:cs="Tahoma" w:hint="eastAsia"/>
          <w:bCs/>
          <w:color w:val="000000"/>
          <w:kern w:val="0"/>
          <w:sz w:val="32"/>
          <w:szCs w:val="32"/>
        </w:rPr>
        <w:t>4、宣传文化工作（1）</w:t>
      </w:r>
      <w:r>
        <w:rPr>
          <w:rFonts w:ascii="楷体_GB2312" w:eastAsia="楷体_GB2312" w:hint="eastAsia"/>
          <w:bCs/>
          <w:sz w:val="32"/>
          <w:szCs w:val="32"/>
        </w:rPr>
        <w:t>营造良好舆论氛围（2）持续加大宣传力度（3）改革创新宣传方式（4）传承挖掘传统文化（5）推进公共文化服务</w:t>
      </w:r>
    </w:p>
    <w:p>
      <w:pPr>
        <w:widowControl/>
        <w:spacing w:line="576" w:lineRule="exact"/>
        <w:ind w:left="480"/>
        <w:jc w:val="left"/>
        <w:rPr>
          <w:bCs/>
          <w:color w:val="000000"/>
          <w:sz w:val="32"/>
          <w:szCs w:val="32"/>
        </w:rPr>
      </w:pPr>
      <w:r>
        <w:rPr>
          <w:rFonts w:ascii="黑体" w:eastAsia="黑体" w:cs="Tahoma" w:hint="eastAsia"/>
          <w:bCs/>
          <w:color w:val="000000"/>
          <w:kern w:val="0"/>
          <w:sz w:val="32"/>
          <w:szCs w:val="32"/>
        </w:rPr>
        <w:t>5、队伍建设工作：（1）</w:t>
      </w:r>
      <w:r>
        <w:rPr>
          <w:rFonts w:ascii="楷体_GB2312" w:eastAsia="楷体_GB2312" w:hint="eastAsia"/>
          <w:bCs/>
          <w:sz w:val="32"/>
          <w:szCs w:val="32"/>
        </w:rPr>
        <w:t>强化领导担当，提升履职能力（2）加强队伍建设，壮大宣传力量</w:t>
      </w:r>
    </w:p>
    <w:p>
      <w:pPr>
        <w:spacing w:line="578" w:lineRule="exact"/>
        <w:ind w:firstLineChars="200" w:firstLine="640"/>
        <w:rPr>
          <w:rStyle w:val="2Char"/>
          <w:b w:val="0"/>
          <w:bCs w:val="0"/>
        </w:rPr>
      </w:pPr>
      <w:r>
        <w:rPr>
          <w:rStyle w:val="2Char"/>
          <w:rFonts w:ascii="黑体" w:eastAsia="黑体" w:hint="eastAsia"/>
          <w:b w:val="0"/>
          <w:bCs w:val="0"/>
        </w:rPr>
        <w:t>二、机构设置</w:t>
      </w:r>
      <w:bookmarkEnd w:id="19"/>
      <w:bookmarkEnd w:id="20"/>
    </w:p>
    <w:p>
      <w:pPr>
        <w:snapToGrid w:val="0"/>
        <w:spacing w:line="520" w:lineRule="exact"/>
        <w:ind w:firstLineChars="200" w:firstLine="640"/>
        <w:rPr>
          <w:rFonts w:ascii="仿宋_GB2312" w:eastAsia="仿宋_GB2312"/>
          <w:sz w:val="32"/>
          <w:szCs w:val="32"/>
        </w:rPr>
      </w:pPr>
      <w:bookmarkStart w:id="21" w:name="_Toc15396602"/>
      <w:bookmarkStart w:id="22" w:name="_Toc15377204"/>
      <w:r>
        <w:rPr>
          <w:rFonts w:ascii="仿宋_GB2312" w:eastAsia="仿宋_GB2312" w:cs="仿宋_GB2312" w:hint="eastAsia"/>
          <w:sz w:val="32"/>
          <w:szCs w:val="32"/>
        </w:rPr>
        <w:t>2020年独立编制单位机构数为 1个</w:t>
      </w:r>
      <w:r>
        <w:rPr>
          <w:rFonts w:ascii="仿宋_GB2312" w:eastAsia="仿宋_GB2312" w:hint="eastAsia"/>
          <w:sz w:val="32"/>
          <w:szCs w:val="32"/>
        </w:rPr>
        <w:t>，</w:t>
      </w:r>
      <w:r>
        <w:rPr>
          <w:rFonts w:ascii="仿宋_GB2312" w:eastAsia="仿宋_GB2312" w:cs="仿宋_GB2312" w:hint="eastAsia"/>
          <w:sz w:val="32"/>
          <w:szCs w:val="32"/>
        </w:rPr>
        <w:t>财政供养人员编制为13名，其中行政编制6名，行政工勤编制1名，事业编制6名；2020年实际财政供养人员13人，与上年人数相等（不含退休人员），其中：行政6人，行政工勤1人，</w:t>
      </w:r>
      <w:r>
        <w:rPr>
          <w:rFonts w:ascii="仿宋_GB2312" w:cs="仿宋_GB2312" w:hAnsi="仿宋_GB2312" w:hint="eastAsia"/>
        </w:rPr>
        <w:t> </w:t>
      </w:r>
      <w:r>
        <w:rPr>
          <w:rFonts w:ascii="仿宋_GB2312" w:eastAsia="仿宋_GB2312" w:cs="仿宋_GB2312" w:hint="eastAsia"/>
          <w:sz w:val="32"/>
          <w:szCs w:val="32"/>
        </w:rPr>
        <w:t>事业6人。</w:t>
      </w:r>
    </w:p>
    <w:p>
      <w:pPr>
        <w:pStyle w:val="1"/>
        <w:ind w:right="440"/>
        <w:jc w:val="right"/>
      </w:pPr>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rPr>
        <w:t>2021年度部门决算情况说明</w:t>
      </w:r>
      <w:bookmarkEnd w:id="21"/>
      <w:bookmarkEnd w:id="22"/>
    </w:p>
    <w:p>
      <w:pPr>
        <w:pStyle w:val="28"/>
        <w:numPr>
          <w:ilvl w:val="0"/>
          <w:numId w:val="1"/>
        </w:numPr>
        <w:ind w:left="0" w:firstLineChars="0" w:firstLine="0"/>
        <w:outlineLvl w:val="1"/>
        <w:rPr>
          <w:rStyle w:val="2Char"/>
          <w:rFonts w:ascii="黑体" w:eastAsia="黑体"/>
          <w:b w:val="0"/>
        </w:rPr>
      </w:pPr>
      <w:bookmarkStart w:id="23" w:name="_Toc15377205"/>
      <w:bookmarkStart w:id="24" w:name="_Toc15396603"/>
      <w:r>
        <w:rPr>
          <w:rFonts w:ascii="黑体" w:eastAsia="黑体" w:hint="eastAsia"/>
          <w:color w:val="000000"/>
          <w:sz w:val="32"/>
          <w:szCs w:val="32"/>
        </w:rPr>
        <w:t>收</w:t>
      </w:r>
      <w:r>
        <w:rPr>
          <w:rStyle w:val="2Char"/>
          <w:rFonts w:ascii="黑体" w:eastAsia="黑体" w:hint="eastAsia"/>
          <w:b w:val="0"/>
        </w:rPr>
        <w:t>入支出决算总体情况说明</w:t>
      </w:r>
      <w:bookmarkEnd w:id="23"/>
      <w:bookmarkEnd w:id="24"/>
    </w:p>
    <w:p>
      <w:pPr>
        <w:pStyle w:val="28"/>
        <w:numPr>
          <w:ilvl w:val="0"/>
          <w:numId w:val="2"/>
        </w:numPr>
        <w:spacing w:line="600" w:lineRule="exact"/>
        <w:ind w:firstLineChars="0"/>
        <w:rPr>
          <w:rFonts w:ascii="仿宋_GB2312" w:eastAsia="仿宋_GB2312"/>
          <w:color w:val="000000"/>
          <w:sz w:val="32"/>
          <w:szCs w:val="32"/>
        </w:rPr>
      </w:pPr>
      <w:bookmarkStart w:id="25" w:name="_Toc15396604"/>
      <w:bookmarkStart w:id="26" w:name="_Toc15377206"/>
      <w:r>
        <w:rPr>
          <w:rFonts w:ascii="仿宋_GB2312" w:eastAsia="仿宋_GB2312" w:hint="eastAsia"/>
          <w:color w:val="000000"/>
          <w:sz w:val="32"/>
          <w:szCs w:val="32"/>
        </w:rPr>
        <w:t>2021年度财政拨款收入总决算490.23万元与2020年财政拨款收入总决算735.45万元相比收入增加245.00万元，减少33.34%。</w:t>
      </w:r>
    </w:p>
    <w:p>
      <w:pPr>
        <w:pStyle w:val="28"/>
        <w:numPr>
          <w:ilvl w:val="0"/>
          <w:numId w:val="2"/>
        </w:numPr>
        <w:spacing w:line="600" w:lineRule="exact"/>
        <w:ind w:firstLineChars="0"/>
        <w:rPr>
          <w:rFonts w:ascii="仿宋_GB2312" w:eastAsia="仿宋_GB2312"/>
          <w:color w:val="000000"/>
          <w:sz w:val="32"/>
          <w:szCs w:val="32"/>
        </w:rPr>
      </w:pPr>
      <w:r>
        <w:rPr>
          <w:rFonts w:ascii="仿宋_GB2312" w:eastAsia="仿宋_GB2312" w:hint="eastAsia"/>
          <w:color w:val="000000"/>
          <w:sz w:val="32"/>
          <w:szCs w:val="32"/>
        </w:rPr>
        <w:t>2021年度财政拨款支出总决算732.75万元与2020年财政拨款支出总决算397.46万元相比增加335.29万元增加84.36%。</w:t>
      </w:r>
    </w:p>
    <w:p>
      <w:pPr>
        <w:spacing w:line="600" w:lineRule="exact"/>
        <w:rPr>
          <w:rFonts w:ascii="仿宋_GB2312" w:eastAsia="仿宋_GB2312"/>
          <w:color w:val="000000"/>
          <w:sz w:val="32"/>
          <w:szCs w:val="32"/>
        </w:rPr>
      </w:pPr>
      <w:r>
        <w:rPr>
          <w:rFonts w:ascii="仿宋_GB2312" w:eastAsia="仿宋_GB2312"/>
          <w:color w:val="000000"/>
          <w:sz w:val="32"/>
          <w:szCs w:val="32"/>
        </w:rPr>
        <w:drawing>
          <wp:anchor distT="0" distB="0" distL="114300" distR="114300" simplePos="0" relativeHeight="15" behindDoc="0" locked="0" layoutInCell="1" hidden="0" allowOverlap="1">
            <wp:simplePos x="0" y="0"/>
            <wp:positionH relativeFrom="column">
              <wp:posOffset>497840</wp:posOffset>
            </wp:positionH>
            <wp:positionV relativeFrom="paragraph">
              <wp:posOffset>199390</wp:posOffset>
            </wp:positionV>
            <wp:extent cx="4592320" cy="2759075"/>
            <wp:effectExtent l="0" t="0" r="0" b="0"/>
            <wp:wrapSquare wrapText="bothSides"/>
            <wp:docPr id="1" name="图片 3"/>
            <wp:cNvGraphicFramePr>
              <a:graphicFrameLocks noChangeAspect="1"/>
            </wp:cNvGraphicFramePr>
            <a:graphic>
              <a:graphicData uri="http://schemas.openxmlformats.org/drawingml/2006/picture">
                <pic:pic>
                  <pic:nvPicPr>
                    <pic:cNvPr id="3" name="图片 3 3"/>
                    <pic:cNvPicPr/>
                  </pic:nvPicPr>
                  <pic:blipFill>
                    <a:blip r:embed="rId4"/>
                    <a:stretch>
                      <a:fillRect/>
                    </a:stretch>
                  </pic:blipFill>
                  <pic:spPr>
                    <a:xfrm rot="0">
                      <a:off x="0" y="0"/>
                      <a:ext cx="4592320" cy="2759075"/>
                    </a:xfrm>
                    <a:prstGeom prst="rect"/>
                    <a:noFill/>
                    <a:ln w="9525" cmpd="sng" cap="flat">
                      <a:noFill/>
                      <a:prstDash val="solid"/>
                      <a:miter/>
                    </a:ln>
                  </pic:spPr>
                </pic:pic>
              </a:graphicData>
            </a:graphic>
          </wp:anchor>
        </w:drawing>
      </w: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Style w:val="2Char"/>
          <w:rFonts w:ascii="黑体" w:eastAsia="黑体"/>
          <w:b w:val="0"/>
        </w:rPr>
      </w:pPr>
      <w:r>
        <w:rPr>
          <w:rFonts w:ascii="黑体" w:eastAsia="黑体" w:hint="eastAsia"/>
          <w:color w:val="000000"/>
          <w:sz w:val="32"/>
          <w:szCs w:val="32"/>
        </w:rPr>
        <w:t>二、收入决</w:t>
      </w:r>
      <w:r>
        <w:rPr>
          <w:rStyle w:val="2Char"/>
          <w:rFonts w:ascii="黑体" w:eastAsia="黑体" w:hint="eastAsia"/>
          <w:b w:val="0"/>
        </w:rPr>
        <w:t>算情况说明</w:t>
      </w:r>
      <w:bookmarkEnd w:id="25"/>
      <w:bookmarkEnd w:id="26"/>
    </w:p>
    <w:p>
      <w:pPr>
        <w:spacing w:line="600" w:lineRule="exact"/>
        <w:ind w:firstLineChars="200" w:firstLine="640"/>
        <w:outlineLvl w:val="1"/>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21年总收入490.23万元，其中：一般公共预算财政拨款收入490.23万元，占100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Start w:id="27" w:name="_Toc15377207"/>
      <w:bookmarkStart w:id="28" w:name="_Toc15396605"/>
    </w:p>
    <w:p>
      <w:pPr>
        <w:spacing w:line="600" w:lineRule="exact"/>
        <w:ind w:firstLineChars="200" w:firstLine="640"/>
        <w:outlineLvl w:val="1"/>
        <w:rPr>
          <w:rFonts w:ascii="仿宋" w:eastAsia="仿宋"/>
          <w:color w:val="000000"/>
          <w:sz w:val="32"/>
          <w:szCs w:val="32"/>
        </w:rPr>
      </w:pPr>
      <w:r>
        <w:rPr>
          <w:rFonts w:ascii="仿宋" w:eastAsia="仿宋" w:hint="eastAsia"/>
          <w:color w:val="000000"/>
          <w:sz w:val="32"/>
          <w:szCs w:val="32"/>
        </w:rPr>
        <w:drawing>
          <wp:anchor distT="0" distB="0" distL="114300" distR="114300" simplePos="0" relativeHeight="17" behindDoc="0" locked="0" layoutInCell="1" hidden="0" allowOverlap="1">
            <wp:simplePos x="0" y="0"/>
            <wp:positionH relativeFrom="column">
              <wp:posOffset>498475</wp:posOffset>
            </wp:positionH>
            <wp:positionV relativeFrom="paragraph">
              <wp:posOffset>288290</wp:posOffset>
            </wp:positionV>
            <wp:extent cx="4592320" cy="2759075"/>
            <wp:effectExtent l="0" t="0" r="0" b="0"/>
            <wp:wrapThrough wrapText="bothSides">
              <wp:wrapPolygon>
                <wp:start x="-15" y="-20"/>
                <wp:lineTo x="-15" y="21529"/>
                <wp:lineTo x="21578" y="21529"/>
                <wp:lineTo x="21578" y="-20"/>
                <wp:lineTo x="-15" y="-20"/>
              </wp:wrapPolygon>
            </wp:wrapThrough>
            <wp:docPr id="4" name="图片 4"/>
            <wp:cNvGraphicFramePr>
              <a:graphicFrameLocks noChangeAspect="1"/>
            </wp:cNvGraphicFramePr>
            <a:graphic>
              <a:graphicData uri="http://schemas.openxmlformats.org/drawingml/2006/picture">
                <pic:pic>
                  <pic:nvPicPr>
                    <pic:cNvPr id="6" name="图片 4 6"/>
                    <pic:cNvPicPr/>
                  </pic:nvPicPr>
                  <pic:blipFill>
                    <a:blip r:embed="rId5"/>
                    <a:stretch>
                      <a:fillRect/>
                    </a:stretch>
                  </pic:blipFill>
                  <pic:spPr>
                    <a:xfrm rot="0">
                      <a:off x="0" y="0"/>
                      <a:ext cx="4592320" cy="2759075"/>
                    </a:xfrm>
                    <a:prstGeom prst="rect"/>
                    <a:noFill/>
                    <a:ln w="9525" cmpd="sng" cap="flat">
                      <a:noFill/>
                      <a:prstDash val="solid"/>
                      <a:miter/>
                    </a:ln>
                  </pic:spPr>
                </pic:pic>
              </a:graphicData>
            </a:graphic>
          </wp:anchor>
        </w:drawing>
      </w:r>
    </w:p>
    <w:p>
      <w:pPr>
        <w:spacing w:line="600" w:lineRule="exact"/>
        <w:ind w:firstLineChars="200" w:firstLine="640"/>
        <w:outlineLvl w:val="1"/>
        <w:rPr>
          <w:rFonts w:ascii="仿宋" w:eastAsia="仿宋"/>
          <w:color w:val="000000"/>
          <w:sz w:val="32"/>
          <w:szCs w:val="32"/>
        </w:rPr>
      </w:pPr>
    </w:p>
    <w:p>
      <w:pPr>
        <w:spacing w:line="600" w:lineRule="exact"/>
        <w:ind w:firstLineChars="200" w:firstLine="640"/>
        <w:outlineLvl w:val="1"/>
        <w:rPr>
          <w:rFonts w:ascii="仿宋" w:eastAsia="仿宋"/>
          <w:color w:val="000000"/>
          <w:sz w:val="32"/>
          <w:szCs w:val="32"/>
        </w:rPr>
      </w:pPr>
    </w:p>
    <w:p>
      <w:pPr>
        <w:spacing w:line="600" w:lineRule="exact"/>
        <w:ind w:firstLineChars="200" w:firstLine="640"/>
        <w:outlineLvl w:val="1"/>
        <w:rPr>
          <w:rFonts w:ascii="仿宋" w:eastAsia="仿宋"/>
          <w:color w:val="000000"/>
          <w:sz w:val="32"/>
          <w:szCs w:val="32"/>
        </w:rPr>
      </w:pPr>
    </w:p>
    <w:p>
      <w:pPr>
        <w:spacing w:line="600" w:lineRule="exact"/>
        <w:ind w:firstLineChars="200" w:firstLine="640"/>
        <w:outlineLvl w:val="1"/>
        <w:rPr>
          <w:rFonts w:ascii="仿宋" w:eastAsia="仿宋"/>
          <w:color w:val="000000"/>
          <w:sz w:val="32"/>
          <w:szCs w:val="32"/>
        </w:rPr>
      </w:pPr>
    </w:p>
    <w:p>
      <w:pPr>
        <w:spacing w:line="600" w:lineRule="exact"/>
        <w:ind w:firstLineChars="200" w:firstLine="640"/>
        <w:outlineLvl w:val="1"/>
        <w:rPr>
          <w:rFonts w:ascii="仿宋" w:eastAsia="仿宋"/>
          <w:color w:val="000000"/>
          <w:sz w:val="32"/>
          <w:szCs w:val="32"/>
        </w:rPr>
      </w:pPr>
    </w:p>
    <w:p>
      <w:pPr>
        <w:spacing w:line="600" w:lineRule="exact"/>
        <w:ind w:firstLineChars="200" w:firstLine="640"/>
        <w:outlineLvl w:val="1"/>
        <w:rPr>
          <w:rFonts w:ascii="仿宋" w:eastAsia="仿宋"/>
          <w:color w:val="000000"/>
          <w:sz w:val="32"/>
          <w:szCs w:val="32"/>
        </w:rPr>
      </w:pPr>
    </w:p>
    <w:p>
      <w:pPr>
        <w:spacing w:line="600" w:lineRule="exact"/>
        <w:outlineLvl w:val="1"/>
        <w:rPr>
          <w:rStyle w:val="2Char"/>
          <w:rFonts w:ascii="仿宋" w:eastAsia="仿宋"/>
          <w:b w:val="0"/>
          <w:bCs w:val="0"/>
          <w:color w:val="000000"/>
        </w:rPr>
      </w:pPr>
      <w:r>
        <w:rPr>
          <w:rFonts w:ascii="黑体" w:eastAsia="黑体" w:hint="eastAsia"/>
          <w:color w:val="000000"/>
          <w:sz w:val="32"/>
          <w:szCs w:val="32"/>
        </w:rPr>
        <w:t>三、支出决</w:t>
      </w:r>
      <w:r>
        <w:rPr>
          <w:rStyle w:val="2Char"/>
          <w:rFonts w:ascii="黑体" w:eastAsia="黑体" w:hint="eastAsia"/>
          <w:b w:val="0"/>
        </w:rPr>
        <w:t>算情况说明</w:t>
      </w:r>
      <w:bookmarkEnd w:id="27"/>
      <w:bookmarkEnd w:id="28"/>
    </w:p>
    <w:p>
      <w:pPr>
        <w:spacing w:line="600" w:lineRule="exact"/>
        <w:ind w:firstLine="640"/>
        <w:rPr>
          <w:rFonts w:ascii="仿宋" w:eastAsia="仿宋"/>
          <w:color w:val="000000"/>
          <w:sz w:val="32"/>
          <w:szCs w:val="32"/>
        </w:rPr>
      </w:pPr>
      <w:r>
        <w:rPr>
          <w:rFonts w:ascii="仿宋" w:eastAsia="仿宋" w:hint="eastAsia"/>
          <w:color w:val="000000"/>
          <w:sz w:val="32"/>
          <w:szCs w:val="32"/>
        </w:rPr>
        <w:t>2021年本年总支出732.75万元，其中：基本支出322.51万元，占44.01%；项目支出410.24万元，占55.99%；上缴上级支出0万元，占0%；经营支出0万元，占0</w:t>
      </w:r>
      <w:r>
        <w:rPr>
          <w:rFonts w:ascii="仿宋" w:eastAsia="仿宋"/>
          <w:color w:val="000000"/>
          <w:sz w:val="32"/>
          <w:szCs w:val="32"/>
        </w:rPr>
        <w:t>%</w:t>
      </w:r>
      <w:r>
        <w:rPr>
          <w:rFonts w:ascii="仿宋" w:eastAsia="仿宋" w:hint="eastAsia"/>
          <w:color w:val="000000"/>
          <w:sz w:val="32"/>
          <w:szCs w:val="32"/>
        </w:rPr>
        <w:t>；对附属单位补助支出0万元，占0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 w:eastAsia="仿宋"/>
          <w:color w:val="000000"/>
          <w:sz w:val="32"/>
          <w:szCs w:val="32"/>
          <w:shd w:val="pct10" w:color="auto" w:fill="FFFFFF"/>
        </w:rPr>
      </w:pPr>
    </w:p>
    <w:p>
      <w:pPr>
        <w:spacing w:line="600" w:lineRule="exact"/>
        <w:ind w:firstLine="640"/>
        <w:rPr>
          <w:rFonts w:ascii="仿宋" w:eastAsia="仿宋"/>
          <w:color w:val="000000"/>
          <w:sz w:val="32"/>
          <w:szCs w:val="32"/>
          <w:shd w:val="pct10" w:color="auto" w:fill="FFFFFF"/>
        </w:rPr>
      </w:pPr>
      <w:r>
        <w:rPr>
          <w:rFonts w:ascii="仿宋" w:eastAsia="仿宋" w:hint="eastAsia"/>
          <w:color w:val="000000"/>
          <w:sz w:val="32"/>
          <w:szCs w:val="32"/>
        </w:rPr>
        <w:drawing>
          <wp:anchor distT="0" distB="0" distL="114300" distR="114300" simplePos="0" relativeHeight="19" behindDoc="0" locked="0" layoutInCell="1" hidden="0" allowOverlap="1">
            <wp:simplePos x="0" y="0"/>
            <wp:positionH relativeFrom="column">
              <wp:posOffset>521969</wp:posOffset>
            </wp:positionH>
            <wp:positionV relativeFrom="paragraph">
              <wp:posOffset>35560</wp:posOffset>
            </wp:positionV>
            <wp:extent cx="4592320" cy="2759075"/>
            <wp:effectExtent l="0" t="0" r="0" b="0"/>
            <wp:wrapSquare wrapText="bothSides"/>
            <wp:docPr id="7" name="图片 5"/>
            <wp:cNvGraphicFramePr>
              <a:graphicFrameLocks noChangeAspect="1"/>
            </wp:cNvGraphicFramePr>
            <a:graphic>
              <a:graphicData uri="http://schemas.openxmlformats.org/drawingml/2006/picture">
                <pic:pic>
                  <pic:nvPicPr>
                    <pic:cNvPr id="9" name="图片 5 9"/>
                    <pic:cNvPicPr/>
                  </pic:nvPicPr>
                  <pic:blipFill>
                    <a:blip r:embed="rId6"/>
                    <a:stretch>
                      <a:fillRect/>
                    </a:stretch>
                  </pic:blipFill>
                  <pic:spPr>
                    <a:xfrm rot="0">
                      <a:off x="0" y="0"/>
                      <a:ext cx="4592320" cy="2759075"/>
                    </a:xfrm>
                    <a:prstGeom prst="rect"/>
                    <a:noFill/>
                    <a:ln w="9525" cmpd="sng" cap="flat">
                      <a:noFill/>
                      <a:prstDash val="solid"/>
                      <a:miter/>
                    </a:ln>
                  </pic:spPr>
                </pic:pic>
              </a:graphicData>
            </a:graphic>
          </wp:anchor>
        </w:drawing>
      </w:r>
    </w:p>
    <w:p>
      <w:pPr>
        <w:spacing w:line="600" w:lineRule="exact"/>
        <w:ind w:firstLine="640"/>
        <w:rPr>
          <w:rFonts w:ascii="仿宋" w:eastAsia="仿宋"/>
          <w:color w:val="000000"/>
          <w:sz w:val="32"/>
          <w:szCs w:val="32"/>
          <w:shd w:val="pct10" w:color="auto" w:fill="FFFFFF"/>
        </w:rPr>
      </w:pPr>
    </w:p>
    <w:p>
      <w:pPr>
        <w:spacing w:line="600" w:lineRule="exact"/>
        <w:ind w:firstLine="640"/>
        <w:rPr>
          <w:rFonts w:ascii="仿宋" w:eastAsia="仿宋"/>
          <w:color w:val="000000"/>
          <w:sz w:val="32"/>
          <w:szCs w:val="32"/>
          <w:shd w:val="pct10" w:color="auto" w:fill="FFFFFF"/>
        </w:rPr>
      </w:pPr>
    </w:p>
    <w:p>
      <w:pPr>
        <w:spacing w:line="600" w:lineRule="exact"/>
        <w:ind w:firstLine="640"/>
        <w:rPr>
          <w:rFonts w:ascii="仿宋" w:eastAsia="仿宋"/>
          <w:color w:val="000000"/>
          <w:sz w:val="32"/>
          <w:szCs w:val="32"/>
          <w:shd w:val="pct10" w:color="auto" w:fill="FFFFFF"/>
        </w:rPr>
      </w:pPr>
    </w:p>
    <w:p>
      <w:pPr>
        <w:spacing w:line="600" w:lineRule="exact"/>
        <w:rPr>
          <w:rFonts w:ascii="黑体" w:eastAsia="黑体"/>
          <w:color w:val="000000"/>
          <w:sz w:val="32"/>
          <w:szCs w:val="32"/>
        </w:rPr>
      </w:pPr>
      <w:bookmarkStart w:id="29" w:name="_Toc15377209"/>
      <w:bookmarkStart w:id="30" w:name="_Toc15396607"/>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pStyle w:val="28"/>
        <w:numPr>
          <w:ilvl w:val="0"/>
          <w:numId w:val="3"/>
        </w:numPr>
        <w:spacing w:line="600" w:lineRule="exact"/>
        <w:ind w:firstLineChars="0"/>
        <w:outlineLvl w:val="1"/>
        <w:rPr>
          <w:rStyle w:val="2Char"/>
          <w:rFonts w:ascii="黑体" w:eastAsia="黑体"/>
          <w:b w:val="0"/>
        </w:rPr>
      </w:pPr>
      <w:bookmarkStart w:id="31" w:name="_Toc15377208"/>
      <w:bookmarkStart w:id="32" w:name="_Toc15396606"/>
      <w:r>
        <w:rPr>
          <w:rFonts w:ascii="黑体" w:eastAsia="黑体" w:hint="eastAsia"/>
          <w:color w:val="000000"/>
          <w:sz w:val="32"/>
          <w:szCs w:val="32"/>
        </w:rPr>
        <w:t>财</w:t>
      </w:r>
      <w:r>
        <w:rPr>
          <w:rStyle w:val="2Char"/>
          <w:rFonts w:ascii="黑体" w:eastAsia="黑体" w:hint="eastAsia"/>
          <w:b w:val="0"/>
        </w:rPr>
        <w:t>政拨款收入支出决算总体情况说明</w:t>
      </w:r>
      <w:bookmarkEnd w:id="31"/>
      <w:bookmarkEnd w:id="32"/>
    </w:p>
    <w:p>
      <w:pPr>
        <w:pStyle w:val="28"/>
        <w:spacing w:line="600" w:lineRule="exact"/>
        <w:ind w:left="160" w:firstLineChars="100" w:firstLine="320"/>
        <w:rPr>
          <w:rFonts w:ascii="仿宋_GB2312" w:eastAsia="仿宋_GB2312"/>
          <w:color w:val="000000"/>
          <w:sz w:val="32"/>
          <w:szCs w:val="32"/>
        </w:rPr>
      </w:pPr>
      <w:r>
        <w:rPr>
          <w:rFonts w:ascii="仿宋_GB2312" w:eastAsia="仿宋_GB2312" w:hint="eastAsia"/>
          <w:color w:val="000000"/>
          <w:sz w:val="32"/>
          <w:szCs w:val="32"/>
        </w:rPr>
        <w:t xml:space="preserve"> 2021年度财政拨款收入总决算490.23万元与2020年财政拨款收入总决算735.45万元相比收入减少245.22万元，减少33.34%。减少原因为2021年度较2020年度项目减少，2021年度财政拨款支出总决算732.75万元与2020年财政拨款支出总决算397.46万元相比增加335.29万元增加84.36%。增加原因为，2020年财返项目资金支出。</w:t>
      </w: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Style w:val="2Char"/>
          <w:rFonts w:ascii="黑体" w:eastAsia="黑体"/>
          <w:b w:val="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29"/>
      <w:bookmarkEnd w:id="30"/>
    </w:p>
    <w:p>
      <w:pPr>
        <w:spacing w:line="600" w:lineRule="exact"/>
        <w:outlineLvl w:val="2"/>
        <w:rPr>
          <w:rFonts w:ascii="仿宋" w:eastAsia="仿宋"/>
          <w:b/>
          <w:color w:val="000000"/>
          <w:sz w:val="32"/>
          <w:szCs w:val="32"/>
        </w:rPr>
      </w:pPr>
      <w:bookmarkStart w:id="33" w:name="_Toc15377210"/>
      <w:r>
        <w:rPr>
          <w:rFonts w:ascii="仿宋" w:eastAsia="仿宋" w:hint="eastAsia"/>
          <w:b/>
          <w:color w:val="000000"/>
          <w:sz w:val="32"/>
          <w:szCs w:val="32"/>
        </w:rPr>
        <w:t>（一）一般公共预算财政拨款支出决算总体情况</w:t>
      </w:r>
      <w:bookmarkEnd w:id="33"/>
    </w:p>
    <w:p>
      <w:pPr>
        <w:snapToGrid w:val="0"/>
        <w:spacing w:line="520" w:lineRule="exact"/>
        <w:ind w:firstLineChars="200" w:firstLine="640"/>
        <w:rPr>
          <w:rFonts w:ascii="仿宋_GB2312" w:eastAsia="仿宋_GB2312"/>
          <w:color w:val="FF0000"/>
          <w:spacing w:val="-2"/>
          <w:sz w:val="32"/>
          <w:szCs w:val="32"/>
        </w:rPr>
      </w:pPr>
      <w:r>
        <w:rPr>
          <w:rFonts w:ascii="仿宋" w:eastAsia="仿宋"/>
          <w:color w:val="000000"/>
          <w:sz w:val="32"/>
          <w:szCs w:val="32"/>
        </w:rPr>
        <w:t>20</w:t>
      </w:r>
      <w:r>
        <w:rPr>
          <w:rFonts w:ascii="仿宋" w:eastAsia="仿宋" w:hint="eastAsia"/>
          <w:color w:val="000000"/>
          <w:sz w:val="32"/>
          <w:szCs w:val="32"/>
        </w:rPr>
        <w:t>21年</w:t>
      </w:r>
      <w:r>
        <w:rPr>
          <w:rFonts w:ascii="仿宋_GB2312" w:eastAsia="仿宋_GB2312" w:hint="eastAsia"/>
          <w:spacing w:val="-2"/>
          <w:sz w:val="32"/>
          <w:szCs w:val="32"/>
        </w:rPr>
        <w:t>一般公共预算财政拨款支出729.75万元，</w:t>
      </w:r>
      <w:r>
        <w:rPr>
          <w:rFonts w:ascii="仿宋" w:eastAsia="仿宋" w:hint="eastAsia"/>
          <w:color w:val="000000"/>
          <w:sz w:val="32"/>
          <w:szCs w:val="32"/>
        </w:rPr>
        <w:t>占本年总支出的99.59</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w:t>
      </w:r>
      <w:r>
        <w:rPr>
          <w:rFonts w:ascii="仿宋" w:eastAsia="仿宋" w:hint="eastAsia"/>
          <w:color w:val="000000"/>
          <w:sz w:val="32"/>
          <w:szCs w:val="32"/>
        </w:rPr>
        <w:t>20年相比，一般公共预算财政拨款</w:t>
      </w:r>
      <w:r>
        <w:rPr>
          <w:rFonts w:ascii="仿宋_GB2312" w:eastAsia="仿宋_GB2312" w:hint="eastAsia"/>
          <w:spacing w:val="-2"/>
          <w:sz w:val="32"/>
          <w:szCs w:val="32"/>
        </w:rPr>
        <w:t>支出增加342.29万元，增加88.34%。主要原因是当年拨付的财返项目资金较多。</w:t>
      </w:r>
    </w:p>
    <w:p>
      <w:pPr>
        <w:snapToGrid w:val="0"/>
        <w:spacing w:line="520" w:lineRule="exact"/>
        <w:rPr>
          <w:rFonts w:ascii="仿宋" w:eastAsia="仿宋"/>
          <w:b/>
          <w:color w:val="000000"/>
          <w:sz w:val="32"/>
          <w:szCs w:val="32"/>
        </w:rPr>
      </w:pPr>
      <w:bookmarkStart w:id="34" w:name="_Toc15377211"/>
      <w:r>
        <w:rPr>
          <w:rFonts w:ascii="仿宋" w:eastAsia="仿宋" w:hint="eastAsia"/>
          <w:b/>
          <w:color w:val="000000"/>
          <w:sz w:val="32"/>
          <w:szCs w:val="32"/>
        </w:rPr>
        <w:t>（二）一般公共预算财政拨款支出决算结构情况</w:t>
      </w:r>
      <w:bookmarkEnd w:id="34"/>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21年一般公共预算财政拨款支出729.75万元，主要用于以下方面</w:t>
      </w:r>
      <w:r>
        <w:rPr>
          <w:rFonts w:ascii="仿宋" w:eastAsia="仿宋"/>
          <w:color w:val="000000"/>
          <w:sz w:val="32"/>
          <w:szCs w:val="32"/>
        </w:rPr>
        <w:t>:</w:t>
      </w:r>
      <w:r>
        <w:rPr>
          <w:rFonts w:ascii="仿宋" w:eastAsia="仿宋" w:hint="eastAsia"/>
          <w:b/>
          <w:color w:val="000000"/>
          <w:sz w:val="32"/>
          <w:szCs w:val="32"/>
        </w:rPr>
        <w:t>一般公共服务（类）</w:t>
      </w:r>
      <w:r>
        <w:rPr>
          <w:rFonts w:ascii="仿宋" w:eastAsia="仿宋" w:hint="eastAsia"/>
          <w:color w:val="000000"/>
          <w:sz w:val="32"/>
          <w:szCs w:val="32"/>
        </w:rPr>
        <w:t>支出295.65万元，占40.51</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文化旅游体育与传媒支出</w:t>
      </w:r>
      <w:r>
        <w:rPr>
          <w:rFonts w:ascii="仿宋" w:eastAsia="仿宋" w:hint="eastAsia"/>
          <w:color w:val="000000"/>
          <w:sz w:val="32"/>
          <w:szCs w:val="32"/>
        </w:rPr>
        <w:t>（类）支出369.96万元，占50.7%；</w:t>
      </w:r>
      <w:r>
        <w:rPr>
          <w:rFonts w:ascii="仿宋" w:eastAsia="仿宋" w:hint="eastAsia"/>
          <w:b/>
          <w:color w:val="000000"/>
          <w:sz w:val="32"/>
          <w:szCs w:val="32"/>
        </w:rPr>
        <w:t>社会保障和就业（类）</w:t>
      </w:r>
      <w:r>
        <w:rPr>
          <w:rFonts w:ascii="仿宋" w:eastAsia="仿宋" w:hint="eastAsia"/>
          <w:color w:val="000000"/>
          <w:sz w:val="32"/>
          <w:szCs w:val="32"/>
        </w:rPr>
        <w:t>支出27.4万元，占3.75</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卫生健康支出</w:t>
      </w:r>
      <w:r>
        <w:rPr>
          <w:rFonts w:ascii="仿宋" w:eastAsia="仿宋" w:hint="eastAsia"/>
          <w:color w:val="000000"/>
          <w:sz w:val="32"/>
          <w:szCs w:val="32"/>
        </w:rPr>
        <w:t>17.98万元，占2.46</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color w:val="000000"/>
          <w:sz w:val="32"/>
          <w:szCs w:val="32"/>
        </w:rPr>
        <w:t>18.76万元，占2.58</w:t>
      </w:r>
      <w:r>
        <w:rPr>
          <w:rFonts w:ascii="仿宋" w:eastAsia="仿宋"/>
          <w:color w:val="000000"/>
          <w:sz w:val="32"/>
          <w:szCs w:val="32"/>
        </w:rPr>
        <w:t>%</w:t>
      </w:r>
      <w:r>
        <w:rPr>
          <w:rFonts w:ascii="仿宋" w:eastAsia="仿宋" w:hint="eastAsia"/>
          <w:color w:val="000000"/>
          <w:sz w:val="32"/>
          <w:szCs w:val="32"/>
        </w:rPr>
        <w:t>。</w:t>
      </w:r>
      <w:bookmarkStart w:id="35" w:name="_Toc15377213"/>
      <w:bookmarkStart w:id="36" w:name="_Toc15377444"/>
      <w:bookmarkStart w:id="37" w:name="_Toc15378460"/>
    </w:p>
    <w:p>
      <w:pPr>
        <w:spacing w:line="600" w:lineRule="exact"/>
        <w:outlineLvl w:val="2"/>
        <w:rPr>
          <w:rFonts w:ascii="仿宋" w:eastAsia="仿宋"/>
          <w:b/>
          <w:color w:val="000000"/>
          <w:sz w:val="32"/>
          <w:szCs w:val="32"/>
        </w:rPr>
      </w:pPr>
      <w:bookmarkStart w:id="38" w:name="_Toc15377212"/>
      <w:r>
        <w:rPr>
          <w:rFonts w:ascii="仿宋" w:eastAsia="仿宋" w:hint="eastAsia"/>
          <w:b/>
          <w:color w:val="000000"/>
          <w:sz w:val="32"/>
          <w:szCs w:val="32"/>
        </w:rPr>
        <w:t>（三）一般公共预算财政拨款支出决算具体情况</w:t>
      </w:r>
      <w:bookmarkEnd w:id="38"/>
    </w:p>
    <w:p>
      <w:pPr>
        <w:spacing w:line="600" w:lineRule="exact"/>
        <w:outlineLvl w:val="2"/>
        <w:rPr>
          <w:rFonts w:ascii="仿宋" w:eastAsia="仿宋"/>
          <w:bCs/>
          <w:color w:val="FF0000"/>
          <w:sz w:val="32"/>
          <w:szCs w:val="32"/>
        </w:rPr>
      </w:pPr>
      <w:r>
        <w:rPr>
          <w:rFonts w:ascii="仿宋" w:eastAsia="仿宋" w:hint="eastAsia"/>
          <w:bCs/>
          <w:color w:val="000000"/>
          <w:sz w:val="32"/>
          <w:szCs w:val="32"/>
        </w:rPr>
        <w:t xml:space="preserve">    2021年一般公共预算年初预算数为233.13万元，支出决算数为729.75万元，完</w:t>
      </w:r>
      <w:r>
        <w:rPr>
          <w:rStyle w:val="22"/>
          <w:rFonts w:ascii="仿宋" w:eastAsia="仿宋" w:hint="eastAsia"/>
          <w:b w:val="0"/>
          <w:bCs/>
          <w:color w:val="000000"/>
          <w:sz w:val="32"/>
          <w:szCs w:val="32"/>
        </w:rPr>
        <w:t>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。其中：</w:t>
      </w:r>
      <w:bookmarkEnd w:id="35"/>
      <w:bookmarkEnd w:id="36"/>
      <w:bookmarkEnd w:id="37"/>
    </w:p>
    <w:p>
      <w:pPr>
        <w:spacing w:line="600" w:lineRule="exact"/>
        <w:ind w:firstLineChars="200" w:firstLine="640"/>
        <w:rPr>
          <w:rStyle w:val="22"/>
          <w:rFonts w:ascii="仿宋" w:eastAsia="仿宋"/>
          <w:b w:val="0"/>
          <w:bCs/>
          <w:color w:val="000000"/>
          <w:sz w:val="32"/>
          <w:szCs w:val="32"/>
        </w:rPr>
      </w:pPr>
      <w:r>
        <w:rPr>
          <w:rStyle w:val="22"/>
          <w:rFonts w:ascii="仿宋" w:eastAsia="仿宋" w:hint="eastAsia"/>
          <w:bCs/>
          <w:color w:val="000000"/>
          <w:sz w:val="32"/>
          <w:szCs w:val="32"/>
        </w:rPr>
        <w:t>1.</w:t>
      </w:r>
      <w:r>
        <w:rPr>
          <w:rFonts w:ascii="仿宋" w:eastAsia="仿宋" w:hint="eastAsia"/>
          <w:b/>
          <w:color w:val="000000"/>
          <w:sz w:val="32"/>
          <w:szCs w:val="32"/>
        </w:rPr>
        <w:t xml:space="preserve"> 一般公共服务（类）</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Style w:val="22"/>
          <w:rFonts w:ascii="仿宋" w:eastAsia="仿宋" w:hint="eastAsia"/>
          <w:b w:val="0"/>
          <w:bCs/>
          <w:color w:val="000000"/>
          <w:sz w:val="32"/>
          <w:szCs w:val="32"/>
        </w:rPr>
        <w:t>支出决算为</w:t>
      </w:r>
      <w:r>
        <w:rPr>
          <w:rFonts w:ascii="仿宋" w:eastAsia="仿宋" w:hint="eastAsia"/>
          <w:color w:val="000000"/>
          <w:sz w:val="32"/>
          <w:szCs w:val="32"/>
        </w:rPr>
        <w:t>295.65</w:t>
      </w:r>
      <w:r>
        <w:rPr>
          <w:rStyle w:val="22"/>
          <w:rFonts w:ascii="仿宋" w:eastAsia="仿宋" w:hint="eastAsia"/>
          <w:b w:val="0"/>
          <w:bCs/>
          <w:color w:val="000000"/>
          <w:sz w:val="32"/>
          <w:szCs w:val="32"/>
        </w:rPr>
        <w:t>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p>
    <w:p>
      <w:pPr>
        <w:spacing w:line="600" w:lineRule="exact"/>
        <w:ind w:firstLineChars="200" w:firstLine="640"/>
        <w:rPr>
          <w:rStyle w:val="22"/>
          <w:rFonts w:ascii="仿宋" w:eastAsia="仿宋"/>
          <w:b w:val="0"/>
          <w:bCs/>
          <w:color w:val="000000"/>
          <w:sz w:val="32"/>
          <w:szCs w:val="32"/>
        </w:rPr>
      </w:pPr>
      <w:r>
        <w:rPr>
          <w:rStyle w:val="22"/>
          <w:rFonts w:ascii="仿宋" w:eastAsia="仿宋"/>
          <w:bCs/>
          <w:color w:val="000000"/>
          <w:sz w:val="32"/>
          <w:szCs w:val="32"/>
        </w:rPr>
        <w:t>2.</w:t>
      </w:r>
      <w:r>
        <w:rPr>
          <w:rFonts w:ascii="仿宋" w:eastAsia="仿宋" w:hint="eastAsia"/>
          <w:b/>
          <w:color w:val="000000"/>
          <w:sz w:val="32"/>
          <w:szCs w:val="32"/>
        </w:rPr>
        <w:t xml:space="preserve"> 文化旅游体育与传媒支出</w:t>
      </w:r>
      <w:r>
        <w:rPr>
          <w:rFonts w:ascii="仿宋" w:eastAsia="仿宋" w:hint="eastAsia"/>
          <w:color w:val="000000"/>
          <w:sz w:val="32"/>
          <w:szCs w:val="32"/>
        </w:rPr>
        <w:t>（类）</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Style w:val="22"/>
          <w:rFonts w:ascii="仿宋" w:eastAsia="仿宋" w:hint="eastAsia"/>
          <w:b w:val="0"/>
          <w:bCs/>
          <w:color w:val="000000"/>
          <w:sz w:val="32"/>
          <w:szCs w:val="32"/>
        </w:rPr>
        <w:t>支出决算为</w:t>
      </w:r>
      <w:r>
        <w:rPr>
          <w:rFonts w:ascii="仿宋" w:eastAsia="仿宋" w:hint="eastAsia"/>
          <w:color w:val="000000"/>
          <w:sz w:val="32"/>
          <w:szCs w:val="32"/>
        </w:rPr>
        <w:t>369.96</w:t>
      </w:r>
      <w:r>
        <w:rPr>
          <w:rStyle w:val="22"/>
          <w:rFonts w:ascii="仿宋" w:eastAsia="仿宋" w:hint="eastAsia"/>
          <w:b w:val="0"/>
          <w:bCs/>
          <w:color w:val="000000"/>
          <w:sz w:val="32"/>
          <w:szCs w:val="32"/>
        </w:rPr>
        <w:t>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2"/>
          <w:rFonts w:ascii="仿宋" w:eastAsia="仿宋" w:hint="eastAsia"/>
          <w:bCs/>
          <w:color w:val="000000"/>
          <w:sz w:val="32"/>
          <w:szCs w:val="32"/>
        </w:rPr>
        <w:t>3</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Fonts w:ascii="仿宋" w:eastAsia="仿宋" w:hint="eastAsia"/>
          <w:b/>
          <w:color w:val="000000"/>
          <w:sz w:val="32"/>
          <w:szCs w:val="32"/>
        </w:rPr>
        <w:t>社会保障和就业（类）</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Style w:val="22"/>
          <w:rFonts w:ascii="仿宋" w:eastAsia="仿宋" w:hint="eastAsia"/>
          <w:b w:val="0"/>
          <w:bCs/>
          <w:color w:val="000000"/>
          <w:sz w:val="32"/>
          <w:szCs w:val="32"/>
        </w:rPr>
        <w:t>支出决算为</w:t>
      </w:r>
      <w:r>
        <w:rPr>
          <w:rFonts w:ascii="仿宋" w:eastAsia="仿宋" w:hint="eastAsia"/>
          <w:color w:val="000000"/>
          <w:sz w:val="32"/>
          <w:szCs w:val="32"/>
        </w:rPr>
        <w:t>27.4</w:t>
      </w:r>
      <w:r>
        <w:rPr>
          <w:rStyle w:val="22"/>
          <w:rFonts w:ascii="仿宋" w:eastAsia="仿宋" w:hint="eastAsia"/>
          <w:b w:val="0"/>
          <w:bCs/>
          <w:color w:val="000000"/>
          <w:sz w:val="32"/>
          <w:szCs w:val="32"/>
        </w:rPr>
        <w:t>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p>
    <w:p>
      <w:pPr>
        <w:spacing w:line="600" w:lineRule="exact"/>
        <w:ind w:firstLineChars="200" w:firstLine="640"/>
        <w:rPr>
          <w:rFonts w:ascii="仿宋" w:eastAsia="仿宋"/>
          <w:color w:val="000000"/>
          <w:sz w:val="32"/>
          <w:szCs w:val="32"/>
        </w:rPr>
      </w:pPr>
      <w:r>
        <w:rPr>
          <w:rStyle w:val="22"/>
          <w:rFonts w:ascii="仿宋" w:eastAsia="仿宋" w:hint="eastAsia"/>
          <w:bCs/>
          <w:color w:val="000000"/>
          <w:sz w:val="32"/>
          <w:szCs w:val="32"/>
        </w:rPr>
        <w:t>4.</w:t>
      </w:r>
      <w:r>
        <w:rPr>
          <w:rFonts w:ascii="仿宋" w:eastAsia="仿宋" w:hint="eastAsia"/>
          <w:b/>
          <w:bCs/>
          <w:color w:val="000000"/>
          <w:sz w:val="32"/>
          <w:szCs w:val="32"/>
        </w:rPr>
        <w:t xml:space="preserve"> 卫生健康支出</w:t>
      </w:r>
      <w:r>
        <w:rPr>
          <w:rStyle w:val="22"/>
          <w:rFonts w:ascii="仿宋" w:eastAsia="仿宋"/>
          <w:bCs/>
          <w:color w:val="000000"/>
          <w:sz w:val="32"/>
          <w:szCs w:val="32"/>
        </w:rPr>
        <w:t>:</w:t>
      </w:r>
      <w:r>
        <w:rPr>
          <w:rStyle w:val="22"/>
          <w:rFonts w:ascii="仿宋" w:eastAsia="仿宋" w:hint="eastAsia"/>
          <w:b w:val="0"/>
          <w:bCs/>
          <w:color w:val="000000"/>
          <w:sz w:val="32"/>
          <w:szCs w:val="32"/>
        </w:rPr>
        <w:t>支出决算为</w:t>
      </w:r>
      <w:r>
        <w:rPr>
          <w:rFonts w:ascii="仿宋" w:eastAsia="仿宋" w:hint="eastAsia"/>
          <w:color w:val="000000"/>
          <w:sz w:val="32"/>
          <w:szCs w:val="32"/>
        </w:rPr>
        <w:t>17.98</w:t>
      </w:r>
      <w:r>
        <w:rPr>
          <w:rStyle w:val="22"/>
          <w:rFonts w:ascii="仿宋" w:eastAsia="仿宋" w:hint="eastAsia"/>
          <w:b w:val="0"/>
          <w:bCs/>
          <w:color w:val="000000"/>
          <w:sz w:val="32"/>
          <w:szCs w:val="32"/>
        </w:rPr>
        <w:t>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p>
    <w:p>
      <w:pPr>
        <w:spacing w:line="600" w:lineRule="exact"/>
        <w:ind w:firstLineChars="200" w:firstLine="640"/>
        <w:rPr>
          <w:rStyle w:val="22"/>
          <w:rFonts w:ascii="仿宋" w:eastAsia="仿宋"/>
          <w:b w:val="0"/>
          <w:bCs/>
          <w:color w:val="000000"/>
          <w:sz w:val="32"/>
          <w:szCs w:val="32"/>
        </w:rPr>
      </w:pPr>
      <w:bookmarkStart w:id="39" w:name="_Toc15396608"/>
      <w:bookmarkStart w:id="40" w:name="_Toc15377214"/>
      <w:r>
        <w:rPr>
          <w:rStyle w:val="22"/>
          <w:rFonts w:ascii="仿宋" w:eastAsia="仿宋" w:hint="eastAsia"/>
          <w:bCs/>
          <w:color w:val="000000"/>
          <w:sz w:val="32"/>
          <w:szCs w:val="32"/>
        </w:rPr>
        <w:t>5.住房保障（类）：</w:t>
      </w:r>
      <w:r>
        <w:rPr>
          <w:rStyle w:val="22"/>
          <w:rFonts w:ascii="仿宋" w:eastAsia="仿宋" w:hint="eastAsia"/>
          <w:b w:val="0"/>
          <w:bCs/>
          <w:color w:val="000000"/>
          <w:sz w:val="32"/>
          <w:szCs w:val="32"/>
        </w:rPr>
        <w:t>支出决算为</w:t>
      </w:r>
      <w:r>
        <w:rPr>
          <w:rFonts w:ascii="仿宋" w:eastAsia="仿宋" w:hint="eastAsia"/>
          <w:color w:val="000000"/>
          <w:sz w:val="32"/>
          <w:szCs w:val="32"/>
        </w:rPr>
        <w:t>18.76</w:t>
      </w:r>
      <w:r>
        <w:rPr>
          <w:rStyle w:val="22"/>
          <w:rFonts w:ascii="仿宋" w:eastAsia="仿宋" w:hint="eastAsia"/>
          <w:b w:val="0"/>
          <w:bCs/>
          <w:color w:val="000000"/>
          <w:sz w:val="32"/>
          <w:szCs w:val="32"/>
        </w:rPr>
        <w:t>万元，完成预算100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21年一般公共预算财政拨款基本支出322.51万元，其中：</w:t>
      </w:r>
    </w:p>
    <w:p>
      <w:pPr>
        <w:spacing w:line="600" w:lineRule="exact"/>
        <w:ind w:firstLine="645"/>
        <w:rPr>
          <w:rStyle w:val="22"/>
          <w:rFonts w:ascii="仿宋" w:eastAsia="仿宋"/>
          <w:b w:val="0"/>
          <w:color w:val="000000"/>
          <w:sz w:val="32"/>
          <w:szCs w:val="32"/>
        </w:rPr>
      </w:pPr>
      <w:r>
        <w:rPr>
          <w:rFonts w:ascii="仿宋" w:eastAsia="仿宋" w:hint="eastAsia"/>
          <w:color w:val="000000"/>
          <w:sz w:val="32"/>
          <w:szCs w:val="32"/>
        </w:rPr>
        <w:t>人员经费259.43万元，主要包括：基本工资49.14万元、津贴补贴62.96万元、奖金4.04万元、机关事业单位基本养老保险缴费18.27万元、职业年金缴费9.13万元、职工基本医疗保险缴费8.06万元、公务员医疗补助缴费2.92万元、其他社会保障缴费1.65万元、住房公积金18.76万元、奖励金支出83.17万元等、生活补助1.33万元、。</w:t>
      </w:r>
      <w:r>
        <w:rPr>
          <w:rFonts w:ascii="仿宋" w:eastAsia="仿宋"/>
          <w:color w:val="000000"/>
          <w:sz w:val="32"/>
          <w:szCs w:val="32"/>
        </w:rPr>
        <w:br/>
      </w:r>
      <w:r>
        <w:rPr>
          <w:rFonts w:ascii="仿宋" w:eastAsia="仿宋" w:hint="eastAsia"/>
          <w:color w:val="000000"/>
          <w:sz w:val="32"/>
          <w:szCs w:val="32"/>
        </w:rPr>
        <w:t>　　公用经费63.08万元，主要包括：办公费12万元、印刷费23万元、水费0.15万元、电费0.3万元、邮电费1.8万元、差旅费16.6万元、会议费5万元、公务接待费0.23万元、公务用车运行维护费4万元。</w:t>
      </w:r>
    </w:p>
    <w:p>
      <w:pPr>
        <w:spacing w:line="600" w:lineRule="exact"/>
        <w:ind w:firstLineChars="200" w:firstLine="640"/>
        <w:outlineLvl w:val="1"/>
        <w:rPr>
          <w:rStyle w:val="2Char"/>
          <w:rFonts w:ascii="黑体" w:eastAsia="黑体"/>
          <w:b w:val="0"/>
        </w:rPr>
      </w:pPr>
      <w:bookmarkStart w:id="41" w:name="_Toc15396609"/>
      <w:bookmarkStart w:id="42" w:name="_Toc15377215"/>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1"/>
      <w:bookmarkEnd w:id="42"/>
    </w:p>
    <w:p>
      <w:pPr>
        <w:spacing w:line="600" w:lineRule="exact"/>
        <w:ind w:firstLine="640"/>
        <w:outlineLvl w:val="2"/>
        <w:rPr>
          <w:rFonts w:ascii="仿宋" w:eastAsia="仿宋"/>
          <w:b/>
          <w:color w:val="000000"/>
          <w:sz w:val="32"/>
          <w:szCs w:val="32"/>
        </w:rPr>
      </w:pPr>
      <w:bookmarkStart w:id="43" w:name="_Toc15377216"/>
      <w:r>
        <w:rPr>
          <w:rFonts w:ascii="仿宋" w:eastAsia="仿宋" w:hint="eastAsia"/>
          <w:b/>
          <w:color w:val="000000"/>
          <w:sz w:val="32"/>
          <w:szCs w:val="32"/>
        </w:rPr>
        <w:t>（一）“三公”经费财政拨款支出决算总体情况说明</w:t>
      </w:r>
      <w:bookmarkEnd w:id="43"/>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21年“三公”经费财政拨款支出决算为4.23万元，完成预算100</w:t>
      </w:r>
      <w:r>
        <w:rPr>
          <w:rFonts w:ascii="仿宋" w:eastAsia="仿宋"/>
          <w:color w:val="000000"/>
          <w:sz w:val="32"/>
          <w:szCs w:val="32"/>
        </w:rPr>
        <w:t>%</w:t>
      </w:r>
      <w:r>
        <w:rPr>
          <w:rFonts w:ascii="仿宋" w:eastAsia="仿宋" w:hint="eastAsia"/>
          <w:color w:val="000000"/>
          <w:sz w:val="32"/>
          <w:szCs w:val="32"/>
        </w:rPr>
        <w:t>，</w:t>
      </w:r>
      <w:r>
        <w:rPr>
          <w:rFonts w:ascii="仿宋" w:eastAsia="仿宋"/>
          <w:color w:val="000000"/>
          <w:sz w:val="32"/>
          <w:szCs w:val="32"/>
        </w:rPr>
        <w:t>预算数4.23万元，</w:t>
      </w:r>
      <w:r>
        <w:rPr>
          <w:rFonts w:ascii="仿宋" w:eastAsia="仿宋" w:hint="eastAsia"/>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4" w:name="_Toc15377217"/>
      <w:r>
        <w:rPr>
          <w:rFonts w:ascii="仿宋" w:eastAsia="仿宋" w:hint="eastAsia"/>
          <w:b/>
          <w:color w:val="000000"/>
          <w:sz w:val="32"/>
          <w:szCs w:val="32"/>
        </w:rPr>
        <w:t>（二）“三公”经费财政拨款支出决算具体情况说明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21年“三公”经费财政拨款支出</w:t>
      </w:r>
      <w:r>
        <w:rPr>
          <w:rFonts w:ascii="仿宋" w:eastAsia="仿宋" w:hint="eastAsia"/>
          <w:sz w:val="32"/>
          <w:szCs w:val="32"/>
        </w:rPr>
        <w:t>决算4.23万元</w:t>
      </w:r>
      <w:r>
        <w:rPr>
          <w:rFonts w:ascii="仿宋" w:eastAsia="仿宋" w:hint="eastAsia"/>
          <w:color w:val="000000"/>
          <w:sz w:val="32"/>
          <w:szCs w:val="32"/>
        </w:rPr>
        <w:t>，其中：因公出国（境）费支出决算0万元，占0</w:t>
      </w:r>
      <w:r>
        <w:rPr>
          <w:rFonts w:ascii="仿宋" w:eastAsia="仿宋"/>
          <w:color w:val="000000"/>
          <w:sz w:val="32"/>
          <w:szCs w:val="32"/>
        </w:rPr>
        <w:t>%</w:t>
      </w:r>
      <w:r>
        <w:rPr>
          <w:rFonts w:ascii="仿宋" w:eastAsia="仿宋" w:hint="eastAsia"/>
          <w:color w:val="000000"/>
          <w:sz w:val="32"/>
          <w:szCs w:val="32"/>
        </w:rPr>
        <w:t>；公务用车购置及运行维护费支出决算4万元，占94.56</w:t>
      </w:r>
      <w:r>
        <w:rPr>
          <w:rFonts w:ascii="仿宋" w:eastAsia="仿宋"/>
          <w:color w:val="000000"/>
          <w:sz w:val="32"/>
          <w:szCs w:val="32"/>
        </w:rPr>
        <w:t>%</w:t>
      </w:r>
      <w:r>
        <w:rPr>
          <w:rFonts w:ascii="仿宋" w:eastAsia="仿宋" w:hint="eastAsia"/>
          <w:color w:val="000000"/>
          <w:sz w:val="32"/>
          <w:szCs w:val="32"/>
        </w:rPr>
        <w:t>；公务接待费支出决算0.23万元，占5.44</w:t>
      </w:r>
      <w:r>
        <w:rPr>
          <w:rFonts w:ascii="仿宋" w:eastAsia="仿宋"/>
          <w:color w:val="000000"/>
          <w:sz w:val="32"/>
          <w:szCs w:val="32"/>
        </w:rPr>
        <w:t>%</w:t>
      </w:r>
      <w:r>
        <w:rPr>
          <w:rFonts w:ascii="仿宋" w:eastAsia="仿宋" w:hint="eastAsia"/>
          <w:color w:val="000000"/>
          <w:sz w:val="32"/>
          <w:szCs w:val="32"/>
        </w:rPr>
        <w:t>。具体情况如下：</w:t>
      </w:r>
    </w:p>
    <w:p>
      <w:pPr>
        <w:spacing w:line="600" w:lineRule="exact"/>
        <w:ind w:firstLine="640"/>
        <w:rPr>
          <w:rFonts w:ascii="仿宋" w:eastAsia="仿宋"/>
          <w:color w:val="000000"/>
          <w:sz w:val="32"/>
          <w:szCs w:val="32"/>
        </w:rPr>
      </w:pPr>
    </w:p>
    <w:p>
      <w:pPr>
        <w:spacing w:line="600" w:lineRule="exact"/>
        <w:ind w:firstLine="640"/>
        <w:rPr>
          <w:rFonts w:ascii="仿宋_GB2312" w:eastAsia="仿宋_GB2312"/>
          <w:b/>
          <w:sz w:val="32"/>
          <w:szCs w:val="32"/>
        </w:rPr>
      </w:pPr>
      <w:r>
        <w:rPr>
          <w:rFonts w:ascii="仿宋_GB2312" w:eastAsia="仿宋_GB2312" w:hint="eastAsia"/>
          <w:b/>
          <w:color w:val="000000"/>
          <w:sz w:val="32"/>
          <w:szCs w:val="32"/>
        </w:rPr>
        <w:t>1</w:t>
      </w:r>
      <w:r>
        <w:rPr>
          <w:rFonts w:ascii="仿宋_GB2312" w:eastAsia="仿宋_GB2312"/>
          <w:b/>
          <w:color w:val="000000"/>
          <w:sz w:val="32"/>
          <w:szCs w:val="32"/>
        </w:rPr>
        <w:t>.</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w:t>
      </w:r>
      <w:r>
        <w:rPr>
          <w:rFonts w:ascii="仿宋_GB2312" w:eastAsia="仿宋_GB2312" w:hint="eastAsia"/>
          <w:color w:val="000000"/>
          <w:sz w:val="32"/>
          <w:szCs w:val="32"/>
        </w:rPr>
        <w:t>4万元,</w:t>
      </w:r>
      <w:r>
        <w:rPr>
          <w:rStyle w:val="22"/>
          <w:rFonts w:ascii="仿宋" w:eastAsia="仿宋" w:hint="eastAsia"/>
          <w:b w:val="0"/>
          <w:bCs/>
          <w:color w:val="000000"/>
          <w:sz w:val="32"/>
          <w:szCs w:val="32"/>
        </w:rPr>
        <w:t>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w:t>
      </w:r>
      <w:r>
        <w:rPr>
          <w:rFonts w:ascii="仿宋_GB2312" w:eastAsia="仿宋_GB2312" w:hint="eastAsia"/>
          <w:color w:val="000000"/>
          <w:sz w:val="32"/>
          <w:szCs w:val="32"/>
        </w:rPr>
        <w:t>20年减少9万元，减少</w:t>
      </w:r>
      <w:r>
        <w:rPr>
          <w:rFonts w:ascii="仿宋_GB2312" w:eastAsia="仿宋_GB2312" w:hint="eastAsia"/>
          <w:sz w:val="32"/>
          <w:szCs w:val="32"/>
        </w:rPr>
        <w:t>69.23</w:t>
      </w:r>
      <w:r>
        <w:rPr>
          <w:rFonts w:ascii="仿宋_GB2312" w:eastAsia="仿宋_GB2312"/>
          <w:sz w:val="32"/>
          <w:szCs w:val="32"/>
        </w:rPr>
        <w:t>%</w:t>
      </w:r>
      <w:r>
        <w:rPr>
          <w:rFonts w:ascii="仿宋_GB2312" w:eastAsia="仿宋_GB2312" w:hint="eastAsia"/>
          <w:sz w:val="32"/>
          <w:szCs w:val="32"/>
        </w:rPr>
        <w:t>。减少</w:t>
      </w:r>
      <w:r>
        <w:rPr>
          <w:rFonts w:ascii="仿宋_GB2312" w:eastAsia="仿宋_GB2312" w:cs="仿宋" w:hint="eastAsia"/>
          <w:color w:val="000000"/>
          <w:sz w:val="32"/>
          <w:szCs w:val="32"/>
        </w:rPr>
        <w:t>原因严格控制三公经费年初预算厉行节约。</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color w:val="000000"/>
          <w:sz w:val="32"/>
          <w:szCs w:val="32"/>
        </w:rPr>
        <w:t>20</w:t>
      </w:r>
      <w:r>
        <w:rPr>
          <w:rFonts w:ascii="仿宋_GB2312" w:eastAsia="仿宋_GB2312" w:hint="eastAsia"/>
          <w:color w:val="000000"/>
          <w:sz w:val="32"/>
          <w:szCs w:val="32"/>
        </w:rPr>
        <w:t>21年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日，共有车辆2辆，其中：部级领导干部用车0辆、主要领导干部用车0辆、机要通信用车0辆、应急保障用车2辆、执法执勤用车0辆、特种专业技术用车0辆、离退休干部用车0辆、其他用车0辆；</w:t>
      </w:r>
      <w:r>
        <w:rPr>
          <w:rFonts w:ascii="仿宋_GB2312" w:eastAsia="仿宋_GB2312" w:hint="eastAsia"/>
          <w:b/>
          <w:color w:val="000000"/>
          <w:sz w:val="32"/>
          <w:szCs w:val="32"/>
        </w:rPr>
        <w:t>公务用车运行维护费支出</w:t>
      </w:r>
      <w:r>
        <w:rPr>
          <w:rFonts w:ascii="仿宋_GB2312" w:eastAsia="仿宋_GB2312" w:hint="eastAsia"/>
          <w:sz w:val="32"/>
          <w:szCs w:val="32"/>
        </w:rPr>
        <w:t>4万元。</w:t>
      </w:r>
      <w:r>
        <w:rPr>
          <w:rFonts w:ascii="仿宋_GB2312" w:eastAsia="仿宋_GB2312" w:hint="eastAsia"/>
          <w:color w:val="000000"/>
          <w:sz w:val="32"/>
          <w:szCs w:val="32"/>
        </w:rPr>
        <w:t>主要用我单位所需的公务用车燃料费、维修费、过路过桥费、保险费等支出。</w:t>
      </w:r>
    </w:p>
    <w:p>
      <w:pPr>
        <w:spacing w:line="600" w:lineRule="exact"/>
        <w:ind w:firstLineChars="200" w:firstLine="640"/>
        <w:rPr>
          <w:rFonts w:ascii="仿宋_GB2312" w:eastAsia="仿宋_GB2312" w:hint="eastAsia"/>
          <w:color w:val="000000"/>
          <w:sz w:val="32"/>
          <w:szCs w:val="32"/>
        </w:rPr>
      </w:pPr>
      <w:r>
        <w:rPr>
          <w:rFonts w:ascii="仿宋_GB2312" w:eastAsia="仿宋_GB2312" w:hint="eastAsia"/>
          <w:b/>
          <w:color w:val="000000"/>
          <w:sz w:val="32"/>
          <w:szCs w:val="32"/>
        </w:rPr>
        <w:t>2. 公务接待费支出</w:t>
      </w:r>
      <w:r>
        <w:rPr>
          <w:rFonts w:ascii="仿宋_GB2312" w:eastAsia="仿宋_GB2312" w:hint="eastAsia"/>
          <w:color w:val="000000"/>
          <w:sz w:val="32"/>
          <w:szCs w:val="32"/>
        </w:rPr>
        <w:t>0.23万元，</w:t>
      </w:r>
      <w:r>
        <w:rPr>
          <w:rStyle w:val="22"/>
          <w:rFonts w:ascii="仿宋" w:eastAsia="仿宋" w:hint="eastAsia"/>
          <w:b w:val="0"/>
          <w:bCs/>
          <w:color w:val="000000"/>
          <w:sz w:val="32"/>
          <w:szCs w:val="32"/>
        </w:rPr>
        <w:t>完成预算100</w:t>
      </w:r>
      <w:r>
        <w:rPr>
          <w:rStyle w:val="22"/>
          <w:rFonts w:ascii="仿宋" w:eastAsia="仿宋"/>
          <w:b w:val="0"/>
          <w:bCs/>
          <w:color w:val="000000"/>
          <w:sz w:val="32"/>
          <w:szCs w:val="32"/>
        </w:rPr>
        <w:t>%</w:t>
      </w:r>
      <w:r>
        <w:rPr>
          <w:rStyle w:val="22"/>
          <w:rFonts w:ascii="仿宋" w:eastAsia="仿宋" w:hint="eastAsia"/>
          <w:b w:val="0"/>
          <w:bCs/>
          <w:color w:val="000000"/>
          <w:sz w:val="32"/>
          <w:szCs w:val="32"/>
        </w:rPr>
        <w:t>。</w:t>
      </w:r>
      <w:r>
        <w:rPr>
          <w:rFonts w:ascii="仿宋_GB2312" w:eastAsia="仿宋_GB2312" w:cs="仿宋" w:hint="eastAsia"/>
          <w:color w:val="000000"/>
          <w:sz w:val="32"/>
          <w:szCs w:val="32"/>
        </w:rPr>
        <w:t>。</w:t>
      </w:r>
      <w:r>
        <w:rPr>
          <w:rFonts w:ascii="仿宋_GB2312" w:eastAsia="仿宋_GB2312" w:hint="eastAsia"/>
          <w:color w:val="000000"/>
          <w:sz w:val="32"/>
          <w:szCs w:val="32"/>
        </w:rPr>
        <w:t>主要用于执行公务、开展业务活动开支的交通费、住宿费、用餐费等。国内公务接待</w:t>
      </w:r>
      <w:r>
        <w:rPr>
          <w:rFonts w:ascii="仿宋_GB2312" w:eastAsia="仿宋_GB2312"/>
          <w:color w:val="000000"/>
          <w:sz w:val="32"/>
          <w:szCs w:val="32"/>
        </w:rPr>
        <w:t>2</w:t>
      </w:r>
      <w:r>
        <w:rPr>
          <w:rFonts w:ascii="仿宋_GB2312" w:eastAsia="仿宋_GB2312" w:hint="eastAsia"/>
          <w:color w:val="000000"/>
          <w:sz w:val="32"/>
          <w:szCs w:val="32"/>
        </w:rPr>
        <w:t>批次，</w:t>
      </w:r>
      <w:r>
        <w:rPr>
          <w:rFonts w:ascii="仿宋_GB2312" w:eastAsia="仿宋_GB2312"/>
          <w:color w:val="000000"/>
          <w:sz w:val="32"/>
          <w:szCs w:val="32"/>
        </w:rPr>
        <w:t>10</w:t>
      </w:r>
      <w:r>
        <w:rPr>
          <w:rFonts w:ascii="仿宋_GB2312" w:eastAsia="仿宋_GB2312" w:hint="eastAsia"/>
          <w:color w:val="000000"/>
          <w:sz w:val="32"/>
          <w:szCs w:val="32"/>
        </w:rPr>
        <w:t>人次，共计支出0.</w:t>
      </w:r>
      <w:r>
        <w:rPr>
          <w:rFonts w:ascii="仿宋_GB2312" w:eastAsia="仿宋_GB2312"/>
          <w:color w:val="000000"/>
          <w:sz w:val="32"/>
          <w:szCs w:val="32"/>
        </w:rPr>
        <w:t>23</w:t>
      </w:r>
      <w:r>
        <w:rPr>
          <w:rFonts w:ascii="仿宋_GB2312" w:eastAsia="仿宋_GB2312" w:hint="eastAsia"/>
          <w:color w:val="000000"/>
          <w:sz w:val="32"/>
          <w:szCs w:val="32"/>
        </w:rPr>
        <w:t>万元。</w:t>
      </w:r>
    </w:p>
    <w:p>
      <w:pPr>
        <w:spacing w:line="600" w:lineRule="exact"/>
        <w:ind w:firstLine="640"/>
        <w:outlineLvl w:val="1"/>
        <w:rPr>
          <w:rFonts w:ascii="仿宋_GB2312" w:eastAsia="仿宋_GB2312" w:hint="eastAsia"/>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p>
    <w:p>
      <w:pPr>
        <w:spacing w:line="600" w:lineRule="exact"/>
        <w:ind w:firstLineChars="250" w:firstLine="800"/>
        <w:rPr>
          <w:rStyle w:val="22"/>
          <w:rFonts w:ascii="仿宋_GB2312" w:eastAsia="仿宋_GB2312"/>
          <w:b w:val="0"/>
          <w:color w:val="000000"/>
          <w:sz w:val="32"/>
          <w:szCs w:val="32"/>
        </w:rPr>
      </w:pPr>
      <w:bookmarkStart w:id="45" w:name="_GoBack"/>
      <w:bookmarkEnd w:id="45"/>
    </w:p>
    <w:p>
      <w:pPr>
        <w:spacing w:line="600" w:lineRule="exact"/>
        <w:ind w:firstLineChars="250" w:firstLine="800"/>
        <w:rPr>
          <w:rStyle w:val="2Char"/>
          <w:rFonts w:ascii="仿宋_GB2312" w:eastAsia="仿宋_GB2312" w:cs="仿宋"/>
          <w:b w:val="0"/>
          <w:bCs w:val="0"/>
          <w:color w:val="000000"/>
        </w:rPr>
      </w:pPr>
      <w:r>
        <w:rPr>
          <w:rFonts w:ascii="仿宋_GB2312" w:eastAsia="仿宋_GB2312" w:cs="仿宋" w:hint="eastAsia"/>
          <w:color w:val="000000"/>
          <w:sz w:val="32"/>
          <w:szCs w:val="32"/>
        </w:rPr>
        <w:drawing>
          <wp:anchor distT="0" distB="0" distL="114300" distR="114300" simplePos="0" relativeHeight="21" behindDoc="0" locked="0" layoutInCell="1" hidden="0" allowOverlap="1">
            <wp:simplePos x="0" y="0"/>
            <wp:positionH relativeFrom="column">
              <wp:posOffset>274955</wp:posOffset>
            </wp:positionH>
            <wp:positionV relativeFrom="paragraph">
              <wp:posOffset>-182880</wp:posOffset>
            </wp:positionV>
            <wp:extent cx="5273675" cy="2759075"/>
            <wp:effectExtent l="0" t="0" r="0" b="0"/>
            <wp:wrapSquare wrapText="bothSides"/>
            <wp:docPr id="10" name="图片 2"/>
            <wp:cNvGraphicFramePr>
              <a:graphicFrameLocks noChangeAspect="1"/>
            </wp:cNvGraphicFramePr>
            <a:graphic>
              <a:graphicData uri="http://schemas.openxmlformats.org/drawingml/2006/picture">
                <pic:pic>
                  <pic:nvPicPr>
                    <pic:cNvPr id="12" name="图片 2 12"/>
                    <pic:cNvPicPr/>
                  </pic:nvPicPr>
                  <pic:blipFill>
                    <a:blip r:embed="rId7"/>
                    <a:stretch>
                      <a:fillRect/>
                    </a:stretch>
                  </pic:blipFill>
                  <pic:spPr>
                    <a:xfrm rot="0">
                      <a:off x="0" y="0"/>
                      <a:ext cx="5273675" cy="2759075"/>
                    </a:xfrm>
                    <a:prstGeom prst="rect"/>
                    <a:noFill/>
                    <a:ln w="9525" cmpd="sng" cap="flat">
                      <a:noFill/>
                      <a:prstDash val="solid"/>
                      <a:miter/>
                    </a:ln>
                  </pic:spPr>
                </pic:pic>
              </a:graphicData>
            </a:graphic>
          </wp:anchor>
        </w:drawing>
      </w:r>
      <w:bookmarkStart w:id="46" w:name="_Toc15396610"/>
      <w:bookmarkStart w:id="47" w:name="_Toc15377218"/>
      <w:bookmarkEnd w:id="39"/>
      <w:bookmarkEnd w:id="40"/>
      <w:r>
        <w:rPr>
          <w:rFonts w:ascii="黑体" w:eastAsia="黑体" w:hint="eastAsia"/>
          <w:color w:val="000000"/>
          <w:sz w:val="32"/>
          <w:szCs w:val="32"/>
        </w:rPr>
        <w:t>八、</w:t>
      </w:r>
      <w:r>
        <w:rPr>
          <w:rStyle w:val="2Char"/>
          <w:rFonts w:ascii="黑体" w:eastAsia="黑体" w:hint="eastAsia"/>
          <w:b w:val="0"/>
        </w:rPr>
        <w:t>政府性基金预算支出决算情况说明</w:t>
      </w:r>
      <w:bookmarkEnd w:id="46"/>
      <w:bookmarkEnd w:id="47"/>
    </w:p>
    <w:p>
      <w:pPr>
        <w:spacing w:line="600" w:lineRule="exact"/>
        <w:ind w:firstLine="640"/>
        <w:outlineLvl w:val="1"/>
        <w:rPr>
          <w:rStyle w:val="2Char"/>
          <w:rFonts w:ascii="黑体" w:eastAsia="仿宋_GB2312" w:hAnsi="黑体"/>
          <w:b w:val="0"/>
        </w:rPr>
      </w:pPr>
      <w:r>
        <w:rPr>
          <w:rFonts w:ascii="仿宋" w:eastAsia="仿宋"/>
          <w:color w:val="000000"/>
          <w:sz w:val="32"/>
          <w:szCs w:val="32"/>
        </w:rPr>
        <w:t>20</w:t>
      </w:r>
      <w:r>
        <w:rPr>
          <w:rFonts w:ascii="仿宋" w:eastAsia="仿宋" w:hint="eastAsia"/>
          <w:color w:val="000000"/>
          <w:sz w:val="32"/>
          <w:szCs w:val="32"/>
        </w:rPr>
        <w:t>21年政府性基金预算</w:t>
      </w:r>
      <w:r>
        <w:rPr>
          <w:rFonts w:ascii="仿宋_GB2312" w:eastAsia="仿宋_GB2312" w:hint="eastAsia"/>
          <w:spacing w:val="-2"/>
          <w:sz w:val="32"/>
          <w:szCs w:val="32"/>
        </w:rPr>
        <w:t>拨款支出3万元，</w:t>
      </w:r>
      <w:r>
        <w:rPr>
          <w:rFonts w:ascii="仿宋" w:eastAsia="仿宋" w:hint="eastAsia"/>
          <w:color w:val="000000"/>
          <w:sz w:val="32"/>
          <w:szCs w:val="32"/>
        </w:rPr>
        <w:t>占本年总支出的0.41</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w:t>
      </w:r>
      <w:r>
        <w:rPr>
          <w:rFonts w:ascii="仿宋" w:eastAsia="仿宋" w:hint="eastAsia"/>
          <w:color w:val="000000"/>
          <w:sz w:val="32"/>
          <w:szCs w:val="32"/>
        </w:rPr>
        <w:t>20年相比政府性基金预算</w:t>
      </w:r>
      <w:r>
        <w:rPr>
          <w:rFonts w:ascii="仿宋_GB2312" w:eastAsia="仿宋_GB2312" w:hint="eastAsia"/>
          <w:spacing w:val="-2"/>
          <w:sz w:val="32"/>
          <w:szCs w:val="32"/>
        </w:rPr>
        <w:t>拨款支出减少7万元，减少70%。主要原因本年度无政府性基金预算项目。</w:t>
      </w:r>
    </w:p>
    <w:p>
      <w:pPr>
        <w:pStyle w:val="28"/>
        <w:numPr>
          <w:ilvl w:val="0"/>
          <w:numId w:val="4"/>
        </w:numPr>
        <w:tabs>
          <w:tab w:val="left" w:pos="0"/>
        </w:tabs>
        <w:spacing w:line="600" w:lineRule="exact"/>
        <w:ind w:firstLineChars="0"/>
        <w:outlineLvl w:val="1"/>
        <w:rPr>
          <w:rStyle w:val="2Char"/>
          <w:rFonts w:ascii="黑体" w:eastAsia="黑体"/>
          <w:b w:val="0"/>
        </w:rPr>
      </w:pPr>
      <w:bookmarkStart w:id="48" w:name="_Toc15377219"/>
      <w:bookmarkStart w:id="49" w:name="_Toc15396611"/>
      <w:r>
        <w:rPr>
          <w:rStyle w:val="2Char"/>
          <w:rFonts w:ascii="黑体" w:eastAsia="黑体" w:hint="eastAsia"/>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21年国有资本经营预算拨款支出0万元。</w:t>
      </w:r>
    </w:p>
    <w:p>
      <w:pPr>
        <w:pStyle w:val="28"/>
        <w:numPr>
          <w:ilvl w:val="0"/>
          <w:numId w:val="4"/>
        </w:numPr>
        <w:spacing w:line="580" w:lineRule="exact"/>
        <w:ind w:firstLineChars="0"/>
        <w:rPr>
          <w:rStyle w:val="2Char"/>
          <w:rFonts w:ascii="黑体" w:eastAsia="黑体"/>
          <w:b w:val="0"/>
        </w:rPr>
      </w:pPr>
      <w:r>
        <w:rPr>
          <w:rStyle w:val="2Char"/>
          <w:rFonts w:ascii="黑体" w:eastAsia="黑体" w:hint="eastAsia"/>
          <w:b w:val="0"/>
        </w:rPr>
        <w:t>其他重要事项的情况说明</w:t>
      </w:r>
    </w:p>
    <w:p>
      <w:pPr>
        <w:spacing w:line="600" w:lineRule="exact"/>
        <w:ind w:firstLineChars="100" w:firstLine="320"/>
        <w:outlineLvl w:val="2"/>
        <w:rPr>
          <w:rFonts w:ascii="仿宋" w:eastAsia="仿宋"/>
          <w:color w:val="000000"/>
          <w:sz w:val="32"/>
          <w:szCs w:val="32"/>
        </w:rPr>
      </w:pPr>
      <w:bookmarkStart w:id="50" w:name="_Toc79163878"/>
      <w:bookmarkStart w:id="51" w:name="_Toc79163628"/>
      <w:r>
        <w:rPr>
          <w:rFonts w:ascii="仿宋" w:eastAsia="仿宋" w:hint="eastAsia"/>
          <w:b/>
          <w:color w:val="000000"/>
          <w:sz w:val="32"/>
          <w:szCs w:val="32"/>
        </w:rPr>
        <w:t>（一）机关运行经费支出情况</w:t>
      </w:r>
    </w:p>
    <w:p>
      <w:pPr>
        <w:spacing w:line="600" w:lineRule="exact"/>
        <w:ind w:firstLineChars="200" w:firstLine="640"/>
        <w:rPr>
          <w:rFonts w:ascii="仿宋_GB2312" w:eastAsia="仿宋_GB2312"/>
          <w:sz w:val="32"/>
          <w:szCs w:val="32"/>
        </w:rPr>
      </w:pPr>
      <w:r>
        <w:rPr>
          <w:rFonts w:ascii="仿宋_GB2312" w:eastAsia="仿宋_GB2312"/>
          <w:color w:val="000000"/>
          <w:sz w:val="32"/>
          <w:szCs w:val="32"/>
        </w:rPr>
        <w:t>20</w:t>
      </w:r>
      <w:r>
        <w:rPr>
          <w:rFonts w:ascii="仿宋_GB2312" w:eastAsia="仿宋_GB2312" w:hint="eastAsia"/>
          <w:color w:val="000000"/>
          <w:sz w:val="32"/>
          <w:szCs w:val="32"/>
        </w:rPr>
        <w:t>21年，金川县宣传部运行经费支出66.08万元，比</w:t>
      </w:r>
      <w:r>
        <w:rPr>
          <w:rFonts w:ascii="仿宋_GB2312" w:eastAsia="仿宋_GB2312"/>
          <w:color w:val="000000"/>
          <w:sz w:val="32"/>
          <w:szCs w:val="32"/>
        </w:rPr>
        <w:t>20</w:t>
      </w:r>
      <w:r>
        <w:rPr>
          <w:rFonts w:ascii="仿宋_GB2312" w:eastAsia="仿宋_GB2312" w:hint="eastAsia"/>
          <w:color w:val="000000"/>
          <w:sz w:val="32"/>
          <w:szCs w:val="32"/>
        </w:rPr>
        <w:t>20年减少3.83万元，下降5.72</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sz w:val="32"/>
          <w:szCs w:val="32"/>
        </w:rPr>
        <w:t>主要原因人员厉行节约等。</w:t>
      </w:r>
    </w:p>
    <w:p>
      <w:pPr>
        <w:autoSpaceDE w:val="0"/>
        <w:autoSpaceDN w:val="0"/>
        <w:adjustRightInd w:val="0"/>
        <w:spacing w:line="600" w:lineRule="exact"/>
        <w:ind w:firstLineChars="100" w:firstLine="320"/>
        <w:jc w:val="left"/>
        <w:outlineLvl w:val="2"/>
        <w:rPr>
          <w:rFonts w:ascii="仿宋" w:eastAsia="仿宋"/>
          <w:b/>
          <w:color w:val="000000"/>
          <w:sz w:val="32"/>
          <w:szCs w:val="32"/>
        </w:rPr>
      </w:pPr>
      <w:r>
        <w:rPr>
          <w:rFonts w:ascii="仿宋" w:eastAsia="仿宋" w:hint="eastAsia"/>
          <w:b/>
          <w:color w:val="000000"/>
          <w:sz w:val="32"/>
          <w:szCs w:val="32"/>
        </w:rPr>
        <w:t>（二）政府采购支出情况</w:t>
      </w:r>
    </w:p>
    <w:p>
      <w:pPr>
        <w:spacing w:line="600" w:lineRule="exact"/>
        <w:ind w:firstLineChars="150" w:firstLine="480"/>
        <w:rPr>
          <w:rFonts w:ascii="仿宋" w:eastAsia="仿宋"/>
          <w:b/>
          <w:sz w:val="32"/>
          <w:szCs w:val="32"/>
        </w:rPr>
      </w:pPr>
      <w:r>
        <w:rPr>
          <w:rFonts w:ascii="仿宋_GB2312" w:eastAsia="仿宋_GB2312"/>
          <w:color w:val="000000"/>
          <w:sz w:val="32"/>
          <w:szCs w:val="32"/>
        </w:rPr>
        <w:t>20</w:t>
      </w:r>
      <w:r>
        <w:rPr>
          <w:rFonts w:ascii="仿宋_GB2312" w:eastAsia="仿宋_GB2312" w:hint="eastAsia"/>
          <w:color w:val="000000"/>
          <w:sz w:val="32"/>
          <w:szCs w:val="32"/>
        </w:rPr>
        <w:t>21年，政府采购支出总额139.88万元，其中：政府采购货物支出139.88万元，</w:t>
      </w:r>
      <w:r>
        <w:rPr>
          <w:rFonts w:ascii="仿宋_GB2312" w:eastAsia="仿宋_GB2312" w:hint="eastAsia"/>
          <w:sz w:val="32"/>
          <w:szCs w:val="32"/>
        </w:rPr>
        <w:t>主要用于农家书屋及新时代文明实践中心等。</w:t>
      </w:r>
      <w:r>
        <w:rPr>
          <w:rFonts w:ascii="仿宋_GB2312" w:eastAsia="仿宋_GB2312" w:hint="eastAsia"/>
          <w:color w:val="000000"/>
          <w:sz w:val="32"/>
          <w:szCs w:val="32"/>
        </w:rPr>
        <w:t>授予中小企业合同金额139.88万元，占政府采购支出总额的100%，其中：授予小微企业合同金额0万元，占政府采购支出总额的0%</w:t>
      </w:r>
      <w:r>
        <w:rPr>
          <w:rFonts w:ascii="仿宋_GB2312" w:eastAsia="仿宋_GB2312" w:hint="eastAsia"/>
          <w:sz w:val="32"/>
          <w:szCs w:val="32"/>
        </w:rPr>
        <w:t>。</w:t>
      </w:r>
    </w:p>
    <w:p>
      <w:pPr>
        <w:autoSpaceDE w:val="0"/>
        <w:autoSpaceDN w:val="0"/>
        <w:adjustRightInd w:val="0"/>
        <w:spacing w:line="600" w:lineRule="exact"/>
        <w:ind w:firstLineChars="100" w:firstLine="320"/>
        <w:jc w:val="left"/>
        <w:outlineLvl w:val="2"/>
        <w:rPr>
          <w:rFonts w:ascii="仿宋" w:eastAsia="仿宋"/>
          <w:b/>
          <w:color w:val="000000"/>
          <w:sz w:val="32"/>
          <w:szCs w:val="32"/>
        </w:rPr>
      </w:pPr>
      <w:r>
        <w:rPr>
          <w:rFonts w:ascii="仿宋" w:eastAsia="仿宋" w:hint="eastAsia"/>
          <w:b/>
          <w:color w:val="000000"/>
          <w:sz w:val="32"/>
          <w:szCs w:val="32"/>
        </w:rPr>
        <w:t>（三）国有资产占有使用情况</w:t>
      </w:r>
    </w:p>
    <w:p>
      <w:pPr>
        <w:widowControl/>
        <w:ind w:firstLineChars="150" w:firstLine="480"/>
        <w:jc w:val="left"/>
        <w:rPr>
          <w:rFonts w:ascii="仿宋_GB2312" w:eastAsia="仿宋_GB2312"/>
          <w:b/>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rPr>
        <w:t>21年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日，共有车辆2辆，为日常工作及应急保障用车，单价50万元以上通用设备0台，单价100万元以上专用设备0台（套）。</w:t>
      </w:r>
      <w:r>
        <w:rPr>
          <w:rFonts w:ascii="仿宋_GB2312" w:eastAsia="仿宋_GB2312" w:hint="eastAsia"/>
          <w:b/>
          <w:color w:val="000000"/>
          <w:sz w:val="32"/>
          <w:szCs w:val="32"/>
        </w:rPr>
        <w:t xml:space="preserve">    </w:t>
      </w:r>
    </w:p>
    <w:p>
      <w:pPr>
        <w:autoSpaceDE w:val="0"/>
        <w:autoSpaceDN w:val="0"/>
        <w:adjustRightInd w:val="0"/>
        <w:spacing w:line="560" w:lineRule="exact"/>
        <w:ind w:firstLineChars="100" w:firstLine="320"/>
        <w:jc w:val="left"/>
        <w:outlineLvl w:val="2"/>
        <w:rPr>
          <w:rStyle w:val="2Char"/>
          <w:rFonts w:ascii="仿宋" w:eastAsia="仿宋"/>
          <w:bCs w:val="0"/>
          <w:color w:val="000000"/>
        </w:rPr>
      </w:pPr>
      <w:r>
        <w:rPr>
          <w:rFonts w:ascii="仿宋" w:eastAsia="仿宋" w:hint="eastAsia"/>
          <w:b/>
          <w:color w:val="000000"/>
          <w:sz w:val="32"/>
          <w:szCs w:val="32"/>
        </w:rPr>
        <w:t>（四）预算绩效管理情况。</w:t>
      </w:r>
      <w:bookmarkEnd w:id="50"/>
      <w:bookmarkEnd w:id="51"/>
    </w:p>
    <w:p>
      <w:pPr>
        <w:numPr>
          <w:ilvl w:val="0"/>
          <w:numId w:val="5"/>
        </w:numPr>
        <w:spacing w:line="580" w:lineRule="exact"/>
        <w:ind w:left="0" w:firstLineChars="200" w:firstLine="640"/>
        <w:rPr>
          <w:rFonts w:ascii="仿宋" w:eastAsia="仿宋" w:cs="楷体_GB2312"/>
          <w:b/>
          <w:bCs/>
          <w:sz w:val="32"/>
          <w:szCs w:val="32"/>
        </w:rPr>
      </w:pPr>
      <w:r>
        <w:rPr>
          <w:rFonts w:ascii="仿宋" w:eastAsia="仿宋" w:cs="楷体_GB2312" w:hint="eastAsia"/>
          <w:b/>
          <w:bCs/>
          <w:sz w:val="32"/>
          <w:szCs w:val="32"/>
        </w:rPr>
        <w:t>预算绩效管理工作开展情况。</w:t>
      </w:r>
    </w:p>
    <w:p>
      <w:pPr>
        <w:pStyle w:val="28"/>
        <w:spacing w:line="600" w:lineRule="atLeast"/>
        <w:ind w:firstLineChars="150" w:firstLine="480"/>
        <w:rPr>
          <w:rFonts w:ascii="仿宋_GB2312" w:eastAsia="仿宋_GB2312"/>
          <w:color w:val="000000"/>
          <w:sz w:val="32"/>
          <w:szCs w:val="32"/>
        </w:rPr>
      </w:pPr>
      <w:r>
        <w:rPr>
          <w:rFonts w:ascii="仿宋_GB2312" w:eastAsia="仿宋_GB2312" w:hint="eastAsia"/>
          <w:color w:val="000000"/>
          <w:sz w:val="32"/>
          <w:szCs w:val="32"/>
        </w:rPr>
        <w:t>按照预算绩效管理要求，本部门对2021年一般公共预算项目支出开展了绩效目标管理，共编制绩效目标13个，涉及财政资金410.24万元，覆盖率达到100%。</w:t>
      </w:r>
    </w:p>
    <w:p>
      <w:pPr>
        <w:spacing w:line="600" w:lineRule="atLeast"/>
        <w:ind w:firstLineChars="200" w:firstLine="640"/>
        <w:rPr>
          <w:rFonts w:ascii="仿宋_GB2312" w:eastAsia="仿宋_GB2312"/>
          <w:b/>
          <w:color w:val="000000"/>
          <w:sz w:val="32"/>
          <w:szCs w:val="32"/>
        </w:rPr>
      </w:pPr>
      <w:r>
        <w:rPr>
          <w:rFonts w:ascii="仿宋" w:eastAsia="仿宋" w:cs="楷体_GB2312" w:hint="eastAsia"/>
          <w:b/>
          <w:bCs/>
          <w:sz w:val="32"/>
          <w:szCs w:val="32"/>
        </w:rPr>
        <w:t>（二）项目整体绩效目标完成情况。</w:t>
      </w:r>
      <w:r>
        <w:rPr>
          <w:rFonts w:ascii="楷体_GB2312" w:eastAsia="楷体_GB2312" w:cs="楷体_GB2312" w:hint="eastAsia"/>
          <w:b/>
          <w:bCs/>
          <w:sz w:val="32"/>
          <w:szCs w:val="32"/>
        </w:rPr>
        <w:br/>
      </w:r>
      <w:r>
        <w:rPr>
          <w:rFonts w:ascii="仿宋_GB2312" w:eastAsia="仿宋_GB2312" w:cs="仿宋_GB2312" w:hint="eastAsia"/>
          <w:sz w:val="32"/>
          <w:szCs w:val="32"/>
        </w:rPr>
        <w:t xml:space="preserve">    </w:t>
      </w:r>
      <w:r>
        <w:rPr>
          <w:rFonts w:ascii="仿宋_GB2312" w:eastAsia="仿宋_GB2312" w:hint="eastAsia"/>
          <w:color w:val="000000"/>
          <w:sz w:val="32"/>
          <w:szCs w:val="32"/>
        </w:rPr>
        <w:t>按照预算绩效管理要求，本部门对2021年整体支出开展绩效自评，自评得分92分，存在问题：</w:t>
      </w:r>
      <w:r>
        <w:rPr>
          <w:rFonts w:ascii="仿宋_GB2312" w:eastAsia="仿宋_GB2312" w:cs="仿宋_GB2312" w:hint="eastAsia"/>
          <w:sz w:val="32"/>
          <w:szCs w:val="32"/>
        </w:rPr>
        <w:t>一是预算经费支出进度缓，特别是中央政法转移支付资金；二是部门预算、决算上报效率有待提高。下一步改进措施：一是加快完善部门财务规章制度建设；二是加强会计核算和财务管理能力；三是加强与县财政局相关科室对接工作，提升工作效率。</w:t>
      </w:r>
    </w:p>
    <w:p>
      <w:pPr>
        <w:jc w:val="center"/>
        <w:rPr>
          <w:rFonts w:ascii="黑体" w:eastAsia="黑体"/>
          <w:color w:val="000000"/>
          <w:sz w:val="32"/>
          <w:szCs w:val="32"/>
        </w:rPr>
      </w:pPr>
      <w:r>
        <w:rPr>
          <w:rFonts w:ascii="黑体" w:eastAsia="黑体" w:hint="eastAsia"/>
          <w:color w:val="000000"/>
          <w:sz w:val="32"/>
          <w:szCs w:val="32"/>
        </w:rPr>
        <w:t>2021年部门整体支出绩效评价得分表</w:t>
      </w:r>
    </w:p>
    <w:tbl>
      <w:tblPr>
        <w:jc w:val="left"/>
        <w:tblInd w:w="-17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559"/>
        <w:gridCol w:w="2077"/>
        <w:gridCol w:w="3115"/>
        <w:gridCol w:w="1947"/>
      </w:tblGrid>
      <w:tr>
        <w:trPr>
          <w:trHeight w:val="240"/>
        </w:trPr>
        <w:tc>
          <w:tcPr>
            <w:tcW w:w="1702" w:type="dxa"/>
            <w:tcBorders>
              <w:top w:val="single" w:sz="4" w:space="0" w:color="auto"/>
              <w:left w:val="single" w:sz="4" w:space="0" w:color="auto"/>
              <w:bottom w:val="single" w:sz="4" w:space="0" w:color="auto"/>
              <w:right w:val="single" w:sz="4" w:space="0" w:color="auto"/>
            </w:tcBorders>
            <w:vAlign w:val="center"/>
          </w:tcPr>
          <w:p>
            <w:pPr>
              <w:widowControl/>
              <w:jc w:val="center"/>
              <w:rPr>
                <w:rFonts w:ascii="宋体" w:cs="宋体"/>
                <w:b/>
                <w:bCs/>
                <w:color w:val="000000"/>
                <w:kern w:val="0"/>
                <w:sz w:val="20"/>
                <w:szCs w:val="20"/>
              </w:rPr>
            </w:pPr>
            <w:r>
              <w:rPr>
                <w:rFonts w:ascii="宋体" w:cs="宋体" w:hint="eastAsia"/>
                <w:b/>
                <w:bCs/>
                <w:color w:val="000000"/>
                <w:kern w:val="0"/>
                <w:sz w:val="20"/>
                <w:szCs w:val="20"/>
              </w:rPr>
              <w:t>一级指标</w:t>
            </w:r>
          </w:p>
        </w:tc>
        <w:tc>
          <w:tcPr>
            <w:tcW w:w="2268" w:type="dxa"/>
            <w:tcBorders>
              <w:top w:val="single" w:sz="4" w:space="0" w:color="auto"/>
              <w:left w:val="nil"/>
              <w:bottom w:val="single" w:sz="4" w:space="0" w:color="auto"/>
              <w:right w:val="single" w:sz="4" w:space="0" w:color="auto"/>
            </w:tcBorders>
            <w:vAlign w:val="center"/>
          </w:tcPr>
          <w:p>
            <w:pPr>
              <w:widowControl/>
              <w:jc w:val="center"/>
              <w:rPr>
                <w:rFonts w:ascii="宋体" w:cs="宋体"/>
                <w:b/>
                <w:bCs/>
                <w:color w:val="000000"/>
                <w:kern w:val="0"/>
                <w:sz w:val="20"/>
                <w:szCs w:val="20"/>
              </w:rPr>
            </w:pPr>
            <w:r>
              <w:rPr>
                <w:rFonts w:ascii="宋体" w:cs="宋体" w:hint="eastAsia"/>
                <w:b/>
                <w:bCs/>
                <w:color w:val="000000"/>
                <w:kern w:val="0"/>
                <w:sz w:val="20"/>
                <w:szCs w:val="20"/>
              </w:rPr>
              <w:t>二级指标</w:t>
            </w:r>
          </w:p>
        </w:tc>
        <w:tc>
          <w:tcPr>
            <w:tcW w:w="3402" w:type="dxa"/>
            <w:tcBorders>
              <w:top w:val="single" w:sz="4" w:space="0" w:color="auto"/>
              <w:left w:val="nil"/>
              <w:bottom w:val="single" w:sz="4" w:space="0" w:color="auto"/>
              <w:right w:val="single" w:sz="4" w:space="0" w:color="auto"/>
            </w:tcBorders>
            <w:vAlign w:val="center"/>
          </w:tcPr>
          <w:p>
            <w:pPr>
              <w:widowControl/>
              <w:jc w:val="center"/>
              <w:rPr>
                <w:rFonts w:ascii="宋体" w:cs="宋体"/>
                <w:b/>
                <w:bCs/>
                <w:color w:val="000000"/>
                <w:kern w:val="0"/>
                <w:sz w:val="20"/>
                <w:szCs w:val="20"/>
              </w:rPr>
            </w:pPr>
            <w:r>
              <w:rPr>
                <w:rFonts w:ascii="宋体" w:cs="宋体" w:hint="eastAsia"/>
                <w:b/>
                <w:bCs/>
                <w:color w:val="000000"/>
                <w:kern w:val="0"/>
                <w:sz w:val="20"/>
                <w:szCs w:val="20"/>
              </w:rPr>
              <w:t>三级指标</w:t>
            </w:r>
          </w:p>
        </w:tc>
        <w:tc>
          <w:tcPr>
            <w:tcW w:w="2126" w:type="dxa"/>
            <w:tcBorders>
              <w:top w:val="single" w:sz="4" w:space="0" w:color="auto"/>
              <w:left w:val="nil"/>
              <w:bottom w:val="single" w:sz="4" w:space="0" w:color="auto"/>
              <w:right w:val="single" w:sz="4" w:space="0" w:color="auto"/>
            </w:tcBorders>
          </w:tcPr>
          <w:p>
            <w:pPr>
              <w:widowControl/>
              <w:jc w:val="center"/>
              <w:rPr>
                <w:rFonts w:ascii="宋体" w:cs="宋体"/>
                <w:b/>
                <w:bCs/>
                <w:color w:val="000000"/>
                <w:kern w:val="0"/>
                <w:sz w:val="20"/>
                <w:szCs w:val="20"/>
              </w:rPr>
            </w:pPr>
            <w:r>
              <w:rPr>
                <w:rFonts w:ascii="宋体" w:cs="宋体" w:hint="eastAsia"/>
                <w:b/>
                <w:bCs/>
                <w:color w:val="000000"/>
                <w:kern w:val="0"/>
                <w:sz w:val="20"/>
                <w:szCs w:val="20"/>
              </w:rPr>
              <w:t>得分</w:t>
            </w:r>
          </w:p>
        </w:tc>
      </w:tr>
      <w:tr>
        <w:trPr>
          <w:trHeight w:val="520"/>
        </w:trPr>
        <w:tc>
          <w:tcPr>
            <w:tcW w:w="1702" w:type="dxa"/>
            <w:vMerge w:val="restart"/>
            <w:tcBorders>
              <w:top w:val="nil"/>
              <w:left w:val="single" w:sz="4" w:space="0" w:color="auto"/>
              <w:right w:val="single" w:sz="4" w:space="0" w:color="auto"/>
            </w:tcBorders>
            <w:vAlign w:val="center"/>
          </w:tcPr>
          <w:p>
            <w:pPr>
              <w:widowControl/>
              <w:jc w:val="center"/>
              <w:rPr>
                <w:rFonts w:ascii="宋体" w:cs="宋体"/>
                <w:color w:val="000000"/>
                <w:kern w:val="0"/>
                <w:sz w:val="20"/>
                <w:szCs w:val="20"/>
              </w:rPr>
            </w:pPr>
            <w:r>
              <w:rPr>
                <w:rFonts w:ascii="宋体" w:cs="宋体" w:hint="eastAsia"/>
                <w:color w:val="000000"/>
                <w:kern w:val="0"/>
                <w:sz w:val="20"/>
                <w:szCs w:val="20"/>
              </w:rPr>
              <w:t>部门决策（25分）</w:t>
            </w:r>
          </w:p>
        </w:tc>
        <w:tc>
          <w:tcPr>
            <w:tcW w:w="2268" w:type="dxa"/>
            <w:vMerge w:val="restart"/>
            <w:tcBorders>
              <w:top w:val="nil"/>
              <w:left w:val="single" w:sz="4" w:space="0" w:color="auto"/>
              <w:bottom w:val="single" w:sz="4" w:space="0" w:color="auto"/>
              <w:right w:val="single" w:sz="4" w:space="0" w:color="auto"/>
            </w:tcBorders>
            <w:vAlign w:val="center"/>
          </w:tcPr>
          <w:p>
            <w:pPr>
              <w:widowControl/>
              <w:jc w:val="center"/>
              <w:rPr>
                <w:rFonts w:ascii="宋体" w:cs="宋体"/>
                <w:color w:val="000000"/>
                <w:kern w:val="0"/>
                <w:sz w:val="20"/>
                <w:szCs w:val="20"/>
              </w:rPr>
            </w:pPr>
            <w:r>
              <w:rPr>
                <w:rFonts w:ascii="宋体" w:cs="宋体" w:hint="eastAsia"/>
                <w:color w:val="000000"/>
                <w:kern w:val="0"/>
                <w:sz w:val="20"/>
                <w:szCs w:val="20"/>
              </w:rPr>
              <w:t>目标任务（15分）</w:t>
            </w:r>
          </w:p>
        </w:tc>
        <w:tc>
          <w:tcPr>
            <w:tcW w:w="3402" w:type="dxa"/>
            <w:tcBorders>
              <w:top w:val="nil"/>
              <w:left w:val="nil"/>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相关性（5分）</w:t>
            </w:r>
          </w:p>
        </w:tc>
        <w:tc>
          <w:tcPr>
            <w:tcW w:w="2126" w:type="dxa"/>
            <w:tcBorders>
              <w:top w:val="nil"/>
              <w:left w:val="nil"/>
              <w:bottom w:val="single" w:sz="4" w:space="0" w:color="auto"/>
              <w:right w:val="single" w:sz="4" w:space="0" w:color="auto"/>
            </w:tcBorders>
          </w:tcPr>
          <w:p>
            <w:pPr>
              <w:widowControl/>
              <w:jc w:val="left"/>
              <w:rPr>
                <w:rFonts w:ascii="宋体" w:cs="宋体"/>
                <w:color w:val="000000"/>
                <w:kern w:val="0"/>
                <w:sz w:val="20"/>
                <w:szCs w:val="20"/>
              </w:rPr>
            </w:pPr>
            <w:r>
              <w:rPr>
                <w:rFonts w:ascii="宋体" w:cs="宋体" w:hint="eastAsia"/>
                <w:color w:val="000000"/>
                <w:kern w:val="0"/>
                <w:sz w:val="20"/>
                <w:szCs w:val="20"/>
              </w:rPr>
              <w:t>5</w:t>
            </w:r>
          </w:p>
        </w:tc>
      </w:tr>
      <w:tr>
        <w:trPr>
          <w:trHeight w:val="413"/>
        </w:trPr>
        <w:tc>
          <w:tcPr>
            <w:tcW w:w="1702" w:type="dxa"/>
            <w:vMerge/>
            <w:tcBorders>
              <w:left w:val="single" w:sz="4" w:space="0" w:color="auto"/>
              <w:right w:val="single" w:sz="4" w:space="0" w:color="auto"/>
            </w:tcBorders>
            <w:vAlign w:val="center"/>
          </w:tcPr>
          <w:p/>
        </w:tc>
        <w:tc>
          <w:tcPr>
            <w:tcW w:w="2268" w:type="dxa"/>
            <w:vMerge/>
            <w:tcBorders>
              <w:top w:val="nil"/>
              <w:left w:val="single" w:sz="4" w:space="0" w:color="auto"/>
              <w:bottom w:val="single" w:sz="4" w:space="0" w:color="auto"/>
              <w:right w:val="single" w:sz="4" w:space="0" w:color="auto"/>
            </w:tcBorders>
            <w:vAlign w:val="center"/>
          </w:tcPr>
          <w:p/>
        </w:tc>
        <w:tc>
          <w:tcPr>
            <w:tcW w:w="3402" w:type="dxa"/>
            <w:tcBorders>
              <w:top w:val="nil"/>
              <w:left w:val="nil"/>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明确性（5分）</w:t>
            </w:r>
          </w:p>
        </w:tc>
        <w:tc>
          <w:tcPr>
            <w:tcW w:w="2126" w:type="dxa"/>
            <w:tcBorders>
              <w:top w:val="nil"/>
              <w:left w:val="nil"/>
              <w:bottom w:val="single" w:sz="4" w:space="0" w:color="auto"/>
              <w:right w:val="single" w:sz="4" w:space="0" w:color="auto"/>
            </w:tcBorders>
          </w:tcPr>
          <w:p>
            <w:pPr>
              <w:widowControl/>
              <w:jc w:val="left"/>
              <w:rPr>
                <w:rFonts w:ascii="宋体" w:cs="宋体"/>
                <w:color w:val="000000"/>
                <w:kern w:val="0"/>
                <w:sz w:val="20"/>
                <w:szCs w:val="20"/>
              </w:rPr>
            </w:pPr>
            <w:r>
              <w:rPr>
                <w:rFonts w:ascii="宋体" w:cs="宋体" w:hint="eastAsia"/>
                <w:color w:val="000000"/>
                <w:kern w:val="0"/>
                <w:sz w:val="20"/>
                <w:szCs w:val="20"/>
              </w:rPr>
              <w:t>5</w:t>
            </w:r>
          </w:p>
        </w:tc>
      </w:tr>
      <w:tr>
        <w:trPr>
          <w:trHeight w:val="420"/>
        </w:trPr>
        <w:tc>
          <w:tcPr>
            <w:tcW w:w="1702" w:type="dxa"/>
            <w:vMerge/>
            <w:tcBorders>
              <w:left w:val="single" w:sz="4" w:space="0" w:color="auto"/>
              <w:right w:val="single" w:sz="4" w:space="0" w:color="auto"/>
            </w:tcBorders>
            <w:vAlign w:val="center"/>
          </w:tcPr>
          <w:p/>
        </w:tc>
        <w:tc>
          <w:tcPr>
            <w:tcW w:w="2268" w:type="dxa"/>
            <w:vMerge/>
            <w:tcBorders>
              <w:top w:val="nil"/>
              <w:left w:val="single" w:sz="4" w:space="0" w:color="auto"/>
              <w:bottom w:val="single" w:sz="4" w:space="0" w:color="auto"/>
              <w:right w:val="single" w:sz="4" w:space="0" w:color="auto"/>
            </w:tcBorders>
            <w:vAlign w:val="center"/>
          </w:tcPr>
          <w:p/>
        </w:tc>
        <w:tc>
          <w:tcPr>
            <w:tcW w:w="3402" w:type="dxa"/>
            <w:tcBorders>
              <w:top w:val="nil"/>
              <w:left w:val="nil"/>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合理性（5分）</w:t>
            </w:r>
          </w:p>
        </w:tc>
        <w:tc>
          <w:tcPr>
            <w:tcW w:w="2126" w:type="dxa"/>
            <w:tcBorders>
              <w:top w:val="nil"/>
              <w:left w:val="nil"/>
              <w:bottom w:val="single" w:sz="4" w:space="0" w:color="auto"/>
              <w:right w:val="single" w:sz="4" w:space="0" w:color="auto"/>
            </w:tcBorders>
          </w:tcPr>
          <w:p>
            <w:pPr>
              <w:widowControl/>
              <w:jc w:val="left"/>
              <w:rPr>
                <w:rFonts w:ascii="宋体" w:cs="宋体"/>
                <w:color w:val="000000"/>
                <w:kern w:val="0"/>
                <w:sz w:val="20"/>
                <w:szCs w:val="20"/>
              </w:rPr>
            </w:pPr>
            <w:r>
              <w:rPr>
                <w:rFonts w:ascii="宋体" w:cs="宋体" w:hint="eastAsia"/>
                <w:color w:val="000000"/>
                <w:kern w:val="0"/>
                <w:sz w:val="20"/>
                <w:szCs w:val="20"/>
              </w:rPr>
              <w:t>5</w:t>
            </w:r>
          </w:p>
        </w:tc>
      </w:tr>
      <w:tr>
        <w:trPr>
          <w:trHeight w:val="269"/>
        </w:trPr>
        <w:tc>
          <w:tcPr>
            <w:tcW w:w="1702" w:type="dxa"/>
            <w:vMerge/>
            <w:tcBorders>
              <w:left w:val="single" w:sz="4" w:space="0" w:color="auto"/>
              <w:right w:val="single" w:sz="4" w:space="0" w:color="auto"/>
            </w:tcBorders>
            <w:vAlign w:val="center"/>
          </w:tcPr>
          <w:p/>
        </w:tc>
        <w:tc>
          <w:tcPr>
            <w:tcW w:w="2268" w:type="dxa"/>
            <w:vMerge w:val="restart"/>
            <w:tcBorders>
              <w:top w:val="nil"/>
              <w:left w:val="single" w:sz="4" w:space="0" w:color="auto"/>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预算编制（10分）</w:t>
            </w:r>
          </w:p>
        </w:tc>
        <w:tc>
          <w:tcPr>
            <w:tcW w:w="3402" w:type="dxa"/>
            <w:tcBorders>
              <w:top w:val="nil"/>
              <w:left w:val="nil"/>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测算依据（5分）</w:t>
            </w:r>
          </w:p>
        </w:tc>
        <w:tc>
          <w:tcPr>
            <w:tcW w:w="2126" w:type="dxa"/>
            <w:tcBorders>
              <w:top w:val="nil"/>
              <w:left w:val="nil"/>
              <w:bottom w:val="single" w:sz="4" w:space="0" w:color="auto"/>
              <w:right w:val="single" w:sz="4" w:space="0" w:color="auto"/>
            </w:tcBorders>
          </w:tcPr>
          <w:p>
            <w:pPr>
              <w:widowControl/>
              <w:jc w:val="left"/>
              <w:rPr>
                <w:rFonts w:ascii="宋体" w:cs="宋体"/>
                <w:color w:val="000000"/>
                <w:kern w:val="0"/>
                <w:sz w:val="20"/>
                <w:szCs w:val="20"/>
              </w:rPr>
            </w:pPr>
            <w:r>
              <w:rPr>
                <w:rFonts w:ascii="宋体" w:cs="宋体" w:hint="eastAsia"/>
                <w:color w:val="000000"/>
                <w:kern w:val="0"/>
                <w:sz w:val="20"/>
                <w:szCs w:val="20"/>
              </w:rPr>
              <w:t>4</w:t>
            </w:r>
          </w:p>
        </w:tc>
      </w:tr>
      <w:tr>
        <w:trPr>
          <w:trHeight w:val="231"/>
        </w:trPr>
        <w:tc>
          <w:tcPr>
            <w:tcW w:w="1702" w:type="dxa"/>
            <w:vMerge/>
            <w:tcBorders>
              <w:left w:val="single" w:sz="4" w:space="0" w:color="auto"/>
              <w:bottom w:val="single" w:sz="4" w:space="0" w:color="auto"/>
              <w:right w:val="single" w:sz="4" w:space="0" w:color="auto"/>
            </w:tcBorders>
            <w:vAlign w:val="center"/>
          </w:tcPr>
          <w:p/>
        </w:tc>
        <w:tc>
          <w:tcPr>
            <w:tcW w:w="2268" w:type="dxa"/>
            <w:vMerge/>
            <w:tcBorders>
              <w:top w:val="nil"/>
              <w:left w:val="single" w:sz="4" w:space="0" w:color="auto"/>
              <w:bottom w:val="single" w:sz="4" w:space="0" w:color="auto"/>
              <w:right w:val="single" w:sz="4" w:space="0" w:color="auto"/>
            </w:tcBorders>
            <w:vAlign w:val="center"/>
          </w:tcPr>
          <w:p/>
        </w:tc>
        <w:tc>
          <w:tcPr>
            <w:tcW w:w="3402" w:type="dxa"/>
            <w:tcBorders>
              <w:top w:val="nil"/>
              <w:left w:val="nil"/>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目标管理（5分）</w:t>
            </w:r>
          </w:p>
        </w:tc>
        <w:tc>
          <w:tcPr>
            <w:tcW w:w="2126" w:type="dxa"/>
            <w:tcBorders>
              <w:top w:val="nil"/>
              <w:left w:val="nil"/>
              <w:bottom w:val="single" w:sz="4" w:space="0" w:color="auto"/>
              <w:right w:val="single" w:sz="4" w:space="0" w:color="auto"/>
            </w:tcBorders>
          </w:tcPr>
          <w:p>
            <w:pPr>
              <w:widowControl/>
              <w:jc w:val="left"/>
              <w:rPr>
                <w:rFonts w:ascii="宋体" w:cs="宋体"/>
                <w:color w:val="000000"/>
                <w:kern w:val="0"/>
                <w:sz w:val="20"/>
                <w:szCs w:val="20"/>
              </w:rPr>
            </w:pPr>
            <w:r>
              <w:rPr>
                <w:rFonts w:ascii="宋体" w:cs="宋体" w:hint="eastAsia"/>
                <w:color w:val="000000"/>
                <w:kern w:val="0"/>
                <w:sz w:val="20"/>
                <w:szCs w:val="20"/>
              </w:rPr>
              <w:t>4</w:t>
            </w:r>
          </w:p>
        </w:tc>
      </w:tr>
      <w:tr>
        <w:trPr>
          <w:trHeight w:val="477"/>
        </w:trPr>
        <w:tc>
          <w:tcPr>
            <w:tcW w:w="1702" w:type="dxa"/>
            <w:vMerge w:val="restart"/>
            <w:tcBorders>
              <w:top w:val="nil"/>
              <w:left w:val="single" w:sz="4" w:space="0" w:color="auto"/>
              <w:right w:val="single" w:sz="4" w:space="0" w:color="auto"/>
            </w:tcBorders>
            <w:vAlign w:val="center"/>
          </w:tcPr>
          <w:p>
            <w:pPr>
              <w:widowControl/>
              <w:jc w:val="center"/>
              <w:rPr>
                <w:rFonts w:ascii="宋体" w:cs="宋体"/>
                <w:color w:val="000000"/>
                <w:kern w:val="0"/>
                <w:sz w:val="20"/>
                <w:szCs w:val="20"/>
              </w:rPr>
            </w:pPr>
            <w:r>
              <w:rPr>
                <w:rFonts w:ascii="宋体" w:cs="宋体" w:hint="eastAsia"/>
                <w:color w:val="000000"/>
                <w:kern w:val="0"/>
                <w:sz w:val="20"/>
                <w:szCs w:val="20"/>
              </w:rPr>
              <w:t>综合管理（30分）</w:t>
            </w:r>
          </w:p>
        </w:tc>
        <w:tc>
          <w:tcPr>
            <w:tcW w:w="2268" w:type="dxa"/>
            <w:vMerge w:val="restart"/>
            <w:tcBorders>
              <w:top w:val="nil"/>
              <w:left w:val="single" w:sz="4" w:space="0" w:color="auto"/>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专项资金分配时限（2分）</w:t>
            </w:r>
          </w:p>
        </w:tc>
        <w:tc>
          <w:tcPr>
            <w:tcW w:w="3402" w:type="dxa"/>
            <w:tcBorders>
              <w:top w:val="nil"/>
              <w:left w:val="nil"/>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省级财力专项预算分配时限（1分）</w:t>
            </w:r>
          </w:p>
        </w:tc>
        <w:tc>
          <w:tcPr>
            <w:tcW w:w="2126" w:type="dxa"/>
            <w:tcBorders>
              <w:top w:val="nil"/>
              <w:left w:val="nil"/>
              <w:bottom w:val="single" w:sz="4" w:space="0" w:color="auto"/>
              <w:right w:val="single" w:sz="4" w:space="0" w:color="auto"/>
            </w:tcBorders>
          </w:tcPr>
          <w:p>
            <w:pPr>
              <w:widowControl/>
              <w:jc w:val="left"/>
              <w:rPr>
                <w:rFonts w:ascii="宋体" w:cs="宋体"/>
                <w:color w:val="000000"/>
                <w:kern w:val="0"/>
                <w:sz w:val="20"/>
                <w:szCs w:val="20"/>
              </w:rPr>
            </w:pPr>
            <w:r>
              <w:rPr>
                <w:rFonts w:ascii="宋体" w:cs="宋体" w:hint="eastAsia"/>
                <w:color w:val="000000"/>
                <w:kern w:val="0"/>
                <w:sz w:val="20"/>
                <w:szCs w:val="20"/>
              </w:rPr>
              <w:t>1</w:t>
            </w:r>
          </w:p>
        </w:tc>
      </w:tr>
      <w:tr>
        <w:trPr>
          <w:trHeight w:val="413"/>
        </w:trPr>
        <w:tc>
          <w:tcPr>
            <w:tcW w:w="1702" w:type="dxa"/>
            <w:vMerge/>
            <w:tcBorders>
              <w:left w:val="single" w:sz="4" w:space="0" w:color="auto"/>
              <w:right w:val="single" w:sz="4" w:space="0" w:color="auto"/>
            </w:tcBorders>
            <w:vAlign w:val="center"/>
          </w:tcPr>
          <w:p/>
        </w:tc>
        <w:tc>
          <w:tcPr>
            <w:tcW w:w="2268" w:type="dxa"/>
            <w:vMerge/>
            <w:tcBorders>
              <w:top w:val="nil"/>
              <w:left w:val="single" w:sz="4" w:space="0" w:color="auto"/>
              <w:bottom w:val="single" w:sz="4" w:space="0" w:color="auto"/>
              <w:right w:val="single" w:sz="4" w:space="0" w:color="auto"/>
            </w:tcBorders>
            <w:vAlign w:val="center"/>
          </w:tcPr>
          <w:p/>
        </w:tc>
        <w:tc>
          <w:tcPr>
            <w:tcW w:w="3402" w:type="dxa"/>
            <w:tcBorders>
              <w:top w:val="nil"/>
              <w:left w:val="nil"/>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中央专款分配合规率（1分）</w:t>
            </w:r>
          </w:p>
        </w:tc>
        <w:tc>
          <w:tcPr>
            <w:tcW w:w="2126" w:type="dxa"/>
            <w:tcBorders>
              <w:top w:val="nil"/>
              <w:left w:val="nil"/>
              <w:bottom w:val="single" w:sz="4" w:space="0" w:color="auto"/>
              <w:right w:val="single" w:sz="4" w:space="0" w:color="auto"/>
            </w:tcBorders>
          </w:tcPr>
          <w:p>
            <w:pPr>
              <w:widowControl/>
              <w:jc w:val="left"/>
              <w:rPr>
                <w:rFonts w:ascii="宋体" w:cs="宋体"/>
                <w:color w:val="000000"/>
                <w:kern w:val="0"/>
                <w:sz w:val="20"/>
                <w:szCs w:val="20"/>
              </w:rPr>
            </w:pPr>
            <w:r>
              <w:rPr>
                <w:rFonts w:ascii="宋体" w:cs="宋体" w:hint="eastAsia"/>
                <w:color w:val="000000"/>
                <w:kern w:val="0"/>
                <w:sz w:val="20"/>
                <w:szCs w:val="20"/>
              </w:rPr>
              <w:t>不存在</w:t>
            </w:r>
          </w:p>
        </w:tc>
      </w:tr>
      <w:tr>
        <w:trPr>
          <w:trHeight w:val="277"/>
        </w:trPr>
        <w:tc>
          <w:tcPr>
            <w:tcW w:w="1702" w:type="dxa"/>
            <w:vMerge/>
            <w:tcBorders>
              <w:left w:val="single" w:sz="4" w:space="0" w:color="auto"/>
              <w:right w:val="single" w:sz="4" w:space="0" w:color="auto"/>
            </w:tcBorders>
            <w:vAlign w:val="center"/>
          </w:tcPr>
          <w:p/>
        </w:tc>
        <w:tc>
          <w:tcPr>
            <w:tcW w:w="2268" w:type="dxa"/>
            <w:tcBorders>
              <w:top w:val="nil"/>
              <w:left w:val="nil"/>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中期评估（2分）</w:t>
            </w:r>
          </w:p>
        </w:tc>
        <w:tc>
          <w:tcPr>
            <w:tcW w:w="3402" w:type="dxa"/>
            <w:tcBorders>
              <w:top w:val="nil"/>
              <w:left w:val="nil"/>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执行中期评估（2分）</w:t>
            </w:r>
          </w:p>
        </w:tc>
        <w:tc>
          <w:tcPr>
            <w:tcW w:w="2126" w:type="dxa"/>
            <w:tcBorders>
              <w:top w:val="nil"/>
              <w:left w:val="nil"/>
              <w:bottom w:val="single" w:sz="4" w:space="0" w:color="auto"/>
              <w:right w:val="single" w:sz="4" w:space="0" w:color="auto"/>
            </w:tcBorders>
          </w:tcPr>
          <w:p>
            <w:pPr>
              <w:widowControl/>
              <w:jc w:val="left"/>
              <w:rPr>
                <w:rFonts w:ascii="宋体" w:cs="宋体"/>
                <w:color w:val="000000"/>
                <w:kern w:val="0"/>
                <w:sz w:val="20"/>
                <w:szCs w:val="20"/>
              </w:rPr>
            </w:pPr>
            <w:r>
              <w:rPr>
                <w:rFonts w:ascii="宋体" w:cs="宋体" w:hint="eastAsia"/>
                <w:color w:val="000000"/>
                <w:kern w:val="0"/>
                <w:sz w:val="20"/>
                <w:szCs w:val="20"/>
              </w:rPr>
              <w:t>2</w:t>
            </w:r>
          </w:p>
        </w:tc>
      </w:tr>
      <w:tr>
        <w:trPr>
          <w:trHeight w:val="381"/>
        </w:trPr>
        <w:tc>
          <w:tcPr>
            <w:tcW w:w="1702" w:type="dxa"/>
            <w:vMerge/>
            <w:tcBorders>
              <w:left w:val="single" w:sz="4" w:space="0" w:color="auto"/>
              <w:right w:val="single" w:sz="4" w:space="0" w:color="auto"/>
            </w:tcBorders>
            <w:vAlign w:val="center"/>
          </w:tcPr>
          <w:p/>
        </w:tc>
        <w:tc>
          <w:tcPr>
            <w:tcW w:w="2268" w:type="dxa"/>
            <w:vMerge w:val="restart"/>
            <w:tcBorders>
              <w:top w:val="nil"/>
              <w:left w:val="single" w:sz="4" w:space="0" w:color="auto"/>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绩效监控（5分）</w:t>
            </w:r>
          </w:p>
        </w:tc>
        <w:tc>
          <w:tcPr>
            <w:tcW w:w="3402" w:type="dxa"/>
            <w:tcBorders>
              <w:top w:val="nil"/>
              <w:left w:val="nil"/>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预算执行进度监控（2分）</w:t>
            </w:r>
          </w:p>
        </w:tc>
        <w:tc>
          <w:tcPr>
            <w:tcW w:w="2126" w:type="dxa"/>
            <w:tcBorders>
              <w:top w:val="nil"/>
              <w:left w:val="nil"/>
              <w:bottom w:val="single" w:sz="4" w:space="0" w:color="auto"/>
              <w:right w:val="single" w:sz="4" w:space="0" w:color="auto"/>
            </w:tcBorders>
          </w:tcPr>
          <w:p>
            <w:pPr>
              <w:widowControl/>
              <w:jc w:val="left"/>
              <w:rPr>
                <w:rFonts w:ascii="宋体" w:cs="宋体"/>
                <w:color w:val="000000"/>
                <w:kern w:val="0"/>
                <w:sz w:val="20"/>
                <w:szCs w:val="20"/>
              </w:rPr>
            </w:pPr>
            <w:r>
              <w:rPr>
                <w:rFonts w:ascii="宋体" w:cs="宋体" w:hint="eastAsia"/>
                <w:color w:val="000000"/>
                <w:kern w:val="0"/>
                <w:sz w:val="20"/>
                <w:szCs w:val="20"/>
              </w:rPr>
              <w:t>2</w:t>
            </w:r>
          </w:p>
        </w:tc>
      </w:tr>
      <w:tr>
        <w:trPr>
          <w:trHeight w:val="273"/>
        </w:trPr>
        <w:tc>
          <w:tcPr>
            <w:tcW w:w="1702" w:type="dxa"/>
            <w:vMerge/>
            <w:tcBorders>
              <w:left w:val="single" w:sz="4" w:space="0" w:color="auto"/>
              <w:right w:val="single" w:sz="4" w:space="0" w:color="auto"/>
            </w:tcBorders>
            <w:vAlign w:val="center"/>
          </w:tcPr>
          <w:p/>
        </w:tc>
        <w:tc>
          <w:tcPr>
            <w:tcW w:w="2268" w:type="dxa"/>
            <w:vMerge/>
            <w:tcBorders>
              <w:top w:val="nil"/>
              <w:left w:val="single" w:sz="4" w:space="0" w:color="auto"/>
              <w:bottom w:val="single" w:sz="4" w:space="0" w:color="auto"/>
              <w:right w:val="single" w:sz="4" w:space="0" w:color="auto"/>
            </w:tcBorders>
            <w:vAlign w:val="center"/>
          </w:tcPr>
          <w:p/>
        </w:tc>
        <w:tc>
          <w:tcPr>
            <w:tcW w:w="3402" w:type="dxa"/>
            <w:tcBorders>
              <w:top w:val="nil"/>
              <w:left w:val="nil"/>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绩效目标动态监控（3分）</w:t>
            </w:r>
          </w:p>
        </w:tc>
        <w:tc>
          <w:tcPr>
            <w:tcW w:w="2126" w:type="dxa"/>
            <w:tcBorders>
              <w:top w:val="nil"/>
              <w:left w:val="nil"/>
              <w:bottom w:val="single" w:sz="4" w:space="0" w:color="auto"/>
              <w:right w:val="single" w:sz="4" w:space="0" w:color="auto"/>
            </w:tcBorders>
          </w:tcPr>
          <w:p>
            <w:pPr>
              <w:widowControl/>
              <w:jc w:val="left"/>
              <w:rPr>
                <w:rFonts w:ascii="宋体" w:cs="宋体"/>
                <w:color w:val="000000"/>
                <w:kern w:val="0"/>
                <w:sz w:val="20"/>
                <w:szCs w:val="20"/>
              </w:rPr>
            </w:pPr>
            <w:r>
              <w:rPr>
                <w:rFonts w:ascii="宋体" w:cs="宋体" w:hint="eastAsia"/>
                <w:color w:val="000000"/>
                <w:kern w:val="0"/>
                <w:sz w:val="20"/>
                <w:szCs w:val="20"/>
              </w:rPr>
              <w:t>3</w:t>
            </w:r>
          </w:p>
        </w:tc>
      </w:tr>
      <w:tr>
        <w:trPr>
          <w:trHeight w:val="235"/>
        </w:trPr>
        <w:tc>
          <w:tcPr>
            <w:tcW w:w="1702" w:type="dxa"/>
            <w:vMerge/>
            <w:tcBorders>
              <w:left w:val="single" w:sz="4" w:space="0" w:color="auto"/>
              <w:right w:val="single" w:sz="4" w:space="0" w:color="auto"/>
            </w:tcBorders>
            <w:vAlign w:val="center"/>
          </w:tcPr>
          <w:p/>
        </w:tc>
        <w:tc>
          <w:tcPr>
            <w:tcW w:w="2268" w:type="dxa"/>
            <w:vMerge w:val="restart"/>
            <w:tcBorders>
              <w:top w:val="nil"/>
              <w:left w:val="single" w:sz="4" w:space="0" w:color="auto"/>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非税收入执收情况（2分）</w:t>
            </w:r>
          </w:p>
        </w:tc>
        <w:tc>
          <w:tcPr>
            <w:tcW w:w="3402" w:type="dxa"/>
            <w:tcBorders>
              <w:top w:val="nil"/>
              <w:left w:val="nil"/>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非税收入征收情况（1分）</w:t>
            </w:r>
          </w:p>
        </w:tc>
        <w:tc>
          <w:tcPr>
            <w:tcW w:w="2126" w:type="dxa"/>
            <w:tcBorders>
              <w:top w:val="nil"/>
              <w:left w:val="nil"/>
              <w:bottom w:val="single" w:sz="4" w:space="0" w:color="auto"/>
              <w:right w:val="single" w:sz="4" w:space="0" w:color="auto"/>
            </w:tcBorders>
          </w:tcPr>
          <w:p>
            <w:pPr>
              <w:widowControl/>
              <w:jc w:val="left"/>
              <w:rPr>
                <w:rFonts w:ascii="宋体" w:cs="宋体"/>
                <w:color w:val="000000"/>
                <w:kern w:val="0"/>
                <w:sz w:val="20"/>
                <w:szCs w:val="20"/>
              </w:rPr>
            </w:pPr>
            <w:r>
              <w:rPr>
                <w:rFonts w:ascii="宋体" w:cs="宋体" w:hint="eastAsia"/>
                <w:color w:val="000000"/>
                <w:kern w:val="0"/>
                <w:sz w:val="20"/>
                <w:szCs w:val="20"/>
              </w:rPr>
              <w:t>不存在</w:t>
            </w:r>
          </w:p>
        </w:tc>
      </w:tr>
      <w:tr>
        <w:trPr>
          <w:trHeight w:val="325"/>
        </w:trPr>
        <w:tc>
          <w:tcPr>
            <w:tcW w:w="1702" w:type="dxa"/>
            <w:vMerge/>
            <w:tcBorders>
              <w:left w:val="single" w:sz="4" w:space="0" w:color="auto"/>
              <w:right w:val="single" w:sz="4" w:space="0" w:color="auto"/>
            </w:tcBorders>
            <w:vAlign w:val="center"/>
          </w:tcPr>
          <w:p/>
        </w:tc>
        <w:tc>
          <w:tcPr>
            <w:tcW w:w="2268" w:type="dxa"/>
            <w:vMerge/>
            <w:tcBorders>
              <w:top w:val="nil"/>
              <w:left w:val="single" w:sz="4" w:space="0" w:color="auto"/>
              <w:bottom w:val="single" w:sz="4" w:space="0" w:color="auto"/>
              <w:right w:val="single" w:sz="4" w:space="0" w:color="auto"/>
            </w:tcBorders>
            <w:vAlign w:val="center"/>
          </w:tcPr>
          <w:p/>
        </w:tc>
        <w:tc>
          <w:tcPr>
            <w:tcW w:w="3402" w:type="dxa"/>
            <w:tcBorders>
              <w:top w:val="nil"/>
              <w:left w:val="nil"/>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非税收入上缴情况（1分）</w:t>
            </w:r>
          </w:p>
        </w:tc>
        <w:tc>
          <w:tcPr>
            <w:tcW w:w="2126" w:type="dxa"/>
            <w:tcBorders>
              <w:top w:val="nil"/>
              <w:left w:val="nil"/>
              <w:bottom w:val="single" w:sz="4" w:space="0" w:color="auto"/>
              <w:right w:val="single" w:sz="4" w:space="0" w:color="auto"/>
            </w:tcBorders>
          </w:tcPr>
          <w:p>
            <w:pPr>
              <w:widowControl/>
              <w:jc w:val="left"/>
              <w:rPr>
                <w:rFonts w:ascii="宋体" w:cs="宋体"/>
                <w:color w:val="000000"/>
                <w:kern w:val="0"/>
                <w:sz w:val="20"/>
                <w:szCs w:val="20"/>
              </w:rPr>
            </w:pPr>
            <w:r>
              <w:rPr>
                <w:rFonts w:ascii="宋体" w:cs="宋体" w:hint="eastAsia"/>
                <w:color w:val="000000"/>
                <w:kern w:val="0"/>
                <w:sz w:val="20"/>
                <w:szCs w:val="20"/>
              </w:rPr>
              <w:t>不存在</w:t>
            </w:r>
          </w:p>
        </w:tc>
      </w:tr>
      <w:tr>
        <w:trPr>
          <w:trHeight w:val="287"/>
        </w:trPr>
        <w:tc>
          <w:tcPr>
            <w:tcW w:w="1702" w:type="dxa"/>
            <w:vMerge/>
            <w:tcBorders>
              <w:left w:val="single" w:sz="4" w:space="0" w:color="auto"/>
              <w:right w:val="single" w:sz="4" w:space="0" w:color="auto"/>
            </w:tcBorders>
            <w:vAlign w:val="center"/>
          </w:tcPr>
          <w:p/>
        </w:tc>
        <w:tc>
          <w:tcPr>
            <w:tcW w:w="2268" w:type="dxa"/>
            <w:vMerge w:val="restart"/>
            <w:tcBorders>
              <w:top w:val="nil"/>
              <w:left w:val="single" w:sz="4" w:space="0" w:color="auto"/>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资产管理（6分）</w:t>
            </w:r>
          </w:p>
        </w:tc>
        <w:tc>
          <w:tcPr>
            <w:tcW w:w="3402" w:type="dxa"/>
            <w:tcBorders>
              <w:top w:val="nil"/>
              <w:left w:val="nil"/>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资产管理信息化情况（2分）</w:t>
            </w:r>
          </w:p>
        </w:tc>
        <w:tc>
          <w:tcPr>
            <w:tcW w:w="2126" w:type="dxa"/>
            <w:tcBorders>
              <w:top w:val="nil"/>
              <w:left w:val="nil"/>
              <w:bottom w:val="single" w:sz="4" w:space="0" w:color="auto"/>
              <w:right w:val="single" w:sz="4" w:space="0" w:color="auto"/>
            </w:tcBorders>
          </w:tcPr>
          <w:p>
            <w:pPr>
              <w:widowControl/>
              <w:jc w:val="left"/>
              <w:rPr>
                <w:rFonts w:ascii="宋体" w:cs="宋体"/>
                <w:color w:val="000000"/>
                <w:kern w:val="0"/>
                <w:sz w:val="20"/>
                <w:szCs w:val="20"/>
              </w:rPr>
            </w:pPr>
            <w:r>
              <w:rPr>
                <w:rFonts w:ascii="宋体" w:cs="宋体" w:hint="eastAsia"/>
                <w:color w:val="000000"/>
                <w:kern w:val="0"/>
                <w:sz w:val="20"/>
                <w:szCs w:val="20"/>
              </w:rPr>
              <w:t>2</w:t>
            </w:r>
          </w:p>
        </w:tc>
      </w:tr>
      <w:tr>
        <w:trPr>
          <w:trHeight w:val="235"/>
        </w:trPr>
        <w:tc>
          <w:tcPr>
            <w:tcW w:w="1702" w:type="dxa"/>
            <w:vMerge/>
            <w:tcBorders>
              <w:left w:val="single" w:sz="4" w:space="0" w:color="auto"/>
              <w:right w:val="single" w:sz="4" w:space="0" w:color="auto"/>
            </w:tcBorders>
            <w:vAlign w:val="center"/>
          </w:tcPr>
          <w:p/>
        </w:tc>
        <w:tc>
          <w:tcPr>
            <w:tcW w:w="2268" w:type="dxa"/>
            <w:vMerge/>
            <w:tcBorders>
              <w:top w:val="nil"/>
              <w:left w:val="single" w:sz="4" w:space="0" w:color="auto"/>
              <w:bottom w:val="single" w:sz="4" w:space="0" w:color="auto"/>
              <w:right w:val="single" w:sz="4" w:space="0" w:color="auto"/>
            </w:tcBorders>
            <w:vAlign w:val="center"/>
          </w:tcPr>
          <w:p/>
        </w:tc>
        <w:tc>
          <w:tcPr>
            <w:tcW w:w="3402" w:type="dxa"/>
            <w:tcBorders>
              <w:top w:val="nil"/>
              <w:left w:val="nil"/>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行政事业单位资产报告情况（2分）</w:t>
            </w:r>
          </w:p>
        </w:tc>
        <w:tc>
          <w:tcPr>
            <w:tcW w:w="2126" w:type="dxa"/>
            <w:tcBorders>
              <w:top w:val="nil"/>
              <w:left w:val="nil"/>
              <w:bottom w:val="single" w:sz="4" w:space="0" w:color="auto"/>
              <w:right w:val="single" w:sz="4" w:space="0" w:color="auto"/>
            </w:tcBorders>
          </w:tcPr>
          <w:p>
            <w:pPr>
              <w:widowControl/>
              <w:jc w:val="left"/>
              <w:rPr>
                <w:rFonts w:ascii="宋体" w:cs="宋体"/>
                <w:color w:val="000000"/>
                <w:kern w:val="0"/>
                <w:sz w:val="20"/>
                <w:szCs w:val="20"/>
              </w:rPr>
            </w:pPr>
            <w:r>
              <w:rPr>
                <w:rFonts w:ascii="宋体" w:cs="宋体" w:hint="eastAsia"/>
                <w:color w:val="000000"/>
                <w:kern w:val="0"/>
                <w:sz w:val="20"/>
                <w:szCs w:val="20"/>
              </w:rPr>
              <w:t>2</w:t>
            </w:r>
          </w:p>
        </w:tc>
      </w:tr>
      <w:tr>
        <w:trPr>
          <w:trHeight w:val="353"/>
        </w:trPr>
        <w:tc>
          <w:tcPr>
            <w:tcW w:w="1702" w:type="dxa"/>
            <w:vMerge/>
            <w:tcBorders>
              <w:left w:val="single" w:sz="4" w:space="0" w:color="auto"/>
              <w:right w:val="single" w:sz="4" w:space="0" w:color="auto"/>
            </w:tcBorders>
            <w:vAlign w:val="center"/>
          </w:tcPr>
          <w:p/>
        </w:tc>
        <w:tc>
          <w:tcPr>
            <w:tcW w:w="2268" w:type="dxa"/>
            <w:vMerge/>
            <w:tcBorders>
              <w:top w:val="nil"/>
              <w:left w:val="single" w:sz="4" w:space="0" w:color="auto"/>
              <w:bottom w:val="single" w:sz="4" w:space="0" w:color="auto"/>
              <w:right w:val="single" w:sz="4" w:space="0" w:color="auto"/>
            </w:tcBorders>
            <w:vAlign w:val="center"/>
          </w:tcPr>
          <w:p/>
        </w:tc>
        <w:tc>
          <w:tcPr>
            <w:tcW w:w="3402" w:type="dxa"/>
            <w:tcBorders>
              <w:top w:val="nil"/>
              <w:left w:val="nil"/>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资产管理与预算管理相结合（2分）</w:t>
            </w:r>
          </w:p>
        </w:tc>
        <w:tc>
          <w:tcPr>
            <w:tcW w:w="2126" w:type="dxa"/>
            <w:tcBorders>
              <w:top w:val="nil"/>
              <w:left w:val="nil"/>
              <w:bottom w:val="single" w:sz="4" w:space="0" w:color="auto"/>
              <w:right w:val="single" w:sz="4" w:space="0" w:color="auto"/>
            </w:tcBorders>
          </w:tcPr>
          <w:p>
            <w:pPr>
              <w:widowControl/>
              <w:jc w:val="left"/>
              <w:rPr>
                <w:rFonts w:ascii="宋体" w:cs="宋体"/>
                <w:color w:val="000000"/>
                <w:kern w:val="0"/>
                <w:sz w:val="20"/>
                <w:szCs w:val="20"/>
              </w:rPr>
            </w:pPr>
            <w:r>
              <w:rPr>
                <w:rFonts w:ascii="宋体" w:cs="宋体" w:hint="eastAsia"/>
                <w:color w:val="000000"/>
                <w:kern w:val="0"/>
                <w:sz w:val="20"/>
                <w:szCs w:val="20"/>
              </w:rPr>
              <w:t>2</w:t>
            </w:r>
          </w:p>
        </w:tc>
      </w:tr>
      <w:tr>
        <w:trPr>
          <w:trHeight w:val="272"/>
        </w:trPr>
        <w:tc>
          <w:tcPr>
            <w:tcW w:w="1702" w:type="dxa"/>
            <w:vMerge/>
            <w:tcBorders>
              <w:left w:val="single" w:sz="4" w:space="0" w:color="auto"/>
              <w:right w:val="single" w:sz="4" w:space="0" w:color="auto"/>
            </w:tcBorders>
            <w:vAlign w:val="center"/>
          </w:tcPr>
          <w:p/>
        </w:tc>
        <w:tc>
          <w:tcPr>
            <w:tcW w:w="2268" w:type="dxa"/>
            <w:tcBorders>
              <w:top w:val="nil"/>
              <w:left w:val="nil"/>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内控制度管理（2分）</w:t>
            </w:r>
          </w:p>
        </w:tc>
        <w:tc>
          <w:tcPr>
            <w:tcW w:w="3402" w:type="dxa"/>
            <w:tcBorders>
              <w:top w:val="nil"/>
              <w:left w:val="nil"/>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内部控制度健全完整（2分）</w:t>
            </w:r>
          </w:p>
        </w:tc>
        <w:tc>
          <w:tcPr>
            <w:tcW w:w="2126" w:type="dxa"/>
            <w:tcBorders>
              <w:top w:val="nil"/>
              <w:left w:val="nil"/>
              <w:bottom w:val="single" w:sz="4" w:space="0" w:color="auto"/>
              <w:right w:val="single" w:sz="4" w:space="0" w:color="auto"/>
            </w:tcBorders>
          </w:tcPr>
          <w:p>
            <w:pPr>
              <w:widowControl/>
              <w:jc w:val="left"/>
              <w:rPr>
                <w:rFonts w:ascii="宋体" w:cs="宋体"/>
                <w:color w:val="000000"/>
                <w:kern w:val="0"/>
                <w:sz w:val="20"/>
                <w:szCs w:val="20"/>
              </w:rPr>
            </w:pPr>
            <w:r>
              <w:rPr>
                <w:rFonts w:ascii="宋体" w:cs="宋体" w:hint="eastAsia"/>
                <w:color w:val="000000"/>
                <w:kern w:val="0"/>
                <w:sz w:val="20"/>
                <w:szCs w:val="20"/>
              </w:rPr>
              <w:t>2</w:t>
            </w:r>
          </w:p>
        </w:tc>
      </w:tr>
      <w:tr>
        <w:trPr>
          <w:trHeight w:val="221"/>
        </w:trPr>
        <w:tc>
          <w:tcPr>
            <w:tcW w:w="1702" w:type="dxa"/>
            <w:vMerge/>
            <w:tcBorders>
              <w:left w:val="single" w:sz="4" w:space="0" w:color="auto"/>
              <w:right w:val="single" w:sz="4" w:space="0" w:color="auto"/>
            </w:tcBorders>
            <w:vAlign w:val="center"/>
          </w:tcPr>
          <w:p/>
        </w:tc>
        <w:tc>
          <w:tcPr>
            <w:tcW w:w="2268" w:type="dxa"/>
            <w:vMerge w:val="restart"/>
            <w:tcBorders>
              <w:top w:val="nil"/>
              <w:left w:val="single" w:sz="4" w:space="0" w:color="auto"/>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信息公开（6分）</w:t>
            </w:r>
          </w:p>
        </w:tc>
        <w:tc>
          <w:tcPr>
            <w:tcW w:w="3402" w:type="dxa"/>
            <w:tcBorders>
              <w:top w:val="nil"/>
              <w:left w:val="nil"/>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预算公开（2分）</w:t>
            </w:r>
          </w:p>
        </w:tc>
        <w:tc>
          <w:tcPr>
            <w:tcW w:w="2126" w:type="dxa"/>
            <w:tcBorders>
              <w:top w:val="nil"/>
              <w:left w:val="nil"/>
              <w:bottom w:val="single" w:sz="4" w:space="0" w:color="auto"/>
              <w:right w:val="single" w:sz="4" w:space="0" w:color="auto"/>
            </w:tcBorders>
          </w:tcPr>
          <w:p>
            <w:pPr>
              <w:widowControl/>
              <w:jc w:val="left"/>
              <w:rPr>
                <w:rFonts w:ascii="宋体" w:cs="宋体"/>
                <w:color w:val="000000"/>
                <w:kern w:val="0"/>
                <w:sz w:val="20"/>
                <w:szCs w:val="20"/>
              </w:rPr>
            </w:pPr>
            <w:r>
              <w:rPr>
                <w:rFonts w:ascii="宋体" w:cs="宋体" w:hint="eastAsia"/>
                <w:color w:val="000000"/>
                <w:kern w:val="0"/>
                <w:sz w:val="20"/>
                <w:szCs w:val="20"/>
              </w:rPr>
              <w:t>2</w:t>
            </w:r>
          </w:p>
        </w:tc>
      </w:tr>
      <w:tr>
        <w:trPr>
          <w:trHeight w:val="197"/>
        </w:trPr>
        <w:tc>
          <w:tcPr>
            <w:tcW w:w="1702" w:type="dxa"/>
            <w:vMerge/>
            <w:tcBorders>
              <w:left w:val="single" w:sz="4" w:space="0" w:color="auto"/>
              <w:right w:val="single" w:sz="4" w:space="0" w:color="auto"/>
            </w:tcBorders>
            <w:vAlign w:val="center"/>
          </w:tcPr>
          <w:p/>
        </w:tc>
        <w:tc>
          <w:tcPr>
            <w:tcW w:w="2268" w:type="dxa"/>
            <w:vMerge/>
            <w:tcBorders>
              <w:top w:val="nil"/>
              <w:left w:val="single" w:sz="4" w:space="0" w:color="auto"/>
              <w:bottom w:val="single" w:sz="4" w:space="0" w:color="auto"/>
              <w:right w:val="single" w:sz="4" w:space="0" w:color="auto"/>
            </w:tcBorders>
            <w:vAlign w:val="center"/>
          </w:tcPr>
          <w:p/>
        </w:tc>
        <w:tc>
          <w:tcPr>
            <w:tcW w:w="3402" w:type="dxa"/>
            <w:tcBorders>
              <w:top w:val="nil"/>
              <w:left w:val="nil"/>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决算公开（2分）</w:t>
            </w:r>
          </w:p>
        </w:tc>
        <w:tc>
          <w:tcPr>
            <w:tcW w:w="2126" w:type="dxa"/>
            <w:tcBorders>
              <w:top w:val="nil"/>
              <w:left w:val="nil"/>
              <w:bottom w:val="single" w:sz="4" w:space="0" w:color="auto"/>
              <w:right w:val="single" w:sz="4" w:space="0" w:color="auto"/>
            </w:tcBorders>
          </w:tcPr>
          <w:p>
            <w:pPr>
              <w:widowControl/>
              <w:jc w:val="left"/>
              <w:rPr>
                <w:rFonts w:ascii="宋体" w:cs="宋体"/>
                <w:color w:val="000000"/>
                <w:kern w:val="0"/>
                <w:sz w:val="20"/>
                <w:szCs w:val="20"/>
              </w:rPr>
            </w:pPr>
            <w:r>
              <w:rPr>
                <w:rFonts w:ascii="宋体" w:cs="宋体" w:hint="eastAsia"/>
                <w:color w:val="000000"/>
                <w:kern w:val="0"/>
                <w:sz w:val="20"/>
                <w:szCs w:val="20"/>
              </w:rPr>
              <w:t>2</w:t>
            </w:r>
          </w:p>
        </w:tc>
      </w:tr>
      <w:tr>
        <w:trPr>
          <w:trHeight w:val="287"/>
        </w:trPr>
        <w:tc>
          <w:tcPr>
            <w:tcW w:w="1702" w:type="dxa"/>
            <w:vMerge/>
            <w:tcBorders>
              <w:left w:val="single" w:sz="4" w:space="0" w:color="auto"/>
              <w:right w:val="single" w:sz="4" w:space="0" w:color="auto"/>
            </w:tcBorders>
            <w:vAlign w:val="center"/>
          </w:tcPr>
          <w:p/>
        </w:tc>
        <w:tc>
          <w:tcPr>
            <w:tcW w:w="2268" w:type="dxa"/>
            <w:vMerge/>
            <w:tcBorders>
              <w:top w:val="nil"/>
              <w:left w:val="single" w:sz="4" w:space="0" w:color="auto"/>
              <w:bottom w:val="single" w:sz="4" w:space="0" w:color="auto"/>
              <w:right w:val="single" w:sz="4" w:space="0" w:color="auto"/>
            </w:tcBorders>
            <w:vAlign w:val="center"/>
          </w:tcPr>
          <w:p/>
        </w:tc>
        <w:tc>
          <w:tcPr>
            <w:tcW w:w="3402" w:type="dxa"/>
            <w:tcBorders>
              <w:top w:val="nil"/>
              <w:left w:val="nil"/>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绩效信息公开（2分）</w:t>
            </w:r>
          </w:p>
        </w:tc>
        <w:tc>
          <w:tcPr>
            <w:tcW w:w="2126" w:type="dxa"/>
            <w:tcBorders>
              <w:top w:val="nil"/>
              <w:left w:val="nil"/>
              <w:bottom w:val="single" w:sz="4" w:space="0" w:color="auto"/>
              <w:right w:val="single" w:sz="4" w:space="0" w:color="auto"/>
            </w:tcBorders>
          </w:tcPr>
          <w:p>
            <w:pPr>
              <w:widowControl/>
              <w:jc w:val="left"/>
              <w:rPr>
                <w:rFonts w:ascii="宋体" w:cs="宋体"/>
                <w:color w:val="000000"/>
                <w:kern w:val="0"/>
                <w:sz w:val="20"/>
                <w:szCs w:val="20"/>
              </w:rPr>
            </w:pPr>
            <w:r>
              <w:rPr>
                <w:rFonts w:ascii="宋体" w:cs="宋体" w:hint="eastAsia"/>
                <w:color w:val="000000"/>
                <w:kern w:val="0"/>
                <w:sz w:val="20"/>
                <w:szCs w:val="20"/>
              </w:rPr>
              <w:t>2</w:t>
            </w:r>
          </w:p>
        </w:tc>
      </w:tr>
      <w:tr>
        <w:trPr>
          <w:trHeight w:val="405"/>
        </w:trPr>
        <w:tc>
          <w:tcPr>
            <w:tcW w:w="1702" w:type="dxa"/>
            <w:vMerge/>
            <w:tcBorders>
              <w:left w:val="single" w:sz="4" w:space="0" w:color="auto"/>
              <w:right w:val="single" w:sz="4" w:space="0" w:color="auto"/>
            </w:tcBorders>
            <w:vAlign w:val="center"/>
          </w:tcPr>
          <w:p/>
        </w:tc>
        <w:tc>
          <w:tcPr>
            <w:tcW w:w="2268" w:type="dxa"/>
            <w:vMerge w:val="restart"/>
            <w:tcBorders>
              <w:top w:val="nil"/>
              <w:left w:val="single" w:sz="4" w:space="0" w:color="auto"/>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绩效评价（5分）</w:t>
            </w:r>
          </w:p>
        </w:tc>
        <w:tc>
          <w:tcPr>
            <w:tcW w:w="3402" w:type="dxa"/>
            <w:tcBorders>
              <w:top w:val="nil"/>
              <w:left w:val="nil"/>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绩效评价开展（2分）</w:t>
            </w:r>
          </w:p>
        </w:tc>
        <w:tc>
          <w:tcPr>
            <w:tcW w:w="2126" w:type="dxa"/>
            <w:tcBorders>
              <w:top w:val="nil"/>
              <w:left w:val="nil"/>
              <w:bottom w:val="single" w:sz="4" w:space="0" w:color="auto"/>
              <w:right w:val="single" w:sz="4" w:space="0" w:color="auto"/>
            </w:tcBorders>
          </w:tcPr>
          <w:p>
            <w:pPr>
              <w:widowControl/>
              <w:jc w:val="left"/>
              <w:rPr>
                <w:rFonts w:ascii="宋体" w:cs="宋体"/>
                <w:color w:val="000000"/>
                <w:kern w:val="0"/>
                <w:sz w:val="20"/>
                <w:szCs w:val="20"/>
              </w:rPr>
            </w:pPr>
            <w:r>
              <w:rPr>
                <w:rFonts w:ascii="宋体" w:cs="宋体" w:hint="eastAsia"/>
                <w:color w:val="000000"/>
                <w:kern w:val="0"/>
                <w:sz w:val="20"/>
                <w:szCs w:val="20"/>
              </w:rPr>
              <w:t>2</w:t>
            </w:r>
          </w:p>
        </w:tc>
      </w:tr>
      <w:tr>
        <w:trPr>
          <w:trHeight w:val="127"/>
        </w:trPr>
        <w:tc>
          <w:tcPr>
            <w:tcW w:w="1702" w:type="dxa"/>
            <w:vMerge/>
            <w:tcBorders>
              <w:left w:val="single" w:sz="4" w:space="0" w:color="auto"/>
              <w:bottom w:val="single" w:sz="4" w:space="0" w:color="auto"/>
              <w:right w:val="single" w:sz="4" w:space="0" w:color="auto"/>
            </w:tcBorders>
            <w:vAlign w:val="center"/>
          </w:tcPr>
          <w:p/>
        </w:tc>
        <w:tc>
          <w:tcPr>
            <w:tcW w:w="2268" w:type="dxa"/>
            <w:vMerge/>
            <w:tcBorders>
              <w:top w:val="nil"/>
              <w:left w:val="single" w:sz="4" w:space="0" w:color="auto"/>
              <w:bottom w:val="single" w:sz="4" w:space="0" w:color="auto"/>
              <w:right w:val="single" w:sz="4" w:space="0" w:color="auto"/>
            </w:tcBorders>
            <w:vAlign w:val="center"/>
          </w:tcPr>
          <w:p/>
        </w:tc>
        <w:tc>
          <w:tcPr>
            <w:tcW w:w="3402" w:type="dxa"/>
            <w:tcBorders>
              <w:top w:val="nil"/>
              <w:left w:val="nil"/>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评价结果应用（3分）</w:t>
            </w:r>
          </w:p>
        </w:tc>
        <w:tc>
          <w:tcPr>
            <w:tcW w:w="2126" w:type="dxa"/>
            <w:tcBorders>
              <w:top w:val="nil"/>
              <w:left w:val="nil"/>
              <w:bottom w:val="single" w:sz="4" w:space="0" w:color="auto"/>
              <w:right w:val="single" w:sz="4" w:space="0" w:color="auto"/>
            </w:tcBorders>
          </w:tcPr>
          <w:p>
            <w:pPr>
              <w:widowControl/>
              <w:jc w:val="left"/>
              <w:rPr>
                <w:rFonts w:ascii="宋体" w:cs="宋体"/>
                <w:color w:val="000000"/>
                <w:kern w:val="0"/>
                <w:sz w:val="20"/>
                <w:szCs w:val="20"/>
              </w:rPr>
            </w:pPr>
            <w:r>
              <w:rPr>
                <w:rFonts w:ascii="宋体" w:cs="宋体" w:hint="eastAsia"/>
                <w:color w:val="000000"/>
                <w:kern w:val="0"/>
                <w:sz w:val="20"/>
                <w:szCs w:val="20"/>
              </w:rPr>
              <w:t>3</w:t>
            </w:r>
          </w:p>
        </w:tc>
      </w:tr>
      <w:tr>
        <w:trPr>
          <w:trHeight w:val="231"/>
        </w:trPr>
        <w:tc>
          <w:tcPr>
            <w:tcW w:w="1702" w:type="dxa"/>
            <w:vMerge w:val="restart"/>
            <w:tcBorders>
              <w:top w:val="nil"/>
              <w:left w:val="single" w:sz="4" w:space="0" w:color="auto"/>
              <w:right w:val="single" w:sz="4" w:space="0" w:color="auto"/>
            </w:tcBorders>
            <w:vAlign w:val="center"/>
          </w:tcPr>
          <w:p>
            <w:pPr>
              <w:widowControl/>
              <w:jc w:val="center"/>
              <w:rPr>
                <w:rFonts w:ascii="宋体" w:cs="宋体"/>
                <w:color w:val="000000"/>
                <w:kern w:val="0"/>
                <w:sz w:val="20"/>
                <w:szCs w:val="20"/>
              </w:rPr>
            </w:pPr>
            <w:r>
              <w:rPr>
                <w:rFonts w:ascii="宋体" w:cs="宋体" w:hint="eastAsia"/>
                <w:color w:val="000000"/>
                <w:kern w:val="0"/>
                <w:sz w:val="20"/>
                <w:szCs w:val="20"/>
              </w:rPr>
              <w:t>部门绩效情况（45分）</w:t>
            </w:r>
          </w:p>
        </w:tc>
        <w:tc>
          <w:tcPr>
            <w:tcW w:w="2268" w:type="dxa"/>
            <w:vMerge w:val="restart"/>
            <w:tcBorders>
              <w:top w:val="nil"/>
              <w:left w:val="single" w:sz="4" w:space="0" w:color="auto"/>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履职成效（20分）</w:t>
            </w:r>
          </w:p>
        </w:tc>
        <w:tc>
          <w:tcPr>
            <w:tcW w:w="3402" w:type="dxa"/>
            <w:tcBorders>
              <w:top w:val="nil"/>
              <w:left w:val="nil"/>
              <w:bottom w:val="single" w:sz="4" w:space="0" w:color="auto"/>
              <w:right w:val="single" w:sz="4" w:space="0" w:color="auto"/>
            </w:tcBorders>
            <w:vAlign w:val="center"/>
          </w:tcPr>
          <w:p>
            <w:pPr>
              <w:widowControl/>
              <w:jc w:val="center"/>
              <w:rPr>
                <w:rFonts w:ascii="宋体" w:cs="宋体"/>
                <w:color w:val="000000"/>
                <w:kern w:val="0"/>
                <w:sz w:val="20"/>
                <w:szCs w:val="20"/>
              </w:rPr>
            </w:pPr>
            <w:r>
              <w:rPr>
                <w:rFonts w:ascii="宋体" w:cs="宋体" w:hint="eastAsia"/>
                <w:color w:val="000000"/>
                <w:kern w:val="0"/>
                <w:sz w:val="20"/>
                <w:szCs w:val="20"/>
              </w:rPr>
              <w:t>部门特性指标</w:t>
            </w:r>
          </w:p>
        </w:tc>
        <w:tc>
          <w:tcPr>
            <w:tcW w:w="2126" w:type="dxa"/>
            <w:tcBorders>
              <w:top w:val="nil"/>
              <w:left w:val="nil"/>
              <w:bottom w:val="single" w:sz="4" w:space="0" w:color="auto"/>
              <w:right w:val="single" w:sz="4" w:space="0" w:color="auto"/>
            </w:tcBorders>
          </w:tcPr>
          <w:p>
            <w:pPr>
              <w:widowControl/>
              <w:rPr>
                <w:rFonts w:ascii="宋体" w:cs="宋体"/>
                <w:color w:val="000000"/>
                <w:kern w:val="0"/>
                <w:sz w:val="20"/>
                <w:szCs w:val="20"/>
              </w:rPr>
            </w:pPr>
            <w:r>
              <w:rPr>
                <w:rFonts w:ascii="宋体" w:cs="宋体" w:hint="eastAsia"/>
                <w:color w:val="000000"/>
                <w:kern w:val="0"/>
                <w:sz w:val="20"/>
                <w:szCs w:val="20"/>
              </w:rPr>
              <w:t>19</w:t>
            </w:r>
          </w:p>
        </w:tc>
      </w:tr>
      <w:tr>
        <w:trPr>
          <w:trHeight w:val="180"/>
        </w:trPr>
        <w:tc>
          <w:tcPr>
            <w:tcW w:w="1702" w:type="dxa"/>
            <w:vMerge/>
            <w:tcBorders>
              <w:left w:val="single" w:sz="4" w:space="0" w:color="auto"/>
              <w:right w:val="single" w:sz="4" w:space="0" w:color="auto"/>
            </w:tcBorders>
            <w:vAlign w:val="center"/>
          </w:tcPr>
          <w:p/>
        </w:tc>
        <w:tc>
          <w:tcPr>
            <w:tcW w:w="2268" w:type="dxa"/>
            <w:vMerge/>
            <w:tcBorders>
              <w:top w:val="nil"/>
              <w:left w:val="single" w:sz="4" w:space="0" w:color="auto"/>
              <w:bottom w:val="single" w:sz="4" w:space="0" w:color="auto"/>
              <w:right w:val="single" w:sz="4" w:space="0" w:color="auto"/>
            </w:tcBorders>
            <w:vAlign w:val="center"/>
          </w:tcPr>
          <w:p/>
        </w:tc>
        <w:tc>
          <w:tcPr>
            <w:tcW w:w="3402" w:type="dxa"/>
            <w:tcBorders>
              <w:top w:val="nil"/>
              <w:left w:val="nil"/>
              <w:bottom w:val="single" w:sz="4" w:space="0" w:color="auto"/>
              <w:right w:val="single" w:sz="4" w:space="0" w:color="auto"/>
            </w:tcBorders>
            <w:vAlign w:val="center"/>
          </w:tcPr>
          <w:p>
            <w:pPr>
              <w:widowControl/>
              <w:jc w:val="center"/>
              <w:rPr>
                <w:rFonts w:ascii="宋体" w:cs="宋体"/>
                <w:color w:val="000000"/>
                <w:kern w:val="0"/>
                <w:sz w:val="20"/>
                <w:szCs w:val="20"/>
              </w:rPr>
            </w:pPr>
          </w:p>
        </w:tc>
        <w:tc>
          <w:tcPr>
            <w:tcW w:w="2126" w:type="dxa"/>
            <w:tcBorders>
              <w:top w:val="nil"/>
              <w:left w:val="nil"/>
              <w:bottom w:val="single" w:sz="4" w:space="0" w:color="auto"/>
              <w:right w:val="single" w:sz="4" w:space="0" w:color="auto"/>
            </w:tcBorders>
          </w:tcPr>
          <w:p>
            <w:pPr>
              <w:widowControl/>
              <w:jc w:val="center"/>
              <w:rPr>
                <w:rFonts w:ascii="宋体" w:cs="宋体"/>
                <w:color w:val="000000"/>
                <w:kern w:val="0"/>
                <w:sz w:val="20"/>
                <w:szCs w:val="20"/>
              </w:rPr>
            </w:pPr>
          </w:p>
        </w:tc>
      </w:tr>
      <w:tr>
        <w:trPr>
          <w:trHeight w:val="240"/>
        </w:trPr>
        <w:tc>
          <w:tcPr>
            <w:tcW w:w="1702" w:type="dxa"/>
            <w:vMerge/>
            <w:tcBorders>
              <w:left w:val="single" w:sz="4" w:space="0" w:color="auto"/>
              <w:right w:val="single" w:sz="4" w:space="0" w:color="auto"/>
            </w:tcBorders>
            <w:vAlign w:val="center"/>
          </w:tcPr>
          <w:p/>
        </w:tc>
        <w:tc>
          <w:tcPr>
            <w:tcW w:w="2268" w:type="dxa"/>
            <w:vMerge/>
            <w:tcBorders>
              <w:top w:val="nil"/>
              <w:left w:val="single" w:sz="4" w:space="0" w:color="auto"/>
              <w:bottom w:val="single" w:sz="4" w:space="0" w:color="auto"/>
              <w:right w:val="single" w:sz="4" w:space="0" w:color="auto"/>
            </w:tcBorders>
            <w:vAlign w:val="center"/>
          </w:tcPr>
          <w:p/>
        </w:tc>
        <w:tc>
          <w:tcPr>
            <w:tcW w:w="3402" w:type="dxa"/>
            <w:tcBorders>
              <w:top w:val="nil"/>
              <w:left w:val="nil"/>
              <w:bottom w:val="single" w:sz="4" w:space="0" w:color="auto"/>
              <w:right w:val="single" w:sz="4" w:space="0" w:color="auto"/>
            </w:tcBorders>
            <w:vAlign w:val="center"/>
          </w:tcPr>
          <w:p>
            <w:pPr>
              <w:widowControl/>
              <w:jc w:val="center"/>
              <w:rPr>
                <w:rFonts w:ascii="宋体" w:cs="宋体"/>
                <w:color w:val="000000"/>
                <w:kern w:val="0"/>
                <w:sz w:val="20"/>
                <w:szCs w:val="20"/>
              </w:rPr>
            </w:pPr>
          </w:p>
        </w:tc>
        <w:tc>
          <w:tcPr>
            <w:tcW w:w="2126" w:type="dxa"/>
            <w:tcBorders>
              <w:top w:val="nil"/>
              <w:left w:val="nil"/>
              <w:bottom w:val="single" w:sz="4" w:space="0" w:color="auto"/>
              <w:right w:val="single" w:sz="4" w:space="0" w:color="auto"/>
            </w:tcBorders>
          </w:tcPr>
          <w:p>
            <w:pPr>
              <w:widowControl/>
              <w:jc w:val="center"/>
              <w:rPr>
                <w:rFonts w:ascii="宋体" w:cs="宋体"/>
                <w:color w:val="000000"/>
                <w:kern w:val="0"/>
                <w:sz w:val="20"/>
                <w:szCs w:val="20"/>
              </w:rPr>
            </w:pPr>
          </w:p>
        </w:tc>
      </w:tr>
      <w:tr>
        <w:trPr>
          <w:trHeight w:val="240"/>
        </w:trPr>
        <w:tc>
          <w:tcPr>
            <w:tcW w:w="1702" w:type="dxa"/>
            <w:vMerge/>
            <w:tcBorders>
              <w:left w:val="single" w:sz="4" w:space="0" w:color="auto"/>
              <w:right w:val="single" w:sz="4" w:space="0" w:color="auto"/>
            </w:tcBorders>
            <w:vAlign w:val="center"/>
          </w:tcPr>
          <w:p/>
        </w:tc>
        <w:tc>
          <w:tcPr>
            <w:tcW w:w="2268" w:type="dxa"/>
            <w:vMerge/>
            <w:tcBorders>
              <w:top w:val="nil"/>
              <w:left w:val="single" w:sz="4" w:space="0" w:color="auto"/>
              <w:bottom w:val="single" w:sz="4" w:space="0" w:color="auto"/>
              <w:right w:val="single" w:sz="4" w:space="0" w:color="auto"/>
            </w:tcBorders>
            <w:vAlign w:val="center"/>
          </w:tcPr>
          <w:p/>
        </w:tc>
        <w:tc>
          <w:tcPr>
            <w:tcW w:w="3402" w:type="dxa"/>
            <w:tcBorders>
              <w:top w:val="nil"/>
              <w:left w:val="nil"/>
              <w:bottom w:val="single" w:sz="4" w:space="0" w:color="auto"/>
              <w:right w:val="single" w:sz="4" w:space="0" w:color="auto"/>
            </w:tcBorders>
            <w:vAlign w:val="center"/>
          </w:tcPr>
          <w:p>
            <w:pPr>
              <w:widowControl/>
              <w:jc w:val="center"/>
              <w:rPr>
                <w:rFonts w:ascii="宋体" w:cs="宋体"/>
                <w:color w:val="000000"/>
                <w:kern w:val="0"/>
                <w:sz w:val="20"/>
                <w:szCs w:val="20"/>
              </w:rPr>
            </w:pPr>
          </w:p>
        </w:tc>
        <w:tc>
          <w:tcPr>
            <w:tcW w:w="2126" w:type="dxa"/>
            <w:tcBorders>
              <w:top w:val="nil"/>
              <w:left w:val="nil"/>
              <w:bottom w:val="single" w:sz="4" w:space="0" w:color="auto"/>
              <w:right w:val="single" w:sz="4" w:space="0" w:color="auto"/>
            </w:tcBorders>
          </w:tcPr>
          <w:p>
            <w:pPr>
              <w:widowControl/>
              <w:jc w:val="center"/>
              <w:rPr>
                <w:rFonts w:ascii="宋体" w:cs="宋体"/>
                <w:color w:val="000000"/>
                <w:kern w:val="0"/>
                <w:sz w:val="20"/>
                <w:szCs w:val="20"/>
              </w:rPr>
            </w:pPr>
          </w:p>
        </w:tc>
      </w:tr>
      <w:tr>
        <w:trPr>
          <w:trHeight w:val="157"/>
        </w:trPr>
        <w:tc>
          <w:tcPr>
            <w:tcW w:w="1702" w:type="dxa"/>
            <w:vMerge/>
            <w:tcBorders>
              <w:left w:val="single" w:sz="4" w:space="0" w:color="auto"/>
              <w:right w:val="single" w:sz="4" w:space="0" w:color="auto"/>
            </w:tcBorders>
            <w:vAlign w:val="center"/>
          </w:tcPr>
          <w:p/>
        </w:tc>
        <w:tc>
          <w:tcPr>
            <w:tcW w:w="2268" w:type="dxa"/>
            <w:vMerge w:val="restart"/>
            <w:tcBorders>
              <w:top w:val="nil"/>
              <w:left w:val="single" w:sz="4" w:space="0" w:color="auto"/>
              <w:bottom w:val="single" w:sz="4" w:space="0" w:color="auto"/>
              <w:right w:val="single" w:sz="4" w:space="0" w:color="auto"/>
            </w:tcBorders>
            <w:vAlign w:val="center"/>
          </w:tcPr>
          <w:p>
            <w:pPr>
              <w:widowControl/>
              <w:jc w:val="left"/>
              <w:rPr>
                <w:rFonts w:ascii="宋体" w:cs="宋体"/>
                <w:color w:val="000000"/>
                <w:kern w:val="0"/>
                <w:sz w:val="20"/>
                <w:szCs w:val="20"/>
              </w:rPr>
            </w:pPr>
            <w:r>
              <w:rPr>
                <w:rFonts w:ascii="宋体" w:cs="宋体" w:hint="eastAsia"/>
                <w:color w:val="000000"/>
                <w:kern w:val="0"/>
                <w:sz w:val="20"/>
                <w:szCs w:val="20"/>
              </w:rPr>
              <w:t>可持续发展能力（15分）</w:t>
            </w:r>
          </w:p>
        </w:tc>
        <w:tc>
          <w:tcPr>
            <w:tcW w:w="3402" w:type="dxa"/>
            <w:tcBorders>
              <w:top w:val="nil"/>
              <w:left w:val="nil"/>
              <w:bottom w:val="single" w:sz="4" w:space="0" w:color="auto"/>
              <w:right w:val="single" w:sz="4" w:space="0" w:color="auto"/>
            </w:tcBorders>
            <w:vAlign w:val="center"/>
          </w:tcPr>
          <w:p>
            <w:pPr>
              <w:widowControl/>
              <w:jc w:val="center"/>
              <w:rPr>
                <w:rFonts w:ascii="宋体" w:cs="宋体"/>
                <w:color w:val="000000"/>
                <w:kern w:val="0"/>
                <w:sz w:val="20"/>
                <w:szCs w:val="20"/>
              </w:rPr>
            </w:pPr>
            <w:r>
              <w:rPr>
                <w:rFonts w:ascii="宋体" w:cs="宋体" w:hint="eastAsia"/>
                <w:color w:val="000000"/>
                <w:kern w:val="0"/>
                <w:sz w:val="20"/>
                <w:szCs w:val="20"/>
              </w:rPr>
              <w:t>重点改革（重点工作）完成情况（5分）</w:t>
            </w:r>
          </w:p>
        </w:tc>
        <w:tc>
          <w:tcPr>
            <w:tcW w:w="2126" w:type="dxa"/>
            <w:tcBorders>
              <w:top w:val="nil"/>
              <w:left w:val="nil"/>
              <w:bottom w:val="single" w:sz="4" w:space="0" w:color="auto"/>
              <w:right w:val="single" w:sz="4" w:space="0" w:color="auto"/>
            </w:tcBorders>
          </w:tcPr>
          <w:p>
            <w:pPr>
              <w:widowControl/>
              <w:jc w:val="center"/>
              <w:rPr>
                <w:rFonts w:ascii="宋体" w:cs="宋体"/>
                <w:color w:val="000000"/>
                <w:kern w:val="0"/>
                <w:sz w:val="20"/>
                <w:szCs w:val="20"/>
              </w:rPr>
            </w:pPr>
            <w:r>
              <w:rPr>
                <w:rFonts w:ascii="宋体" w:cs="宋体" w:hint="eastAsia"/>
                <w:color w:val="000000"/>
                <w:kern w:val="0"/>
                <w:sz w:val="20"/>
                <w:szCs w:val="20"/>
              </w:rPr>
              <w:t>5</w:t>
            </w:r>
          </w:p>
        </w:tc>
      </w:tr>
      <w:tr>
        <w:trPr>
          <w:trHeight w:val="320"/>
        </w:trPr>
        <w:tc>
          <w:tcPr>
            <w:tcW w:w="1702" w:type="dxa"/>
            <w:vMerge/>
            <w:tcBorders>
              <w:left w:val="single" w:sz="4" w:space="0" w:color="auto"/>
              <w:right w:val="single" w:sz="4" w:space="0" w:color="auto"/>
            </w:tcBorders>
            <w:vAlign w:val="center"/>
          </w:tcPr>
          <w:p/>
        </w:tc>
        <w:tc>
          <w:tcPr>
            <w:tcW w:w="2268" w:type="dxa"/>
            <w:vMerge/>
            <w:tcBorders>
              <w:top w:val="nil"/>
              <w:left w:val="single" w:sz="4" w:space="0" w:color="auto"/>
              <w:bottom w:val="single" w:sz="4" w:space="0" w:color="auto"/>
              <w:right w:val="single" w:sz="4" w:space="0" w:color="auto"/>
            </w:tcBorders>
            <w:vAlign w:val="center"/>
          </w:tcPr>
          <w:p/>
        </w:tc>
        <w:tc>
          <w:tcPr>
            <w:tcW w:w="3402" w:type="dxa"/>
            <w:tcBorders>
              <w:top w:val="nil"/>
              <w:left w:val="nil"/>
              <w:bottom w:val="single" w:sz="4" w:space="0" w:color="auto"/>
              <w:right w:val="single" w:sz="4" w:space="0" w:color="auto"/>
            </w:tcBorders>
            <w:vAlign w:val="center"/>
          </w:tcPr>
          <w:p>
            <w:pPr>
              <w:widowControl/>
              <w:jc w:val="center"/>
              <w:rPr>
                <w:rFonts w:ascii="宋体" w:cs="宋体"/>
                <w:color w:val="000000"/>
                <w:kern w:val="0"/>
                <w:sz w:val="20"/>
                <w:szCs w:val="20"/>
              </w:rPr>
            </w:pPr>
            <w:r>
              <w:rPr>
                <w:rFonts w:ascii="宋体" w:cs="宋体" w:hint="eastAsia"/>
                <w:color w:val="000000"/>
                <w:kern w:val="0"/>
                <w:sz w:val="20"/>
                <w:szCs w:val="20"/>
              </w:rPr>
              <w:t>科技（制度、方法、机制等）创新（5分）</w:t>
            </w:r>
          </w:p>
        </w:tc>
        <w:tc>
          <w:tcPr>
            <w:tcW w:w="2126" w:type="dxa"/>
            <w:tcBorders>
              <w:top w:val="nil"/>
              <w:left w:val="nil"/>
              <w:bottom w:val="single" w:sz="4" w:space="0" w:color="auto"/>
              <w:right w:val="single" w:sz="4" w:space="0" w:color="auto"/>
            </w:tcBorders>
          </w:tcPr>
          <w:p>
            <w:pPr>
              <w:widowControl/>
              <w:jc w:val="center"/>
              <w:rPr>
                <w:rFonts w:ascii="宋体" w:cs="宋体"/>
                <w:color w:val="000000"/>
                <w:kern w:val="0"/>
                <w:sz w:val="20"/>
                <w:szCs w:val="20"/>
              </w:rPr>
            </w:pPr>
            <w:r>
              <w:rPr>
                <w:rFonts w:ascii="宋体" w:cs="宋体" w:hint="eastAsia"/>
                <w:color w:val="000000"/>
                <w:kern w:val="0"/>
                <w:sz w:val="20"/>
                <w:szCs w:val="20"/>
              </w:rPr>
              <w:t>4</w:t>
            </w:r>
          </w:p>
        </w:tc>
      </w:tr>
      <w:tr>
        <w:trPr>
          <w:trHeight w:val="385"/>
        </w:trPr>
        <w:tc>
          <w:tcPr>
            <w:tcW w:w="1702" w:type="dxa"/>
            <w:vMerge/>
            <w:tcBorders>
              <w:left w:val="single" w:sz="4" w:space="0" w:color="auto"/>
              <w:right w:val="single" w:sz="4" w:space="0" w:color="auto"/>
            </w:tcBorders>
            <w:vAlign w:val="center"/>
          </w:tcPr>
          <w:p/>
        </w:tc>
        <w:tc>
          <w:tcPr>
            <w:tcW w:w="2268" w:type="dxa"/>
            <w:vMerge/>
            <w:tcBorders>
              <w:top w:val="nil"/>
              <w:left w:val="single" w:sz="4" w:space="0" w:color="auto"/>
              <w:bottom w:val="single" w:sz="4" w:space="0" w:color="auto"/>
              <w:right w:val="single" w:sz="4" w:space="0" w:color="auto"/>
            </w:tcBorders>
            <w:vAlign w:val="center"/>
          </w:tcPr>
          <w:p/>
        </w:tc>
        <w:tc>
          <w:tcPr>
            <w:tcW w:w="3402" w:type="dxa"/>
            <w:tcBorders>
              <w:top w:val="nil"/>
              <w:left w:val="nil"/>
              <w:bottom w:val="single" w:sz="4" w:space="0" w:color="auto"/>
              <w:right w:val="single" w:sz="4" w:space="0" w:color="auto"/>
            </w:tcBorders>
            <w:vAlign w:val="center"/>
          </w:tcPr>
          <w:p>
            <w:pPr>
              <w:widowControl/>
              <w:jc w:val="center"/>
              <w:rPr>
                <w:rFonts w:ascii="宋体" w:cs="宋体"/>
                <w:color w:val="000000"/>
                <w:kern w:val="0"/>
                <w:sz w:val="20"/>
                <w:szCs w:val="20"/>
              </w:rPr>
            </w:pPr>
            <w:r>
              <w:rPr>
                <w:rFonts w:ascii="宋体" w:cs="宋体" w:hint="eastAsia"/>
                <w:color w:val="000000"/>
                <w:kern w:val="0"/>
                <w:sz w:val="20"/>
                <w:szCs w:val="20"/>
              </w:rPr>
              <w:t>人才培养（5分）</w:t>
            </w:r>
          </w:p>
        </w:tc>
        <w:tc>
          <w:tcPr>
            <w:tcW w:w="2126" w:type="dxa"/>
            <w:tcBorders>
              <w:top w:val="nil"/>
              <w:left w:val="nil"/>
              <w:bottom w:val="single" w:sz="4" w:space="0" w:color="auto"/>
              <w:right w:val="single" w:sz="4" w:space="0" w:color="auto"/>
            </w:tcBorders>
          </w:tcPr>
          <w:p>
            <w:pPr>
              <w:widowControl/>
              <w:jc w:val="center"/>
              <w:rPr>
                <w:rFonts w:ascii="宋体" w:cs="宋体"/>
                <w:color w:val="000000"/>
                <w:kern w:val="0"/>
                <w:sz w:val="20"/>
                <w:szCs w:val="20"/>
              </w:rPr>
            </w:pPr>
            <w:r>
              <w:rPr>
                <w:rFonts w:ascii="宋体" w:cs="宋体" w:hint="eastAsia"/>
                <w:color w:val="000000"/>
                <w:kern w:val="0"/>
                <w:sz w:val="20"/>
                <w:szCs w:val="20"/>
              </w:rPr>
              <w:t>4</w:t>
            </w:r>
          </w:p>
        </w:tc>
      </w:tr>
      <w:tr>
        <w:trPr>
          <w:trHeight w:val="432"/>
        </w:trPr>
        <w:tc>
          <w:tcPr>
            <w:tcW w:w="1702" w:type="dxa"/>
            <w:vMerge/>
            <w:tcBorders>
              <w:left w:val="single" w:sz="4" w:space="0" w:color="auto"/>
              <w:right w:val="single" w:sz="4" w:space="0" w:color="auto"/>
            </w:tcBorders>
            <w:vAlign w:val="center"/>
          </w:tcPr>
          <w:p/>
        </w:tc>
        <w:tc>
          <w:tcPr>
            <w:tcW w:w="2268" w:type="dxa"/>
            <w:vMerge w:val="restart"/>
            <w:tcBorders>
              <w:top w:val="nil"/>
              <w:left w:val="single" w:sz="4" w:space="0" w:color="auto"/>
              <w:right w:val="single" w:sz="4" w:space="0" w:color="auto"/>
            </w:tcBorders>
            <w:vAlign w:val="center"/>
          </w:tcPr>
          <w:p>
            <w:pPr>
              <w:widowControl/>
              <w:jc w:val="center"/>
              <w:rPr>
                <w:rFonts w:ascii="宋体" w:cs="宋体"/>
                <w:color w:val="000000"/>
                <w:kern w:val="0"/>
                <w:sz w:val="20"/>
                <w:szCs w:val="20"/>
              </w:rPr>
            </w:pPr>
            <w:r>
              <w:rPr>
                <w:rFonts w:ascii="宋体" w:cs="宋体" w:hint="eastAsia"/>
                <w:color w:val="000000"/>
                <w:kern w:val="0"/>
                <w:sz w:val="20"/>
                <w:szCs w:val="20"/>
              </w:rPr>
              <w:t>满意度（10分）</w:t>
            </w:r>
          </w:p>
        </w:tc>
        <w:tc>
          <w:tcPr>
            <w:tcW w:w="3402" w:type="dxa"/>
            <w:tcBorders>
              <w:top w:val="nil"/>
              <w:left w:val="nil"/>
              <w:bottom w:val="single" w:sz="4" w:space="0" w:color="auto"/>
              <w:right w:val="single" w:sz="4" w:space="0" w:color="auto"/>
            </w:tcBorders>
            <w:vAlign w:val="center"/>
          </w:tcPr>
          <w:p>
            <w:pPr>
              <w:widowControl/>
              <w:jc w:val="center"/>
              <w:rPr>
                <w:rFonts w:ascii="宋体" w:cs="宋体"/>
                <w:color w:val="000000"/>
                <w:kern w:val="0"/>
                <w:sz w:val="20"/>
                <w:szCs w:val="20"/>
              </w:rPr>
            </w:pPr>
            <w:r>
              <w:rPr>
                <w:rFonts w:ascii="宋体" w:cs="宋体" w:hint="eastAsia"/>
                <w:color w:val="000000"/>
                <w:kern w:val="0"/>
                <w:sz w:val="20"/>
                <w:szCs w:val="20"/>
              </w:rPr>
              <w:t>协作部门满意度（3分）</w:t>
            </w:r>
          </w:p>
        </w:tc>
        <w:tc>
          <w:tcPr>
            <w:tcW w:w="2126" w:type="dxa"/>
            <w:tcBorders>
              <w:top w:val="nil"/>
              <w:left w:val="nil"/>
              <w:bottom w:val="single" w:sz="4" w:space="0" w:color="auto"/>
              <w:right w:val="single" w:sz="4" w:space="0" w:color="auto"/>
            </w:tcBorders>
          </w:tcPr>
          <w:p>
            <w:pPr>
              <w:widowControl/>
              <w:jc w:val="center"/>
              <w:rPr>
                <w:rFonts w:ascii="宋体" w:cs="宋体"/>
                <w:color w:val="000000"/>
                <w:kern w:val="0"/>
                <w:sz w:val="20"/>
                <w:szCs w:val="20"/>
              </w:rPr>
            </w:pPr>
            <w:r>
              <w:rPr>
                <w:rFonts w:ascii="宋体" w:cs="宋体" w:hint="eastAsia"/>
                <w:color w:val="000000"/>
                <w:kern w:val="0"/>
                <w:sz w:val="20"/>
                <w:szCs w:val="20"/>
              </w:rPr>
              <w:t>3</w:t>
            </w:r>
          </w:p>
        </w:tc>
      </w:tr>
      <w:tr>
        <w:trPr>
          <w:trHeight w:val="396"/>
        </w:trPr>
        <w:tc>
          <w:tcPr>
            <w:tcW w:w="1702" w:type="dxa"/>
            <w:vMerge/>
            <w:tcBorders>
              <w:left w:val="single" w:sz="4" w:space="0" w:color="auto"/>
              <w:right w:val="single" w:sz="4" w:space="0" w:color="auto"/>
            </w:tcBorders>
            <w:vAlign w:val="center"/>
          </w:tcPr>
          <w:p/>
        </w:tc>
        <w:tc>
          <w:tcPr>
            <w:tcW w:w="2268" w:type="dxa"/>
            <w:vMerge/>
            <w:tcBorders>
              <w:left w:val="single" w:sz="4" w:space="0" w:color="auto"/>
              <w:right w:val="single" w:sz="4" w:space="0" w:color="auto"/>
            </w:tcBorders>
            <w:vAlign w:val="center"/>
          </w:tcPr>
          <w:p/>
        </w:tc>
        <w:tc>
          <w:tcPr>
            <w:tcW w:w="3402" w:type="dxa"/>
            <w:tcBorders>
              <w:top w:val="nil"/>
              <w:left w:val="nil"/>
              <w:bottom w:val="single" w:sz="4" w:space="0" w:color="auto"/>
              <w:right w:val="single" w:sz="4" w:space="0" w:color="auto"/>
            </w:tcBorders>
            <w:vAlign w:val="center"/>
          </w:tcPr>
          <w:p>
            <w:pPr>
              <w:widowControl/>
              <w:jc w:val="center"/>
              <w:rPr>
                <w:rFonts w:ascii="宋体" w:cs="宋体"/>
                <w:color w:val="000000"/>
                <w:kern w:val="0"/>
                <w:sz w:val="20"/>
                <w:szCs w:val="20"/>
              </w:rPr>
            </w:pPr>
            <w:r>
              <w:rPr>
                <w:rFonts w:ascii="宋体" w:cs="宋体" w:hint="eastAsia"/>
                <w:color w:val="000000"/>
                <w:kern w:val="0"/>
                <w:sz w:val="20"/>
                <w:szCs w:val="20"/>
              </w:rPr>
              <w:t>管理对象满意度（3分）</w:t>
            </w:r>
          </w:p>
        </w:tc>
        <w:tc>
          <w:tcPr>
            <w:tcW w:w="2126" w:type="dxa"/>
            <w:tcBorders>
              <w:top w:val="nil"/>
              <w:left w:val="nil"/>
              <w:bottom w:val="single" w:sz="4" w:space="0" w:color="auto"/>
              <w:right w:val="single" w:sz="4" w:space="0" w:color="auto"/>
            </w:tcBorders>
          </w:tcPr>
          <w:p>
            <w:pPr>
              <w:widowControl/>
              <w:jc w:val="center"/>
              <w:rPr>
                <w:rFonts w:ascii="宋体" w:cs="宋体"/>
                <w:color w:val="000000"/>
                <w:kern w:val="0"/>
                <w:sz w:val="20"/>
                <w:szCs w:val="20"/>
              </w:rPr>
            </w:pPr>
            <w:r>
              <w:rPr>
                <w:rFonts w:ascii="宋体" w:cs="宋体" w:hint="eastAsia"/>
                <w:color w:val="000000"/>
                <w:kern w:val="0"/>
                <w:sz w:val="20"/>
                <w:szCs w:val="20"/>
              </w:rPr>
              <w:t>3</w:t>
            </w:r>
          </w:p>
        </w:tc>
      </w:tr>
      <w:tr>
        <w:trPr>
          <w:trHeight w:val="411"/>
        </w:trPr>
        <w:tc>
          <w:tcPr>
            <w:tcW w:w="1702" w:type="dxa"/>
            <w:vMerge/>
            <w:tcBorders>
              <w:left w:val="single" w:sz="4" w:space="0" w:color="auto"/>
              <w:bottom w:val="single" w:sz="4" w:space="0" w:color="auto"/>
              <w:right w:val="single" w:sz="4" w:space="0" w:color="auto"/>
            </w:tcBorders>
            <w:vAlign w:val="center"/>
          </w:tcPr>
          <w:p/>
        </w:tc>
        <w:tc>
          <w:tcPr>
            <w:tcW w:w="2268" w:type="dxa"/>
            <w:vMerge/>
            <w:tcBorders>
              <w:left w:val="single" w:sz="4" w:space="0" w:color="auto"/>
              <w:bottom w:val="single" w:sz="4" w:space="0" w:color="auto"/>
              <w:right w:val="single" w:sz="4" w:space="0" w:color="auto"/>
            </w:tcBorders>
            <w:vAlign w:val="center"/>
          </w:tcPr>
          <w:p/>
        </w:tc>
        <w:tc>
          <w:tcPr>
            <w:tcW w:w="3402" w:type="dxa"/>
            <w:tcBorders>
              <w:top w:val="nil"/>
              <w:left w:val="nil"/>
              <w:bottom w:val="single" w:sz="4" w:space="0" w:color="auto"/>
              <w:right w:val="single" w:sz="4" w:space="0" w:color="auto"/>
            </w:tcBorders>
            <w:vAlign w:val="center"/>
          </w:tcPr>
          <w:p>
            <w:pPr>
              <w:widowControl/>
              <w:jc w:val="center"/>
              <w:rPr>
                <w:rFonts w:ascii="宋体" w:cs="宋体"/>
                <w:color w:val="000000"/>
                <w:kern w:val="0"/>
                <w:sz w:val="20"/>
                <w:szCs w:val="20"/>
              </w:rPr>
            </w:pPr>
            <w:r>
              <w:rPr>
                <w:rFonts w:ascii="宋体" w:cs="宋体" w:hint="eastAsia"/>
                <w:color w:val="000000"/>
                <w:kern w:val="0"/>
                <w:sz w:val="20"/>
                <w:szCs w:val="20"/>
              </w:rPr>
              <w:t>社会公众满意度（4分）</w:t>
            </w:r>
          </w:p>
        </w:tc>
        <w:tc>
          <w:tcPr>
            <w:tcW w:w="2126" w:type="dxa"/>
            <w:tcBorders>
              <w:top w:val="nil"/>
              <w:left w:val="nil"/>
              <w:bottom w:val="single" w:sz="4" w:space="0" w:color="auto"/>
              <w:right w:val="single" w:sz="4" w:space="0" w:color="auto"/>
            </w:tcBorders>
          </w:tcPr>
          <w:p>
            <w:pPr>
              <w:widowControl/>
              <w:jc w:val="center"/>
              <w:rPr>
                <w:rFonts w:ascii="宋体" w:cs="宋体"/>
                <w:color w:val="000000"/>
                <w:kern w:val="0"/>
                <w:sz w:val="20"/>
                <w:szCs w:val="20"/>
              </w:rPr>
            </w:pPr>
            <w:r>
              <w:rPr>
                <w:rFonts w:ascii="宋体" w:cs="宋体" w:hint="eastAsia"/>
                <w:color w:val="000000"/>
                <w:kern w:val="0"/>
                <w:sz w:val="20"/>
                <w:szCs w:val="20"/>
              </w:rPr>
              <w:t>4</w:t>
            </w:r>
          </w:p>
        </w:tc>
      </w:tr>
    </w:tbl>
    <w:p>
      <w:pPr>
        <w:numPr>
          <w:ilvl w:val="0"/>
          <w:numId w:val="6"/>
        </w:numPr>
        <w:spacing w:line="600" w:lineRule="exact"/>
        <w:ind w:left="0" w:firstLineChars="150" w:firstLine="660"/>
        <w:jc w:val="center"/>
        <w:outlineLvl w:val="0"/>
        <w:rPr>
          <w:rStyle w:val="1Char"/>
          <w:rFonts w:ascii="黑体" w:eastAsia="黑体"/>
          <w:b w:val="0"/>
        </w:rPr>
      </w:pPr>
      <w:bookmarkStart w:id="52" w:name="_Toc15396613"/>
      <w:bookmarkStart w:id="53" w:name="_Toc15377225"/>
      <w:r>
        <w:rPr>
          <w:rFonts w:ascii="黑体" w:eastAsia="黑体" w:hint="eastAsia"/>
          <w:b/>
          <w:color w:val="000000"/>
          <w:sz w:val="44"/>
          <w:szCs w:val="44"/>
        </w:rPr>
        <w:t>名</w:t>
      </w:r>
      <w:r>
        <w:rPr>
          <w:rStyle w:val="1Char"/>
          <w:rFonts w:ascii="黑体" w:eastAsia="黑体" w:hint="eastAsia"/>
          <w:b w:val="0"/>
        </w:rPr>
        <w:t>词解释</w:t>
      </w:r>
      <w:bookmarkEnd w:id="52"/>
      <w:bookmarkEnd w:id="53"/>
    </w:p>
    <w:p>
      <w:pPr>
        <w:pStyle w:val="27"/>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7"/>
        <w:spacing w:line="560" w:lineRule="exact"/>
        <w:ind w:firstLineChars="200" w:firstLine="640"/>
        <w:rPr>
          <w:rFonts w:ascii="仿宋_GB2312" w:eastAsia="仿宋_GB2312"/>
          <w:sz w:val="32"/>
          <w:szCs w:val="32"/>
        </w:rPr>
      </w:pPr>
    </w:p>
    <w:p>
      <w:pPr>
        <w:pStyle w:val="27"/>
        <w:spacing w:line="560" w:lineRule="exact"/>
        <w:rPr>
          <w:rFonts w:ascii="仿宋_GB2312" w:eastAsia="仿宋_GB2312"/>
          <w:sz w:val="32"/>
          <w:szCs w:val="32"/>
        </w:rPr>
      </w:pPr>
    </w:p>
    <w:p>
      <w:pPr>
        <w:pStyle w:val="2"/>
        <w:rPr>
          <w:rFonts w:ascii="仿宋" w:eastAsia="仿宋"/>
          <w:b w:val="0"/>
          <w:bCs w:val="0"/>
          <w:kern w:val="44"/>
        </w:rPr>
      </w:pPr>
      <w:r>
        <w:rPr>
          <w:rStyle w:val="1Char"/>
          <w:rFonts w:ascii="仿宋" w:eastAsia="仿宋" w:hint="eastAsia"/>
          <w:b/>
          <w:bCs/>
          <w:sz w:val="32"/>
          <w:szCs w:val="32"/>
        </w:rPr>
        <w:t>附件1</w:t>
      </w:r>
    </w:p>
    <w:p>
      <w:pPr>
        <w:spacing w:line="600" w:lineRule="exact"/>
        <w:ind w:firstLineChars="650" w:firstLine="2860"/>
        <w:outlineLvl w:val="0"/>
        <w:rPr>
          <w:rFonts w:ascii="黑体" w:eastAsia="黑体"/>
          <w:bCs/>
          <w:kern w:val="44"/>
          <w:sz w:val="44"/>
          <w:szCs w:val="44"/>
        </w:rPr>
      </w:pPr>
      <w:r>
        <w:rPr>
          <w:rStyle w:val="1Char"/>
          <w:rFonts w:ascii="黑体" w:eastAsia="黑体" w:hint="eastAsia"/>
        </w:rPr>
        <w:t>第四部分 附件</w:t>
      </w:r>
    </w:p>
    <w:p>
      <w:pPr>
        <w:widowControl/>
        <w:spacing w:line="580" w:lineRule="exact"/>
        <w:contextualSpacing/>
        <w:jc w:val="center"/>
        <w:rPr>
          <w:rFonts w:ascii="宋体"/>
          <w:b/>
          <w:sz w:val="44"/>
          <w:szCs w:val="44"/>
          <w:shd w:val="clear" w:color="auto" w:fill="FFFFFF"/>
        </w:rPr>
      </w:pPr>
      <w:r>
        <w:rPr>
          <w:rFonts w:ascii="宋体" w:hint="eastAsia"/>
          <w:b/>
          <w:sz w:val="44"/>
          <w:szCs w:val="44"/>
          <w:shd w:val="clear" w:color="auto" w:fill="FFFFFF"/>
        </w:rPr>
        <w:t>2021年中共金川县委宣传部整体支出</w:t>
      </w:r>
    </w:p>
    <w:p>
      <w:pPr>
        <w:widowControl/>
        <w:spacing w:line="580" w:lineRule="exact"/>
        <w:contextualSpacing/>
        <w:jc w:val="center"/>
        <w:rPr>
          <w:rFonts w:ascii="宋体"/>
          <w:b/>
          <w:sz w:val="44"/>
          <w:szCs w:val="44"/>
          <w:shd w:val="clear" w:color="auto" w:fill="FFFFFF"/>
        </w:rPr>
      </w:pPr>
      <w:r>
        <w:rPr>
          <w:rFonts w:ascii="宋体" w:hint="eastAsia"/>
          <w:b/>
          <w:sz w:val="44"/>
          <w:szCs w:val="44"/>
          <w:shd w:val="clear" w:color="auto" w:fill="FFFFFF"/>
        </w:rPr>
        <w:t>绩效评价报告</w:t>
      </w:r>
    </w:p>
    <w:p>
      <w:pPr>
        <w:widowControl/>
        <w:adjustRightInd w:val="0"/>
        <w:snapToGrid w:val="0"/>
        <w:spacing w:line="580" w:lineRule="exact"/>
        <w:ind w:firstLineChars="200" w:firstLine="640"/>
        <w:contextualSpacing/>
        <w:jc w:val="left"/>
        <w:rPr>
          <w:rFonts w:ascii="仿宋_GB2312" w:eastAsia="仿宋_GB2312" w:cs="仿宋"/>
          <w:b/>
          <w:color w:val="000000"/>
          <w:kern w:val="0"/>
          <w:sz w:val="32"/>
          <w:szCs w:val="32"/>
        </w:rPr>
      </w:pPr>
      <w:r>
        <w:rPr>
          <w:rFonts w:ascii="仿宋_GB2312" w:eastAsia="仿宋_GB2312" w:cs="仿宋" w:hint="eastAsia"/>
          <w:b/>
          <w:color w:val="000000"/>
          <w:kern w:val="0"/>
          <w:sz w:val="32"/>
          <w:szCs w:val="32"/>
        </w:rPr>
        <w:t>一、部门（单位）概况</w:t>
      </w:r>
    </w:p>
    <w:p>
      <w:pPr>
        <w:widowControl/>
        <w:adjustRightInd w:val="0"/>
        <w:snapToGrid w:val="0"/>
        <w:spacing w:line="580" w:lineRule="exact"/>
        <w:ind w:firstLineChars="150" w:firstLine="480"/>
        <w:contextualSpacing/>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（一）机构组成：2021年独立编制单位机构数为 1个</w:t>
      </w:r>
    </w:p>
    <w:p>
      <w:pPr>
        <w:widowControl/>
        <w:adjustRightInd w:val="0"/>
        <w:snapToGrid w:val="0"/>
        <w:spacing w:line="480" w:lineRule="exact"/>
        <w:ind w:firstLineChars="150" w:firstLine="48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（二）机构职能：1、负责组织、指导全县理论研究、理论学习、理论宣传和社会科学规划的工作，做好党员教育工作。 2、负责规划、部署全县性的宣传思想工作，会同有关部门研究和改进基层宣传思想工作；负责指导、协调和组织全县社会宣传工作。3、负责引导社会舆论，指导、监督、管理和协调全县新闻宣传、出版工作，对县新闻媒体实施方针政策的指导；负责指导、监督和管理全县网络新闻宣传；联系中央、省、市各级新闻单位。 4、负责全县对外宣传工作的总体规划，组织协调、指导和管理全县的外宣工作。 5、负责从宏观上指导文化艺术工作、精神产品的生产和文化市场的管理，对县文体局、县新闻中心、县文联从政治方向和方针政策方面实施领导，对宣传口各部门有关工作进行协调指导。 6、负责全县群众性精神文明创建工作的规划和组织实施；协调、指导和监督全县文明城市、行业、村镇、社区、未成年人思想道德建设等各类群众性精神文明创建活动。7、完成县委交办的其它任务。</w:t>
      </w:r>
    </w:p>
    <w:p>
      <w:pPr>
        <w:ind w:firstLineChars="100" w:firstLine="320"/>
        <w:rPr>
          <w:rFonts w:ascii="仿宋_GB2312" w:eastAsia="仿宋_GB2312" w:cs="仿宋"/>
          <w:color w:val="000000"/>
          <w:kern w:val="0"/>
          <w:sz w:val="32"/>
          <w:szCs w:val="32"/>
        </w:rPr>
      </w:pPr>
      <w:r>
        <w:rPr>
          <w:rFonts w:ascii="仿宋_GB2312" w:eastAsia="仿宋_GB2312" w:cs="仿宋" w:hint="eastAsia"/>
          <w:color w:val="000000"/>
          <w:kern w:val="0"/>
          <w:sz w:val="32"/>
          <w:szCs w:val="32"/>
        </w:rPr>
        <w:t xml:space="preserve">（三）人员概况：财政供养人员编制为13名，其中行政编制6名，行政工勤编制1名，事业编制6名；2021年实际财政供养人员13人，其中：行政6人，行政工勤1人，事业6人。 </w:t>
      </w:r>
    </w:p>
    <w:p>
      <w:pPr>
        <w:widowControl/>
        <w:adjustRightInd w:val="0"/>
        <w:snapToGrid w:val="0"/>
        <w:spacing w:line="580" w:lineRule="exact"/>
        <w:ind w:firstLineChars="200" w:firstLine="640"/>
        <w:contextualSpacing/>
        <w:jc w:val="left"/>
        <w:rPr>
          <w:rFonts w:ascii="仿宋_GB2312" w:eastAsia="仿宋_GB2312" w:cs="仿宋"/>
          <w:b/>
          <w:color w:val="000000"/>
          <w:kern w:val="0"/>
          <w:sz w:val="32"/>
          <w:szCs w:val="32"/>
        </w:rPr>
      </w:pPr>
      <w:r>
        <w:rPr>
          <w:rFonts w:ascii="仿宋_GB2312" w:eastAsia="仿宋_GB2312" w:cs="仿宋" w:hint="eastAsia"/>
          <w:b/>
          <w:color w:val="000000"/>
          <w:kern w:val="0"/>
          <w:sz w:val="32"/>
          <w:szCs w:val="32"/>
        </w:rPr>
        <w:t>二、部门财政资金收支情况</w:t>
      </w:r>
    </w:p>
    <w:p>
      <w:pPr>
        <w:widowControl/>
        <w:adjustRightInd w:val="0"/>
        <w:snapToGrid w:val="0"/>
        <w:spacing w:line="480" w:lineRule="exact"/>
        <w:ind w:firstLineChars="250" w:firstLine="80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1、2021年总收入490.23万元，其中一般公共预算财政拨490.23万元。</w:t>
      </w:r>
    </w:p>
    <w:p>
      <w:pPr>
        <w:widowControl/>
        <w:adjustRightInd w:val="0"/>
        <w:snapToGrid w:val="0"/>
        <w:spacing w:line="480" w:lineRule="exact"/>
        <w:ind w:firstLineChars="250" w:firstLine="80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2、2021年总支出732.75万元。其中基本支出322.51万元，项目支出410.24万元。</w:t>
      </w:r>
    </w:p>
    <w:p>
      <w:pPr>
        <w:widowControl/>
        <w:adjustRightInd w:val="0"/>
        <w:snapToGrid w:val="0"/>
        <w:spacing w:line="580" w:lineRule="exact"/>
        <w:ind w:firstLineChars="200" w:firstLine="640"/>
        <w:contextualSpacing/>
        <w:jc w:val="left"/>
        <w:rPr>
          <w:rFonts w:ascii="仿宋_GB2312" w:eastAsia="仿宋_GB2312" w:cs="仿宋"/>
          <w:b/>
          <w:color w:val="000000"/>
          <w:kern w:val="0"/>
          <w:sz w:val="32"/>
          <w:szCs w:val="32"/>
        </w:rPr>
      </w:pPr>
      <w:r>
        <w:rPr>
          <w:rFonts w:ascii="仿宋_GB2312" w:eastAsia="仿宋_GB2312" w:cs="仿宋" w:hint="eastAsia"/>
          <w:b/>
          <w:color w:val="000000"/>
          <w:kern w:val="0"/>
          <w:sz w:val="32"/>
          <w:szCs w:val="32"/>
        </w:rPr>
        <w:t>三、部门财政支出管理情况</w:t>
      </w:r>
    </w:p>
    <w:p>
      <w:pPr>
        <w:widowControl/>
        <w:adjustRightInd w:val="0"/>
        <w:snapToGrid w:val="0"/>
        <w:spacing w:line="480" w:lineRule="exact"/>
        <w:ind w:firstLine="720"/>
        <w:jc w:val="left"/>
        <w:rPr>
          <w:rFonts w:ascii="仿宋_GB2312" w:eastAsia="仿宋_GB2312" w:cs="仿宋"/>
          <w:b/>
          <w:color w:val="000000"/>
          <w:kern w:val="0"/>
          <w:sz w:val="32"/>
          <w:szCs w:val="32"/>
        </w:rPr>
      </w:pPr>
      <w:r>
        <w:rPr>
          <w:rFonts w:ascii="仿宋_GB2312" w:eastAsia="仿宋_GB2312" w:cs="仿宋" w:hint="eastAsia"/>
          <w:b/>
          <w:color w:val="000000"/>
          <w:kern w:val="0"/>
          <w:sz w:val="32"/>
          <w:szCs w:val="32"/>
        </w:rPr>
        <w:t>（一）预算编制情况。</w:t>
      </w:r>
    </w:p>
    <w:p>
      <w:pPr>
        <w:widowControl/>
        <w:adjustRightInd w:val="0"/>
        <w:snapToGrid w:val="0"/>
        <w:spacing w:line="540" w:lineRule="exact"/>
        <w:ind w:firstLine="72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2021年预算编制严格按照县级部门预算编制通知和有关要求，遵守国家编制的原则，按时完成2021年预算编制工作，并按时提交部门预算报告，预算编制全面、科学。</w:t>
      </w:r>
    </w:p>
    <w:p>
      <w:pPr>
        <w:widowControl/>
        <w:adjustRightInd w:val="0"/>
        <w:snapToGrid w:val="0"/>
        <w:spacing w:line="480" w:lineRule="exact"/>
        <w:ind w:firstLine="720"/>
        <w:jc w:val="left"/>
        <w:rPr>
          <w:rFonts w:ascii="仿宋_GB2312" w:eastAsia="仿宋_GB2312" w:cs="仿宋"/>
          <w:b/>
          <w:color w:val="000000"/>
          <w:kern w:val="0"/>
          <w:sz w:val="32"/>
          <w:szCs w:val="32"/>
        </w:rPr>
      </w:pPr>
      <w:r>
        <w:rPr>
          <w:rFonts w:ascii="仿宋_GB2312" w:eastAsia="仿宋_GB2312" w:cs="仿宋" w:hint="eastAsia"/>
          <w:b/>
          <w:color w:val="000000"/>
          <w:kern w:val="0"/>
          <w:sz w:val="32"/>
          <w:szCs w:val="32"/>
        </w:rPr>
        <w:t>（二）执行管理情况。</w:t>
      </w:r>
      <w:r>
        <w:rPr>
          <w:rFonts w:ascii="仿宋_GB2312" w:eastAsia="仿宋_GB2312" w:cs="仿宋"/>
          <w:b/>
          <w:color w:val="000000"/>
          <w:kern w:val="0"/>
          <w:sz w:val="32"/>
          <w:szCs w:val="32"/>
        </w:rPr>
        <w:tab/>
      </w:r>
    </w:p>
    <w:p>
      <w:pPr>
        <w:widowControl/>
        <w:adjustRightInd w:val="0"/>
        <w:snapToGrid w:val="0"/>
        <w:spacing w:line="480" w:lineRule="exact"/>
        <w:ind w:firstLine="72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2021年公务接待费与2020年公务接待费无增减</w:t>
      </w:r>
    </w:p>
    <w:p>
      <w:pPr>
        <w:widowControl/>
        <w:adjustRightInd w:val="0"/>
        <w:snapToGrid w:val="0"/>
        <w:spacing w:line="480" w:lineRule="exact"/>
        <w:ind w:firstLine="72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2021年因公出国（境）费用为0元</w:t>
      </w:r>
    </w:p>
    <w:p>
      <w:pPr>
        <w:widowControl/>
        <w:adjustRightInd w:val="0"/>
        <w:snapToGrid w:val="0"/>
        <w:spacing w:line="480" w:lineRule="exact"/>
        <w:ind w:firstLine="72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2021年公务用车维护费比2020年公务用车维护费减少8万元，厉行节约，严格按照国家规定的“三公”经费制度执行</w:t>
      </w:r>
    </w:p>
    <w:p>
      <w:pPr>
        <w:widowControl/>
        <w:adjustRightInd w:val="0"/>
        <w:snapToGrid w:val="0"/>
        <w:spacing w:line="480" w:lineRule="exact"/>
        <w:ind w:firstLine="720"/>
        <w:jc w:val="left"/>
        <w:rPr>
          <w:rFonts w:ascii="仿宋_GB2312" w:eastAsia="仿宋_GB2312" w:cs="仿宋"/>
          <w:b/>
          <w:color w:val="000000"/>
          <w:kern w:val="0"/>
          <w:sz w:val="32"/>
          <w:szCs w:val="32"/>
        </w:rPr>
      </w:pPr>
      <w:r>
        <w:rPr>
          <w:rFonts w:ascii="仿宋_GB2312" w:eastAsia="仿宋_GB2312" w:cs="仿宋" w:hint="eastAsia"/>
          <w:b/>
          <w:color w:val="000000"/>
          <w:kern w:val="0"/>
          <w:sz w:val="32"/>
          <w:szCs w:val="32"/>
        </w:rPr>
        <w:t>（三）综合管理情况。</w:t>
      </w:r>
    </w:p>
    <w:p>
      <w:pPr>
        <w:pStyle w:val="30"/>
        <w:shd w:val="clear" w:color="auto" w:fill="FFFFFF"/>
        <w:spacing w:before="0" w:beforeAutospacing="0" w:after="0" w:afterAutospacing="0" w:line="351" w:lineRule="atLeast"/>
        <w:ind w:firstLine="538"/>
        <w:rPr>
          <w:rFonts w:ascii="仿宋_GB2312" w:eastAsia="仿宋_GB2312" w:cs="仿宋"/>
          <w:color w:val="000000"/>
          <w:sz w:val="32"/>
          <w:szCs w:val="32"/>
        </w:rPr>
      </w:pPr>
      <w:r>
        <w:rPr>
          <w:rFonts w:ascii="仿宋_GB2312" w:eastAsia="仿宋_GB2312" w:cs="仿宋" w:hint="eastAsia"/>
          <w:color w:val="000000"/>
          <w:sz w:val="32"/>
          <w:szCs w:val="32"/>
        </w:rPr>
        <w:t>1.政府性债务管理：2021年无政府性债务。</w:t>
      </w:r>
    </w:p>
    <w:p>
      <w:pPr>
        <w:pStyle w:val="30"/>
        <w:shd w:val="clear" w:color="auto" w:fill="FFFFFF"/>
        <w:spacing w:before="0" w:beforeAutospacing="0" w:after="0" w:afterAutospacing="0" w:line="351" w:lineRule="atLeast"/>
        <w:ind w:firstLine="538"/>
        <w:rPr>
          <w:rFonts w:ascii="仿宋_GB2312" w:eastAsia="仿宋_GB2312" w:cs="仿宋"/>
          <w:color w:val="000000"/>
          <w:sz w:val="32"/>
          <w:szCs w:val="32"/>
        </w:rPr>
      </w:pPr>
      <w:r>
        <w:rPr>
          <w:rFonts w:ascii="仿宋_GB2312" w:eastAsia="仿宋_GB2312" w:cs="仿宋" w:hint="eastAsia"/>
          <w:color w:val="000000"/>
          <w:sz w:val="32"/>
          <w:szCs w:val="32"/>
        </w:rPr>
        <w:t>2.非税收入执收：2021年无非税收入。</w:t>
      </w:r>
    </w:p>
    <w:p>
      <w:pPr>
        <w:pStyle w:val="30"/>
        <w:shd w:val="clear" w:color="auto" w:fill="FFFFFF"/>
        <w:spacing w:before="0" w:beforeAutospacing="0" w:after="0" w:afterAutospacing="0" w:line="351" w:lineRule="atLeast"/>
        <w:ind w:firstLine="538"/>
        <w:rPr>
          <w:rFonts w:ascii="仿宋_GB2312" w:eastAsia="仿宋_GB2312" w:cs="仿宋"/>
          <w:color w:val="000000"/>
          <w:sz w:val="32"/>
          <w:szCs w:val="32"/>
        </w:rPr>
      </w:pPr>
      <w:r>
        <w:rPr>
          <w:rFonts w:ascii="仿宋_GB2312" w:eastAsia="仿宋_GB2312" w:cs="仿宋" w:hint="eastAsia"/>
          <w:color w:val="000000"/>
          <w:sz w:val="32"/>
          <w:szCs w:val="32"/>
        </w:rPr>
        <w:t>3.政策采购实施计划：按照政府采购标准规定执行，2021年度完成农家书屋、新华书店大型修缮、新时代文明实践中心采购项目。</w:t>
      </w:r>
    </w:p>
    <w:p>
      <w:pPr>
        <w:pStyle w:val="30"/>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ascii="仿宋_GB2312" w:eastAsia="仿宋_GB2312" w:hint="eastAsia"/>
          <w:color w:val="000000"/>
          <w:sz w:val="32"/>
          <w:szCs w:val="32"/>
          <w:lang w:val="zh-CN"/>
        </w:rPr>
        <w:t>4.资产管理：截止2021年底，县委宣传部固定资产总额为100.95万元。主要由办公设备、家具等组成，保障单位工作正常开展。本年度无利用国有资产对外投资、出租出借或处置国有资产取得收益。根据财政部门的要求，将全部固定资产纳入了国有资产管理系统，及时、准确、全面开展资产清查工作，并按时按质按量完成了国有资产月报表、年报表，做到了数据无错漏。</w:t>
      </w:r>
    </w:p>
    <w:p>
      <w:pPr>
        <w:pStyle w:val="30"/>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ascii="仿宋_GB2312" w:eastAsia="仿宋_GB2312" w:hint="eastAsia"/>
          <w:color w:val="000000"/>
          <w:sz w:val="32"/>
          <w:szCs w:val="32"/>
          <w:lang w:val="zh-CN"/>
        </w:rPr>
        <w:t>5.内控制度管理：成立由县委常委、宣传部部长郑刚同志为组长，吴永洪同志为副组长，李川、李波为成员的内部控制领导小组，建立内部控制联席工作机制并开展工作；明确内部控制牵头股室为人秘股，负责内部控制建设实施工作，监督部门为纪检部门，负责建立权力运行监督及考评机制，定期督查决策权、执行权等权力行使的情况，及时发现权力运行过程中的问题，予以校正和改进；根据单位“三定”方案，组织进行经济业务流程梳理、再造；开展对单位不相容岗位职务分离情况、涉及内部权力集中重点领域和关键岗位建立制衡机制情况排查工作。</w:t>
      </w:r>
    </w:p>
    <w:p>
      <w:pPr>
        <w:pStyle w:val="30"/>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ascii="仿宋_GB2312" w:eastAsia="仿宋_GB2312" w:hint="eastAsia"/>
          <w:color w:val="000000"/>
          <w:sz w:val="32"/>
          <w:szCs w:val="32"/>
          <w:lang w:val="zh-CN"/>
        </w:rPr>
        <w:t>6.信息公开：县委宣传部按要求及时对部门预算进行了公开。</w:t>
      </w:r>
    </w:p>
    <w:p>
      <w:pPr>
        <w:pStyle w:val="30"/>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ascii="仿宋_GB2312" w:eastAsia="仿宋_GB2312" w:hint="eastAsia"/>
          <w:color w:val="000000"/>
          <w:sz w:val="32"/>
          <w:szCs w:val="32"/>
          <w:lang w:val="zh-CN"/>
        </w:rPr>
        <w:t>7.接受财政监督：县委宣传部依法接受财政监督。</w:t>
      </w:r>
    </w:p>
    <w:p>
      <w:pPr>
        <w:pStyle w:val="30"/>
        <w:shd w:val="clear" w:color="auto" w:fill="FFFFFF"/>
        <w:spacing w:before="0" w:beforeAutospacing="0" w:after="0" w:afterAutospacing="0" w:line="351" w:lineRule="atLeast"/>
        <w:ind w:firstLine="538"/>
        <w:rPr>
          <w:rFonts w:ascii="仿宋_GB2312" w:eastAsia="仿宋_GB2312"/>
          <w:b/>
          <w:color w:val="000000"/>
          <w:sz w:val="32"/>
          <w:szCs w:val="32"/>
          <w:lang w:val="zh-CN"/>
        </w:rPr>
      </w:pPr>
      <w:r>
        <w:rPr>
          <w:rFonts w:ascii="仿宋_GB2312" w:eastAsia="仿宋_GB2312" w:hint="eastAsia"/>
          <w:b/>
          <w:color w:val="000000"/>
          <w:sz w:val="32"/>
          <w:szCs w:val="32"/>
          <w:lang w:val="zh-CN"/>
        </w:rPr>
        <w:t>四、评价结论及建议</w:t>
      </w:r>
    </w:p>
    <w:p>
      <w:pPr>
        <w:pStyle w:val="30"/>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ascii="仿宋_GB2312" w:eastAsia="仿宋_GB2312" w:hint="eastAsia"/>
          <w:color w:val="000000"/>
          <w:sz w:val="32"/>
          <w:szCs w:val="32"/>
          <w:lang w:val="zh-CN"/>
        </w:rPr>
        <w:t>（一）评价结论。</w:t>
      </w:r>
    </w:p>
    <w:p>
      <w:pPr>
        <w:pStyle w:val="30"/>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ascii="仿宋_GB2312" w:eastAsia="仿宋_GB2312" w:hint="eastAsia"/>
          <w:color w:val="000000"/>
          <w:sz w:val="32"/>
          <w:szCs w:val="32"/>
          <w:lang w:val="zh-CN"/>
        </w:rPr>
        <w:t xml:space="preserve">   我部2021年部门支出与年初预算基本一致，达到预期绩效目标。</w:t>
      </w:r>
    </w:p>
    <w:p>
      <w:pPr>
        <w:pStyle w:val="30"/>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ascii="仿宋_GB2312" w:eastAsia="仿宋_GB2312" w:hint="eastAsia"/>
          <w:color w:val="000000"/>
          <w:sz w:val="32"/>
          <w:szCs w:val="32"/>
          <w:lang w:val="zh-CN"/>
        </w:rPr>
        <w:t>（二）存在问题。</w:t>
      </w:r>
    </w:p>
    <w:p>
      <w:pPr>
        <w:pStyle w:val="30"/>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ascii="仿宋_GB2312" w:eastAsia="仿宋_GB2312" w:hint="eastAsia"/>
          <w:color w:val="000000"/>
          <w:sz w:val="32"/>
          <w:szCs w:val="32"/>
          <w:lang w:val="zh-CN"/>
        </w:rPr>
        <w:t xml:space="preserve">  预算编制还需进一步细化。</w:t>
      </w:r>
    </w:p>
    <w:p>
      <w:pPr>
        <w:pStyle w:val="30"/>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ascii="仿宋_GB2312" w:eastAsia="仿宋_GB2312" w:hint="eastAsia"/>
          <w:color w:val="000000"/>
          <w:sz w:val="32"/>
          <w:szCs w:val="32"/>
          <w:lang w:val="zh-CN"/>
        </w:rPr>
        <w:t>（三）改进建议。</w:t>
      </w:r>
    </w:p>
    <w:p>
      <w:pPr>
        <w:pStyle w:val="30"/>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ascii="仿宋_GB2312" w:eastAsia="仿宋_GB2312" w:hint="eastAsia"/>
          <w:color w:val="000000"/>
          <w:sz w:val="32"/>
          <w:szCs w:val="32"/>
          <w:lang w:val="zh-CN"/>
        </w:rPr>
        <w:t xml:space="preserve">1、遵循先有预算、后有支出的原则，加强财务管理和内部控制监督制度。严禁超预算和无预算安排支出，严格开支范围和标准，严格支出报销审核，不报销任何超范围、超标准的费用。 </w:t>
        <w:br/>
        <w:t xml:space="preserve">   2、严格控制“三公”经费。认真贯彻落实中央、省委省政府和县委县政府相关规定，严格“三公”经费支出的审核和审批，合理压缩“三公”经费支出。</w:t>
      </w:r>
    </w:p>
    <w:p>
      <w:pPr>
        <w:spacing w:line="600" w:lineRule="exact"/>
        <w:ind w:firstLineChars="400" w:firstLine="1760"/>
        <w:outlineLvl w:val="0"/>
        <w:rPr>
          <w:rFonts w:ascii="黑体" w:eastAsia="黑体"/>
          <w:color w:val="000000"/>
          <w:sz w:val="44"/>
          <w:szCs w:val="44"/>
        </w:rPr>
      </w:pPr>
    </w:p>
    <w:p>
      <w:pPr>
        <w:spacing w:line="600" w:lineRule="exact"/>
        <w:ind w:firstLineChars="400" w:firstLine="1760"/>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pStyle w:val="2"/>
        <w:ind w:firstLineChars="500" w:firstLine="2200"/>
        <w:rPr>
          <w:rFonts w:ascii="黑体" w:eastAsia="黑体"/>
          <w:color w:val="000000"/>
          <w:sz w:val="44"/>
          <w:szCs w:val="44"/>
        </w:rPr>
      </w:pPr>
      <w:r>
        <w:rPr>
          <w:rFonts w:ascii="黑体" w:eastAsia="黑体" w:hint="eastAsia"/>
          <w:color w:val="000000"/>
          <w:sz w:val="44"/>
          <w:szCs w:val="44"/>
        </w:rPr>
        <w:t>第五部分  附表</w:t>
      </w:r>
    </w:p>
    <w:p>
      <w:pPr>
        <w:pStyle w:val="2"/>
        <w:rPr>
          <w:rFonts w:ascii="仿宋" w:eastAsia="仿宋"/>
          <w:color w:val="000000"/>
        </w:rPr>
      </w:pPr>
      <w:r>
        <w:rPr>
          <w:rFonts w:ascii="仿宋" w:eastAsia="仿宋" w:hint="eastAsia"/>
          <w:b w:val="0"/>
          <w:color w:val="000000"/>
        </w:rPr>
        <w:t>一、收</w:t>
      </w:r>
      <w:r>
        <w:rPr>
          <w:rStyle w:val="2Char"/>
          <w:rFonts w:ascii="仿宋" w:eastAsia="仿宋" w:hint="eastAsia"/>
          <w:b/>
          <w:bCs/>
        </w:rPr>
        <w:t>入支出决算总表</w:t>
      </w:r>
    </w:p>
    <w:p>
      <w:pPr>
        <w:pStyle w:val="2"/>
        <w:rPr>
          <w:rFonts w:ascii="仿宋" w:eastAsia="仿宋"/>
          <w:color w:val="000000"/>
        </w:rPr>
      </w:pPr>
      <w:bookmarkStart w:id="54" w:name="_Toc15396620"/>
      <w:r>
        <w:rPr>
          <w:rFonts w:ascii="仿宋" w:eastAsia="仿宋" w:hint="eastAsia"/>
          <w:b w:val="0"/>
          <w:color w:val="000000"/>
        </w:rPr>
        <w:t>二、收</w:t>
      </w:r>
      <w:r>
        <w:rPr>
          <w:rStyle w:val="2Char"/>
          <w:rFonts w:ascii="仿宋" w:eastAsia="仿宋" w:hint="eastAsia"/>
          <w:b/>
          <w:bCs/>
        </w:rPr>
        <w:t>入总表</w:t>
      </w:r>
      <w:bookmarkEnd w:id="54"/>
    </w:p>
    <w:p>
      <w:pPr>
        <w:pStyle w:val="2"/>
        <w:rPr>
          <w:rFonts w:ascii="仿宋" w:eastAsia="仿宋"/>
          <w:color w:val="000000"/>
        </w:rPr>
      </w:pPr>
      <w:bookmarkStart w:id="55" w:name="_Toc15396621"/>
      <w:r>
        <w:rPr>
          <w:rStyle w:val="2Char"/>
          <w:rFonts w:ascii="仿宋" w:eastAsia="仿宋" w:hint="eastAsia"/>
          <w:b/>
          <w:bCs/>
        </w:rPr>
        <w:t>三、</w:t>
      </w:r>
      <w:r>
        <w:rPr>
          <w:rFonts w:ascii="仿宋" w:eastAsia="仿宋" w:hint="eastAsia"/>
          <w:b w:val="0"/>
          <w:color w:val="000000"/>
        </w:rPr>
        <w:t>支</w:t>
      </w:r>
      <w:r>
        <w:rPr>
          <w:rStyle w:val="2Char"/>
          <w:rFonts w:ascii="仿宋" w:eastAsia="仿宋" w:hint="eastAsia"/>
          <w:b/>
          <w:bCs/>
        </w:rPr>
        <w:t>出总表</w:t>
      </w:r>
      <w:bookmarkEnd w:id="55"/>
    </w:p>
    <w:p>
      <w:pPr>
        <w:pStyle w:val="2"/>
        <w:rPr>
          <w:rFonts w:ascii="仿宋" w:eastAsia="仿宋"/>
          <w:b w:val="0"/>
          <w:color w:val="000000"/>
        </w:rPr>
      </w:pPr>
      <w:bookmarkStart w:id="56" w:name="_Toc15396622"/>
      <w:r>
        <w:rPr>
          <w:rStyle w:val="2Char"/>
          <w:rFonts w:ascii="仿宋" w:eastAsia="仿宋" w:hint="eastAsia"/>
          <w:b/>
          <w:bCs/>
        </w:rPr>
        <w:t>四、</w:t>
      </w:r>
      <w:r>
        <w:rPr>
          <w:rFonts w:ascii="仿宋" w:eastAsia="仿宋" w:hint="eastAsia"/>
          <w:b w:val="0"/>
          <w:color w:val="000000"/>
        </w:rPr>
        <w:t>财</w:t>
      </w:r>
      <w:r>
        <w:rPr>
          <w:rStyle w:val="2Char"/>
          <w:rFonts w:ascii="仿宋" w:eastAsia="仿宋" w:hint="eastAsia"/>
          <w:b/>
          <w:bCs/>
        </w:rPr>
        <w:t>政拨款收入支出决算总表</w:t>
      </w:r>
      <w:bookmarkEnd w:id="56"/>
    </w:p>
    <w:p>
      <w:pPr>
        <w:pStyle w:val="2"/>
        <w:rPr>
          <w:rFonts w:ascii="仿宋" w:eastAsia="仿宋"/>
          <w:color w:val="000000"/>
        </w:rPr>
      </w:pPr>
      <w:bookmarkStart w:id="57" w:name="_Toc15396623"/>
      <w:r>
        <w:rPr>
          <w:rStyle w:val="2Char"/>
          <w:rFonts w:ascii="仿宋" w:eastAsia="仿宋" w:hint="eastAsia"/>
          <w:b/>
          <w:bCs/>
        </w:rPr>
        <w:t>五、</w:t>
      </w:r>
      <w:r>
        <w:rPr>
          <w:rFonts w:ascii="仿宋" w:eastAsia="仿宋" w:hint="eastAsia"/>
          <w:b w:val="0"/>
          <w:color w:val="000000"/>
        </w:rPr>
        <w:t>财</w:t>
      </w:r>
      <w:r>
        <w:rPr>
          <w:rStyle w:val="2Char"/>
          <w:rFonts w:ascii="仿宋" w:eastAsia="仿宋" w:hint="eastAsia"/>
          <w:b/>
          <w:bCs/>
        </w:rPr>
        <w:t>政拨款支出决算明细表（政府经济分类科目）</w:t>
      </w:r>
      <w:bookmarkEnd w:id="57"/>
    </w:p>
    <w:p>
      <w:pPr>
        <w:pStyle w:val="2"/>
        <w:rPr>
          <w:rFonts w:ascii="仿宋" w:eastAsia="仿宋"/>
          <w:color w:val="000000"/>
        </w:rPr>
      </w:pPr>
      <w:bookmarkStart w:id="58" w:name="_Toc15396624"/>
      <w:r>
        <w:rPr>
          <w:rStyle w:val="2Char"/>
          <w:rFonts w:ascii="仿宋" w:eastAsia="仿宋" w:hint="eastAsia"/>
          <w:b/>
          <w:bCs/>
        </w:rPr>
        <w:t>六、</w:t>
      </w:r>
      <w:r>
        <w:rPr>
          <w:rFonts w:ascii="仿宋" w:eastAsia="仿宋" w:hint="eastAsia"/>
          <w:b w:val="0"/>
          <w:color w:val="000000"/>
        </w:rPr>
        <w:t>一</w:t>
      </w:r>
      <w:r>
        <w:rPr>
          <w:rStyle w:val="2Char"/>
          <w:rFonts w:ascii="仿宋" w:eastAsia="仿宋" w:hint="eastAsia"/>
          <w:b/>
          <w:bCs/>
        </w:rPr>
        <w:t>般公共预算财政拨款支出决算表</w:t>
      </w:r>
      <w:bookmarkEnd w:id="58"/>
    </w:p>
    <w:p>
      <w:pPr>
        <w:pStyle w:val="2"/>
        <w:rPr>
          <w:rFonts w:ascii="仿宋" w:eastAsia="仿宋"/>
          <w:color w:val="000000"/>
        </w:rPr>
      </w:pPr>
      <w:bookmarkStart w:id="59" w:name="_Toc15396625"/>
      <w:r>
        <w:rPr>
          <w:rStyle w:val="2Char"/>
          <w:rFonts w:ascii="仿宋" w:eastAsia="仿宋" w:hint="eastAsia"/>
          <w:b/>
          <w:bCs/>
        </w:rPr>
        <w:t>七、</w:t>
      </w:r>
      <w:r>
        <w:rPr>
          <w:rFonts w:ascii="仿宋" w:eastAsia="仿宋" w:hint="eastAsia"/>
          <w:b w:val="0"/>
          <w:color w:val="000000"/>
        </w:rPr>
        <w:t>一</w:t>
      </w:r>
      <w:r>
        <w:rPr>
          <w:rStyle w:val="2Char"/>
          <w:rFonts w:ascii="仿宋" w:eastAsia="仿宋" w:hint="eastAsia"/>
          <w:b/>
          <w:bCs/>
        </w:rPr>
        <w:t>般公共预算财政拨款支出决算明细表</w:t>
      </w:r>
      <w:bookmarkEnd w:id="59"/>
    </w:p>
    <w:p>
      <w:pPr>
        <w:pStyle w:val="2"/>
        <w:rPr>
          <w:rFonts w:ascii="仿宋" w:eastAsia="仿宋"/>
          <w:color w:val="000000"/>
        </w:rPr>
      </w:pPr>
      <w:bookmarkStart w:id="60" w:name="_Toc15396626"/>
      <w:r>
        <w:rPr>
          <w:rStyle w:val="2Char"/>
          <w:rFonts w:ascii="仿宋" w:eastAsia="仿宋" w:hint="eastAsia"/>
          <w:b/>
          <w:bCs/>
        </w:rPr>
        <w:t>八、</w:t>
      </w:r>
      <w:r>
        <w:rPr>
          <w:rFonts w:ascii="仿宋" w:eastAsia="仿宋" w:hint="eastAsia"/>
          <w:b w:val="0"/>
          <w:color w:val="000000"/>
        </w:rPr>
        <w:t>一</w:t>
      </w:r>
      <w:r>
        <w:rPr>
          <w:rStyle w:val="2Char"/>
          <w:rFonts w:ascii="仿宋" w:eastAsia="仿宋" w:hint="eastAsia"/>
          <w:b/>
          <w:bCs/>
        </w:rPr>
        <w:t>般公共预算财政拨款基本支出决算表</w:t>
      </w:r>
      <w:bookmarkEnd w:id="60"/>
    </w:p>
    <w:p>
      <w:pPr>
        <w:pStyle w:val="2"/>
        <w:rPr>
          <w:rFonts w:ascii="仿宋" w:eastAsia="仿宋"/>
          <w:color w:val="000000"/>
        </w:rPr>
      </w:pPr>
      <w:bookmarkStart w:id="61" w:name="_Toc15396627"/>
      <w:r>
        <w:rPr>
          <w:rStyle w:val="2Char"/>
          <w:rFonts w:ascii="仿宋" w:eastAsia="仿宋" w:hint="eastAsia"/>
          <w:b/>
          <w:bCs/>
        </w:rPr>
        <w:t>九、</w:t>
      </w:r>
      <w:r>
        <w:rPr>
          <w:rFonts w:ascii="仿宋" w:eastAsia="仿宋" w:hint="eastAsia"/>
          <w:b w:val="0"/>
          <w:color w:val="000000"/>
        </w:rPr>
        <w:t>一</w:t>
      </w:r>
      <w:r>
        <w:rPr>
          <w:rStyle w:val="2Char"/>
          <w:rFonts w:ascii="仿宋" w:eastAsia="仿宋" w:hint="eastAsia"/>
          <w:b/>
          <w:bCs/>
        </w:rPr>
        <w:t>般公共预算财政拨款项目支出决算表</w:t>
      </w:r>
      <w:bookmarkEnd w:id="61"/>
    </w:p>
    <w:p>
      <w:pPr>
        <w:pStyle w:val="2"/>
        <w:rPr>
          <w:rFonts w:ascii="仿宋" w:eastAsia="仿宋"/>
          <w:color w:val="000000"/>
        </w:rPr>
      </w:pPr>
      <w:bookmarkStart w:id="62" w:name="_Toc15396628"/>
      <w:r>
        <w:rPr>
          <w:rStyle w:val="2Char"/>
          <w:rFonts w:ascii="仿宋" w:eastAsia="仿宋" w:hint="eastAsia"/>
          <w:b/>
          <w:bCs/>
        </w:rPr>
        <w:t>十、</w:t>
      </w:r>
      <w:r>
        <w:rPr>
          <w:rFonts w:ascii="仿宋" w:eastAsia="仿宋" w:hint="eastAsia"/>
          <w:b w:val="0"/>
          <w:color w:val="000000"/>
        </w:rPr>
        <w:t>一</w:t>
      </w:r>
      <w:r>
        <w:rPr>
          <w:rStyle w:val="2Char"/>
          <w:rFonts w:ascii="仿宋" w:eastAsia="仿宋" w:hint="eastAsia"/>
          <w:b/>
          <w:bCs/>
        </w:rPr>
        <w:t>般公共预算财政拨款“三公”经费支出决算表</w:t>
      </w:r>
      <w:bookmarkEnd w:id="62"/>
    </w:p>
    <w:p>
      <w:pPr>
        <w:pStyle w:val="2"/>
        <w:rPr>
          <w:rFonts w:ascii="仿宋" w:eastAsia="仿宋"/>
          <w:color w:val="000000"/>
        </w:rPr>
      </w:pPr>
      <w:bookmarkStart w:id="63" w:name="_Toc15396629"/>
      <w:r>
        <w:rPr>
          <w:rStyle w:val="2Char"/>
          <w:rFonts w:ascii="仿宋" w:eastAsia="仿宋" w:hint="eastAsia"/>
          <w:b/>
          <w:bCs/>
        </w:rPr>
        <w:t>十一、</w:t>
      </w:r>
      <w:r>
        <w:rPr>
          <w:rFonts w:ascii="仿宋" w:eastAsia="仿宋" w:hint="eastAsia"/>
          <w:b w:val="0"/>
          <w:color w:val="000000"/>
        </w:rPr>
        <w:t>政</w:t>
      </w:r>
      <w:r>
        <w:rPr>
          <w:rStyle w:val="2Char"/>
          <w:rFonts w:ascii="仿宋" w:eastAsia="仿宋" w:hint="eastAsia"/>
          <w:b/>
          <w:bCs/>
        </w:rPr>
        <w:t>府性基金预算财政拨款收入支出决算表</w:t>
      </w:r>
      <w:bookmarkEnd w:id="63"/>
    </w:p>
    <w:p>
      <w:pPr>
        <w:pStyle w:val="2"/>
        <w:rPr>
          <w:rFonts w:ascii="仿宋" w:eastAsia="仿宋"/>
          <w:color w:val="000000"/>
        </w:rPr>
      </w:pPr>
      <w:bookmarkStart w:id="64" w:name="_Toc15396630"/>
      <w:r>
        <w:rPr>
          <w:rStyle w:val="2Char"/>
          <w:rFonts w:ascii="仿宋" w:eastAsia="仿宋" w:hint="eastAsia"/>
          <w:b/>
          <w:bCs/>
        </w:rPr>
        <w:t>十二、</w:t>
      </w:r>
      <w:r>
        <w:rPr>
          <w:rFonts w:ascii="仿宋" w:eastAsia="仿宋" w:hint="eastAsia"/>
          <w:b w:val="0"/>
          <w:color w:val="000000"/>
        </w:rPr>
        <w:t>政</w:t>
      </w:r>
      <w:r>
        <w:rPr>
          <w:rStyle w:val="2Char"/>
          <w:rFonts w:ascii="仿宋" w:eastAsia="仿宋" w:hint="eastAsia"/>
          <w:b/>
          <w:bCs/>
        </w:rPr>
        <w:t>府性基金预算财政拨款“三公”经费支出决算表</w:t>
      </w:r>
      <w:bookmarkEnd w:id="64"/>
    </w:p>
    <w:p>
      <w:pPr>
        <w:pStyle w:val="2"/>
        <w:rPr>
          <w:rStyle w:val="2Char"/>
          <w:rFonts w:ascii="仿宋" w:eastAsia="仿宋"/>
          <w:b/>
          <w:bCs/>
        </w:rPr>
      </w:pPr>
      <w:bookmarkStart w:id="65" w:name="_Toc15396631"/>
      <w:r>
        <w:rPr>
          <w:rStyle w:val="2Char"/>
          <w:rFonts w:ascii="仿宋" w:eastAsia="仿宋" w:hint="eastAsia"/>
          <w:b/>
          <w:bCs/>
        </w:rPr>
        <w:t>十三、</w:t>
      </w:r>
      <w:r>
        <w:rPr>
          <w:rFonts w:ascii="仿宋" w:eastAsia="仿宋" w:hint="eastAsia"/>
          <w:b w:val="0"/>
          <w:color w:val="000000"/>
        </w:rPr>
        <w:t>国</w:t>
      </w:r>
      <w:r>
        <w:rPr>
          <w:rStyle w:val="2Char"/>
          <w:rFonts w:ascii="仿宋" w:eastAsia="仿宋" w:hint="eastAsia"/>
          <w:b/>
          <w:bCs/>
        </w:rPr>
        <w:t>有资本经营预算支出决算表</w:t>
      </w:r>
      <w:bookmarkEnd w:id="65"/>
    </w:p>
    <w:p>
      <w:pPr>
        <w:pStyle w:val="2"/>
        <w:rPr>
          <w:rFonts w:ascii="仿宋" w:eastAsia="仿宋"/>
          <w:color w:val="000000"/>
        </w:rPr>
      </w:pPr>
      <w:bookmarkStart w:id="66" w:name="_Toc79163899"/>
      <w:bookmarkStart w:id="67" w:name="_Toc79163649"/>
      <w:r>
        <w:rPr>
          <w:rStyle w:val="2Char"/>
          <w:rFonts w:ascii="仿宋" w:eastAsia="仿宋" w:hint="eastAsia"/>
        </w:rPr>
        <w:t>十四、国有资本经营预算财政拨款支出决算表</w:t>
      </w:r>
      <w:bookmarkEnd w:id="66"/>
      <w:bookmarkEnd w:id="67"/>
    </w:p>
    <w:p>
      <w:pPr>
        <w:pStyle w:val="2"/>
        <w:rPr>
          <w:rFonts w:ascii="仿宋" w:eastAsia="仿宋"/>
          <w:color w:val="000000"/>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AR PL UKai CN"/>
    <w:panose1 w:val="02010609060101010101"/>
    <w:charset w:val="86"/>
    <w:family w:val="modern"/>
    <w:pitch w:val="variable"/>
    <w:sig w:usb0="800002BF" w:usb1="38CF7CFA" w:usb2="00000016" w:usb3="00000000" w:csb0="00040001" w:csb1="00000000"/>
  </w:font>
  <w:font w:name="方正小标宋简体">
    <w:altName w:val="AR PL UKai CN"/>
    <w:panose1 w:val="00000000000000000000"/>
    <w:charset w:val="86"/>
    <w:family w:val="auto"/>
    <w:pitch w:val="variable"/>
    <w:sig w:usb0="00000000" w:usb1="080E0000" w:usb2="00000000" w:usb3="00000000" w:csb0="00040000" w:csb1="00000000"/>
  </w:font>
  <w:font w:name="Arial">
    <w:altName w:val="DejaVu Sans"/>
    <w:panose1 w:val="020B0604020202020204"/>
    <w:charset w:val="00"/>
    <w:family w:val="swiss"/>
    <w:pitch w:val="variable"/>
    <w:sig w:usb0="E0002AFF" w:usb1="C0007843" w:usb2="00000009" w:usb3="00000000" w:csb0="000001FF" w:csb1="00000000"/>
  </w:font>
  <w:font w:name="仿宋">
    <w:altName w:val="仿宋_GB2312"/>
    <w:panose1 w:val="02010609060101010101"/>
    <w:charset w:val="86"/>
    <w:family w:val="modern"/>
    <w:pitch w:val="variable"/>
    <w:sig w:usb0="800002BF" w:usb1="38CF7CFA" w:usb2="00000016" w:usb3="00000000" w:csb0="00040001" w:csb1="00000000"/>
  </w:font>
  <w:font w:name="Cambria">
    <w:altName w:val="DejaVu Sans"/>
    <w:panose1 w:val="02040503050406030204"/>
    <w:charset w:val="00"/>
    <w:family w:val="roman"/>
    <w:pitch w:val="variable"/>
    <w:sig w:usb0="E00002FF" w:usb1="400004FF" w:usb2="00000000" w:usb3="00000000" w:csb0="0000019F" w:csb1="00000000"/>
  </w:font>
  <w:font w:name="楷体">
    <w:altName w:val="楷体_GB2312"/>
    <w:panose1 w:val="02010609060101010101"/>
    <w:charset w:val="86"/>
    <w:family w:val="modern"/>
    <w:pitch w:val="variable"/>
    <w:sig w:usb0="800002BF" w:usb1="38CF7CFA" w:usb2="00000016" w:usb3="00000000" w:csb0="00040001" w:csb1="00000000"/>
  </w:font>
  <w:font w:name="仿宋_GB2312">
    <w:panose1 w:val="02010609030101010101"/>
    <w:charset w:val="86"/>
    <w:family w:val="modern"/>
    <w:pitch w:val="variable"/>
    <w:sig w:usb0="00000001" w:usb1="080E0000" w:usb2="00000010" w:usb3="00000000" w:csb0="00040000" w:csb1="00000000"/>
  </w:font>
  <w:font w:name="楷体_GB2312">
    <w:panose1 w:val="02010609030101010101"/>
    <w:charset w:val="86"/>
    <w:family w:val="modern"/>
    <w:pitch w:val="variable"/>
    <w:sig w:usb0="00000001" w:usb1="080E0000" w:usb2="00000010" w:usb3="00000000" w:csb0="00040000" w:csb1="00000000"/>
  </w:font>
  <w:font w:name="Tahoma">
    <w:altName w:val="DejaVu Sans"/>
    <w:panose1 w:val="020B0604030504040204"/>
    <w:charset w:val="00"/>
    <w:family w:val="swiss"/>
    <w:pitch w:val="variable"/>
    <w:sig w:usb0="E1002EFF" w:usb1="C000605B" w:usb2="00000029" w:usb3="00000000" w:csb0="000101FF" w:csb1="00000000"/>
  </w:font>
  <w:font w:name="宋体">
    <w:altName w:val="AR PL UKai CN"/>
    <w:panose1 w:val="02010600030101010101"/>
    <w:charset w:val="86"/>
    <w:family w:val="auto"/>
    <w:pitch w:val="variable"/>
    <w:sig w:usb0="00000003" w:usb1="288F0000" w:usb2="00000016" w:usb3="00000000" w:csb0="00040001" w:csb1="00000000"/>
  </w:font>
  <w:font w:name="Times New Roman">
    <w:altName w:val="DejaVu Sans"/>
    <w:panose1 w:val="02020603050405020304"/>
    <w:charset w:val="00"/>
    <w:family w:val="roman"/>
    <w:pitch w:val="variable"/>
    <w:sig w:usb0="E0002AFF" w:usb1="C0007841" w:usb2="00000009" w:usb3="00000000" w:csb0="000001FF" w:csb1="00000000"/>
  </w:font>
  <w:font w:name="Calibri">
    <w:altName w:val="DejaVu Sans"/>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44623555"/>
      <w:docPartList>
        <w:docPartGallery w:val="Quick Parts"/>
      </w:docPartList>
    </w:sdtPr>
    <w:sdtContent>
      <w:p>
        <w:pPr>
          <w:pStyle w:val="18"/>
          <w:tabs>
            <w:tab w:val="center" w:pos="4153"/>
            <w:tab w:val="right" w:pos="8306"/>
          </w:tabs>
          <w:jc w:val="center"/>
        </w:pPr>
        <w:r>
          <w:fldChar w:fldCharType="begin"/>
        </w:r>
        <w:r>
          <w:instrText>PAGE   \* MERGEFORMAT</w:instrText>
        </w:r>
        <w:r>
          <w:fldChar w:fldCharType="separate"/>
        </w:r>
        <w:r>
          <w:rPr>
            <w:lang w:val="zh-CN"/>
          </w:rPr>
          <w:t>2</w:t>
        </w:r>
        <w:r>
          <w:rPr>
            <w:lang w:val="zh-CN"/>
          </w:rPr>
          <w:fldChar w:fldCharType="end"/>
        </w:r>
      </w:p>
    </w:sdtContent>
  </w:sdt>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39077C2D"/>
    <w:multiLevelType w:val="multilevel"/>
    <w:tmpl w:val="39077C2D"/>
    <w:lvl w:ilvl="0">
      <w:start w:val="1"/>
      <w:numFmt w:val="decimal"/>
      <w:lvlRestart w:val="0"/>
      <w:lvlText w:val="%1、"/>
      <w:lvlJc w:val="left"/>
      <w:pPr>
        <w:tabs>
          <w:tab w:val="num" w:pos="0"/>
        </w:tabs>
        <w:ind w:left="720" w:hanging="720"/>
      </w:pPr>
      <w:rPr>
        <w:rFonts w:hint="default"/>
      </w:r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2">
    <w:nsid w:val="49CC52F5"/>
    <w:multiLevelType w:val="multilevel"/>
    <w:tmpl w:val="49CC52F5"/>
    <w:lvl w:ilvl="0">
      <w:start w:val="4"/>
      <w:numFmt w:val="japaneseCounting"/>
      <w:lvlRestart w:val="0"/>
      <w:lvlText w:val="%1、"/>
      <w:lvlJc w:val="left"/>
      <w:pPr>
        <w:tabs>
          <w:tab w:val="num" w:pos="0"/>
        </w:tabs>
        <w:ind w:left="720" w:hanging="720"/>
      </w:pPr>
      <w:rPr>
        <w:rFonts w:hint="default"/>
        <w:color w:val="000000"/>
      </w:r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3">
    <w:nsid w:val="72AB6C06"/>
    <w:multiLevelType w:val="hybridMultilevel"/>
    <w:tmpl w:val="956AA446"/>
    <w:lvl w:ilvl="0">
      <w:start w:val="9"/>
      <w:numFmt w:val="japaneseCounting"/>
      <w:lvlRestart w:val="0"/>
      <w:lvlText w:val="%1、"/>
      <w:lvlJc w:val="left"/>
      <w:pPr>
        <w:tabs>
          <w:tab w:val="num" w:pos="0"/>
        </w:tabs>
        <w:ind w:left="1288" w:hanging="720"/>
      </w:pPr>
      <w:rPr>
        <w:rFonts w:hint="default"/>
      </w:rPr>
    </w:lvl>
    <w:lvl w:ilvl="1">
      <w:start w:val="1"/>
      <w:numFmt w:val="lowerLetter"/>
      <w:lvlText w:val="%2)"/>
      <w:lvlJc w:val="left"/>
      <w:pPr>
        <w:tabs>
          <w:tab w:val="num" w:pos="0"/>
        </w:tabs>
        <w:ind w:left="1408" w:hanging="420"/>
      </w:pPr>
    </w:lvl>
    <w:lvl w:ilvl="2">
      <w:start w:val="1"/>
      <w:numFmt w:val="lowerRoman"/>
      <w:lvlText w:val="%3."/>
      <w:lvlJc w:val="right"/>
      <w:pPr>
        <w:tabs>
          <w:tab w:val="num" w:pos="0"/>
        </w:tabs>
        <w:ind w:left="1828" w:hanging="420"/>
      </w:pPr>
    </w:lvl>
    <w:lvl w:ilvl="3">
      <w:start w:val="1"/>
      <w:numFmt w:val="decimal"/>
      <w:lvlText w:val="%4."/>
      <w:lvlJc w:val="left"/>
      <w:pPr>
        <w:tabs>
          <w:tab w:val="num" w:pos="0"/>
        </w:tabs>
        <w:ind w:left="2248" w:hanging="420"/>
      </w:pPr>
    </w:lvl>
    <w:lvl w:ilvl="4">
      <w:start w:val="1"/>
      <w:numFmt w:val="lowerLetter"/>
      <w:lvlText w:val="%5)"/>
      <w:lvlJc w:val="left"/>
      <w:pPr>
        <w:tabs>
          <w:tab w:val="num" w:pos="0"/>
        </w:tabs>
        <w:ind w:left="2668" w:hanging="420"/>
      </w:pPr>
    </w:lvl>
    <w:lvl w:ilvl="5">
      <w:start w:val="1"/>
      <w:numFmt w:val="lowerRoman"/>
      <w:lvlText w:val="%6."/>
      <w:lvlJc w:val="right"/>
      <w:pPr>
        <w:tabs>
          <w:tab w:val="num" w:pos="0"/>
        </w:tabs>
        <w:ind w:left="3088" w:hanging="420"/>
      </w:pPr>
    </w:lvl>
    <w:lvl w:ilvl="6">
      <w:start w:val="1"/>
      <w:numFmt w:val="decimal"/>
      <w:lvlText w:val="%7."/>
      <w:lvlJc w:val="left"/>
      <w:pPr>
        <w:tabs>
          <w:tab w:val="num" w:pos="0"/>
        </w:tabs>
        <w:ind w:left="3508" w:hanging="420"/>
      </w:pPr>
    </w:lvl>
    <w:lvl w:ilvl="7">
      <w:start w:val="1"/>
      <w:numFmt w:val="lowerLetter"/>
      <w:lvlText w:val="%8)"/>
      <w:lvlJc w:val="left"/>
      <w:pPr>
        <w:tabs>
          <w:tab w:val="num" w:pos="0"/>
        </w:tabs>
        <w:ind w:left="3928" w:hanging="420"/>
      </w:pPr>
    </w:lvl>
    <w:lvl w:ilvl="8">
      <w:start w:val="1"/>
      <w:numFmt w:val="lowerRoman"/>
      <w:lvlText w:val="%9."/>
      <w:lvlJc w:val="right"/>
      <w:pPr>
        <w:tabs>
          <w:tab w:val="num" w:pos="0"/>
        </w:tabs>
        <w:ind w:left="4348" w:hanging="420"/>
      </w:pPr>
    </w:lvl>
  </w:abstractNum>
  <w:abstractNum w:abstractNumId="4">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5">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4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character" w:styleId="22">
    <w:name w:val="Strong"/>
    <w:basedOn w:val="10"/>
    <w:rPr>
      <w:b/>
    </w:rPr>
  </w:style>
  <w:style w:type="character" w:styleId="23">
    <w:name w:val="Hyperlink"/>
    <w:basedOn w:val="10"/>
    <w:rPr>
      <w:color w:val="0000FF"/>
      <w:u w:val="single"/>
    </w:rPr>
  </w:style>
  <w:style w:type="character" w:customStyle="1" w:styleId="24">
    <w:name w:val="Header Char"/>
    <w:basedOn w:val="10"/>
    <w:rPr>
      <w:rFonts w:ascii="Times New Roman" w:hAnsi="Times New Roman"/>
      <w:sz w:val="18"/>
      <w:szCs w:val="18"/>
    </w:rPr>
  </w:style>
  <w:style w:type="character" w:customStyle="1" w:styleId="25">
    <w:name w:val="Footer Char"/>
    <w:basedOn w:val="10"/>
    <w:rPr>
      <w:rFonts w:ascii="Times New Roman" w:hAnsi="Times New Roman"/>
      <w:sz w:val="18"/>
      <w:szCs w:val="18"/>
    </w:rPr>
  </w:style>
  <w:style w:type="character" w:customStyle="1" w:styleId="26">
    <w:name w:val="Body Text Char"/>
    <w:basedOn w:val="10"/>
    <w:rPr>
      <w:rFonts w:ascii="Times New Roman" w:hAnsi="Times New Roman"/>
      <w:szCs w:val="24"/>
    </w:rPr>
  </w:style>
  <w:style w:type="paragraph" w:customStyle="1" w:styleId="27">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28">
    <w:name w:val="List Paragraph"/>
    <w:basedOn w:val="0"/>
    <w:pPr>
      <w:ind w:firstLineChars="200" w:firstLine="200"/>
    </w:pPr>
  </w:style>
  <w:style w:type="paragraph" w:customStyle="1" w:styleId="29">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styleId="30">
    <w:name w:val="Normal (Web)"/>
    <w:basedOn w:val="0"/>
    <w:pPr>
      <w:widowControl/>
      <w:spacing w:before="100" w:beforeAutospacing="1" w:after="100" w:afterAutospacing="1"/>
      <w:jc w:val="left"/>
    </w:pPr>
    <w:rPr>
      <w:rFonts w:ascii="宋体" w:cs="宋体"/>
      <w:kern w:val="0"/>
      <w:sz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image" Target="media/2.png"/><Relationship Id="rId5" Type="http://schemas.openxmlformats.org/officeDocument/2006/relationships/image" Target="media/5.png"/><Relationship Id="rId6" Type="http://schemas.openxmlformats.org/officeDocument/2006/relationships/image" Target="media/8.png"/><Relationship Id="rId7" Type="http://schemas.openxmlformats.org/officeDocument/2006/relationships/image" Target="media/11.png"/><Relationship Id="rId8" Type="http://schemas.openxmlformats.org/officeDocument/2006/relationships/styles" Target="styles.xml"/><Relationship Id="rId9" Type="http://schemas.openxmlformats.org/officeDocument/2006/relationships/numbering" Target="numbering.xml"/><Relationship Id="rId10" Type="http://schemas.openxmlformats.org/officeDocument/2006/relationships/fontTable" Target="fontTable.xml"/></Relationships>
</file>

<file path=docProps/app.xml><?xml version="1.0" encoding="utf-8"?>
<Properties xmlns="http://schemas.openxmlformats.org/officeDocument/2006/extended-properties">
  <Template>Normal.eit</Template>
  <TotalTime>95</TotalTime>
  <Application>Yozo_Office27021597764231179</Application>
  <Pages>22</Pages>
  <Words>7216</Words>
  <Characters>7995</Characters>
  <Lines>496</Lines>
  <Paragraphs>249</Paragraphs>
  <CharactersWithSpaces>8096</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26</cp:revision>
  <cp:lastPrinted>2022-08-26T09:43:00Z</cp:lastPrinted>
  <dcterms:created xsi:type="dcterms:W3CDTF">2022-08-23T08:41:00Z</dcterms:created>
  <dcterms:modified xsi:type="dcterms:W3CDTF">2023-09-21T01:55:31Z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2052-11.1.0.9912</vt:lpwstr>
  </property>
  <property fmtid="{D5CDD505-2E9C-101B-9397-08002B2CF9AE}" pid="3" name="ICV">
    <vt:lpwstr>7446358C982B43FBBF5486ACE152A102</vt:lpwstr>
  </property>
</Properties>
</file>