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_GB2312"/>
          <w:sz w:val="32"/>
          <w:szCs w:val="32"/>
        </w:rPr>
      </w:pPr>
    </w:p>
    <w:p>
      <w:pPr>
        <w:jc w:val="center"/>
        <w:rPr>
          <w:rFonts w:hint="eastAsia" w:ascii="仿宋" w:hAnsi="仿宋" w:eastAsia="仿宋" w:cs="仿宋_GB2312"/>
          <w:sz w:val="32"/>
          <w:szCs w:val="32"/>
        </w:rPr>
      </w:pPr>
    </w:p>
    <w:p>
      <w:pPr>
        <w:jc w:val="center"/>
        <w:rPr>
          <w:rFonts w:hint="eastAsia" w:ascii="仿宋" w:hAnsi="仿宋" w:eastAsia="仿宋" w:cs="仿宋_GB2312"/>
          <w:sz w:val="32"/>
          <w:szCs w:val="32"/>
        </w:rPr>
      </w:pPr>
    </w:p>
    <w:p>
      <w:pPr>
        <w:jc w:val="center"/>
        <w:rPr>
          <w:rFonts w:hint="eastAsia" w:ascii="仿宋" w:hAnsi="仿宋" w:eastAsia="仿宋" w:cs="仿宋_GB2312"/>
          <w:sz w:val="32"/>
          <w:szCs w:val="32"/>
        </w:rPr>
      </w:pPr>
    </w:p>
    <w:p>
      <w:pPr>
        <w:jc w:val="center"/>
        <w:rPr>
          <w:rFonts w:hint="eastAsia" w:ascii="仿宋" w:hAnsi="仿宋" w:eastAsia="仿宋" w:cs="仿宋_GB2312"/>
          <w:sz w:val="32"/>
          <w:szCs w:val="32"/>
        </w:rPr>
      </w:pPr>
    </w:p>
    <w:p>
      <w:pPr>
        <w:pStyle w:val="2"/>
        <w:rPr>
          <w:rFonts w:hint="eastAsia" w:ascii="仿宋" w:hAnsi="仿宋" w:eastAsia="仿宋" w:cs="仿宋_GB2312"/>
          <w:sz w:val="32"/>
          <w:szCs w:val="32"/>
        </w:rPr>
      </w:pPr>
    </w:p>
    <w:p>
      <w:pPr>
        <w:rPr>
          <w:rFonts w:hint="eastAsia"/>
        </w:rPr>
      </w:pPr>
    </w:p>
    <w:p>
      <w:pPr>
        <w:jc w:val="center"/>
        <w:rPr>
          <w:rFonts w:hint="eastAsia" w:ascii="仿宋" w:hAnsi="仿宋" w:eastAsia="仿宋" w:cs="仿宋_GB2312"/>
          <w:sz w:val="32"/>
          <w:szCs w:val="32"/>
        </w:rPr>
      </w:pPr>
    </w:p>
    <w:p>
      <w:pPr>
        <w:widowControl/>
        <w:wordWrap w:val="0"/>
        <w:ind w:firstLine="420" w:firstLineChars="200"/>
        <w:jc w:val="left"/>
        <w:rPr>
          <w:rFonts w:hint="eastAsia"/>
        </w:rPr>
      </w:pPr>
    </w:p>
    <w:p>
      <w:pPr>
        <w:widowControl/>
        <w:wordWrap w:val="0"/>
        <w:adjustRightInd w:val="0"/>
        <w:snapToGrid w:val="0"/>
        <w:jc w:val="center"/>
        <w:outlineLvl w:val="0"/>
      </w:pPr>
      <w:bookmarkStart w:id="0" w:name="_Toc25956"/>
      <w:bookmarkStart w:id="1" w:name="_Toc3278"/>
      <w:bookmarkStart w:id="2" w:name="_Toc9144"/>
      <w:r>
        <w:rPr>
          <w:rFonts w:hint="eastAsia" w:ascii="方正小标宋简体" w:hAnsi="宋体" w:eastAsia="方正小标宋简体"/>
          <w:sz w:val="72"/>
          <w:szCs w:val="72"/>
        </w:rPr>
        <w:t>金川县总工会</w:t>
      </w:r>
      <w:r>
        <w:rPr>
          <w:rFonts w:ascii="黑体" w:hAnsi="黑体" w:eastAsia="黑体"/>
          <w:sz w:val="72"/>
          <w:szCs w:val="72"/>
        </w:rPr>
        <w:t>201</w:t>
      </w:r>
      <w:r>
        <w:rPr>
          <w:rFonts w:hint="eastAsia" w:ascii="黑体" w:hAnsi="黑体" w:eastAsia="黑体"/>
          <w:sz w:val="72"/>
          <w:szCs w:val="72"/>
          <w:lang w:val="en-US" w:eastAsia="zh-CN"/>
        </w:rPr>
        <w:t>8</w:t>
      </w:r>
      <w:r>
        <w:rPr>
          <w:rFonts w:hint="eastAsia" w:ascii="方正小标宋简体" w:hAnsi="宋体" w:eastAsia="方正小标宋简体"/>
          <w:sz w:val="72"/>
          <w:szCs w:val="72"/>
        </w:rPr>
        <w:t>年度部门决算</w:t>
      </w:r>
      <w:r>
        <w:rPr>
          <w:rFonts w:hint="eastAsia" w:ascii="方正小标宋简体" w:hAnsi="宋体" w:eastAsia="方正小标宋简体"/>
          <w:sz w:val="72"/>
          <w:szCs w:val="72"/>
          <w:lang w:eastAsia="zh-CN"/>
        </w:rPr>
        <w:t>公开报告</w:t>
      </w:r>
      <w:bookmarkEnd w:id="0"/>
      <w:bookmarkEnd w:id="1"/>
      <w:bookmarkEnd w:id="2"/>
    </w:p>
    <w:p>
      <w:pPr>
        <w:pStyle w:val="10"/>
        <w:widowControl/>
        <w:tabs>
          <w:tab w:val="right" w:leader="middleDot" w:pos="8306"/>
          <w:tab w:val="clear" w:pos="8296"/>
        </w:tabs>
        <w:wordWrap w:val="0"/>
        <w:ind w:firstLine="720" w:firstLineChars="200"/>
        <w:rPr>
          <w:rFonts w:ascii="方正小标宋简体" w:hAnsi="宋体" w:eastAsia="方正小标宋简体"/>
          <w:sz w:val="36"/>
          <w:szCs w:val="36"/>
        </w:rPr>
      </w:pPr>
    </w:p>
    <w:p>
      <w:pPr>
        <w:jc w:val="center"/>
        <w:rPr>
          <w:rFonts w:hint="eastAsia" w:ascii="仿宋" w:hAnsi="仿宋" w:eastAsia="仿宋" w:cs="仿宋_GB2312"/>
          <w:sz w:val="32"/>
          <w:szCs w:val="32"/>
        </w:rPr>
      </w:pPr>
    </w:p>
    <w:p>
      <w:pPr>
        <w:jc w:val="center"/>
        <w:rPr>
          <w:rFonts w:hint="eastAsia" w:ascii="仿宋" w:hAnsi="仿宋" w:eastAsia="仿宋" w:cs="仿宋_GB2312"/>
          <w:sz w:val="32"/>
          <w:szCs w:val="32"/>
        </w:rPr>
      </w:pPr>
    </w:p>
    <w:p>
      <w:pPr>
        <w:jc w:val="center"/>
        <w:rPr>
          <w:rFonts w:hint="eastAsia" w:ascii="仿宋" w:hAnsi="仿宋" w:eastAsia="仿宋" w:cs="仿宋_GB2312"/>
          <w:sz w:val="32"/>
          <w:szCs w:val="32"/>
        </w:rPr>
      </w:pPr>
    </w:p>
    <w:p>
      <w:pPr>
        <w:jc w:val="center"/>
        <w:rPr>
          <w:rFonts w:hint="eastAsia" w:ascii="仿宋" w:hAnsi="仿宋" w:eastAsia="仿宋" w:cs="仿宋_GB2312"/>
          <w:sz w:val="32"/>
          <w:szCs w:val="32"/>
        </w:rPr>
      </w:pPr>
    </w:p>
    <w:p>
      <w:pPr>
        <w:pStyle w:val="2"/>
        <w:rPr>
          <w:rFonts w:hint="eastAsia" w:ascii="仿宋" w:hAnsi="仿宋" w:eastAsia="仿宋" w:cs="仿宋_GB2312"/>
          <w:sz w:val="32"/>
          <w:szCs w:val="32"/>
        </w:rPr>
      </w:pPr>
    </w:p>
    <w:p>
      <w:pPr>
        <w:rPr>
          <w:rFonts w:hint="eastAsia" w:ascii="仿宋" w:hAnsi="仿宋" w:eastAsia="仿宋" w:cs="仿宋_GB2312"/>
          <w:sz w:val="32"/>
          <w:szCs w:val="32"/>
        </w:rPr>
      </w:pPr>
    </w:p>
    <w:p>
      <w:pPr>
        <w:pStyle w:val="2"/>
        <w:rPr>
          <w:rFonts w:hint="eastAsia" w:ascii="仿宋" w:hAnsi="仿宋" w:eastAsia="仿宋" w:cs="仿宋_GB2312"/>
          <w:sz w:val="32"/>
          <w:szCs w:val="32"/>
        </w:rPr>
      </w:pPr>
    </w:p>
    <w:p>
      <w:pPr>
        <w:rPr>
          <w:rFonts w:hint="eastAsia"/>
        </w:rPr>
      </w:pPr>
    </w:p>
    <w:p>
      <w:pPr>
        <w:jc w:val="center"/>
        <w:rPr>
          <w:rFonts w:hint="eastAsia" w:ascii="仿宋" w:hAnsi="仿宋" w:eastAsia="仿宋" w:cs="仿宋_GB2312"/>
          <w:sz w:val="32"/>
          <w:szCs w:val="32"/>
        </w:rPr>
      </w:pPr>
    </w:p>
    <w:p>
      <w:pPr>
        <w:jc w:val="center"/>
        <w:rPr>
          <w:rFonts w:hint="eastAsia" w:ascii="仿宋" w:hAnsi="仿宋" w:eastAsia="仿宋" w:cs="仿宋_GB2312"/>
          <w:sz w:val="32"/>
          <w:szCs w:val="32"/>
        </w:rPr>
      </w:pPr>
    </w:p>
    <w:sdt>
      <w:sdtPr>
        <w:rPr>
          <w:rFonts w:ascii="宋体" w:hAnsi="宋体" w:eastAsia="宋体" w:cstheme="minorBidi"/>
          <w:kern w:val="2"/>
          <w:sz w:val="21"/>
          <w:szCs w:val="24"/>
          <w:lang w:val="en-US" w:eastAsia="zh-CN" w:bidi="ar-SA"/>
        </w:rPr>
        <w:id w:val="147455471"/>
        <w15:color w:val="DBDBDB"/>
        <w:docPartObj>
          <w:docPartGallery w:val="Table of Contents"/>
          <w:docPartUnique/>
        </w:docPartObj>
      </w:sdtPr>
      <w:sdtEndPr>
        <w:rPr>
          <w:rFonts w:ascii="宋体" w:hAnsi="宋体" w:eastAsia="宋体" w:cstheme="minorBidi"/>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sz w:val="32"/>
              <w:szCs w:val="40"/>
            </w:rPr>
          </w:pPr>
          <w:r>
            <w:rPr>
              <w:rFonts w:ascii="宋体" w:hAnsi="宋体" w:eastAsia="宋体"/>
              <w:sz w:val="32"/>
              <w:szCs w:val="40"/>
            </w:rPr>
            <w:t>目录</w:t>
          </w:r>
        </w:p>
        <w:p>
          <w:pPr>
            <w:pStyle w:val="18"/>
            <w:tabs>
              <w:tab w:val="right" w:leader="dot" w:pos="8306"/>
            </w:tabs>
          </w:pPr>
          <w:r>
            <w:fldChar w:fldCharType="begin"/>
          </w:r>
          <w:r>
            <w:instrText xml:space="preserve">TOC \o "1-3" \h \u </w:instrText>
          </w:r>
          <w:r>
            <w:fldChar w:fldCharType="separate"/>
          </w:r>
          <w:r>
            <w:fldChar w:fldCharType="begin"/>
          </w:r>
          <w:r>
            <w:instrText xml:space="preserve"> HYPERLINK \l _Toc30826 </w:instrText>
          </w:r>
          <w:r>
            <w:fldChar w:fldCharType="separate"/>
          </w:r>
          <w:r>
            <w:rPr>
              <w:rFonts w:hint="eastAsia"/>
            </w:rPr>
            <w:t>一、基本职能及主要工作</w:t>
          </w:r>
          <w:r>
            <w:tab/>
          </w:r>
          <w:r>
            <w:fldChar w:fldCharType="begin"/>
          </w:r>
          <w:r>
            <w:instrText xml:space="preserve"> PAGEREF _Toc30826 \h </w:instrText>
          </w:r>
          <w:r>
            <w:fldChar w:fldCharType="separate"/>
          </w:r>
          <w:r>
            <w:t>3</w:t>
          </w:r>
          <w:r>
            <w:fldChar w:fldCharType="end"/>
          </w:r>
          <w:r>
            <w:fldChar w:fldCharType="end"/>
          </w:r>
        </w:p>
        <w:p>
          <w:pPr>
            <w:pStyle w:val="19"/>
            <w:tabs>
              <w:tab w:val="right" w:leader="dot" w:pos="8306"/>
            </w:tabs>
          </w:pPr>
          <w:r>
            <w:fldChar w:fldCharType="begin"/>
          </w:r>
          <w:r>
            <w:instrText xml:space="preserve"> HYPERLINK \l _Toc16119 </w:instrText>
          </w:r>
          <w:r>
            <w:fldChar w:fldCharType="separate"/>
          </w:r>
          <w:r>
            <w:rPr>
              <w:rFonts w:hint="eastAsia" w:ascii="楷体" w:hAnsi="楷体" w:eastAsia="楷体" w:cs="楷体"/>
              <w:bCs/>
              <w:szCs w:val="32"/>
            </w:rPr>
            <w:t>（一）主要职能</w:t>
          </w:r>
          <w:r>
            <w:tab/>
          </w:r>
          <w:r>
            <w:fldChar w:fldCharType="begin"/>
          </w:r>
          <w:r>
            <w:instrText xml:space="preserve"> PAGEREF _Toc16119 \h </w:instrText>
          </w:r>
          <w:r>
            <w:fldChar w:fldCharType="separate"/>
          </w:r>
          <w:r>
            <w:t>3</w:t>
          </w:r>
          <w:r>
            <w:fldChar w:fldCharType="end"/>
          </w:r>
          <w:r>
            <w:fldChar w:fldCharType="end"/>
          </w:r>
        </w:p>
        <w:p>
          <w:pPr>
            <w:pStyle w:val="19"/>
            <w:tabs>
              <w:tab w:val="right" w:leader="dot" w:pos="8306"/>
            </w:tabs>
          </w:pPr>
          <w:r>
            <w:fldChar w:fldCharType="begin"/>
          </w:r>
          <w:r>
            <w:instrText xml:space="preserve"> HYPERLINK \l _Toc610 </w:instrText>
          </w:r>
          <w:r>
            <w:fldChar w:fldCharType="separate"/>
          </w:r>
          <w:r>
            <w:rPr>
              <w:rFonts w:hint="eastAsia" w:ascii="楷体" w:hAnsi="楷体" w:eastAsia="楷体" w:cs="楷体"/>
              <w:bCs/>
              <w:szCs w:val="32"/>
            </w:rPr>
            <w:t>（二）2018年重点工作完成情况</w:t>
          </w:r>
          <w:r>
            <w:tab/>
          </w:r>
          <w:r>
            <w:fldChar w:fldCharType="begin"/>
          </w:r>
          <w:r>
            <w:instrText xml:space="preserve"> PAGEREF _Toc610 \h </w:instrText>
          </w:r>
          <w:r>
            <w:fldChar w:fldCharType="separate"/>
          </w:r>
          <w:r>
            <w:t>3</w:t>
          </w:r>
          <w:r>
            <w:fldChar w:fldCharType="end"/>
          </w:r>
          <w:r>
            <w:fldChar w:fldCharType="end"/>
          </w:r>
        </w:p>
        <w:p>
          <w:pPr>
            <w:pStyle w:val="18"/>
            <w:tabs>
              <w:tab w:val="right" w:leader="dot" w:pos="8306"/>
            </w:tabs>
          </w:pPr>
          <w:r>
            <w:fldChar w:fldCharType="begin"/>
          </w:r>
          <w:r>
            <w:instrText xml:space="preserve"> HYPERLINK \l _Toc31131 </w:instrText>
          </w:r>
          <w:r>
            <w:fldChar w:fldCharType="separate"/>
          </w:r>
          <w:r>
            <w:rPr>
              <w:rFonts w:hint="eastAsia" w:ascii="黑体" w:hAnsi="黑体" w:eastAsia="黑体" w:cs="黑体"/>
              <w:szCs w:val="32"/>
            </w:rPr>
            <w:t>二、部门概况</w:t>
          </w:r>
          <w:r>
            <w:tab/>
          </w:r>
          <w:r>
            <w:fldChar w:fldCharType="begin"/>
          </w:r>
          <w:r>
            <w:instrText xml:space="preserve"> PAGEREF _Toc31131 \h </w:instrText>
          </w:r>
          <w:r>
            <w:fldChar w:fldCharType="separate"/>
          </w:r>
          <w:r>
            <w:t>5</w:t>
          </w:r>
          <w:r>
            <w:fldChar w:fldCharType="end"/>
          </w:r>
          <w:r>
            <w:fldChar w:fldCharType="end"/>
          </w:r>
        </w:p>
        <w:p>
          <w:pPr>
            <w:pStyle w:val="18"/>
            <w:tabs>
              <w:tab w:val="right" w:leader="dot" w:pos="8306"/>
            </w:tabs>
          </w:pPr>
          <w:r>
            <w:fldChar w:fldCharType="begin"/>
          </w:r>
          <w:r>
            <w:instrText xml:space="preserve"> HYPERLINK \l _Toc31603 </w:instrText>
          </w:r>
          <w:r>
            <w:fldChar w:fldCharType="separate"/>
          </w:r>
          <w:r>
            <w:rPr>
              <w:rFonts w:hint="eastAsia" w:ascii="黑体" w:hAnsi="黑体" w:eastAsia="黑体" w:cs="黑体"/>
              <w:szCs w:val="32"/>
            </w:rPr>
            <w:t>三、收支决算总体情况说明</w:t>
          </w:r>
          <w:r>
            <w:tab/>
          </w:r>
          <w:r>
            <w:fldChar w:fldCharType="begin"/>
          </w:r>
          <w:r>
            <w:instrText xml:space="preserve"> PAGEREF _Toc31603 \h </w:instrText>
          </w:r>
          <w:r>
            <w:fldChar w:fldCharType="separate"/>
          </w:r>
          <w:r>
            <w:t>5</w:t>
          </w:r>
          <w:r>
            <w:fldChar w:fldCharType="end"/>
          </w:r>
          <w:r>
            <w:fldChar w:fldCharType="end"/>
          </w:r>
        </w:p>
        <w:p>
          <w:pPr>
            <w:pStyle w:val="18"/>
            <w:tabs>
              <w:tab w:val="right" w:leader="dot" w:pos="8306"/>
            </w:tabs>
          </w:pPr>
          <w:r>
            <w:fldChar w:fldCharType="begin"/>
          </w:r>
          <w:r>
            <w:instrText xml:space="preserve"> HYPERLINK \l _Toc31639 </w:instrText>
          </w:r>
          <w:r>
            <w:fldChar w:fldCharType="separate"/>
          </w:r>
          <w:r>
            <w:rPr>
              <w:rFonts w:hint="eastAsia" w:ascii="黑体" w:hAnsi="黑体" w:eastAsia="黑体" w:cs="黑体"/>
              <w:szCs w:val="32"/>
            </w:rPr>
            <w:t>四、财政拨款收入支出决算总体情况说明</w:t>
          </w:r>
          <w:r>
            <w:tab/>
          </w:r>
          <w:r>
            <w:fldChar w:fldCharType="begin"/>
          </w:r>
          <w:r>
            <w:instrText xml:space="preserve"> PAGEREF _Toc31639 \h </w:instrText>
          </w:r>
          <w:r>
            <w:fldChar w:fldCharType="separate"/>
          </w:r>
          <w:r>
            <w:t>6</w:t>
          </w:r>
          <w:r>
            <w:fldChar w:fldCharType="end"/>
          </w:r>
          <w:r>
            <w:fldChar w:fldCharType="end"/>
          </w:r>
        </w:p>
        <w:p>
          <w:pPr>
            <w:pStyle w:val="18"/>
            <w:tabs>
              <w:tab w:val="right" w:leader="dot" w:pos="8306"/>
            </w:tabs>
          </w:pPr>
          <w:r>
            <w:fldChar w:fldCharType="begin"/>
          </w:r>
          <w:r>
            <w:instrText xml:space="preserve"> HYPERLINK \l _Toc30101 </w:instrText>
          </w:r>
          <w:r>
            <w:fldChar w:fldCharType="separate"/>
          </w:r>
          <w:r>
            <w:rPr>
              <w:rFonts w:hint="eastAsia" w:ascii="黑体" w:hAnsi="黑体" w:eastAsia="黑体" w:cs="黑体"/>
              <w:szCs w:val="32"/>
            </w:rPr>
            <w:t>五、一般公共预算财政拨款支出决算情况说明</w:t>
          </w:r>
          <w:r>
            <w:tab/>
          </w:r>
          <w:r>
            <w:fldChar w:fldCharType="begin"/>
          </w:r>
          <w:r>
            <w:instrText xml:space="preserve"> PAGEREF _Toc30101 \h </w:instrText>
          </w:r>
          <w:r>
            <w:fldChar w:fldCharType="separate"/>
          </w:r>
          <w:r>
            <w:t>6</w:t>
          </w:r>
          <w:r>
            <w:fldChar w:fldCharType="end"/>
          </w:r>
          <w:r>
            <w:fldChar w:fldCharType="end"/>
          </w:r>
        </w:p>
        <w:p>
          <w:pPr>
            <w:pStyle w:val="19"/>
            <w:tabs>
              <w:tab w:val="right" w:leader="dot" w:pos="8306"/>
            </w:tabs>
          </w:pPr>
          <w:r>
            <w:fldChar w:fldCharType="begin"/>
          </w:r>
          <w:r>
            <w:instrText xml:space="preserve"> HYPERLINK \l _Toc13831 </w:instrText>
          </w:r>
          <w:r>
            <w:fldChar w:fldCharType="separate"/>
          </w:r>
          <w:r>
            <w:rPr>
              <w:rFonts w:hint="eastAsia" w:ascii="黑体" w:hAnsi="黑体" w:eastAsia="黑体" w:cs="黑体"/>
              <w:szCs w:val="32"/>
            </w:rPr>
            <w:t>（一）一般公共预算财政拨款支出决算总体情况</w:t>
          </w:r>
          <w:r>
            <w:tab/>
          </w:r>
          <w:r>
            <w:fldChar w:fldCharType="begin"/>
          </w:r>
          <w:r>
            <w:instrText xml:space="preserve"> PAGEREF _Toc13831 \h </w:instrText>
          </w:r>
          <w:r>
            <w:fldChar w:fldCharType="separate"/>
          </w:r>
          <w:r>
            <w:t>6</w:t>
          </w:r>
          <w:r>
            <w:fldChar w:fldCharType="end"/>
          </w:r>
          <w:r>
            <w:fldChar w:fldCharType="end"/>
          </w:r>
        </w:p>
        <w:p>
          <w:pPr>
            <w:pStyle w:val="19"/>
            <w:tabs>
              <w:tab w:val="right" w:leader="dot" w:pos="8306"/>
            </w:tabs>
          </w:pPr>
          <w:r>
            <w:fldChar w:fldCharType="begin"/>
          </w:r>
          <w:r>
            <w:instrText xml:space="preserve"> HYPERLINK \l _Toc20571 </w:instrText>
          </w:r>
          <w:r>
            <w:fldChar w:fldCharType="separate"/>
          </w:r>
          <w:r>
            <w:rPr>
              <w:rFonts w:hint="eastAsia" w:ascii="黑体" w:hAnsi="黑体" w:eastAsia="黑体" w:cs="黑体"/>
              <w:szCs w:val="32"/>
            </w:rPr>
            <w:t>（二）一般公共预算财政拨款支出决算结构情况</w:t>
          </w:r>
          <w:r>
            <w:tab/>
          </w:r>
          <w:r>
            <w:fldChar w:fldCharType="begin"/>
          </w:r>
          <w:r>
            <w:instrText xml:space="preserve"> PAGEREF _Toc20571 \h </w:instrText>
          </w:r>
          <w:r>
            <w:fldChar w:fldCharType="separate"/>
          </w:r>
          <w:r>
            <w:t>6</w:t>
          </w:r>
          <w:r>
            <w:fldChar w:fldCharType="end"/>
          </w:r>
          <w:r>
            <w:fldChar w:fldCharType="end"/>
          </w:r>
        </w:p>
        <w:p>
          <w:pPr>
            <w:pStyle w:val="19"/>
            <w:tabs>
              <w:tab w:val="right" w:leader="dot" w:pos="8306"/>
            </w:tabs>
          </w:pPr>
          <w:r>
            <w:fldChar w:fldCharType="begin"/>
          </w:r>
          <w:r>
            <w:instrText xml:space="preserve"> HYPERLINK \l _Toc31125 </w:instrText>
          </w:r>
          <w:r>
            <w:fldChar w:fldCharType="separate"/>
          </w:r>
          <w:r>
            <w:rPr>
              <w:rFonts w:hint="eastAsia" w:ascii="黑体" w:hAnsi="黑体" w:eastAsia="黑体" w:cs="黑体"/>
              <w:szCs w:val="32"/>
            </w:rPr>
            <w:t>（三）一般公共预算财政拨款支出决算具体情况</w:t>
          </w:r>
          <w:r>
            <w:tab/>
          </w:r>
          <w:r>
            <w:fldChar w:fldCharType="begin"/>
          </w:r>
          <w:r>
            <w:instrText xml:space="preserve"> PAGEREF _Toc31125 \h </w:instrText>
          </w:r>
          <w:r>
            <w:fldChar w:fldCharType="separate"/>
          </w:r>
          <w:r>
            <w:t>6</w:t>
          </w:r>
          <w:r>
            <w:fldChar w:fldCharType="end"/>
          </w:r>
          <w:r>
            <w:fldChar w:fldCharType="end"/>
          </w:r>
        </w:p>
        <w:p>
          <w:pPr>
            <w:pStyle w:val="18"/>
            <w:tabs>
              <w:tab w:val="right" w:leader="dot" w:pos="8306"/>
            </w:tabs>
          </w:pPr>
          <w:r>
            <w:fldChar w:fldCharType="begin"/>
          </w:r>
          <w:r>
            <w:instrText xml:space="preserve"> HYPERLINK \l _Toc13239 </w:instrText>
          </w:r>
          <w:r>
            <w:fldChar w:fldCharType="separate"/>
          </w:r>
          <w:r>
            <w:rPr>
              <w:rFonts w:hint="eastAsia" w:ascii="黑体" w:hAnsi="黑体" w:eastAsia="黑体" w:cs="黑体"/>
              <w:szCs w:val="32"/>
            </w:rPr>
            <w:t>六、一般公共预算财政拨款基本支出决算情况说明</w:t>
          </w:r>
          <w:r>
            <w:tab/>
          </w:r>
          <w:r>
            <w:fldChar w:fldCharType="begin"/>
          </w:r>
          <w:r>
            <w:instrText xml:space="preserve"> PAGEREF _Toc13239 \h </w:instrText>
          </w:r>
          <w:r>
            <w:fldChar w:fldCharType="separate"/>
          </w:r>
          <w:r>
            <w:t>7</w:t>
          </w:r>
          <w:r>
            <w:fldChar w:fldCharType="end"/>
          </w:r>
          <w:r>
            <w:fldChar w:fldCharType="end"/>
          </w:r>
        </w:p>
        <w:p>
          <w:pPr>
            <w:pStyle w:val="18"/>
            <w:tabs>
              <w:tab w:val="right" w:leader="dot" w:pos="8306"/>
            </w:tabs>
          </w:pPr>
          <w:r>
            <w:fldChar w:fldCharType="begin"/>
          </w:r>
          <w:r>
            <w:instrText xml:space="preserve"> HYPERLINK \l _Toc18573 </w:instrText>
          </w:r>
          <w:r>
            <w:fldChar w:fldCharType="separate"/>
          </w:r>
          <w:r>
            <w:rPr>
              <w:rFonts w:hint="eastAsia" w:ascii="黑体" w:hAnsi="黑体" w:eastAsia="黑体" w:cs="黑体"/>
              <w:szCs w:val="32"/>
            </w:rPr>
            <w:t>七、“三公”经费财政拨款支出决算情况说明</w:t>
          </w:r>
          <w:r>
            <w:tab/>
          </w:r>
          <w:r>
            <w:fldChar w:fldCharType="begin"/>
          </w:r>
          <w:r>
            <w:instrText xml:space="preserve"> PAGEREF _Toc18573 \h </w:instrText>
          </w:r>
          <w:r>
            <w:fldChar w:fldCharType="separate"/>
          </w:r>
          <w:r>
            <w:t>8</w:t>
          </w:r>
          <w:r>
            <w:fldChar w:fldCharType="end"/>
          </w:r>
          <w:r>
            <w:fldChar w:fldCharType="end"/>
          </w:r>
        </w:p>
        <w:p>
          <w:pPr>
            <w:pStyle w:val="19"/>
            <w:tabs>
              <w:tab w:val="right" w:leader="dot" w:pos="8306"/>
            </w:tabs>
          </w:pPr>
          <w:r>
            <w:fldChar w:fldCharType="begin"/>
          </w:r>
          <w:r>
            <w:instrText xml:space="preserve"> HYPERLINK \l _Toc21063 </w:instrText>
          </w:r>
          <w:r>
            <w:fldChar w:fldCharType="separate"/>
          </w:r>
          <w:r>
            <w:rPr>
              <w:rFonts w:hint="eastAsia" w:ascii="楷体_GB2312" w:hAnsi="楷体_GB2312" w:eastAsia="楷体_GB2312" w:cs="楷体_GB2312"/>
              <w:bCs/>
              <w:szCs w:val="32"/>
            </w:rPr>
            <w:t>（一）“三公”经费财政拨款支出决算总体情况说明</w:t>
          </w:r>
          <w:r>
            <w:tab/>
          </w:r>
          <w:r>
            <w:fldChar w:fldCharType="begin"/>
          </w:r>
          <w:r>
            <w:instrText xml:space="preserve"> PAGEREF _Toc21063 \h </w:instrText>
          </w:r>
          <w:r>
            <w:fldChar w:fldCharType="separate"/>
          </w:r>
          <w:r>
            <w:t>8</w:t>
          </w:r>
          <w:r>
            <w:fldChar w:fldCharType="end"/>
          </w:r>
          <w:r>
            <w:fldChar w:fldCharType="end"/>
          </w:r>
        </w:p>
        <w:p>
          <w:pPr>
            <w:pStyle w:val="19"/>
            <w:tabs>
              <w:tab w:val="right" w:leader="dot" w:pos="8306"/>
            </w:tabs>
          </w:pPr>
          <w:r>
            <w:fldChar w:fldCharType="begin"/>
          </w:r>
          <w:r>
            <w:instrText xml:space="preserve"> HYPERLINK \l _Toc26260 </w:instrText>
          </w:r>
          <w:r>
            <w:fldChar w:fldCharType="separate"/>
          </w:r>
          <w:r>
            <w:rPr>
              <w:rFonts w:hint="eastAsia" w:ascii="楷体_GB2312" w:hAnsi="楷体_GB2312" w:eastAsia="楷体_GB2312" w:cs="楷体_GB2312"/>
              <w:bCs/>
              <w:szCs w:val="32"/>
            </w:rPr>
            <w:t>（二）“三公”经费财政拨款支出决算具体情况说明</w:t>
          </w:r>
          <w:r>
            <w:tab/>
          </w:r>
          <w:r>
            <w:fldChar w:fldCharType="begin"/>
          </w:r>
          <w:r>
            <w:instrText xml:space="preserve"> PAGEREF _Toc26260 \h </w:instrText>
          </w:r>
          <w:r>
            <w:fldChar w:fldCharType="separate"/>
          </w:r>
          <w:r>
            <w:t>8</w:t>
          </w:r>
          <w:r>
            <w:fldChar w:fldCharType="end"/>
          </w:r>
          <w:r>
            <w:fldChar w:fldCharType="end"/>
          </w:r>
        </w:p>
        <w:p>
          <w:pPr>
            <w:pStyle w:val="20"/>
            <w:tabs>
              <w:tab w:val="right" w:leader="dot" w:pos="8306"/>
            </w:tabs>
          </w:pPr>
          <w:r>
            <w:fldChar w:fldCharType="begin"/>
          </w:r>
          <w:r>
            <w:instrText xml:space="preserve"> HYPERLINK \l _Toc14000 </w:instrText>
          </w:r>
          <w:r>
            <w:fldChar w:fldCharType="separate"/>
          </w:r>
          <w:r>
            <w:rPr>
              <w:rFonts w:hint="eastAsia" w:ascii="仿宋" w:hAnsi="仿宋" w:eastAsia="仿宋" w:cs="仿宋_GB2312"/>
              <w:szCs w:val="32"/>
            </w:rPr>
            <w:t>1.因公出国（境）经费支出0万元。全年安排因公出国</w:t>
          </w:r>
          <w:r>
            <w:tab/>
          </w:r>
          <w:r>
            <w:fldChar w:fldCharType="begin"/>
          </w:r>
          <w:r>
            <w:instrText xml:space="preserve"> PAGEREF _Toc14000 \h </w:instrText>
          </w:r>
          <w:r>
            <w:fldChar w:fldCharType="separate"/>
          </w:r>
          <w:r>
            <w:t>8</w:t>
          </w:r>
          <w:r>
            <w:fldChar w:fldCharType="end"/>
          </w:r>
          <w:r>
            <w:fldChar w:fldCharType="end"/>
          </w:r>
        </w:p>
        <w:p>
          <w:pPr>
            <w:pStyle w:val="20"/>
            <w:tabs>
              <w:tab w:val="right" w:leader="dot" w:pos="8306"/>
            </w:tabs>
          </w:pPr>
          <w:r>
            <w:fldChar w:fldCharType="begin"/>
          </w:r>
          <w:r>
            <w:instrText xml:space="preserve"> HYPERLINK \l _Toc31491 </w:instrText>
          </w:r>
          <w:r>
            <w:fldChar w:fldCharType="separate"/>
          </w:r>
          <w:r>
            <w:rPr>
              <w:rFonts w:hint="eastAsia" w:ascii="仿宋" w:hAnsi="仿宋" w:eastAsia="仿宋" w:cs="仿宋_GB2312"/>
              <w:szCs w:val="32"/>
            </w:rPr>
            <w:t>2.公务用车购置及运行维护费支出0万元。其中：</w:t>
          </w:r>
          <w:r>
            <w:tab/>
          </w:r>
          <w:r>
            <w:fldChar w:fldCharType="begin"/>
          </w:r>
          <w:r>
            <w:instrText xml:space="preserve"> PAGEREF _Toc31491 \h </w:instrText>
          </w:r>
          <w:r>
            <w:fldChar w:fldCharType="separate"/>
          </w:r>
          <w:r>
            <w:t>8</w:t>
          </w:r>
          <w:r>
            <w:fldChar w:fldCharType="end"/>
          </w:r>
          <w:r>
            <w:fldChar w:fldCharType="end"/>
          </w:r>
        </w:p>
        <w:p>
          <w:pPr>
            <w:pStyle w:val="20"/>
            <w:tabs>
              <w:tab w:val="right" w:leader="dot" w:pos="8306"/>
            </w:tabs>
          </w:pPr>
          <w:r>
            <w:fldChar w:fldCharType="begin"/>
          </w:r>
          <w:r>
            <w:instrText xml:space="preserve"> HYPERLINK \l _Toc15621 </w:instrText>
          </w:r>
          <w:r>
            <w:fldChar w:fldCharType="separate"/>
          </w:r>
          <w:r>
            <w:rPr>
              <w:rFonts w:hint="eastAsia" w:ascii="仿宋" w:hAnsi="仿宋" w:eastAsia="仿宋" w:cs="仿宋_GB2312"/>
              <w:szCs w:val="32"/>
            </w:rPr>
            <w:t>3.公务接待费支出0万元。</w:t>
          </w:r>
          <w:r>
            <w:tab/>
          </w:r>
          <w:r>
            <w:fldChar w:fldCharType="begin"/>
          </w:r>
          <w:r>
            <w:instrText xml:space="preserve"> PAGEREF _Toc15621 \h </w:instrText>
          </w:r>
          <w:r>
            <w:fldChar w:fldCharType="separate"/>
          </w:r>
          <w:r>
            <w:t>9</w:t>
          </w:r>
          <w:r>
            <w:fldChar w:fldCharType="end"/>
          </w:r>
          <w:r>
            <w:fldChar w:fldCharType="end"/>
          </w:r>
        </w:p>
        <w:p>
          <w:pPr>
            <w:pStyle w:val="18"/>
            <w:tabs>
              <w:tab w:val="right" w:leader="dot" w:pos="8306"/>
            </w:tabs>
          </w:pPr>
          <w:r>
            <w:fldChar w:fldCharType="begin"/>
          </w:r>
          <w:r>
            <w:instrText xml:space="preserve"> HYPERLINK \l _Toc826 </w:instrText>
          </w:r>
          <w:r>
            <w:fldChar w:fldCharType="separate"/>
          </w:r>
          <w:r>
            <w:rPr>
              <w:rFonts w:hint="eastAsia" w:ascii="黑体" w:hAnsi="黑体" w:eastAsia="黑体" w:cs="黑体"/>
              <w:szCs w:val="32"/>
            </w:rPr>
            <w:t>八、政府性基金预算支出决算情况说明</w:t>
          </w:r>
          <w:r>
            <w:tab/>
          </w:r>
          <w:r>
            <w:fldChar w:fldCharType="begin"/>
          </w:r>
          <w:r>
            <w:instrText xml:space="preserve"> PAGEREF _Toc826 \h </w:instrText>
          </w:r>
          <w:r>
            <w:fldChar w:fldCharType="separate"/>
          </w:r>
          <w:r>
            <w:t>9</w:t>
          </w:r>
          <w:r>
            <w:fldChar w:fldCharType="end"/>
          </w:r>
          <w:r>
            <w:fldChar w:fldCharType="end"/>
          </w:r>
        </w:p>
        <w:p>
          <w:pPr>
            <w:pStyle w:val="18"/>
            <w:tabs>
              <w:tab w:val="right" w:leader="dot" w:pos="8306"/>
            </w:tabs>
          </w:pPr>
          <w:r>
            <w:fldChar w:fldCharType="begin"/>
          </w:r>
          <w:r>
            <w:instrText xml:space="preserve"> HYPERLINK \l _Toc8283 </w:instrText>
          </w:r>
          <w:r>
            <w:fldChar w:fldCharType="separate"/>
          </w:r>
          <w:r>
            <w:rPr>
              <w:rFonts w:hint="eastAsia" w:ascii="黑体" w:hAnsi="黑体" w:eastAsia="黑体" w:cs="黑体"/>
              <w:szCs w:val="32"/>
            </w:rPr>
            <w:t>九、国有资本经营预算支出决算情况说明</w:t>
          </w:r>
          <w:r>
            <w:tab/>
          </w:r>
          <w:r>
            <w:fldChar w:fldCharType="begin"/>
          </w:r>
          <w:r>
            <w:instrText xml:space="preserve"> PAGEREF _Toc8283 \h </w:instrText>
          </w:r>
          <w:r>
            <w:fldChar w:fldCharType="separate"/>
          </w:r>
          <w:r>
            <w:t>9</w:t>
          </w:r>
          <w:r>
            <w:fldChar w:fldCharType="end"/>
          </w:r>
          <w:r>
            <w:fldChar w:fldCharType="end"/>
          </w:r>
        </w:p>
        <w:p>
          <w:pPr>
            <w:pStyle w:val="18"/>
            <w:tabs>
              <w:tab w:val="right" w:leader="dot" w:pos="8306"/>
            </w:tabs>
          </w:pPr>
          <w:r>
            <w:fldChar w:fldCharType="begin"/>
          </w:r>
          <w:r>
            <w:instrText xml:space="preserve"> HYPERLINK \l _Toc31845 </w:instrText>
          </w:r>
          <w:r>
            <w:fldChar w:fldCharType="separate"/>
          </w:r>
          <w:r>
            <w:rPr>
              <w:rFonts w:hint="eastAsia" w:ascii="黑体" w:hAnsi="黑体" w:eastAsia="黑体" w:cs="黑体"/>
              <w:szCs w:val="32"/>
            </w:rPr>
            <w:t>十、其他重要事项的情况说明</w:t>
          </w:r>
          <w:r>
            <w:tab/>
          </w:r>
          <w:r>
            <w:fldChar w:fldCharType="begin"/>
          </w:r>
          <w:r>
            <w:instrText xml:space="preserve"> PAGEREF _Toc31845 \h </w:instrText>
          </w:r>
          <w:r>
            <w:fldChar w:fldCharType="separate"/>
          </w:r>
          <w:r>
            <w:t>9</w:t>
          </w:r>
          <w:r>
            <w:fldChar w:fldCharType="end"/>
          </w:r>
          <w:r>
            <w:fldChar w:fldCharType="end"/>
          </w:r>
        </w:p>
        <w:p>
          <w:pPr>
            <w:pStyle w:val="19"/>
            <w:tabs>
              <w:tab w:val="right" w:leader="dot" w:pos="8306"/>
            </w:tabs>
          </w:pPr>
          <w:r>
            <w:fldChar w:fldCharType="begin"/>
          </w:r>
          <w:r>
            <w:instrText xml:space="preserve"> HYPERLINK \l _Toc1520 </w:instrText>
          </w:r>
          <w:r>
            <w:fldChar w:fldCharType="separate"/>
          </w:r>
          <w:r>
            <w:rPr>
              <w:rFonts w:hint="eastAsia" w:ascii="楷体" w:hAnsi="楷体" w:eastAsia="楷体" w:cs="楷体"/>
              <w:bCs/>
              <w:szCs w:val="32"/>
            </w:rPr>
            <w:t>（一）机关运行经费支出情况</w:t>
          </w:r>
          <w:r>
            <w:tab/>
          </w:r>
          <w:r>
            <w:fldChar w:fldCharType="begin"/>
          </w:r>
          <w:r>
            <w:instrText xml:space="preserve"> PAGEREF _Toc1520 \h </w:instrText>
          </w:r>
          <w:r>
            <w:fldChar w:fldCharType="separate"/>
          </w:r>
          <w:r>
            <w:t>9</w:t>
          </w:r>
          <w:r>
            <w:fldChar w:fldCharType="end"/>
          </w:r>
          <w:r>
            <w:fldChar w:fldCharType="end"/>
          </w:r>
        </w:p>
        <w:p>
          <w:pPr>
            <w:pStyle w:val="19"/>
            <w:tabs>
              <w:tab w:val="right" w:leader="dot" w:pos="8306"/>
            </w:tabs>
          </w:pPr>
          <w:r>
            <w:fldChar w:fldCharType="begin"/>
          </w:r>
          <w:r>
            <w:instrText xml:space="preserve"> HYPERLINK \l _Toc10375 </w:instrText>
          </w:r>
          <w:r>
            <w:fldChar w:fldCharType="separate"/>
          </w:r>
          <w:r>
            <w:rPr>
              <w:rFonts w:hint="eastAsia" w:ascii="楷体" w:hAnsi="楷体" w:eastAsia="楷体" w:cs="楷体"/>
              <w:bCs/>
              <w:szCs w:val="32"/>
            </w:rPr>
            <w:t>（二）政府采购支出情况</w:t>
          </w:r>
          <w:r>
            <w:tab/>
          </w:r>
          <w:r>
            <w:fldChar w:fldCharType="begin"/>
          </w:r>
          <w:r>
            <w:instrText xml:space="preserve"> PAGEREF _Toc10375 \h </w:instrText>
          </w:r>
          <w:r>
            <w:fldChar w:fldCharType="separate"/>
          </w:r>
          <w:r>
            <w:t>9</w:t>
          </w:r>
          <w:r>
            <w:fldChar w:fldCharType="end"/>
          </w:r>
          <w:r>
            <w:fldChar w:fldCharType="end"/>
          </w:r>
        </w:p>
        <w:p>
          <w:pPr>
            <w:pStyle w:val="19"/>
            <w:tabs>
              <w:tab w:val="right" w:leader="dot" w:pos="8306"/>
            </w:tabs>
          </w:pPr>
          <w:r>
            <w:fldChar w:fldCharType="begin"/>
          </w:r>
          <w:r>
            <w:instrText xml:space="preserve"> HYPERLINK \l _Toc31373 </w:instrText>
          </w:r>
          <w:r>
            <w:fldChar w:fldCharType="separate"/>
          </w:r>
          <w:r>
            <w:rPr>
              <w:rFonts w:hint="eastAsia" w:ascii="楷体" w:hAnsi="楷体" w:eastAsia="楷体" w:cs="楷体"/>
              <w:bCs/>
              <w:szCs w:val="32"/>
            </w:rPr>
            <w:t>（三）国有资产占有使用情况</w:t>
          </w:r>
          <w:r>
            <w:tab/>
          </w:r>
          <w:r>
            <w:fldChar w:fldCharType="begin"/>
          </w:r>
          <w:r>
            <w:instrText xml:space="preserve"> PAGEREF _Toc31373 \h </w:instrText>
          </w:r>
          <w:r>
            <w:fldChar w:fldCharType="separate"/>
          </w:r>
          <w:r>
            <w:t>9</w:t>
          </w:r>
          <w:r>
            <w:fldChar w:fldCharType="end"/>
          </w:r>
          <w:r>
            <w:fldChar w:fldCharType="end"/>
          </w:r>
        </w:p>
        <w:p>
          <w:pPr>
            <w:pStyle w:val="19"/>
            <w:tabs>
              <w:tab w:val="right" w:leader="dot" w:pos="8306"/>
            </w:tabs>
          </w:pPr>
          <w:r>
            <w:fldChar w:fldCharType="begin"/>
          </w:r>
          <w:r>
            <w:instrText xml:space="preserve"> HYPERLINK \l _Toc12490 </w:instrText>
          </w:r>
          <w:r>
            <w:fldChar w:fldCharType="separate"/>
          </w:r>
          <w:r>
            <w:rPr>
              <w:rFonts w:hint="eastAsia" w:ascii="楷体" w:hAnsi="楷体" w:eastAsia="楷体" w:cs="楷体"/>
              <w:bCs/>
              <w:szCs w:val="32"/>
            </w:rPr>
            <w:t>（四）预算绩效情况</w:t>
          </w:r>
          <w:r>
            <w:tab/>
          </w:r>
          <w:r>
            <w:fldChar w:fldCharType="begin"/>
          </w:r>
          <w:r>
            <w:instrText xml:space="preserve"> PAGEREF _Toc12490 \h </w:instrText>
          </w:r>
          <w:r>
            <w:fldChar w:fldCharType="separate"/>
          </w:r>
          <w:r>
            <w:t>9</w:t>
          </w:r>
          <w:r>
            <w:fldChar w:fldCharType="end"/>
          </w:r>
          <w:r>
            <w:fldChar w:fldCharType="end"/>
          </w:r>
        </w:p>
        <w:p>
          <w:pPr>
            <w:pStyle w:val="20"/>
            <w:tabs>
              <w:tab w:val="right" w:leader="dot" w:pos="8306"/>
            </w:tabs>
          </w:pPr>
          <w:r>
            <w:fldChar w:fldCharType="begin"/>
          </w:r>
          <w:r>
            <w:instrText xml:space="preserve"> HYPERLINK \l _Toc15380 </w:instrText>
          </w:r>
          <w:r>
            <w:fldChar w:fldCharType="separate"/>
          </w:r>
          <w:r>
            <w:rPr>
              <w:rFonts w:hint="eastAsia" w:ascii="仿宋" w:hAnsi="仿宋" w:eastAsia="仿宋" w:cs="仿宋_GB2312"/>
              <w:szCs w:val="32"/>
            </w:rPr>
            <w:t>1.绩效目标管理情况。</w:t>
          </w:r>
          <w:r>
            <w:tab/>
          </w:r>
          <w:r>
            <w:fldChar w:fldCharType="begin"/>
          </w:r>
          <w:r>
            <w:instrText xml:space="preserve"> PAGEREF _Toc15380 \h </w:instrText>
          </w:r>
          <w:r>
            <w:fldChar w:fldCharType="separate"/>
          </w:r>
          <w:r>
            <w:t>9</w:t>
          </w:r>
          <w:r>
            <w:fldChar w:fldCharType="end"/>
          </w:r>
          <w:r>
            <w:fldChar w:fldCharType="end"/>
          </w:r>
        </w:p>
        <w:p>
          <w:pPr>
            <w:pStyle w:val="20"/>
            <w:tabs>
              <w:tab w:val="right" w:leader="dot" w:pos="8306"/>
            </w:tabs>
          </w:pPr>
          <w:r>
            <w:fldChar w:fldCharType="begin"/>
          </w:r>
          <w:r>
            <w:instrText xml:space="preserve"> HYPERLINK \l _Toc14181 </w:instrText>
          </w:r>
          <w:r>
            <w:fldChar w:fldCharType="separate"/>
          </w:r>
          <w:r>
            <w:rPr>
              <w:rFonts w:hint="eastAsia" w:ascii="仿宋" w:hAnsi="仿宋" w:eastAsia="仿宋" w:cs="仿宋_GB2312"/>
              <w:szCs w:val="32"/>
            </w:rPr>
            <w:t>2.部门整体支出绩效自评开展情况。</w:t>
          </w:r>
          <w:r>
            <w:tab/>
          </w:r>
          <w:r>
            <w:fldChar w:fldCharType="begin"/>
          </w:r>
          <w:r>
            <w:instrText xml:space="preserve"> PAGEREF _Toc14181 \h </w:instrText>
          </w:r>
          <w:r>
            <w:fldChar w:fldCharType="separate"/>
          </w:r>
          <w:r>
            <w:t>9</w:t>
          </w:r>
          <w:r>
            <w:fldChar w:fldCharType="end"/>
          </w:r>
          <w:r>
            <w:fldChar w:fldCharType="end"/>
          </w:r>
        </w:p>
        <w:p>
          <w:pPr>
            <w:pStyle w:val="18"/>
            <w:tabs>
              <w:tab w:val="right" w:leader="dot" w:pos="8306"/>
            </w:tabs>
          </w:pPr>
          <w:r>
            <w:fldChar w:fldCharType="begin"/>
          </w:r>
          <w:r>
            <w:instrText xml:space="preserve"> HYPERLINK \l _Toc14420 </w:instrText>
          </w:r>
          <w:r>
            <w:fldChar w:fldCharType="separate"/>
          </w:r>
          <w:r>
            <w:rPr>
              <w:rFonts w:hint="eastAsia" w:ascii="黑体" w:hAnsi="黑体" w:eastAsia="黑体" w:cs="黑体"/>
              <w:szCs w:val="32"/>
            </w:rPr>
            <w:t>十一、 名词解释</w:t>
          </w:r>
          <w:r>
            <w:tab/>
          </w:r>
          <w:r>
            <w:fldChar w:fldCharType="begin"/>
          </w:r>
          <w:r>
            <w:instrText xml:space="preserve"> PAGEREF _Toc14420 \h </w:instrText>
          </w:r>
          <w:r>
            <w:fldChar w:fldCharType="separate"/>
          </w:r>
          <w:r>
            <w:t>10</w:t>
          </w:r>
          <w:r>
            <w:fldChar w:fldCharType="end"/>
          </w:r>
          <w:r>
            <w:fldChar w:fldCharType="end"/>
          </w:r>
        </w:p>
        <w:p>
          <w:r>
            <w:fldChar w:fldCharType="end"/>
          </w:r>
        </w:p>
      </w:sdtContent>
    </w:sdt>
    <w:p>
      <w:pPr>
        <w:rPr>
          <w:rFonts w:hint="eastAsia" w:ascii="仿宋" w:hAnsi="仿宋" w:eastAsia="仿宋" w:cs="仿宋_GB2312"/>
          <w:sz w:val="32"/>
          <w:szCs w:val="32"/>
        </w:rPr>
      </w:pPr>
      <w:r>
        <w:rPr>
          <w:rFonts w:hint="eastAsia" w:ascii="仿宋" w:hAnsi="仿宋" w:eastAsia="仿宋" w:cs="仿宋_GB2312"/>
          <w:sz w:val="32"/>
          <w:szCs w:val="32"/>
        </w:rPr>
        <w:t xml:space="preserve"> </w:t>
      </w:r>
    </w:p>
    <w:p/>
    <w:p>
      <w:pPr>
        <w:widowControl/>
        <w:jc w:val="both"/>
        <w:rPr>
          <w:rFonts w:hint="eastAsia" w:ascii="仿宋_GB2312" w:hAnsi="仿宋_GB2312" w:eastAsia="仿宋_GB2312" w:cs="仿宋_GB2312"/>
          <w:sz w:val="24"/>
          <w:szCs w:val="24"/>
        </w:rPr>
      </w:pPr>
    </w:p>
    <w:p>
      <w:pPr>
        <w:widowControl/>
        <w:ind w:firstLine="480" w:firstLineChars="200"/>
        <w:jc w:val="center"/>
        <w:rPr>
          <w:rFonts w:hint="eastAsia" w:ascii="仿宋_GB2312" w:hAnsi="仿宋_GB2312" w:eastAsia="仿宋_GB2312" w:cs="仿宋_GB2312"/>
          <w:sz w:val="24"/>
          <w:szCs w:val="24"/>
        </w:rPr>
      </w:pPr>
    </w:p>
    <w:p>
      <w:pPr>
        <w:widowControl/>
        <w:ind w:firstLine="480" w:firstLineChars="200"/>
        <w:jc w:val="center"/>
        <w:rPr>
          <w:rFonts w:hint="eastAsia" w:ascii="仿宋_GB2312" w:hAnsi="仿宋_GB2312" w:eastAsia="仿宋_GB2312" w:cs="仿宋_GB2312"/>
          <w:sz w:val="24"/>
          <w:szCs w:val="24"/>
        </w:rPr>
      </w:pPr>
    </w:p>
    <w:p>
      <w:pPr>
        <w:widowControl/>
        <w:ind w:firstLine="480" w:firstLineChars="200"/>
        <w:jc w:val="center"/>
        <w:rPr>
          <w:rFonts w:hint="eastAsia" w:ascii="仿宋_GB2312" w:hAnsi="仿宋_GB2312" w:eastAsia="仿宋_GB2312" w:cs="仿宋_GB2312"/>
          <w:sz w:val="24"/>
          <w:szCs w:val="24"/>
        </w:rPr>
      </w:pPr>
    </w:p>
    <w:p>
      <w:pPr>
        <w:widowControl/>
        <w:ind w:firstLine="480" w:firstLineChars="200"/>
        <w:jc w:val="center"/>
        <w:outlineLvl w:val="9"/>
        <w:rPr>
          <w:rFonts w:hint="eastAsia" w:ascii="仿宋_GB2312" w:hAnsi="仿宋_GB2312" w:eastAsia="仿宋_GB2312" w:cs="仿宋_GB2312"/>
          <w:sz w:val="24"/>
          <w:szCs w:val="24"/>
        </w:rPr>
      </w:pPr>
    </w:p>
    <w:p>
      <w:pPr>
        <w:widowControl/>
        <w:ind w:firstLine="480" w:firstLineChars="200"/>
        <w:jc w:val="center"/>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rPr>
          <w:rFonts w:hint="eastAsia" w:ascii="仿宋_GB2312" w:hAnsi="仿宋_GB2312" w:eastAsia="仿宋_GB2312" w:cs="仿宋_GB2312"/>
          <w:sz w:val="24"/>
          <w:szCs w:val="24"/>
        </w:rPr>
      </w:pPr>
    </w:p>
    <w:p>
      <w:pPr>
        <w:pStyle w:val="2"/>
        <w:rPr>
          <w:rFonts w:hint="eastAsia"/>
        </w:rPr>
      </w:pPr>
    </w:p>
    <w:p>
      <w:pPr>
        <w:widowControl/>
        <w:ind w:firstLine="480" w:firstLineChars="200"/>
        <w:jc w:val="center"/>
        <w:rPr>
          <w:rFonts w:hint="eastAsia" w:ascii="仿宋_GB2312" w:hAnsi="仿宋_GB2312" w:eastAsia="仿宋_GB2312" w:cs="仿宋_GB2312"/>
          <w:sz w:val="24"/>
          <w:szCs w:val="24"/>
        </w:rPr>
      </w:pPr>
    </w:p>
    <w:p>
      <w:pPr>
        <w:widowControl/>
        <w:ind w:firstLine="480" w:firstLineChars="200"/>
        <w:jc w:val="center"/>
        <w:rPr>
          <w:rFonts w:hint="eastAsia" w:ascii="仿宋_GB2312" w:hAnsi="仿宋_GB2312" w:eastAsia="仿宋_GB2312" w:cs="仿宋_GB2312"/>
          <w:sz w:val="24"/>
          <w:szCs w:val="24"/>
        </w:rPr>
      </w:pPr>
    </w:p>
    <w:p>
      <w:pPr>
        <w:widowControl/>
        <w:ind w:firstLine="880" w:firstLineChars="200"/>
        <w:jc w:val="center"/>
        <w:outlineLvl w:val="0"/>
        <w:rPr>
          <w:rFonts w:hint="eastAsia" w:ascii="方正小标宋简体" w:hAnsi="方正小标宋简体" w:eastAsia="方正小标宋简体" w:cs="方正小标宋简体"/>
          <w:sz w:val="44"/>
          <w:szCs w:val="44"/>
          <w:lang w:eastAsia="zh-CN"/>
        </w:rPr>
      </w:pPr>
      <w:bookmarkStart w:id="3" w:name="_Toc18883"/>
      <w:bookmarkStart w:id="4" w:name="_Toc1764"/>
      <w:bookmarkStart w:id="5" w:name="_Toc3771"/>
      <w:r>
        <w:rPr>
          <w:rFonts w:hint="eastAsia" w:ascii="方正小标宋简体" w:hAnsi="方正小标宋简体" w:eastAsia="方正小标宋简体" w:cs="方正小标宋简体"/>
          <w:sz w:val="44"/>
          <w:szCs w:val="44"/>
        </w:rPr>
        <w:t>金川县总工会2018年决算公开</w:t>
      </w:r>
      <w:r>
        <w:rPr>
          <w:rFonts w:hint="eastAsia" w:ascii="方正小标宋简体" w:hAnsi="方正小标宋简体" w:eastAsia="方正小标宋简体" w:cs="方正小标宋简体"/>
          <w:sz w:val="44"/>
          <w:szCs w:val="44"/>
          <w:lang w:eastAsia="zh-CN"/>
        </w:rPr>
        <w:t>报告</w:t>
      </w:r>
      <w:bookmarkEnd w:id="3"/>
      <w:bookmarkEnd w:id="4"/>
      <w:bookmarkEnd w:id="5"/>
    </w:p>
    <w:p>
      <w:pPr>
        <w:numPr>
          <w:ilvl w:val="0"/>
          <w:numId w:val="1"/>
        </w:numPr>
        <w:ind w:firstLine="640" w:firstLineChars="200"/>
        <w:outlineLvl w:val="0"/>
        <w:rPr>
          <w:rFonts w:hint="eastAsia" w:ascii="黑体" w:hAnsi="黑体" w:eastAsia="黑体" w:cs="黑体"/>
          <w:sz w:val="32"/>
          <w:szCs w:val="32"/>
        </w:rPr>
      </w:pPr>
      <w:bookmarkStart w:id="6" w:name="_Toc30826"/>
      <w:bookmarkStart w:id="7" w:name="_Toc24030"/>
      <w:bookmarkStart w:id="8" w:name="_Toc9423"/>
      <w:r>
        <w:rPr>
          <w:rFonts w:hint="eastAsia" w:ascii="黑体" w:hAnsi="黑体" w:eastAsia="黑体" w:cs="黑体"/>
          <w:sz w:val="32"/>
          <w:szCs w:val="32"/>
        </w:rPr>
        <w:t>基本职能及主要工作</w:t>
      </w:r>
      <w:bookmarkEnd w:id="6"/>
      <w:bookmarkEnd w:id="7"/>
      <w:bookmarkEnd w:id="8"/>
      <w:bookmarkStart w:id="9" w:name="_Toc16119"/>
    </w:p>
    <w:p>
      <w:pPr>
        <w:numPr>
          <w:ilvl w:val="0"/>
          <w:numId w:val="0"/>
        </w:numPr>
        <w:ind w:firstLine="321" w:firstLineChars="100"/>
        <w:outlineLvl w:val="0"/>
        <w:rPr>
          <w:rFonts w:hint="eastAsia" w:ascii="楷体" w:hAnsi="楷体" w:eastAsia="楷体" w:cs="楷体"/>
          <w:b/>
          <w:bCs/>
          <w:sz w:val="32"/>
          <w:szCs w:val="32"/>
        </w:rPr>
      </w:pPr>
      <w:r>
        <w:rPr>
          <w:rFonts w:hint="eastAsia" w:ascii="楷体" w:hAnsi="楷体" w:eastAsia="楷体" w:cs="楷体"/>
          <w:b/>
          <w:bCs/>
          <w:sz w:val="32"/>
          <w:szCs w:val="32"/>
        </w:rPr>
        <w:t>（一）主要职能</w:t>
      </w:r>
      <w:bookmarkEnd w:id="9"/>
    </w:p>
    <w:p>
      <w:pPr>
        <w:ind w:firstLine="640" w:firstLineChars="200"/>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shd w:val="clear" w:color="auto" w:fill="FFFFFF"/>
        </w:rPr>
        <w:t>主要职责是团结和动员职工为金川经济社会发展作贡献；负责发展工会会员和基层工会组织建设，尤其是非公经济企业的工会组织建设工作；对职工进行思想政治教育，鼓励支持职工学习文化科学技术和管理知识，开展健康向上的文体娱乐活动；推动建立与县政府的联席会议制度和劳动关系三方协调机制，积极参与协调处理涉及职工切身利益的劳动争议问题；开展区域性、行业企业平等协商签订集体合同制度（包括工资集体合同和女职工专项集体合同），推进企业职工的民主化管理进程；坚持实施“送温暖工程”的长效机制，为职工群众办实事、办好事；指导基层工会开展创建“职工之家”活动。</w:t>
      </w:r>
      <w:r>
        <w:rPr>
          <w:rFonts w:hint="eastAsia" w:ascii="仿宋_GB2312" w:hAnsi="仿宋_GB2312" w:eastAsia="仿宋" w:cs="仿宋_GB2312"/>
          <w:color w:val="000000"/>
          <w:sz w:val="32"/>
          <w:szCs w:val="32"/>
          <w:shd w:val="clear" w:color="auto" w:fill="FFFFFF"/>
        </w:rPr>
        <w:t> </w:t>
      </w:r>
    </w:p>
    <w:p>
      <w:pPr>
        <w:ind w:firstLine="643" w:firstLineChars="200"/>
        <w:outlineLvl w:val="1"/>
        <w:rPr>
          <w:rFonts w:hint="eastAsia" w:ascii="楷体" w:hAnsi="楷体" w:eastAsia="楷体" w:cs="楷体"/>
          <w:sz w:val="32"/>
          <w:szCs w:val="32"/>
        </w:rPr>
      </w:pPr>
      <w:bookmarkStart w:id="10" w:name="_Toc610"/>
      <w:r>
        <w:rPr>
          <w:rFonts w:hint="eastAsia" w:ascii="楷体" w:hAnsi="楷体" w:eastAsia="楷体" w:cs="楷体"/>
          <w:b/>
          <w:bCs/>
          <w:sz w:val="32"/>
          <w:szCs w:val="32"/>
        </w:rPr>
        <w:t>（二）2018年重点工作完成情况</w:t>
      </w:r>
      <w:bookmarkEnd w:id="10"/>
    </w:p>
    <w:p>
      <w:pPr>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bCs/>
          <w:color w:val="000000"/>
          <w:sz w:val="32"/>
          <w:szCs w:val="32"/>
        </w:rPr>
        <w:t>1、以维护职工合法权益为核心，为构建和谐劳动关系奠定了坚实基础。</w:t>
      </w:r>
      <w:r>
        <w:rPr>
          <w:rFonts w:hint="eastAsia" w:ascii="仿宋" w:hAnsi="仿宋" w:eastAsia="仿宋" w:cs="仿宋_GB2312"/>
          <w:color w:val="000000"/>
          <w:sz w:val="32"/>
          <w:szCs w:val="32"/>
        </w:rPr>
        <w:t>集中力量开展了企业工资集体协商提质增效工作。发出企业工资集体协商要约46份，回复46份，送审46份。职业病防治专项集体合同发出4份，回复4份。认真落实农民工工资追缴机制，推行农民工工资保证金制度，协助县人社局为98名农民工追回欠薪163.7万元。</w:t>
      </w:r>
      <w:r>
        <w:rPr>
          <w:rFonts w:hint="eastAsia" w:ascii="仿宋" w:hAnsi="仿宋" w:eastAsia="仿宋" w:cs="仿宋_GB2312"/>
          <w:b/>
          <w:color w:val="000000"/>
          <w:sz w:val="32"/>
          <w:szCs w:val="32"/>
        </w:rPr>
        <w:t xml:space="preserve"> </w:t>
      </w:r>
      <w:r>
        <w:rPr>
          <w:rFonts w:hint="eastAsia" w:ascii="仿宋" w:hAnsi="仿宋" w:eastAsia="仿宋" w:cs="仿宋_GB2312"/>
          <w:bCs/>
          <w:color w:val="000000"/>
          <w:sz w:val="32"/>
          <w:szCs w:val="32"/>
        </w:rPr>
        <w:t>2、以困难职工帮扶为重点，为保障和改善民生作出了积极贡献。</w:t>
      </w:r>
      <w:r>
        <w:rPr>
          <w:rFonts w:hint="eastAsia" w:ascii="仿宋" w:hAnsi="仿宋" w:eastAsia="仿宋" w:cs="仿宋_GB2312"/>
          <w:color w:val="000000"/>
          <w:sz w:val="32"/>
          <w:szCs w:val="32"/>
        </w:rPr>
        <w:t>春节慰问困难职工（农民工）、劳模131名，一线机关单位及企事业单位14家，</w:t>
      </w:r>
      <w:r>
        <w:rPr>
          <w:rFonts w:hint="eastAsia" w:ascii="仿宋" w:hAnsi="仿宋" w:eastAsia="仿宋" w:cs="仿宋_GB2312"/>
          <w:bCs/>
          <w:color w:val="000000"/>
          <w:sz w:val="32"/>
          <w:szCs w:val="32"/>
        </w:rPr>
        <w:t>共计发放慰问金39.33万元，其中慰问</w:t>
      </w:r>
      <w:r>
        <w:rPr>
          <w:rFonts w:hint="eastAsia" w:ascii="仿宋" w:hAnsi="仿宋" w:eastAsia="仿宋" w:cs="仿宋_GB2312"/>
          <w:color w:val="000000"/>
          <w:sz w:val="32"/>
          <w:szCs w:val="32"/>
        </w:rPr>
        <w:t>困难职工（农民工）88名，共计8.8万元；深度救助大病职工19名，帮扶资金19万元；慰问省、州劳模24名，州劳模7人每人900元，共0.63万元；省劳模17人每人1400元，共计2.38万元，慰问省困难劳模5人，慰问金4.9万元，州困难劳模1人，慰问金0.12万元，合计慰问金8.03万元；慰问一线机关单位及企事业单位14家，慰问金3.5万元。在六一儿童节来临之际，慰问困难职工子女及留守儿童10名，送去书包、文具盒、本子、钢笔等共计1000元的慰问品，助其更好完成学业。</w:t>
      </w:r>
      <w:r>
        <w:rPr>
          <w:rFonts w:hint="eastAsia" w:ascii="仿宋" w:hAnsi="仿宋" w:eastAsia="仿宋" w:cs="仿宋_GB2312"/>
          <w:bCs/>
          <w:color w:val="000000"/>
          <w:sz w:val="32"/>
          <w:szCs w:val="32"/>
        </w:rPr>
        <w:t>就业促进工程。</w:t>
      </w:r>
      <w:r>
        <w:rPr>
          <w:rFonts w:hint="eastAsia" w:ascii="仿宋" w:hAnsi="仿宋" w:eastAsia="仿宋" w:cs="仿宋_GB2312"/>
          <w:color w:val="000000"/>
          <w:sz w:val="32"/>
          <w:szCs w:val="32"/>
        </w:rPr>
        <w:t>与县就业局联合认真做好就业援助工作，目前已为下岗职工解决再就业岗位10个。为符合条件的建档困难职工每人每年提供生活和医疗救助。目前我会共计帮扶困难职工（农民工）102人，共计帮扶资金9.03万元，其中提供生活救助61人，帮扶资金2.88万元，提供医疗救助41人，帮扶资金6.15万元。</w:t>
      </w:r>
      <w:r>
        <w:rPr>
          <w:rFonts w:hint="eastAsia" w:ascii="仿宋" w:hAnsi="仿宋" w:eastAsia="仿宋" w:cs="仿宋_GB2312"/>
          <w:b/>
          <w:color w:val="000000"/>
          <w:sz w:val="32"/>
          <w:szCs w:val="32"/>
        </w:rPr>
        <w:t xml:space="preserve"> </w:t>
      </w:r>
      <w:r>
        <w:rPr>
          <w:rFonts w:hint="eastAsia" w:ascii="仿宋" w:hAnsi="仿宋" w:eastAsia="仿宋" w:cs="仿宋_GB2312"/>
          <w:bCs/>
          <w:color w:val="000000"/>
          <w:sz w:val="32"/>
          <w:szCs w:val="32"/>
        </w:rPr>
        <w:t>3、</w:t>
      </w:r>
      <w:r>
        <w:rPr>
          <w:rFonts w:hint="eastAsia" w:ascii="仿宋" w:hAnsi="仿宋" w:eastAsia="仿宋" w:cs="仿宋_GB2312"/>
          <w:color w:val="000000"/>
          <w:sz w:val="32"/>
          <w:szCs w:val="32"/>
        </w:rPr>
        <w:t>强了基层工会组建和规范化建设力度。</w:t>
      </w:r>
      <w:r>
        <w:rPr>
          <w:rFonts w:hint="eastAsia" w:ascii="仿宋" w:hAnsi="仿宋" w:eastAsia="仿宋" w:cs="仿宋_GB2312"/>
          <w:color w:val="000000"/>
          <w:sz w:val="32"/>
          <w:szCs w:val="32"/>
          <w:lang w:eastAsia="zh-CN"/>
        </w:rPr>
        <w:t>截至今年</w:t>
      </w:r>
      <w:r>
        <w:rPr>
          <w:rFonts w:hint="eastAsia" w:ascii="仿宋" w:hAnsi="仿宋" w:eastAsia="仿宋" w:cs="仿宋_GB2312"/>
          <w:color w:val="000000"/>
          <w:sz w:val="32"/>
          <w:szCs w:val="32"/>
        </w:rPr>
        <w:t>6月底全县有基层工会组织136个（其中企业工会46个），新增基层工会3个。有职工5766人，其中女职工2655人，农民工1079人，女性农民工518人，有会员5766人，其中女性会员2655人，农民工会员1079人，女性农民工会员518人。认真抓好了职工权益维护和组织职工开展了各项活动</w:t>
      </w:r>
      <w:r>
        <w:rPr>
          <w:rFonts w:hint="eastAsia" w:ascii="仿宋" w:hAnsi="仿宋" w:eastAsia="仿宋" w:cs="仿宋_GB2312"/>
          <w:b/>
          <w:bCs/>
          <w:color w:val="000000"/>
          <w:sz w:val="32"/>
          <w:szCs w:val="32"/>
        </w:rPr>
        <w:t>。</w:t>
      </w:r>
      <w:r>
        <w:rPr>
          <w:rFonts w:hint="eastAsia" w:ascii="仿宋" w:hAnsi="仿宋" w:eastAsia="仿宋" w:cs="仿宋_GB2312"/>
          <w:b/>
          <w:bCs/>
          <w:color w:val="000000"/>
          <w:sz w:val="32"/>
          <w:szCs w:val="32"/>
          <w:lang w:eastAsia="zh-CN"/>
        </w:rPr>
        <w:t>截至</w:t>
      </w:r>
      <w:r>
        <w:rPr>
          <w:rFonts w:hint="eastAsia" w:ascii="仿宋" w:hAnsi="仿宋" w:eastAsia="仿宋" w:cs="仿宋_GB2312"/>
          <w:color w:val="000000"/>
          <w:sz w:val="32"/>
          <w:szCs w:val="32"/>
        </w:rPr>
        <w:t>6月14日职工互助保险赔付11人、近9364元；在“五一”国际劳动节我会组织四个片区开展“庆五一、迎五四”系列活动，并评选表彰了4个优秀基层工会组织、4名梨乡工匠；组织基层工会主席150名进行业务培训，我会组织省、州劳模共24人进行了健康体检，省劳模体检标准每人600元，州劳模每人400元。扎实推进“联百村，帮千户，进万家”活动，</w:t>
      </w:r>
      <w:r>
        <w:rPr>
          <w:rFonts w:hint="eastAsia" w:ascii="仿宋" w:hAnsi="仿宋" w:eastAsia="仿宋" w:cs="仿宋_GB2312"/>
          <w:color w:val="000000"/>
          <w:sz w:val="32"/>
          <w:szCs w:val="32"/>
          <w:lang w:eastAsia="zh-CN"/>
        </w:rPr>
        <w:t>截至</w:t>
      </w:r>
      <w:r>
        <w:rPr>
          <w:rFonts w:hint="eastAsia" w:ascii="仿宋" w:hAnsi="仿宋" w:eastAsia="仿宋" w:cs="仿宋_GB2312"/>
          <w:color w:val="000000"/>
          <w:sz w:val="32"/>
          <w:szCs w:val="32"/>
        </w:rPr>
        <w:t>6月底我会干部职工7人，完成对46人的结对帮扶工作，及时把党的政策宣传落实到位。</w:t>
      </w:r>
    </w:p>
    <w:p>
      <w:pPr>
        <w:ind w:firstLine="640" w:firstLineChars="200"/>
        <w:outlineLvl w:val="0"/>
        <w:rPr>
          <w:rFonts w:hint="eastAsia" w:ascii="黑体" w:hAnsi="黑体" w:eastAsia="黑体" w:cs="黑体"/>
          <w:sz w:val="32"/>
          <w:szCs w:val="32"/>
        </w:rPr>
      </w:pPr>
      <w:bookmarkStart w:id="11" w:name="_Toc31131"/>
      <w:bookmarkStart w:id="12" w:name="_Toc17280"/>
      <w:bookmarkStart w:id="13" w:name="_Toc1890"/>
      <w:r>
        <w:rPr>
          <w:rFonts w:hint="eastAsia" w:ascii="黑体" w:hAnsi="黑体" w:eastAsia="黑体" w:cs="黑体"/>
          <w:sz w:val="32"/>
          <w:szCs w:val="32"/>
        </w:rPr>
        <w:t>二、部门概况</w:t>
      </w:r>
      <w:bookmarkEnd w:id="11"/>
      <w:bookmarkEnd w:id="12"/>
      <w:bookmarkEnd w:id="13"/>
    </w:p>
    <w:p>
      <w:pPr>
        <w:snapToGrid w:val="0"/>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金川县总工会是</w:t>
      </w:r>
      <w:r>
        <w:rPr>
          <w:rFonts w:hint="eastAsia" w:ascii="仿宋" w:hAnsi="仿宋" w:eastAsia="仿宋" w:cs="仿宋_GB2312"/>
          <w:color w:val="000000"/>
          <w:sz w:val="32"/>
          <w:szCs w:val="32"/>
          <w:shd w:val="clear" w:color="auto" w:fill="FFFFFF"/>
        </w:rPr>
        <w:t>财政全额拨款的行政单位，</w:t>
      </w:r>
      <w:r>
        <w:rPr>
          <w:rFonts w:hint="eastAsia" w:ascii="仿宋" w:hAnsi="仿宋" w:eastAsia="仿宋" w:cs="仿宋_GB2312"/>
          <w:sz w:val="32"/>
          <w:szCs w:val="32"/>
        </w:rPr>
        <w:t>为一级预算单位，</w:t>
      </w:r>
      <w:r>
        <w:rPr>
          <w:rFonts w:hint="eastAsia" w:ascii="仿宋" w:hAnsi="仿宋" w:eastAsia="仿宋" w:cs="仿宋_GB2312"/>
          <w:color w:val="000000"/>
          <w:kern w:val="16"/>
          <w:sz w:val="32"/>
          <w:szCs w:val="32"/>
        </w:rPr>
        <w:t xml:space="preserve"> </w:t>
      </w:r>
      <w:r>
        <w:rPr>
          <w:rFonts w:hint="eastAsia" w:ascii="仿宋" w:hAnsi="仿宋" w:eastAsia="仿宋" w:cs="仿宋_GB2312"/>
          <w:sz w:val="32"/>
          <w:szCs w:val="32"/>
        </w:rPr>
        <w:t>独立编制机构数1个，独立核算机构数1个，单位编制数4个，其中：公务员编制3，行政工勤编制1个。 年末实有人数4人。</w:t>
      </w:r>
    </w:p>
    <w:p>
      <w:pPr>
        <w:ind w:firstLine="640" w:firstLineChars="200"/>
        <w:outlineLvl w:val="0"/>
        <w:rPr>
          <w:rFonts w:hint="eastAsia" w:ascii="黑体" w:hAnsi="黑体" w:eastAsia="黑体" w:cs="黑体"/>
          <w:sz w:val="32"/>
          <w:szCs w:val="32"/>
        </w:rPr>
      </w:pPr>
      <w:bookmarkStart w:id="14" w:name="_Toc12219"/>
      <w:bookmarkStart w:id="15" w:name="_Toc31603"/>
      <w:bookmarkStart w:id="16" w:name="_Toc7525"/>
      <w:r>
        <w:rPr>
          <w:rFonts w:hint="eastAsia" w:ascii="黑体" w:hAnsi="黑体" w:eastAsia="黑体" w:cs="黑体"/>
          <w:sz w:val="32"/>
          <w:szCs w:val="32"/>
        </w:rPr>
        <w:t>三、收支决算总体情况说明</w:t>
      </w:r>
      <w:bookmarkEnd w:id="14"/>
      <w:bookmarkEnd w:id="15"/>
      <w:bookmarkEnd w:id="16"/>
    </w:p>
    <w:p>
      <w:pPr>
        <w:ind w:firstLine="640" w:firstLineChars="200"/>
        <w:rPr>
          <w:rFonts w:ascii="仿宋" w:hAnsi="仿宋" w:eastAsia="仿宋" w:cs="仿宋_GB2312"/>
          <w:sz w:val="32"/>
          <w:szCs w:val="32"/>
        </w:rPr>
      </w:pPr>
      <w:r>
        <w:rPr>
          <w:rFonts w:hint="eastAsia" w:ascii="仿宋" w:hAnsi="仿宋" w:eastAsia="仿宋" w:cs="仿宋_GB2312"/>
          <w:sz w:val="32"/>
          <w:szCs w:val="32"/>
        </w:rPr>
        <w:t>2018年金川县总工会本年收入合计322.53万元，其中：一般公共预算财政拨款收入322.53万元，占100%；政府性基金预算财政拨款收入0元，占0%；国有资本经营预算财政拨款收入0万元，占0%；事业收入0万元，占0%；经营收入0万元，占0%；附属单位上缴收入0万元，占0%；其他收入0万元，占0%。</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2018年金川县总工会本年支出合计321.84万元，其中：基本支出309.91万元，占96.2%；项目支出11.93万元，占3.6%；上缴上级支出0万元，占0%；经营支出0万元，占0%；对附属单位补助支出0万元，占0%。年末财政拨款结转结余6932元。</w:t>
      </w:r>
    </w:p>
    <w:p>
      <w:pPr>
        <w:ind w:firstLine="640" w:firstLineChars="200"/>
        <w:outlineLvl w:val="0"/>
        <w:rPr>
          <w:rFonts w:hint="eastAsia" w:ascii="黑体" w:hAnsi="黑体" w:eastAsia="黑体" w:cs="黑体"/>
          <w:sz w:val="32"/>
          <w:szCs w:val="32"/>
        </w:rPr>
      </w:pPr>
      <w:bookmarkStart w:id="17" w:name="_Toc19187"/>
      <w:bookmarkStart w:id="18" w:name="_Toc23932"/>
      <w:bookmarkStart w:id="19" w:name="_Toc31639"/>
      <w:r>
        <w:rPr>
          <w:rFonts w:hint="eastAsia" w:ascii="黑体" w:hAnsi="黑体" w:eastAsia="黑体" w:cs="黑体"/>
          <w:sz w:val="32"/>
          <w:szCs w:val="32"/>
        </w:rPr>
        <w:t>四、财政拨款收入支出决算总体情况说明</w:t>
      </w:r>
      <w:bookmarkEnd w:id="17"/>
      <w:bookmarkEnd w:id="18"/>
      <w:bookmarkEnd w:id="19"/>
    </w:p>
    <w:p>
      <w:pPr>
        <w:ind w:firstLine="640" w:firstLineChars="200"/>
        <w:jc w:val="left"/>
        <w:rPr>
          <w:rFonts w:ascii="仿宋" w:hAnsi="仿宋" w:eastAsia="仿宋" w:cs="仿宋_GB2312"/>
          <w:kern w:val="0"/>
          <w:sz w:val="32"/>
          <w:szCs w:val="32"/>
        </w:rPr>
      </w:pPr>
      <w:r>
        <w:rPr>
          <w:rFonts w:hint="eastAsia" w:ascii="仿宋" w:hAnsi="仿宋" w:eastAsia="仿宋" w:cs="仿宋_GB2312"/>
          <w:kern w:val="0"/>
          <w:sz w:val="32"/>
          <w:szCs w:val="32"/>
        </w:rPr>
        <w:t>2018年部门收入预算总额为 322.53万元，较上年增加25.94万元，增加8.75 %；其中：当年财政拨款收入322.53万元，其他收入 0万元，上年结转收入 0万元。相应安排支出预算321.84万元，其中：基本支出预算309.91万元，项目支出11.93万元。</w:t>
      </w:r>
    </w:p>
    <w:p>
      <w:pPr>
        <w:ind w:firstLine="640" w:firstLineChars="200"/>
        <w:outlineLvl w:val="0"/>
        <w:rPr>
          <w:rFonts w:hint="eastAsia" w:ascii="黑体" w:hAnsi="黑体" w:eastAsia="黑体" w:cs="黑体"/>
          <w:sz w:val="32"/>
          <w:szCs w:val="32"/>
        </w:rPr>
      </w:pPr>
      <w:bookmarkStart w:id="20" w:name="_Toc29615"/>
      <w:bookmarkStart w:id="21" w:name="_Toc9424"/>
      <w:bookmarkStart w:id="22" w:name="_Toc30101"/>
      <w:r>
        <w:rPr>
          <w:rFonts w:hint="eastAsia" w:ascii="黑体" w:hAnsi="黑体" w:eastAsia="黑体" w:cs="黑体"/>
          <w:sz w:val="32"/>
          <w:szCs w:val="32"/>
        </w:rPr>
        <w:t>五、一般公共预算财政拨款支出决算情况说明</w:t>
      </w:r>
      <w:bookmarkEnd w:id="20"/>
      <w:bookmarkEnd w:id="21"/>
      <w:bookmarkEnd w:id="22"/>
    </w:p>
    <w:p>
      <w:pPr>
        <w:ind w:firstLine="640" w:firstLineChars="200"/>
        <w:outlineLvl w:val="1"/>
        <w:rPr>
          <w:rFonts w:hint="eastAsia" w:ascii="黑体" w:hAnsi="黑体" w:eastAsia="黑体" w:cs="黑体"/>
          <w:sz w:val="32"/>
          <w:szCs w:val="32"/>
        </w:rPr>
      </w:pPr>
      <w:bookmarkStart w:id="23" w:name="_Toc13831"/>
      <w:r>
        <w:rPr>
          <w:rFonts w:hint="eastAsia" w:ascii="黑体" w:hAnsi="黑体" w:eastAsia="黑体" w:cs="黑体"/>
          <w:sz w:val="32"/>
          <w:szCs w:val="32"/>
        </w:rPr>
        <w:t>（一）一般公共预算财政拨款支出决算总体情况</w:t>
      </w:r>
      <w:bookmarkEnd w:id="23"/>
    </w:p>
    <w:p>
      <w:pPr>
        <w:ind w:firstLine="640" w:firstLineChars="200"/>
        <w:rPr>
          <w:rFonts w:ascii="仿宋" w:hAnsi="仿宋" w:eastAsia="仿宋" w:cs="仿宋_GB2312"/>
          <w:sz w:val="32"/>
          <w:szCs w:val="32"/>
        </w:rPr>
      </w:pPr>
      <w:r>
        <w:rPr>
          <w:rFonts w:hint="eastAsia" w:ascii="仿宋" w:hAnsi="仿宋" w:eastAsia="仿宋" w:cs="仿宋_GB2312"/>
          <w:sz w:val="32"/>
          <w:szCs w:val="32"/>
        </w:rPr>
        <w:t>2018年度一般公共预算财政拨款支出321.84万元，占本年支出合计的100%。与2017年相比，一般公共预算财政拨款增加25.25万元，增长8.51%。</w:t>
      </w:r>
    </w:p>
    <w:p>
      <w:pPr>
        <w:ind w:firstLine="640" w:firstLineChars="200"/>
        <w:outlineLvl w:val="1"/>
        <w:rPr>
          <w:rFonts w:hint="eastAsia" w:ascii="黑体" w:hAnsi="黑体" w:eastAsia="黑体" w:cs="黑体"/>
          <w:sz w:val="32"/>
          <w:szCs w:val="32"/>
        </w:rPr>
      </w:pPr>
      <w:bookmarkStart w:id="24" w:name="_Toc20571"/>
      <w:r>
        <w:rPr>
          <w:rFonts w:hint="eastAsia" w:ascii="黑体" w:hAnsi="黑体" w:eastAsia="黑体" w:cs="黑体"/>
          <w:sz w:val="32"/>
          <w:szCs w:val="32"/>
        </w:rPr>
        <w:t>（二）一般公共预算财政拨款支出决算结构情况</w:t>
      </w:r>
      <w:bookmarkEnd w:id="24"/>
    </w:p>
    <w:p>
      <w:pPr>
        <w:ind w:firstLine="640" w:firstLineChars="200"/>
        <w:rPr>
          <w:rFonts w:ascii="仿宋" w:hAnsi="仿宋" w:eastAsia="仿宋" w:cs="仿宋_GB2312"/>
          <w:sz w:val="32"/>
          <w:szCs w:val="32"/>
        </w:rPr>
      </w:pPr>
      <w:r>
        <w:rPr>
          <w:rFonts w:hint="eastAsia" w:ascii="仿宋" w:hAnsi="仿宋" w:eastAsia="仿宋" w:cs="仿宋_GB2312"/>
          <w:sz w:val="32"/>
          <w:szCs w:val="32"/>
        </w:rPr>
        <w:t>2018年一般公共预算财政拨款支出321.84万元，主要用于以下方面:一般公共服务支出289.44万元，占89.9%；教育支出0万元，占0%；社会保障和就业支出17.09万元，占5.3%；医疗卫生支出4.91万元，占1.5%；住房保障支出10.4万元，占3.3%。</w:t>
      </w:r>
    </w:p>
    <w:p>
      <w:pPr>
        <w:ind w:firstLine="640" w:firstLineChars="200"/>
        <w:outlineLvl w:val="1"/>
        <w:rPr>
          <w:rFonts w:hint="eastAsia" w:ascii="黑体" w:hAnsi="黑体" w:eastAsia="黑体" w:cs="黑体"/>
          <w:sz w:val="32"/>
          <w:szCs w:val="32"/>
        </w:rPr>
      </w:pPr>
      <w:bookmarkStart w:id="25" w:name="_Toc31125"/>
      <w:r>
        <w:rPr>
          <w:rFonts w:hint="eastAsia" w:ascii="黑体" w:hAnsi="黑体" w:eastAsia="黑体" w:cs="黑体"/>
          <w:sz w:val="32"/>
          <w:szCs w:val="32"/>
        </w:rPr>
        <w:t>（三）一般公共预算财政拨款支出决算具体情况</w:t>
      </w:r>
      <w:bookmarkEnd w:id="25"/>
    </w:p>
    <w:p>
      <w:pPr>
        <w:ind w:firstLine="640" w:firstLineChars="200"/>
        <w:rPr>
          <w:rFonts w:ascii="仿宋" w:hAnsi="仿宋" w:eastAsia="仿宋" w:cs="仿宋_GB2312"/>
          <w:sz w:val="32"/>
          <w:szCs w:val="32"/>
        </w:rPr>
      </w:pPr>
      <w:r>
        <w:rPr>
          <w:rFonts w:hint="eastAsia" w:ascii="仿宋" w:hAnsi="仿宋" w:eastAsia="仿宋" w:cs="仿宋_GB2312"/>
          <w:sz w:val="32"/>
          <w:szCs w:val="32"/>
        </w:rPr>
        <w:t>1、一般公共服务（类）201（款）29（项）01—行政运行: 支出决算为289.44万元，完成预算100%，决算数与预算数持平。</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2、一般公共服务（类）201（款）29（项）99— 其他群众团体事务：支出决算为11.93万元，完成预算100%，决算数大与预算数持平。</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3、社会保障和就业（类）208（款）05（项）05—  机关事业单位基本养老保险缴费支出：支出决算为12.2万元，完成预算100%，决算数与预算数持平。</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4、社会保障和就业（类）208（款）05（项）06— 机关事业单位职业年金缴费支出：支出决算为4.88万元，完成预算100%，决算数</w:t>
      </w:r>
      <w:r>
        <w:rPr>
          <w:rFonts w:hint="eastAsia" w:ascii="仿宋" w:hAnsi="仿宋" w:eastAsia="仿宋" w:cs="仿宋_GB2312"/>
          <w:sz w:val="32"/>
          <w:szCs w:val="32"/>
          <w:lang w:eastAsia="zh-CN"/>
        </w:rPr>
        <w:t>大于</w:t>
      </w:r>
      <w:r>
        <w:rPr>
          <w:rFonts w:hint="eastAsia" w:ascii="仿宋" w:hAnsi="仿宋" w:eastAsia="仿宋" w:cs="仿宋_GB2312"/>
          <w:sz w:val="32"/>
          <w:szCs w:val="32"/>
        </w:rPr>
        <w:t>预算数持平。</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5.医疗卫生与计划生育（类）210（款）11（项）01— 行政单位医疗:支出决算为4.91万元，完成预算100%，决算数与预算数持平。</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6. 住房保障支出（类）221（款）02（项）01— 住房公积金:支出决算为9.17万元，完成预算100%，决算数与预算数持平。</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7住房保障支出（类）221（款）02（项）03— 购房补贴:支出决算为1.23万元，完成预算100%，决算数与预算数持平。</w:t>
      </w:r>
    </w:p>
    <w:p>
      <w:pPr>
        <w:ind w:firstLine="640" w:firstLineChars="200"/>
        <w:outlineLvl w:val="0"/>
        <w:rPr>
          <w:rFonts w:hint="eastAsia" w:ascii="黑体" w:hAnsi="黑体" w:eastAsia="黑体" w:cs="黑体"/>
          <w:sz w:val="32"/>
          <w:szCs w:val="32"/>
        </w:rPr>
      </w:pPr>
      <w:bookmarkStart w:id="26" w:name="_Toc9409"/>
      <w:bookmarkStart w:id="27" w:name="_Toc9527"/>
      <w:bookmarkStart w:id="28" w:name="_Toc13239"/>
      <w:r>
        <w:rPr>
          <w:rFonts w:hint="eastAsia" w:ascii="黑体" w:hAnsi="黑体" w:eastAsia="黑体" w:cs="黑体"/>
          <w:sz w:val="32"/>
          <w:szCs w:val="32"/>
        </w:rPr>
        <w:t>六、一般公共预算财政拨款基本支出决算情况说明</w:t>
      </w:r>
      <w:bookmarkEnd w:id="26"/>
      <w:bookmarkEnd w:id="27"/>
      <w:bookmarkEnd w:id="28"/>
    </w:p>
    <w:p>
      <w:pPr>
        <w:ind w:firstLine="640" w:firstLineChars="200"/>
        <w:rPr>
          <w:rFonts w:ascii="仿宋" w:hAnsi="仿宋" w:eastAsia="仿宋" w:cs="仿宋_GB2312"/>
          <w:sz w:val="32"/>
          <w:szCs w:val="32"/>
        </w:rPr>
      </w:pPr>
      <w:r>
        <w:rPr>
          <w:rFonts w:hint="eastAsia" w:ascii="仿宋" w:hAnsi="仿宋" w:eastAsia="仿宋" w:cs="仿宋_GB2312"/>
          <w:sz w:val="32"/>
          <w:szCs w:val="32"/>
        </w:rPr>
        <w:t>2018年度一般公共预算财政拨款基本支出309.91万元，其中：</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人员经费112.6万元，主要包括：基本工资28.77万元、津贴补贴36.96万元、奖金2.7万元、机关事业单位基本养老保险缴费12.2万元、职业年金缴费4.88万元、职工基本医疗保险缴费4.91万元、其他社会保障缴费0.4万元、生活补助12.6万元、住房公积金9.18万元。</w:t>
      </w:r>
    </w:p>
    <w:p>
      <w:pPr>
        <w:rPr>
          <w:rFonts w:ascii="仿宋" w:hAnsi="仿宋" w:eastAsia="仿宋" w:cs="仿宋_GB2312"/>
          <w:sz w:val="32"/>
          <w:szCs w:val="32"/>
        </w:rPr>
      </w:pPr>
      <w:r>
        <w:rPr>
          <w:rFonts w:hint="eastAsia" w:ascii="仿宋" w:hAnsi="仿宋" w:eastAsia="仿宋" w:cs="仿宋_GB2312"/>
          <w:sz w:val="32"/>
          <w:szCs w:val="32"/>
        </w:rPr>
        <w:t>　　公用经费197.3万元，主要包括：办公费2.99万元、印刷费0.48万元、电费1.2万元、邮电费1.5万元、取暖费0.4万元、差旅费7.82万元、会议费1.66万元、劳务费1.25万元、工会经费180万元。</w:t>
      </w:r>
    </w:p>
    <w:p>
      <w:pPr>
        <w:ind w:firstLine="640" w:firstLineChars="200"/>
        <w:outlineLvl w:val="0"/>
        <w:rPr>
          <w:rFonts w:hint="eastAsia" w:ascii="黑体" w:hAnsi="黑体" w:eastAsia="黑体" w:cs="黑体"/>
          <w:sz w:val="32"/>
          <w:szCs w:val="32"/>
        </w:rPr>
      </w:pPr>
      <w:bookmarkStart w:id="29" w:name="_Toc6473"/>
      <w:bookmarkStart w:id="30" w:name="_Toc18573"/>
      <w:bookmarkStart w:id="31" w:name="_Toc108"/>
      <w:r>
        <w:rPr>
          <w:rFonts w:hint="eastAsia" w:ascii="黑体" w:hAnsi="黑体" w:eastAsia="黑体" w:cs="黑体"/>
          <w:sz w:val="32"/>
          <w:szCs w:val="32"/>
        </w:rPr>
        <w:t>七、“三公”经费财政拨款支出决算情况说明</w:t>
      </w:r>
      <w:bookmarkEnd w:id="29"/>
      <w:bookmarkEnd w:id="30"/>
      <w:bookmarkEnd w:id="31"/>
    </w:p>
    <w:p>
      <w:pPr>
        <w:ind w:firstLine="643" w:firstLineChars="200"/>
        <w:outlineLvl w:val="1"/>
        <w:rPr>
          <w:rFonts w:hint="eastAsia" w:ascii="楷体_GB2312" w:hAnsi="楷体_GB2312" w:eastAsia="楷体_GB2312" w:cs="楷体_GB2312"/>
          <w:b/>
          <w:bCs/>
          <w:sz w:val="32"/>
          <w:szCs w:val="32"/>
        </w:rPr>
      </w:pPr>
      <w:bookmarkStart w:id="32" w:name="_Toc21063"/>
      <w:r>
        <w:rPr>
          <w:rFonts w:hint="eastAsia" w:ascii="楷体_GB2312" w:hAnsi="楷体_GB2312" w:eastAsia="楷体_GB2312" w:cs="楷体_GB2312"/>
          <w:b/>
          <w:bCs/>
          <w:sz w:val="32"/>
          <w:szCs w:val="32"/>
        </w:rPr>
        <w:t>（一）“三公”经费财政拨款支出决算总体情况说明</w:t>
      </w:r>
      <w:bookmarkEnd w:id="32"/>
    </w:p>
    <w:p>
      <w:pPr>
        <w:rPr>
          <w:rFonts w:ascii="仿宋" w:hAnsi="仿宋" w:eastAsia="仿宋" w:cs="仿宋_GB2312"/>
          <w:sz w:val="32"/>
          <w:szCs w:val="32"/>
        </w:rPr>
      </w:pPr>
      <w:r>
        <w:rPr>
          <w:rFonts w:hint="eastAsia" w:ascii="仿宋" w:hAnsi="仿宋" w:eastAsia="仿宋" w:cs="仿宋_GB2312"/>
          <w:sz w:val="32"/>
          <w:szCs w:val="32"/>
        </w:rPr>
        <w:t>2018年度“三公”经费财政拨款支出决算为0万元，完成预算100%，决算数与预算数持平。</w:t>
      </w:r>
    </w:p>
    <w:p>
      <w:pPr>
        <w:ind w:firstLine="643" w:firstLineChars="200"/>
        <w:outlineLvl w:val="1"/>
        <w:rPr>
          <w:rFonts w:hint="eastAsia" w:ascii="楷体_GB2312" w:hAnsi="楷体_GB2312" w:eastAsia="楷体_GB2312" w:cs="楷体_GB2312"/>
          <w:b/>
          <w:bCs/>
          <w:sz w:val="32"/>
          <w:szCs w:val="32"/>
        </w:rPr>
      </w:pPr>
      <w:bookmarkStart w:id="33" w:name="_Toc26260"/>
      <w:r>
        <w:rPr>
          <w:rFonts w:hint="eastAsia" w:ascii="楷体_GB2312" w:hAnsi="楷体_GB2312" w:eastAsia="楷体_GB2312" w:cs="楷体_GB2312"/>
          <w:b/>
          <w:bCs/>
          <w:sz w:val="32"/>
          <w:szCs w:val="32"/>
        </w:rPr>
        <w:t>（二）“三公”经费财政拨款支出决算具体情况说明</w:t>
      </w:r>
      <w:bookmarkEnd w:id="33"/>
    </w:p>
    <w:p>
      <w:pPr>
        <w:rPr>
          <w:rFonts w:ascii="仿宋" w:hAnsi="仿宋" w:eastAsia="仿宋" w:cs="仿宋_GB2312"/>
          <w:sz w:val="32"/>
          <w:szCs w:val="32"/>
        </w:rPr>
      </w:pPr>
      <w:r>
        <w:rPr>
          <w:rFonts w:hint="eastAsia" w:ascii="仿宋" w:hAnsi="仿宋" w:eastAsia="仿宋" w:cs="仿宋_GB2312"/>
          <w:sz w:val="32"/>
          <w:szCs w:val="32"/>
        </w:rPr>
        <w:t>2018年度“三公”经费财政拨款支出决算中，因公出国（境）费支出决算0万元，占0%；公务用车购置及运行维护费支出决算0万元，占0%；公务接待费支出决算0万元，占0%。具体情况如下：</w:t>
      </w:r>
    </w:p>
    <w:p>
      <w:pPr>
        <w:ind w:firstLine="640" w:firstLineChars="200"/>
        <w:outlineLvl w:val="2"/>
        <w:rPr>
          <w:rFonts w:ascii="仿宋" w:hAnsi="仿宋" w:eastAsia="仿宋" w:cs="仿宋_GB2312"/>
          <w:sz w:val="32"/>
          <w:szCs w:val="32"/>
        </w:rPr>
      </w:pPr>
      <w:bookmarkStart w:id="34" w:name="_Toc14000"/>
      <w:r>
        <w:rPr>
          <w:rFonts w:hint="eastAsia" w:ascii="仿宋" w:hAnsi="仿宋" w:eastAsia="仿宋" w:cs="仿宋_GB2312"/>
          <w:sz w:val="32"/>
          <w:szCs w:val="32"/>
        </w:rPr>
        <w:t>1.因公出国（境）经费支出0万元。全年安排因公出国</w:t>
      </w:r>
      <w:bookmarkEnd w:id="34"/>
    </w:p>
    <w:p>
      <w:pPr>
        <w:rPr>
          <w:rFonts w:ascii="仿宋" w:hAnsi="仿宋" w:eastAsia="仿宋" w:cs="仿宋_GB2312"/>
          <w:sz w:val="32"/>
          <w:szCs w:val="32"/>
        </w:rPr>
      </w:pPr>
      <w:r>
        <w:rPr>
          <w:rFonts w:hint="eastAsia" w:ascii="仿宋" w:hAnsi="仿宋" w:eastAsia="仿宋" w:cs="仿宋_GB2312"/>
          <w:sz w:val="32"/>
          <w:szCs w:val="32"/>
        </w:rPr>
        <w:t>（境）团组0次，出国（境）0人。因公出国（境）支出决算比2016年比无变化。</w:t>
      </w:r>
    </w:p>
    <w:p>
      <w:pPr>
        <w:ind w:firstLine="640" w:firstLineChars="200"/>
        <w:outlineLvl w:val="2"/>
        <w:rPr>
          <w:rFonts w:ascii="仿宋" w:hAnsi="仿宋" w:eastAsia="仿宋" w:cs="仿宋_GB2312"/>
          <w:sz w:val="32"/>
          <w:szCs w:val="32"/>
        </w:rPr>
      </w:pPr>
      <w:bookmarkStart w:id="35" w:name="_Toc31491"/>
      <w:r>
        <w:rPr>
          <w:rFonts w:hint="eastAsia" w:ascii="仿宋" w:hAnsi="仿宋" w:eastAsia="仿宋" w:cs="仿宋_GB2312"/>
          <w:sz w:val="32"/>
          <w:szCs w:val="32"/>
        </w:rPr>
        <w:t>2.公务用车购置及运行维护费支出0万元。其中：</w:t>
      </w:r>
      <w:bookmarkEnd w:id="35"/>
    </w:p>
    <w:p>
      <w:pPr>
        <w:rPr>
          <w:rFonts w:ascii="仿宋" w:hAnsi="仿宋" w:eastAsia="仿宋" w:cs="仿宋_GB2312"/>
          <w:sz w:val="32"/>
          <w:szCs w:val="32"/>
        </w:rPr>
      </w:pPr>
      <w:r>
        <w:rPr>
          <w:rFonts w:hint="eastAsia" w:ascii="仿宋" w:hAnsi="仿宋" w:eastAsia="仿宋" w:cs="仿宋_GB2312"/>
          <w:sz w:val="32"/>
          <w:szCs w:val="32"/>
        </w:rPr>
        <w:t>公务用车购置支出0万元。</w:t>
      </w:r>
    </w:p>
    <w:p>
      <w:pPr>
        <w:rPr>
          <w:rFonts w:ascii="仿宋" w:hAnsi="仿宋" w:eastAsia="仿宋" w:cs="仿宋_GB2312"/>
          <w:sz w:val="32"/>
          <w:szCs w:val="32"/>
        </w:rPr>
      </w:pPr>
      <w:r>
        <w:rPr>
          <w:rFonts w:hint="eastAsia" w:ascii="仿宋" w:hAnsi="仿宋" w:eastAsia="仿宋" w:cs="仿宋_GB2312"/>
          <w:sz w:val="32"/>
          <w:szCs w:val="32"/>
        </w:rPr>
        <w:t>公务用车运行维护费支出0万元。</w:t>
      </w:r>
    </w:p>
    <w:p>
      <w:pPr>
        <w:ind w:firstLine="640" w:firstLineChars="200"/>
        <w:outlineLvl w:val="2"/>
        <w:rPr>
          <w:rFonts w:ascii="仿宋" w:hAnsi="仿宋" w:eastAsia="仿宋" w:cs="仿宋_GB2312"/>
          <w:sz w:val="32"/>
          <w:szCs w:val="32"/>
        </w:rPr>
      </w:pPr>
      <w:bookmarkStart w:id="36" w:name="_Toc15621"/>
      <w:r>
        <w:rPr>
          <w:rFonts w:hint="eastAsia" w:ascii="仿宋" w:hAnsi="仿宋" w:eastAsia="仿宋" w:cs="仿宋_GB2312"/>
          <w:sz w:val="32"/>
          <w:szCs w:val="32"/>
        </w:rPr>
        <w:t>3.公务接待费支出0万元。</w:t>
      </w:r>
      <w:bookmarkEnd w:id="36"/>
    </w:p>
    <w:p>
      <w:pPr>
        <w:ind w:firstLine="640" w:firstLineChars="200"/>
        <w:outlineLvl w:val="0"/>
        <w:rPr>
          <w:rFonts w:hint="eastAsia" w:ascii="黑体" w:hAnsi="黑体" w:eastAsia="黑体" w:cs="黑体"/>
          <w:sz w:val="32"/>
          <w:szCs w:val="32"/>
        </w:rPr>
      </w:pPr>
      <w:bookmarkStart w:id="37" w:name="_Toc13299"/>
      <w:bookmarkStart w:id="38" w:name="_Toc826"/>
      <w:bookmarkStart w:id="39" w:name="_Toc3763"/>
      <w:r>
        <w:rPr>
          <w:rFonts w:hint="eastAsia" w:ascii="黑体" w:hAnsi="黑体" w:eastAsia="黑体" w:cs="黑体"/>
          <w:sz w:val="32"/>
          <w:szCs w:val="32"/>
        </w:rPr>
        <w:t>八、政府性基金预算支出决算情况说明</w:t>
      </w:r>
      <w:bookmarkEnd w:id="37"/>
      <w:bookmarkEnd w:id="38"/>
      <w:bookmarkEnd w:id="39"/>
    </w:p>
    <w:p>
      <w:pPr>
        <w:ind w:firstLine="640" w:firstLineChars="200"/>
        <w:rPr>
          <w:rFonts w:ascii="仿宋" w:hAnsi="仿宋" w:eastAsia="仿宋" w:cs="仿宋_GB2312"/>
          <w:sz w:val="32"/>
          <w:szCs w:val="32"/>
        </w:rPr>
      </w:pPr>
      <w:r>
        <w:rPr>
          <w:rFonts w:hint="eastAsia" w:ascii="仿宋" w:hAnsi="仿宋" w:eastAsia="仿宋" w:cs="仿宋_GB2312"/>
          <w:sz w:val="32"/>
          <w:szCs w:val="32"/>
        </w:rPr>
        <w:t>2018年度政府性基金预算拨款支出0万元。</w:t>
      </w:r>
    </w:p>
    <w:p>
      <w:pPr>
        <w:ind w:firstLine="640" w:firstLineChars="200"/>
        <w:outlineLvl w:val="0"/>
        <w:rPr>
          <w:rFonts w:hint="eastAsia" w:ascii="黑体" w:hAnsi="黑体" w:eastAsia="黑体" w:cs="黑体"/>
          <w:sz w:val="32"/>
          <w:szCs w:val="32"/>
        </w:rPr>
      </w:pPr>
      <w:bookmarkStart w:id="40" w:name="_Toc15177"/>
      <w:bookmarkStart w:id="41" w:name="_Toc30265"/>
      <w:bookmarkStart w:id="42" w:name="_Toc8283"/>
      <w:r>
        <w:rPr>
          <w:rFonts w:hint="eastAsia" w:ascii="黑体" w:hAnsi="黑体" w:eastAsia="黑体" w:cs="黑体"/>
          <w:sz w:val="32"/>
          <w:szCs w:val="32"/>
        </w:rPr>
        <w:t>九、国有资本经营预算支出决算情况说明</w:t>
      </w:r>
      <w:bookmarkEnd w:id="40"/>
      <w:bookmarkEnd w:id="41"/>
      <w:bookmarkEnd w:id="42"/>
    </w:p>
    <w:p>
      <w:pPr>
        <w:ind w:firstLine="640" w:firstLineChars="200"/>
        <w:rPr>
          <w:rFonts w:ascii="仿宋" w:hAnsi="仿宋" w:eastAsia="仿宋" w:cs="仿宋_GB2312"/>
          <w:sz w:val="32"/>
          <w:szCs w:val="32"/>
        </w:rPr>
      </w:pPr>
      <w:r>
        <w:rPr>
          <w:rFonts w:hint="eastAsia" w:ascii="仿宋" w:hAnsi="仿宋" w:eastAsia="仿宋" w:cs="仿宋_GB2312"/>
          <w:sz w:val="32"/>
          <w:szCs w:val="32"/>
        </w:rPr>
        <w:t>2018年度国有资本经营预算拨款支出0万元。</w:t>
      </w:r>
    </w:p>
    <w:p>
      <w:pPr>
        <w:ind w:firstLine="640" w:firstLineChars="200"/>
        <w:outlineLvl w:val="0"/>
        <w:rPr>
          <w:rFonts w:hint="eastAsia" w:ascii="黑体" w:hAnsi="黑体" w:eastAsia="黑体" w:cs="黑体"/>
          <w:sz w:val="32"/>
          <w:szCs w:val="32"/>
        </w:rPr>
      </w:pPr>
      <w:bookmarkStart w:id="43" w:name="_Toc31845"/>
      <w:bookmarkStart w:id="44" w:name="_Toc11127"/>
      <w:bookmarkStart w:id="45" w:name="_Toc26124"/>
      <w:r>
        <w:rPr>
          <w:rFonts w:hint="eastAsia" w:ascii="黑体" w:hAnsi="黑体" w:eastAsia="黑体" w:cs="黑体"/>
          <w:sz w:val="32"/>
          <w:szCs w:val="32"/>
        </w:rPr>
        <w:t>十、其他重要事项的情况说明</w:t>
      </w:r>
      <w:bookmarkEnd w:id="43"/>
      <w:bookmarkEnd w:id="44"/>
      <w:bookmarkEnd w:id="45"/>
    </w:p>
    <w:p>
      <w:pPr>
        <w:ind w:firstLine="643" w:firstLineChars="200"/>
        <w:outlineLvl w:val="1"/>
        <w:rPr>
          <w:rFonts w:hint="eastAsia" w:ascii="楷体" w:hAnsi="楷体" w:eastAsia="楷体" w:cs="楷体"/>
          <w:b/>
          <w:bCs/>
          <w:sz w:val="32"/>
          <w:szCs w:val="32"/>
        </w:rPr>
      </w:pPr>
      <w:bookmarkStart w:id="46" w:name="_Toc1520"/>
      <w:r>
        <w:rPr>
          <w:rFonts w:hint="eastAsia" w:ascii="楷体" w:hAnsi="楷体" w:eastAsia="楷体" w:cs="楷体"/>
          <w:b/>
          <w:bCs/>
          <w:sz w:val="32"/>
          <w:szCs w:val="32"/>
        </w:rPr>
        <w:t>（一）机关运行经费支出情况</w:t>
      </w:r>
      <w:bookmarkEnd w:id="46"/>
    </w:p>
    <w:p>
      <w:pPr>
        <w:rPr>
          <w:rFonts w:ascii="仿宋" w:hAnsi="仿宋" w:eastAsia="仿宋" w:cs="仿宋_GB2312"/>
          <w:sz w:val="32"/>
          <w:szCs w:val="32"/>
        </w:rPr>
      </w:pPr>
      <w:r>
        <w:rPr>
          <w:rFonts w:hint="eastAsia" w:ascii="仿宋" w:hAnsi="仿宋" w:eastAsia="仿宋" w:cs="仿宋_GB2312"/>
          <w:sz w:val="32"/>
          <w:szCs w:val="32"/>
        </w:rPr>
        <w:t>2018年度，金川县总工会机关运行经费支出197.3万元，比2017年增加28.42万元，增长16.83%，主要原因是工会经费增加。</w:t>
      </w:r>
    </w:p>
    <w:p>
      <w:pPr>
        <w:ind w:firstLine="643" w:firstLineChars="200"/>
        <w:outlineLvl w:val="1"/>
        <w:rPr>
          <w:rFonts w:hint="eastAsia" w:ascii="楷体" w:hAnsi="楷体" w:eastAsia="楷体" w:cs="楷体"/>
          <w:b/>
          <w:bCs/>
          <w:sz w:val="32"/>
          <w:szCs w:val="32"/>
        </w:rPr>
      </w:pPr>
      <w:bookmarkStart w:id="47" w:name="_Toc10375"/>
      <w:r>
        <w:rPr>
          <w:rFonts w:hint="eastAsia" w:ascii="楷体" w:hAnsi="楷体" w:eastAsia="楷体" w:cs="楷体"/>
          <w:b/>
          <w:bCs/>
          <w:sz w:val="32"/>
          <w:szCs w:val="32"/>
        </w:rPr>
        <w:t>（二）政府采购支出情况</w:t>
      </w:r>
      <w:bookmarkEnd w:id="47"/>
    </w:p>
    <w:p>
      <w:pPr>
        <w:rPr>
          <w:rFonts w:ascii="仿宋" w:hAnsi="仿宋" w:eastAsia="仿宋" w:cs="仿宋_GB2312"/>
          <w:sz w:val="32"/>
          <w:szCs w:val="32"/>
        </w:rPr>
      </w:pPr>
      <w:r>
        <w:rPr>
          <w:rFonts w:hint="eastAsia" w:ascii="仿宋" w:hAnsi="仿宋" w:eastAsia="仿宋" w:cs="仿宋_GB2312"/>
          <w:sz w:val="32"/>
          <w:szCs w:val="32"/>
        </w:rPr>
        <w:t>2018年度，金川县总工会政府采购支出总额0万元。</w:t>
      </w:r>
    </w:p>
    <w:p>
      <w:pPr>
        <w:ind w:firstLine="643" w:firstLineChars="200"/>
        <w:outlineLvl w:val="1"/>
        <w:rPr>
          <w:rFonts w:hint="eastAsia" w:ascii="楷体" w:hAnsi="楷体" w:eastAsia="楷体" w:cs="楷体"/>
          <w:b/>
          <w:bCs/>
          <w:sz w:val="32"/>
          <w:szCs w:val="32"/>
        </w:rPr>
      </w:pPr>
      <w:bookmarkStart w:id="48" w:name="_Toc31373"/>
      <w:r>
        <w:rPr>
          <w:rFonts w:hint="eastAsia" w:ascii="楷体" w:hAnsi="楷体" w:eastAsia="楷体" w:cs="楷体"/>
          <w:b/>
          <w:bCs/>
          <w:sz w:val="32"/>
          <w:szCs w:val="32"/>
        </w:rPr>
        <w:t>（三）国有资产占有使用情况</w:t>
      </w:r>
      <w:bookmarkEnd w:id="48"/>
    </w:p>
    <w:p>
      <w:pPr>
        <w:autoSpaceDE w:val="0"/>
        <w:autoSpaceDN w:val="0"/>
        <w:adjustRightInd w:val="0"/>
        <w:spacing w:line="600" w:lineRule="exact"/>
        <w:jc w:val="left"/>
        <w:rPr>
          <w:rFonts w:ascii="仿宋" w:hAnsi="仿宋" w:eastAsia="仿宋" w:cs="仿宋_GB2312"/>
          <w:color w:val="000000"/>
          <w:sz w:val="32"/>
          <w:szCs w:val="32"/>
        </w:rPr>
      </w:pPr>
      <w:r>
        <w:rPr>
          <w:rFonts w:hint="eastAsia" w:ascii="仿宋" w:hAnsi="仿宋" w:eastAsia="仿宋" w:cs="仿宋_GB2312"/>
          <w:sz w:val="32"/>
          <w:szCs w:val="32"/>
        </w:rPr>
        <w:t>截至2018年12月31日，我会资产总计1.28万元，均为其他固定资产，</w:t>
      </w:r>
      <w:r>
        <w:rPr>
          <w:rFonts w:hint="eastAsia" w:ascii="仿宋" w:hAnsi="仿宋" w:eastAsia="仿宋" w:cs="仿宋_GB2312"/>
          <w:color w:val="000000"/>
          <w:sz w:val="32"/>
          <w:szCs w:val="32"/>
        </w:rPr>
        <w:t>无单价50万元以上通用设备，无单价100万元以上专用设备。</w:t>
      </w:r>
    </w:p>
    <w:p>
      <w:pPr>
        <w:ind w:firstLine="643" w:firstLineChars="200"/>
        <w:outlineLvl w:val="1"/>
        <w:rPr>
          <w:rFonts w:hint="eastAsia" w:ascii="楷体" w:hAnsi="楷体" w:eastAsia="楷体" w:cs="楷体"/>
          <w:b/>
          <w:bCs/>
          <w:sz w:val="32"/>
          <w:szCs w:val="32"/>
        </w:rPr>
      </w:pPr>
      <w:bookmarkStart w:id="49" w:name="_Toc12490"/>
      <w:r>
        <w:rPr>
          <w:rFonts w:hint="eastAsia" w:ascii="楷体" w:hAnsi="楷体" w:eastAsia="楷体" w:cs="楷体"/>
          <w:b/>
          <w:bCs/>
          <w:sz w:val="32"/>
          <w:szCs w:val="32"/>
        </w:rPr>
        <w:t>（四）预算绩效情况</w:t>
      </w:r>
      <w:bookmarkEnd w:id="49"/>
    </w:p>
    <w:p>
      <w:pPr>
        <w:outlineLvl w:val="2"/>
        <w:rPr>
          <w:rFonts w:ascii="仿宋" w:hAnsi="仿宋" w:eastAsia="仿宋" w:cs="仿宋_GB2312"/>
          <w:sz w:val="32"/>
          <w:szCs w:val="32"/>
        </w:rPr>
      </w:pPr>
      <w:bookmarkStart w:id="50" w:name="_Toc15380"/>
      <w:r>
        <w:rPr>
          <w:rFonts w:hint="eastAsia" w:ascii="仿宋" w:hAnsi="仿宋" w:eastAsia="仿宋" w:cs="仿宋_GB2312"/>
          <w:sz w:val="32"/>
          <w:szCs w:val="32"/>
        </w:rPr>
        <w:t>1.绩效目标管理情况。</w:t>
      </w:r>
      <w:bookmarkEnd w:id="50"/>
    </w:p>
    <w:p>
      <w:pPr>
        <w:rPr>
          <w:rFonts w:ascii="仿宋" w:hAnsi="仿宋" w:eastAsia="仿宋" w:cs="仿宋_GB2312"/>
          <w:sz w:val="32"/>
          <w:szCs w:val="32"/>
        </w:rPr>
      </w:pPr>
      <w:r>
        <w:rPr>
          <w:rFonts w:hint="eastAsia" w:ascii="仿宋" w:hAnsi="仿宋" w:eastAsia="仿宋" w:cs="仿宋_GB2312"/>
          <w:sz w:val="32"/>
          <w:szCs w:val="32"/>
        </w:rPr>
        <w:t>按照预算绩效管理要求，本部门对2018年一般公共预算项目支出开展了绩效目标管理，共编制绩效目标1个，涉及财政资金11.93万元，覆盖率达到100%。</w:t>
      </w:r>
    </w:p>
    <w:p>
      <w:pPr>
        <w:outlineLvl w:val="2"/>
        <w:rPr>
          <w:rFonts w:ascii="仿宋" w:hAnsi="仿宋" w:eastAsia="仿宋" w:cs="仿宋_GB2312"/>
          <w:sz w:val="32"/>
          <w:szCs w:val="32"/>
        </w:rPr>
      </w:pPr>
      <w:bookmarkStart w:id="51" w:name="_Toc14181"/>
      <w:r>
        <w:rPr>
          <w:rFonts w:hint="eastAsia" w:ascii="仿宋" w:hAnsi="仿宋" w:eastAsia="仿宋" w:cs="仿宋_GB2312"/>
          <w:sz w:val="32"/>
          <w:szCs w:val="32"/>
        </w:rPr>
        <w:t>2.部门整体支出绩效自评开展情况。</w:t>
      </w:r>
      <w:bookmarkEnd w:id="51"/>
    </w:p>
    <w:p>
      <w:pPr>
        <w:rPr>
          <w:rFonts w:ascii="仿宋" w:hAnsi="仿宋" w:eastAsia="仿宋" w:cs="仿宋_GB2312"/>
          <w:sz w:val="32"/>
          <w:szCs w:val="32"/>
        </w:rPr>
      </w:pPr>
      <w:r>
        <w:rPr>
          <w:rFonts w:hint="eastAsia" w:ascii="仿宋" w:hAnsi="仿宋" w:eastAsia="仿宋" w:cs="仿宋_GB2312"/>
          <w:sz w:val="32"/>
          <w:szCs w:val="32"/>
        </w:rPr>
        <w:t>按照预算绩效管理要求，本部门对2018年整体支出开展绩效自评，自评得分97.5分。存在的问题是</w:t>
      </w:r>
      <w:r>
        <w:rPr>
          <w:rFonts w:hint="eastAsia" w:ascii="仿宋" w:hAnsi="仿宋" w:eastAsia="仿宋"/>
          <w:sz w:val="32"/>
          <w:szCs w:val="32"/>
        </w:rPr>
        <w:t>绩效目标设置指向不清、预算和目标匹配不足，数量目标和质量目标量化不细，</w:t>
      </w:r>
      <w:r>
        <w:rPr>
          <w:rFonts w:hint="eastAsia" w:ascii="仿宋" w:hAnsi="仿宋" w:eastAsia="仿宋" w:cs="仿宋_GB2312"/>
          <w:sz w:val="32"/>
          <w:szCs w:val="32"/>
        </w:rPr>
        <w:t>下一步我会将</w:t>
      </w:r>
      <w:r>
        <w:rPr>
          <w:rFonts w:hint="eastAsia" w:ascii="仿宋" w:hAnsi="仿宋" w:eastAsia="仿宋"/>
          <w:sz w:val="32"/>
          <w:szCs w:val="32"/>
        </w:rPr>
        <w:t>进一步提高预算绩效管理认识，强化以“绩效为中心、对支出结果负责；进一步提高预算绩效评价质量。</w:t>
      </w:r>
    </w:p>
    <w:p>
      <w:pPr>
        <w:rPr>
          <w:rFonts w:ascii="仿宋" w:hAnsi="仿宋" w:eastAsia="仿宋" w:cs="仿宋_GB2312"/>
          <w:sz w:val="32"/>
          <w:szCs w:val="32"/>
        </w:rPr>
      </w:pPr>
    </w:p>
    <w:p>
      <w:pPr>
        <w:numPr>
          <w:ilvl w:val="0"/>
          <w:numId w:val="2"/>
        </w:numPr>
        <w:ind w:left="630" w:leftChars="0" w:firstLineChars="0"/>
        <w:outlineLvl w:val="0"/>
        <w:rPr>
          <w:rFonts w:hint="eastAsia" w:ascii="黑体" w:hAnsi="黑体" w:eastAsia="黑体" w:cs="黑体"/>
          <w:sz w:val="32"/>
          <w:szCs w:val="32"/>
        </w:rPr>
      </w:pPr>
      <w:bookmarkStart w:id="52" w:name="_Toc25550"/>
      <w:bookmarkStart w:id="53" w:name="_Toc14420"/>
      <w:bookmarkStart w:id="54" w:name="_Toc19215"/>
      <w:r>
        <w:rPr>
          <w:rFonts w:hint="eastAsia" w:ascii="黑体" w:hAnsi="黑体" w:eastAsia="黑体" w:cs="黑体"/>
          <w:sz w:val="32"/>
          <w:szCs w:val="32"/>
        </w:rPr>
        <w:t>名词解释</w:t>
      </w:r>
      <w:bookmarkEnd w:id="52"/>
      <w:bookmarkEnd w:id="53"/>
      <w:bookmarkEnd w:id="54"/>
    </w:p>
    <w:p>
      <w:pPr>
        <w:ind w:firstLine="640" w:firstLineChars="200"/>
        <w:rPr>
          <w:rFonts w:ascii="仿宋" w:hAnsi="仿宋" w:eastAsia="仿宋" w:cs="仿宋_GB2312"/>
          <w:sz w:val="32"/>
          <w:szCs w:val="32"/>
        </w:rPr>
      </w:pPr>
      <w:r>
        <w:rPr>
          <w:rFonts w:hint="eastAsia" w:ascii="仿宋" w:hAnsi="仿宋" w:eastAsia="仿宋" w:cs="仿宋_GB2312"/>
          <w:sz w:val="32"/>
          <w:szCs w:val="32"/>
        </w:rPr>
        <w:t>1.财政拨款收入：指单位从同级财政部门取得的财政预算资金。</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2. 一般公共服务（类）201（款）29（项）01—行政运行：指反映行政单位（包括实行公务员管理的事业单位）的基本支出。</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3、一般公共服务（类）201（款）29（项）99—其他群团事务支出：反映除上述项目以外其他用于群众团体事务方面的支出。</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4.社会保障和就业支出（类）208（款）05（项）05—机关事业单位基本养老保险缴费支出：反映机关事业单位实施养老保险制度的单位缴纳的基本养老保险费支出。</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5. 社会保障和就业支出（类）208（款）05（项）06—机关事业单位职业年金缴费支出：反映机关事业单位实施养老保险制度匝单位缴纳的职业年金支出。</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6.医疗卫生与计划生育支出(类）210（款）05（项）01—行政单位医疗：反映财政部门集中安排的行政单位基本医疗保险</w:t>
      </w:r>
      <w:r>
        <w:rPr>
          <w:rFonts w:hint="eastAsia" w:ascii="仿宋" w:hAnsi="仿宋" w:eastAsia="仿宋" w:cs="仿宋_GB2312"/>
          <w:sz w:val="32"/>
          <w:szCs w:val="32"/>
          <w:lang w:eastAsia="zh-CN"/>
        </w:rPr>
        <w:t>缴费</w:t>
      </w:r>
      <w:r>
        <w:rPr>
          <w:rFonts w:hint="eastAsia" w:ascii="仿宋" w:hAnsi="仿宋" w:eastAsia="仿宋" w:cs="仿宋_GB2312"/>
          <w:sz w:val="32"/>
          <w:szCs w:val="32"/>
        </w:rPr>
        <w:t>经费。</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7、住房保障支出(类）221（款）02（项）01—住房公积金：反映行政事业单位按人力资源和社会保障部、财政部规定的基本工资和津贴补贴以及规定比例为职工缴纳的住房公积金。</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8、住房保障支出(类）221（款）02（项）03—购房补贴：反映按房改政策规定，行政事业单位向符合条件职工（含退休人员）、军队（含武警）向转役</w:t>
      </w:r>
      <w:bookmarkStart w:id="55" w:name="_GoBack"/>
      <w:bookmarkEnd w:id="55"/>
      <w:r>
        <w:rPr>
          <w:rFonts w:hint="eastAsia" w:ascii="仿宋" w:hAnsi="仿宋" w:eastAsia="仿宋" w:cs="仿宋_GB2312"/>
          <w:sz w:val="32"/>
          <w:szCs w:val="32"/>
        </w:rPr>
        <w:t>复员离退休人员发放的用于购买住房的补贴。</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9.年末结转和结余：指本年度或以前年度预算安排、因客观条件发生变化无法按原计划实施，需延迟到以后年度按有关规定继续使用的资金。就是2018年度残疾人保障金。</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10.基本支出：指为保障机构正常运转、完成日常工作任务而发生的人员支出和公用支出。</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11.项目支出：指在基本支出之外为完成特定行政任务和事业发展目标所发生的支出。用于特困职工的帮扶资金。</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12.“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rPr>
          <w:rFonts w:ascii="仿宋" w:hAnsi="仿宋" w:eastAsia="仿宋" w:cs="仿宋_GB2312"/>
          <w:sz w:val="32"/>
          <w:szCs w:val="32"/>
        </w:rPr>
      </w:pPr>
    </w:p>
    <w:p>
      <w:pPr>
        <w:rPr>
          <w:rFonts w:ascii="仿宋" w:hAnsi="仿宋" w:eastAsia="仿宋" w:cs="仿宋_GB2312"/>
          <w:sz w:val="32"/>
          <w:szCs w:val="32"/>
        </w:rPr>
      </w:pPr>
      <w:r>
        <w:rPr>
          <w:rFonts w:hint="eastAsia" w:ascii="仿宋" w:hAnsi="仿宋" w:eastAsia="仿宋" w:cs="仿宋_GB2312"/>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08717"/>
    <w:multiLevelType w:val="singleLevel"/>
    <w:tmpl w:val="87508717"/>
    <w:lvl w:ilvl="0" w:tentative="0">
      <w:start w:val="1"/>
      <w:numFmt w:val="chineseCounting"/>
      <w:suff w:val="nothing"/>
      <w:lvlText w:val="%1、"/>
      <w:lvlJc w:val="left"/>
      <w:rPr>
        <w:rFonts w:hint="eastAsia"/>
      </w:rPr>
    </w:lvl>
  </w:abstractNum>
  <w:abstractNum w:abstractNumId="1">
    <w:nsid w:val="6A40F53C"/>
    <w:multiLevelType w:val="singleLevel"/>
    <w:tmpl w:val="6A40F53C"/>
    <w:lvl w:ilvl="0" w:tentative="0">
      <w:start w:val="11"/>
      <w:numFmt w:val="chineseCounting"/>
      <w:suff w:val="nothing"/>
      <w:lvlText w:val="%1、"/>
      <w:lvlJc w:val="left"/>
      <w:pPr>
        <w:ind w:left="63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30DA4"/>
    <w:rsid w:val="0024659A"/>
    <w:rsid w:val="00730DA4"/>
    <w:rsid w:val="00E30DE6"/>
    <w:rsid w:val="01841829"/>
    <w:rsid w:val="06CB67F1"/>
    <w:rsid w:val="072E1D6E"/>
    <w:rsid w:val="093A5A8A"/>
    <w:rsid w:val="0B5260EF"/>
    <w:rsid w:val="11F125B4"/>
    <w:rsid w:val="1723614E"/>
    <w:rsid w:val="197E75F2"/>
    <w:rsid w:val="1AC34CB8"/>
    <w:rsid w:val="1B3B2E1F"/>
    <w:rsid w:val="1F5E1636"/>
    <w:rsid w:val="24744616"/>
    <w:rsid w:val="2A8422B3"/>
    <w:rsid w:val="2F657381"/>
    <w:rsid w:val="347E4299"/>
    <w:rsid w:val="38A32533"/>
    <w:rsid w:val="3D021988"/>
    <w:rsid w:val="3D8F7F13"/>
    <w:rsid w:val="442C001D"/>
    <w:rsid w:val="46A53123"/>
    <w:rsid w:val="4CFE62ED"/>
    <w:rsid w:val="4E0611D0"/>
    <w:rsid w:val="585642E3"/>
    <w:rsid w:val="5D730ED2"/>
    <w:rsid w:val="605E2150"/>
    <w:rsid w:val="62A742D2"/>
    <w:rsid w:val="69A37BD2"/>
    <w:rsid w:val="731A2921"/>
    <w:rsid w:val="75B87841"/>
    <w:rsid w:val="7E2C5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99"/>
    <w:pPr>
      <w:ind w:left="200" w:leftChars="200" w:hanging="200" w:hangingChars="200"/>
    </w:pPr>
  </w:style>
  <w:style w:type="paragraph" w:styleId="7">
    <w:name w:val="toc 3"/>
    <w:basedOn w:val="1"/>
    <w:next w:val="1"/>
    <w:qFormat/>
    <w:uiPriority w:val="0"/>
    <w:pPr>
      <w:ind w:left="840" w:leftChars="400"/>
    </w:p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Autospacing="1" w:afterAutospacing="1"/>
      <w:jc w:val="left"/>
    </w:pPr>
    <w:rPr>
      <w:rFonts w:cs="Times New Roman"/>
      <w:color w:val="FF3300"/>
      <w:kern w:val="0"/>
      <w:sz w:val="24"/>
      <w:u w:val="single"/>
    </w:rPr>
  </w:style>
  <w:style w:type="character" w:styleId="15">
    <w:name w:val="Strong"/>
    <w:basedOn w:val="14"/>
    <w:qFormat/>
    <w:uiPriority w:val="0"/>
    <w:rPr>
      <w:b/>
    </w:rPr>
  </w:style>
  <w:style w:type="character" w:styleId="16">
    <w:name w:val="FollowedHyperlink"/>
    <w:basedOn w:val="14"/>
    <w:qFormat/>
    <w:uiPriority w:val="0"/>
    <w:rPr>
      <w:color w:val="4E4342"/>
      <w:u w:val="none"/>
    </w:rPr>
  </w:style>
  <w:style w:type="character" w:styleId="17">
    <w:name w:val="Hyperlink"/>
    <w:basedOn w:val="14"/>
    <w:qFormat/>
    <w:uiPriority w:val="0"/>
    <w:rPr>
      <w:color w:val="4E4342"/>
      <w:u w:val="none"/>
    </w:rPr>
  </w:style>
  <w:style w:type="paragraph" w:customStyle="1" w:styleId="18">
    <w:name w:val="WPSOffice手动目录 1"/>
    <w:uiPriority w:val="0"/>
    <w:pPr>
      <w:ind w:leftChars="0"/>
    </w:pPr>
    <w:rPr>
      <w:rFonts w:ascii="Times New Roman" w:hAnsi="Times New Roman" w:eastAsia="宋体" w:cs="Times New Roman"/>
      <w:sz w:val="20"/>
      <w:szCs w:val="20"/>
    </w:rPr>
  </w:style>
  <w:style w:type="paragraph" w:customStyle="1" w:styleId="19">
    <w:name w:val="WPSOffice手动目录 2"/>
    <w:uiPriority w:val="0"/>
    <w:pPr>
      <w:ind w:leftChars="200"/>
    </w:pPr>
    <w:rPr>
      <w:rFonts w:ascii="Times New Roman" w:hAnsi="Times New Roman" w:eastAsia="宋体" w:cs="Times New Roman"/>
      <w:sz w:val="20"/>
      <w:szCs w:val="20"/>
    </w:rPr>
  </w:style>
  <w:style w:type="paragraph" w:customStyle="1" w:styleId="20">
    <w:name w:val="WPSOffice手动目录 3"/>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4685</Words>
  <Characters>676</Characters>
  <Lines>5</Lines>
  <Paragraphs>10</Paragraphs>
  <TotalTime>2</TotalTime>
  <ScaleCrop>false</ScaleCrop>
  <LinksUpToDate>false</LinksUpToDate>
  <CharactersWithSpaces>5351</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平淡无奇</cp:lastModifiedBy>
  <dcterms:modified xsi:type="dcterms:W3CDTF">2021-06-07T03:15:37Z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FEE2E68F0821433E8E8B1BC46972EB84</vt:lpwstr>
  </property>
</Properties>
</file>