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eastAsia="方正小标宋简体"/>
          <w:sz w:val="72"/>
          <w:szCs w:val="72"/>
        </w:rPr>
      </w:pPr>
      <w:bookmarkStart w:id="0" w:name="_Toc15306267"/>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1" w:name="_Toc15396597"/>
      <w:bookmarkStart w:id="2" w:name="_Toc15378441"/>
      <w:bookmarkStart w:id="3" w:name="_Toc15396475"/>
      <w:bookmarkStart w:id="4" w:name="_Toc15377425"/>
      <w:bookmarkStart w:id="5" w:name="_Toc15377193"/>
      <w:r>
        <w:rPr>
          <w:rFonts w:eastAsia="黑体"/>
          <w:sz w:val="72"/>
          <w:szCs w:val="72"/>
        </w:rPr>
        <w:t>202</w:t>
      </w:r>
      <w:r>
        <w:rPr>
          <w:rFonts w:eastAsia="黑体" w:hint="eastAsia"/>
          <w:sz w:val="72"/>
          <w:szCs w:val="72"/>
        </w:rPr>
        <w:t>2</w:t>
      </w:r>
      <w:r>
        <w:rPr>
          <w:rFonts w:eastAsia="方正小标宋简体"/>
          <w:sz w:val="72"/>
          <w:szCs w:val="72"/>
        </w:rPr>
        <w:t>年度</w:t>
      </w:r>
      <w:bookmarkEnd w:id="1"/>
      <w:bookmarkEnd w:id="2"/>
      <w:bookmarkEnd w:id="3"/>
      <w:bookmarkEnd w:id="4"/>
      <w:bookmarkEnd w:id="5"/>
    </w:p>
    <w:p>
      <w:pPr>
        <w:adjustRightInd w:val="0"/>
        <w:snapToGrid w:val="0"/>
        <w:spacing w:line="360" w:lineRule="auto"/>
        <w:jc w:val="center"/>
        <w:outlineLvl w:val="0"/>
        <w:rPr>
          <w:rFonts w:eastAsia="方正小标宋简体"/>
          <w:sz w:val="72"/>
          <w:szCs w:val="72"/>
        </w:rPr>
      </w:pPr>
      <w:r>
        <w:rPr>
          <w:rFonts w:eastAsia="方正小标宋简体" w:hint="eastAsia"/>
          <w:sz w:val="72"/>
          <w:szCs w:val="72"/>
        </w:rPr>
        <w:t>中共金川县委组织部</w:t>
      </w:r>
    </w:p>
    <w:p>
      <w:pPr>
        <w:adjustRightInd w:val="0"/>
        <w:snapToGrid w:val="0"/>
        <w:spacing w:line="360" w:lineRule="auto"/>
        <w:jc w:val="center"/>
        <w:outlineLvl w:val="0"/>
        <w:rPr>
          <w:rFonts w:eastAsia="方正小标宋简体"/>
          <w:sz w:val="72"/>
          <w:szCs w:val="72"/>
        </w:rPr>
      </w:pPr>
      <w:bookmarkStart w:id="6" w:name="_Toc15377426"/>
      <w:bookmarkStart w:id="7" w:name="_Toc15378442"/>
      <w:bookmarkStart w:id="8" w:name="_Toc15377194"/>
      <w:bookmarkStart w:id="9" w:name="_Toc15396476"/>
      <w:bookmarkStart w:id="10" w:name="_Toc15396598"/>
      <w:bookmarkStart w:id="11" w:name="_Toc15306268"/>
      <w:bookmarkEnd w:id="0"/>
      <w:r>
        <w:rPr>
          <w:rFonts w:eastAsia="方正小标宋简体"/>
          <w:sz w:val="72"/>
          <w:szCs w:val="72"/>
        </w:rPr>
        <w:t>部门决算</w:t>
      </w:r>
      <w:bookmarkEnd w:id="6"/>
      <w:bookmarkEnd w:id="7"/>
      <w:bookmarkEnd w:id="8"/>
      <w:bookmarkEnd w:id="9"/>
      <w:bookmarkEnd w:id="10"/>
      <w:bookmarkEnd w:id="11"/>
      <w:r>
        <w:rPr>
          <w:rFonts w:eastAsia="方正小标宋简体" w:hint="eastAsia"/>
          <w:sz w:val="72"/>
          <w:szCs w:val="72"/>
        </w:rPr>
        <w:t>分析报告</w:t>
      </w:r>
    </w:p>
    <w:p>
      <w:pPr>
        <w:widowControl/>
        <w:jc w:val="center"/>
        <w:rPr>
          <w:rFonts w:eastAsia="方正小标宋简体"/>
          <w:sz w:val="36"/>
          <w:szCs w:val="36"/>
        </w:rPr>
      </w:pPr>
    </w:p>
    <w:p>
      <w:pPr>
        <w:pStyle w:val="15"/>
        <w:spacing w:beforeLines="0" w:before="93"/>
        <w:rPr>
          <w:rFonts w:eastAsia="方正小标宋简体"/>
          <w:sz w:val="36"/>
          <w:szCs w:val="36"/>
        </w:rPr>
      </w:pPr>
    </w:p>
    <w:p>
      <w:pPr>
        <w:pStyle w:val="15"/>
        <w:spacing w:beforeLines="0" w:before="93"/>
        <w:rPr>
          <w:rFonts w:eastAsia="方正小标宋简体"/>
          <w:sz w:val="36"/>
          <w:szCs w:val="36"/>
        </w:rPr>
      </w:pPr>
    </w:p>
    <w:p>
      <w:pPr>
        <w:pStyle w:val="15"/>
        <w:spacing w:beforeLines="0" w:before="93"/>
        <w:rPr>
          <w:rFonts w:eastAsia="方正小标宋简体"/>
          <w:sz w:val="36"/>
          <w:szCs w:val="36"/>
        </w:rPr>
      </w:pPr>
    </w:p>
    <w:p>
      <w:pPr>
        <w:pStyle w:val="15"/>
        <w:spacing w:beforeLines="0" w:before="93"/>
        <w:rPr>
          <w:rFonts w:eastAsia="方正小标宋简体"/>
          <w:sz w:val="36"/>
          <w:szCs w:val="36"/>
        </w:rPr>
      </w:pPr>
    </w:p>
    <w:p>
      <w:pPr>
        <w:pStyle w:val="15"/>
        <w:spacing w:beforeLines="0" w:before="93"/>
        <w:rPr>
          <w:rFonts w:eastAsia="方正小标宋简体"/>
          <w:sz w:val="36"/>
          <w:szCs w:val="36"/>
        </w:rPr>
      </w:pPr>
    </w:p>
    <w:p>
      <w:pPr>
        <w:widowControl/>
        <w:jc w:val="center"/>
        <w:rPr>
          <w:rFonts w:eastAsia="方正小标宋简体"/>
          <w:sz w:val="36"/>
          <w:szCs w:val="36"/>
        </w:rPr>
      </w:pPr>
    </w:p>
    <w:p>
      <w:pPr>
        <w:widowControl/>
        <w:jc w:val="center"/>
        <w:rPr>
          <w:rFonts w:eastAsia="黑体"/>
          <w:sz w:val="48"/>
          <w:szCs w:val="48"/>
        </w:rPr>
      </w:pPr>
      <w:r>
        <w:rPr>
          <w:rFonts w:eastAsia="仿宋_GB2312"/>
          <w:sz w:val="32"/>
          <w:szCs w:val="32"/>
        </w:rPr>
        <w:t>已经保密审查、内容审定，同意对外公开</w:t>
      </w:r>
      <w:r>
        <w:rPr>
          <w:rFonts w:eastAsia="方正小标宋简体"/>
          <w:sz w:val="36"/>
          <w:szCs w:val="36"/>
        </w:rPr>
        <w:br w:type="page"/>
      </w:r>
      <w:r>
        <w:rPr>
          <w:rFonts w:eastAsia="黑体"/>
          <w:sz w:val="48"/>
          <w:szCs w:val="48"/>
        </w:rPr>
        <w:t>目录</w:t>
      </w:r>
    </w:p>
    <w:p>
      <w:pPr>
        <w:widowControl/>
        <w:jc w:val="center"/>
        <w:rPr>
          <w:rFonts w:eastAsia="方正仿宋_GBK"/>
          <w:sz w:val="30"/>
          <w:szCs w:val="30"/>
        </w:rPr>
      </w:pPr>
      <w:r>
        <w:rPr>
          <w:rFonts w:eastAsia="仿宋_GB2312"/>
          <w:sz w:val="32"/>
          <w:szCs w:val="32"/>
        </w:rPr>
        <w:t>公开时间：202</w:t>
      </w:r>
      <w:r>
        <w:rPr>
          <w:rFonts w:eastAsia="仿宋_GB2312" w:hint="eastAsia"/>
          <w:sz w:val="32"/>
          <w:szCs w:val="32"/>
        </w:rPr>
        <w:t>3</w:t>
      </w:r>
      <w:r>
        <w:rPr>
          <w:rFonts w:eastAsia="仿宋_GB2312"/>
          <w:sz w:val="32"/>
          <w:szCs w:val="32"/>
        </w:rPr>
        <w:t>年</w:t>
      </w:r>
      <w:r>
        <w:rPr>
          <w:rFonts w:eastAsia="仿宋_GB2312" w:hint="eastAsia"/>
          <w:sz w:val="32"/>
          <w:szCs w:val="32"/>
        </w:rPr>
        <w:t>8</w:t>
      </w:r>
      <w:r>
        <w:rPr>
          <w:rFonts w:eastAsia="仿宋_GB2312"/>
          <w:sz w:val="32"/>
          <w:szCs w:val="32"/>
        </w:rPr>
        <w:t>月2</w:t>
      </w:r>
      <w:r>
        <w:rPr>
          <w:rFonts w:eastAsia="仿宋_GB2312" w:hint="eastAsia"/>
          <w:sz w:val="32"/>
          <w:szCs w:val="32"/>
        </w:rPr>
        <w:t>5</w:t>
      </w:r>
      <w:r>
        <w:rPr>
          <w:rFonts w:eastAsia="仿宋_GB2312"/>
          <w:sz w:val="32"/>
          <w:szCs w:val="32"/>
        </w:rPr>
        <w:t>日</w:t>
      </w:r>
      <w:r>
        <w:rPr>
          <w:rFonts w:eastAsia="方正仿宋_GBK"/>
          <w:sz w:val="30"/>
          <w:szCs w:val="30"/>
        </w:rPr>
        <w:fldChar w:fldCharType="begin"/>
      </w:r>
      <w:r>
        <w:rPr>
          <w:rFonts w:eastAsia="方正仿宋_GBK"/>
          <w:sz w:val="30"/>
          <w:szCs w:val="30"/>
        </w:rPr>
        <w:instrText xml:space="preserve"> TOC \o "1-2" \h \z \u </w:instrText>
      </w:r>
      <w:r>
        <w:rPr>
          <w:rFonts w:eastAsia="方正仿宋_GBK"/>
          <w:sz w:val="30"/>
          <w:szCs w:val="30"/>
        </w:rPr>
        <w:fldChar w:fldCharType="separate"/>
      </w:r>
    </w:p>
    <w:p>
      <w:pPr>
        <w:pStyle w:val="20"/>
        <w:tabs>
          <w:tab w:val="right" w:leader="dot" w:pos="8296"/>
        </w:tabs>
        <w:rPr>
          <w:rFonts w:ascii="Times New Roman" w:eastAsia="方正仿宋_GBK" w:hAnsi="Times New Roman"/>
          <w:sz w:val="30"/>
          <w:szCs w:val="30"/>
        </w:rPr>
      </w:pPr>
      <w:r>
        <w:fldChar w:fldCharType="begin"/>
      </w:r>
      <w:r>
        <w:instrText xml:space="preserve"> HYPERLINK \l "_Toc15396599" </w:instrText>
      </w:r>
      <w:r>
        <w:fldChar w:fldCharType="separate"/>
      </w:r>
      <w:r>
        <w:rPr>
          <w:rFonts w:ascii="方正黑体_GBK" w:eastAsia="方正黑体_GBK" w:cs="方正黑体_GBK" w:hint="eastAsia"/>
          <w:sz w:val="30"/>
          <w:szCs w:val="30"/>
        </w:rPr>
        <w:t>第一部分 部门概况</w:t>
      </w:r>
      <w:r>
        <w:rPr>
          <w:rFonts w:ascii="Times New Roman" w:eastAsia="方正仿宋_GBK" w:hAnsi="Times New Roman"/>
          <w:sz w:val="30"/>
          <w:szCs w:val="30"/>
        </w:rPr>
        <w:tab/>
        <w:t>4</w:t>
      </w:r>
      <w:r>
        <w:rPr>
          <w:rFonts w:ascii="Times New Roman" w:eastAsia="方正仿宋_GBK" w:hAnsi="Times New Roman"/>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"_Toc15396600" </w:instrText>
      </w:r>
      <w:r>
        <w:fldChar w:fldCharType="separate"/>
      </w:r>
      <w:r>
        <w:rPr>
          <w:rFonts w:eastAsia="方正仿宋_GBK"/>
          <w:sz w:val="30"/>
          <w:szCs w:val="30"/>
        </w:rPr>
        <w:t>一、基本职能及主要工作</w:t>
        <w:tab/>
        <w:t>4</w:t>
      </w:r>
      <w:r>
        <w:rPr>
          <w:rFonts w:eastAsia="方正仿宋_GBK"/>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"_Toc15396601" </w:instrText>
      </w:r>
      <w:r>
        <w:fldChar w:fldCharType="separate"/>
      </w:r>
      <w:r>
        <w:rPr>
          <w:rFonts w:eastAsia="方正仿宋_GBK"/>
          <w:sz w:val="30"/>
          <w:szCs w:val="30"/>
        </w:rPr>
        <w:t>二、机构设置</w:t>
        <w:tab/>
        <w:t>5</w:t>
      </w:r>
      <w:r>
        <w:rPr>
          <w:rFonts w:eastAsia="方正仿宋_GBK"/>
          <w:sz w:val="30"/>
          <w:szCs w:val="30"/>
        </w:rPr>
        <w:fldChar w:fldCharType="end"/>
      </w:r>
    </w:p>
    <w:p>
      <w:pPr>
        <w:pStyle w:val="20"/>
        <w:tabs>
          <w:tab w:val="right" w:leader="dot" w:pos="8296"/>
        </w:tabs>
        <w:rPr>
          <w:rFonts w:ascii="Times New Roman" w:eastAsia="方正仿宋_GBK" w:hAnsi="Times New Roman"/>
          <w:sz w:val="30"/>
          <w:szCs w:val="30"/>
        </w:rPr>
      </w:pPr>
      <w:r>
        <w:fldChar w:fldCharType="begin"/>
      </w:r>
      <w:r>
        <w:instrText xml:space="preserve"> HYPERLINK \l "_Toc15396602" </w:instrText>
      </w:r>
      <w:r>
        <w:fldChar w:fldCharType="separate"/>
      </w:r>
      <w:r>
        <w:rPr>
          <w:rFonts w:ascii="方正黑体_GBK" w:eastAsia="方正黑体_GBK" w:cs="方正黑体_GBK" w:hint="eastAsia"/>
          <w:sz w:val="30"/>
          <w:szCs w:val="30"/>
        </w:rPr>
        <w:t>第二部分 部门决算情况说明</w:t>
      </w:r>
      <w:r>
        <w:rPr>
          <w:rFonts w:ascii="Times New Roman" w:eastAsia="方正仿宋_GBK" w:hAnsi="Times New Roman"/>
          <w:sz w:val="30"/>
          <w:szCs w:val="30"/>
        </w:rPr>
        <w:tab/>
        <w:t>5</w:t>
      </w:r>
      <w:r>
        <w:rPr>
          <w:rFonts w:ascii="Times New Roman" w:eastAsia="方正仿宋_GBK" w:hAnsi="Times New Roman"/>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"_Toc15396603" </w:instrText>
      </w:r>
      <w:r>
        <w:fldChar w:fldCharType="separate"/>
      </w:r>
      <w:r>
        <w:rPr>
          <w:rFonts w:eastAsia="方正仿宋_GBK"/>
          <w:bCs/>
          <w:sz w:val="30"/>
          <w:szCs w:val="30"/>
        </w:rPr>
        <w:t>一、</w:t>
      </w:r>
      <w:r>
        <w:rPr>
          <w:rFonts w:eastAsia="方正仿宋_GBK"/>
          <w:sz w:val="30"/>
          <w:szCs w:val="30"/>
        </w:rPr>
        <w:t>收</w:t>
      </w:r>
      <w:r>
        <w:rPr>
          <w:rFonts w:eastAsia="方正仿宋_GBK"/>
          <w:bCs/>
          <w:sz w:val="30"/>
          <w:szCs w:val="30"/>
        </w:rPr>
        <w:t>入支出决算总体情况说明</w:t>
      </w:r>
      <w:r>
        <w:rPr>
          <w:rFonts w:eastAsia="方正仿宋_GBK"/>
          <w:sz w:val="30"/>
          <w:szCs w:val="30"/>
        </w:rPr>
        <w:tab/>
        <w:t>5</w:t>
      </w:r>
      <w:r>
        <w:rPr>
          <w:rFonts w:eastAsia="方正仿宋_GBK"/>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"_Toc15396604" </w:instrText>
      </w:r>
      <w:r>
        <w:fldChar w:fldCharType="separate"/>
      </w:r>
      <w:r>
        <w:rPr>
          <w:rFonts w:eastAsia="方正仿宋_GBK"/>
          <w:bCs/>
          <w:sz w:val="30"/>
          <w:szCs w:val="30"/>
        </w:rPr>
        <w:t>二、</w:t>
      </w:r>
      <w:r>
        <w:rPr>
          <w:rFonts w:eastAsia="方正仿宋_GBK"/>
          <w:sz w:val="30"/>
          <w:szCs w:val="30"/>
        </w:rPr>
        <w:t>收</w:t>
      </w:r>
      <w:r>
        <w:rPr>
          <w:rFonts w:eastAsia="方正仿宋_GBK"/>
          <w:bCs/>
          <w:sz w:val="30"/>
          <w:szCs w:val="30"/>
        </w:rPr>
        <w:t>入决算情况说明</w:t>
      </w:r>
      <w:r>
        <w:rPr>
          <w:rFonts w:eastAsia="方正仿宋_GBK"/>
          <w:sz w:val="30"/>
          <w:szCs w:val="30"/>
        </w:rPr>
        <w:tab/>
        <w:t>6</w:t>
      </w:r>
      <w:r>
        <w:rPr>
          <w:rFonts w:eastAsia="方正仿宋_GBK"/>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"_Toc15396605" </w:instrText>
      </w:r>
      <w:r>
        <w:fldChar w:fldCharType="separate"/>
      </w:r>
      <w:r>
        <w:rPr>
          <w:rFonts w:eastAsia="方正仿宋_GBK"/>
          <w:bCs/>
          <w:sz w:val="30"/>
          <w:szCs w:val="30"/>
        </w:rPr>
        <w:t>三、</w:t>
      </w:r>
      <w:r>
        <w:rPr>
          <w:rFonts w:eastAsia="方正仿宋_GBK"/>
          <w:sz w:val="30"/>
          <w:szCs w:val="30"/>
        </w:rPr>
        <w:t>支</w:t>
      </w:r>
      <w:r>
        <w:rPr>
          <w:rFonts w:eastAsia="方正仿宋_GBK"/>
          <w:bCs/>
          <w:sz w:val="30"/>
          <w:szCs w:val="30"/>
        </w:rPr>
        <w:t>出决算情况说明</w:t>
      </w:r>
      <w:r>
        <w:rPr>
          <w:rFonts w:eastAsia="方正仿宋_GBK"/>
          <w:sz w:val="30"/>
          <w:szCs w:val="30"/>
        </w:rPr>
        <w:tab/>
      </w:r>
      <w:r>
        <w:rPr>
          <w:rFonts w:eastAsia="方正仿宋_GBK" w:hint="eastAsia"/>
          <w:sz w:val="30"/>
          <w:szCs w:val="30"/>
        </w:rPr>
        <w:t>7</w:t>
      </w:r>
      <w:r>
        <w:rPr>
          <w:rFonts w:eastAsia="方正仿宋_GBK" w:hint="eastAsia"/>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"_Toc15396606" </w:instrText>
      </w:r>
      <w:r>
        <w:fldChar w:fldCharType="separate"/>
      </w:r>
      <w:r>
        <w:rPr>
          <w:rFonts w:eastAsia="方正仿宋_GBK"/>
          <w:sz w:val="30"/>
          <w:szCs w:val="30"/>
        </w:rPr>
        <w:t>四、财</w:t>
      </w:r>
      <w:r>
        <w:rPr>
          <w:rFonts w:eastAsia="方正仿宋_GBK"/>
          <w:bCs/>
          <w:sz w:val="30"/>
          <w:szCs w:val="30"/>
        </w:rPr>
        <w:t>政拨款收入支出决算总体情况说明</w:t>
      </w:r>
      <w:r>
        <w:rPr>
          <w:rFonts w:eastAsia="方正仿宋_GBK"/>
          <w:sz w:val="30"/>
          <w:szCs w:val="30"/>
        </w:rPr>
        <w:tab/>
      </w:r>
      <w:r>
        <w:rPr>
          <w:rFonts w:eastAsia="方正仿宋_GBK" w:hint="eastAsia"/>
          <w:sz w:val="30"/>
          <w:szCs w:val="30"/>
        </w:rPr>
        <w:t>7</w:t>
      </w:r>
      <w:r>
        <w:rPr>
          <w:rFonts w:eastAsia="方正仿宋_GBK" w:hint="eastAsia"/>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"_Toc15396607" </w:instrText>
      </w:r>
      <w:r>
        <w:fldChar w:fldCharType="separate"/>
      </w:r>
      <w:r>
        <w:rPr>
          <w:rFonts w:eastAsia="方正仿宋_GBK"/>
          <w:sz w:val="30"/>
          <w:szCs w:val="30"/>
        </w:rPr>
        <w:t>五、一</w:t>
      </w:r>
      <w:r>
        <w:rPr>
          <w:rFonts w:eastAsia="方正仿宋_GBK"/>
          <w:bCs/>
          <w:sz w:val="30"/>
          <w:szCs w:val="30"/>
        </w:rPr>
        <w:t>般公共预算财政拨款支出决算情况说明</w:t>
      </w:r>
      <w:r>
        <w:rPr>
          <w:rFonts w:eastAsia="方正仿宋_GBK"/>
          <w:sz w:val="30"/>
          <w:szCs w:val="30"/>
        </w:rPr>
        <w:tab/>
      </w:r>
      <w:r>
        <w:rPr>
          <w:rFonts w:eastAsia="方正仿宋_GBK"/>
          <w:sz w:val="30"/>
          <w:szCs w:val="30"/>
        </w:rPr>
        <w:fldChar w:fldCharType="end"/>
      </w:r>
      <w:r>
        <w:rPr>
          <w:rFonts w:eastAsia="方正仿宋_GBK" w:hint="eastAsia"/>
          <w:sz w:val="30"/>
          <w:szCs w:val="30"/>
        </w:rPr>
        <w:t>7</w:t>
      </w:r>
    </w:p>
    <w:p>
      <w:pPr>
        <w:pStyle w:val="21"/>
        <w:tabs>
          <w:tab w:val="right" w:leader="dot" w:pos="8296"/>
        </w:tabs>
        <w:rPr>
          <w:rFonts w:eastAsia="方正仿宋_GBK"/>
          <w:sz w:val="30"/>
          <w:szCs w:val="30"/>
        </w:rPr>
      </w:pPr>
      <w:r>
        <w:fldChar w:fldCharType="begin"/>
      </w:r>
      <w:r>
        <w:instrText xml:space="preserve"> HYPERLINK \l "_Toc15396608" </w:instrText>
      </w:r>
      <w:r>
        <w:fldChar w:fldCharType="separate"/>
      </w:r>
      <w:r>
        <w:rPr>
          <w:rFonts w:eastAsia="方正仿宋_GBK"/>
          <w:sz w:val="30"/>
          <w:szCs w:val="30"/>
        </w:rPr>
        <w:t>六、一</w:t>
      </w:r>
      <w:r>
        <w:rPr>
          <w:rFonts w:eastAsia="方正仿宋_GBK"/>
          <w:bCs/>
          <w:sz w:val="30"/>
          <w:szCs w:val="30"/>
        </w:rPr>
        <w:t>般公共预算财政拨款基本支出决算情况说明</w:t>
      </w:r>
      <w:r>
        <w:rPr>
          <w:rFonts w:eastAsia="方正仿宋_GBK"/>
          <w:sz w:val="30"/>
          <w:szCs w:val="30"/>
        </w:rPr>
        <w:tab/>
      </w:r>
      <w:r>
        <w:rPr>
          <w:rFonts w:eastAsia="方正仿宋_GBK" w:hint="eastAsia"/>
          <w:sz w:val="30"/>
          <w:szCs w:val="30"/>
        </w:rPr>
        <w:t>9</w:t>
      </w:r>
      <w:r>
        <w:rPr>
          <w:rFonts w:eastAsia="方正仿宋_GBK" w:hint="eastAsia"/>
          <w:sz w:val="30"/>
          <w:szCs w:val="30"/>
        </w:rPr>
        <w:fldChar w:fldCharType="end"/>
      </w:r>
    </w:p>
    <w:p>
      <w:pPr>
        <w:pStyle w:val="21"/>
        <w:tabs>
          <w:tab w:val="right" w:leader="dot" w:pos="8296"/>
        </w:tabs>
        <w:rPr>
          <w:rFonts w:eastAsia="方正仿宋_GBK"/>
          <w:sz w:val="30"/>
          <w:szCs w:val="30"/>
        </w:rPr>
      </w:pPr>
      <w:r>
        <w:fldChar w:fldCharType="begin"/>
      </w:r>
      <w:r>
        <w:instrText xml:space="preserve"> HYPERLINK \l "_Toc15396609" </w:instrText>
      </w:r>
      <w:r>
        <w:fldChar w:fldCharType="separate"/>
      </w:r>
      <w:r>
        <w:rPr>
          <w:rFonts w:eastAsia="方正仿宋_GBK"/>
          <w:sz w:val="30"/>
          <w:szCs w:val="30"/>
        </w:rPr>
        <w:t>七、“</w:t>
      </w:r>
      <w:r>
        <w:rPr>
          <w:rFonts w:eastAsia="方正仿宋_GBK"/>
          <w:bCs/>
          <w:sz w:val="30"/>
          <w:szCs w:val="30"/>
        </w:rPr>
        <w:t>三公”经费财政拨款支出决算情况说明</w:t>
      </w:r>
      <w:r>
        <w:rPr>
          <w:rFonts w:eastAsia="方正仿宋_GBK"/>
          <w:sz w:val="30"/>
          <w:szCs w:val="30"/>
        </w:rPr>
        <w:tab/>
      </w:r>
      <w:r>
        <w:rPr>
          <w:rFonts w:eastAsia="方正仿宋_GBK" w:hint="eastAsia"/>
          <w:sz w:val="30"/>
          <w:szCs w:val="30"/>
        </w:rPr>
        <w:t>1</w:t>
      </w:r>
      <w:r>
        <w:rPr>
          <w:rFonts w:eastAsia="方正仿宋_GBK" w:hint="eastAsia"/>
          <w:sz w:val="30"/>
          <w:szCs w:val="30"/>
        </w:rPr>
        <w:fldChar w:fldCharType="end"/>
      </w:r>
      <w:r>
        <w:rPr>
          <w:rFonts w:eastAsia="方正仿宋_GBK" w:hint="eastAsia"/>
          <w:sz w:val="30"/>
          <w:szCs w:val="30"/>
        </w:rPr>
        <w:t>0</w:t>
      </w:r>
    </w:p>
    <w:p>
      <w:pPr>
        <w:pStyle w:val="21"/>
        <w:tabs>
          <w:tab w:val="right" w:leader="dot" w:pos="8296"/>
        </w:tabs>
        <w:rPr>
          <w:rFonts w:eastAsia="方正仿宋_GBK"/>
          <w:sz w:val="30"/>
          <w:szCs w:val="30"/>
        </w:rPr>
      </w:pPr>
      <w:r>
        <w:fldChar w:fldCharType="begin"/>
      </w:r>
      <w:r>
        <w:instrText xml:space="preserve"> HYPERLINK \l "_Toc15396610" </w:instrText>
      </w:r>
      <w:r>
        <w:fldChar w:fldCharType="separate"/>
      </w:r>
      <w:r>
        <w:rPr>
          <w:rFonts w:eastAsia="方正仿宋_GBK"/>
          <w:sz w:val="30"/>
          <w:szCs w:val="30"/>
        </w:rPr>
        <w:t>八、</w:t>
      </w:r>
      <w:r>
        <w:rPr>
          <w:rFonts w:eastAsia="方正仿宋_GBK"/>
          <w:bCs/>
          <w:sz w:val="30"/>
          <w:szCs w:val="30"/>
        </w:rPr>
        <w:t>政府性基金预算支出决算情况说明</w:t>
      </w:r>
      <w:r>
        <w:rPr>
          <w:rFonts w:eastAsia="方正仿宋_GBK"/>
          <w:sz w:val="30"/>
          <w:szCs w:val="30"/>
        </w:rPr>
        <w:tab/>
      </w:r>
      <w:r>
        <w:rPr>
          <w:rFonts w:eastAsia="方正仿宋_GBK" w:hint="eastAsia"/>
          <w:sz w:val="30"/>
          <w:szCs w:val="30"/>
        </w:rPr>
        <w:t>1</w:t>
      </w:r>
      <w:r>
        <w:rPr>
          <w:rFonts w:eastAsia="方正仿宋_GBK" w:hint="eastAsia"/>
          <w:sz w:val="30"/>
          <w:szCs w:val="30"/>
        </w:rPr>
        <w:fldChar w:fldCharType="end"/>
      </w:r>
      <w:r>
        <w:rPr>
          <w:rFonts w:eastAsia="方正仿宋_GBK" w:hint="eastAsia"/>
          <w:sz w:val="30"/>
          <w:szCs w:val="30"/>
        </w:rPr>
        <w:t>1</w:t>
      </w:r>
    </w:p>
    <w:p>
      <w:pPr>
        <w:pStyle w:val="21"/>
        <w:tabs>
          <w:tab w:val="right" w:leader="dot" w:pos="8296"/>
        </w:tabs>
        <w:rPr>
          <w:rFonts w:eastAsia="方正仿宋_GBK"/>
          <w:sz w:val="30"/>
          <w:szCs w:val="30"/>
        </w:rPr>
      </w:pPr>
      <w:r>
        <w:fldChar w:fldCharType="begin"/>
      </w:r>
      <w:r>
        <w:instrText xml:space="preserve"> HYPERLINK \l "_Toc15396611" </w:instrText>
      </w:r>
      <w:r>
        <w:fldChar w:fldCharType="separate"/>
      </w:r>
      <w:r>
        <w:rPr>
          <w:rFonts w:eastAsia="方正仿宋_GBK"/>
          <w:bCs/>
          <w:sz w:val="30"/>
          <w:szCs w:val="30"/>
        </w:rPr>
        <w:t>九、</w:t>
      </w:r>
      <w:r>
        <w:rPr>
          <w:rFonts w:eastAsia="方正仿宋_GBK"/>
          <w:sz w:val="30"/>
          <w:szCs w:val="30"/>
        </w:rPr>
        <w:t xml:space="preserve"> 国</w:t>
      </w:r>
      <w:r>
        <w:rPr>
          <w:rFonts w:eastAsia="方正仿宋_GBK"/>
          <w:bCs/>
          <w:sz w:val="30"/>
          <w:szCs w:val="30"/>
        </w:rPr>
        <w:t>有资本经营预算支出决算情况说明</w:t>
      </w:r>
      <w:r>
        <w:rPr>
          <w:rFonts w:eastAsia="方正仿宋_GBK"/>
          <w:sz w:val="30"/>
          <w:szCs w:val="30"/>
        </w:rPr>
        <w:tab/>
      </w:r>
      <w:r>
        <w:rPr>
          <w:rFonts w:eastAsia="方正仿宋_GBK" w:hint="eastAsia"/>
          <w:sz w:val="30"/>
          <w:szCs w:val="30"/>
        </w:rPr>
        <w:t>1</w:t>
      </w:r>
      <w:r>
        <w:rPr>
          <w:rFonts w:eastAsia="方正仿宋_GBK" w:hint="eastAsia"/>
          <w:sz w:val="30"/>
          <w:szCs w:val="30"/>
        </w:rPr>
        <w:fldChar w:fldCharType="end"/>
      </w:r>
      <w:r>
        <w:rPr>
          <w:rFonts w:eastAsia="方正仿宋_GBK" w:hint="eastAsia"/>
          <w:sz w:val="30"/>
          <w:szCs w:val="30"/>
        </w:rPr>
        <w:t>1</w:t>
      </w:r>
    </w:p>
    <w:p>
      <w:pPr>
        <w:pStyle w:val="21"/>
        <w:tabs>
          <w:tab w:val="right" w:leader="dot" w:pos="8296"/>
        </w:tabs>
        <w:rPr>
          <w:rFonts w:eastAsia="方正仿宋_GBK"/>
          <w:sz w:val="30"/>
          <w:szCs w:val="30"/>
        </w:rPr>
      </w:pPr>
      <w:r>
        <w:rPr>
          <w:rStyle w:val="23"/>
          <w:rFonts w:eastAsia="方正仿宋_GBK"/>
          <w:bCs/>
          <w:color w:val="auto"/>
          <w:sz w:val="30"/>
          <w:szCs w:val="30"/>
          <w:u w:val="none"/>
        </w:rPr>
        <w:t>十、预算绩效情况说明...............................................................</w:t>
      </w:r>
      <w:r>
        <w:rPr>
          <w:rStyle w:val="23"/>
          <w:rFonts w:eastAsia="方正仿宋_GBK" w:hint="eastAsia"/>
          <w:bCs/>
          <w:color w:val="auto"/>
          <w:sz w:val="30"/>
          <w:szCs w:val="30"/>
          <w:u w:val="none"/>
        </w:rPr>
        <w:t>11</w:t>
      </w:r>
    </w:p>
    <w:p>
      <w:pPr>
        <w:pStyle w:val="21"/>
        <w:tabs>
          <w:tab w:val="right" w:leader="dot" w:pos="8296"/>
        </w:tabs>
        <w:rPr>
          <w:rFonts w:eastAsia="方正仿宋_GBK"/>
          <w:sz w:val="30"/>
          <w:szCs w:val="30"/>
        </w:rPr>
      </w:pPr>
      <w:r>
        <w:fldChar w:fldCharType="begin"/>
      </w:r>
      <w:r>
        <w:instrText xml:space="preserve"> HYPERLINK \l "_Toc15396612" </w:instrText>
      </w:r>
      <w:r>
        <w:fldChar w:fldCharType="separate"/>
      </w:r>
      <w:r>
        <w:rPr>
          <w:rFonts w:eastAsia="方正仿宋_GBK"/>
          <w:sz w:val="30"/>
          <w:szCs w:val="30"/>
        </w:rPr>
        <w:t>十</w:t>
      </w:r>
      <w:r>
        <w:rPr>
          <w:rFonts w:eastAsia="方正仿宋_GBK"/>
          <w:bCs/>
          <w:sz w:val="30"/>
          <w:szCs w:val="30"/>
        </w:rPr>
        <w:t>一、其他重要事项的情况说明</w:t>
      </w:r>
      <w:r>
        <w:rPr>
          <w:rFonts w:eastAsia="方正仿宋_GBK"/>
          <w:sz w:val="30"/>
          <w:szCs w:val="30"/>
        </w:rPr>
        <w:tab/>
        <w:t>1</w:t>
      </w:r>
      <w:r>
        <w:rPr>
          <w:rFonts w:eastAsia="方正仿宋_GBK"/>
          <w:sz w:val="30"/>
          <w:szCs w:val="30"/>
        </w:rPr>
        <w:fldChar w:fldCharType="end"/>
      </w:r>
      <w:r>
        <w:rPr>
          <w:rFonts w:eastAsia="方正仿宋_GBK" w:hint="eastAsia"/>
          <w:sz w:val="30"/>
          <w:szCs w:val="30"/>
        </w:rPr>
        <w:t>3</w:t>
      </w:r>
    </w:p>
    <w:p>
      <w:pPr>
        <w:pStyle w:val="20"/>
        <w:tabs>
          <w:tab w:val="right" w:leader="dot" w:pos="8296"/>
        </w:tabs>
        <w:rPr>
          <w:rFonts w:ascii="Times New Roman" w:hAnsi="Times New Roman"/>
          <w:sz w:val="24"/>
        </w:rPr>
      </w:pPr>
      <w:r>
        <w:fldChar w:fldCharType="begin"/>
      </w:r>
      <w:r>
        <w:instrText xml:space="preserve"> HYPERLINK \l "_Toc15396613" </w:instrText>
      </w:r>
      <w:r>
        <w:fldChar w:fldCharType="separate"/>
      </w:r>
      <w:r>
        <w:rPr>
          <w:rFonts w:ascii="方正黑体_GBK" w:eastAsia="方正黑体_GBK" w:cs="方正黑体_GBK" w:hint="eastAsia"/>
          <w:sz w:val="30"/>
          <w:szCs w:val="30"/>
        </w:rPr>
        <w:t>第三部分 名词解释</w:t>
      </w:r>
      <w:r>
        <w:rPr>
          <w:rFonts w:ascii="Times New Roman" w:eastAsia="方正仿宋_GBK" w:hAnsi="Times New Roman"/>
          <w:sz w:val="30"/>
          <w:szCs w:val="30"/>
        </w:rPr>
        <w:tab/>
        <w:t>1</w:t>
      </w:r>
      <w:r>
        <w:rPr>
          <w:rFonts w:ascii="Times New Roman" w:eastAsia="方正仿宋_GBK" w:hAnsi="Times New Roman"/>
          <w:sz w:val="30"/>
          <w:szCs w:val="30"/>
        </w:rPr>
        <w:fldChar w:fldCharType="end"/>
      </w:r>
      <w:r>
        <w:rPr>
          <w:rFonts w:ascii="Times New Roman" w:eastAsia="方正仿宋_GBK" w:hAnsi="Times New Roman" w:hint="eastAsia"/>
          <w:sz w:val="30"/>
          <w:szCs w:val="30"/>
        </w:rPr>
        <w:t>4</w:t>
      </w:r>
      <w:r>
        <w:rPr>
          <w:rFonts w:ascii="Times New Roman" w:eastAsia="方正仿宋_GBK" w:hAnsi="Times New Roman"/>
          <w:sz w:val="30"/>
          <w:szCs w:val="30"/>
        </w:rPr>
        <w:fldChar w:fldCharType="end"/>
      </w:r>
      <w:bookmarkStart w:id="12" w:name="_Toc15377196"/>
      <w:bookmarkStart w:id="13" w:name="_Toc15396599"/>
      <w:r>
        <w:rPr>
          <w:rFonts w:ascii="Times New Roman" w:hAnsi="Times New Roman"/>
        </w:rPr>
        <w:fldChar w:fldCharType="begin"/>
      </w:r>
      <w:r>
        <w:rPr>
          <w:rFonts w:ascii="Times New Roman" w:hAnsi="Times New Roman"/>
        </w:rPr>
        <w:instrText xml:space="preserve"> TOC \o "1-2" \h \u </w:instrText>
      </w:r>
      <w:r>
        <w:rPr>
          <w:rFonts w:ascii="Times New Roman" w:hAnsi="Times New Roman"/>
        </w:rPr>
        <w:fldChar w:fldCharType="separate"/>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"_Toc26843623" </w:instrText>
      </w:r>
      <w:r>
        <w:fldChar w:fldCharType="separate"/>
      </w:r>
      <w:r>
        <w:rPr>
          <w:rFonts w:ascii="方正黑体_GBK" w:eastAsia="方正黑体_GBK" w:cs="方正黑体_GBK" w:hint="eastAsia"/>
          <w:sz w:val="30"/>
          <w:szCs w:val="30"/>
        </w:rPr>
        <w:t>第四部分 附件</w:t>
      </w:r>
      <w:r>
        <w:rPr>
          <w:rFonts w:ascii="Times New Roman" w:eastAsia="方正仿宋_GBK" w:hAnsi="Times New Roman"/>
          <w:bCs/>
          <w:kern w:val="44"/>
          <w:sz w:val="30"/>
          <w:szCs w:val="30"/>
        </w:rPr>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_Toc26843623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17</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hAnsi="Times New Roman"/>
          <w:sz w:val="24"/>
        </w:rPr>
      </w:pPr>
      <w:r>
        <w:fldChar w:fldCharType="begin"/>
      </w:r>
      <w:r>
        <w:instrText xml:space="preserve"> HYPERLINK \l "_Toc26843625" </w:instrText>
      </w:r>
      <w:r>
        <w:fldChar w:fldCharType="separate"/>
      </w:r>
      <w:r>
        <w:rPr>
          <w:rFonts w:ascii="方正黑体_GBK" w:eastAsia="方正黑体_GBK" w:cs="方正黑体_GBK" w:hint="eastAsia"/>
          <w:sz w:val="30"/>
          <w:szCs w:val="30"/>
        </w:rPr>
        <w:t>第五部分 附表</w:t>
      </w:r>
      <w:r>
        <w:rPr>
          <w:rFonts w:ascii="Times New Roman" w:eastAsia="方正仿宋_GBK" w:hAnsi="Times New Roman"/>
          <w:bCs/>
          <w:kern w:val="44"/>
          <w:sz w:val="30"/>
          <w:szCs w:val="30"/>
        </w:rPr>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_Toc26843625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"_Toc26843626" </w:instrText>
      </w:r>
      <w:r>
        <w:fldChar w:fldCharType="separate"/>
      </w:r>
      <w:r>
        <w:rPr>
          <w:rFonts w:ascii="Times New Roman" w:eastAsia="方正仿宋_GBK" w:hAnsi="Times New Roman"/>
          <w:bCs/>
          <w:kern w:val="44"/>
          <w:sz w:val="30"/>
          <w:szCs w:val="30"/>
        </w:rPr>
        <w:t>一、收入支出决算总表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_Toc26843626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"_Toc26843627" </w:instrText>
      </w:r>
      <w:r>
        <w:fldChar w:fldCharType="separate"/>
      </w:r>
      <w:r>
        <w:rPr>
          <w:rFonts w:ascii="Times New Roman" w:eastAsia="方正仿宋_GBK" w:hAnsi="Times New Roman"/>
          <w:bCs/>
          <w:kern w:val="44"/>
          <w:sz w:val="30"/>
          <w:szCs w:val="30"/>
        </w:rPr>
        <w:t>二、收入决算表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_Toc26843627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"_Toc26843628" </w:instrText>
      </w:r>
      <w:r>
        <w:fldChar w:fldCharType="separate"/>
      </w:r>
      <w:r>
        <w:rPr>
          <w:rFonts w:ascii="Times New Roman" w:eastAsia="方正仿宋_GBK" w:hAnsi="Times New Roman"/>
          <w:bCs/>
          <w:kern w:val="44"/>
          <w:sz w:val="30"/>
          <w:szCs w:val="30"/>
        </w:rPr>
        <w:t>三、支出决算表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_Toc26843628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"_Toc26843629" </w:instrText>
      </w:r>
      <w:r>
        <w:fldChar w:fldCharType="separate"/>
      </w:r>
      <w:r>
        <w:rPr>
          <w:rFonts w:ascii="Times New Roman" w:eastAsia="方正仿宋_GBK" w:hAnsi="Times New Roman"/>
          <w:bCs/>
          <w:kern w:val="44"/>
          <w:sz w:val="30"/>
          <w:szCs w:val="30"/>
        </w:rPr>
        <w:t>四、财政拨款收入支出决算总表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_Toc26843629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"_Toc26843630" </w:instrText>
      </w:r>
      <w:r>
        <w:fldChar w:fldCharType="separate"/>
      </w:r>
      <w:r>
        <w:rPr>
          <w:rFonts w:ascii="Times New Roman" w:eastAsia="方正仿宋_GBK" w:hAnsi="Times New Roman"/>
          <w:bCs/>
          <w:kern w:val="44"/>
          <w:sz w:val="30"/>
          <w:szCs w:val="30"/>
        </w:rPr>
        <w:t>五、财政拨款支出决算明细表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_Toc26843630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"_Toc26843631" </w:instrText>
      </w:r>
      <w:r>
        <w:fldChar w:fldCharType="separate"/>
      </w:r>
      <w:r>
        <w:rPr>
          <w:rFonts w:ascii="Times New Roman" w:eastAsia="方正仿宋_GBK" w:hAnsi="Times New Roman"/>
          <w:bCs/>
          <w:kern w:val="44"/>
          <w:sz w:val="30"/>
          <w:szCs w:val="30"/>
        </w:rPr>
        <w:t>六、一般公共预算财政拨款支出决算表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_Toc26843631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"_Toc26843632" </w:instrText>
      </w:r>
      <w:r>
        <w:fldChar w:fldCharType="separate"/>
      </w:r>
      <w:r>
        <w:rPr>
          <w:rFonts w:ascii="Times New Roman" w:eastAsia="方正仿宋_GBK" w:hAnsi="Times New Roman"/>
          <w:bCs/>
          <w:kern w:val="44"/>
          <w:sz w:val="30"/>
          <w:szCs w:val="30"/>
        </w:rPr>
        <w:t>七、一般公共预算财政拨款支出决算明细表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_Toc26843632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"_Toc26843633" </w:instrText>
      </w:r>
      <w:r>
        <w:fldChar w:fldCharType="separate"/>
      </w:r>
      <w:r>
        <w:rPr>
          <w:rFonts w:ascii="Times New Roman" w:eastAsia="方正仿宋_GBK" w:hAnsi="Times New Roman"/>
          <w:bCs/>
          <w:kern w:val="44"/>
          <w:sz w:val="30"/>
          <w:szCs w:val="30"/>
        </w:rPr>
        <w:t>八、一般公共预算财政拨款基本支出决算表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_Toc26843633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"_Toc26843634" </w:instrText>
      </w:r>
      <w:r>
        <w:fldChar w:fldCharType="separate"/>
      </w:r>
      <w:r>
        <w:rPr>
          <w:rFonts w:ascii="Times New Roman" w:eastAsia="方正仿宋_GBK" w:hAnsi="Times New Roman"/>
          <w:bCs/>
          <w:kern w:val="44"/>
          <w:sz w:val="30"/>
          <w:szCs w:val="30"/>
        </w:rPr>
        <w:t>九、一般公共预算财政拨款项目支出决算表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_Toc26843634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"_Toc26843635" </w:instrText>
      </w:r>
      <w:r>
        <w:fldChar w:fldCharType="separate"/>
      </w:r>
      <w:r>
        <w:rPr>
          <w:rFonts w:ascii="Times New Roman" w:eastAsia="方正仿宋_GBK" w:hAnsi="Times New Roman"/>
          <w:bCs/>
          <w:kern w:val="44"/>
          <w:sz w:val="30"/>
          <w:szCs w:val="30"/>
        </w:rPr>
        <w:t>十、政府性基金预算财政拨款收入支出决算表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_Toc26843635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hint="eastAsia"/>
          <w:bCs/>
          <w:kern w:val="44"/>
          <w:sz w:val="30"/>
          <w:szCs w:val="30"/>
          <w:lang w:val="en-US" w:eastAsia="zh-CN"/>
        </w:rPr>
      </w:pPr>
      <w:r>
        <w:fldChar w:fldCharType="begin"/>
      </w:r>
      <w:r>
        <w:instrText xml:space="preserve"> HYPERLINK \l "_Toc26843636" </w:instrText>
      </w:r>
      <w:r>
        <w:fldChar w:fldCharType="separate"/>
      </w:r>
      <w:r>
        <w:rPr>
          <w:rFonts w:ascii="Times New Roman" w:eastAsia="方正仿宋_GBK" w:hAnsi="Times New Roman"/>
          <w:bCs/>
          <w:kern w:val="44"/>
          <w:sz w:val="30"/>
          <w:szCs w:val="30"/>
        </w:rPr>
        <w:t>十一、国有资本经营预算财政拨款收入支出决算表</w:t>
        <w:tab/>
      </w:r>
      <w:r>
        <w:rPr>
          <w:rFonts w:ascii="Times New Roman" w:eastAsia="方正仿宋_GBK" w:hAnsi="Times New Roman" w:hint="eastAsia"/>
          <w:bCs/>
          <w:kern w:val="44"/>
          <w:sz w:val="30"/>
          <w:szCs w:val="30"/>
          <w:lang w:val="en-US" w:eastAsia="zh-CN"/>
        </w:rPr>
        <w:t>2</w:t>
      </w:r>
      <w:r>
        <w:rPr>
          <w:rFonts w:ascii="Times New Roman" w:eastAsia="方正仿宋_GBK" w:hAnsi="Times New Roman"/>
          <w:bCs/>
          <w:kern w:val="44"/>
          <w:sz w:val="30"/>
          <w:szCs w:val="30"/>
        </w:rPr>
        <w:fldChar w:fldCharType="end"/>
      </w:r>
      <w:r>
        <w:rPr>
          <w:rFonts w:ascii="Times New Roman" w:eastAsia="方正仿宋_GBK" w:hAnsi="Times New Roman" w:hint="eastAsia"/>
          <w:bCs/>
          <w:kern w:val="44"/>
          <w:sz w:val="30"/>
          <w:szCs w:val="30"/>
          <w:lang w:val="en-US" w:eastAsia="zh-CN"/>
        </w:rPr>
        <w:t>3</w:t>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"_Toc26843637" </w:instrText>
      </w:r>
      <w:r>
        <w:fldChar w:fldCharType="separate"/>
      </w:r>
      <w:r>
        <w:rPr>
          <w:rFonts w:ascii="Times New Roman" w:eastAsia="方正仿宋_GBK" w:hAnsi="Times New Roman"/>
          <w:bCs/>
          <w:kern w:val="44"/>
          <w:sz w:val="30"/>
          <w:szCs w:val="30"/>
        </w:rPr>
        <w:t>十二、国有资本经营预算财政拨款支出决算表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_Toc26843637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eastAsia="方正仿宋_GBK" w:hAnsi="Times New Roman"/>
          <w:bCs/>
          <w:kern w:val="44"/>
          <w:sz w:val="30"/>
          <w:szCs w:val="30"/>
        </w:rPr>
      </w:pPr>
      <w:r>
        <w:fldChar w:fldCharType="begin"/>
      </w:r>
      <w:r>
        <w:instrText xml:space="preserve"> HYPERLINK \l "_Toc26843638" </w:instrText>
      </w:r>
      <w:r>
        <w:fldChar w:fldCharType="separate"/>
      </w:r>
      <w:r>
        <w:rPr>
          <w:rFonts w:ascii="Times New Roman" w:eastAsia="方正仿宋_GBK" w:hAnsi="Times New Roman"/>
          <w:bCs/>
          <w:kern w:val="44"/>
          <w:sz w:val="30"/>
          <w:szCs w:val="30"/>
        </w:rPr>
        <w:t>十三、财政拨款</w:t>
      </w:r>
      <w:r>
        <w:rPr>
          <w:rFonts w:ascii="Times New Roman" w:eastAsia="方正仿宋_GBK" w:hAnsi="Times New Roman" w:hint="eastAsia"/>
          <w:bCs/>
          <w:kern w:val="44"/>
          <w:sz w:val="30"/>
          <w:szCs w:val="30"/>
          <w:lang w:eastAsia="zh-CN"/>
        </w:rPr>
        <w:t>“</w:t>
      </w:r>
      <w:r>
        <w:rPr>
          <w:rFonts w:ascii="Times New Roman" w:eastAsia="方正仿宋_GBK" w:hAnsi="Times New Roman" w:hint="eastAsia"/>
          <w:bCs/>
          <w:kern w:val="44"/>
          <w:sz w:val="30"/>
          <w:szCs w:val="30"/>
          <w:lang w:val="en-US" w:eastAsia="zh-CN"/>
        </w:rPr>
        <w:t>三公</w:t>
      </w:r>
      <w:r>
        <w:rPr>
          <w:rFonts w:ascii="Times New Roman" w:eastAsia="方正仿宋_GBK" w:hAnsi="Times New Roman" w:hint="eastAsia"/>
          <w:bCs/>
          <w:kern w:val="44"/>
          <w:sz w:val="30"/>
          <w:szCs w:val="30"/>
          <w:lang w:eastAsia="zh-CN"/>
        </w:rPr>
        <w:t>”</w:t>
      </w:r>
      <w:r>
        <w:rPr>
          <w:rFonts w:ascii="Times New Roman" w:eastAsia="方正仿宋_GBK" w:hAnsi="Times New Roman" w:hint="eastAsia"/>
          <w:bCs/>
          <w:kern w:val="44"/>
          <w:sz w:val="30"/>
          <w:szCs w:val="30"/>
          <w:lang w:val="en-US" w:eastAsia="zh-CN"/>
        </w:rPr>
        <w:t>经费</w:t>
      </w:r>
      <w:r>
        <w:rPr>
          <w:rFonts w:ascii="Times New Roman" w:eastAsia="方正仿宋_GBK" w:hAnsi="Times New Roman"/>
          <w:bCs/>
          <w:kern w:val="44"/>
          <w:sz w:val="30"/>
          <w:szCs w:val="30"/>
        </w:rPr>
        <w:t>支出决算表</w:t>
        <w:tab/>
      </w:r>
      <w:r>
        <w:rPr>
          <w:rFonts w:ascii="Times New Roman" w:eastAsia="方正仿宋_GBK" w:hAnsi="Times New Roman"/>
          <w:bCs/>
          <w:kern w:val="44"/>
          <w:sz w:val="30"/>
          <w:szCs w:val="30"/>
        </w:rPr>
        <w:fldChar w:fldCharType="begin"/>
      </w:r>
      <w:r>
        <w:rPr>
          <w:rFonts w:ascii="Times New Roman" w:eastAsia="方正仿宋_GBK" w:hAnsi="Times New Roman"/>
          <w:bCs/>
          <w:kern w:val="44"/>
          <w:sz w:val="30"/>
          <w:szCs w:val="30"/>
        </w:rPr>
        <w:instrText>PageRef _Toc26843638 \h</w:instrText>
      </w:r>
      <w:r>
        <w:rPr>
          <w:rFonts w:ascii="Times New Roman" w:eastAsia="方正仿宋_GBK" w:hAnsi="Times New Roman"/>
          <w:bCs/>
          <w:kern w:val="44"/>
          <w:sz w:val="30"/>
          <w:szCs w:val="30"/>
        </w:rPr>
        <w:fldChar w:fldCharType="separate"/>
      </w:r>
      <w:r>
        <w:rPr>
          <w:rFonts w:ascii="Times New Roman" w:eastAsia="方正仿宋_GBK" w:hAnsi="Times New Roman"/>
          <w:bCs/>
          <w:kern w:val="44"/>
          <w:sz w:val="30"/>
          <w:szCs w:val="30"/>
        </w:rPr>
        <w:t>23</w:t>
      </w:r>
      <w:r>
        <w:rPr>
          <w:rFonts w:ascii="Times New Roman" w:eastAsia="方正仿宋_GBK" w:hAnsi="Times New Roman"/>
          <w:bCs/>
          <w:kern w:val="44"/>
          <w:sz w:val="30"/>
          <w:szCs w:val="30"/>
        </w:rPr>
        <w:fldChar w:fldCharType="end"/>
      </w:r>
      <w:r>
        <w:rPr>
          <w:rFonts w:ascii="Times New Roman" w:eastAsia="方正仿宋_GBK" w:hAnsi="Times New Roman"/>
          <w:bCs/>
          <w:kern w:val="44"/>
          <w:sz w:val="30"/>
          <w:szCs w:val="30"/>
        </w:rPr>
        <w:fldChar w:fldCharType="end"/>
      </w:r>
    </w:p>
    <w:p>
      <w:pPr>
        <w:pStyle w:val="20"/>
        <w:tabs>
          <w:tab w:val="right" w:leader="dot" w:pos="8296"/>
        </w:tabs>
        <w:rPr>
          <w:rFonts w:ascii="Times New Roman" w:hAnsi="Times New Roman"/>
        </w:rPr>
      </w:pPr>
      <w:r>
        <w:rPr>
          <w:rFonts w:ascii="Times New Roman" w:hAnsi="Times New Roman"/>
        </w:rPr>
        <w:fldChar w:fldCharType="end"/>
      </w:r>
    </w:p>
    <w:p/>
    <w:p>
      <w:pPr>
        <w:pStyle w:val="1"/>
        <w:rPr>
          <w:rFonts w:eastAsia="黑体"/>
          <w:b w:val="0"/>
        </w:rPr>
      </w:pPr>
    </w:p>
    <w:p>
      <w:pPr>
        <w:rPr>
          <w:rFonts w:eastAsia="黑体"/>
        </w:rPr>
      </w:pPr>
    </w:p>
    <w:p>
      <w:pPr>
        <w:pStyle w:val="15"/>
        <w:spacing w:beforeLines="0" w:before="93"/>
      </w:pPr>
    </w:p>
    <w:p>
      <w:pPr>
        <w:pStyle w:val="1"/>
        <w:jc w:val="center"/>
        <w:rPr>
          <w:rFonts w:eastAsia="黑体"/>
          <w:sz w:val="32"/>
          <w:szCs w:val="32"/>
        </w:rPr>
      </w:pPr>
      <w:r>
        <w:rPr>
          <w:rFonts w:eastAsia="黑体"/>
          <w:b w:val="0"/>
        </w:rPr>
        <w:t xml:space="preserve">第一部分 </w:t>
      </w:r>
      <w:r>
        <w:rPr>
          <w:rStyle w:val="1Char"/>
          <w:rFonts w:eastAsia="黑体"/>
          <w:b w:val="0"/>
          <w:bCs w:val="0"/>
        </w:rPr>
        <w:t>部门概况</w:t>
      </w:r>
      <w:bookmarkEnd w:id="12"/>
      <w:bookmarkEnd w:id="13"/>
    </w:p>
    <w:p>
      <w:pPr>
        <w:pStyle w:val="2"/>
        <w:spacing w:before="0" w:after="0" w:line="576" w:lineRule="exact"/>
        <w:ind w:left="640" w:hangingChars="200" w:hanging="640"/>
        <w:rPr>
          <w:rStyle w:val="2Char"/>
          <w:rFonts w:ascii="Times New Roman" w:eastAsia="黑体" w:hAnsi="Times New Roman"/>
          <w:b w:val="0"/>
          <w:bCs w:val="0"/>
        </w:rPr>
      </w:pPr>
      <w:bookmarkStart w:id="14" w:name="_Toc15377197"/>
      <w:bookmarkStart w:id="15" w:name="_Toc15396600"/>
      <w:r>
        <w:rPr>
          <w:rFonts w:ascii="Times New Roman" w:eastAsia="黑体" w:hAnsi="Times New Roman"/>
          <w:b w:val="0"/>
        </w:rPr>
        <w:t>一、基</w:t>
      </w:r>
      <w:r>
        <w:rPr>
          <w:rStyle w:val="2Char"/>
          <w:rFonts w:ascii="Times New Roman" w:eastAsia="黑体" w:hAnsi="Times New Roman"/>
          <w:b w:val="0"/>
          <w:bCs w:val="0"/>
        </w:rPr>
        <w:t>本职能及主要工作</w:t>
      </w:r>
      <w:bookmarkStart w:id="16" w:name="_Toc15377198"/>
      <w:bookmarkStart w:id="17" w:name="_Toc15378445"/>
      <w:bookmarkEnd w:id="14"/>
      <w:bookmarkEnd w:id="15"/>
    </w:p>
    <w:p>
      <w:pPr>
        <w:pStyle w:val="2"/>
        <w:spacing w:before="0" w:after="0" w:line="576" w:lineRule="exact"/>
        <w:ind w:leftChars="153" w:left="641" w:hangingChars="100" w:hanging="320"/>
        <w:rPr>
          <w:rFonts w:ascii="Times New Roman" w:eastAsia="楷体" w:hAnsi="Times New Roman"/>
        </w:rPr>
      </w:pPr>
      <w:r>
        <w:rPr>
          <w:rFonts w:ascii="Times New Roman" w:eastAsia="楷体" w:hAnsi="Times New Roman"/>
        </w:rPr>
        <w:t>（一）主要职能</w:t>
      </w:r>
      <w:bookmarkStart w:id="18" w:name="_Toc15377199"/>
      <w:bookmarkStart w:id="19" w:name="_Toc15378446"/>
      <w:bookmarkEnd w:id="16"/>
      <w:bookmarkEnd w:id="17"/>
    </w:p>
    <w:p>
      <w:pPr>
        <w:spacing w:line="576" w:lineRule="exact"/>
        <w:ind w:firstLineChars="200" w:firstLine="640"/>
        <w:rPr>
          <w:rFonts w:eastAsia="仿宋_GB2312"/>
          <w:sz w:val="32"/>
          <w:szCs w:val="32"/>
        </w:rPr>
      </w:pPr>
      <w:r>
        <w:rPr>
          <w:rFonts w:eastAsia="仿宋_GB2312" w:hint="eastAsia"/>
          <w:sz w:val="32"/>
          <w:szCs w:val="32"/>
        </w:rPr>
        <w:t>根据2019年中共金川县委办公室《关于印发&lt;中共金川县委组织部职能配置、内设机构和人员编制规定&g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pPr>
        <w:pStyle w:val="2"/>
        <w:spacing w:before="0" w:after="0" w:line="576" w:lineRule="exact"/>
        <w:ind w:firstLineChars="100" w:firstLine="320"/>
        <w:rPr>
          <w:rFonts w:ascii="Times New Roman" w:eastAsia="楷体" w:hAnsi="Times New Roman"/>
        </w:rPr>
      </w:pPr>
      <w:r>
        <w:rPr>
          <w:rFonts w:ascii="Times New Roman" w:eastAsia="楷体" w:hAnsi="Times New Roman"/>
        </w:rPr>
        <w:t>（二）202</w:t>
      </w:r>
      <w:r>
        <w:rPr>
          <w:rFonts w:ascii="Times New Roman" w:eastAsia="楷体" w:hAnsi="Times New Roman" w:hint="eastAsia"/>
        </w:rPr>
        <w:t>2</w:t>
      </w:r>
      <w:r>
        <w:rPr>
          <w:rFonts w:ascii="Times New Roman" w:eastAsia="楷体" w:hAnsi="Times New Roman"/>
        </w:rPr>
        <w:t>年重点工作完成情况</w:t>
      </w:r>
      <w:bookmarkEnd w:id="18"/>
      <w:bookmarkEnd w:id="19"/>
    </w:p>
    <w:p>
      <w:pPr>
        <w:spacing w:line="576" w:lineRule="exact"/>
        <w:ind w:firstLineChars="200" w:firstLine="640"/>
        <w:rPr>
          <w:rFonts w:eastAsia="仿宋_GB2312"/>
          <w:sz w:val="32"/>
          <w:szCs w:val="32"/>
        </w:rPr>
      </w:pPr>
      <w:bookmarkStart w:id="20" w:name="_Toc15377200"/>
      <w:bookmarkStart w:id="21" w:name="_Toc15396601"/>
      <w:r>
        <w:rPr>
          <w:rFonts w:eastAsia="仿宋_GB2312" w:hint="eastAsia"/>
          <w:sz w:val="32"/>
          <w:szCs w:val="32"/>
        </w:rPr>
        <w:t>1.负责全县各级党组织建设工作，规划和指导全县党员教育工作，抓好了全县党员管理和党员发展及培训工作。</w:t>
      </w:r>
    </w:p>
    <w:p>
      <w:pPr>
        <w:spacing w:line="576" w:lineRule="exact"/>
        <w:ind w:firstLineChars="200" w:firstLine="640"/>
        <w:rPr>
          <w:rFonts w:eastAsia="仿宋_GB2312"/>
          <w:sz w:val="32"/>
          <w:szCs w:val="32"/>
        </w:rPr>
      </w:pPr>
      <w:r>
        <w:rPr>
          <w:rFonts w:eastAsia="仿宋_GB2312" w:hint="eastAsia"/>
          <w:sz w:val="32"/>
          <w:szCs w:val="32"/>
        </w:rPr>
        <w:t>2.抓好了全县的干部管理工作；对培养和选拔中、青年干部及后备干部队伍进行了相关的培训工作。</w:t>
      </w:r>
    </w:p>
    <w:p>
      <w:pPr>
        <w:spacing w:line="576" w:lineRule="exact"/>
        <w:ind w:firstLineChars="200" w:firstLine="640"/>
        <w:rPr>
          <w:rFonts w:eastAsia="仿宋_GB2312"/>
          <w:sz w:val="32"/>
          <w:szCs w:val="32"/>
        </w:rPr>
      </w:pPr>
      <w:r>
        <w:rPr>
          <w:rFonts w:eastAsia="仿宋_GB2312" w:hint="eastAsia"/>
          <w:sz w:val="32"/>
          <w:szCs w:val="32"/>
        </w:rPr>
        <w:t>3.协调、督促、检查全县老干部工作的方针政策及有关规定的贯彻执行情况，做好了县级离退休干部的管理服务工作。</w:t>
      </w:r>
    </w:p>
    <w:p>
      <w:pPr>
        <w:spacing w:line="576" w:lineRule="exact"/>
        <w:ind w:firstLineChars="200" w:firstLine="640"/>
        <w:rPr>
          <w:rStyle w:val="2Char"/>
          <w:rFonts w:ascii="Times New Roman" w:hAnsi="Times New Roman"/>
          <w:b w:val="0"/>
          <w:bCs w:val="0"/>
        </w:rPr>
      </w:pPr>
      <w:r>
        <w:rPr>
          <w:rFonts w:eastAsia="仿宋_GB2312" w:hint="eastAsia"/>
          <w:sz w:val="32"/>
          <w:szCs w:val="32"/>
        </w:rPr>
        <w:t>4.认真、及时完成县委、州委组织部交办的其它工作。</w:t>
      </w:r>
      <w:r>
        <w:rPr>
          <w:rStyle w:val="2Char"/>
          <w:rFonts w:ascii="Times New Roman" w:eastAsia="黑体" w:hAnsi="Times New Roman"/>
          <w:b w:val="0"/>
          <w:bCs w:val="0"/>
        </w:rPr>
        <w:t>二、机构设置</w:t>
      </w:r>
      <w:bookmarkEnd w:id="20"/>
      <w:bookmarkEnd w:id="21"/>
    </w:p>
    <w:p>
      <w:pPr>
        <w:widowControl/>
        <w:spacing w:line="576" w:lineRule="exact"/>
        <w:ind w:firstLineChars="200" w:firstLine="640"/>
        <w:jc w:val="left"/>
        <w:rPr>
          <w:rFonts w:eastAsia="仿宋_GB2312"/>
          <w:sz w:val="32"/>
          <w:szCs w:val="32"/>
        </w:rPr>
      </w:pPr>
      <w:bookmarkStart w:id="22" w:name="_Toc15377204"/>
      <w:bookmarkStart w:id="23" w:name="_Toc15396602"/>
      <w:r>
        <w:rPr>
          <w:rFonts w:ascii="仿宋_GB2312" w:eastAsia="仿宋_GB2312" w:hint="eastAsia"/>
          <w:color w:val="000000"/>
          <w:sz w:val="32"/>
          <w:szCs w:val="32"/>
        </w:rPr>
        <w:t>中共金川县委组织部由中共金川县委组织部、中共金川县委党员教育工作中心、中共金川县委组织部信息中心组成</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统一核算机构为3个，独立编制机构3个，其中:行政单位1个，参照公务员法管理的事业单位1个，事业单位1个。</w:t>
      </w:r>
    </w:p>
    <w:p>
      <w:pPr>
        <w:spacing w:line="576" w:lineRule="exact"/>
        <w:ind w:firstLineChars="200" w:firstLine="640"/>
        <w:rPr>
          <w:rFonts w:eastAsia="仿宋_GB2312"/>
          <w:sz w:val="32"/>
          <w:szCs w:val="32"/>
        </w:rPr>
      </w:pPr>
      <w:r>
        <w:rPr>
          <w:rFonts w:eastAsia="仿宋_GB2312" w:hint="eastAsia"/>
          <w:sz w:val="32"/>
          <w:szCs w:val="32"/>
        </w:rPr>
        <w:t>总编制29名,其中：行政编制17名（包括行政工勤2名）、参照公务员法管理的事业编制6名、财政补助事业编制6名。总编制与上年无变化。年末实有在职人数24名，行政人员14名（包括行政工勤2名）、参照公务员法管理的事业人员4名、财政补助事业人员6名。年末实有在职人数比上年增加2名。</w:t>
      </w:r>
    </w:p>
    <w:p>
      <w:pPr>
        <w:pStyle w:val="1"/>
        <w:spacing w:line="576" w:lineRule="exact"/>
        <w:ind w:right="440"/>
        <w:jc w:val="right"/>
      </w:pPr>
      <w:r>
        <w:rPr>
          <w:rFonts w:eastAsia="黑体"/>
          <w:b w:val="0"/>
        </w:rPr>
        <w:t>第二部分</w:t>
      </w:r>
      <w:r>
        <w:rPr>
          <w:rFonts w:eastAsia="黑体"/>
        </w:rPr>
        <w:t xml:space="preserve"> </w:t>
      </w:r>
      <w:r>
        <w:rPr>
          <w:rStyle w:val="1Char"/>
          <w:rFonts w:eastAsia="黑体"/>
          <w:b w:val="0"/>
          <w:bCs w:val="0"/>
        </w:rPr>
        <w:t>202</w:t>
      </w:r>
      <w:r>
        <w:rPr>
          <w:rStyle w:val="1Char"/>
          <w:rFonts w:eastAsia="黑体" w:hint="eastAsia"/>
          <w:b w:val="0"/>
          <w:bCs w:val="0"/>
        </w:rPr>
        <w:t xml:space="preserve">2 </w:t>
      </w:r>
      <w:r>
        <w:rPr>
          <w:rStyle w:val="1Char"/>
          <w:rFonts w:eastAsia="黑体"/>
          <w:b w:val="0"/>
          <w:bCs w:val="0"/>
        </w:rPr>
        <w:t>年度部门决算情况说明</w:t>
      </w:r>
      <w:bookmarkEnd w:id="22"/>
      <w:bookmarkEnd w:id="23"/>
    </w:p>
    <w:p>
      <w:pPr>
        <w:pStyle w:val="28"/>
        <w:numPr>
          <w:ilvl w:val="0"/>
          <w:numId w:val="1"/>
        </w:numPr>
        <w:spacing w:line="576" w:lineRule="exact"/>
        <w:ind w:left="0" w:firstLineChars="0" w:firstLine="0"/>
        <w:outlineLvl w:val="1"/>
        <w:rPr>
          <w:rStyle w:val="2Char"/>
          <w:rFonts w:ascii="Times New Roman" w:eastAsia="黑体" w:hAnsi="Times New Roman"/>
          <w:b w:val="0"/>
        </w:rPr>
      </w:pPr>
      <w:bookmarkStart w:id="24" w:name="_Toc15396603"/>
      <w:bookmarkStart w:id="25" w:name="_Toc15377205"/>
      <w:r>
        <w:rPr>
          <w:rFonts w:eastAsia="黑体"/>
          <w:sz w:val="32"/>
          <w:szCs w:val="32"/>
        </w:rPr>
        <w:t>收</w:t>
      </w:r>
      <w:r>
        <w:rPr>
          <w:rStyle w:val="2Char"/>
          <w:rFonts w:ascii="Times New Roman" w:eastAsia="黑体" w:hAnsi="Times New Roman"/>
          <w:b w:val="0"/>
        </w:rPr>
        <w:t>入支出决算总体情况说明</w:t>
      </w:r>
      <w:bookmarkEnd w:id="24"/>
      <w:bookmarkEnd w:id="25"/>
    </w:p>
    <w:p>
      <w:pPr>
        <w:pStyle w:val="28"/>
        <w:spacing w:line="576" w:lineRule="exact"/>
        <w:rPr>
          <w:rFonts w:eastAsia="仿宋_GB2312"/>
          <w:sz w:val="32"/>
          <w:szCs w:val="32"/>
        </w:rPr>
      </w:pPr>
      <w:bookmarkStart w:id="26" w:name="_Toc15377206"/>
      <w:bookmarkStart w:id="27" w:name="_Toc15396604"/>
      <w:r>
        <w:rPr>
          <w:rFonts w:eastAsia="仿宋_GB2312" w:hint="eastAsia"/>
          <w:sz w:val="32"/>
          <w:szCs w:val="32"/>
        </w:rPr>
        <w:t>1、</w:t>
      </w:r>
      <w:r>
        <w:rPr>
          <w:rFonts w:eastAsia="仿宋_GB2312"/>
          <w:sz w:val="32"/>
          <w:szCs w:val="32"/>
        </w:rPr>
        <w:t>202</w:t>
      </w:r>
      <w:r>
        <w:rPr>
          <w:rFonts w:eastAsia="仿宋_GB2312" w:hint="eastAsia"/>
          <w:sz w:val="32"/>
          <w:szCs w:val="32"/>
        </w:rPr>
        <w:t>2</w:t>
      </w:r>
      <w:r>
        <w:rPr>
          <w:rFonts w:eastAsia="仿宋_GB2312"/>
          <w:sz w:val="32"/>
          <w:szCs w:val="32"/>
        </w:rPr>
        <w:t>年度财政拨款收入总决算</w:t>
      </w:r>
      <w:r>
        <w:rPr>
          <w:rFonts w:eastAsia="仿宋_GB2312" w:hint="eastAsia"/>
          <w:sz w:val="32"/>
          <w:szCs w:val="32"/>
        </w:rPr>
        <w:t>1067.78</w:t>
      </w:r>
      <w:r>
        <w:rPr>
          <w:rFonts w:eastAsia="仿宋_GB2312"/>
          <w:sz w:val="32"/>
          <w:szCs w:val="32"/>
        </w:rPr>
        <w:t>万元与202</w:t>
      </w:r>
      <w:r>
        <w:rPr>
          <w:rFonts w:eastAsia="仿宋_GB2312" w:hint="eastAsia"/>
          <w:sz w:val="32"/>
          <w:szCs w:val="32"/>
        </w:rPr>
        <w:t>1</w:t>
      </w:r>
      <w:r>
        <w:rPr>
          <w:rFonts w:eastAsia="仿宋_GB2312"/>
          <w:sz w:val="32"/>
          <w:szCs w:val="32"/>
        </w:rPr>
        <w:t>年财政拨款收入总决算</w:t>
      </w:r>
      <w:r>
        <w:rPr>
          <w:rFonts w:eastAsia="仿宋_GB2312" w:hint="eastAsia"/>
          <w:sz w:val="32"/>
          <w:szCs w:val="32"/>
        </w:rPr>
        <w:t>1225.3</w:t>
      </w:r>
      <w:r>
        <w:rPr>
          <w:rFonts w:eastAsia="仿宋_GB2312"/>
          <w:sz w:val="32"/>
          <w:szCs w:val="32"/>
        </w:rPr>
        <w:t>万元相比收入减少</w:t>
      </w:r>
      <w:r>
        <w:rPr>
          <w:rFonts w:eastAsia="仿宋_GB2312" w:hint="eastAsia"/>
          <w:sz w:val="32"/>
          <w:szCs w:val="32"/>
        </w:rPr>
        <w:t>157.52</w:t>
      </w:r>
      <w:r>
        <w:rPr>
          <w:rFonts w:eastAsia="仿宋_GB2312"/>
          <w:sz w:val="32"/>
          <w:szCs w:val="32"/>
        </w:rPr>
        <w:t>万元，减少</w:t>
      </w:r>
      <w:r>
        <w:rPr>
          <w:rFonts w:eastAsia="仿宋_GB2312" w:hint="eastAsia"/>
          <w:sz w:val="32"/>
          <w:szCs w:val="32"/>
        </w:rPr>
        <w:t>12.86</w:t>
      </w:r>
      <w:r>
        <w:rPr>
          <w:rFonts w:eastAsia="仿宋_GB2312"/>
          <w:sz w:val="32"/>
          <w:szCs w:val="32"/>
        </w:rPr>
        <w:t>%。</w:t>
      </w:r>
    </w:p>
    <w:p>
      <w:pPr>
        <w:pStyle w:val="28"/>
        <w:spacing w:line="576" w:lineRule="exact"/>
        <w:rPr>
          <w:rFonts w:eastAsia="仿宋_GB2312"/>
          <w:sz w:val="32"/>
          <w:szCs w:val="32"/>
        </w:rPr>
      </w:pPr>
      <w:r>
        <w:rPr>
          <w:rFonts w:eastAsia="仿宋_GB2312" w:hint="eastAsia"/>
          <w:sz w:val="32"/>
          <w:szCs w:val="32"/>
        </w:rPr>
        <w:t>2、</w:t>
      </w:r>
      <w:r>
        <w:rPr>
          <w:rFonts w:eastAsia="仿宋_GB2312"/>
          <w:sz w:val="32"/>
          <w:szCs w:val="32"/>
        </w:rPr>
        <w:t>202</w:t>
      </w:r>
      <w:r>
        <w:rPr>
          <w:rFonts w:eastAsia="仿宋_GB2312" w:hint="eastAsia"/>
          <w:sz w:val="32"/>
          <w:szCs w:val="32"/>
        </w:rPr>
        <w:t>2</w:t>
      </w:r>
      <w:r>
        <w:rPr>
          <w:rFonts w:eastAsia="仿宋_GB2312"/>
          <w:sz w:val="32"/>
          <w:szCs w:val="32"/>
        </w:rPr>
        <w:t>年度财政拨款支出总决算</w:t>
      </w:r>
      <w:r>
        <w:rPr>
          <w:rFonts w:eastAsia="仿宋_GB2312" w:hint="eastAsia"/>
          <w:sz w:val="32"/>
          <w:szCs w:val="32"/>
        </w:rPr>
        <w:t>1067.78</w:t>
      </w:r>
      <w:r>
        <w:rPr>
          <w:rFonts w:eastAsia="仿宋_GB2312"/>
          <w:sz w:val="32"/>
          <w:szCs w:val="32"/>
        </w:rPr>
        <w:t>万元与</w:t>
      </w:r>
      <w:r>
        <w:rPr>
          <w:rFonts w:eastAsia="仿宋_GB2312" w:hint="eastAsia"/>
          <w:sz w:val="32"/>
          <w:szCs w:val="32"/>
        </w:rPr>
        <w:t>2021</w:t>
      </w:r>
      <w:r>
        <w:rPr>
          <w:rFonts w:eastAsia="仿宋_GB2312"/>
          <w:sz w:val="32"/>
          <w:szCs w:val="32"/>
        </w:rPr>
        <w:t>年财政拨款支出总决算</w:t>
      </w:r>
      <w:r>
        <w:rPr>
          <w:rFonts w:eastAsia="仿宋_GB2312" w:hint="eastAsia"/>
          <w:sz w:val="32"/>
          <w:szCs w:val="32"/>
        </w:rPr>
        <w:t>1271.99</w:t>
      </w:r>
      <w:r>
        <w:rPr>
          <w:rFonts w:eastAsia="仿宋_GB2312"/>
          <w:sz w:val="32"/>
          <w:szCs w:val="32"/>
        </w:rPr>
        <w:t>万元相比减少</w:t>
      </w:r>
      <w:r>
        <w:rPr>
          <w:rFonts w:eastAsia="仿宋_GB2312" w:hint="eastAsia"/>
          <w:sz w:val="32"/>
          <w:szCs w:val="32"/>
        </w:rPr>
        <w:t>204.21</w:t>
      </w:r>
      <w:r>
        <w:rPr>
          <w:rFonts w:eastAsia="仿宋_GB2312"/>
          <w:sz w:val="32"/>
          <w:szCs w:val="32"/>
        </w:rPr>
        <w:t>万元</w:t>
      </w:r>
      <w:r>
        <w:rPr>
          <w:rFonts w:eastAsia="仿宋_GB2312" w:hint="eastAsia"/>
          <w:sz w:val="32"/>
          <w:szCs w:val="32"/>
        </w:rPr>
        <w:t>，</w:t>
      </w:r>
      <w:r>
        <w:rPr>
          <w:rFonts w:eastAsia="仿宋_GB2312"/>
          <w:sz w:val="32"/>
          <w:szCs w:val="32"/>
        </w:rPr>
        <w:t>减少</w:t>
      </w:r>
      <w:r>
        <w:rPr>
          <w:rFonts w:eastAsia="仿宋_GB2312" w:hint="eastAsia"/>
          <w:sz w:val="32"/>
          <w:szCs w:val="32"/>
        </w:rPr>
        <w:t>16.05</w:t>
      </w:r>
      <w:r>
        <w:rPr>
          <w:rFonts w:eastAsia="仿宋_GB2312"/>
          <w:sz w:val="32"/>
          <w:szCs w:val="32"/>
        </w:rPr>
        <w:t>%。</w:t>
      </w:r>
    </w:p>
    <w:p>
      <w:pPr>
        <w:pStyle w:val="28"/>
        <w:spacing w:line="576" w:lineRule="exact"/>
        <w:rPr>
          <w:rFonts w:eastAsia="仿宋_GB2312"/>
          <w:sz w:val="32"/>
          <w:szCs w:val="32"/>
        </w:rPr>
      </w:pPr>
      <w:r>
        <w:drawing>
          <wp:anchor distT="0" distB="0" distL="114300" distR="114300" simplePos="0" relativeHeight="17" behindDoc="0" locked="0" layoutInCell="1" hidden="0" allowOverlap="1">
            <wp:simplePos x="0" y="0"/>
            <wp:positionH relativeFrom="column">
              <wp:posOffset>332740</wp:posOffset>
            </wp:positionH>
            <wp:positionV relativeFrom="paragraph">
              <wp:posOffset>241934</wp:posOffset>
            </wp:positionV>
            <wp:extent cx="4571999" cy="2743200"/>
            <wp:effectExtent l="0" t="0" r="0" b="0"/>
            <wp:wrapTopAndBottom/>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576" w:lineRule="exact"/>
        <w:rPr>
          <w:rStyle w:val="2Char"/>
          <w:rFonts w:ascii="Times New Roman" w:eastAsia="黑体" w:hAnsi="Times New Roman"/>
          <w:b w:val="0"/>
        </w:rPr>
      </w:pPr>
      <w:r>
        <w:drawing>
          <wp:anchor distT="0" distB="0" distL="114300" distR="114300" simplePos="0" relativeHeight="19" behindDoc="0" locked="0" layoutInCell="1" hidden="0" allowOverlap="1">
            <wp:simplePos x="0" y="0"/>
            <wp:positionH relativeFrom="column">
              <wp:posOffset>579755</wp:posOffset>
            </wp:positionH>
            <wp:positionV relativeFrom="paragraph">
              <wp:posOffset>2839085</wp:posOffset>
            </wp:positionV>
            <wp:extent cx="4363720" cy="2557780"/>
            <wp:effectExtent l="0" t="0" r="0" b="0"/>
            <wp:wrapTopAndBottom/>
            <wp:docPr id="2" name="图表 2"/>
            <wp:cNvGraphicFramePr>
              <a:graphicFrameLocks noChangeAspect="0"/>
            </wp:cNvGraphicFramePr>
            <a:graphic>
              <a:graphicData uri="http://schemas.openxmlformats.org/drawingml/2006/chart">
                <c:chart xmlns:c="http://schemas.openxmlformats.org/drawingml/2006/chart" r:id="rId5"/>
              </a:graphicData>
            </a:graphic>
          </wp:anchor>
        </w:drawing>
      </w:r>
      <w:r>
        <w:rPr>
          <w:rFonts w:eastAsia="黑体"/>
          <w:sz w:val="32"/>
          <w:szCs w:val="32"/>
        </w:rPr>
        <w:t>二、收入决</w:t>
      </w:r>
      <w:r>
        <w:rPr>
          <w:rStyle w:val="2Char"/>
          <w:rFonts w:ascii="Times New Roman" w:eastAsia="黑体" w:hAnsi="Times New Roman"/>
          <w:b w:val="0"/>
        </w:rPr>
        <w:t>算情况说明</w:t>
      </w:r>
      <w:bookmarkEnd w:id="26"/>
      <w:bookmarkEnd w:id="27"/>
    </w:p>
    <w:p>
      <w:pPr>
        <w:spacing w:line="576" w:lineRule="exact"/>
        <w:ind w:firstLineChars="200" w:firstLine="640"/>
        <w:outlineLvl w:val="1"/>
        <w:rPr>
          <w:rFonts w:eastAsia="仿宋"/>
          <w:sz w:val="32"/>
          <w:szCs w:val="32"/>
        </w:rPr>
      </w:pPr>
      <w:r>
        <w:rPr>
          <w:rFonts w:eastAsia="仿宋"/>
          <w:sz w:val="32"/>
          <w:szCs w:val="32"/>
        </w:rPr>
        <w:t>202</w:t>
      </w:r>
      <w:r>
        <w:rPr>
          <w:rFonts w:eastAsia="仿宋" w:hint="eastAsia"/>
          <w:sz w:val="32"/>
          <w:szCs w:val="32"/>
        </w:rPr>
        <w:t>2</w:t>
      </w:r>
      <w:r>
        <w:rPr>
          <w:rFonts w:eastAsia="仿宋"/>
          <w:sz w:val="32"/>
          <w:szCs w:val="32"/>
        </w:rPr>
        <w:t>年总收入</w:t>
      </w:r>
      <w:r>
        <w:rPr>
          <w:rFonts w:eastAsia="仿宋_GB2312" w:hint="eastAsia"/>
          <w:sz w:val="32"/>
          <w:szCs w:val="32"/>
        </w:rPr>
        <w:t>1067.78</w:t>
      </w:r>
      <w:r>
        <w:rPr>
          <w:rFonts w:eastAsia="仿宋"/>
          <w:sz w:val="32"/>
          <w:szCs w:val="32"/>
        </w:rPr>
        <w:t>万元，其中：一般公共预算财政拨款收入</w:t>
      </w:r>
      <w:r>
        <w:rPr>
          <w:rFonts w:eastAsia="仿宋_GB2312" w:hint="eastAsia"/>
          <w:sz w:val="32"/>
          <w:szCs w:val="32"/>
        </w:rPr>
        <w:t>1067.78</w:t>
      </w:r>
      <w:r>
        <w:rPr>
          <w:rFonts w:eastAsia="仿宋"/>
          <w:sz w:val="32"/>
          <w:szCs w:val="32"/>
        </w:rPr>
        <w:t>万元，占100%；政府性基金预算财政拨款收入0万元，占0%；国有资本经营预算财政拨款收入0万元，占0%；事业收入0万元，占0%；经营收入0万元，占0%；附属单位上缴收入0万元，占0%；其他收入0万元，占0%</w:t>
      </w:r>
      <w:bookmarkStart w:id="28" w:name="_Toc15396605"/>
      <w:bookmarkStart w:id="29" w:name="_Toc15377207"/>
      <w:r>
        <w:rPr>
          <w:rFonts w:eastAsia="仿宋" w:hint="eastAsia"/>
          <w:sz w:val="32"/>
          <w:szCs w:val="32"/>
        </w:rPr>
        <w:t>。</w:t>
      </w:r>
    </w:p>
    <w:p>
      <w:pPr>
        <w:spacing w:line="576" w:lineRule="exact"/>
        <w:ind w:firstLineChars="200" w:firstLine="640"/>
        <w:outlineLvl w:val="1"/>
        <w:rPr>
          <w:rFonts w:eastAsia="仿宋"/>
          <w:sz w:val="32"/>
          <w:szCs w:val="32"/>
        </w:rPr>
      </w:pPr>
    </w:p>
    <w:p>
      <w:pPr>
        <w:spacing w:line="576" w:lineRule="exact"/>
        <w:outlineLvl w:val="1"/>
        <w:rPr>
          <w:rStyle w:val="2Char"/>
          <w:rFonts w:ascii="Times New Roman" w:eastAsia="仿宋" w:hAnsi="Times New Roman"/>
          <w:b w:val="0"/>
          <w:bCs w:val="0"/>
        </w:rPr>
      </w:pPr>
      <w:r>
        <w:rPr>
          <w:rFonts w:eastAsia="黑体"/>
          <w:sz w:val="32"/>
          <w:szCs w:val="32"/>
        </w:rPr>
        <w:t>三、支出决</w:t>
      </w:r>
      <w:r>
        <w:rPr>
          <w:rStyle w:val="2Char"/>
          <w:rFonts w:ascii="Times New Roman" w:eastAsia="黑体" w:hAnsi="Times New Roman"/>
          <w:b w:val="0"/>
        </w:rPr>
        <w:t>算情况说明</w:t>
      </w:r>
      <w:bookmarkEnd w:id="28"/>
      <w:bookmarkEnd w:id="29"/>
    </w:p>
    <w:p>
      <w:pPr>
        <w:spacing w:line="576" w:lineRule="exact"/>
        <w:ind w:firstLine="640"/>
        <w:rPr>
          <w:rFonts w:eastAsia="仿宋"/>
          <w:sz w:val="32"/>
          <w:szCs w:val="32"/>
        </w:rPr>
      </w:pPr>
      <w:r>
        <w:rPr>
          <w:rFonts w:eastAsia="仿宋"/>
          <w:sz w:val="32"/>
          <w:szCs w:val="32"/>
        </w:rPr>
        <w:t>202</w:t>
      </w:r>
      <w:r>
        <w:rPr>
          <w:rFonts w:eastAsia="仿宋" w:hint="eastAsia"/>
          <w:sz w:val="32"/>
          <w:szCs w:val="32"/>
        </w:rPr>
        <w:t>2</w:t>
      </w:r>
      <w:r>
        <w:rPr>
          <w:rFonts w:eastAsia="仿宋"/>
          <w:sz w:val="32"/>
          <w:szCs w:val="32"/>
        </w:rPr>
        <w:t>年本年总支出</w:t>
      </w:r>
      <w:r>
        <w:rPr>
          <w:rFonts w:eastAsia="仿宋_GB2312" w:hint="eastAsia"/>
          <w:sz w:val="32"/>
          <w:szCs w:val="32"/>
        </w:rPr>
        <w:t>1067.78</w:t>
      </w:r>
      <w:r>
        <w:rPr>
          <w:rFonts w:eastAsia="仿宋"/>
          <w:sz w:val="32"/>
          <w:szCs w:val="32"/>
        </w:rPr>
        <w:t>万元，其中：基本支出</w:t>
      </w:r>
      <w:r>
        <w:rPr>
          <w:rFonts w:eastAsia="仿宋" w:hint="eastAsia"/>
          <w:sz w:val="32"/>
          <w:szCs w:val="32"/>
        </w:rPr>
        <w:t>514.28</w:t>
      </w:r>
      <w:r>
        <w:rPr>
          <w:rFonts w:eastAsia="仿宋"/>
          <w:sz w:val="32"/>
          <w:szCs w:val="32"/>
        </w:rPr>
        <w:t>万元，占</w:t>
      </w:r>
      <w:r>
        <w:rPr>
          <w:rFonts w:eastAsia="仿宋" w:hint="eastAsia"/>
          <w:sz w:val="32"/>
          <w:szCs w:val="32"/>
        </w:rPr>
        <w:t>48.16</w:t>
      </w:r>
      <w:r>
        <w:rPr>
          <w:rFonts w:eastAsia="仿宋"/>
          <w:sz w:val="32"/>
          <w:szCs w:val="32"/>
        </w:rPr>
        <w:t>%；项目支出</w:t>
      </w:r>
      <w:r>
        <w:rPr>
          <w:rFonts w:eastAsia="仿宋" w:hint="eastAsia"/>
          <w:sz w:val="32"/>
          <w:szCs w:val="32"/>
        </w:rPr>
        <w:t>553.5</w:t>
      </w:r>
      <w:r>
        <w:rPr>
          <w:rFonts w:eastAsia="仿宋"/>
          <w:sz w:val="32"/>
          <w:szCs w:val="32"/>
        </w:rPr>
        <w:t>万元，占</w:t>
      </w:r>
      <w:r>
        <w:rPr>
          <w:rFonts w:eastAsia="仿宋" w:hint="eastAsia"/>
          <w:sz w:val="32"/>
          <w:szCs w:val="32"/>
        </w:rPr>
        <w:t>51.84</w:t>
      </w:r>
      <w:r>
        <w:rPr>
          <w:rFonts w:eastAsia="仿宋"/>
          <w:sz w:val="32"/>
          <w:szCs w:val="32"/>
        </w:rPr>
        <w:t>%；上缴上级支出0万元，占0%；经营支出0万元，占0%；对附属单位补助支出0万元，占0%。</w:t>
      </w:r>
    </w:p>
    <w:p>
      <w:pPr>
        <w:spacing w:line="576" w:lineRule="exact"/>
        <w:ind w:firstLine="640"/>
        <w:rPr>
          <w:rFonts w:eastAsia="仿宋"/>
          <w:sz w:val="32"/>
          <w:szCs w:val="32"/>
        </w:rPr>
      </w:pPr>
      <w:r>
        <w:drawing>
          <wp:anchor distT="0" distB="0" distL="114300" distR="114300" simplePos="0" relativeHeight="21" behindDoc="0" locked="0" layoutInCell="1" hidden="0" allowOverlap="1">
            <wp:simplePos x="0" y="0"/>
            <wp:positionH relativeFrom="column">
              <wp:posOffset>225425</wp:posOffset>
            </wp:positionH>
            <wp:positionV relativeFrom="paragraph">
              <wp:posOffset>361315</wp:posOffset>
            </wp:positionV>
            <wp:extent cx="4495165" cy="2597785"/>
            <wp:effectExtent l="0" t="0" r="0" b="0"/>
            <wp:wrapTopAndBottom/>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28"/>
        <w:numPr>
          <w:ilvl w:val="0"/>
          <w:numId w:val="2"/>
        </w:numPr>
        <w:spacing w:line="576" w:lineRule="exact"/>
        <w:ind w:firstLineChars="0"/>
        <w:outlineLvl w:val="1"/>
        <w:rPr>
          <w:rStyle w:val="2Char"/>
          <w:rFonts w:ascii="Times New Roman" w:eastAsia="黑体" w:hAnsi="Times New Roman"/>
          <w:b w:val="0"/>
        </w:rPr>
      </w:pPr>
      <w:bookmarkStart w:id="30" w:name="_Toc15396606"/>
      <w:bookmarkStart w:id="31" w:name="_Toc15377208"/>
      <w:r>
        <w:rPr>
          <w:rFonts w:eastAsia="黑体"/>
          <w:sz w:val="32"/>
          <w:szCs w:val="32"/>
        </w:rPr>
        <w:t>财</w:t>
      </w:r>
      <w:r>
        <w:rPr>
          <w:rStyle w:val="2Char"/>
          <w:rFonts w:ascii="Times New Roman" w:eastAsia="黑体" w:hAnsi="Times New Roman"/>
          <w:b w:val="0"/>
        </w:rPr>
        <w:t>政拨款收入支出决算总体情况说明</w:t>
      </w:r>
      <w:bookmarkEnd w:id="30"/>
      <w:bookmarkEnd w:id="31"/>
    </w:p>
    <w:p>
      <w:pPr>
        <w:pStyle w:val="28"/>
        <w:spacing w:line="576" w:lineRule="exact"/>
        <w:rPr>
          <w:rFonts w:eastAsia="仿宋_GB2312"/>
          <w:sz w:val="32"/>
          <w:szCs w:val="32"/>
        </w:rPr>
      </w:pPr>
      <w:bookmarkStart w:id="32" w:name="_Toc15377209"/>
      <w:bookmarkStart w:id="33" w:name="_Toc15396607"/>
      <w:r>
        <w:rPr>
          <w:rFonts w:eastAsia="仿宋_GB2312"/>
          <w:sz w:val="32"/>
          <w:szCs w:val="32"/>
        </w:rPr>
        <w:t xml:space="preserve"> 202</w:t>
      </w:r>
      <w:r>
        <w:rPr>
          <w:rFonts w:eastAsia="仿宋_GB2312" w:hint="eastAsia"/>
          <w:sz w:val="32"/>
          <w:szCs w:val="32"/>
        </w:rPr>
        <w:t>2</w:t>
      </w:r>
      <w:r>
        <w:rPr>
          <w:rFonts w:eastAsia="仿宋_GB2312"/>
          <w:sz w:val="32"/>
          <w:szCs w:val="32"/>
        </w:rPr>
        <w:t>年度财政拨款收入总决算</w:t>
      </w:r>
      <w:r>
        <w:rPr>
          <w:rFonts w:eastAsia="仿宋_GB2312" w:hint="eastAsia"/>
          <w:sz w:val="32"/>
          <w:szCs w:val="32"/>
        </w:rPr>
        <w:t>1067.78</w:t>
      </w:r>
      <w:r>
        <w:rPr>
          <w:rFonts w:eastAsia="仿宋_GB2312"/>
          <w:sz w:val="32"/>
          <w:szCs w:val="32"/>
        </w:rPr>
        <w:t>万元与202</w:t>
      </w:r>
      <w:r>
        <w:rPr>
          <w:rFonts w:eastAsia="仿宋_GB2312" w:hint="eastAsia"/>
          <w:sz w:val="32"/>
          <w:szCs w:val="32"/>
        </w:rPr>
        <w:t>1</w:t>
      </w:r>
      <w:r>
        <w:rPr>
          <w:rFonts w:eastAsia="仿宋_GB2312"/>
          <w:sz w:val="32"/>
          <w:szCs w:val="32"/>
        </w:rPr>
        <w:t>年财政拨款收入总决算</w:t>
      </w:r>
      <w:r>
        <w:rPr>
          <w:rFonts w:eastAsia="仿宋_GB2312" w:hint="eastAsia"/>
          <w:sz w:val="32"/>
          <w:szCs w:val="32"/>
        </w:rPr>
        <w:t>1225.3</w:t>
      </w:r>
      <w:r>
        <w:rPr>
          <w:rFonts w:eastAsia="仿宋_GB2312"/>
          <w:sz w:val="32"/>
          <w:szCs w:val="32"/>
        </w:rPr>
        <w:t>万元相比收入减少</w:t>
      </w:r>
      <w:r>
        <w:rPr>
          <w:rFonts w:eastAsia="仿宋_GB2312" w:hint="eastAsia"/>
          <w:sz w:val="32"/>
          <w:szCs w:val="32"/>
        </w:rPr>
        <w:t>157.52</w:t>
      </w:r>
      <w:r>
        <w:rPr>
          <w:rFonts w:eastAsia="仿宋_GB2312"/>
          <w:sz w:val="32"/>
          <w:szCs w:val="32"/>
        </w:rPr>
        <w:t>万元，减少</w:t>
      </w:r>
      <w:r>
        <w:rPr>
          <w:rFonts w:eastAsia="仿宋_GB2312" w:hint="eastAsia"/>
          <w:sz w:val="32"/>
          <w:szCs w:val="32"/>
        </w:rPr>
        <w:t>12.86</w:t>
      </w:r>
      <w:r>
        <w:rPr>
          <w:rFonts w:eastAsia="仿宋_GB2312"/>
          <w:sz w:val="32"/>
          <w:szCs w:val="32"/>
        </w:rPr>
        <w:t>%</w:t>
      </w:r>
      <w:r>
        <w:rPr>
          <w:rFonts w:eastAsia="仿宋_GB2312" w:hint="eastAsia"/>
          <w:sz w:val="32"/>
          <w:szCs w:val="32"/>
        </w:rPr>
        <w:t>，</w:t>
      </w:r>
      <w:r>
        <w:rPr>
          <w:rFonts w:eastAsia="仿宋_GB2312"/>
          <w:sz w:val="32"/>
          <w:szCs w:val="32"/>
        </w:rPr>
        <w:t>减少原因为202</w:t>
      </w:r>
      <w:r>
        <w:rPr>
          <w:rFonts w:eastAsia="仿宋_GB2312" w:hint="eastAsia"/>
          <w:sz w:val="32"/>
          <w:szCs w:val="32"/>
        </w:rPr>
        <w:t>2</w:t>
      </w:r>
      <w:r>
        <w:rPr>
          <w:rFonts w:eastAsia="仿宋_GB2312"/>
          <w:sz w:val="32"/>
          <w:szCs w:val="32"/>
        </w:rPr>
        <w:t>年度较202</w:t>
      </w:r>
      <w:r>
        <w:rPr>
          <w:rFonts w:eastAsia="仿宋_GB2312" w:hint="eastAsia"/>
          <w:sz w:val="32"/>
          <w:szCs w:val="32"/>
        </w:rPr>
        <w:t>1</w:t>
      </w:r>
      <w:r>
        <w:rPr>
          <w:rFonts w:eastAsia="仿宋_GB2312"/>
          <w:sz w:val="32"/>
          <w:szCs w:val="32"/>
        </w:rPr>
        <w:t>年度项目减少</w:t>
      </w:r>
      <w:r>
        <w:rPr>
          <w:rFonts w:eastAsia="仿宋_GB2312" w:hint="eastAsia"/>
          <w:sz w:val="32"/>
          <w:szCs w:val="32"/>
        </w:rPr>
        <w:t>。</w:t>
      </w:r>
      <w:r>
        <w:rPr>
          <w:rFonts w:eastAsia="仿宋_GB2312"/>
          <w:sz w:val="32"/>
          <w:szCs w:val="32"/>
        </w:rPr>
        <w:t>202</w:t>
      </w:r>
      <w:r>
        <w:rPr>
          <w:rFonts w:eastAsia="仿宋_GB2312" w:hint="eastAsia"/>
          <w:sz w:val="32"/>
          <w:szCs w:val="32"/>
        </w:rPr>
        <w:t>2</w:t>
      </w:r>
      <w:r>
        <w:rPr>
          <w:rFonts w:eastAsia="仿宋_GB2312"/>
          <w:sz w:val="32"/>
          <w:szCs w:val="32"/>
        </w:rPr>
        <w:t>年度财政拨款支出总决算</w:t>
      </w:r>
      <w:r>
        <w:rPr>
          <w:rFonts w:eastAsia="仿宋_GB2312" w:hint="eastAsia"/>
          <w:sz w:val="32"/>
          <w:szCs w:val="32"/>
        </w:rPr>
        <w:t>1067.78</w:t>
      </w:r>
      <w:r>
        <w:rPr>
          <w:rFonts w:eastAsia="仿宋_GB2312"/>
          <w:sz w:val="32"/>
          <w:szCs w:val="32"/>
        </w:rPr>
        <w:t>万元与</w:t>
      </w:r>
      <w:r>
        <w:rPr>
          <w:rFonts w:eastAsia="仿宋_GB2312" w:hint="eastAsia"/>
          <w:sz w:val="32"/>
          <w:szCs w:val="32"/>
        </w:rPr>
        <w:t>2021</w:t>
      </w:r>
      <w:r>
        <w:rPr>
          <w:rFonts w:eastAsia="仿宋_GB2312"/>
          <w:sz w:val="32"/>
          <w:szCs w:val="32"/>
        </w:rPr>
        <w:t>年财政拨款支出总决算</w:t>
      </w:r>
      <w:r>
        <w:rPr>
          <w:rFonts w:eastAsia="仿宋_GB2312" w:hint="eastAsia"/>
          <w:sz w:val="32"/>
          <w:szCs w:val="32"/>
        </w:rPr>
        <w:t>1271.99</w:t>
      </w:r>
      <w:r>
        <w:rPr>
          <w:rFonts w:eastAsia="仿宋_GB2312"/>
          <w:sz w:val="32"/>
          <w:szCs w:val="32"/>
        </w:rPr>
        <w:t>万元相比减少</w:t>
      </w:r>
      <w:r>
        <w:rPr>
          <w:rFonts w:eastAsia="仿宋_GB2312" w:hint="eastAsia"/>
          <w:sz w:val="32"/>
          <w:szCs w:val="32"/>
        </w:rPr>
        <w:t>204.21</w:t>
      </w:r>
      <w:r>
        <w:rPr>
          <w:rFonts w:eastAsia="仿宋_GB2312"/>
          <w:sz w:val="32"/>
          <w:szCs w:val="32"/>
        </w:rPr>
        <w:t>万元</w:t>
      </w:r>
      <w:r>
        <w:rPr>
          <w:rFonts w:eastAsia="仿宋_GB2312" w:hint="eastAsia"/>
          <w:sz w:val="32"/>
          <w:szCs w:val="32"/>
        </w:rPr>
        <w:t>，</w:t>
      </w:r>
      <w:r>
        <w:rPr>
          <w:rFonts w:eastAsia="仿宋_GB2312"/>
          <w:sz w:val="32"/>
          <w:szCs w:val="32"/>
        </w:rPr>
        <w:t>减少</w:t>
      </w:r>
      <w:r>
        <w:rPr>
          <w:rFonts w:eastAsia="仿宋_GB2312" w:hint="eastAsia"/>
          <w:sz w:val="32"/>
          <w:szCs w:val="32"/>
        </w:rPr>
        <w:t>16.05</w:t>
      </w:r>
      <w:r>
        <w:rPr>
          <w:rFonts w:eastAsia="仿宋_GB2312"/>
          <w:sz w:val="32"/>
          <w:szCs w:val="32"/>
        </w:rPr>
        <w:t>%。减少原因为202</w:t>
      </w:r>
      <w:r>
        <w:rPr>
          <w:rFonts w:eastAsia="仿宋_GB2312" w:hint="eastAsia"/>
          <w:sz w:val="32"/>
          <w:szCs w:val="32"/>
        </w:rPr>
        <w:t>2</w:t>
      </w:r>
      <w:r>
        <w:rPr>
          <w:rFonts w:eastAsia="仿宋_GB2312"/>
          <w:sz w:val="32"/>
          <w:szCs w:val="32"/>
        </w:rPr>
        <w:t>年度项目支出减少</w:t>
      </w:r>
      <w:r>
        <w:rPr>
          <w:rFonts w:eastAsia="仿宋_GB2312" w:hint="eastAsia"/>
          <w:sz w:val="32"/>
          <w:szCs w:val="32"/>
        </w:rPr>
        <w:t>，办公经费减少。</w:t>
      </w:r>
    </w:p>
    <w:p>
      <w:pPr>
        <w:pStyle w:val="28"/>
        <w:numPr>
          <w:ilvl w:val="0"/>
          <w:numId w:val="2"/>
        </w:numPr>
        <w:spacing w:line="576" w:lineRule="exact"/>
        <w:ind w:firstLineChars="0"/>
        <w:rPr>
          <w:rStyle w:val="2Char"/>
          <w:rFonts w:ascii="Times New Roman" w:eastAsia="黑体" w:hAnsi="Times New Roman"/>
          <w:b w:val="0"/>
        </w:rPr>
      </w:pPr>
      <w:r>
        <w:rPr>
          <w:rFonts w:eastAsia="黑体"/>
          <w:b/>
          <w:sz w:val="32"/>
          <w:szCs w:val="32"/>
        </w:rPr>
        <w:t>一</w:t>
      </w:r>
      <w:r>
        <w:rPr>
          <w:rStyle w:val="2Char"/>
          <w:rFonts w:ascii="Times New Roman" w:eastAsia="黑体" w:hAnsi="Times New Roman"/>
          <w:b w:val="0"/>
        </w:rPr>
        <w:t>般公共预算财政拨款支出决算情况说明</w:t>
      </w:r>
      <w:bookmarkStart w:id="34" w:name="_Toc15377210"/>
      <w:bookmarkEnd w:id="32"/>
      <w:bookmarkEnd w:id="33"/>
    </w:p>
    <w:p>
      <w:pPr>
        <w:pStyle w:val="28"/>
        <w:spacing w:line="576" w:lineRule="exact"/>
        <w:ind w:firstLineChars="0" w:firstLine="0"/>
        <w:rPr>
          <w:rFonts w:eastAsia="仿宋"/>
          <w:b/>
          <w:sz w:val="32"/>
          <w:szCs w:val="32"/>
        </w:rPr>
      </w:pPr>
      <w:r>
        <w:rPr>
          <w:rFonts w:eastAsia="仿宋"/>
          <w:b/>
          <w:sz w:val="32"/>
          <w:szCs w:val="32"/>
        </w:rPr>
        <w:t>（一）一般公共预算财政拨款支出决算总体情况</w:t>
      </w:r>
      <w:bookmarkEnd w:id="34"/>
    </w:p>
    <w:p>
      <w:pPr>
        <w:pStyle w:val="28"/>
        <w:spacing w:line="576" w:lineRule="exact"/>
        <w:rPr>
          <w:rFonts w:eastAsia="仿宋_GB2312"/>
          <w:sz w:val="32"/>
          <w:szCs w:val="32"/>
        </w:rPr>
      </w:pPr>
      <w:r>
        <w:drawing>
          <wp:anchor distT="0" distB="0" distL="114300" distR="114300" simplePos="0" relativeHeight="23" behindDoc="0" locked="0" layoutInCell="1" hidden="0" allowOverlap="1">
            <wp:simplePos x="0" y="0"/>
            <wp:positionH relativeFrom="column">
              <wp:posOffset>159385</wp:posOffset>
            </wp:positionH>
            <wp:positionV relativeFrom="paragraph">
              <wp:posOffset>1784350</wp:posOffset>
            </wp:positionV>
            <wp:extent cx="4572000" cy="2743200"/>
            <wp:effectExtent l="0" t="0" r="0" b="0"/>
            <wp:wrapTopAndBottom/>
            <wp:docPr id="4" name="图表 4"/>
            <wp:cNvGraphicFramePr>
              <a:graphicFrameLocks noChangeAspect="0"/>
            </wp:cNvGraphicFramePr>
            <a:graphic>
              <a:graphicData uri="http://schemas.openxmlformats.org/drawingml/2006/chart">
                <c:chart xmlns:c="http://schemas.openxmlformats.org/drawingml/2006/chart" r:id="rId7"/>
              </a:graphicData>
            </a:graphic>
          </wp:anchor>
        </w:drawing>
      </w:r>
      <w:r>
        <w:rPr>
          <w:rFonts w:eastAsia="仿宋"/>
          <w:sz w:val="32"/>
          <w:szCs w:val="32"/>
        </w:rPr>
        <w:t>202</w:t>
      </w:r>
      <w:r>
        <w:rPr>
          <w:rFonts w:eastAsia="仿宋" w:hint="eastAsia"/>
          <w:sz w:val="32"/>
          <w:szCs w:val="32"/>
        </w:rPr>
        <w:t>2</w:t>
      </w:r>
      <w:r>
        <w:rPr>
          <w:rFonts w:eastAsia="仿宋"/>
          <w:sz w:val="32"/>
          <w:szCs w:val="32"/>
        </w:rPr>
        <w:t>年</w:t>
      </w:r>
      <w:r>
        <w:rPr>
          <w:rFonts w:eastAsia="仿宋_GB2312"/>
          <w:spacing w:val="-2"/>
          <w:sz w:val="32"/>
          <w:szCs w:val="32"/>
        </w:rPr>
        <w:t>一般公共预算财政拨款支出</w:t>
      </w:r>
      <w:r>
        <w:rPr>
          <w:rFonts w:eastAsia="仿宋_GB2312" w:hint="eastAsia"/>
          <w:spacing w:val="-2"/>
          <w:sz w:val="32"/>
          <w:szCs w:val="32"/>
        </w:rPr>
        <w:t>1067.78</w:t>
      </w:r>
      <w:r>
        <w:rPr>
          <w:rFonts w:eastAsia="仿宋_GB2312"/>
          <w:spacing w:val="-2"/>
          <w:sz w:val="32"/>
          <w:szCs w:val="32"/>
        </w:rPr>
        <w:t>万元，</w:t>
      </w:r>
      <w:r>
        <w:rPr>
          <w:rFonts w:eastAsia="仿宋"/>
          <w:sz w:val="32"/>
          <w:szCs w:val="32"/>
        </w:rPr>
        <w:t>占本年总支出的</w:t>
      </w:r>
      <w:r>
        <w:rPr>
          <w:rFonts w:eastAsia="仿宋" w:hint="eastAsia"/>
          <w:sz w:val="32"/>
          <w:szCs w:val="32"/>
        </w:rPr>
        <w:t>100</w:t>
      </w:r>
      <w:r>
        <w:rPr>
          <w:rFonts w:eastAsia="仿宋"/>
          <w:sz w:val="32"/>
          <w:szCs w:val="32"/>
        </w:rPr>
        <w:t>%。与202</w:t>
      </w:r>
      <w:r>
        <w:rPr>
          <w:rFonts w:eastAsia="仿宋" w:hint="eastAsia"/>
          <w:sz w:val="32"/>
          <w:szCs w:val="32"/>
        </w:rPr>
        <w:t>1</w:t>
      </w:r>
      <w:r>
        <w:rPr>
          <w:rFonts w:eastAsia="仿宋"/>
          <w:sz w:val="32"/>
          <w:szCs w:val="32"/>
        </w:rPr>
        <w:t>年相比，一般公共预算财政拨款</w:t>
      </w:r>
      <w:r>
        <w:rPr>
          <w:rFonts w:eastAsia="仿宋_GB2312"/>
          <w:spacing w:val="-2"/>
          <w:sz w:val="32"/>
          <w:szCs w:val="32"/>
        </w:rPr>
        <w:t>支出</w:t>
      </w:r>
      <w:r>
        <w:rPr>
          <w:rFonts w:eastAsia="仿宋_GB2312"/>
          <w:sz w:val="32"/>
          <w:szCs w:val="32"/>
        </w:rPr>
        <w:t>减少</w:t>
      </w:r>
      <w:r>
        <w:rPr>
          <w:rFonts w:eastAsia="仿宋_GB2312" w:hint="eastAsia"/>
          <w:sz w:val="32"/>
          <w:szCs w:val="32"/>
        </w:rPr>
        <w:t>204.21</w:t>
      </w:r>
      <w:r>
        <w:rPr>
          <w:rFonts w:eastAsia="仿宋_GB2312"/>
          <w:sz w:val="32"/>
          <w:szCs w:val="32"/>
        </w:rPr>
        <w:t>万元</w:t>
      </w:r>
      <w:r>
        <w:rPr>
          <w:rFonts w:eastAsia="仿宋_GB2312"/>
          <w:spacing w:val="-2"/>
          <w:sz w:val="32"/>
          <w:szCs w:val="32"/>
        </w:rPr>
        <w:t>，</w:t>
      </w:r>
      <w:r>
        <w:rPr>
          <w:rFonts w:eastAsia="仿宋_GB2312"/>
          <w:sz w:val="32"/>
          <w:szCs w:val="32"/>
        </w:rPr>
        <w:t>减少</w:t>
      </w:r>
      <w:r>
        <w:rPr>
          <w:rFonts w:eastAsia="仿宋_GB2312" w:hint="eastAsia"/>
          <w:sz w:val="32"/>
          <w:szCs w:val="32"/>
        </w:rPr>
        <w:t>16.05</w:t>
      </w:r>
      <w:r>
        <w:rPr>
          <w:rFonts w:eastAsia="仿宋_GB2312"/>
          <w:sz w:val="32"/>
          <w:szCs w:val="32"/>
        </w:rPr>
        <w:t>%</w:t>
      </w:r>
      <w:r>
        <w:rPr>
          <w:rFonts w:eastAsia="仿宋_GB2312"/>
          <w:spacing w:val="-2"/>
          <w:sz w:val="32"/>
          <w:szCs w:val="32"/>
        </w:rPr>
        <w:t>。主要原因</w:t>
      </w:r>
      <w:r>
        <w:rPr>
          <w:rFonts w:eastAsia="仿宋_GB2312"/>
          <w:sz w:val="32"/>
          <w:szCs w:val="32"/>
        </w:rPr>
        <w:t>为202</w:t>
      </w:r>
      <w:r>
        <w:rPr>
          <w:rFonts w:eastAsia="仿宋_GB2312" w:hint="eastAsia"/>
          <w:sz w:val="32"/>
          <w:szCs w:val="32"/>
        </w:rPr>
        <w:t>2</w:t>
      </w:r>
      <w:r>
        <w:rPr>
          <w:rFonts w:eastAsia="仿宋_GB2312"/>
          <w:sz w:val="32"/>
          <w:szCs w:val="32"/>
        </w:rPr>
        <w:t>年度项目支出减少</w:t>
      </w:r>
      <w:r>
        <w:rPr>
          <w:rFonts w:eastAsia="仿宋_GB2312" w:hint="eastAsia"/>
          <w:sz w:val="32"/>
          <w:szCs w:val="32"/>
        </w:rPr>
        <w:t>，办公经费减少。</w:t>
      </w:r>
    </w:p>
    <w:p>
      <w:pPr>
        <w:snapToGrid w:val="0"/>
        <w:spacing w:line="576" w:lineRule="exact"/>
        <w:rPr>
          <w:rFonts w:eastAsia="仿宋"/>
          <w:b/>
          <w:sz w:val="32"/>
          <w:szCs w:val="32"/>
        </w:rPr>
      </w:pPr>
      <w:bookmarkStart w:id="35" w:name="_Toc15377211"/>
      <w:r>
        <w:rPr>
          <w:rFonts w:eastAsia="仿宋"/>
          <w:b/>
          <w:sz w:val="32"/>
          <w:szCs w:val="32"/>
        </w:rPr>
        <w:t>（二）一般公共预算财政拨款支出决算结构情况</w:t>
      </w:r>
      <w:bookmarkEnd w:id="35"/>
    </w:p>
    <w:p>
      <w:pPr>
        <w:spacing w:line="576" w:lineRule="exact"/>
        <w:ind w:firstLine="640"/>
        <w:rPr>
          <w:rFonts w:eastAsia="仿宋"/>
          <w:sz w:val="32"/>
          <w:szCs w:val="32"/>
        </w:rPr>
      </w:pPr>
      <w:r>
        <w:rPr>
          <w:rFonts w:eastAsia="仿宋"/>
          <w:sz w:val="32"/>
          <w:szCs w:val="32"/>
        </w:rPr>
        <w:t>202</w:t>
      </w:r>
      <w:r>
        <w:rPr>
          <w:rFonts w:eastAsia="仿宋" w:hint="eastAsia"/>
          <w:sz w:val="32"/>
          <w:szCs w:val="32"/>
        </w:rPr>
        <w:t>2</w:t>
      </w:r>
      <w:r>
        <w:rPr>
          <w:rFonts w:eastAsia="仿宋"/>
          <w:sz w:val="32"/>
          <w:szCs w:val="32"/>
        </w:rPr>
        <w:t>年一般公共预算财政拨款支出</w:t>
      </w:r>
      <w:r>
        <w:rPr>
          <w:rFonts w:eastAsia="仿宋_GB2312" w:hint="eastAsia"/>
          <w:spacing w:val="-2"/>
          <w:sz w:val="32"/>
          <w:szCs w:val="32"/>
        </w:rPr>
        <w:t>1067.78</w:t>
      </w:r>
      <w:r>
        <w:rPr>
          <w:rFonts w:eastAsia="仿宋"/>
          <w:sz w:val="32"/>
          <w:szCs w:val="32"/>
        </w:rPr>
        <w:t>万元，主要用于以下方面:一般公共服务（类）支出</w:t>
      </w:r>
      <w:r>
        <w:rPr>
          <w:rFonts w:eastAsia="仿宋" w:hint="eastAsia"/>
          <w:sz w:val="32"/>
          <w:szCs w:val="32"/>
        </w:rPr>
        <w:t>524.04</w:t>
      </w:r>
      <w:r>
        <w:rPr>
          <w:rFonts w:eastAsia="仿宋"/>
          <w:sz w:val="32"/>
          <w:szCs w:val="32"/>
        </w:rPr>
        <w:t>万元，占</w:t>
      </w:r>
      <w:r>
        <w:rPr>
          <w:rFonts w:eastAsia="仿宋" w:hint="eastAsia"/>
          <w:sz w:val="32"/>
          <w:szCs w:val="32"/>
        </w:rPr>
        <w:t>49.08</w:t>
      </w:r>
      <w:r>
        <w:rPr>
          <w:rFonts w:eastAsia="仿宋"/>
          <w:sz w:val="32"/>
          <w:szCs w:val="32"/>
        </w:rPr>
        <w:t>%；</w:t>
      </w:r>
      <w:r>
        <w:rPr>
          <w:rFonts w:eastAsia="仿宋" w:hint="eastAsia"/>
          <w:sz w:val="32"/>
          <w:szCs w:val="32"/>
        </w:rPr>
        <w:t>教育支出</w:t>
      </w:r>
      <w:r>
        <w:rPr>
          <w:rFonts w:eastAsia="仿宋"/>
          <w:sz w:val="32"/>
          <w:szCs w:val="32"/>
        </w:rPr>
        <w:t>（类）支出</w:t>
      </w:r>
      <w:r>
        <w:rPr>
          <w:rFonts w:eastAsia="仿宋" w:hint="eastAsia"/>
          <w:sz w:val="32"/>
          <w:szCs w:val="32"/>
        </w:rPr>
        <w:t>111.44</w:t>
      </w:r>
      <w:r>
        <w:rPr>
          <w:rFonts w:eastAsia="仿宋"/>
          <w:sz w:val="32"/>
          <w:szCs w:val="32"/>
        </w:rPr>
        <w:t>万元，占</w:t>
      </w:r>
      <w:r>
        <w:rPr>
          <w:rFonts w:eastAsia="仿宋" w:hint="eastAsia"/>
          <w:sz w:val="32"/>
          <w:szCs w:val="32"/>
        </w:rPr>
        <w:t>10.44</w:t>
      </w:r>
      <w:r>
        <w:rPr>
          <w:rFonts w:eastAsia="仿宋"/>
          <w:sz w:val="32"/>
          <w:szCs w:val="32"/>
        </w:rPr>
        <w:t>%；社会保障和就业</w:t>
      </w:r>
      <w:r>
        <w:rPr>
          <w:rFonts w:eastAsia="仿宋" w:hint="eastAsia"/>
          <w:sz w:val="32"/>
          <w:szCs w:val="32"/>
        </w:rPr>
        <w:t>支出</w:t>
      </w:r>
      <w:r>
        <w:rPr>
          <w:rFonts w:eastAsia="仿宋"/>
          <w:sz w:val="32"/>
          <w:szCs w:val="32"/>
        </w:rPr>
        <w:t>（类）支出</w:t>
      </w:r>
      <w:r>
        <w:rPr>
          <w:rFonts w:eastAsia="仿宋" w:hint="eastAsia"/>
          <w:sz w:val="32"/>
          <w:szCs w:val="32"/>
        </w:rPr>
        <w:t>56.54</w:t>
      </w:r>
      <w:r>
        <w:rPr>
          <w:rFonts w:eastAsia="仿宋"/>
          <w:sz w:val="32"/>
          <w:szCs w:val="32"/>
        </w:rPr>
        <w:t>万元，占</w:t>
      </w:r>
      <w:r>
        <w:rPr>
          <w:rFonts w:eastAsia="仿宋" w:hint="eastAsia"/>
          <w:sz w:val="32"/>
          <w:szCs w:val="32"/>
        </w:rPr>
        <w:t>5.29</w:t>
      </w:r>
      <w:r>
        <w:rPr>
          <w:rFonts w:eastAsia="仿宋"/>
          <w:sz w:val="32"/>
          <w:szCs w:val="32"/>
        </w:rPr>
        <w:t>%；卫生健康支出（类）支出</w:t>
      </w:r>
      <w:r>
        <w:rPr>
          <w:rFonts w:eastAsia="仿宋" w:hint="eastAsia"/>
          <w:sz w:val="32"/>
          <w:szCs w:val="32"/>
        </w:rPr>
        <w:t>23</w:t>
      </w:r>
      <w:r>
        <w:rPr>
          <w:rFonts w:eastAsia="仿宋"/>
          <w:sz w:val="32"/>
          <w:szCs w:val="32"/>
        </w:rPr>
        <w:t>万元，占</w:t>
      </w:r>
      <w:r>
        <w:rPr>
          <w:rFonts w:eastAsia="仿宋" w:hint="eastAsia"/>
          <w:sz w:val="32"/>
          <w:szCs w:val="32"/>
        </w:rPr>
        <w:t>2.15</w:t>
      </w:r>
      <w:r>
        <w:rPr>
          <w:rFonts w:eastAsia="仿宋"/>
          <w:sz w:val="32"/>
          <w:szCs w:val="32"/>
        </w:rPr>
        <w:t>%；</w:t>
      </w:r>
      <w:r>
        <w:rPr>
          <w:rFonts w:eastAsia="仿宋" w:hint="eastAsia"/>
          <w:sz w:val="32"/>
          <w:szCs w:val="32"/>
        </w:rPr>
        <w:t>农林水支出</w:t>
      </w:r>
      <w:r>
        <w:rPr>
          <w:rFonts w:eastAsia="仿宋"/>
          <w:sz w:val="32"/>
          <w:szCs w:val="32"/>
        </w:rPr>
        <w:t>（类）支出</w:t>
      </w:r>
      <w:r>
        <w:rPr>
          <w:rFonts w:eastAsia="仿宋" w:hint="eastAsia"/>
          <w:sz w:val="32"/>
          <w:szCs w:val="32"/>
        </w:rPr>
        <w:t>305.58万元，</w:t>
      </w:r>
      <w:r>
        <w:rPr>
          <w:rFonts w:eastAsia="仿宋"/>
          <w:sz w:val="32"/>
          <w:szCs w:val="32"/>
        </w:rPr>
        <w:t>占</w:t>
      </w:r>
      <w:r>
        <w:rPr>
          <w:rFonts w:eastAsia="仿宋" w:hint="eastAsia"/>
          <w:sz w:val="32"/>
          <w:szCs w:val="32"/>
        </w:rPr>
        <w:t>28.62</w:t>
      </w:r>
      <w:r>
        <w:rPr>
          <w:rFonts w:eastAsia="仿宋"/>
          <w:sz w:val="32"/>
          <w:szCs w:val="32"/>
        </w:rPr>
        <w:t>%；住房保障支出（类）支出</w:t>
      </w:r>
      <w:r>
        <w:rPr>
          <w:rFonts w:eastAsia="仿宋" w:hint="eastAsia"/>
          <w:sz w:val="32"/>
          <w:szCs w:val="32"/>
        </w:rPr>
        <w:t>33.49</w:t>
      </w:r>
      <w:r>
        <w:rPr>
          <w:rFonts w:eastAsia="仿宋"/>
          <w:sz w:val="32"/>
          <w:szCs w:val="32"/>
        </w:rPr>
        <w:t>万元，占</w:t>
      </w:r>
      <w:r>
        <w:rPr>
          <w:rFonts w:eastAsia="仿宋" w:hint="eastAsia"/>
          <w:sz w:val="32"/>
          <w:szCs w:val="32"/>
        </w:rPr>
        <w:t>3.14</w:t>
      </w:r>
      <w:r>
        <w:rPr>
          <w:rFonts w:eastAsia="仿宋"/>
          <w:sz w:val="32"/>
          <w:szCs w:val="32"/>
        </w:rPr>
        <w:t>%</w:t>
      </w:r>
      <w:r>
        <w:rPr>
          <w:rFonts w:eastAsia="仿宋" w:hint="eastAsia"/>
          <w:sz w:val="32"/>
          <w:szCs w:val="32"/>
        </w:rPr>
        <w:t>；其他支出</w:t>
      </w:r>
      <w:r>
        <w:rPr>
          <w:rFonts w:eastAsia="仿宋"/>
          <w:sz w:val="32"/>
          <w:szCs w:val="32"/>
        </w:rPr>
        <w:t>（类）支出</w:t>
      </w:r>
      <w:r>
        <w:rPr>
          <w:rFonts w:eastAsia="仿宋" w:hint="eastAsia"/>
          <w:sz w:val="32"/>
          <w:szCs w:val="32"/>
        </w:rPr>
        <w:t>13.69万元，占1.28%</w:t>
      </w:r>
      <w:r>
        <w:rPr>
          <w:rFonts w:eastAsia="仿宋"/>
          <w:sz w:val="32"/>
          <w:szCs w:val="32"/>
        </w:rPr>
        <w:t>。</w:t>
      </w:r>
      <w:bookmarkStart w:id="36" w:name="_Toc15377213"/>
      <w:bookmarkStart w:id="37" w:name="_Toc15378460"/>
      <w:bookmarkStart w:id="38" w:name="_Toc15377444"/>
    </w:p>
    <w:p>
      <w:pPr>
        <w:spacing w:line="576" w:lineRule="exact"/>
        <w:ind w:firstLine="640"/>
        <w:rPr>
          <w:rFonts w:eastAsia="仿宋"/>
          <w:sz w:val="32"/>
          <w:szCs w:val="32"/>
        </w:rPr>
      </w:pPr>
      <w:r>
        <w:drawing>
          <wp:anchor distT="0" distB="0" distL="114300" distR="114300" simplePos="0" relativeHeight="25" behindDoc="0" locked="0" layoutInCell="1" hidden="0" allowOverlap="1">
            <wp:simplePos x="0" y="0"/>
            <wp:positionH relativeFrom="column">
              <wp:posOffset>302260</wp:posOffset>
            </wp:positionH>
            <wp:positionV relativeFrom="paragraph">
              <wp:posOffset>-8344535</wp:posOffset>
            </wp:positionV>
            <wp:extent cx="4609464" cy="3168014"/>
            <wp:effectExtent l="0" t="0" r="0" b="0"/>
            <wp:wrapTopAndBottom/>
            <wp:docPr id="5"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576" w:lineRule="exact"/>
        <w:outlineLvl w:val="2"/>
        <w:rPr>
          <w:rFonts w:eastAsia="仿宋"/>
          <w:b/>
          <w:sz w:val="32"/>
          <w:szCs w:val="32"/>
        </w:rPr>
      </w:pPr>
      <w:bookmarkStart w:id="39" w:name="_Toc15377212"/>
      <w:r>
        <w:rPr>
          <w:rFonts w:eastAsia="仿宋"/>
          <w:b/>
          <w:sz w:val="32"/>
          <w:szCs w:val="32"/>
        </w:rPr>
        <w:t>（三）一般公共预算财政拨款支出决算具体情况</w:t>
      </w:r>
      <w:bookmarkEnd w:id="39"/>
    </w:p>
    <w:p>
      <w:pPr>
        <w:spacing w:line="576" w:lineRule="exact"/>
        <w:ind w:firstLine="640"/>
        <w:outlineLvl w:val="2"/>
        <w:rPr>
          <w:rStyle w:val="22"/>
          <w:rFonts w:eastAsia="仿宋"/>
          <w:b w:val="0"/>
          <w:bCs/>
          <w:sz w:val="32"/>
          <w:szCs w:val="32"/>
        </w:rPr>
      </w:pPr>
      <w:r>
        <w:rPr>
          <w:rFonts w:eastAsia="仿宋"/>
          <w:bCs/>
          <w:sz w:val="32"/>
          <w:szCs w:val="32"/>
        </w:rPr>
        <w:t>202</w:t>
      </w:r>
      <w:r>
        <w:rPr>
          <w:rFonts w:eastAsia="仿宋" w:hint="eastAsia"/>
          <w:bCs/>
          <w:sz w:val="32"/>
          <w:szCs w:val="32"/>
        </w:rPr>
        <w:t>2</w:t>
      </w:r>
      <w:r>
        <w:rPr>
          <w:rFonts w:eastAsia="仿宋"/>
          <w:bCs/>
          <w:sz w:val="32"/>
          <w:szCs w:val="32"/>
        </w:rPr>
        <w:t>年一般公共预算年初预算数为</w:t>
      </w:r>
      <w:r>
        <w:rPr>
          <w:rFonts w:eastAsia="仿宋" w:hint="eastAsia"/>
          <w:bCs/>
          <w:sz w:val="32"/>
          <w:szCs w:val="32"/>
        </w:rPr>
        <w:t>401.88</w:t>
      </w:r>
      <w:r>
        <w:rPr>
          <w:rFonts w:eastAsia="仿宋"/>
          <w:bCs/>
          <w:sz w:val="32"/>
          <w:szCs w:val="32"/>
        </w:rPr>
        <w:t>万元，支出决算数为</w:t>
      </w:r>
      <w:r>
        <w:rPr>
          <w:rFonts w:eastAsia="仿宋" w:hint="eastAsia"/>
          <w:bCs/>
          <w:sz w:val="32"/>
          <w:szCs w:val="32"/>
        </w:rPr>
        <w:t>1067.78</w:t>
      </w:r>
      <w:r>
        <w:rPr>
          <w:rFonts w:eastAsia="仿宋"/>
          <w:bCs/>
          <w:sz w:val="32"/>
          <w:szCs w:val="32"/>
        </w:rPr>
        <w:t>万元，完</w:t>
      </w:r>
      <w:r>
        <w:rPr>
          <w:rStyle w:val="22"/>
          <w:rFonts w:eastAsia="仿宋"/>
          <w:b w:val="0"/>
          <w:bCs/>
          <w:sz w:val="32"/>
          <w:szCs w:val="32"/>
        </w:rPr>
        <w:t>成预算100%。其中：</w:t>
      </w:r>
      <w:bookmarkEnd w:id="36"/>
      <w:bookmarkEnd w:id="37"/>
      <w:bookmarkEnd w:id="38"/>
    </w:p>
    <w:p>
      <w:pPr>
        <w:spacing w:line="576" w:lineRule="exact"/>
        <w:ind w:firstLine="640"/>
        <w:rPr>
          <w:rFonts w:eastAsia="仿宋"/>
          <w:sz w:val="32"/>
          <w:szCs w:val="32"/>
        </w:rPr>
      </w:pPr>
      <w:r>
        <w:rPr>
          <w:rFonts w:eastAsia="仿宋" w:hint="eastAsia"/>
          <w:sz w:val="32"/>
          <w:szCs w:val="32"/>
        </w:rPr>
        <w:t>1.</w:t>
      </w:r>
      <w:r>
        <w:rPr>
          <w:rFonts w:eastAsia="仿宋"/>
          <w:sz w:val="32"/>
          <w:szCs w:val="32"/>
        </w:rPr>
        <w:t>一般公共服务（类）</w:t>
      </w:r>
      <w:r>
        <w:rPr>
          <w:rFonts w:eastAsia="仿宋" w:hint="eastAsia"/>
          <w:sz w:val="32"/>
          <w:szCs w:val="32"/>
        </w:rPr>
        <w:t>:</w:t>
      </w:r>
      <w:r>
        <w:rPr>
          <w:rFonts w:eastAsia="仿宋"/>
          <w:sz w:val="32"/>
          <w:szCs w:val="32"/>
        </w:rPr>
        <w:t>支出决算为</w:t>
      </w:r>
      <w:r>
        <w:rPr>
          <w:rFonts w:eastAsia="仿宋" w:hint="eastAsia"/>
          <w:sz w:val="32"/>
          <w:szCs w:val="32"/>
        </w:rPr>
        <w:t>524.04</w:t>
      </w:r>
      <w:r>
        <w:rPr>
          <w:rFonts w:eastAsia="仿宋"/>
          <w:sz w:val="32"/>
          <w:szCs w:val="32"/>
        </w:rPr>
        <w:t>万元，</w:t>
      </w:r>
      <w:r>
        <w:rPr>
          <w:rFonts w:eastAsia="仿宋" w:hint="eastAsia"/>
          <w:sz w:val="32"/>
          <w:szCs w:val="32"/>
        </w:rPr>
        <w:t>完成100</w:t>
      </w:r>
      <w:r>
        <w:rPr>
          <w:rFonts w:eastAsia="仿宋"/>
          <w:sz w:val="32"/>
          <w:szCs w:val="32"/>
        </w:rPr>
        <w:t>%</w:t>
      </w:r>
      <w:r>
        <w:rPr>
          <w:rFonts w:eastAsia="仿宋" w:hint="eastAsia"/>
          <w:sz w:val="32"/>
          <w:szCs w:val="32"/>
        </w:rPr>
        <w:t>；</w:t>
      </w:r>
    </w:p>
    <w:p>
      <w:pPr>
        <w:spacing w:line="576" w:lineRule="exact"/>
        <w:ind w:firstLine="640"/>
        <w:rPr>
          <w:rFonts w:eastAsia="仿宋"/>
          <w:sz w:val="32"/>
          <w:szCs w:val="32"/>
        </w:rPr>
      </w:pPr>
      <w:r>
        <w:rPr>
          <w:rFonts w:eastAsia="仿宋" w:hint="eastAsia"/>
          <w:sz w:val="32"/>
          <w:szCs w:val="32"/>
        </w:rPr>
        <w:t>2.教育支出</w:t>
      </w:r>
      <w:r>
        <w:rPr>
          <w:rFonts w:eastAsia="仿宋"/>
          <w:sz w:val="32"/>
          <w:szCs w:val="32"/>
        </w:rPr>
        <w:t>（类）</w:t>
      </w:r>
      <w:r>
        <w:rPr>
          <w:rFonts w:eastAsia="仿宋" w:hint="eastAsia"/>
          <w:sz w:val="32"/>
          <w:szCs w:val="32"/>
        </w:rPr>
        <w:t>:</w:t>
      </w:r>
      <w:r>
        <w:rPr>
          <w:rFonts w:eastAsia="仿宋"/>
          <w:sz w:val="32"/>
          <w:szCs w:val="32"/>
        </w:rPr>
        <w:t>支出决算为</w:t>
      </w:r>
      <w:r>
        <w:rPr>
          <w:rFonts w:eastAsia="仿宋" w:hint="eastAsia"/>
          <w:sz w:val="32"/>
          <w:szCs w:val="32"/>
        </w:rPr>
        <w:t>111.44</w:t>
      </w:r>
      <w:r>
        <w:rPr>
          <w:rFonts w:eastAsia="仿宋"/>
          <w:sz w:val="32"/>
          <w:szCs w:val="32"/>
        </w:rPr>
        <w:t>万元，</w:t>
      </w:r>
      <w:r>
        <w:rPr>
          <w:rFonts w:eastAsia="仿宋" w:hint="eastAsia"/>
          <w:sz w:val="32"/>
          <w:szCs w:val="32"/>
        </w:rPr>
        <w:t>完成100</w:t>
      </w:r>
      <w:r>
        <w:rPr>
          <w:rFonts w:eastAsia="仿宋"/>
          <w:sz w:val="32"/>
          <w:szCs w:val="32"/>
        </w:rPr>
        <w:t>%；</w:t>
      </w:r>
    </w:p>
    <w:p>
      <w:pPr>
        <w:spacing w:line="576" w:lineRule="exact"/>
        <w:ind w:firstLine="640"/>
        <w:rPr>
          <w:rFonts w:eastAsia="仿宋"/>
          <w:sz w:val="32"/>
          <w:szCs w:val="32"/>
        </w:rPr>
      </w:pPr>
      <w:r>
        <w:rPr>
          <w:rFonts w:eastAsia="仿宋" w:hint="eastAsia"/>
          <w:sz w:val="32"/>
          <w:szCs w:val="32"/>
        </w:rPr>
        <w:t>3.</w:t>
      </w:r>
      <w:r>
        <w:rPr>
          <w:rFonts w:eastAsia="仿宋"/>
          <w:sz w:val="32"/>
          <w:szCs w:val="32"/>
        </w:rPr>
        <w:t>社会保障和就业</w:t>
      </w:r>
      <w:r>
        <w:rPr>
          <w:rFonts w:eastAsia="仿宋" w:hint="eastAsia"/>
          <w:sz w:val="32"/>
          <w:szCs w:val="32"/>
        </w:rPr>
        <w:t>支出</w:t>
      </w:r>
      <w:r>
        <w:rPr>
          <w:rFonts w:eastAsia="仿宋"/>
          <w:sz w:val="32"/>
          <w:szCs w:val="32"/>
        </w:rPr>
        <w:t>（类）</w:t>
      </w:r>
      <w:r>
        <w:rPr>
          <w:rFonts w:eastAsia="仿宋" w:hint="eastAsia"/>
          <w:sz w:val="32"/>
          <w:szCs w:val="32"/>
        </w:rPr>
        <w:t>:</w:t>
      </w:r>
      <w:r>
        <w:rPr>
          <w:rFonts w:eastAsia="仿宋"/>
          <w:sz w:val="32"/>
          <w:szCs w:val="32"/>
        </w:rPr>
        <w:t>支出决算为</w:t>
      </w:r>
      <w:r>
        <w:rPr>
          <w:rFonts w:eastAsia="仿宋" w:hint="eastAsia"/>
          <w:sz w:val="32"/>
          <w:szCs w:val="32"/>
        </w:rPr>
        <w:t>56.54</w:t>
      </w:r>
      <w:r>
        <w:rPr>
          <w:rFonts w:eastAsia="仿宋"/>
          <w:sz w:val="32"/>
          <w:szCs w:val="32"/>
        </w:rPr>
        <w:t>万元</w:t>
      </w:r>
      <w:r>
        <w:rPr>
          <w:rFonts w:eastAsia="仿宋" w:hint="eastAsia"/>
          <w:sz w:val="32"/>
          <w:szCs w:val="32"/>
        </w:rPr>
        <w:t>,完成100</w:t>
      </w:r>
      <w:r>
        <w:rPr>
          <w:rFonts w:eastAsia="仿宋"/>
          <w:sz w:val="32"/>
          <w:szCs w:val="32"/>
        </w:rPr>
        <w:t>%；</w:t>
      </w:r>
    </w:p>
    <w:p>
      <w:pPr>
        <w:spacing w:line="576" w:lineRule="exact"/>
        <w:ind w:firstLine="640"/>
        <w:rPr>
          <w:rFonts w:eastAsia="仿宋"/>
          <w:sz w:val="32"/>
          <w:szCs w:val="32"/>
        </w:rPr>
      </w:pPr>
      <w:r>
        <w:rPr>
          <w:rFonts w:eastAsia="仿宋" w:hint="eastAsia"/>
          <w:sz w:val="32"/>
          <w:szCs w:val="32"/>
        </w:rPr>
        <w:t>4.</w:t>
      </w:r>
      <w:r>
        <w:rPr>
          <w:rFonts w:eastAsia="仿宋"/>
          <w:sz w:val="32"/>
          <w:szCs w:val="32"/>
        </w:rPr>
        <w:t>卫生健康支出（类）</w:t>
      </w:r>
      <w:r>
        <w:rPr>
          <w:rFonts w:eastAsia="仿宋" w:hint="eastAsia"/>
          <w:sz w:val="32"/>
          <w:szCs w:val="32"/>
        </w:rPr>
        <w:t>:</w:t>
      </w:r>
      <w:r>
        <w:rPr>
          <w:rFonts w:eastAsia="仿宋"/>
          <w:sz w:val="32"/>
          <w:szCs w:val="32"/>
        </w:rPr>
        <w:t>支出决算为</w:t>
      </w:r>
      <w:r>
        <w:rPr>
          <w:rFonts w:eastAsia="仿宋" w:hint="eastAsia"/>
          <w:sz w:val="32"/>
          <w:szCs w:val="32"/>
        </w:rPr>
        <w:t>23</w:t>
      </w:r>
      <w:r>
        <w:rPr>
          <w:rFonts w:eastAsia="仿宋"/>
          <w:sz w:val="32"/>
          <w:szCs w:val="32"/>
        </w:rPr>
        <w:t>万元，</w:t>
      </w:r>
      <w:r>
        <w:rPr>
          <w:rFonts w:eastAsia="仿宋" w:hint="eastAsia"/>
          <w:sz w:val="32"/>
          <w:szCs w:val="32"/>
        </w:rPr>
        <w:t>完成100</w:t>
      </w:r>
      <w:r>
        <w:rPr>
          <w:rFonts w:eastAsia="仿宋"/>
          <w:sz w:val="32"/>
          <w:szCs w:val="32"/>
        </w:rPr>
        <w:t>%；</w:t>
      </w:r>
    </w:p>
    <w:p>
      <w:pPr>
        <w:spacing w:line="576" w:lineRule="exact"/>
        <w:ind w:firstLine="640"/>
        <w:rPr>
          <w:rFonts w:eastAsia="仿宋"/>
          <w:sz w:val="32"/>
          <w:szCs w:val="32"/>
        </w:rPr>
      </w:pPr>
      <w:r>
        <w:rPr>
          <w:rFonts w:eastAsia="仿宋" w:hint="eastAsia"/>
          <w:sz w:val="32"/>
          <w:szCs w:val="32"/>
        </w:rPr>
        <w:t>5.农林水支出</w:t>
      </w:r>
      <w:r>
        <w:rPr>
          <w:rFonts w:eastAsia="仿宋"/>
          <w:sz w:val="32"/>
          <w:szCs w:val="32"/>
        </w:rPr>
        <w:t>（类）</w:t>
      </w:r>
      <w:r>
        <w:rPr>
          <w:rFonts w:eastAsia="仿宋" w:hint="eastAsia"/>
          <w:sz w:val="32"/>
          <w:szCs w:val="32"/>
        </w:rPr>
        <w:t>:</w:t>
      </w:r>
      <w:r>
        <w:rPr>
          <w:rFonts w:eastAsia="仿宋"/>
          <w:sz w:val="32"/>
          <w:szCs w:val="32"/>
        </w:rPr>
        <w:t>支出决算为</w:t>
      </w:r>
      <w:r>
        <w:rPr>
          <w:rFonts w:eastAsia="仿宋" w:hint="eastAsia"/>
          <w:sz w:val="32"/>
          <w:szCs w:val="32"/>
        </w:rPr>
        <w:t>305.58万元，完成100</w:t>
      </w:r>
      <w:r>
        <w:rPr>
          <w:rFonts w:eastAsia="仿宋"/>
          <w:sz w:val="32"/>
          <w:szCs w:val="32"/>
        </w:rPr>
        <w:t>%；</w:t>
      </w:r>
    </w:p>
    <w:p>
      <w:pPr>
        <w:spacing w:line="576" w:lineRule="exact"/>
        <w:ind w:firstLine="640"/>
        <w:rPr>
          <w:rFonts w:eastAsia="仿宋"/>
          <w:sz w:val="32"/>
          <w:szCs w:val="32"/>
        </w:rPr>
      </w:pPr>
      <w:r>
        <w:rPr>
          <w:rFonts w:eastAsia="仿宋" w:hint="eastAsia"/>
          <w:sz w:val="32"/>
          <w:szCs w:val="32"/>
        </w:rPr>
        <w:t>6.</w:t>
      </w:r>
      <w:r>
        <w:rPr>
          <w:rFonts w:eastAsia="仿宋"/>
          <w:sz w:val="32"/>
          <w:szCs w:val="32"/>
        </w:rPr>
        <w:t>住房保障支出（类）</w:t>
      </w:r>
      <w:r>
        <w:rPr>
          <w:rFonts w:eastAsia="仿宋" w:hint="eastAsia"/>
          <w:sz w:val="32"/>
          <w:szCs w:val="32"/>
        </w:rPr>
        <w:t>:</w:t>
      </w:r>
      <w:r>
        <w:rPr>
          <w:rFonts w:eastAsia="仿宋"/>
          <w:sz w:val="32"/>
          <w:szCs w:val="32"/>
        </w:rPr>
        <w:t>支出决算为</w:t>
      </w:r>
      <w:r>
        <w:rPr>
          <w:rFonts w:eastAsia="仿宋" w:hint="eastAsia"/>
          <w:sz w:val="32"/>
          <w:szCs w:val="32"/>
        </w:rPr>
        <w:t>33.49</w:t>
      </w:r>
      <w:r>
        <w:rPr>
          <w:rFonts w:eastAsia="仿宋"/>
          <w:sz w:val="32"/>
          <w:szCs w:val="32"/>
        </w:rPr>
        <w:t>万元，</w:t>
      </w:r>
      <w:r>
        <w:rPr>
          <w:rFonts w:eastAsia="仿宋" w:hint="eastAsia"/>
          <w:sz w:val="32"/>
          <w:szCs w:val="32"/>
        </w:rPr>
        <w:t>完成100</w:t>
      </w:r>
      <w:r>
        <w:rPr>
          <w:rFonts w:eastAsia="仿宋"/>
          <w:sz w:val="32"/>
          <w:szCs w:val="32"/>
        </w:rPr>
        <w:t>%</w:t>
      </w:r>
      <w:r>
        <w:rPr>
          <w:rFonts w:eastAsia="仿宋" w:hint="eastAsia"/>
          <w:sz w:val="32"/>
          <w:szCs w:val="32"/>
        </w:rPr>
        <w:t>；</w:t>
      </w:r>
    </w:p>
    <w:p>
      <w:pPr>
        <w:spacing w:line="576" w:lineRule="exact"/>
        <w:ind w:firstLine="640"/>
        <w:rPr>
          <w:rFonts w:eastAsia="仿宋"/>
          <w:sz w:val="32"/>
          <w:szCs w:val="32"/>
        </w:rPr>
      </w:pPr>
      <w:r>
        <w:rPr>
          <w:rFonts w:eastAsia="仿宋" w:hint="eastAsia"/>
          <w:sz w:val="32"/>
          <w:szCs w:val="32"/>
        </w:rPr>
        <w:t>7.其他支出</w:t>
      </w:r>
      <w:r>
        <w:rPr>
          <w:rFonts w:eastAsia="仿宋"/>
          <w:sz w:val="32"/>
          <w:szCs w:val="32"/>
        </w:rPr>
        <w:t>（类）</w:t>
      </w:r>
      <w:r>
        <w:rPr>
          <w:rFonts w:eastAsia="仿宋" w:hint="eastAsia"/>
          <w:sz w:val="32"/>
          <w:szCs w:val="32"/>
        </w:rPr>
        <w:t>:</w:t>
      </w:r>
      <w:r>
        <w:rPr>
          <w:rFonts w:eastAsia="仿宋"/>
          <w:sz w:val="32"/>
          <w:szCs w:val="32"/>
        </w:rPr>
        <w:t>支出决算为</w:t>
      </w:r>
      <w:r>
        <w:rPr>
          <w:rFonts w:eastAsia="仿宋" w:hint="eastAsia"/>
          <w:sz w:val="32"/>
          <w:szCs w:val="32"/>
        </w:rPr>
        <w:t>13.69万元，完成100</w:t>
      </w:r>
      <w:r>
        <w:rPr>
          <w:rFonts w:eastAsia="仿宋"/>
          <w:sz w:val="32"/>
          <w:szCs w:val="32"/>
        </w:rPr>
        <w:t>%。</w:t>
      </w:r>
    </w:p>
    <w:p>
      <w:pPr>
        <w:spacing w:line="576" w:lineRule="exact"/>
        <w:rPr>
          <w:rStyle w:val="2Char"/>
          <w:rFonts w:ascii="Times New Roman" w:hAnsi="Times New Roman"/>
        </w:rPr>
      </w:pPr>
      <w:bookmarkStart w:id="40" w:name="_Toc15377214"/>
      <w:bookmarkStart w:id="41" w:name="_Toc15396608"/>
      <w:r>
        <w:rPr>
          <w:rFonts w:eastAsia="黑体"/>
          <w:sz w:val="32"/>
          <w:szCs w:val="32"/>
        </w:rPr>
        <w:t>六</w:t>
      </w:r>
      <w:r>
        <w:rPr>
          <w:rFonts w:eastAsia="黑体"/>
          <w:b/>
          <w:sz w:val="32"/>
          <w:szCs w:val="32"/>
        </w:rPr>
        <w:t>、一</w:t>
      </w:r>
      <w:r>
        <w:rPr>
          <w:rStyle w:val="2Char"/>
          <w:rFonts w:ascii="Times New Roman" w:eastAsia="黑体" w:hAnsi="Times New Roman"/>
          <w:b w:val="0"/>
        </w:rPr>
        <w:t>般公共预算财政拨款基本支出决算情况说明</w:t>
      </w:r>
      <w:bookmarkEnd w:id="40"/>
      <w:bookmarkEnd w:id="41"/>
      <w:r>
        <w:rPr>
          <w:rStyle w:val="2Char"/>
          <w:rFonts w:ascii="Times New Roman" w:eastAsia="黑体" w:hAnsi="Times New Roman"/>
          <w:b w:val="0"/>
        </w:rPr>
        <w:tab/>
      </w:r>
    </w:p>
    <w:p>
      <w:pPr>
        <w:spacing w:line="576" w:lineRule="exact"/>
        <w:ind w:firstLine="645"/>
        <w:rPr>
          <w:rFonts w:eastAsia="仿宋"/>
          <w:sz w:val="32"/>
          <w:szCs w:val="32"/>
        </w:rPr>
      </w:pPr>
      <w:r>
        <w:rPr>
          <w:rFonts w:eastAsia="仿宋"/>
          <w:sz w:val="32"/>
          <w:szCs w:val="32"/>
        </w:rPr>
        <w:t>202</w:t>
      </w:r>
      <w:r>
        <w:rPr>
          <w:rFonts w:eastAsia="仿宋" w:hint="eastAsia"/>
          <w:sz w:val="32"/>
          <w:szCs w:val="32"/>
        </w:rPr>
        <w:t>2</w:t>
      </w:r>
      <w:r>
        <w:rPr>
          <w:rFonts w:eastAsia="仿宋"/>
          <w:sz w:val="32"/>
          <w:szCs w:val="32"/>
        </w:rPr>
        <w:t>年一般公共预算财政拨款基本支出</w:t>
      </w:r>
      <w:r>
        <w:rPr>
          <w:rFonts w:eastAsia="仿宋" w:hint="eastAsia"/>
          <w:sz w:val="32"/>
          <w:szCs w:val="32"/>
        </w:rPr>
        <w:t>514.28</w:t>
      </w:r>
      <w:r>
        <w:rPr>
          <w:rFonts w:eastAsia="仿宋"/>
          <w:sz w:val="32"/>
          <w:szCs w:val="32"/>
        </w:rPr>
        <w:t>万元，其中：</w:t>
      </w:r>
    </w:p>
    <w:p>
      <w:pPr>
        <w:spacing w:line="576" w:lineRule="exact"/>
        <w:ind w:firstLine="645"/>
        <w:rPr>
          <w:rFonts w:eastAsia="仿宋"/>
          <w:sz w:val="32"/>
          <w:szCs w:val="32"/>
        </w:rPr>
      </w:pPr>
      <w:r>
        <w:rPr>
          <w:rFonts w:eastAsia="仿宋"/>
          <w:sz w:val="32"/>
          <w:szCs w:val="32"/>
        </w:rPr>
        <w:t>人员经费</w:t>
      </w:r>
      <w:r>
        <w:rPr>
          <w:rFonts w:eastAsia="仿宋" w:hint="eastAsia"/>
          <w:sz w:val="32"/>
          <w:szCs w:val="32"/>
        </w:rPr>
        <w:t>466.08</w:t>
      </w:r>
      <w:r>
        <w:rPr>
          <w:rFonts w:eastAsia="仿宋"/>
          <w:sz w:val="32"/>
          <w:szCs w:val="32"/>
        </w:rPr>
        <w:t>万元，主要包括：基本工资</w:t>
      </w:r>
      <w:r>
        <w:rPr>
          <w:rFonts w:eastAsia="仿宋" w:hint="eastAsia"/>
          <w:sz w:val="32"/>
          <w:szCs w:val="32"/>
        </w:rPr>
        <w:t>92.87</w:t>
      </w:r>
      <w:r>
        <w:rPr>
          <w:rFonts w:eastAsia="仿宋"/>
          <w:sz w:val="32"/>
          <w:szCs w:val="32"/>
        </w:rPr>
        <w:t>万元、津贴补贴</w:t>
      </w:r>
      <w:r>
        <w:rPr>
          <w:rFonts w:eastAsia="仿宋" w:hint="eastAsia"/>
          <w:sz w:val="32"/>
          <w:szCs w:val="32"/>
        </w:rPr>
        <w:t>98.25</w:t>
      </w:r>
      <w:r>
        <w:rPr>
          <w:rFonts w:eastAsia="仿宋"/>
          <w:sz w:val="32"/>
          <w:szCs w:val="32"/>
        </w:rPr>
        <w:t>万元、奖金</w:t>
      </w:r>
      <w:r>
        <w:rPr>
          <w:rFonts w:eastAsia="仿宋" w:hint="eastAsia"/>
          <w:sz w:val="32"/>
          <w:szCs w:val="32"/>
        </w:rPr>
        <w:t>82.73</w:t>
      </w:r>
      <w:r>
        <w:rPr>
          <w:rFonts w:eastAsia="仿宋"/>
          <w:sz w:val="32"/>
          <w:szCs w:val="32"/>
        </w:rPr>
        <w:t>万元、</w:t>
      </w:r>
      <w:r>
        <w:rPr>
          <w:rFonts w:eastAsia="仿宋" w:hint="eastAsia"/>
          <w:sz w:val="32"/>
          <w:szCs w:val="32"/>
        </w:rPr>
        <w:t>绩效工资13.1万元、</w:t>
      </w:r>
      <w:r>
        <w:rPr>
          <w:rFonts w:eastAsia="仿宋"/>
          <w:sz w:val="32"/>
          <w:szCs w:val="32"/>
        </w:rPr>
        <w:t>机关事业单位基本养老保险缴费</w:t>
      </w:r>
      <w:r>
        <w:rPr>
          <w:rFonts w:eastAsia="仿宋" w:hint="eastAsia"/>
          <w:sz w:val="32"/>
          <w:szCs w:val="32"/>
        </w:rPr>
        <w:t>37.69</w:t>
      </w:r>
      <w:r>
        <w:rPr>
          <w:rFonts w:eastAsia="仿宋"/>
          <w:sz w:val="32"/>
          <w:szCs w:val="32"/>
        </w:rPr>
        <w:t>万元、职业年金缴费</w:t>
      </w:r>
      <w:r>
        <w:rPr>
          <w:rFonts w:eastAsia="仿宋" w:hint="eastAsia"/>
          <w:sz w:val="32"/>
          <w:szCs w:val="32"/>
        </w:rPr>
        <w:t>18.85</w:t>
      </w:r>
      <w:r>
        <w:rPr>
          <w:rFonts w:eastAsia="仿宋"/>
          <w:sz w:val="32"/>
          <w:szCs w:val="32"/>
        </w:rPr>
        <w:t>万元、职工基本医疗保险缴费</w:t>
      </w:r>
      <w:r>
        <w:rPr>
          <w:rFonts w:eastAsia="仿宋" w:hint="eastAsia"/>
          <w:sz w:val="32"/>
          <w:szCs w:val="32"/>
        </w:rPr>
        <w:t>17.45</w:t>
      </w:r>
      <w:r>
        <w:rPr>
          <w:rFonts w:eastAsia="仿宋"/>
          <w:sz w:val="32"/>
          <w:szCs w:val="32"/>
        </w:rPr>
        <w:t>万元、公务员医疗补助缴费</w:t>
      </w:r>
      <w:r>
        <w:rPr>
          <w:rFonts w:eastAsia="仿宋" w:hint="eastAsia"/>
          <w:sz w:val="32"/>
          <w:szCs w:val="32"/>
        </w:rPr>
        <w:t>4.73</w:t>
      </w:r>
      <w:r>
        <w:rPr>
          <w:rFonts w:eastAsia="仿宋"/>
          <w:sz w:val="32"/>
          <w:szCs w:val="32"/>
        </w:rPr>
        <w:t>万元、其他社会保障缴费</w:t>
      </w:r>
      <w:r>
        <w:rPr>
          <w:rFonts w:eastAsia="仿宋" w:hint="eastAsia"/>
          <w:sz w:val="32"/>
          <w:szCs w:val="32"/>
        </w:rPr>
        <w:t>1.59</w:t>
      </w:r>
      <w:r>
        <w:rPr>
          <w:rFonts w:eastAsia="仿宋"/>
          <w:sz w:val="32"/>
          <w:szCs w:val="32"/>
        </w:rPr>
        <w:t>万元、住房公积金</w:t>
      </w:r>
      <w:r>
        <w:rPr>
          <w:rFonts w:eastAsia="仿宋" w:hint="eastAsia"/>
          <w:sz w:val="32"/>
          <w:szCs w:val="32"/>
        </w:rPr>
        <w:t>33.49</w:t>
      </w:r>
      <w:r>
        <w:rPr>
          <w:rFonts w:eastAsia="仿宋"/>
          <w:sz w:val="32"/>
          <w:szCs w:val="32"/>
        </w:rPr>
        <w:t>万元、奖励金</w:t>
      </w:r>
      <w:r>
        <w:rPr>
          <w:rFonts w:eastAsia="仿宋" w:hint="eastAsia"/>
          <w:sz w:val="32"/>
          <w:szCs w:val="32"/>
        </w:rPr>
        <w:t>56.66</w:t>
      </w:r>
      <w:r>
        <w:rPr>
          <w:rFonts w:eastAsia="仿宋"/>
          <w:sz w:val="32"/>
          <w:szCs w:val="32"/>
        </w:rPr>
        <w:t>万元、生活补助</w:t>
      </w:r>
      <w:r>
        <w:rPr>
          <w:rFonts w:eastAsia="仿宋" w:hint="eastAsia"/>
          <w:sz w:val="32"/>
          <w:szCs w:val="32"/>
        </w:rPr>
        <w:t>8.67</w:t>
      </w:r>
      <w:r>
        <w:rPr>
          <w:rFonts w:eastAsia="仿宋"/>
          <w:sz w:val="32"/>
          <w:szCs w:val="32"/>
        </w:rPr>
        <w:t>万元。</w:t>
      </w:r>
    </w:p>
    <w:p>
      <w:pPr>
        <w:spacing w:line="576" w:lineRule="exact"/>
        <w:ind w:firstLine="645"/>
        <w:rPr>
          <w:rFonts w:eastAsia="仿宋"/>
          <w:sz w:val="32"/>
          <w:szCs w:val="32"/>
        </w:rPr>
      </w:pPr>
      <w:r>
        <w:rPr>
          <w:rFonts w:eastAsia="仿宋"/>
          <w:sz w:val="32"/>
          <w:szCs w:val="32"/>
        </w:rPr>
        <w:t>公用经费</w:t>
      </w:r>
      <w:r>
        <w:rPr>
          <w:rFonts w:eastAsia="仿宋" w:hint="eastAsia"/>
          <w:sz w:val="32"/>
          <w:szCs w:val="32"/>
        </w:rPr>
        <w:t>48.2</w:t>
      </w:r>
      <w:r>
        <w:rPr>
          <w:rFonts w:eastAsia="仿宋"/>
          <w:sz w:val="32"/>
          <w:szCs w:val="32"/>
        </w:rPr>
        <w:t>万元，主要包括：办公费</w:t>
      </w:r>
      <w:r>
        <w:rPr>
          <w:rFonts w:eastAsia="仿宋" w:hint="eastAsia"/>
          <w:sz w:val="32"/>
          <w:szCs w:val="32"/>
        </w:rPr>
        <w:t>7.66</w:t>
      </w:r>
      <w:r>
        <w:rPr>
          <w:rFonts w:eastAsia="仿宋"/>
          <w:sz w:val="32"/>
          <w:szCs w:val="32"/>
        </w:rPr>
        <w:t>万元、水费</w:t>
      </w:r>
      <w:r>
        <w:rPr>
          <w:rFonts w:eastAsia="仿宋" w:hint="eastAsia"/>
          <w:sz w:val="32"/>
          <w:szCs w:val="32"/>
        </w:rPr>
        <w:t>0.4</w:t>
      </w:r>
      <w:r>
        <w:rPr>
          <w:rFonts w:eastAsia="仿宋"/>
          <w:sz w:val="32"/>
          <w:szCs w:val="32"/>
        </w:rPr>
        <w:t>万元、电费</w:t>
      </w:r>
      <w:r>
        <w:rPr>
          <w:rFonts w:eastAsia="仿宋" w:hint="eastAsia"/>
          <w:sz w:val="32"/>
          <w:szCs w:val="32"/>
        </w:rPr>
        <w:t>1.5</w:t>
      </w:r>
      <w:r>
        <w:rPr>
          <w:rFonts w:eastAsia="仿宋"/>
          <w:sz w:val="32"/>
          <w:szCs w:val="32"/>
        </w:rPr>
        <w:t>万元、邮电费</w:t>
      </w:r>
      <w:r>
        <w:rPr>
          <w:rFonts w:eastAsia="仿宋" w:hint="eastAsia"/>
          <w:sz w:val="32"/>
          <w:szCs w:val="32"/>
        </w:rPr>
        <w:t>2</w:t>
      </w:r>
      <w:r>
        <w:rPr>
          <w:rFonts w:eastAsia="仿宋"/>
          <w:sz w:val="32"/>
          <w:szCs w:val="32"/>
        </w:rPr>
        <w:t>万元、差旅费</w:t>
      </w:r>
      <w:r>
        <w:rPr>
          <w:rFonts w:eastAsia="仿宋" w:hint="eastAsia"/>
          <w:sz w:val="32"/>
          <w:szCs w:val="32"/>
        </w:rPr>
        <w:t>11.64</w:t>
      </w:r>
      <w:r>
        <w:rPr>
          <w:rFonts w:eastAsia="仿宋"/>
          <w:sz w:val="32"/>
          <w:szCs w:val="32"/>
        </w:rPr>
        <w:t>万元、</w:t>
      </w:r>
      <w:r>
        <w:rPr>
          <w:rFonts w:eastAsia="仿宋" w:hint="eastAsia"/>
          <w:sz w:val="32"/>
          <w:szCs w:val="32"/>
        </w:rPr>
        <w:t>维修（护）费16</w:t>
      </w:r>
      <w:r>
        <w:rPr>
          <w:rFonts w:eastAsia="仿宋"/>
          <w:sz w:val="32"/>
          <w:szCs w:val="32"/>
        </w:rPr>
        <w:t>万元、公务用车运行维护费</w:t>
      </w:r>
      <w:r>
        <w:rPr>
          <w:rFonts w:eastAsia="仿宋" w:hint="eastAsia"/>
          <w:sz w:val="32"/>
          <w:szCs w:val="32"/>
        </w:rPr>
        <w:t>9</w:t>
      </w:r>
      <w:r>
        <w:rPr>
          <w:rFonts w:eastAsia="仿宋"/>
          <w:sz w:val="32"/>
          <w:szCs w:val="32"/>
        </w:rPr>
        <w:t>万元。</w:t>
      </w:r>
    </w:p>
    <w:p>
      <w:pPr>
        <w:spacing w:line="576" w:lineRule="exact"/>
        <w:outlineLvl w:val="1"/>
        <w:rPr>
          <w:rStyle w:val="2Char"/>
          <w:rFonts w:ascii="Times New Roman" w:eastAsia="黑体" w:hAnsi="Times New Roman"/>
          <w:b w:val="0"/>
        </w:rPr>
      </w:pPr>
      <w:bookmarkStart w:id="42" w:name="_Toc15396609"/>
      <w:bookmarkStart w:id="43" w:name="_Toc15377215"/>
      <w:r>
        <w:rPr>
          <w:rFonts w:eastAsia="黑体"/>
          <w:sz w:val="32"/>
          <w:szCs w:val="32"/>
        </w:rPr>
        <w:t>七、</w:t>
      </w:r>
      <w:r>
        <w:rPr>
          <w:rStyle w:val="2Char"/>
          <w:rFonts w:ascii="Times New Roman" w:eastAsia="黑体" w:hAnsi="Times New Roman"/>
        </w:rPr>
        <w:t>“</w:t>
      </w:r>
      <w:r>
        <w:rPr>
          <w:rStyle w:val="2Char"/>
          <w:rFonts w:ascii="Times New Roman" w:eastAsia="黑体" w:hAnsi="Times New Roman"/>
          <w:b w:val="0"/>
        </w:rPr>
        <w:t>三公”经费财政拨款支出决算情况说明</w:t>
      </w:r>
      <w:bookmarkEnd w:id="42"/>
      <w:bookmarkEnd w:id="43"/>
    </w:p>
    <w:p>
      <w:pPr>
        <w:spacing w:line="576" w:lineRule="exact"/>
        <w:ind w:firstLineChars="200" w:firstLine="640"/>
        <w:outlineLvl w:val="2"/>
        <w:rPr>
          <w:rFonts w:eastAsia="仿宋"/>
          <w:b/>
          <w:sz w:val="32"/>
          <w:szCs w:val="32"/>
        </w:rPr>
      </w:pPr>
      <w:bookmarkStart w:id="44" w:name="_Toc15377216"/>
      <w:r>
        <w:rPr>
          <w:rFonts w:eastAsia="仿宋"/>
          <w:b/>
          <w:sz w:val="32"/>
          <w:szCs w:val="32"/>
        </w:rPr>
        <w:t>（一）“三公”经费财政拨款支出决算总体情况说明</w:t>
      </w:r>
      <w:bookmarkEnd w:id="44"/>
    </w:p>
    <w:p>
      <w:pPr>
        <w:spacing w:line="576" w:lineRule="exact"/>
        <w:ind w:firstLine="640"/>
        <w:rPr>
          <w:rFonts w:eastAsia="仿宋"/>
          <w:sz w:val="32"/>
          <w:szCs w:val="32"/>
        </w:rPr>
      </w:pPr>
      <w:r>
        <w:rPr>
          <w:rFonts w:eastAsia="仿宋"/>
          <w:sz w:val="32"/>
          <w:szCs w:val="32"/>
        </w:rPr>
        <w:t>202</w:t>
      </w:r>
      <w:r>
        <w:rPr>
          <w:rFonts w:eastAsia="仿宋" w:hint="eastAsia"/>
          <w:sz w:val="32"/>
          <w:szCs w:val="32"/>
        </w:rPr>
        <w:t>2</w:t>
      </w:r>
      <w:r>
        <w:rPr>
          <w:rFonts w:eastAsia="仿宋"/>
          <w:sz w:val="32"/>
          <w:szCs w:val="32"/>
        </w:rPr>
        <w:t>年“三公”经费财政拨款支出决算为</w:t>
      </w:r>
      <w:r>
        <w:rPr>
          <w:rFonts w:eastAsia="仿宋" w:hint="eastAsia"/>
          <w:sz w:val="32"/>
          <w:szCs w:val="32"/>
        </w:rPr>
        <w:t>9</w:t>
      </w:r>
      <w:r>
        <w:rPr>
          <w:rFonts w:eastAsia="仿宋"/>
          <w:sz w:val="32"/>
          <w:szCs w:val="32"/>
        </w:rPr>
        <w:t>万元，</w:t>
      </w:r>
      <w:r>
        <w:rPr>
          <w:rFonts w:eastAsia="仿宋" w:hint="eastAsia"/>
          <w:sz w:val="32"/>
          <w:szCs w:val="32"/>
        </w:rPr>
        <w:t>预算为9.34万元，</w:t>
      </w:r>
      <w:r>
        <w:rPr>
          <w:rFonts w:eastAsia="仿宋"/>
          <w:sz w:val="32"/>
          <w:szCs w:val="32"/>
        </w:rPr>
        <w:t>完成预算</w:t>
      </w:r>
      <w:r>
        <w:rPr>
          <w:rFonts w:eastAsia="仿宋" w:hint="eastAsia"/>
          <w:sz w:val="32"/>
          <w:szCs w:val="32"/>
        </w:rPr>
        <w:t>96.36</w:t>
      </w:r>
      <w:r>
        <w:rPr>
          <w:rFonts w:eastAsia="仿宋"/>
          <w:sz w:val="32"/>
          <w:szCs w:val="32"/>
        </w:rPr>
        <w:t>%，</w:t>
      </w:r>
      <w:r>
        <w:rPr>
          <w:rFonts w:eastAsia="仿宋" w:hint="eastAsia"/>
          <w:sz w:val="32"/>
          <w:szCs w:val="32"/>
        </w:rPr>
        <w:t>原因是公务接待费未支出</w:t>
      </w:r>
      <w:r>
        <w:rPr>
          <w:rFonts w:eastAsia="仿宋"/>
          <w:sz w:val="32"/>
          <w:szCs w:val="32"/>
        </w:rPr>
        <w:t>。</w:t>
      </w:r>
    </w:p>
    <w:p>
      <w:pPr>
        <w:spacing w:line="576" w:lineRule="exact"/>
        <w:ind w:firstLine="640"/>
        <w:outlineLvl w:val="2"/>
        <w:rPr>
          <w:rFonts w:eastAsia="仿宋"/>
          <w:b/>
          <w:sz w:val="32"/>
          <w:szCs w:val="32"/>
        </w:rPr>
      </w:pPr>
      <w:bookmarkStart w:id="45" w:name="_Toc15377217"/>
      <w:r>
        <w:rPr>
          <w:rFonts w:eastAsia="仿宋"/>
          <w:b/>
          <w:sz w:val="32"/>
          <w:szCs w:val="32"/>
        </w:rPr>
        <w:t>（二）“三公”经费财政拨款支出决算具体情况说明</w:t>
      </w:r>
      <w:bookmarkEnd w:id="45"/>
    </w:p>
    <w:p>
      <w:pPr>
        <w:spacing w:line="576" w:lineRule="exact"/>
        <w:ind w:firstLine="640"/>
        <w:rPr>
          <w:rFonts w:eastAsia="仿宋"/>
          <w:sz w:val="32"/>
          <w:szCs w:val="32"/>
        </w:rPr>
      </w:pPr>
      <w:r>
        <w:rPr>
          <w:rFonts w:eastAsia="仿宋"/>
          <w:sz w:val="32"/>
          <w:szCs w:val="32"/>
        </w:rPr>
        <w:t>202</w:t>
      </w:r>
      <w:r>
        <w:rPr>
          <w:rFonts w:eastAsia="仿宋" w:hint="eastAsia"/>
          <w:sz w:val="32"/>
          <w:szCs w:val="32"/>
        </w:rPr>
        <w:t>2</w:t>
      </w:r>
      <w:r>
        <w:rPr>
          <w:rFonts w:eastAsia="仿宋"/>
          <w:sz w:val="32"/>
          <w:szCs w:val="32"/>
        </w:rPr>
        <w:t>年“三公”经费财政拨款支出决算</w:t>
      </w:r>
      <w:r>
        <w:rPr>
          <w:rFonts w:eastAsia="仿宋" w:hint="eastAsia"/>
          <w:sz w:val="32"/>
          <w:szCs w:val="32"/>
        </w:rPr>
        <w:t>9</w:t>
      </w:r>
      <w:r>
        <w:rPr>
          <w:rFonts w:eastAsia="仿宋"/>
          <w:sz w:val="32"/>
          <w:szCs w:val="32"/>
        </w:rPr>
        <w:t>万元，其中：因公出国（境）费支出决算0万元，占0%；公务用车购置及运行维护费支出决算</w:t>
      </w:r>
      <w:r>
        <w:rPr>
          <w:rFonts w:eastAsia="仿宋" w:hint="eastAsia"/>
          <w:sz w:val="32"/>
          <w:szCs w:val="32"/>
        </w:rPr>
        <w:t>9</w:t>
      </w:r>
      <w:r>
        <w:rPr>
          <w:rFonts w:eastAsia="仿宋"/>
          <w:sz w:val="32"/>
          <w:szCs w:val="32"/>
        </w:rPr>
        <w:t>万元，占</w:t>
      </w:r>
      <w:r>
        <w:rPr>
          <w:rFonts w:eastAsia="仿宋" w:hint="eastAsia"/>
          <w:sz w:val="32"/>
          <w:szCs w:val="32"/>
        </w:rPr>
        <w:t>100</w:t>
      </w:r>
      <w:r>
        <w:rPr>
          <w:rFonts w:eastAsia="仿宋"/>
          <w:sz w:val="32"/>
          <w:szCs w:val="32"/>
        </w:rPr>
        <w:t>%；公务接待费支出决算</w:t>
      </w:r>
      <w:r>
        <w:rPr>
          <w:rFonts w:eastAsia="仿宋" w:hint="eastAsia"/>
          <w:sz w:val="32"/>
          <w:szCs w:val="32"/>
        </w:rPr>
        <w:t>0</w:t>
      </w:r>
      <w:r>
        <w:rPr>
          <w:rFonts w:eastAsia="仿宋"/>
          <w:sz w:val="32"/>
          <w:szCs w:val="32"/>
        </w:rPr>
        <w:t>万元，占</w:t>
      </w:r>
      <w:r>
        <w:rPr>
          <w:rFonts w:eastAsia="仿宋" w:hint="eastAsia"/>
          <w:sz w:val="32"/>
          <w:szCs w:val="32"/>
        </w:rPr>
        <w:t>0</w:t>
      </w:r>
      <w:r>
        <w:rPr>
          <w:rFonts w:eastAsia="仿宋"/>
          <w:sz w:val="32"/>
          <w:szCs w:val="32"/>
        </w:rPr>
        <w:t>%。具体情况如下：</w:t>
      </w:r>
    </w:p>
    <w:p>
      <w:pPr>
        <w:spacing w:line="576" w:lineRule="exact"/>
        <w:ind w:firstLineChars="200" w:firstLine="420"/>
      </w:pPr>
      <w:r>
        <w:drawing>
          <wp:anchor distT="0" distB="0" distL="114300" distR="114300" simplePos="0" relativeHeight="27" behindDoc="0" locked="0" layoutInCell="1" hidden="0" allowOverlap="1">
            <wp:simplePos x="0" y="0"/>
            <wp:positionH relativeFrom="column">
              <wp:posOffset>594995</wp:posOffset>
            </wp:positionH>
            <wp:positionV relativeFrom="paragraph">
              <wp:posOffset>323850</wp:posOffset>
            </wp:positionV>
            <wp:extent cx="3848734" cy="2219325"/>
            <wp:effectExtent l="0" t="0" r="0" b="0"/>
            <wp:wrapTopAndBottom/>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76" w:lineRule="exact"/>
        <w:ind w:firstLineChars="200" w:firstLine="640"/>
        <w:rPr>
          <w:rFonts w:eastAsia="仿宋_GB2312"/>
          <w:b/>
          <w:sz w:val="32"/>
          <w:szCs w:val="32"/>
        </w:rPr>
      </w:pPr>
      <w:r>
        <w:rPr>
          <w:rFonts w:eastAsia="仿宋_GB2312"/>
          <w:b/>
          <w:sz w:val="32"/>
          <w:szCs w:val="32"/>
        </w:rPr>
        <w:t>1.公务用车购置及运行维护费支出</w:t>
      </w:r>
      <w:r>
        <w:rPr>
          <w:rFonts w:eastAsia="仿宋_GB2312" w:hint="eastAsia"/>
          <w:sz w:val="32"/>
          <w:szCs w:val="32"/>
        </w:rPr>
        <w:t>9</w:t>
      </w:r>
      <w:r>
        <w:rPr>
          <w:rFonts w:eastAsia="仿宋_GB2312"/>
          <w:sz w:val="32"/>
          <w:szCs w:val="32"/>
        </w:rPr>
        <w:t>万元,</w:t>
      </w:r>
      <w:r>
        <w:rPr>
          <w:rFonts w:eastAsia="仿宋_GB2312" w:hint="eastAsia"/>
          <w:sz w:val="32"/>
          <w:szCs w:val="32"/>
        </w:rPr>
        <w:t>预算为9万元，</w:t>
      </w:r>
      <w:r>
        <w:rPr>
          <w:rStyle w:val="22"/>
          <w:rFonts w:eastAsia="仿宋"/>
          <w:b w:val="0"/>
          <w:bCs/>
          <w:sz w:val="32"/>
          <w:szCs w:val="32"/>
        </w:rPr>
        <w:t>完成预算100%。</w:t>
      </w:r>
      <w:r>
        <w:rPr>
          <w:rFonts w:eastAsia="仿宋_GB2312"/>
          <w:sz w:val="32"/>
          <w:szCs w:val="32"/>
        </w:rPr>
        <w:t>公务用车购置及运行维护费支出决算</w:t>
      </w:r>
      <w:r>
        <w:rPr>
          <w:rFonts w:eastAsia="仿宋_GB2312" w:hint="eastAsia"/>
          <w:sz w:val="32"/>
          <w:szCs w:val="32"/>
        </w:rPr>
        <w:t>与</w:t>
      </w:r>
      <w:r>
        <w:rPr>
          <w:rFonts w:eastAsia="仿宋_GB2312"/>
          <w:sz w:val="32"/>
          <w:szCs w:val="32"/>
        </w:rPr>
        <w:t>202</w:t>
      </w:r>
      <w:r>
        <w:rPr>
          <w:rFonts w:eastAsia="仿宋_GB2312" w:hint="eastAsia"/>
          <w:sz w:val="32"/>
          <w:szCs w:val="32"/>
        </w:rPr>
        <w:t>1</w:t>
      </w:r>
      <w:r>
        <w:rPr>
          <w:rFonts w:eastAsia="仿宋_GB2312"/>
          <w:sz w:val="32"/>
          <w:szCs w:val="32"/>
        </w:rPr>
        <w:t>年</w:t>
      </w:r>
      <w:r>
        <w:rPr>
          <w:rFonts w:eastAsia="仿宋_GB2312" w:hint="eastAsia"/>
          <w:sz w:val="32"/>
          <w:szCs w:val="32"/>
        </w:rPr>
        <w:t>相</w:t>
      </w:r>
      <w:r>
        <w:rPr>
          <w:rFonts w:eastAsia="仿宋_GB2312"/>
          <w:sz w:val="32"/>
          <w:szCs w:val="32"/>
        </w:rPr>
        <w:t>比</w:t>
      </w:r>
      <w:r>
        <w:rPr>
          <w:rFonts w:eastAsia="仿宋_GB2312" w:hint="eastAsia"/>
          <w:sz w:val="32"/>
          <w:szCs w:val="32"/>
        </w:rPr>
        <w:t>无变化</w:t>
      </w:r>
      <w:r>
        <w:rPr>
          <w:rFonts w:eastAsia="仿宋_GB2312"/>
          <w:sz w:val="32"/>
          <w:szCs w:val="32"/>
        </w:rPr>
        <w:t>。</w:t>
      </w:r>
    </w:p>
    <w:p>
      <w:pPr>
        <w:autoSpaceDE w:val="0"/>
        <w:autoSpaceDN w:val="0"/>
        <w:adjustRightInd w:val="0"/>
        <w:spacing w:line="576" w:lineRule="exact"/>
        <w:ind w:firstLineChars="200" w:firstLine="640"/>
        <w:jc w:val="left"/>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0万元。全年按规定更新购置公务用车0辆。截至202</w:t>
      </w:r>
      <w:r>
        <w:rPr>
          <w:rFonts w:eastAsia="仿宋_GB2312" w:hint="eastAsia"/>
          <w:sz w:val="32"/>
          <w:szCs w:val="32"/>
        </w:rPr>
        <w:t>2</w:t>
      </w:r>
      <w:r>
        <w:rPr>
          <w:rFonts w:eastAsia="仿宋_GB2312"/>
          <w:sz w:val="32"/>
          <w:szCs w:val="32"/>
        </w:rPr>
        <w:t>年12月31日，共有车辆</w:t>
      </w:r>
      <w:r>
        <w:rPr>
          <w:rFonts w:eastAsia="仿宋_GB2312" w:hint="eastAsia"/>
          <w:sz w:val="32"/>
          <w:szCs w:val="32"/>
        </w:rPr>
        <w:t>2</w:t>
      </w:r>
      <w:r>
        <w:rPr>
          <w:rFonts w:eastAsia="仿宋_GB2312"/>
          <w:sz w:val="32"/>
          <w:szCs w:val="32"/>
        </w:rPr>
        <w:t>辆，其中：部级领导干部用车0辆、主要领导干部用车0辆、机要通信用车0辆、应急保障用车</w:t>
      </w:r>
      <w:r>
        <w:rPr>
          <w:rFonts w:eastAsia="仿宋_GB2312" w:hint="eastAsia"/>
          <w:sz w:val="32"/>
          <w:szCs w:val="32"/>
        </w:rPr>
        <w:t>0</w:t>
      </w:r>
      <w:r>
        <w:rPr>
          <w:rFonts w:eastAsia="仿宋_GB2312"/>
          <w:sz w:val="32"/>
          <w:szCs w:val="32"/>
        </w:rPr>
        <w:t>辆、执法执勤用车0辆、特种专业技术用车0辆、离退休干部用车0辆、其他用车</w:t>
      </w:r>
      <w:r>
        <w:rPr>
          <w:rFonts w:eastAsia="仿宋_GB2312" w:hint="eastAsia"/>
          <w:sz w:val="32"/>
          <w:szCs w:val="32"/>
        </w:rPr>
        <w:t>2</w:t>
      </w:r>
      <w:r>
        <w:rPr>
          <w:rFonts w:eastAsia="仿宋_GB2312"/>
          <w:sz w:val="32"/>
          <w:szCs w:val="32"/>
        </w:rPr>
        <w:t>辆；</w:t>
      </w:r>
      <w:r>
        <w:rPr>
          <w:rFonts w:eastAsia="仿宋_GB2312"/>
          <w:b/>
          <w:sz w:val="32"/>
          <w:szCs w:val="32"/>
        </w:rPr>
        <w:t>公务用车运行维护费支出</w:t>
      </w:r>
      <w:r>
        <w:rPr>
          <w:rFonts w:eastAsia="仿宋_GB2312" w:hint="eastAsia"/>
          <w:sz w:val="32"/>
          <w:szCs w:val="32"/>
        </w:rPr>
        <w:t>9</w:t>
      </w:r>
      <w:r>
        <w:rPr>
          <w:rFonts w:eastAsia="仿宋_GB2312"/>
          <w:sz w:val="32"/>
          <w:szCs w:val="32"/>
        </w:rPr>
        <w:t>万元。主要用我单位所需的公务用车燃料费、维修费、过路过桥费、保险费等支出。</w:t>
      </w:r>
    </w:p>
    <w:p>
      <w:pPr>
        <w:numPr>
          <w:ilvl w:val="0"/>
          <w:numId w:val="3"/>
        </w:numPr>
        <w:spacing w:line="576" w:lineRule="exact"/>
        <w:ind w:left="0" w:firstLineChars="250" w:firstLine="800"/>
        <w:rPr>
          <w:rFonts w:eastAsia="仿宋_GB2312"/>
          <w:sz w:val="32"/>
          <w:szCs w:val="32"/>
        </w:rPr>
      </w:pPr>
      <w:bookmarkStart w:id="46" w:name="_Toc15396610"/>
      <w:bookmarkStart w:id="47" w:name="_Toc15377218"/>
      <w:r>
        <w:rPr>
          <w:rFonts w:eastAsia="仿宋_GB2312"/>
          <w:b/>
          <w:sz w:val="32"/>
          <w:szCs w:val="32"/>
        </w:rPr>
        <w:t>公务接待费支出</w:t>
      </w:r>
      <w:r>
        <w:rPr>
          <w:rFonts w:eastAsia="仿宋_GB2312" w:hint="eastAsia"/>
          <w:sz w:val="32"/>
          <w:szCs w:val="32"/>
        </w:rPr>
        <w:t>0</w:t>
      </w:r>
      <w:r>
        <w:rPr>
          <w:rFonts w:eastAsia="仿宋_GB2312"/>
          <w:sz w:val="32"/>
          <w:szCs w:val="32"/>
        </w:rPr>
        <w:t>万元，</w:t>
      </w:r>
      <w:r>
        <w:rPr>
          <w:rFonts w:eastAsia="仿宋_GB2312" w:hint="eastAsia"/>
          <w:sz w:val="32"/>
          <w:szCs w:val="32"/>
        </w:rPr>
        <w:t>预算为0.34万元，</w:t>
      </w:r>
      <w:r>
        <w:rPr>
          <w:rStyle w:val="22"/>
          <w:rFonts w:eastAsia="仿宋"/>
          <w:b w:val="0"/>
          <w:bCs/>
          <w:sz w:val="32"/>
          <w:szCs w:val="32"/>
        </w:rPr>
        <w:t>完成预算0%。</w:t>
      </w:r>
      <w:r>
        <w:rPr>
          <w:rFonts w:eastAsia="仿宋_GB2312" w:hint="eastAsia"/>
          <w:sz w:val="32"/>
          <w:szCs w:val="32"/>
        </w:rPr>
        <w:t>因为严格公务接待费报销制度，厉行节约</w:t>
      </w:r>
      <w:r>
        <w:rPr>
          <w:rFonts w:eastAsia="仿宋_GB2312"/>
          <w:sz w:val="32"/>
          <w:szCs w:val="32"/>
        </w:rPr>
        <w:t>。</w:t>
      </w:r>
    </w:p>
    <w:p>
      <w:pPr>
        <w:spacing w:line="576" w:lineRule="exact"/>
        <w:outlineLvl w:val="1"/>
        <w:rPr>
          <w:rStyle w:val="2Char"/>
          <w:rFonts w:ascii="Times New Roman" w:eastAsia="黑体" w:hAnsi="Times New Roman"/>
          <w:b w:val="0"/>
        </w:rPr>
      </w:pPr>
      <w:r>
        <w:rPr>
          <w:rFonts w:eastAsia="黑体"/>
          <w:sz w:val="32"/>
          <w:szCs w:val="32"/>
        </w:rPr>
        <w:t>八、</w:t>
      </w:r>
      <w:r>
        <w:rPr>
          <w:rStyle w:val="2Char"/>
          <w:rFonts w:ascii="Times New Roman" w:eastAsia="黑体" w:hAnsi="Times New Roman"/>
          <w:b w:val="0"/>
        </w:rPr>
        <w:t>政府性基金预算支出决算情况说明</w:t>
      </w:r>
      <w:bookmarkEnd w:id="46"/>
      <w:bookmarkEnd w:id="47"/>
    </w:p>
    <w:p>
      <w:pPr>
        <w:spacing w:line="576" w:lineRule="exact"/>
        <w:ind w:firstLine="640"/>
        <w:outlineLvl w:val="1"/>
        <w:rPr>
          <w:rStyle w:val="2Char"/>
          <w:rFonts w:ascii="Times New Roman" w:eastAsia="仿宋_GB2312" w:hAnsi="Times New Roman"/>
          <w:b w:val="0"/>
        </w:rPr>
      </w:pPr>
      <w:r>
        <w:rPr>
          <w:rFonts w:eastAsia="仿宋"/>
          <w:sz w:val="32"/>
          <w:szCs w:val="32"/>
        </w:rPr>
        <w:t>202</w:t>
      </w:r>
      <w:r>
        <w:rPr>
          <w:rFonts w:eastAsia="仿宋" w:hint="eastAsia"/>
          <w:sz w:val="32"/>
          <w:szCs w:val="32"/>
        </w:rPr>
        <w:t>2</w:t>
      </w:r>
      <w:r>
        <w:rPr>
          <w:rFonts w:eastAsia="仿宋"/>
          <w:sz w:val="32"/>
          <w:szCs w:val="32"/>
        </w:rPr>
        <w:t>年政府性基金预算</w:t>
      </w:r>
      <w:r>
        <w:rPr>
          <w:rFonts w:eastAsia="仿宋_GB2312"/>
          <w:spacing w:val="-2"/>
          <w:sz w:val="32"/>
          <w:szCs w:val="32"/>
        </w:rPr>
        <w:t>拨款支出</w:t>
      </w:r>
      <w:r>
        <w:rPr>
          <w:rFonts w:eastAsia="仿宋_GB2312" w:hint="eastAsia"/>
          <w:spacing w:val="-2"/>
          <w:sz w:val="32"/>
          <w:szCs w:val="32"/>
        </w:rPr>
        <w:t>0</w:t>
      </w:r>
      <w:r>
        <w:rPr>
          <w:rFonts w:eastAsia="仿宋_GB2312"/>
          <w:spacing w:val="-2"/>
          <w:sz w:val="32"/>
          <w:szCs w:val="32"/>
        </w:rPr>
        <w:t>万元</w:t>
      </w:r>
      <w:r>
        <w:rPr>
          <w:rFonts w:eastAsia="仿宋"/>
          <w:sz w:val="32"/>
          <w:szCs w:val="32"/>
        </w:rPr>
        <w:t>。与202</w:t>
      </w:r>
      <w:r>
        <w:rPr>
          <w:rFonts w:eastAsia="仿宋" w:hint="eastAsia"/>
          <w:sz w:val="32"/>
          <w:szCs w:val="32"/>
        </w:rPr>
        <w:t>1</w:t>
      </w:r>
      <w:r>
        <w:rPr>
          <w:rFonts w:eastAsia="仿宋"/>
          <w:sz w:val="32"/>
          <w:szCs w:val="32"/>
        </w:rPr>
        <w:t>年相比政府性基金预算</w:t>
      </w:r>
      <w:r>
        <w:rPr>
          <w:rFonts w:eastAsia="仿宋_GB2312"/>
          <w:spacing w:val="-2"/>
          <w:sz w:val="32"/>
          <w:szCs w:val="32"/>
        </w:rPr>
        <w:t>拨款支出</w:t>
      </w:r>
      <w:r>
        <w:rPr>
          <w:rFonts w:eastAsia="仿宋_GB2312" w:hint="eastAsia"/>
          <w:spacing w:val="-2"/>
          <w:sz w:val="32"/>
          <w:szCs w:val="32"/>
        </w:rPr>
        <w:t>无变化。</w:t>
      </w:r>
    </w:p>
    <w:p>
      <w:pPr>
        <w:tabs>
          <w:tab w:val="left" w:pos="0"/>
        </w:tabs>
        <w:spacing w:line="576" w:lineRule="exact"/>
        <w:outlineLvl w:val="1"/>
        <w:rPr>
          <w:rStyle w:val="2Char"/>
          <w:rFonts w:ascii="Times New Roman" w:eastAsia="黑体" w:hAnsi="Times New Roman"/>
          <w:b w:val="0"/>
        </w:rPr>
      </w:pPr>
      <w:bookmarkStart w:id="48" w:name="_Toc15396611"/>
      <w:bookmarkStart w:id="49" w:name="_Toc15377219"/>
      <w:r>
        <w:rPr>
          <w:rStyle w:val="2Char"/>
          <w:rFonts w:eastAsia="黑体" w:hint="eastAsia"/>
          <w:b w:val="0"/>
        </w:rPr>
        <w:t>九、</w:t>
      </w:r>
      <w:r>
        <w:rPr>
          <w:rStyle w:val="2Char"/>
          <w:rFonts w:ascii="Times New Roman" w:eastAsia="黑体" w:hAnsi="Times New Roman"/>
          <w:b w:val="0"/>
        </w:rPr>
        <w:t>国有资本经营预算支出决算情况说明</w:t>
      </w:r>
      <w:bookmarkEnd w:id="48"/>
      <w:bookmarkEnd w:id="49"/>
    </w:p>
    <w:p>
      <w:pPr>
        <w:spacing w:line="576" w:lineRule="exact"/>
        <w:ind w:firstLine="640"/>
        <w:outlineLvl w:val="1"/>
        <w:rPr>
          <w:rFonts w:eastAsia="仿宋_GB2312"/>
          <w:sz w:val="32"/>
          <w:szCs w:val="32"/>
        </w:rPr>
      </w:pPr>
      <w:r>
        <w:rPr>
          <w:rFonts w:eastAsia="仿宋_GB2312"/>
          <w:sz w:val="32"/>
          <w:szCs w:val="32"/>
        </w:rPr>
        <w:t>202</w:t>
      </w:r>
      <w:r>
        <w:rPr>
          <w:rFonts w:eastAsia="仿宋_GB2312" w:hint="eastAsia"/>
          <w:sz w:val="32"/>
          <w:szCs w:val="32"/>
        </w:rPr>
        <w:t>2</w:t>
      </w:r>
      <w:r>
        <w:rPr>
          <w:rFonts w:eastAsia="仿宋_GB2312"/>
          <w:sz w:val="32"/>
          <w:szCs w:val="32"/>
        </w:rPr>
        <w:t>年国有资本经营预算拨款支出0万元。</w:t>
      </w:r>
      <w:r>
        <w:rPr>
          <w:rFonts w:eastAsia="仿宋"/>
          <w:sz w:val="32"/>
          <w:szCs w:val="32"/>
        </w:rPr>
        <w:t>与202</w:t>
      </w:r>
      <w:r>
        <w:rPr>
          <w:rFonts w:eastAsia="仿宋" w:hint="eastAsia"/>
          <w:sz w:val="32"/>
          <w:szCs w:val="32"/>
        </w:rPr>
        <w:t>1</w:t>
      </w:r>
      <w:r>
        <w:rPr>
          <w:rFonts w:eastAsia="仿宋"/>
          <w:sz w:val="32"/>
          <w:szCs w:val="32"/>
        </w:rPr>
        <w:t>年相比政府性基金预算</w:t>
      </w:r>
      <w:r>
        <w:rPr>
          <w:rFonts w:eastAsia="仿宋_GB2312"/>
          <w:spacing w:val="-2"/>
          <w:sz w:val="32"/>
          <w:szCs w:val="32"/>
        </w:rPr>
        <w:t>拨款支出</w:t>
      </w:r>
      <w:r>
        <w:rPr>
          <w:rFonts w:eastAsia="仿宋_GB2312" w:hint="eastAsia"/>
          <w:spacing w:val="-2"/>
          <w:sz w:val="32"/>
          <w:szCs w:val="32"/>
        </w:rPr>
        <w:t>无变化。</w:t>
      </w:r>
    </w:p>
    <w:p>
      <w:pPr>
        <w:pStyle w:val="28"/>
        <w:spacing w:line="576" w:lineRule="exact"/>
        <w:ind w:firstLineChars="0" w:firstLine="0"/>
        <w:rPr>
          <w:rStyle w:val="2Char"/>
          <w:rFonts w:ascii="Times New Roman" w:eastAsia="黑体" w:hAnsi="Times New Roman"/>
          <w:b w:val="0"/>
        </w:rPr>
      </w:pPr>
      <w:r>
        <w:rPr>
          <w:rStyle w:val="2Char"/>
          <w:rFonts w:eastAsia="黑体" w:hint="eastAsia"/>
          <w:b w:val="0"/>
        </w:rPr>
        <w:t>十、</w:t>
      </w:r>
      <w:r>
        <w:rPr>
          <w:rStyle w:val="2Char"/>
          <w:rFonts w:ascii="Times New Roman" w:eastAsia="黑体" w:hAnsi="Times New Roman"/>
          <w:b w:val="0"/>
        </w:rPr>
        <w:t>预算绩效情况说明</w:t>
      </w:r>
    </w:p>
    <w:p>
      <w:pPr>
        <w:numPr>
          <w:ilvl w:val="0"/>
          <w:numId w:val="4"/>
        </w:numPr>
        <w:spacing w:line="576" w:lineRule="exact"/>
        <w:ind w:left="0" w:firstLineChars="200" w:firstLine="640"/>
        <w:rPr>
          <w:rFonts w:eastAsia="仿宋"/>
          <w:b/>
          <w:bCs/>
          <w:sz w:val="32"/>
          <w:szCs w:val="32"/>
        </w:rPr>
      </w:pPr>
      <w:r>
        <w:rPr>
          <w:rFonts w:eastAsia="仿宋"/>
          <w:b/>
          <w:bCs/>
          <w:sz w:val="32"/>
          <w:szCs w:val="32"/>
        </w:rPr>
        <w:t>预算绩效管理工作开展情况。</w:t>
      </w:r>
    </w:p>
    <w:p>
      <w:pPr>
        <w:pStyle w:val="28"/>
        <w:spacing w:line="576" w:lineRule="exact"/>
        <w:ind w:firstLineChars="150" w:firstLine="480"/>
        <w:rPr>
          <w:rFonts w:eastAsia="仿宋_GB2312"/>
          <w:sz w:val="32"/>
          <w:szCs w:val="32"/>
        </w:rPr>
      </w:pPr>
      <w:r>
        <w:rPr>
          <w:rFonts w:eastAsia="仿宋_GB2312"/>
          <w:sz w:val="32"/>
          <w:szCs w:val="32"/>
        </w:rPr>
        <w:t>按照预算绩效管理要求，本部门对202</w:t>
      </w:r>
      <w:r>
        <w:rPr>
          <w:rFonts w:eastAsia="仿宋_GB2312" w:hint="eastAsia"/>
          <w:sz w:val="32"/>
          <w:szCs w:val="32"/>
        </w:rPr>
        <w:t>2</w:t>
      </w:r>
      <w:r>
        <w:rPr>
          <w:rFonts w:eastAsia="仿宋_GB2312"/>
          <w:sz w:val="32"/>
          <w:szCs w:val="32"/>
        </w:rPr>
        <w:t>年一般公共预算项目支出开展了绩效目标管理，共编制绩效目标</w:t>
      </w:r>
      <w:r>
        <w:rPr>
          <w:rFonts w:eastAsia="仿宋_GB2312" w:hint="eastAsia"/>
          <w:sz w:val="32"/>
          <w:szCs w:val="32"/>
        </w:rPr>
        <w:t>29</w:t>
      </w:r>
      <w:r>
        <w:rPr>
          <w:rFonts w:eastAsia="仿宋_GB2312"/>
          <w:sz w:val="32"/>
          <w:szCs w:val="32"/>
        </w:rPr>
        <w:t>个，涉及财政资金</w:t>
      </w:r>
      <w:r>
        <w:rPr>
          <w:rFonts w:eastAsia="仿宋_GB2312" w:hint="eastAsia"/>
          <w:sz w:val="32"/>
          <w:szCs w:val="32"/>
        </w:rPr>
        <w:t>1126.62</w:t>
      </w:r>
      <w:r>
        <w:rPr>
          <w:rFonts w:eastAsia="仿宋_GB2312"/>
          <w:sz w:val="32"/>
          <w:szCs w:val="32"/>
        </w:rPr>
        <w:t>万元，覆盖率达到100%。</w:t>
      </w:r>
    </w:p>
    <w:p>
      <w:pPr>
        <w:spacing w:line="576" w:lineRule="exact"/>
        <w:ind w:firstLineChars="200" w:firstLine="640"/>
        <w:rPr>
          <w:rFonts w:eastAsia="仿宋"/>
          <w:b/>
          <w:bCs/>
          <w:sz w:val="32"/>
          <w:szCs w:val="32"/>
        </w:rPr>
      </w:pPr>
      <w:r>
        <w:rPr>
          <w:rFonts w:eastAsia="仿宋"/>
          <w:b/>
          <w:bCs/>
          <w:sz w:val="32"/>
          <w:szCs w:val="32"/>
        </w:rPr>
        <w:t>（二）项目整体绩效目标完成情况。</w:t>
      </w:r>
    </w:p>
    <w:p>
      <w:pPr>
        <w:spacing w:line="576" w:lineRule="exact"/>
        <w:ind w:firstLineChars="200" w:firstLine="640"/>
        <w:rPr>
          <w:rFonts w:eastAsia="仿宋_GB2312"/>
          <w:b/>
          <w:sz w:val="32"/>
          <w:szCs w:val="32"/>
        </w:rPr>
      </w:pPr>
      <w:r>
        <w:rPr>
          <w:rFonts w:eastAsia="仿宋_GB2312"/>
          <w:sz w:val="32"/>
          <w:szCs w:val="32"/>
        </w:rPr>
        <w:t>按照预算绩效管理要求，本部门对202</w:t>
      </w:r>
      <w:r>
        <w:rPr>
          <w:rFonts w:eastAsia="仿宋_GB2312" w:hint="eastAsia"/>
          <w:sz w:val="32"/>
          <w:szCs w:val="32"/>
        </w:rPr>
        <w:t>2</w:t>
      </w:r>
      <w:r>
        <w:rPr>
          <w:rFonts w:eastAsia="仿宋_GB2312"/>
          <w:sz w:val="32"/>
          <w:szCs w:val="32"/>
        </w:rPr>
        <w:t>年整体支出开展绩效自评，自评得分95分，存在问题：一是预算经费支出进度缓，特别是</w:t>
      </w:r>
      <w:r>
        <w:rPr>
          <w:rFonts w:eastAsia="仿宋_GB2312" w:hint="eastAsia"/>
          <w:sz w:val="32"/>
          <w:szCs w:val="32"/>
        </w:rPr>
        <w:t>集体经济建设项目</w:t>
      </w:r>
      <w:r>
        <w:rPr>
          <w:rFonts w:eastAsia="仿宋_GB2312"/>
          <w:sz w:val="32"/>
          <w:szCs w:val="32"/>
        </w:rPr>
        <w:t>资金；二是部门预算、决算上报效率有待提高。下一步改进措施：一是加快完善部门财务规章制度建设；二是加强会计核算和财务管理能力；三是加强与县财政局相关科室对接工作，提升工作效率。</w:t>
      </w:r>
    </w:p>
    <w:p>
      <w:pPr>
        <w:spacing w:line="576" w:lineRule="exact"/>
        <w:jc w:val="center"/>
        <w:rPr>
          <w:rFonts w:eastAsia="黑体"/>
          <w:sz w:val="32"/>
          <w:szCs w:val="32"/>
        </w:rPr>
      </w:pPr>
      <w:r>
        <w:rPr>
          <w:rFonts w:eastAsia="黑体"/>
          <w:sz w:val="32"/>
          <w:szCs w:val="32"/>
        </w:rPr>
        <w:t>202</w:t>
      </w:r>
      <w:r>
        <w:rPr>
          <w:rFonts w:eastAsia="黑体" w:hint="eastAsia"/>
          <w:sz w:val="32"/>
          <w:szCs w:val="32"/>
        </w:rPr>
        <w:t>2</w:t>
      </w:r>
      <w:r>
        <w:rPr>
          <w:rFonts w:eastAsia="黑体"/>
          <w:sz w:val="32"/>
          <w:szCs w:val="32"/>
        </w:rPr>
        <w:t>年部门整体支出绩效评价得分表</w:t>
      </w:r>
    </w:p>
    <w:tbl>
      <w:tblPr>
        <w:jc w:val="left"/>
        <w:tblInd w:w="-17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38"/>
        <w:gridCol w:w="2050"/>
        <w:gridCol w:w="3075"/>
        <w:gridCol w:w="1922"/>
      </w:tblGrid>
      <w:tr>
        <w:trPr>
          <w:trHeight w:val="240"/>
        </w:trPr>
        <w:tc>
          <w:tcPr>
            <w:tcW w:w="1702" w:type="dxa"/>
            <w:tcBorders>
              <w:top w:val="single" w:sz="4" w:space="0" w:color="auto"/>
              <w:left w:val="single" w:sz="4" w:space="0" w:color="auto"/>
              <w:bottom w:val="single" w:sz="4" w:space="0" w:color="auto"/>
              <w:right w:val="single" w:sz="4" w:space="0" w:color="auto"/>
            </w:tcBorders>
            <w:noWrap/>
            <w:vAlign w:val="center"/>
          </w:tcPr>
          <w:p>
            <w:pPr>
              <w:widowControl/>
              <w:spacing w:line="576" w:lineRule="exact"/>
              <w:jc w:val="center"/>
              <w:rPr>
                <w:b/>
                <w:bCs/>
                <w:kern w:val="0"/>
                <w:sz w:val="20"/>
                <w:szCs w:val="20"/>
              </w:rPr>
            </w:pPr>
            <w:r>
              <w:rPr>
                <w:b/>
                <w:bCs/>
                <w:kern w:val="0"/>
                <w:sz w:val="20"/>
                <w:szCs w:val="20"/>
              </w:rPr>
              <w:t>一级指标</w:t>
            </w:r>
          </w:p>
        </w:tc>
        <w:tc>
          <w:tcPr>
            <w:tcW w:w="2268" w:type="dxa"/>
            <w:tcBorders>
              <w:top w:val="single" w:sz="4" w:space="0" w:color="auto"/>
              <w:left w:val="nil"/>
              <w:bottom w:val="single" w:sz="4" w:space="0" w:color="auto"/>
              <w:right w:val="single" w:sz="4" w:space="0" w:color="auto"/>
            </w:tcBorders>
            <w:noWrap/>
            <w:vAlign w:val="center"/>
          </w:tcPr>
          <w:p>
            <w:pPr>
              <w:widowControl/>
              <w:spacing w:line="576" w:lineRule="exact"/>
              <w:jc w:val="center"/>
              <w:rPr>
                <w:b/>
                <w:bCs/>
                <w:kern w:val="0"/>
                <w:sz w:val="20"/>
                <w:szCs w:val="20"/>
              </w:rPr>
            </w:pPr>
            <w:r>
              <w:rPr>
                <w:b/>
                <w:bCs/>
                <w:kern w:val="0"/>
                <w:sz w:val="20"/>
                <w:szCs w:val="20"/>
              </w:rPr>
              <w:t>二级指标</w:t>
            </w:r>
          </w:p>
        </w:tc>
        <w:tc>
          <w:tcPr>
            <w:tcW w:w="3402" w:type="dxa"/>
            <w:tcBorders>
              <w:top w:val="single" w:sz="4" w:space="0" w:color="auto"/>
              <w:left w:val="nil"/>
              <w:bottom w:val="single" w:sz="4" w:space="0" w:color="auto"/>
              <w:right w:val="single" w:sz="4" w:space="0" w:color="auto"/>
            </w:tcBorders>
            <w:noWrap/>
            <w:vAlign w:val="center"/>
          </w:tcPr>
          <w:p>
            <w:pPr>
              <w:widowControl/>
              <w:spacing w:line="576" w:lineRule="exact"/>
              <w:jc w:val="center"/>
              <w:rPr>
                <w:b/>
                <w:bCs/>
                <w:kern w:val="0"/>
                <w:sz w:val="20"/>
                <w:szCs w:val="20"/>
              </w:rPr>
            </w:pPr>
            <w:r>
              <w:rPr>
                <w:b/>
                <w:bCs/>
                <w:kern w:val="0"/>
                <w:sz w:val="20"/>
                <w:szCs w:val="20"/>
              </w:rPr>
              <w:t>三级指标</w:t>
            </w:r>
          </w:p>
        </w:tc>
        <w:tc>
          <w:tcPr>
            <w:tcW w:w="2126" w:type="dxa"/>
            <w:tcBorders>
              <w:top w:val="single" w:sz="4" w:space="0" w:color="auto"/>
              <w:left w:val="nil"/>
              <w:bottom w:val="single" w:sz="4" w:space="0" w:color="auto"/>
              <w:right w:val="single" w:sz="4" w:space="0" w:color="auto"/>
            </w:tcBorders>
            <w:noWrap/>
          </w:tcPr>
          <w:p>
            <w:pPr>
              <w:widowControl/>
              <w:spacing w:line="576" w:lineRule="exact"/>
              <w:jc w:val="center"/>
              <w:rPr>
                <w:b/>
                <w:bCs/>
                <w:kern w:val="0"/>
                <w:sz w:val="20"/>
                <w:szCs w:val="20"/>
              </w:rPr>
            </w:pPr>
            <w:r>
              <w:rPr>
                <w:b/>
                <w:bCs/>
                <w:kern w:val="0"/>
                <w:sz w:val="20"/>
                <w:szCs w:val="20"/>
              </w:rPr>
              <w:t>得分</w:t>
            </w:r>
          </w:p>
        </w:tc>
      </w:tr>
      <w:tr>
        <w:trPr>
          <w:trHeight w:val="520"/>
        </w:trPr>
        <w:tc>
          <w:tcPr>
            <w:tcW w:w="1702" w:type="dxa"/>
            <w:vMerge w:val="restart"/>
            <w:tcBorders>
              <w:top w:val="nil"/>
              <w:left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部门决策（25分）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目标任务（15分）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相关性（5分）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5</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明确性（5分）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5</w:t>
            </w:r>
          </w:p>
        </w:tc>
      </w:tr>
      <w:tr>
        <w:trPr>
          <w:trHeight w:val="4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合理性（5分）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5</w:t>
            </w:r>
          </w:p>
        </w:tc>
      </w:tr>
      <w:tr>
        <w:trPr>
          <w:trHeight w:val="269"/>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预算编制（10分）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测算依据（5分）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rFonts w:hint="eastAsia"/>
                <w:kern w:val="0"/>
                <w:sz w:val="20"/>
                <w:szCs w:val="20"/>
              </w:rPr>
              <w:t>5</w:t>
            </w:r>
          </w:p>
        </w:tc>
      </w:tr>
      <w:tr>
        <w:trPr>
          <w:trHeight w:val="23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目标管理（5分）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rFonts w:hint="eastAsia"/>
                <w:kern w:val="0"/>
                <w:sz w:val="20"/>
                <w:szCs w:val="20"/>
              </w:rPr>
              <w:t>5</w:t>
            </w:r>
          </w:p>
        </w:tc>
      </w:tr>
      <w:tr>
        <w:trPr>
          <w:trHeight w:val="477"/>
        </w:trPr>
        <w:tc>
          <w:tcPr>
            <w:tcW w:w="1702" w:type="dxa"/>
            <w:vMerge w:val="restart"/>
            <w:tcBorders>
              <w:top w:val="nil"/>
              <w:left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综合管理（30分）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专项资金分配时限（2分）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省级财力专项预算分配时限（1分）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1</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中央专款分配合规率（1分）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rFonts w:hint="eastAsia"/>
                <w:kern w:val="0"/>
                <w:sz w:val="20"/>
                <w:szCs w:val="20"/>
              </w:rPr>
              <w:t>1</w:t>
            </w:r>
          </w:p>
        </w:tc>
      </w:tr>
      <w:tr>
        <w:trPr>
          <w:trHeight w:val="277"/>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中期评估（2分）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执行中期评估（2分）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38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绩效监控（5分）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预算执行进度监控（2分）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27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绩效目标动态监控（3分）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3</w:t>
            </w:r>
          </w:p>
        </w:tc>
      </w:tr>
      <w:tr>
        <w:trPr>
          <w:trHeight w:val="23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非税收入执收情况（2分）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非税收入征收情况（1分）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不存在</w:t>
            </w:r>
          </w:p>
        </w:tc>
      </w:tr>
      <w:tr>
        <w:trPr>
          <w:trHeight w:val="32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非税收入上缴情况（1分）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不存在</w:t>
            </w:r>
          </w:p>
        </w:tc>
      </w:tr>
      <w:tr>
        <w:trPr>
          <w:trHeight w:val="28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资产管理（6分）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资产管理信息化情况（2分）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23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行政事业单位资产报告情况（2分）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35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资产管理与预算管理相结合（2分）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272"/>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内控制度管理（2分）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内部控制度健全完整（2分）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22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信息公开（6分）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预算公开（2分）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19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决算公开（2分）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28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绩效信息公开（2分）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40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绩效评价（5分）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绩效评价开展（2分）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2</w:t>
            </w:r>
          </w:p>
        </w:tc>
      </w:tr>
      <w:tr>
        <w:trPr>
          <w:trHeight w:val="127"/>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评价结果应用（3分）</w:t>
            </w:r>
          </w:p>
        </w:tc>
        <w:tc>
          <w:tcPr>
            <w:tcW w:w="2126" w:type="dxa"/>
            <w:tcBorders>
              <w:top w:val="nil"/>
              <w:left w:val="nil"/>
              <w:bottom w:val="single" w:sz="4" w:space="0" w:color="auto"/>
              <w:right w:val="single" w:sz="4" w:space="0" w:color="auto"/>
            </w:tcBorders>
            <w:noWrap/>
          </w:tcPr>
          <w:p>
            <w:pPr>
              <w:widowControl/>
              <w:spacing w:line="576" w:lineRule="exact"/>
              <w:jc w:val="left"/>
              <w:rPr>
                <w:kern w:val="0"/>
                <w:sz w:val="20"/>
                <w:szCs w:val="20"/>
              </w:rPr>
            </w:pPr>
            <w:r>
              <w:rPr>
                <w:kern w:val="0"/>
                <w:sz w:val="20"/>
                <w:szCs w:val="20"/>
              </w:rPr>
              <w:t>3</w:t>
            </w:r>
          </w:p>
        </w:tc>
      </w:tr>
      <w:tr>
        <w:trPr>
          <w:trHeight w:val="231"/>
        </w:trPr>
        <w:tc>
          <w:tcPr>
            <w:tcW w:w="1702" w:type="dxa"/>
            <w:vMerge w:val="restart"/>
            <w:tcBorders>
              <w:top w:val="nil"/>
              <w:left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部门绩效情况（45分）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履职成效（20分）</w:t>
            </w:r>
          </w:p>
        </w:tc>
        <w:tc>
          <w:tcPr>
            <w:tcW w:w="3402" w:type="dxa"/>
            <w:tcBorders>
              <w:top w:val="nil"/>
              <w:left w:val="nil"/>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部门特性指标</w:t>
            </w:r>
          </w:p>
        </w:tc>
        <w:tc>
          <w:tcPr>
            <w:tcW w:w="2126" w:type="dxa"/>
            <w:tcBorders>
              <w:top w:val="nil"/>
              <w:left w:val="nil"/>
              <w:bottom w:val="single" w:sz="4" w:space="0" w:color="auto"/>
              <w:right w:val="single" w:sz="4" w:space="0" w:color="auto"/>
            </w:tcBorders>
            <w:noWrap/>
          </w:tcPr>
          <w:p>
            <w:pPr>
              <w:widowControl/>
              <w:spacing w:line="576" w:lineRule="exact"/>
              <w:rPr>
                <w:kern w:val="0"/>
                <w:sz w:val="20"/>
                <w:szCs w:val="20"/>
              </w:rPr>
            </w:pPr>
            <w:r>
              <w:rPr>
                <w:kern w:val="0"/>
                <w:sz w:val="20"/>
                <w:szCs w:val="20"/>
              </w:rPr>
              <w:t>19</w:t>
            </w:r>
          </w:p>
        </w:tc>
      </w:tr>
      <w:tr>
        <w:trPr>
          <w:trHeight w:val="18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p>
        </w:tc>
      </w:tr>
      <w:tr>
        <w:trPr>
          <w:trHeight w:val="15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spacing w:line="576" w:lineRule="exact"/>
              <w:jc w:val="left"/>
              <w:rPr>
                <w:kern w:val="0"/>
                <w:sz w:val="20"/>
                <w:szCs w:val="20"/>
              </w:rPr>
            </w:pPr>
            <w:r>
              <w:rPr>
                <w:kern w:val="0"/>
                <w:sz w:val="20"/>
                <w:szCs w:val="20"/>
              </w:rPr>
              <w:t>可持续发展能力（15分）</w:t>
            </w: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重点改革（重点工作）完成情况（5分）</w:t>
            </w: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r>
              <w:rPr>
                <w:kern w:val="0"/>
                <w:sz w:val="20"/>
                <w:szCs w:val="20"/>
              </w:rPr>
              <w:t>5</w:t>
            </w:r>
          </w:p>
        </w:tc>
      </w:tr>
      <w:tr>
        <w:trPr>
          <w:trHeight w:val="3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科技（制度、方法、机制等）创新（5分）</w:t>
            </w: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r>
              <w:rPr>
                <w:kern w:val="0"/>
                <w:sz w:val="20"/>
                <w:szCs w:val="20"/>
              </w:rPr>
              <w:t>4</w:t>
            </w:r>
          </w:p>
        </w:tc>
      </w:tr>
      <w:tr>
        <w:trPr>
          <w:trHeight w:val="38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人才培养（5分）</w:t>
            </w: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r>
              <w:rPr>
                <w:kern w:val="0"/>
                <w:sz w:val="20"/>
                <w:szCs w:val="20"/>
              </w:rPr>
              <w:t>4</w:t>
            </w:r>
          </w:p>
        </w:tc>
      </w:tr>
      <w:tr>
        <w:trPr>
          <w:trHeight w:val="432"/>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满意度（10分）</w:t>
            </w: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协作部门满意度（3分）</w:t>
            </w: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r>
              <w:rPr>
                <w:kern w:val="0"/>
                <w:sz w:val="20"/>
                <w:szCs w:val="20"/>
              </w:rPr>
              <w:t>3</w:t>
            </w:r>
          </w:p>
        </w:tc>
      </w:tr>
      <w:tr>
        <w:trPr>
          <w:trHeight w:val="396"/>
        </w:trPr>
        <w:tc>
          <w:tcPr>
            <w:tcW w:w="1702" w:type="dxa"/>
            <w:vMerge/>
            <w:tcBorders>
              <w:left w:val="single" w:sz="4" w:space="0" w:color="auto"/>
              <w:right w:val="single" w:sz="4" w:space="0" w:color="auto"/>
            </w:tcBorders>
            <w:noWrap/>
            <w:vAlign w:val="center"/>
          </w:tcPr>
          <w:p/>
        </w:tc>
        <w:tc>
          <w:tcPr>
            <w:tcW w:w="2268" w:type="dxa"/>
            <w:vMerge/>
            <w:tcBorders>
              <w:left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管理对象满意度（3分）</w:t>
            </w: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r>
              <w:rPr>
                <w:kern w:val="0"/>
                <w:sz w:val="20"/>
                <w:szCs w:val="20"/>
              </w:rPr>
              <w:t>3</w:t>
            </w:r>
          </w:p>
        </w:tc>
      </w:tr>
      <w:tr>
        <w:trPr>
          <w:trHeight w:val="41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spacing w:line="576" w:lineRule="exact"/>
              <w:jc w:val="center"/>
              <w:rPr>
                <w:kern w:val="0"/>
                <w:sz w:val="20"/>
                <w:szCs w:val="20"/>
              </w:rPr>
            </w:pPr>
            <w:r>
              <w:rPr>
                <w:kern w:val="0"/>
                <w:sz w:val="20"/>
                <w:szCs w:val="20"/>
              </w:rPr>
              <w:t>社会公众满意度（4分）</w:t>
            </w:r>
          </w:p>
        </w:tc>
        <w:tc>
          <w:tcPr>
            <w:tcW w:w="2126" w:type="dxa"/>
            <w:tcBorders>
              <w:top w:val="nil"/>
              <w:left w:val="nil"/>
              <w:bottom w:val="single" w:sz="4" w:space="0" w:color="auto"/>
              <w:right w:val="single" w:sz="4" w:space="0" w:color="auto"/>
            </w:tcBorders>
            <w:noWrap/>
          </w:tcPr>
          <w:p>
            <w:pPr>
              <w:widowControl/>
              <w:spacing w:line="576" w:lineRule="exact"/>
              <w:jc w:val="center"/>
              <w:rPr>
                <w:kern w:val="0"/>
                <w:sz w:val="20"/>
                <w:szCs w:val="20"/>
              </w:rPr>
            </w:pPr>
            <w:r>
              <w:rPr>
                <w:kern w:val="0"/>
                <w:sz w:val="20"/>
                <w:szCs w:val="20"/>
              </w:rPr>
              <w:t>4</w:t>
            </w:r>
          </w:p>
        </w:tc>
      </w:tr>
    </w:tbl>
    <w:p>
      <w:pPr>
        <w:spacing w:line="576" w:lineRule="exact"/>
        <w:ind w:firstLineChars="200" w:firstLine="640"/>
        <w:outlineLvl w:val="1"/>
        <w:rPr>
          <w:rStyle w:val="2Char"/>
          <w:rFonts w:ascii="Times New Roman" w:eastAsia="黑体" w:hAnsi="Times New Roman"/>
        </w:rPr>
      </w:pPr>
      <w:bookmarkStart w:id="50" w:name="_Toc15396612"/>
      <w:bookmarkStart w:id="51" w:name="_Toc15377221"/>
      <w:r>
        <w:rPr>
          <w:rFonts w:eastAsia="黑体"/>
          <w:sz w:val="32"/>
          <w:szCs w:val="32"/>
        </w:rPr>
        <w:t>十</w:t>
      </w:r>
      <w:r>
        <w:rPr>
          <w:rStyle w:val="2Char"/>
          <w:rFonts w:ascii="Times New Roman" w:eastAsia="黑体" w:hAnsi="Times New Roman"/>
        </w:rPr>
        <w:t>一、</w:t>
      </w:r>
      <w:r>
        <w:rPr>
          <w:rStyle w:val="2Char"/>
          <w:rFonts w:ascii="Times New Roman" w:eastAsia="黑体" w:hAnsi="Times New Roman"/>
          <w:b w:val="0"/>
        </w:rPr>
        <w:t>其他重要事项的情况说明</w:t>
      </w:r>
      <w:bookmarkEnd w:id="50"/>
      <w:bookmarkEnd w:id="51"/>
    </w:p>
    <w:p>
      <w:pPr>
        <w:spacing w:line="576" w:lineRule="exact"/>
        <w:ind w:firstLineChars="200" w:firstLine="640"/>
        <w:outlineLvl w:val="2"/>
        <w:rPr>
          <w:rFonts w:eastAsia="仿宋"/>
          <w:sz w:val="32"/>
          <w:szCs w:val="32"/>
        </w:rPr>
      </w:pPr>
      <w:bookmarkStart w:id="52" w:name="_Toc15377222"/>
      <w:r>
        <w:rPr>
          <w:rFonts w:eastAsia="仿宋"/>
          <w:b/>
          <w:sz w:val="32"/>
          <w:szCs w:val="32"/>
        </w:rPr>
        <w:t>（一）机关运行经费支出情况</w:t>
      </w:r>
      <w:bookmarkEnd w:id="52"/>
    </w:p>
    <w:p>
      <w:pPr>
        <w:spacing w:line="576" w:lineRule="exact"/>
        <w:ind w:firstLineChars="200" w:firstLine="640"/>
        <w:rPr>
          <w:rFonts w:eastAsia="仿宋_GB2312"/>
          <w:sz w:val="32"/>
          <w:szCs w:val="32"/>
        </w:rPr>
      </w:pPr>
      <w:r>
        <w:rPr>
          <w:rFonts w:eastAsia="仿宋_GB2312"/>
          <w:sz w:val="32"/>
          <w:szCs w:val="32"/>
        </w:rPr>
        <w:t>202</w:t>
      </w:r>
      <w:r>
        <w:rPr>
          <w:rFonts w:eastAsia="仿宋_GB2312" w:hint="eastAsia"/>
          <w:sz w:val="32"/>
          <w:szCs w:val="32"/>
        </w:rPr>
        <w:t>2</w:t>
      </w:r>
      <w:r>
        <w:rPr>
          <w:rFonts w:eastAsia="仿宋_GB2312"/>
          <w:sz w:val="32"/>
          <w:szCs w:val="32"/>
        </w:rPr>
        <w:t>年，金川县委</w:t>
      </w:r>
      <w:r>
        <w:rPr>
          <w:rFonts w:eastAsia="仿宋_GB2312" w:hint="eastAsia"/>
          <w:sz w:val="32"/>
          <w:szCs w:val="32"/>
        </w:rPr>
        <w:t>组织</w:t>
      </w:r>
      <w:r>
        <w:rPr>
          <w:rFonts w:eastAsia="仿宋_GB2312"/>
          <w:sz w:val="32"/>
          <w:szCs w:val="32"/>
        </w:rPr>
        <w:t>部运行经费支出</w:t>
      </w:r>
      <w:r>
        <w:rPr>
          <w:rFonts w:eastAsia="仿宋_GB2312" w:hint="eastAsia"/>
          <w:sz w:val="32"/>
          <w:szCs w:val="32"/>
        </w:rPr>
        <w:t>42.91</w:t>
      </w:r>
      <w:r>
        <w:rPr>
          <w:rFonts w:eastAsia="仿宋_GB2312"/>
          <w:sz w:val="32"/>
          <w:szCs w:val="32"/>
        </w:rPr>
        <w:t>万元，比202</w:t>
      </w:r>
      <w:r>
        <w:rPr>
          <w:rFonts w:eastAsia="仿宋_GB2312" w:hint="eastAsia"/>
          <w:sz w:val="32"/>
          <w:szCs w:val="32"/>
        </w:rPr>
        <w:t>1</w:t>
      </w:r>
      <w:r>
        <w:rPr>
          <w:rFonts w:eastAsia="仿宋_GB2312"/>
          <w:sz w:val="32"/>
          <w:szCs w:val="32"/>
        </w:rPr>
        <w:t>年</w:t>
      </w:r>
      <w:r>
        <w:rPr>
          <w:rFonts w:eastAsia="仿宋_GB2312" w:hint="eastAsia"/>
          <w:sz w:val="32"/>
          <w:szCs w:val="32"/>
        </w:rPr>
        <w:t>减少20.81</w:t>
      </w:r>
      <w:r>
        <w:rPr>
          <w:rFonts w:eastAsia="仿宋_GB2312"/>
          <w:sz w:val="32"/>
          <w:szCs w:val="32"/>
        </w:rPr>
        <w:t>万元，</w:t>
      </w:r>
      <w:r>
        <w:rPr>
          <w:rFonts w:eastAsia="仿宋_GB2312" w:hint="eastAsia"/>
          <w:sz w:val="32"/>
          <w:szCs w:val="32"/>
        </w:rPr>
        <w:t>减少32.66</w:t>
      </w:r>
      <w:r>
        <w:rPr>
          <w:rFonts w:eastAsia="仿宋_GB2312"/>
          <w:sz w:val="32"/>
          <w:szCs w:val="32"/>
        </w:rPr>
        <w:t>%。主要原因</w:t>
      </w:r>
      <w:r>
        <w:rPr>
          <w:rFonts w:eastAsia="仿宋_GB2312" w:hint="eastAsia"/>
          <w:sz w:val="32"/>
          <w:szCs w:val="32"/>
        </w:rPr>
        <w:t>为</w:t>
      </w:r>
      <w:bookmarkStart w:id="53" w:name="_Toc15377223"/>
      <w:r>
        <w:rPr>
          <w:rFonts w:eastAsia="仿宋_GB2312" w:hint="eastAsia"/>
          <w:sz w:val="32"/>
          <w:szCs w:val="32"/>
        </w:rPr>
        <w:t>部分办公费为项目支出</w:t>
      </w:r>
      <w:r>
        <w:rPr>
          <w:rFonts w:eastAsia="仿宋_GB2312"/>
          <w:sz w:val="32"/>
          <w:szCs w:val="32"/>
        </w:rPr>
        <w:t>。</w:t>
      </w:r>
    </w:p>
    <w:p>
      <w:pPr>
        <w:spacing w:line="576" w:lineRule="exact"/>
        <w:ind w:firstLineChars="200" w:firstLine="640"/>
        <w:rPr>
          <w:rFonts w:eastAsia="仿宋"/>
          <w:b/>
          <w:sz w:val="32"/>
          <w:szCs w:val="32"/>
        </w:rPr>
      </w:pPr>
      <w:r>
        <w:rPr>
          <w:rFonts w:eastAsia="仿宋"/>
          <w:b/>
          <w:sz w:val="32"/>
          <w:szCs w:val="32"/>
        </w:rPr>
        <w:t>（二）政府采购支出情况</w:t>
      </w:r>
      <w:bookmarkEnd w:id="53"/>
    </w:p>
    <w:p>
      <w:pPr>
        <w:spacing w:line="576" w:lineRule="exact"/>
        <w:ind w:firstLineChars="200" w:firstLine="640"/>
        <w:rPr>
          <w:rFonts w:eastAsia="仿宋"/>
          <w:b/>
          <w:sz w:val="32"/>
          <w:szCs w:val="32"/>
        </w:rPr>
      </w:pPr>
      <w:r>
        <w:rPr>
          <w:rFonts w:eastAsia="仿宋_GB2312"/>
          <w:sz w:val="32"/>
          <w:szCs w:val="32"/>
        </w:rPr>
        <w:t>202</w:t>
      </w:r>
      <w:r>
        <w:rPr>
          <w:rFonts w:eastAsia="仿宋_GB2312" w:hint="eastAsia"/>
          <w:sz w:val="32"/>
          <w:szCs w:val="32"/>
        </w:rPr>
        <w:t>2</w:t>
      </w:r>
      <w:r>
        <w:rPr>
          <w:rFonts w:eastAsia="仿宋_GB2312"/>
          <w:sz w:val="32"/>
          <w:szCs w:val="32"/>
        </w:rPr>
        <w:t>年，政府采购支出总额</w:t>
      </w:r>
      <w:r>
        <w:rPr>
          <w:rFonts w:eastAsia="仿宋_GB2312" w:hint="eastAsia"/>
          <w:sz w:val="32"/>
          <w:szCs w:val="32"/>
        </w:rPr>
        <w:t>0</w:t>
      </w:r>
      <w:r>
        <w:rPr>
          <w:rFonts w:eastAsia="仿宋_GB2312"/>
          <w:sz w:val="32"/>
          <w:szCs w:val="32"/>
        </w:rPr>
        <w:t>万元。</w:t>
      </w:r>
    </w:p>
    <w:p>
      <w:pPr>
        <w:autoSpaceDE w:val="0"/>
        <w:autoSpaceDN w:val="0"/>
        <w:adjustRightInd w:val="0"/>
        <w:spacing w:line="576" w:lineRule="exact"/>
        <w:ind w:firstLineChars="200" w:firstLine="640"/>
        <w:jc w:val="left"/>
        <w:outlineLvl w:val="2"/>
        <w:rPr>
          <w:rFonts w:eastAsia="仿宋"/>
          <w:b/>
          <w:sz w:val="32"/>
          <w:szCs w:val="32"/>
        </w:rPr>
      </w:pPr>
      <w:bookmarkStart w:id="54" w:name="_Toc15377224"/>
      <w:r>
        <w:rPr>
          <w:rFonts w:eastAsia="仿宋"/>
          <w:b/>
          <w:sz w:val="32"/>
          <w:szCs w:val="32"/>
        </w:rPr>
        <w:t>（三）国有资产占有使用情况</w:t>
      </w:r>
      <w:bookmarkEnd w:id="54"/>
    </w:p>
    <w:p>
      <w:pPr>
        <w:widowControl/>
        <w:spacing w:line="576" w:lineRule="exact"/>
        <w:ind w:firstLineChars="200" w:firstLine="640"/>
        <w:jc w:val="left"/>
        <w:rPr>
          <w:rFonts w:eastAsia="仿宋_GB2312"/>
          <w:b/>
          <w:sz w:val="32"/>
          <w:szCs w:val="32"/>
        </w:rPr>
      </w:pPr>
      <w:r>
        <w:rPr>
          <w:rFonts w:eastAsia="仿宋_GB2312"/>
          <w:sz w:val="32"/>
          <w:szCs w:val="32"/>
        </w:rPr>
        <w:t>截至202</w:t>
      </w:r>
      <w:r>
        <w:rPr>
          <w:rFonts w:eastAsia="仿宋_GB2312" w:hint="eastAsia"/>
          <w:sz w:val="32"/>
          <w:szCs w:val="32"/>
        </w:rPr>
        <w:t>2</w:t>
      </w:r>
      <w:r>
        <w:rPr>
          <w:rFonts w:eastAsia="仿宋_GB2312"/>
          <w:sz w:val="32"/>
          <w:szCs w:val="32"/>
        </w:rPr>
        <w:t>年12月31日，共有车辆</w:t>
      </w:r>
      <w:r>
        <w:rPr>
          <w:rFonts w:eastAsia="仿宋_GB2312" w:hint="eastAsia"/>
          <w:sz w:val="32"/>
          <w:szCs w:val="32"/>
        </w:rPr>
        <w:t>2</w:t>
      </w:r>
      <w:r>
        <w:rPr>
          <w:rFonts w:eastAsia="仿宋_GB2312"/>
          <w:sz w:val="32"/>
          <w:szCs w:val="32"/>
        </w:rPr>
        <w:t>辆，为日常工作及应急保障用车。</w:t>
      </w:r>
      <w:r>
        <w:rPr>
          <w:rFonts w:eastAsia="仿宋_GB2312"/>
          <w:b/>
          <w:sz w:val="32"/>
          <w:szCs w:val="32"/>
        </w:rPr>
        <w:t xml:space="preserve">    </w:t>
      </w:r>
    </w:p>
    <w:p>
      <w:pPr>
        <w:widowControl/>
        <w:spacing w:line="576" w:lineRule="exact"/>
        <w:ind w:firstLineChars="200" w:firstLine="640"/>
        <w:jc w:val="left"/>
        <w:rPr>
          <w:rFonts w:eastAsia="仿宋_GB2312"/>
          <w:b/>
          <w:sz w:val="32"/>
          <w:szCs w:val="32"/>
        </w:rPr>
      </w:pPr>
      <w:r>
        <w:rPr>
          <w:rFonts w:eastAsia="仿宋_GB2312"/>
          <w:b/>
          <w:sz w:val="32"/>
          <w:szCs w:val="32"/>
        </w:rPr>
        <w:t xml:space="preserve"> </w:t>
      </w:r>
    </w:p>
    <w:p>
      <w:pPr>
        <w:pStyle w:val="15"/>
        <w:spacing w:beforeLines="0" w:before="93"/>
      </w:pPr>
    </w:p>
    <w:p>
      <w:pPr>
        <w:numPr>
          <w:ilvl w:val="0"/>
          <w:numId w:val="5"/>
        </w:numPr>
        <w:spacing w:line="576" w:lineRule="exact"/>
        <w:ind w:left="0" w:firstLineChars="150" w:firstLine="660"/>
        <w:jc w:val="center"/>
        <w:outlineLvl w:val="0"/>
        <w:rPr>
          <w:rStyle w:val="1Char"/>
          <w:rFonts w:eastAsia="黑体"/>
          <w:b w:val="0"/>
        </w:rPr>
      </w:pPr>
      <w:bookmarkStart w:id="55" w:name="_Toc15396613"/>
      <w:bookmarkStart w:id="56" w:name="_Toc15377225"/>
      <w:r>
        <w:rPr>
          <w:rFonts w:eastAsia="黑体"/>
          <w:b/>
          <w:sz w:val="44"/>
          <w:szCs w:val="44"/>
        </w:rPr>
        <w:t>名</w:t>
      </w:r>
      <w:r>
        <w:rPr>
          <w:rStyle w:val="1Char"/>
          <w:rFonts w:eastAsia="黑体"/>
          <w:b w:val="0"/>
        </w:rPr>
        <w:t>词解释</w:t>
      </w:r>
      <w:bookmarkEnd w:id="55"/>
      <w:bookmarkEnd w:id="56"/>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4.其他收入：指单位取得的除上述收入以外的各项收入。主要是银行存款利息和伙食团缴费等。 </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 年初结转和结余：指以前年度尚未完成、结转到本年按有关规定继续使用的资金。 </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6.结余分配：指事业单位按照事业单位会计制度的规定从非财政补助结余中分配的事业基金和职工福利基金等。</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7、年末结转和结余：指单位按有关规定结转到下年或以后年度继续使用的资金。</w:t>
      </w:r>
    </w:p>
    <w:p>
      <w:pPr>
        <w:spacing w:line="576" w:lineRule="exact"/>
        <w:ind w:firstLineChars="200" w:firstLine="640"/>
        <w:rPr>
          <w:rFonts w:eastAsia="仿宋_GB2312"/>
          <w:sz w:val="32"/>
          <w:szCs w:val="32"/>
        </w:rPr>
      </w:pPr>
      <w:r>
        <w:rPr>
          <w:rFonts w:eastAsia="仿宋_GB2312"/>
          <w:sz w:val="32"/>
          <w:szCs w:val="32"/>
        </w:rPr>
        <w:t>8.</w:t>
      </w:r>
      <w:r>
        <w:rPr>
          <w:rFonts w:eastAsia="仿宋_GB2312"/>
          <w:kern w:val="0"/>
          <w:sz w:val="32"/>
          <w:szCs w:val="32"/>
        </w:rPr>
        <w:t>一般公共服务（类）政府办公厅（室）及相关机构事务（款）行政运行（项）：指行政单位的基本支出</w:t>
      </w:r>
      <w:r>
        <w:rPr>
          <w:rFonts w:eastAsia="仿宋_GB2312"/>
          <w:sz w:val="32"/>
          <w:szCs w:val="32"/>
        </w:rPr>
        <w:t>。</w:t>
      </w:r>
    </w:p>
    <w:p>
      <w:pPr>
        <w:spacing w:line="576" w:lineRule="exact"/>
        <w:ind w:firstLineChars="200" w:firstLine="640"/>
        <w:rPr>
          <w:rFonts w:eastAsia="仿宋_GB2312"/>
          <w:sz w:val="32"/>
          <w:szCs w:val="32"/>
        </w:rPr>
      </w:pPr>
      <w:r>
        <w:rPr>
          <w:rFonts w:eastAsia="仿宋_GB2312"/>
          <w:sz w:val="32"/>
          <w:szCs w:val="32"/>
        </w:rPr>
        <w:t>9.</w:t>
      </w:r>
      <w:r>
        <w:rPr>
          <w:rFonts w:eastAsia="仿宋_GB2312"/>
          <w:kern w:val="0"/>
          <w:sz w:val="32"/>
          <w:szCs w:val="32"/>
        </w:rPr>
        <w:t>一般公共服务（类）政府办公厅（室）及相关机构事务（款）一般行政管理事务（项）：</w:t>
      </w:r>
      <w:r>
        <w:rPr>
          <w:rFonts w:eastAsia="仿宋_GB2312"/>
          <w:sz w:val="32"/>
          <w:szCs w:val="32"/>
        </w:rPr>
        <w:t>指反映行政单位未单独设置顶级科目的其他项目支出。</w:t>
      </w:r>
    </w:p>
    <w:p>
      <w:pPr>
        <w:spacing w:line="576" w:lineRule="exact"/>
        <w:ind w:firstLineChars="200" w:firstLine="640"/>
        <w:rPr>
          <w:rFonts w:eastAsia="仿宋_GB2312"/>
          <w:sz w:val="32"/>
          <w:szCs w:val="32"/>
        </w:rPr>
      </w:pPr>
      <w:r>
        <w:rPr>
          <w:rFonts w:eastAsia="仿宋_GB2312"/>
          <w:sz w:val="32"/>
          <w:szCs w:val="32"/>
        </w:rPr>
        <w:t>10.</w:t>
      </w:r>
      <w:r>
        <w:rPr>
          <w:rFonts w:eastAsia="仿宋_GB2312"/>
          <w:kern w:val="0"/>
          <w:sz w:val="32"/>
          <w:szCs w:val="32"/>
        </w:rPr>
        <w:t>教育（类）其他教育支出（款）其他教育支出（项）：</w:t>
      </w:r>
      <w:r>
        <w:rPr>
          <w:rFonts w:eastAsia="仿宋_GB2312"/>
          <w:sz w:val="32"/>
          <w:szCs w:val="32"/>
        </w:rPr>
        <w:t>除上诉项目以外用于教育管理事务方面的支出。</w:t>
      </w:r>
    </w:p>
    <w:p>
      <w:pPr>
        <w:spacing w:line="576" w:lineRule="exact"/>
        <w:ind w:firstLineChars="200" w:firstLine="640"/>
        <w:rPr>
          <w:rFonts w:eastAsia="仿宋_GB2312"/>
          <w:sz w:val="32"/>
          <w:szCs w:val="32"/>
        </w:rPr>
      </w:pPr>
      <w:r>
        <w:rPr>
          <w:rFonts w:eastAsia="仿宋_GB2312"/>
          <w:sz w:val="32"/>
          <w:szCs w:val="32"/>
        </w:rPr>
        <w:t>11.</w:t>
      </w:r>
      <w:r>
        <w:rPr>
          <w:rFonts w:eastAsia="仿宋_GB2312"/>
          <w:kern w:val="0"/>
          <w:sz w:val="32"/>
          <w:szCs w:val="32"/>
        </w:rPr>
        <w:t>社会保障和就业（类）行政事业单位离退休（款）机关事业单位基本养老保险缴费支出（项）：</w:t>
      </w:r>
      <w:r>
        <w:rPr>
          <w:rFonts w:eastAsia="仿宋_GB2312"/>
          <w:sz w:val="32"/>
          <w:szCs w:val="32"/>
        </w:rPr>
        <w:t>指单位为职工缴纳的基本养老保险费。</w:t>
      </w:r>
    </w:p>
    <w:p>
      <w:pPr>
        <w:spacing w:line="576" w:lineRule="exact"/>
        <w:ind w:firstLineChars="200" w:firstLine="640"/>
        <w:rPr>
          <w:rFonts w:eastAsia="仿宋_GB2312"/>
          <w:sz w:val="32"/>
          <w:szCs w:val="32"/>
        </w:rPr>
      </w:pPr>
      <w:r>
        <w:rPr>
          <w:rFonts w:eastAsia="仿宋_GB2312"/>
          <w:sz w:val="32"/>
          <w:szCs w:val="32"/>
        </w:rPr>
        <w:t>12.</w:t>
      </w:r>
      <w:r>
        <w:rPr>
          <w:rFonts w:eastAsia="仿宋_GB2312"/>
          <w:kern w:val="0"/>
          <w:sz w:val="32"/>
          <w:szCs w:val="32"/>
        </w:rPr>
        <w:t>社会保障和就业（类）行政事业单位离退休（款）机关事业单位基本职业年金缴费支出（项）：</w:t>
      </w:r>
      <w:r>
        <w:rPr>
          <w:rFonts w:eastAsia="仿宋_GB2312"/>
          <w:sz w:val="32"/>
          <w:szCs w:val="32"/>
        </w:rPr>
        <w:t>指单位为职工实际缴纳的职业年金。</w:t>
      </w:r>
    </w:p>
    <w:p>
      <w:pPr>
        <w:spacing w:line="576" w:lineRule="exact"/>
        <w:ind w:firstLineChars="200" w:firstLine="640"/>
        <w:rPr>
          <w:rFonts w:eastAsia="仿宋_GB2312"/>
          <w:sz w:val="32"/>
          <w:szCs w:val="32"/>
        </w:rPr>
      </w:pPr>
      <w:r>
        <w:rPr>
          <w:rFonts w:eastAsia="仿宋_GB2312"/>
          <w:sz w:val="32"/>
          <w:szCs w:val="32"/>
        </w:rPr>
        <w:t>13.医疗卫生与计划生育（类）行政事业单位医疗（款）行政单位医疗（项）：指反映职工缴纳的基本医疗保险费。</w:t>
      </w:r>
    </w:p>
    <w:p>
      <w:pPr>
        <w:spacing w:line="576" w:lineRule="exact"/>
        <w:ind w:firstLineChars="200" w:firstLine="640"/>
        <w:rPr>
          <w:rFonts w:eastAsia="仿宋_GB2312"/>
          <w:sz w:val="32"/>
          <w:szCs w:val="32"/>
        </w:rPr>
      </w:pPr>
      <w:r>
        <w:rPr>
          <w:rFonts w:eastAsia="仿宋_GB2312"/>
          <w:sz w:val="32"/>
          <w:szCs w:val="32"/>
        </w:rPr>
        <w:t>14.医疗卫生与计划生育（类）行政事业单位医疗（款）公务员医疗补助（项）：指按规定可享受公务员医疗补助单位为职工缴纳的公务员医疗补助费。</w:t>
      </w:r>
    </w:p>
    <w:p>
      <w:pPr>
        <w:spacing w:line="576" w:lineRule="exact"/>
        <w:ind w:firstLineChars="200" w:firstLine="640"/>
        <w:rPr>
          <w:rFonts w:eastAsia="仿宋_GB2312"/>
          <w:sz w:val="32"/>
          <w:szCs w:val="32"/>
        </w:rPr>
      </w:pPr>
      <w:r>
        <w:rPr>
          <w:rFonts w:eastAsia="仿宋_GB2312"/>
          <w:sz w:val="32"/>
          <w:szCs w:val="32"/>
        </w:rPr>
        <w:t>15.住房保障（类）住房改革支出（款）住房公积金（项）：指单位按规定为职工缴纳的住房公积金。</w:t>
      </w:r>
    </w:p>
    <w:p>
      <w:pPr>
        <w:spacing w:line="576" w:lineRule="exact"/>
        <w:ind w:firstLineChars="200" w:firstLine="640"/>
        <w:rPr>
          <w:rFonts w:eastAsia="仿宋_GB2312"/>
          <w:sz w:val="32"/>
          <w:szCs w:val="32"/>
        </w:rPr>
      </w:pPr>
      <w:r>
        <w:rPr>
          <w:rFonts w:eastAsia="仿宋_GB2312"/>
          <w:sz w:val="32"/>
          <w:szCs w:val="32"/>
        </w:rPr>
        <w:t>16.基本支出：指为保障机构正常运转、完成日常工作任务而发生的人员支出和公用支出。</w:t>
      </w:r>
    </w:p>
    <w:p>
      <w:pPr>
        <w:spacing w:line="576" w:lineRule="exact"/>
        <w:ind w:firstLineChars="200" w:firstLine="640"/>
        <w:rPr>
          <w:rFonts w:eastAsia="仿宋_GB2312"/>
          <w:sz w:val="32"/>
          <w:szCs w:val="32"/>
        </w:rPr>
      </w:pPr>
      <w:r>
        <w:rPr>
          <w:rFonts w:eastAsia="仿宋_GB2312"/>
          <w:sz w:val="32"/>
          <w:szCs w:val="32"/>
        </w:rPr>
        <w:t xml:space="preserve">17.项目支出：指在基本支出之外为完成特定行政任务和事业发展目标所发生的支出。 </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adjustRightInd w:val="0"/>
        <w:snapToGrid w:val="0"/>
        <w:spacing w:line="576" w:lineRule="exact"/>
        <w:ind w:firstLineChars="1350" w:firstLine="4320"/>
        <w:jc w:val="left"/>
        <w:rPr>
          <w:rFonts w:eastAsia="仿宋_GB2312"/>
          <w:kern w:val="0"/>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pStyle w:val="15"/>
        <w:spacing w:beforeLines="0" w:before="93"/>
        <w:rPr>
          <w:sz w:val="32"/>
          <w:szCs w:val="32"/>
        </w:rPr>
      </w:pPr>
    </w:p>
    <w:p>
      <w:pPr>
        <w:numPr>
          <w:ilvl w:val="0"/>
          <w:numId w:val="5"/>
        </w:numPr>
        <w:spacing w:line="576" w:lineRule="exact"/>
        <w:ind w:left="0" w:firstLineChars="150" w:firstLine="660"/>
        <w:jc w:val="center"/>
        <w:outlineLvl w:val="0"/>
        <w:rPr>
          <w:rFonts w:eastAsia="黑体"/>
          <w:b/>
          <w:sz w:val="44"/>
          <w:szCs w:val="44"/>
        </w:rPr>
      </w:pPr>
      <w:bookmarkStart w:id="57" w:name="_Toc26843623"/>
      <w:bookmarkStart w:id="58" w:name="_Toc15396614"/>
      <w:r>
        <w:rPr>
          <w:rFonts w:eastAsia="黑体"/>
          <w:b/>
          <w:sz w:val="44"/>
          <w:szCs w:val="44"/>
        </w:rPr>
        <w:t>附件</w:t>
      </w:r>
      <w:bookmarkEnd w:id="57"/>
      <w:bookmarkEnd w:id="58"/>
    </w:p>
    <w:p>
      <w:pPr>
        <w:pStyle w:val="15"/>
        <w:spacing w:beforeLines="0" w:before="93"/>
      </w:pPr>
    </w:p>
    <w:p>
      <w:pPr>
        <w:widowControl/>
        <w:spacing w:line="480" w:lineRule="exact"/>
        <w:jc w:val="center"/>
        <w:rPr>
          <w:rFonts w:ascii="方正小标宋简体" w:eastAsia="方正小标宋简体"/>
          <w:sz w:val="44"/>
          <w:szCs w:val="44"/>
        </w:rPr>
      </w:pPr>
      <w:r>
        <w:rPr>
          <w:rFonts w:ascii="方正小标宋简体" w:eastAsia="方正小标宋简体" w:hint="eastAsia"/>
          <w:sz w:val="44"/>
          <w:szCs w:val="44"/>
        </w:rPr>
        <w:t>中共金川县委组织部</w:t>
      </w:r>
    </w:p>
    <w:p>
      <w:pPr>
        <w:pStyle w:val="15"/>
        <w:tabs>
          <w:tab w:val="left" w:pos="0"/>
        </w:tabs>
        <w:spacing w:beforeLines="0" w:before="93"/>
        <w:ind w:leftChars="150" w:left="315"/>
        <w:jc w:val="center"/>
      </w:pPr>
      <w:r>
        <w:rPr>
          <w:rFonts w:ascii="方正小标宋简体" w:eastAsia="方正小标宋简体"/>
          <w:sz w:val="44"/>
          <w:szCs w:val="44"/>
        </w:rPr>
        <w:t>20</w:t>
      </w:r>
      <w:r>
        <w:rPr>
          <w:rFonts w:ascii="方正小标宋简体" w:eastAsia="方正小标宋简体" w:hint="eastAsia"/>
          <w:sz w:val="44"/>
          <w:szCs w:val="44"/>
        </w:rPr>
        <w:t>22年部门整体支出绩效报告</w:t>
      </w:r>
    </w:p>
    <w:p>
      <w:pPr>
        <w:widowControl/>
        <w:adjustRightInd w:val="0"/>
        <w:snapToGrid w:val="0"/>
        <w:spacing w:line="576" w:lineRule="exact"/>
        <w:ind w:firstLine="720"/>
        <w:jc w:val="left"/>
        <w:rPr>
          <w:rFonts w:ascii="仿宋_GB2312" w:eastAsia="仿宋_GB2312" w:cs="宋体"/>
          <w:b/>
          <w:kern w:val="0"/>
          <w:sz w:val="32"/>
          <w:szCs w:val="32"/>
        </w:rPr>
      </w:pPr>
      <w:r>
        <w:rPr>
          <w:rFonts w:ascii="仿宋_GB2312" w:eastAsia="仿宋_GB2312" w:cs="宋体" w:hint="eastAsia"/>
          <w:b/>
          <w:kern w:val="0"/>
          <w:sz w:val="32"/>
          <w:szCs w:val="32"/>
        </w:rPr>
        <w:t>一、部门概况</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sz w:val="32"/>
          <w:szCs w:val="32"/>
        </w:rPr>
        <w:t>（一）机构组成</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sz w:val="32"/>
          <w:szCs w:val="32"/>
        </w:rPr>
        <w:t>2022年末共有机构数3个，其中全额预算单位3个，</w:t>
      </w:r>
      <w:r>
        <w:rPr>
          <w:rFonts w:ascii="仿宋_GB2312" w:eastAsia="仿宋_GB2312" w:hint="eastAsia"/>
          <w:color w:val="000000"/>
          <w:sz w:val="32"/>
          <w:szCs w:val="32"/>
        </w:rPr>
        <w:t>中共金川县委组织部由中共金川县委组织部、中共金川县委党员教育工作中心、中共金川县委组织部信息中心组成；</w:t>
      </w:r>
      <w:r>
        <w:rPr>
          <w:rFonts w:ascii="仿宋_GB2312" w:eastAsia="仿宋_GB2312" w:cs="仿宋_GB2312" w:hint="eastAsia"/>
          <w:sz w:val="32"/>
          <w:szCs w:val="32"/>
        </w:rPr>
        <w:t xml:space="preserve">单位内设机构6个，分别为办公室、组织一股、组织二股、干部股、人才工作股、公务员股。 </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sz w:val="32"/>
          <w:szCs w:val="32"/>
        </w:rPr>
        <w:t>（二）机构职能</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sz w:val="32"/>
          <w:szCs w:val="32"/>
        </w:rPr>
        <w:t>根据2019年中共金川县委办公室《关于印发&lt;中共金川县委组织部职能配置、内设机构和人员编制规定&gt;的通知》（金委办发[2019]58）文件规定，我部主要职责是：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协调、督促、检查全县老干部工作，提出老干部工作的有关政策性及贯彻实施意见；统一管理县委机构编制委员会办公室；承担县委党建领导小组、县人才工作领导小组日常工作；承办县委、州委组织部交办的其他事项。</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sz w:val="32"/>
          <w:szCs w:val="32"/>
        </w:rPr>
        <w:t>2022年末共有机构数3个，其中全额预算单位3个，</w:t>
      </w:r>
      <w:r>
        <w:rPr>
          <w:rFonts w:ascii="仿宋_GB2312" w:eastAsia="仿宋_GB2312" w:hint="eastAsia"/>
          <w:color w:val="000000"/>
          <w:sz w:val="32"/>
          <w:szCs w:val="32"/>
        </w:rPr>
        <w:t>中共金川县委组织部由中共金川县委组织部、中共金川县委党员教育工作中心、中共金川县委组织部信息中心组成；</w:t>
      </w:r>
      <w:r>
        <w:rPr>
          <w:rFonts w:ascii="仿宋_GB2312" w:eastAsia="仿宋_GB2312" w:cs="仿宋_GB2312" w:hint="eastAsia"/>
          <w:sz w:val="32"/>
          <w:szCs w:val="32"/>
        </w:rPr>
        <w:t>单位内设机构6个，分别为办公室、组织一股、组织二股、干部股、人才工作股、公务员股。</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sz w:val="32"/>
          <w:szCs w:val="32"/>
        </w:rPr>
        <w:t>（三）人员概况</w:t>
      </w:r>
    </w:p>
    <w:p>
      <w:pPr>
        <w:spacing w:line="576" w:lineRule="exact"/>
        <w:ind w:firstLineChars="200" w:firstLine="640"/>
        <w:rPr>
          <w:rFonts w:eastAsia="仿宋_GB2312"/>
          <w:sz w:val="32"/>
          <w:szCs w:val="32"/>
        </w:rPr>
      </w:pPr>
      <w:r>
        <w:rPr>
          <w:rFonts w:ascii="仿宋_GB2312" w:eastAsia="仿宋_GB2312" w:cs="仿宋_GB2312" w:hint="eastAsia"/>
          <w:sz w:val="32"/>
          <w:szCs w:val="32"/>
        </w:rPr>
        <w:t>总编制29名,其中：行政编制17名（包括行政工勤2名）、参照公务员法管理的事业编制6名、财政补助事业编制6名。总编制数与去年一致。年末实有在职人数24名，行政人员14名（包括行政工勤2名）、参照公务员法管理的事业人员4名，事业管理人员6人。年末实有在职人数</w:t>
      </w:r>
      <w:r>
        <w:rPr>
          <w:rFonts w:eastAsia="仿宋_GB2312" w:hint="eastAsia"/>
          <w:sz w:val="32"/>
          <w:szCs w:val="32"/>
        </w:rPr>
        <w:t>比上年增加2名。</w:t>
      </w:r>
    </w:p>
    <w:p>
      <w:pPr>
        <w:widowControl/>
        <w:adjustRightInd w:val="0"/>
        <w:snapToGrid w:val="0"/>
        <w:spacing w:line="576" w:lineRule="exact"/>
        <w:ind w:firstLine="720"/>
        <w:jc w:val="left"/>
        <w:rPr>
          <w:rFonts w:ascii="仿宋_GB2312" w:eastAsia="仿宋_GB2312" w:cs="宋体"/>
          <w:b/>
          <w:kern w:val="0"/>
          <w:sz w:val="32"/>
          <w:szCs w:val="32"/>
        </w:rPr>
      </w:pPr>
      <w:r>
        <w:rPr>
          <w:rFonts w:ascii="仿宋_GB2312" w:eastAsia="仿宋_GB2312" w:cs="宋体" w:hint="eastAsia"/>
          <w:b/>
          <w:kern w:val="0"/>
          <w:sz w:val="32"/>
          <w:szCs w:val="32"/>
        </w:rPr>
        <w:t>二、部门财政资金收支情况</w:t>
      </w:r>
    </w:p>
    <w:p>
      <w:pPr>
        <w:widowControl/>
        <w:adjustRightInd w:val="0"/>
        <w:snapToGrid w:val="0"/>
        <w:spacing w:line="576" w:lineRule="exact"/>
        <w:ind w:firstLineChars="150" w:firstLine="480"/>
        <w:jc w:val="left"/>
        <w:rPr>
          <w:rFonts w:ascii="仿宋_GB2312" w:eastAsia="仿宋_GB2312" w:cs="仿宋_GB2312"/>
          <w:kern w:val="0"/>
          <w:sz w:val="32"/>
          <w:szCs w:val="32"/>
          <w:lang w:val="zh-CN"/>
        </w:rPr>
      </w:pPr>
      <w:r>
        <w:rPr>
          <w:rFonts w:ascii="仿宋_GB2312" w:eastAsia="仿宋_GB2312" w:cs="仿宋_GB2312" w:hint="eastAsia"/>
          <w:bCs/>
          <w:kern w:val="0"/>
          <w:sz w:val="32"/>
          <w:szCs w:val="32"/>
          <w:lang w:val="zh-CN"/>
        </w:rPr>
        <w:t>（一）部门财政资金收入情况。</w:t>
      </w:r>
    </w:p>
    <w:p>
      <w:pPr>
        <w:snapToGrid w:val="0"/>
        <w:spacing w:line="576" w:lineRule="exact"/>
        <w:ind w:firstLineChars="200" w:firstLine="640"/>
        <w:rPr>
          <w:rFonts w:ascii="仿宋_GB2312" w:eastAsia="仿宋_GB2312" w:cs="仿宋_GB2312"/>
          <w:bCs/>
          <w:sz w:val="32"/>
          <w:szCs w:val="32"/>
        </w:rPr>
      </w:pPr>
      <w:r>
        <w:rPr>
          <w:rFonts w:ascii="仿宋_GB2312" w:eastAsia="仿宋_GB2312" w:cs="仿宋_GB2312" w:hint="eastAsia"/>
          <w:sz w:val="32"/>
          <w:szCs w:val="32"/>
        </w:rPr>
        <w:t>我部2022年收入合计</w:t>
      </w:r>
      <w:r>
        <w:rPr>
          <w:rFonts w:eastAsia="仿宋_GB2312" w:hint="eastAsia"/>
          <w:sz w:val="32"/>
          <w:szCs w:val="32"/>
        </w:rPr>
        <w:t>1067.78</w:t>
      </w:r>
      <w:r>
        <w:rPr>
          <w:rFonts w:ascii="仿宋_GB2312" w:eastAsia="仿宋_GB2312" w:cs="仿宋_GB2312" w:hint="eastAsia"/>
          <w:sz w:val="32"/>
          <w:szCs w:val="32"/>
        </w:rPr>
        <w:t>万元，</w:t>
      </w:r>
      <w:r>
        <w:rPr>
          <w:rFonts w:ascii="仿宋_GB2312" w:eastAsia="仿宋_GB2312" w:cs="仿宋_GB2312" w:hint="eastAsia"/>
          <w:bCs/>
          <w:sz w:val="32"/>
          <w:szCs w:val="32"/>
        </w:rPr>
        <w:t>其中：一般公共预算财政拨款收入</w:t>
      </w:r>
      <w:r>
        <w:rPr>
          <w:rFonts w:eastAsia="仿宋_GB2312" w:hint="eastAsia"/>
          <w:sz w:val="32"/>
          <w:szCs w:val="32"/>
        </w:rPr>
        <w:t>1067.78</w:t>
      </w:r>
      <w:r>
        <w:rPr>
          <w:rFonts w:ascii="仿宋_GB2312" w:eastAsia="仿宋_GB2312" w:cs="仿宋_GB2312" w:hint="eastAsia"/>
          <w:bCs/>
          <w:sz w:val="32"/>
          <w:szCs w:val="32"/>
        </w:rPr>
        <w:t>万元，占100%；政府性基金预算财政拨款收入0元，占0%；国有资本经营预算财政拨款收入0万元，占0%；事业收入0万元，占0%；经营收入0万元，占0%；附属单位上缴收入0万元，占0%；其他收入0万元，占0%。</w:t>
      </w:r>
    </w:p>
    <w:p>
      <w:pPr>
        <w:widowControl/>
        <w:adjustRightInd w:val="0"/>
        <w:snapToGrid w:val="0"/>
        <w:spacing w:line="576" w:lineRule="exact"/>
        <w:ind w:firstLineChars="150" w:firstLine="480"/>
        <w:jc w:val="left"/>
        <w:rPr>
          <w:rFonts w:ascii="仿宋_GB2312" w:eastAsia="仿宋_GB2312" w:cs="仿宋_GB2312"/>
          <w:bCs/>
          <w:kern w:val="0"/>
          <w:sz w:val="32"/>
          <w:szCs w:val="32"/>
          <w:lang w:val="zh-CN"/>
        </w:rPr>
      </w:pPr>
      <w:r>
        <w:rPr>
          <w:rFonts w:ascii="仿宋_GB2312" w:eastAsia="仿宋_GB2312" w:cs="仿宋_GB2312" w:hint="eastAsia"/>
          <w:bCs/>
          <w:kern w:val="0"/>
          <w:sz w:val="32"/>
          <w:szCs w:val="32"/>
          <w:lang w:val="zh-CN"/>
        </w:rPr>
        <w:t>（二）部门财政资金支出情况。</w:t>
      </w:r>
    </w:p>
    <w:p>
      <w:pPr>
        <w:widowControl/>
        <w:adjustRightInd w:val="0"/>
        <w:snapToGrid w:val="0"/>
        <w:spacing w:line="576" w:lineRule="exact"/>
        <w:ind w:firstLine="720"/>
        <w:jc w:val="left"/>
        <w:rPr>
          <w:rFonts w:ascii="仿宋_GB2312" w:eastAsia="仿宋_GB2312"/>
          <w:sz w:val="32"/>
          <w:szCs w:val="32"/>
        </w:rPr>
      </w:pPr>
      <w:r>
        <w:rPr>
          <w:rFonts w:ascii="仿宋_GB2312" w:eastAsia="仿宋_GB2312" w:hint="eastAsia"/>
          <w:sz w:val="32"/>
          <w:szCs w:val="32"/>
        </w:rPr>
        <w:t>我部2022年支出合计</w:t>
      </w:r>
      <w:r>
        <w:rPr>
          <w:rFonts w:eastAsia="仿宋_GB2312" w:hint="eastAsia"/>
          <w:sz w:val="32"/>
          <w:szCs w:val="32"/>
        </w:rPr>
        <w:t>1067.78</w:t>
      </w:r>
      <w:r>
        <w:rPr>
          <w:rFonts w:ascii="仿宋_GB2312" w:eastAsia="仿宋_GB2312" w:hint="eastAsia"/>
          <w:sz w:val="32"/>
          <w:szCs w:val="32"/>
        </w:rPr>
        <w:t>万元，一般公共预算财政拨款基本支出</w:t>
      </w:r>
      <w:r>
        <w:rPr>
          <w:rFonts w:eastAsia="仿宋" w:hint="eastAsia"/>
          <w:sz w:val="32"/>
          <w:szCs w:val="32"/>
        </w:rPr>
        <w:t>514.28</w:t>
      </w:r>
      <w:r>
        <w:rPr>
          <w:rFonts w:ascii="仿宋_GB2312" w:eastAsia="仿宋_GB2312" w:hint="eastAsia"/>
          <w:sz w:val="32"/>
          <w:szCs w:val="32"/>
        </w:rPr>
        <w:t>万元、项目支出</w:t>
      </w:r>
      <w:r>
        <w:rPr>
          <w:rFonts w:eastAsia="仿宋" w:hint="eastAsia"/>
          <w:sz w:val="32"/>
          <w:szCs w:val="32"/>
        </w:rPr>
        <w:t>553.5</w:t>
      </w:r>
      <w:r>
        <w:rPr>
          <w:rFonts w:eastAsia="仿宋"/>
          <w:sz w:val="32"/>
          <w:szCs w:val="32"/>
        </w:rPr>
        <w:t>万</w:t>
      </w:r>
      <w:r>
        <w:rPr>
          <w:rFonts w:ascii="仿宋_GB2312" w:eastAsia="仿宋_GB2312" w:hint="eastAsia"/>
          <w:sz w:val="32"/>
          <w:szCs w:val="32"/>
        </w:rPr>
        <w:t>元。其中：</w:t>
      </w:r>
    </w:p>
    <w:p>
      <w:pPr>
        <w:widowControl/>
        <w:adjustRightInd w:val="0"/>
        <w:snapToGrid w:val="0"/>
        <w:spacing w:line="576" w:lineRule="exact"/>
        <w:ind w:firstLine="720"/>
        <w:jc w:val="left"/>
        <w:rPr>
          <w:rFonts w:ascii="仿宋_GB2312" w:eastAsia="仿宋_GB2312"/>
          <w:color w:val="0000FF"/>
          <w:sz w:val="32"/>
          <w:szCs w:val="32"/>
        </w:rPr>
      </w:pPr>
      <w:r>
        <w:rPr>
          <w:rFonts w:eastAsia="仿宋"/>
          <w:sz w:val="32"/>
          <w:szCs w:val="32"/>
        </w:rPr>
        <w:t>人员经费</w:t>
      </w:r>
      <w:r>
        <w:rPr>
          <w:rFonts w:eastAsia="仿宋" w:hint="eastAsia"/>
          <w:sz w:val="32"/>
          <w:szCs w:val="32"/>
        </w:rPr>
        <w:t>466.08</w:t>
      </w:r>
      <w:r>
        <w:rPr>
          <w:rFonts w:eastAsia="仿宋"/>
          <w:sz w:val="32"/>
          <w:szCs w:val="32"/>
        </w:rPr>
        <w:t>万元，主要包括：基本工资</w:t>
      </w:r>
      <w:r>
        <w:rPr>
          <w:rFonts w:eastAsia="仿宋" w:hint="eastAsia"/>
          <w:sz w:val="32"/>
          <w:szCs w:val="32"/>
        </w:rPr>
        <w:t>92.87</w:t>
      </w:r>
      <w:r>
        <w:rPr>
          <w:rFonts w:eastAsia="仿宋"/>
          <w:sz w:val="32"/>
          <w:szCs w:val="32"/>
        </w:rPr>
        <w:t>万元、津贴补贴</w:t>
      </w:r>
      <w:r>
        <w:rPr>
          <w:rFonts w:eastAsia="仿宋" w:hint="eastAsia"/>
          <w:sz w:val="32"/>
          <w:szCs w:val="32"/>
        </w:rPr>
        <w:t>98.25</w:t>
      </w:r>
      <w:r>
        <w:rPr>
          <w:rFonts w:eastAsia="仿宋"/>
          <w:sz w:val="32"/>
          <w:szCs w:val="32"/>
        </w:rPr>
        <w:t>万元、奖金</w:t>
      </w:r>
      <w:r>
        <w:rPr>
          <w:rFonts w:eastAsia="仿宋" w:hint="eastAsia"/>
          <w:sz w:val="32"/>
          <w:szCs w:val="32"/>
        </w:rPr>
        <w:t>82.73</w:t>
      </w:r>
      <w:r>
        <w:rPr>
          <w:rFonts w:eastAsia="仿宋"/>
          <w:sz w:val="32"/>
          <w:szCs w:val="32"/>
        </w:rPr>
        <w:t>万元、</w:t>
      </w:r>
      <w:r>
        <w:rPr>
          <w:rFonts w:eastAsia="仿宋" w:hint="eastAsia"/>
          <w:sz w:val="32"/>
          <w:szCs w:val="32"/>
        </w:rPr>
        <w:t>绩效工资13.1万元、</w:t>
      </w:r>
      <w:r>
        <w:rPr>
          <w:rFonts w:eastAsia="仿宋"/>
          <w:sz w:val="32"/>
          <w:szCs w:val="32"/>
        </w:rPr>
        <w:t>机关事业单位基本养老保险缴费</w:t>
      </w:r>
      <w:r>
        <w:rPr>
          <w:rFonts w:eastAsia="仿宋" w:hint="eastAsia"/>
          <w:sz w:val="32"/>
          <w:szCs w:val="32"/>
        </w:rPr>
        <w:t>37.69</w:t>
      </w:r>
      <w:r>
        <w:rPr>
          <w:rFonts w:eastAsia="仿宋"/>
          <w:sz w:val="32"/>
          <w:szCs w:val="32"/>
        </w:rPr>
        <w:t>万元、职业年金缴费</w:t>
      </w:r>
      <w:r>
        <w:rPr>
          <w:rFonts w:eastAsia="仿宋" w:hint="eastAsia"/>
          <w:sz w:val="32"/>
          <w:szCs w:val="32"/>
        </w:rPr>
        <w:t>18.85</w:t>
      </w:r>
      <w:r>
        <w:rPr>
          <w:rFonts w:eastAsia="仿宋"/>
          <w:sz w:val="32"/>
          <w:szCs w:val="32"/>
        </w:rPr>
        <w:t>万元、职工基本医疗保险缴费</w:t>
      </w:r>
      <w:r>
        <w:rPr>
          <w:rFonts w:eastAsia="仿宋" w:hint="eastAsia"/>
          <w:sz w:val="32"/>
          <w:szCs w:val="32"/>
        </w:rPr>
        <w:t>17.45</w:t>
      </w:r>
      <w:r>
        <w:rPr>
          <w:rFonts w:eastAsia="仿宋"/>
          <w:sz w:val="32"/>
          <w:szCs w:val="32"/>
        </w:rPr>
        <w:t>万元、公务员医疗补助缴费</w:t>
      </w:r>
      <w:r>
        <w:rPr>
          <w:rFonts w:eastAsia="仿宋" w:hint="eastAsia"/>
          <w:sz w:val="32"/>
          <w:szCs w:val="32"/>
        </w:rPr>
        <w:t>4.73</w:t>
      </w:r>
      <w:r>
        <w:rPr>
          <w:rFonts w:eastAsia="仿宋"/>
          <w:sz w:val="32"/>
          <w:szCs w:val="32"/>
        </w:rPr>
        <w:t>万元、其他社会保障缴费</w:t>
      </w:r>
      <w:r>
        <w:rPr>
          <w:rFonts w:eastAsia="仿宋" w:hint="eastAsia"/>
          <w:sz w:val="32"/>
          <w:szCs w:val="32"/>
        </w:rPr>
        <w:t>1.59</w:t>
      </w:r>
      <w:r>
        <w:rPr>
          <w:rFonts w:eastAsia="仿宋"/>
          <w:sz w:val="32"/>
          <w:szCs w:val="32"/>
        </w:rPr>
        <w:t>万元、住房公积金</w:t>
      </w:r>
      <w:r>
        <w:rPr>
          <w:rFonts w:eastAsia="仿宋" w:hint="eastAsia"/>
          <w:sz w:val="32"/>
          <w:szCs w:val="32"/>
        </w:rPr>
        <w:t>33.49</w:t>
      </w:r>
      <w:r>
        <w:rPr>
          <w:rFonts w:eastAsia="仿宋"/>
          <w:sz w:val="32"/>
          <w:szCs w:val="32"/>
        </w:rPr>
        <w:t>万元、奖励金</w:t>
      </w:r>
      <w:r>
        <w:rPr>
          <w:rFonts w:eastAsia="仿宋" w:hint="eastAsia"/>
          <w:sz w:val="32"/>
          <w:szCs w:val="32"/>
        </w:rPr>
        <w:t>56.66</w:t>
      </w:r>
      <w:r>
        <w:rPr>
          <w:rFonts w:eastAsia="仿宋"/>
          <w:sz w:val="32"/>
          <w:szCs w:val="32"/>
        </w:rPr>
        <w:t>万元、生活补助</w:t>
      </w:r>
      <w:r>
        <w:rPr>
          <w:rFonts w:eastAsia="仿宋" w:hint="eastAsia"/>
          <w:sz w:val="32"/>
          <w:szCs w:val="32"/>
        </w:rPr>
        <w:t>8.67</w:t>
      </w:r>
      <w:r>
        <w:rPr>
          <w:rFonts w:eastAsia="仿宋"/>
          <w:sz w:val="32"/>
          <w:szCs w:val="32"/>
        </w:rPr>
        <w:t>万元。</w:t>
      </w:r>
    </w:p>
    <w:p>
      <w:pPr>
        <w:widowControl/>
        <w:adjustRightInd w:val="0"/>
        <w:snapToGrid w:val="0"/>
        <w:spacing w:line="576" w:lineRule="exact"/>
        <w:ind w:firstLine="720"/>
        <w:jc w:val="left"/>
        <w:rPr>
          <w:rFonts w:eastAsia="仿宋"/>
          <w:sz w:val="32"/>
          <w:szCs w:val="32"/>
        </w:rPr>
      </w:pPr>
      <w:r>
        <w:rPr>
          <w:rFonts w:eastAsia="仿宋"/>
          <w:sz w:val="32"/>
          <w:szCs w:val="32"/>
        </w:rPr>
        <w:t>公用经费</w:t>
      </w:r>
      <w:r>
        <w:rPr>
          <w:rFonts w:eastAsia="仿宋" w:hint="eastAsia"/>
          <w:sz w:val="32"/>
          <w:szCs w:val="32"/>
        </w:rPr>
        <w:t>48.2</w:t>
      </w:r>
      <w:r>
        <w:rPr>
          <w:rFonts w:eastAsia="仿宋"/>
          <w:sz w:val="32"/>
          <w:szCs w:val="32"/>
        </w:rPr>
        <w:t>万元，主要包括：办公费</w:t>
      </w:r>
      <w:r>
        <w:rPr>
          <w:rFonts w:eastAsia="仿宋" w:hint="eastAsia"/>
          <w:sz w:val="32"/>
          <w:szCs w:val="32"/>
        </w:rPr>
        <w:t>7.66</w:t>
      </w:r>
      <w:r>
        <w:rPr>
          <w:rFonts w:eastAsia="仿宋"/>
          <w:sz w:val="32"/>
          <w:szCs w:val="32"/>
        </w:rPr>
        <w:t>万元、水费</w:t>
      </w:r>
      <w:r>
        <w:rPr>
          <w:rFonts w:eastAsia="仿宋" w:hint="eastAsia"/>
          <w:sz w:val="32"/>
          <w:szCs w:val="32"/>
        </w:rPr>
        <w:t>0.4</w:t>
      </w:r>
      <w:r>
        <w:rPr>
          <w:rFonts w:eastAsia="仿宋"/>
          <w:sz w:val="32"/>
          <w:szCs w:val="32"/>
        </w:rPr>
        <w:t>万元、电费</w:t>
      </w:r>
      <w:r>
        <w:rPr>
          <w:rFonts w:eastAsia="仿宋" w:hint="eastAsia"/>
          <w:sz w:val="32"/>
          <w:szCs w:val="32"/>
        </w:rPr>
        <w:t>1.5</w:t>
      </w:r>
      <w:r>
        <w:rPr>
          <w:rFonts w:eastAsia="仿宋"/>
          <w:sz w:val="32"/>
          <w:szCs w:val="32"/>
        </w:rPr>
        <w:t>万元、邮电费</w:t>
      </w:r>
      <w:r>
        <w:rPr>
          <w:rFonts w:eastAsia="仿宋" w:hint="eastAsia"/>
          <w:sz w:val="32"/>
          <w:szCs w:val="32"/>
        </w:rPr>
        <w:t>2</w:t>
      </w:r>
      <w:r>
        <w:rPr>
          <w:rFonts w:eastAsia="仿宋"/>
          <w:sz w:val="32"/>
          <w:szCs w:val="32"/>
        </w:rPr>
        <w:t>万元、差旅费</w:t>
      </w:r>
      <w:r>
        <w:rPr>
          <w:rFonts w:eastAsia="仿宋" w:hint="eastAsia"/>
          <w:sz w:val="32"/>
          <w:szCs w:val="32"/>
        </w:rPr>
        <w:t>11.64</w:t>
      </w:r>
      <w:r>
        <w:rPr>
          <w:rFonts w:eastAsia="仿宋"/>
          <w:sz w:val="32"/>
          <w:szCs w:val="32"/>
        </w:rPr>
        <w:t>万元、</w:t>
      </w:r>
      <w:r>
        <w:rPr>
          <w:rFonts w:eastAsia="仿宋" w:hint="eastAsia"/>
          <w:sz w:val="32"/>
          <w:szCs w:val="32"/>
        </w:rPr>
        <w:t>维修（护）费16</w:t>
      </w:r>
      <w:r>
        <w:rPr>
          <w:rFonts w:eastAsia="仿宋"/>
          <w:sz w:val="32"/>
          <w:szCs w:val="32"/>
        </w:rPr>
        <w:t>万元、公务用车运行维护费</w:t>
      </w:r>
      <w:r>
        <w:rPr>
          <w:rFonts w:eastAsia="仿宋" w:hint="eastAsia"/>
          <w:sz w:val="32"/>
          <w:szCs w:val="32"/>
        </w:rPr>
        <w:t>9</w:t>
      </w:r>
      <w:r>
        <w:rPr>
          <w:rFonts w:eastAsia="仿宋"/>
          <w:sz w:val="32"/>
          <w:szCs w:val="32"/>
        </w:rPr>
        <w:t>万元。</w:t>
      </w:r>
      <w:r>
        <w:rPr>
          <w:rFonts w:eastAsia="仿宋" w:hint="eastAsia"/>
          <w:sz w:val="32"/>
          <w:szCs w:val="32"/>
        </w:rPr>
        <w:t xml:space="preserve">  </w:t>
      </w:r>
    </w:p>
    <w:p>
      <w:pPr>
        <w:widowControl/>
        <w:adjustRightInd w:val="0"/>
        <w:snapToGrid w:val="0"/>
        <w:spacing w:line="576" w:lineRule="exact"/>
        <w:ind w:firstLine="720"/>
        <w:jc w:val="left"/>
        <w:rPr>
          <w:rFonts w:ascii="仿宋_GB2312" w:eastAsia="仿宋_GB2312"/>
          <w:sz w:val="32"/>
          <w:szCs w:val="32"/>
        </w:rPr>
      </w:pPr>
      <w:r>
        <w:rPr>
          <w:rFonts w:ascii="仿宋_GB2312" w:eastAsia="仿宋_GB2312" w:hint="eastAsia"/>
          <w:sz w:val="32"/>
          <w:szCs w:val="32"/>
        </w:rPr>
        <w:t>项目支出553.5万元，主要包括：建国初期参加革命工作医疗补助1.6万元、硕博进阿坝安家费30万、离休干部特需管理费0.13万元、远程教育设备维修维护5万元、看望科级以上干部福利费2万元、部内办公经费30万元、关工委工作经费54.06万元、浙江援建、眉山援建资金培训费111.44万元、 驻村干部补助、办公经费、保险286.7万元、  咯尔乡金江村集体经济建设项目18.88万元、援藏干部生活补助13.69万元。</w:t>
      </w:r>
    </w:p>
    <w:p>
      <w:pPr>
        <w:widowControl/>
        <w:adjustRightInd w:val="0"/>
        <w:snapToGrid w:val="0"/>
        <w:spacing w:line="576" w:lineRule="exact"/>
        <w:ind w:firstLine="720"/>
        <w:jc w:val="left"/>
        <w:rPr>
          <w:rFonts w:ascii="仿宋_GB2312" w:eastAsia="仿宋_GB2312" w:cs="宋体"/>
          <w:b/>
          <w:kern w:val="0"/>
          <w:sz w:val="32"/>
          <w:szCs w:val="32"/>
        </w:rPr>
      </w:pPr>
      <w:r>
        <w:rPr>
          <w:rFonts w:ascii="仿宋_GB2312" w:eastAsia="仿宋_GB2312" w:cs="宋体" w:hint="eastAsia"/>
          <w:b/>
          <w:kern w:val="0"/>
          <w:sz w:val="32"/>
          <w:szCs w:val="32"/>
        </w:rPr>
        <w:t>三、部门整体预算绩效管理情况</w:t>
      </w:r>
    </w:p>
    <w:p>
      <w:pPr>
        <w:widowControl/>
        <w:adjustRightInd w:val="0"/>
        <w:snapToGrid w:val="0"/>
        <w:spacing w:line="576" w:lineRule="exact"/>
        <w:ind w:firstLine="720"/>
        <w:jc w:val="left"/>
        <w:rPr>
          <w:rFonts w:ascii="仿宋_GB2312" w:eastAsia="仿宋_GB2312" w:cs="宋体"/>
          <w:kern w:val="0"/>
          <w:sz w:val="32"/>
          <w:szCs w:val="32"/>
          <w:lang w:val="zh-CN"/>
        </w:rPr>
      </w:pPr>
      <w:r>
        <w:rPr>
          <w:rFonts w:ascii="仿宋_GB2312" w:eastAsia="仿宋_GB2312" w:cs="宋体" w:hint="eastAsia"/>
          <w:kern w:val="0"/>
          <w:sz w:val="32"/>
          <w:szCs w:val="32"/>
          <w:lang w:val="zh-CN"/>
        </w:rPr>
        <w:t>（一）部门预算管理。</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按照综合预算的编制原则，保证预算编制质量，中共金川县委组织部所有收入和支出均纳入财政预算管理，公用经费按人员数进行编制，其它经费严格按照有关预算法执行。</w:t>
      </w:r>
    </w:p>
    <w:p>
      <w:pPr>
        <w:widowControl/>
        <w:adjustRightInd w:val="0"/>
        <w:snapToGrid w:val="0"/>
        <w:spacing w:line="576" w:lineRule="exact"/>
        <w:ind w:firstLine="720"/>
        <w:jc w:val="left"/>
        <w:rPr>
          <w:rFonts w:ascii="仿宋_GB2312" w:eastAsia="仿宋_GB2312" w:cs="仿宋_GB2312"/>
          <w:sz w:val="32"/>
          <w:szCs w:val="32"/>
        </w:rPr>
      </w:pPr>
      <w:r>
        <w:rPr>
          <w:rFonts w:ascii="仿宋_GB2312" w:eastAsia="仿宋_GB2312" w:cs="仿宋_GB2312" w:hint="eastAsia"/>
          <w:kern w:val="0"/>
          <w:sz w:val="32"/>
          <w:szCs w:val="32"/>
        </w:rPr>
        <w:t>2022年预算按编制预算当年10月实有人数22人工资、保险编制，2022年公用经费33.36万元（编制方法：12000元/人/年×行政23人＝276000元，再加上9600元/人/年×事业6人＝57600元），由县财政预算下达中共金川县委组织部使用执行。</w:t>
      </w:r>
    </w:p>
    <w:p>
      <w:pPr>
        <w:widowControl/>
        <w:adjustRightInd w:val="0"/>
        <w:snapToGrid w:val="0"/>
        <w:spacing w:line="576" w:lineRule="exact"/>
        <w:ind w:firstLine="720"/>
        <w:jc w:val="left"/>
        <w:rPr>
          <w:rFonts w:ascii="仿宋_GB2312" w:eastAsia="仿宋_GB2312" w:cs="宋体"/>
          <w:kern w:val="0"/>
          <w:sz w:val="32"/>
          <w:szCs w:val="32"/>
          <w:lang w:val="zh-CN"/>
        </w:rPr>
      </w:pPr>
      <w:r>
        <w:rPr>
          <w:rFonts w:ascii="仿宋_GB2312" w:eastAsia="仿宋_GB2312" w:cs="宋体" w:hint="eastAsia"/>
          <w:kern w:val="0"/>
          <w:sz w:val="32"/>
          <w:szCs w:val="32"/>
          <w:lang w:val="zh-CN"/>
        </w:rPr>
        <w:t>（二）结果应用情况。</w:t>
        <w:tab/>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1.预算执行情况：所有预算严格按照预算法执行，我部存在预算下达后增加人员、组织工作临时工作多，因此年初预算和当年决算数相比人员经费和公用经费没有达到只减不增要求。预算经费中人员经费是按月拨付，公用经费在预算指标内按需求拨付。</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2.三公经费预算执行情况;</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2022年“三公”经费:公务用车运行维护费9万元。</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3.综合管理情况。</w:t>
      </w:r>
    </w:p>
    <w:p>
      <w:pPr>
        <w:spacing w:line="576"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sz w:val="32"/>
          <w:szCs w:val="32"/>
          <w:lang w:val="zh-CN"/>
        </w:rPr>
        <w:t>我部</w:t>
      </w:r>
      <w:r>
        <w:rPr>
          <w:rFonts w:ascii="仿宋_GB2312" w:eastAsia="仿宋_GB2312" w:cs="仿宋_GB2312" w:hint="eastAsia"/>
          <w:sz w:val="32"/>
          <w:szCs w:val="32"/>
        </w:rPr>
        <w:t>2022年有一笔政府采购项目，项目为：金川县党员教育数字电视教育平台建设，预算资金47万元，实际支付金额46.92万元，资金来源为2019年眉山援建项目资金。所有国有资产纳入</w:t>
      </w:r>
      <w:r>
        <w:rPr>
          <w:rFonts w:ascii="仿宋_GB2312" w:eastAsia="仿宋_GB2312" w:cs="仿宋_GB2312" w:hint="eastAsia"/>
          <w:sz w:val="32"/>
          <w:szCs w:val="32"/>
          <w:lang w:val="zh-CN"/>
        </w:rPr>
        <w:t>资产管理系统，及时准确上报并做好资产</w:t>
      </w:r>
      <w:r>
        <w:rPr>
          <w:rFonts w:ascii="仿宋_GB2312" w:eastAsia="仿宋_GB2312" w:cs="仿宋_GB2312" w:hint="eastAsia"/>
          <w:color w:val="000000"/>
          <w:sz w:val="32"/>
          <w:szCs w:val="32"/>
          <w:lang w:val="zh-CN"/>
        </w:rPr>
        <w:t>的管理工作。根据相关要求，单位使用预算资金基本符合相关的预算财务管理制度。我部在财政批复后</w:t>
      </w:r>
      <w:r>
        <w:rPr>
          <w:rFonts w:ascii="仿宋_GB2312" w:eastAsia="仿宋_GB2312" w:cs="仿宋_GB2312" w:hint="eastAsia"/>
          <w:color w:val="000000"/>
          <w:sz w:val="32"/>
          <w:szCs w:val="32"/>
        </w:rPr>
        <w:t>20日内在指定网站公开预决算信息。按照相关要求进行绩效自我评价，按要求及时上报，对发现的问题提出整改措施，并整改落实到位。</w:t>
      </w:r>
      <w:r>
        <w:rPr>
          <w:rFonts w:ascii="仿宋_GB2312" w:eastAsia="仿宋_GB2312" w:cs="仿宋_GB2312" w:hint="eastAsia"/>
          <w:color w:val="000000"/>
          <w:sz w:val="32"/>
          <w:szCs w:val="32"/>
          <w:lang w:val="zh-CN"/>
        </w:rPr>
        <w:t>绩效评价及依法接受财政监督情况等。</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（三）整体绩效。</w:t>
      </w:r>
    </w:p>
    <w:p>
      <w:pPr>
        <w:spacing w:line="576"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我部按照规定完全履行职责，整体评价良好，服务对象基本满意从预算执行来情况看，预算资金覆盖我部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numPr>
          <w:ilvl w:val="0"/>
          <w:numId w:val="6"/>
        </w:numPr>
        <w:adjustRightInd w:val="0"/>
        <w:snapToGrid w:val="0"/>
        <w:spacing w:line="576" w:lineRule="exact"/>
        <w:ind w:left="0"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评价结论及建议</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（一）评价结论</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kern w:val="0"/>
          <w:sz w:val="32"/>
          <w:szCs w:val="32"/>
        </w:rPr>
        <w:t>根据金财监绩〔2023〕32号文件的附件3部门整体支出绩效评价指标体系进行单位自评。</w:t>
      </w:r>
      <w:r>
        <w:rPr>
          <w:rFonts w:ascii="仿宋_GB2312" w:eastAsia="仿宋_GB2312" w:cs="仿宋_GB2312" w:hint="eastAsia"/>
          <w:sz w:val="32"/>
          <w:szCs w:val="32"/>
        </w:rPr>
        <w:t>整体评价良好，预算支出和决算支出情况相符。部门整体支出绩效单位自评得分83分。</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（二）存在问题</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综合我部实际，收发文件、传递文件还不够及时；资产管理、公务用车和节能工作力度还应加强；财务管理制度有待加强。</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（三）改进建议</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1、严格按照《</w:t>
      </w:r>
      <w:r>
        <w:rPr>
          <w:rFonts w:ascii="仿宋_GB2312" w:eastAsia="仿宋_GB2312" w:cs="仿宋_GB2312"/>
          <w:kern w:val="0"/>
          <w:sz w:val="32"/>
          <w:szCs w:val="32"/>
        </w:rPr>
        <w:t>中华人民共和国</w:t>
      </w:r>
      <w:bookmarkStart w:id="59" w:name="_GoBack"/>
      <w:bookmarkEnd w:id="59"/>
      <w:r>
        <w:rPr>
          <w:rFonts w:ascii="仿宋_GB2312" w:eastAsia="仿宋_GB2312" w:cs="仿宋_GB2312" w:hint="eastAsia"/>
          <w:kern w:val="0"/>
          <w:sz w:val="32"/>
          <w:szCs w:val="32"/>
        </w:rPr>
        <w:t>会计法》、《行政单位会计制度》、《行政单位财务规则》等规定执行财务核算，并结合实际情况，完整、准确地披露相关信息，尽可能地做到决算与预算相衔接。</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 xml:space="preserve">2、进一步加强内部控制，加强内部管理；注重资金管理的事前、事中、事后的全过程监督，加强资金使用效率。 </w:t>
      </w:r>
    </w:p>
    <w:p>
      <w:pPr>
        <w:widowControl/>
        <w:adjustRightInd w:val="0"/>
        <w:snapToGrid w:val="0"/>
        <w:spacing w:line="576"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3、加强会计核算和财务管理能力，请财政局多指导我们部门的工作，不规范的收支请及给我们指出，及时与财政局相关科室对接工作，提升工作效率。</w:t>
      </w:r>
    </w:p>
    <w:p>
      <w:pPr>
        <w:spacing w:line="576" w:lineRule="exact"/>
        <w:jc w:val="center"/>
        <w:outlineLvl w:val="0"/>
        <w:rPr>
          <w:rFonts w:eastAsia="黑体"/>
          <w:sz w:val="44"/>
          <w:szCs w:val="44"/>
        </w:rPr>
      </w:pPr>
      <w:bookmarkStart w:id="60" w:name="_Toc26843625"/>
      <w:bookmarkStart w:id="61" w:name="_Toc15396618"/>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pStyle w:val="15"/>
        <w:spacing w:beforeLines="0" w:before="93"/>
        <w:rPr>
          <w:rFonts w:ascii="Times New Roman" w:eastAsia="黑体" w:hAnsi="Times New Roman"/>
          <w:sz w:val="44"/>
          <w:szCs w:val="44"/>
        </w:rPr>
      </w:pPr>
    </w:p>
    <w:p>
      <w:pPr>
        <w:tabs>
          <w:tab w:val="left" w:pos="0"/>
        </w:tabs>
        <w:spacing w:line="576" w:lineRule="exact"/>
        <w:ind w:leftChars="150" w:left="315"/>
        <w:jc w:val="center"/>
        <w:outlineLvl w:val="0"/>
        <w:rPr>
          <w:rFonts w:eastAsia="黑体"/>
          <w:b/>
          <w:sz w:val="44"/>
          <w:szCs w:val="44"/>
        </w:rPr>
      </w:pPr>
      <w:r>
        <w:rPr>
          <w:rFonts w:eastAsia="黑体"/>
          <w:b/>
          <w:sz w:val="44"/>
          <w:szCs w:val="44"/>
        </w:rPr>
        <w:t>第五部分 附表</w:t>
      </w:r>
      <w:bookmarkStart w:id="62" w:name="_Toc15396619"/>
      <w:bookmarkEnd w:id="60"/>
      <w:bookmarkEnd w:id="61"/>
    </w:p>
    <w:p>
      <w:pPr>
        <w:pStyle w:val="2"/>
        <w:spacing w:line="576" w:lineRule="exact"/>
        <w:rPr>
          <w:rFonts w:ascii="Times New Roman" w:eastAsia="仿宋" w:hAnsi="Times New Roman"/>
        </w:rPr>
      </w:pPr>
      <w:bookmarkStart w:id="63" w:name="_Toc26843626"/>
      <w:r>
        <w:rPr>
          <w:rFonts w:ascii="Times New Roman" w:eastAsia="仿宋" w:hAnsi="Times New Roman"/>
          <w:b w:val="0"/>
        </w:rPr>
        <w:t>一、收</w:t>
      </w:r>
      <w:r>
        <w:rPr>
          <w:rStyle w:val="2Char"/>
          <w:rFonts w:ascii="Times New Roman" w:eastAsia="仿宋" w:hAnsi="Times New Roman"/>
          <w:b w:val="0"/>
          <w:bCs w:val="0"/>
        </w:rPr>
        <w:t>入支出决算总表</w:t>
      </w:r>
      <w:bookmarkEnd w:id="62"/>
      <w:bookmarkEnd w:id="63"/>
    </w:p>
    <w:p>
      <w:pPr>
        <w:pStyle w:val="2"/>
        <w:spacing w:line="576" w:lineRule="exact"/>
        <w:rPr>
          <w:rFonts w:ascii="Times New Roman" w:eastAsia="仿宋" w:hAnsi="Times New Roman"/>
        </w:rPr>
      </w:pPr>
      <w:bookmarkStart w:id="64" w:name="_Toc26843627"/>
      <w:bookmarkStart w:id="65" w:name="_Toc15396620"/>
      <w:r>
        <w:rPr>
          <w:rFonts w:ascii="Times New Roman" w:eastAsia="仿宋" w:hAnsi="Times New Roman"/>
          <w:b w:val="0"/>
        </w:rPr>
        <w:t>二、收</w:t>
      </w:r>
      <w:r>
        <w:rPr>
          <w:rStyle w:val="2Char"/>
          <w:rFonts w:ascii="Times New Roman" w:eastAsia="仿宋" w:hAnsi="Times New Roman"/>
          <w:b w:val="0"/>
          <w:bCs w:val="0"/>
        </w:rPr>
        <w:t>入决算表</w:t>
      </w:r>
      <w:bookmarkEnd w:id="64"/>
      <w:bookmarkEnd w:id="65"/>
    </w:p>
    <w:p>
      <w:pPr>
        <w:pStyle w:val="2"/>
        <w:spacing w:line="576" w:lineRule="exact"/>
        <w:rPr>
          <w:rFonts w:ascii="Times New Roman" w:eastAsia="仿宋" w:hAnsi="Times New Roman"/>
        </w:rPr>
      </w:pPr>
      <w:bookmarkStart w:id="66" w:name="_Toc15396621"/>
      <w:bookmarkStart w:id="67" w:name="_Toc26843628"/>
      <w:r>
        <w:rPr>
          <w:rStyle w:val="2Char"/>
          <w:rFonts w:ascii="Times New Roman" w:eastAsia="仿宋" w:hAnsi="Times New Roman"/>
          <w:b w:val="0"/>
          <w:bCs w:val="0"/>
        </w:rPr>
        <w:t>三、</w:t>
      </w:r>
      <w:r>
        <w:rPr>
          <w:rFonts w:ascii="Times New Roman" w:eastAsia="仿宋" w:hAnsi="Times New Roman"/>
          <w:b w:val="0"/>
        </w:rPr>
        <w:t>支</w:t>
      </w:r>
      <w:r>
        <w:rPr>
          <w:rStyle w:val="2Char"/>
          <w:rFonts w:ascii="Times New Roman" w:eastAsia="仿宋" w:hAnsi="Times New Roman"/>
          <w:b w:val="0"/>
          <w:bCs w:val="0"/>
        </w:rPr>
        <w:t>出决算表</w:t>
      </w:r>
      <w:bookmarkEnd w:id="66"/>
      <w:bookmarkEnd w:id="67"/>
    </w:p>
    <w:p>
      <w:pPr>
        <w:pStyle w:val="2"/>
        <w:spacing w:line="576" w:lineRule="exact"/>
        <w:rPr>
          <w:rFonts w:ascii="Times New Roman" w:eastAsia="仿宋" w:hAnsi="Times New Roman"/>
          <w:b w:val="0"/>
        </w:rPr>
      </w:pPr>
      <w:bookmarkStart w:id="68" w:name="_Toc15396622"/>
      <w:bookmarkStart w:id="69" w:name="_Toc26843629"/>
      <w:r>
        <w:rPr>
          <w:rStyle w:val="2Char"/>
          <w:rFonts w:ascii="Times New Roman" w:eastAsia="仿宋" w:hAnsi="Times New Roman"/>
          <w:b w:val="0"/>
          <w:bCs w:val="0"/>
        </w:rPr>
        <w:t>四、</w:t>
      </w:r>
      <w:r>
        <w:rPr>
          <w:rFonts w:ascii="Times New Roman" w:eastAsia="仿宋" w:hAnsi="Times New Roman"/>
          <w:b w:val="0"/>
        </w:rPr>
        <w:t>财</w:t>
      </w:r>
      <w:r>
        <w:rPr>
          <w:rStyle w:val="2Char"/>
          <w:rFonts w:ascii="Times New Roman" w:eastAsia="仿宋" w:hAnsi="Times New Roman"/>
          <w:b w:val="0"/>
          <w:bCs w:val="0"/>
        </w:rPr>
        <w:t>政拨款收入支出决算总表</w:t>
      </w:r>
      <w:bookmarkEnd w:id="68"/>
      <w:bookmarkEnd w:id="69"/>
    </w:p>
    <w:p>
      <w:pPr>
        <w:pStyle w:val="2"/>
        <w:spacing w:line="576" w:lineRule="exact"/>
        <w:rPr>
          <w:rStyle w:val="2Char"/>
          <w:rFonts w:ascii="Times New Roman" w:eastAsia="仿宋" w:hAnsi="Times New Roman"/>
          <w:b w:val="0"/>
          <w:bCs w:val="0"/>
        </w:rPr>
      </w:pPr>
      <w:bookmarkStart w:id="70" w:name="_Toc15396623"/>
      <w:bookmarkStart w:id="71" w:name="_Toc26843630"/>
      <w:r>
        <w:rPr>
          <w:rStyle w:val="2Char"/>
          <w:rFonts w:ascii="Times New Roman" w:eastAsia="仿宋" w:hAnsi="Times New Roman"/>
          <w:b w:val="0"/>
          <w:bCs w:val="0"/>
        </w:rPr>
        <w:t>五、</w:t>
      </w:r>
      <w:r>
        <w:rPr>
          <w:rFonts w:ascii="Times New Roman" w:eastAsia="仿宋" w:hAnsi="Times New Roman"/>
          <w:b w:val="0"/>
        </w:rPr>
        <w:t>财</w:t>
      </w:r>
      <w:r>
        <w:rPr>
          <w:rStyle w:val="2Char"/>
          <w:rFonts w:ascii="Times New Roman" w:eastAsia="仿宋" w:hAnsi="Times New Roman"/>
          <w:b w:val="0"/>
          <w:bCs w:val="0"/>
        </w:rPr>
        <w:t>政拨款支出决算明细表</w:t>
      </w:r>
      <w:bookmarkStart w:id="72" w:name="_Toc15396624"/>
      <w:bookmarkEnd w:id="70"/>
      <w:bookmarkEnd w:id="71"/>
    </w:p>
    <w:p>
      <w:pPr>
        <w:pStyle w:val="2"/>
        <w:spacing w:line="576" w:lineRule="exact"/>
        <w:rPr>
          <w:rFonts w:ascii="Times New Roman" w:eastAsia="仿宋" w:hAnsi="Times New Roman"/>
        </w:rPr>
      </w:pPr>
      <w:bookmarkStart w:id="73" w:name="_Toc26843631"/>
      <w:r>
        <w:rPr>
          <w:rStyle w:val="2Char"/>
          <w:rFonts w:ascii="Times New Roman" w:eastAsia="仿宋" w:hAnsi="Times New Roman"/>
          <w:b w:val="0"/>
          <w:bCs w:val="0"/>
        </w:rPr>
        <w:t>六、</w:t>
      </w:r>
      <w:r>
        <w:rPr>
          <w:rFonts w:ascii="Times New Roman" w:eastAsia="仿宋" w:hAnsi="Times New Roman"/>
          <w:b w:val="0"/>
        </w:rPr>
        <w:t>一</w:t>
      </w:r>
      <w:r>
        <w:rPr>
          <w:rStyle w:val="2Char"/>
          <w:rFonts w:ascii="Times New Roman" w:eastAsia="仿宋" w:hAnsi="Times New Roman"/>
          <w:b w:val="0"/>
          <w:bCs w:val="0"/>
        </w:rPr>
        <w:t>般公共预算财政拨款支出决算表</w:t>
      </w:r>
      <w:bookmarkEnd w:id="72"/>
      <w:bookmarkEnd w:id="73"/>
    </w:p>
    <w:p>
      <w:pPr>
        <w:pStyle w:val="2"/>
        <w:spacing w:line="576" w:lineRule="exact"/>
        <w:rPr>
          <w:rFonts w:ascii="Times New Roman" w:eastAsia="仿宋" w:hAnsi="Times New Roman"/>
        </w:rPr>
      </w:pPr>
      <w:bookmarkStart w:id="74" w:name="_Toc26843632"/>
      <w:bookmarkStart w:id="75" w:name="_Toc15396625"/>
      <w:r>
        <w:rPr>
          <w:rStyle w:val="2Char"/>
          <w:rFonts w:ascii="Times New Roman" w:eastAsia="仿宋" w:hAnsi="Times New Roman"/>
          <w:b w:val="0"/>
          <w:bCs w:val="0"/>
        </w:rPr>
        <w:t>七、</w:t>
      </w:r>
      <w:r>
        <w:rPr>
          <w:rFonts w:ascii="Times New Roman" w:eastAsia="仿宋" w:hAnsi="Times New Roman"/>
          <w:b w:val="0"/>
        </w:rPr>
        <w:t>一</w:t>
      </w:r>
      <w:r>
        <w:rPr>
          <w:rStyle w:val="2Char"/>
          <w:rFonts w:ascii="Times New Roman" w:eastAsia="仿宋" w:hAnsi="Times New Roman"/>
          <w:b w:val="0"/>
          <w:bCs w:val="0"/>
        </w:rPr>
        <w:t>般公共预算财政拨款支出决算明细表</w:t>
      </w:r>
      <w:bookmarkEnd w:id="74"/>
      <w:bookmarkEnd w:id="75"/>
    </w:p>
    <w:p>
      <w:pPr>
        <w:pStyle w:val="2"/>
        <w:spacing w:line="576" w:lineRule="exact"/>
        <w:rPr>
          <w:rFonts w:ascii="Times New Roman" w:eastAsia="仿宋" w:hAnsi="Times New Roman"/>
        </w:rPr>
      </w:pPr>
      <w:bookmarkStart w:id="76" w:name="_Toc26843633"/>
      <w:bookmarkStart w:id="77" w:name="_Toc15396626"/>
      <w:r>
        <w:rPr>
          <w:rStyle w:val="2Char"/>
          <w:rFonts w:ascii="Times New Roman" w:eastAsia="仿宋" w:hAnsi="Times New Roman"/>
          <w:b w:val="0"/>
          <w:bCs w:val="0"/>
        </w:rPr>
        <w:t>八、</w:t>
      </w:r>
      <w:r>
        <w:rPr>
          <w:rFonts w:ascii="Times New Roman" w:eastAsia="仿宋" w:hAnsi="Times New Roman"/>
          <w:b w:val="0"/>
        </w:rPr>
        <w:t>一</w:t>
      </w:r>
      <w:r>
        <w:rPr>
          <w:rStyle w:val="2Char"/>
          <w:rFonts w:ascii="Times New Roman" w:eastAsia="仿宋" w:hAnsi="Times New Roman"/>
          <w:b w:val="0"/>
          <w:bCs w:val="0"/>
        </w:rPr>
        <w:t>般公共预算财政拨款基本支出决算表</w:t>
      </w:r>
      <w:bookmarkEnd w:id="76"/>
      <w:bookmarkEnd w:id="77"/>
    </w:p>
    <w:p>
      <w:pPr>
        <w:pStyle w:val="2"/>
        <w:spacing w:line="576" w:lineRule="exact"/>
        <w:rPr>
          <w:rFonts w:ascii="Times New Roman" w:eastAsia="仿宋" w:hAnsi="Times New Roman"/>
        </w:rPr>
      </w:pPr>
      <w:bookmarkStart w:id="78" w:name="_Toc15396627"/>
      <w:bookmarkStart w:id="79" w:name="_Toc26843634"/>
      <w:r>
        <w:rPr>
          <w:rStyle w:val="2Char"/>
          <w:rFonts w:ascii="Times New Roman" w:eastAsia="仿宋" w:hAnsi="Times New Roman"/>
          <w:b w:val="0"/>
          <w:bCs w:val="0"/>
        </w:rPr>
        <w:t>九、</w:t>
      </w:r>
      <w:r>
        <w:rPr>
          <w:rFonts w:ascii="Times New Roman" w:eastAsia="仿宋" w:hAnsi="Times New Roman"/>
          <w:b w:val="0"/>
        </w:rPr>
        <w:t>一</w:t>
      </w:r>
      <w:r>
        <w:rPr>
          <w:rStyle w:val="2Char"/>
          <w:rFonts w:ascii="Times New Roman" w:eastAsia="仿宋" w:hAnsi="Times New Roman"/>
          <w:b w:val="0"/>
          <w:bCs w:val="0"/>
        </w:rPr>
        <w:t>般公共预算财政拨款项目支出决算表</w:t>
      </w:r>
      <w:bookmarkEnd w:id="78"/>
      <w:bookmarkEnd w:id="79"/>
    </w:p>
    <w:p>
      <w:pPr>
        <w:pStyle w:val="2"/>
        <w:spacing w:line="576" w:lineRule="exact"/>
        <w:rPr>
          <w:rFonts w:ascii="Times New Roman" w:eastAsia="仿宋" w:hAnsi="Times New Roman"/>
        </w:rPr>
      </w:pPr>
      <w:bookmarkStart w:id="80" w:name="_Toc15396628"/>
      <w:bookmarkStart w:id="81" w:name="_Toc26843635"/>
      <w:r>
        <w:rPr>
          <w:rStyle w:val="2Char"/>
          <w:rFonts w:ascii="Times New Roman" w:eastAsia="仿宋" w:hAnsi="Times New Roman"/>
          <w:b w:val="0"/>
          <w:bCs w:val="0"/>
        </w:rPr>
        <w:t>十、</w:t>
      </w:r>
      <w:bookmarkEnd w:id="80"/>
      <w:bookmarkEnd w:id="81"/>
      <w:r>
        <w:rPr>
          <w:rFonts w:ascii="Times New Roman" w:eastAsia="仿宋" w:hAnsi="Times New Roman"/>
          <w:b w:val="0"/>
        </w:rPr>
        <w:t>政</w:t>
      </w:r>
      <w:r>
        <w:rPr>
          <w:rStyle w:val="2Char"/>
          <w:rFonts w:ascii="Times New Roman" w:eastAsia="仿宋" w:hAnsi="Times New Roman"/>
          <w:b w:val="0"/>
          <w:bCs w:val="0"/>
        </w:rPr>
        <w:t>府性基金预算财政拨款收入支出决算表</w:t>
      </w:r>
    </w:p>
    <w:p>
      <w:pPr>
        <w:pStyle w:val="2"/>
        <w:numPr>
          <w:ilvl w:val="0"/>
          <w:numId w:val="7"/>
        </w:numPr>
        <w:spacing w:line="576" w:lineRule="exact"/>
        <w:rPr>
          <w:rStyle w:val="2Char"/>
          <w:rFonts w:ascii="Times New Roman" w:eastAsia="仿宋" w:hAnsi="Times New Roman"/>
          <w:b w:val="0"/>
          <w:bCs w:val="0"/>
        </w:rPr>
      </w:pPr>
      <w:bookmarkStart w:id="82" w:name="_Toc15396630"/>
      <w:bookmarkStart w:id="83" w:name="_Toc26843637"/>
      <w:r>
        <w:rPr>
          <w:rFonts w:ascii="Times New Roman" w:eastAsia="仿宋" w:hAnsi="Times New Roman"/>
          <w:b w:val="0"/>
        </w:rPr>
        <w:t>国</w:t>
      </w:r>
      <w:r>
        <w:rPr>
          <w:rStyle w:val="2Char"/>
          <w:rFonts w:ascii="Times New Roman" w:eastAsia="仿宋" w:hAnsi="Times New Roman"/>
          <w:b w:val="0"/>
          <w:bCs w:val="0"/>
        </w:rPr>
        <w:t>有资本经营预算财政拨款收入支出决算表</w:t>
      </w:r>
    </w:p>
    <w:p>
      <w:pPr>
        <w:pStyle w:val="2"/>
        <w:numPr>
          <w:ilvl w:val="0"/>
          <w:numId w:val="7"/>
        </w:numPr>
        <w:spacing w:line="576" w:lineRule="exact"/>
        <w:ind w:left="0" w:firstLine="0"/>
        <w:rPr>
          <w:rStyle w:val="2Char"/>
          <w:rFonts w:ascii="Times New Roman" w:eastAsia="仿宋" w:hAnsi="Times New Roman"/>
          <w:b w:val="0"/>
          <w:bCs w:val="0"/>
        </w:rPr>
      </w:pPr>
      <w:bookmarkStart w:id="84" w:name="_Toc26843638"/>
      <w:bookmarkStart w:id="85" w:name="_Toc15396631"/>
      <w:bookmarkEnd w:id="82"/>
      <w:bookmarkEnd w:id="83"/>
      <w:r>
        <w:rPr>
          <w:rStyle w:val="2Char"/>
          <w:rFonts w:ascii="Times New Roman" w:eastAsia="仿宋" w:hAnsi="Times New Roman"/>
          <w:b w:val="0"/>
          <w:bCs w:val="0"/>
        </w:rPr>
        <w:t>国有资本经营预算财政拨款支出决算表</w:t>
      </w:r>
    </w:p>
    <w:p>
      <w:pPr>
        <w:pStyle w:val="2"/>
        <w:spacing w:line="576" w:lineRule="exact"/>
        <w:rPr>
          <w:rStyle w:val="2Char"/>
          <w:rFonts w:ascii="Times New Roman" w:eastAsia="仿宋" w:hAnsi="Times New Roman"/>
          <w:b w:val="0"/>
          <w:bCs w:val="0"/>
        </w:rPr>
      </w:pPr>
      <w:r>
        <w:rPr>
          <w:rStyle w:val="2Char"/>
          <w:rFonts w:ascii="Times New Roman" w:eastAsia="仿宋" w:hAnsi="Times New Roman"/>
          <w:b w:val="0"/>
          <w:bCs w:val="0"/>
        </w:rPr>
        <w:t>十三、</w:t>
      </w:r>
      <w:bookmarkEnd w:id="84"/>
      <w:bookmarkEnd w:id="85"/>
      <w:r>
        <w:rPr>
          <w:rStyle w:val="2Char"/>
          <w:rFonts w:ascii="Times New Roman" w:eastAsia="仿宋" w:hAnsi="Times New Roman"/>
          <w:b w:val="0"/>
          <w:bCs w:val="0"/>
        </w:rPr>
        <w:t>财政拨款“三公”经费支出决算表</w:t>
      </w:r>
    </w:p>
    <w:p>
      <w:pPr>
        <w:spacing w:line="576" w:lineRule="exact"/>
        <w:rPr>
          <w:rFonts w:eastAsia="仿宋_GB2312"/>
          <w:kern w:val="0"/>
          <w:sz w:val="32"/>
          <w:szCs w:val="32"/>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203" w:usb1="288F0000" w:usb2="00000006" w:usb3="00000000" w:csb0="0004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200247B" w:usb2="00000009" w:usb3="00000000" w:csb0="200001FF" w:csb1="00000000"/>
  </w:font>
  <w:font w:name="楷体_GB2312">
    <w:altName w:val="楷体"/>
    <w:panose1 w:val="00000000000000000000"/>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65428392"/>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22</w:t>
        </w:r>
        <w:r>
          <w:rPr>
            <w:lang w:val="zh-CN"/>
          </w:rP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49CC52F5"/>
    <w:multiLevelType w:val="multilevel"/>
    <w:tmpl w:val="49CC52F5"/>
    <w:lvl w:ilvl="0">
      <w:start w:val="4"/>
      <w:numFmt w:val="japaneseCounting"/>
      <w:lvlRestart w:val="0"/>
      <w:lvlText w:val="%1、"/>
      <w:lvlJc w:val="left"/>
      <w:pPr>
        <w:ind w:left="720" w:hanging="720"/>
      </w:pPr>
      <w:rPr>
        <w:rFonts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ED85FFC3"/>
    <w:multiLevelType w:val="singleLevel"/>
    <w:tmpl w:val="ED85FFC3"/>
    <w:lvl w:ilvl="0">
      <w:start w:val="2"/>
      <w:numFmt w:val="decimal"/>
      <w:lvlRestart w:val="0"/>
      <w:suff w:val="space"/>
      <w:lvlText w:val="%1."/>
      <w:lvlJc w:val="left"/>
      <w:pPr>
        <w:ind w:left="0" w:hanging="0"/>
      </w:pPr>
    </w:lvl>
  </w:abstractNum>
  <w:abstractNum w:abstractNumId="3">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5">
    <w:nsid w:val="6EFFCD8E"/>
    <w:multiLevelType w:val="singleLevel"/>
    <w:tmpl w:val="6EFFCD8E"/>
    <w:lvl w:ilvl="0">
      <w:start w:val="4"/>
      <w:numFmt w:val="chineseCounting"/>
      <w:lvlRestart w:val="0"/>
      <w:suff w:val="nothing"/>
      <w:lvlText w:val="%1、"/>
      <w:lvlJc w:val="left"/>
      <w:pPr>
        <w:ind w:left="0" w:hanging="0"/>
      </w:pPr>
      <w:rPr>
        <w:rFonts w:hint="eastAsia"/>
      </w:rPr>
    </w:lvl>
  </w:abstractNum>
  <w:abstractNum w:abstractNumId="6">
    <w:nsid w:val="8EA6578F"/>
    <w:multiLevelType w:val="singleLevel"/>
    <w:tmpl w:val="8EA6578F"/>
    <w:lvl w:ilvl="0">
      <w:start w:val="1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YTBlOTc1NWUwZWNhYWIwYTgyOTFhY2RiNDNmZjRhO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收、支决算结构图</a:t>
            </a:r>
          </a:p>
        </c:rich>
      </c:tx>
      <c:layout>
        <c:manualLayout>
          <c:xMode val="edge"/>
          <c:yMode val="edge"/>
          <c:x val="0.35"/>
          <c:y val="0.03125"/>
        </c:manualLayout>
      </c:layout>
      <c:overlay val="0"/>
      <c:spPr>
        <a:ln>
          <a:noFill/>
        </a:ln>
      </c:spPr>
    </c:title>
    <c:autoTitleDeleted val="1"/>
    <c:plotArea>
      <c:layout/>
      <c:barChart>
        <c:barDir val="col"/>
        <c:grouping val="clustered"/>
        <c:varyColors val="0"/>
        <c:ser>
          <c:idx val="0"/>
          <c:order val="0"/>
          <c:tx>
            <c:v>总收入</c:v>
          </c:tx>
          <c:spPr>
            <a:solidFill>
              <a:srgbClr val="5B9BD5"/>
            </a:solidFill>
            <a:ln>
              <a:noFill/>
            </a:ln>
          </c:spPr>
          <c:invertIfNegative val="0"/>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1225.3</c:v>
                </c:pt>
                <c:pt idx="1">
                  <c:v>1067.78</c:v>
                </c:pt>
              </c:numCache>
            </c:numRef>
          </c:val>
        </c:ser>
        <c:ser>
          <c:idx val="1"/>
          <c:order val="1"/>
          <c:tx>
            <c:v>总支出</c:v>
          </c:tx>
          <c:spPr>
            <a:solidFill>
              <a:srgbClr val="ED7D31"/>
            </a:solidFill>
            <a:ln>
              <a:noFill/>
            </a:ln>
          </c:spPr>
          <c:invertIfNegative val="0"/>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1271.99</c:v>
                </c:pt>
                <c:pt idx="1">
                  <c:v>1067.78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rot="0" vert="horz" anchor="t" anchorCtr="0"/>
          <a:lstStyle/>
          <a:p>
            <a:pPr>
              <a:defRPr sz="900" b="0" i="0" u="none" strike="noStrike" baseline="0">
                <a:solidFill>
                  <a:srgbClr val="333333"/>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rot="0" vert="horz" anchor="t" anchorCtr="0"/>
          <a:lstStyle/>
          <a:p>
            <a:pPr>
              <a:defRPr sz="900" b="0" i="0" u="none" strike="noStrike" baseline="0">
                <a:solidFill>
                  <a:srgbClr val="333333"/>
                </a:solidFill>
                <a:latin typeface="宋体"/>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收入决算结构图</a:t>
            </a:r>
          </a:p>
        </c:rich>
      </c:tx>
      <c:layout>
        <c:manualLayout>
          <c:xMode val="edge"/>
          <c:yMode val="edge"/>
          <c:x val="0.34986112"/>
          <c:y val="0.038194444"/>
        </c:manualLayout>
      </c:layout>
      <c:overlay val="0"/>
      <c:spPr>
        <a:ln>
          <a:noFill/>
        </a:ln>
      </c:spPr>
    </c:title>
    <c:autoTitleDeleted val="1"/>
    <c:plotArea>
      <c:layout/>
      <c:pieChart>
        <c:varyColors val="1"/>
        <c:ser>
          <c:idx val="0"/>
          <c:order val="0"/>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showLegendKey val="0"/>
            <c:showVal val="1"/>
            <c:showCatName val="0"/>
            <c:showSerName val="0"/>
            <c:showPercent val="0"/>
            <c:showBubbleSize val="0"/>
            <c:showLeaderLines val="1"/>
          </c:dLbls>
          <c:cat>
            <c:strLit>
              <c:ptCount val="3"/>
              <c:pt idx="0">
                <c:v>一般公共预算财政拨款收入</c:v>
              </c:pt>
              <c:pt idx="1">
                <c:v>政府性基金预算财政拨款收入</c:v>
              </c:pt>
              <c:pt idx="2">
                <c:v>其他收入</c:v>
              </c:pt>
            </c:strLit>
          </c:cat>
          <c:val>
            <c:numRef>
              <c:f/>
              <c:numCache>
                <c:formatCode>General</c:formatCode>
                <c:ptCount val="3"/>
                <c:pt idx="0">
                  <c:v>1067.78</c:v>
                </c:pt>
                <c:pt idx="1">
                  <c:v>0.0</c:v>
                </c:pt>
                <c:pt idx="2">
                  <c:v>0.0</c:v>
                </c:pt>
              </c:numCache>
            </c:numRef>
          </c:val>
        </c:ser>
        <c:firstSliceAng val="0"/>
      </c:pieChart>
      <c:spPr>
        <a:noFill/>
        <a:ln>
          <a:noFill/>
        </a:ln>
      </c:spPr>
    </c:plotArea>
    <c:legend>
      <c:legendPos val="b"/>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支出决算结构图</a:t>
            </a:r>
          </a:p>
        </c:rich>
      </c:tx>
      <c:layout/>
      <c:overlay val="0"/>
      <c:spPr>
        <a:ln>
          <a:noFill/>
        </a:ln>
      </c:spPr>
    </c:title>
    <c:autoTitleDeleted val="1"/>
    <c:plotArea>
      <c:layout/>
      <c:pieChart>
        <c:varyColors val="1"/>
        <c:ser>
          <c:idx val="0"/>
          <c:order val="0"/>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showLegendKey val="0"/>
            <c:showVal val="1"/>
            <c:showCatName val="0"/>
            <c:showSerName val="0"/>
            <c:showPercent val="0"/>
            <c:showBubbleSize val="0"/>
            <c:showLeaderLines val="1"/>
          </c:dLbls>
          <c:cat>
            <c:strLit>
              <c:ptCount val="2"/>
              <c:pt idx="0">
                <c:v>基本支出</c:v>
              </c:pt>
              <c:pt idx="1">
                <c:v>项目支出</c:v>
              </c:pt>
            </c:strLit>
          </c:cat>
          <c:val>
            <c:numRef>
              <c:f/>
              <c:numCache>
                <c:formatCode>General</c:formatCode>
                <c:ptCount val="2"/>
                <c:pt idx="0">
                  <c:v>514.28</c:v>
                </c:pt>
                <c:pt idx="1">
                  <c:v>553.5</c:v>
                </c:pt>
              </c:numCache>
            </c:numRef>
          </c:val>
        </c:ser>
        <c:firstSliceAng val="0"/>
      </c:pieChart>
      <c:spPr>
        <a:noFill/>
        <a:ln>
          <a:noFill/>
        </a:ln>
      </c:spPr>
    </c:plotArea>
    <c:legend>
      <c:legendPos val="b"/>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一般公共预算财政拨款支出决算变动情况</a:t>
            </a:r>
          </a:p>
        </c:rich>
      </c:tx>
      <c:layout/>
      <c:overlay val="0"/>
      <c:spPr>
        <a:ln>
          <a:noFill/>
        </a:ln>
      </c:spPr>
    </c:title>
    <c:autoTitleDeleted val="1"/>
    <c:plotArea>
      <c:layout>
        <c:manualLayout>
          <c:layoutTarget val="inner"/>
          <c:xMode val="edge"/>
          <c:yMode val="edge"/>
          <c:x val="0.061055556"/>
          <c:y val="0.22037037"/>
          <c:w val="0.882"/>
          <c:h val="0.71166664"/>
        </c:manualLayout>
      </c:layout>
      <c:barChart>
        <c:barDir val="col"/>
        <c:grouping val="clustered"/>
        <c:varyColors val="0"/>
        <c:ser>
          <c:idx val="0"/>
          <c:order val="0"/>
          <c:spPr>
            <a:solidFill>
              <a:srgbClr val="5B9BD5"/>
            </a:solidFill>
            <a:ln>
              <a:noFill/>
            </a:ln>
          </c:spPr>
          <c:invertIfNegative val="0"/>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1271.99</c:v>
                </c:pt>
                <c:pt idx="1">
                  <c:v>1067.78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rot="0" vert="horz" anchor="t" anchorCtr="0"/>
          <a:lstStyle/>
          <a:p>
            <a:pPr>
              <a:defRPr sz="900" b="0" i="0" u="none" strike="noStrike" baseline="0">
                <a:solidFill>
                  <a:srgbClr val="333333"/>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rot="0" vert="horz" anchor="t" anchorCtr="0"/>
          <a:lstStyle/>
          <a:p>
            <a:pPr>
              <a:defRPr sz="900" b="0" i="0" u="none" strike="noStrike" baseline="0">
                <a:solidFill>
                  <a:srgbClr val="333333"/>
                </a:solidFill>
                <a:latin typeface="宋体"/>
                <a:ea typeface="宋体"/>
                <a:cs typeface="Arial"/>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一般公共预算财政拨款支出决算结构图</a:t>
            </a:r>
          </a:p>
        </c:rich>
      </c:tx>
      <c:layout/>
      <c:overlay val="0"/>
      <c:spPr>
        <a:ln>
          <a:noFill/>
        </a:ln>
      </c:spPr>
    </c:title>
    <c:autoTitleDeleted val="1"/>
    <c:plotArea>
      <c:layout/>
      <c:pieChart>
        <c:varyColors val="1"/>
        <c:ser>
          <c:idx val="0"/>
          <c:order val="0"/>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C4D75"/>
              </a:solidFill>
              <a:ln w="19050">
                <a:solidFill>
                  <a:srgbClr val="FFFFFF"/>
                </a:solidFill>
                <a:prstDash val="solid"/>
              </a:ln>
            </c:spPr>
          </c:dPt>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showLegendKey val="0"/>
            <c:showVal val="1"/>
            <c:showCatName val="0"/>
            <c:showSerName val="0"/>
            <c:showPercent val="0"/>
            <c:showBubbleSize val="0"/>
            <c:showLeaderLines val="1"/>
          </c:dLbls>
          <c:cat>
            <c:strLit>
              <c:ptCount val="7"/>
              <c:pt idx="0">
                <c:v>一般公共服务支出</c:v>
              </c:pt>
              <c:pt idx="1">
                <c:v>社会保障和就业支出</c:v>
              </c:pt>
              <c:pt idx="2">
                <c:v>卫生健康支出</c:v>
              </c:pt>
              <c:pt idx="3">
                <c:v>教育支出（类）支出</c:v>
              </c:pt>
              <c:pt idx="4">
                <c:v>住房保障支出</c:v>
              </c:pt>
              <c:pt idx="5">
                <c:v>农林水支出（类）支出</c:v>
              </c:pt>
              <c:pt idx="6">
                <c:v>其他支出（类）支出</c:v>
              </c:pt>
            </c:strLit>
          </c:cat>
          <c:val>
            <c:numRef>
              <c:f/>
              <c:numCache>
                <c:formatCode>General</c:formatCode>
                <c:ptCount val="7"/>
                <c:pt idx="0">
                  <c:v>524.04</c:v>
                </c:pt>
                <c:pt idx="1">
                  <c:v>56.54</c:v>
                </c:pt>
                <c:pt idx="2">
                  <c:v>23.0</c:v>
                </c:pt>
                <c:pt idx="3">
                  <c:v>111.44</c:v>
                </c:pt>
                <c:pt idx="4">
                  <c:v>33.49</c:v>
                </c:pt>
                <c:pt idx="5">
                  <c:v>305.58</c:v>
                </c:pt>
                <c:pt idx="6">
                  <c:v>13.69</c:v>
                </c:pt>
              </c:numCache>
            </c:numRef>
          </c:val>
        </c:ser>
        <c:firstSliceAng val="0"/>
      </c:pieChart>
      <c:spPr>
        <a:noFill/>
        <a:ln>
          <a:noFill/>
        </a:ln>
      </c:spPr>
    </c:plotArea>
    <c:legend>
      <c:legendPos val="b"/>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宋体"/>
                <a:ea typeface="宋体"/>
                <a:cs typeface="Arial"/>
              </a:defRPr>
            </a:pPr>
            <a:r>
              <a:rPr lang="zh-CN"/>
              <a:t>三公”经费财政拨款支出结构图</a:t>
            </a:r>
          </a:p>
        </c:rich>
      </c:tx>
      <c:layout/>
      <c:overlay val="0"/>
      <c:spPr>
        <a:ln>
          <a:noFill/>
        </a:ln>
      </c:spPr>
    </c:title>
    <c:autoTitleDeleted val="1"/>
    <c:plotArea>
      <c:layout/>
      <c:pieChart>
        <c:varyColors val="1"/>
        <c:ser>
          <c:idx val="0"/>
          <c:order val="0"/>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Lbls>
            <c:spPr>
              <a:noFill/>
              <a:ln>
                <a:noFill/>
              </a:ln>
            </c:spPr>
            <c:txPr>
              <a:bodyPr vert="horz"/>
              <a:lstStyle/>
              <a:p>
                <a:pPr>
                  <a:defRPr sz="900" b="0" i="0" u="none" strike="noStrike" baseline="0">
                    <a:solidFill>
                      <a:srgbClr val="333333"/>
                    </a:solidFill>
                    <a:latin typeface="宋体"/>
                    <a:ea typeface="宋体"/>
                    <a:cs typeface="Arial"/>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9.0</c:v>
                </c:pt>
                <c:pt idx="2">
                  <c:v>0.0</c:v>
                </c:pt>
              </c:numCache>
            </c:numRef>
          </c:val>
        </c:ser>
        <c:firstSliceAng val="0"/>
      </c:pieChart>
      <c:spPr>
        <a:noFill/>
        <a:ln>
          <a:noFill/>
        </a:ln>
      </c:spPr>
    </c:plotArea>
    <c:legend>
      <c:legendPos val="b"/>
      <c:layout/>
      <c:overlay val="0"/>
      <c:spPr>
        <a:noFill/>
        <a:ln>
          <a:noFill/>
        </a:ln>
      </c:spPr>
      <c:txPr>
        <a:bodyPr/>
        <a:lstStyle/>
        <a:p>
          <a:pPr>
            <a:defRPr sz="750" b="0" i="0" u="none" strike="noStrike" baseline="0">
              <a:solidFill>
                <a:srgbClr val="333333"/>
              </a:solidFill>
              <a:latin typeface="宋体"/>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24</Pages>
  <Words>7719</Words>
  <Characters>8595</Characters>
  <Lines>518</Lines>
  <Paragraphs>250</Paragraphs>
  <CharactersWithSpaces>8660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8</cp:revision>
  <cp:lastPrinted>2020-09-29T10:36:00Z</cp:lastPrinted>
  <dcterms:created xsi:type="dcterms:W3CDTF">2023-01-14T06:07:00Z</dcterms:created>
  <dcterms:modified xsi:type="dcterms:W3CDTF">2023-08-30T08:14:35Z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40BC68E34893462A9D23BB82F4CCA20B_13</vt:lpwstr>
  </property>
</Properties>
</file>