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0"/>
        <w:rPr>
          <w:rFonts w:eastAsia="方正小标宋简体"/>
          <w:sz w:val="72"/>
          <w:szCs w:val="72"/>
        </w:rPr>
      </w:pPr>
      <w:bookmarkStart w:id="0" w:name="_Toc15306267"/>
    </w:p>
    <w:p>
      <w:pPr>
        <w:spacing w:line="600" w:lineRule="exact"/>
        <w:jc w:val="center"/>
        <w:outlineLvl w:val="0"/>
        <w:rPr>
          <w:rFonts w:eastAsia="方正小标宋简体"/>
          <w:sz w:val="72"/>
          <w:szCs w:val="72"/>
        </w:rPr>
      </w:pPr>
    </w:p>
    <w:p>
      <w:pPr>
        <w:spacing w:line="600" w:lineRule="exact"/>
        <w:jc w:val="center"/>
        <w:outlineLvl w:val="0"/>
        <w:rPr>
          <w:rFonts w:eastAsia="方正小标宋简体"/>
          <w:sz w:val="72"/>
          <w:szCs w:val="72"/>
        </w:rPr>
      </w:pPr>
    </w:p>
    <w:p>
      <w:pPr>
        <w:spacing w:line="600" w:lineRule="exact"/>
        <w:jc w:val="center"/>
        <w:outlineLvl w:val="0"/>
        <w:rPr>
          <w:rFonts w:eastAsia="方正小标宋简体"/>
          <w:sz w:val="72"/>
          <w:szCs w:val="72"/>
        </w:rPr>
      </w:pPr>
    </w:p>
    <w:p>
      <w:pPr>
        <w:adjustRightInd w:val="0"/>
        <w:snapToGrid w:val="0"/>
        <w:spacing w:line="360" w:lineRule="auto"/>
        <w:jc w:val="center"/>
        <w:outlineLvl w:val="0"/>
        <w:rPr>
          <w:rFonts w:eastAsia="方正小标宋简体"/>
          <w:sz w:val="72"/>
          <w:szCs w:val="72"/>
        </w:rPr>
      </w:pPr>
      <w:bookmarkStart w:id="1" w:name="_Toc15396597"/>
      <w:bookmarkStart w:id="2" w:name="_Toc15377425"/>
      <w:bookmarkStart w:id="3" w:name="_Toc15377193"/>
      <w:bookmarkStart w:id="4" w:name="_Toc15378441"/>
      <w:bookmarkStart w:id="5" w:name="_Toc15396475"/>
      <w:r>
        <w:rPr>
          <w:rFonts w:eastAsia="黑体"/>
          <w:sz w:val="72"/>
          <w:szCs w:val="72"/>
        </w:rPr>
        <w:t>2021</w:t>
      </w:r>
      <w:r>
        <w:rPr>
          <w:rFonts w:eastAsia="方正小标宋简体"/>
          <w:sz w:val="72"/>
          <w:szCs w:val="72"/>
        </w:rPr>
        <w:t>年度</w:t>
      </w:r>
      <w:bookmarkEnd w:id="1"/>
      <w:bookmarkEnd w:id="2"/>
      <w:bookmarkEnd w:id="3"/>
      <w:bookmarkEnd w:id="4"/>
      <w:bookmarkEnd w:id="5"/>
    </w:p>
    <w:p>
      <w:pPr>
        <w:adjustRightInd w:val="0"/>
        <w:snapToGrid w:val="0"/>
        <w:spacing w:line="360" w:lineRule="auto"/>
        <w:jc w:val="center"/>
        <w:outlineLvl w:val="0"/>
        <w:rPr>
          <w:rFonts w:eastAsia="方正小标宋简体"/>
          <w:sz w:val="72"/>
          <w:szCs w:val="72"/>
        </w:rPr>
      </w:pPr>
      <w:r>
        <w:rPr>
          <w:rFonts w:hint="eastAsia" w:eastAsia="方正小标宋简体"/>
          <w:sz w:val="72"/>
          <w:szCs w:val="72"/>
        </w:rPr>
        <w:t>中共金川县委组织部</w:t>
      </w:r>
    </w:p>
    <w:bookmarkEnd w:id="0"/>
    <w:p>
      <w:pPr>
        <w:adjustRightInd w:val="0"/>
        <w:snapToGrid w:val="0"/>
        <w:spacing w:line="360" w:lineRule="auto"/>
        <w:jc w:val="center"/>
        <w:outlineLvl w:val="0"/>
        <w:rPr>
          <w:rFonts w:eastAsia="方正小标宋简体"/>
          <w:sz w:val="72"/>
          <w:szCs w:val="72"/>
        </w:rPr>
      </w:pPr>
      <w:bookmarkStart w:id="6" w:name="_Toc15306268"/>
      <w:bookmarkStart w:id="7" w:name="_Toc15396598"/>
      <w:bookmarkStart w:id="8" w:name="_Toc15378442"/>
      <w:bookmarkStart w:id="9" w:name="_Toc15377426"/>
      <w:bookmarkStart w:id="10" w:name="_Toc15396476"/>
      <w:bookmarkStart w:id="11" w:name="_Toc15377194"/>
      <w:r>
        <w:rPr>
          <w:rFonts w:eastAsia="方正小标宋简体"/>
          <w:sz w:val="72"/>
          <w:szCs w:val="72"/>
        </w:rPr>
        <w:t>部门决算</w:t>
      </w:r>
      <w:bookmarkEnd w:id="6"/>
      <w:bookmarkEnd w:id="7"/>
      <w:bookmarkEnd w:id="8"/>
      <w:bookmarkEnd w:id="9"/>
      <w:bookmarkEnd w:id="10"/>
      <w:bookmarkEnd w:id="11"/>
      <w:r>
        <w:rPr>
          <w:rFonts w:hint="eastAsia" w:eastAsia="方正小标宋简体"/>
          <w:sz w:val="72"/>
          <w:szCs w:val="72"/>
        </w:rPr>
        <w:t>分析报告</w:t>
      </w:r>
      <w:bookmarkStart w:id="101" w:name="_GoBack"/>
      <w:bookmarkEnd w:id="101"/>
    </w:p>
    <w:p>
      <w:pPr>
        <w:widowControl/>
        <w:jc w:val="center"/>
        <w:rPr>
          <w:rFonts w:eastAsia="方正小标宋简体"/>
          <w:sz w:val="36"/>
          <w:szCs w:val="36"/>
        </w:rPr>
      </w:pPr>
    </w:p>
    <w:p>
      <w:pPr>
        <w:widowControl/>
        <w:jc w:val="center"/>
        <w:rPr>
          <w:rFonts w:eastAsia="方正小标宋简体"/>
          <w:sz w:val="36"/>
          <w:szCs w:val="36"/>
        </w:rPr>
      </w:pPr>
    </w:p>
    <w:p>
      <w:pPr>
        <w:widowControl/>
        <w:jc w:val="center"/>
        <w:rPr>
          <w:rFonts w:eastAsia="方正小标宋简体"/>
          <w:sz w:val="36"/>
          <w:szCs w:val="36"/>
        </w:rPr>
      </w:pPr>
    </w:p>
    <w:p>
      <w:pPr>
        <w:widowControl/>
        <w:jc w:val="center"/>
        <w:rPr>
          <w:rFonts w:eastAsia="方正仿宋_GBK"/>
          <w:sz w:val="30"/>
          <w:szCs w:val="30"/>
        </w:rPr>
      </w:pPr>
      <w:r>
        <w:rPr>
          <w:rFonts w:eastAsia="方正小标宋简体"/>
          <w:sz w:val="36"/>
          <w:szCs w:val="36"/>
        </w:rPr>
        <w:br w:type="page"/>
      </w:r>
      <w:r>
        <w:rPr>
          <w:rFonts w:eastAsia="黑体"/>
          <w:sz w:val="48"/>
          <w:szCs w:val="48"/>
        </w:rPr>
        <w:t>目录</w:t>
      </w:r>
      <w:r>
        <w:rPr>
          <w:rFonts w:eastAsia="方正仿宋_GBK"/>
          <w:sz w:val="30"/>
          <w:szCs w:val="30"/>
        </w:rPr>
        <w:fldChar w:fldCharType="begin"/>
      </w:r>
      <w:r>
        <w:rPr>
          <w:rFonts w:eastAsia="方正仿宋_GBK"/>
          <w:sz w:val="30"/>
          <w:szCs w:val="30"/>
        </w:rPr>
        <w:instrText xml:space="preserve"> TOC \o "1-2" \h \z \u </w:instrText>
      </w:r>
      <w:r>
        <w:rPr>
          <w:rFonts w:eastAsia="方正仿宋_GBK"/>
          <w:sz w:val="30"/>
          <w:szCs w:val="30"/>
        </w:rPr>
        <w:fldChar w:fldCharType="separate"/>
      </w:r>
    </w:p>
    <w:p>
      <w:pPr>
        <w:pStyle w:val="10"/>
        <w:rPr>
          <w:rFonts w:ascii="Times New Roman" w:eastAsia="方正仿宋_GBK"/>
          <w:sz w:val="30"/>
          <w:szCs w:val="30"/>
        </w:rPr>
      </w:pPr>
      <w:r>
        <w:fldChar w:fldCharType="begin"/>
      </w:r>
      <w:r>
        <w:instrText xml:space="preserve"> HYPERLINK \l "_Toc15396599" </w:instrText>
      </w:r>
      <w:r>
        <w:fldChar w:fldCharType="separate"/>
      </w:r>
      <w:r>
        <w:rPr>
          <w:rFonts w:ascii="Times New Roman" w:eastAsia="方正仿宋_GBK"/>
          <w:sz w:val="30"/>
          <w:szCs w:val="30"/>
        </w:rPr>
        <w:t>第一部分 部门概况</w:t>
      </w:r>
      <w:r>
        <w:rPr>
          <w:rFonts w:ascii="Times New Roman" w:eastAsia="方正仿宋_GBK"/>
          <w:sz w:val="30"/>
          <w:szCs w:val="30"/>
        </w:rPr>
        <w:tab/>
      </w:r>
      <w:r>
        <w:rPr>
          <w:rFonts w:ascii="Times New Roman" w:eastAsia="方正仿宋_GBK"/>
          <w:sz w:val="30"/>
          <w:szCs w:val="30"/>
        </w:rPr>
        <w:t>4</w:t>
      </w:r>
      <w:r>
        <w:rPr>
          <w:rFonts w:ascii="Times New Roman" w:eastAsia="方正仿宋_GBK"/>
          <w:sz w:val="30"/>
          <w:szCs w:val="30"/>
        </w:rPr>
        <w:fldChar w:fldCharType="end"/>
      </w:r>
    </w:p>
    <w:p>
      <w:pPr>
        <w:pStyle w:val="11"/>
        <w:ind w:left="420"/>
        <w:rPr>
          <w:rFonts w:eastAsia="方正仿宋_GBK"/>
          <w:sz w:val="30"/>
          <w:szCs w:val="30"/>
        </w:rPr>
      </w:pPr>
      <w:r>
        <w:fldChar w:fldCharType="begin"/>
      </w:r>
      <w:r>
        <w:instrText xml:space="preserve"> HYPERLINK \l "_Toc15396600" </w:instrText>
      </w:r>
      <w:r>
        <w:fldChar w:fldCharType="separate"/>
      </w:r>
      <w:r>
        <w:rPr>
          <w:rFonts w:eastAsia="方正仿宋_GBK"/>
          <w:sz w:val="30"/>
          <w:szCs w:val="30"/>
        </w:rPr>
        <w:t>一、基本职能及主要工作</w:t>
      </w:r>
      <w:r>
        <w:rPr>
          <w:rFonts w:eastAsia="方正仿宋_GBK"/>
          <w:sz w:val="30"/>
          <w:szCs w:val="30"/>
        </w:rPr>
        <w:tab/>
      </w:r>
      <w:r>
        <w:rPr>
          <w:rFonts w:eastAsia="方正仿宋_GBK"/>
          <w:sz w:val="30"/>
          <w:szCs w:val="30"/>
        </w:rPr>
        <w:t>4</w:t>
      </w:r>
      <w:r>
        <w:rPr>
          <w:rFonts w:eastAsia="方正仿宋_GBK"/>
          <w:sz w:val="30"/>
          <w:szCs w:val="30"/>
        </w:rPr>
        <w:fldChar w:fldCharType="end"/>
      </w:r>
    </w:p>
    <w:p>
      <w:pPr>
        <w:pStyle w:val="11"/>
        <w:ind w:left="420"/>
        <w:rPr>
          <w:rFonts w:eastAsia="方正仿宋_GBK"/>
          <w:sz w:val="30"/>
          <w:szCs w:val="30"/>
        </w:rPr>
      </w:pPr>
      <w:r>
        <w:fldChar w:fldCharType="begin"/>
      </w:r>
      <w:r>
        <w:instrText xml:space="preserve"> HYPERLINK \l "_Toc15396601" </w:instrText>
      </w:r>
      <w:r>
        <w:fldChar w:fldCharType="separate"/>
      </w:r>
      <w:r>
        <w:rPr>
          <w:rFonts w:eastAsia="方正仿宋_GBK"/>
          <w:sz w:val="30"/>
          <w:szCs w:val="30"/>
        </w:rPr>
        <w:t>二、机构设置</w:t>
      </w:r>
      <w:r>
        <w:rPr>
          <w:rFonts w:eastAsia="方正仿宋_GBK"/>
          <w:sz w:val="30"/>
          <w:szCs w:val="30"/>
        </w:rPr>
        <w:tab/>
      </w:r>
      <w:r>
        <w:rPr>
          <w:rFonts w:eastAsia="方正仿宋_GBK"/>
          <w:sz w:val="30"/>
          <w:szCs w:val="30"/>
        </w:rPr>
        <w:t>5</w:t>
      </w:r>
      <w:r>
        <w:rPr>
          <w:rFonts w:eastAsia="方正仿宋_GBK"/>
          <w:sz w:val="30"/>
          <w:szCs w:val="30"/>
        </w:rPr>
        <w:fldChar w:fldCharType="end"/>
      </w:r>
    </w:p>
    <w:p>
      <w:pPr>
        <w:pStyle w:val="10"/>
        <w:rPr>
          <w:rFonts w:ascii="Times New Roman" w:eastAsia="方正仿宋_GBK"/>
          <w:sz w:val="30"/>
          <w:szCs w:val="30"/>
        </w:rPr>
      </w:pPr>
      <w:r>
        <w:fldChar w:fldCharType="begin"/>
      </w:r>
      <w:r>
        <w:instrText xml:space="preserve"> HYPERLINK \l "_Toc15396602" </w:instrText>
      </w:r>
      <w:r>
        <w:fldChar w:fldCharType="separate"/>
      </w:r>
      <w:r>
        <w:rPr>
          <w:rFonts w:ascii="Times New Roman" w:eastAsia="方正仿宋_GBK"/>
          <w:sz w:val="30"/>
          <w:szCs w:val="30"/>
        </w:rPr>
        <w:t>第二部分 部门决算情况说明</w:t>
      </w:r>
      <w:r>
        <w:rPr>
          <w:rFonts w:ascii="Times New Roman" w:eastAsia="方正仿宋_GBK"/>
          <w:sz w:val="30"/>
          <w:szCs w:val="30"/>
        </w:rPr>
        <w:tab/>
      </w:r>
      <w:r>
        <w:rPr>
          <w:rFonts w:ascii="Times New Roman" w:eastAsia="方正仿宋_GBK"/>
          <w:sz w:val="30"/>
          <w:szCs w:val="30"/>
        </w:rPr>
        <w:t>5</w:t>
      </w:r>
      <w:r>
        <w:rPr>
          <w:rFonts w:ascii="Times New Roman" w:eastAsia="方正仿宋_GBK"/>
          <w:sz w:val="30"/>
          <w:szCs w:val="30"/>
        </w:rPr>
        <w:fldChar w:fldCharType="end"/>
      </w:r>
    </w:p>
    <w:p>
      <w:pPr>
        <w:pStyle w:val="11"/>
        <w:ind w:left="420"/>
        <w:rPr>
          <w:rFonts w:eastAsia="方正仿宋_GBK"/>
          <w:sz w:val="30"/>
          <w:szCs w:val="30"/>
        </w:rPr>
      </w:pPr>
      <w:r>
        <w:fldChar w:fldCharType="begin"/>
      </w:r>
      <w:r>
        <w:instrText xml:space="preserve"> HYPERLINK \l "_Toc15396603" </w:instrText>
      </w:r>
      <w:r>
        <w:fldChar w:fldCharType="separate"/>
      </w:r>
      <w:r>
        <w:rPr>
          <w:rFonts w:eastAsia="方正仿宋_GBK"/>
          <w:bCs/>
          <w:sz w:val="30"/>
          <w:szCs w:val="30"/>
        </w:rPr>
        <w:t>一、</w:t>
      </w:r>
      <w:r>
        <w:rPr>
          <w:rFonts w:eastAsia="方正仿宋_GBK"/>
          <w:sz w:val="30"/>
          <w:szCs w:val="30"/>
        </w:rPr>
        <w:t>收</w:t>
      </w:r>
      <w:r>
        <w:rPr>
          <w:rFonts w:eastAsia="方正仿宋_GBK"/>
          <w:bCs/>
          <w:sz w:val="30"/>
          <w:szCs w:val="30"/>
        </w:rPr>
        <w:t>入支出决算总体情况说明</w:t>
      </w:r>
      <w:r>
        <w:rPr>
          <w:rFonts w:eastAsia="方正仿宋_GBK"/>
          <w:sz w:val="30"/>
          <w:szCs w:val="30"/>
        </w:rPr>
        <w:tab/>
      </w:r>
      <w:r>
        <w:rPr>
          <w:rFonts w:eastAsia="方正仿宋_GBK"/>
          <w:sz w:val="30"/>
          <w:szCs w:val="30"/>
        </w:rPr>
        <w:t>5</w:t>
      </w:r>
      <w:r>
        <w:rPr>
          <w:rFonts w:eastAsia="方正仿宋_GBK"/>
          <w:sz w:val="30"/>
          <w:szCs w:val="30"/>
        </w:rPr>
        <w:fldChar w:fldCharType="end"/>
      </w:r>
    </w:p>
    <w:p>
      <w:pPr>
        <w:pStyle w:val="11"/>
        <w:ind w:left="420"/>
        <w:rPr>
          <w:rFonts w:eastAsia="方正仿宋_GBK"/>
          <w:sz w:val="30"/>
          <w:szCs w:val="30"/>
        </w:rPr>
      </w:pPr>
      <w:r>
        <w:fldChar w:fldCharType="begin"/>
      </w:r>
      <w:r>
        <w:instrText xml:space="preserve"> HYPERLINK \l "_Toc15396604" </w:instrText>
      </w:r>
      <w:r>
        <w:fldChar w:fldCharType="separate"/>
      </w:r>
      <w:r>
        <w:rPr>
          <w:rFonts w:eastAsia="方正仿宋_GBK"/>
          <w:bCs/>
          <w:sz w:val="30"/>
          <w:szCs w:val="30"/>
        </w:rPr>
        <w:t>二、</w:t>
      </w:r>
      <w:r>
        <w:rPr>
          <w:rFonts w:eastAsia="方正仿宋_GBK"/>
          <w:sz w:val="30"/>
          <w:szCs w:val="30"/>
        </w:rPr>
        <w:t>收</w:t>
      </w:r>
      <w:r>
        <w:rPr>
          <w:rFonts w:eastAsia="方正仿宋_GBK"/>
          <w:bCs/>
          <w:sz w:val="30"/>
          <w:szCs w:val="30"/>
        </w:rPr>
        <w:t>入决算情况说明</w:t>
      </w:r>
      <w:r>
        <w:rPr>
          <w:rFonts w:eastAsia="方正仿宋_GBK"/>
          <w:sz w:val="30"/>
          <w:szCs w:val="30"/>
        </w:rPr>
        <w:tab/>
      </w:r>
      <w:r>
        <w:rPr>
          <w:rFonts w:eastAsia="方正仿宋_GBK"/>
          <w:sz w:val="30"/>
          <w:szCs w:val="30"/>
        </w:rPr>
        <w:t>6</w:t>
      </w:r>
      <w:r>
        <w:rPr>
          <w:rFonts w:eastAsia="方正仿宋_GBK"/>
          <w:sz w:val="30"/>
          <w:szCs w:val="30"/>
        </w:rPr>
        <w:fldChar w:fldCharType="end"/>
      </w:r>
    </w:p>
    <w:p>
      <w:pPr>
        <w:pStyle w:val="11"/>
        <w:ind w:left="420"/>
        <w:rPr>
          <w:rFonts w:eastAsia="方正仿宋_GBK"/>
          <w:sz w:val="30"/>
          <w:szCs w:val="30"/>
        </w:rPr>
      </w:pPr>
      <w:r>
        <w:fldChar w:fldCharType="begin"/>
      </w:r>
      <w:r>
        <w:instrText xml:space="preserve"> HYPERLINK \l "_Toc15396605" </w:instrText>
      </w:r>
      <w:r>
        <w:fldChar w:fldCharType="separate"/>
      </w:r>
      <w:r>
        <w:rPr>
          <w:rFonts w:eastAsia="方正仿宋_GBK"/>
          <w:bCs/>
          <w:sz w:val="30"/>
          <w:szCs w:val="30"/>
        </w:rPr>
        <w:t>三、</w:t>
      </w:r>
      <w:r>
        <w:rPr>
          <w:rFonts w:eastAsia="方正仿宋_GBK"/>
          <w:sz w:val="30"/>
          <w:szCs w:val="30"/>
        </w:rPr>
        <w:t>支</w:t>
      </w:r>
      <w:r>
        <w:rPr>
          <w:rFonts w:eastAsia="方正仿宋_GBK"/>
          <w:bCs/>
          <w:sz w:val="30"/>
          <w:szCs w:val="30"/>
        </w:rPr>
        <w:t>出决算情况说明</w:t>
      </w:r>
      <w:r>
        <w:rPr>
          <w:rFonts w:eastAsia="方正仿宋_GBK"/>
          <w:sz w:val="30"/>
          <w:szCs w:val="30"/>
        </w:rPr>
        <w:tab/>
      </w:r>
      <w:r>
        <w:rPr>
          <w:rFonts w:hint="eastAsia" w:eastAsia="方正仿宋_GBK"/>
          <w:sz w:val="30"/>
          <w:szCs w:val="30"/>
          <w:lang w:val="en-US" w:eastAsia="zh-CN"/>
        </w:rPr>
        <w:t>7</w:t>
      </w:r>
      <w:r>
        <w:rPr>
          <w:rFonts w:eastAsia="方正仿宋_GBK"/>
          <w:sz w:val="30"/>
          <w:szCs w:val="30"/>
        </w:rPr>
        <w:fldChar w:fldCharType="end"/>
      </w:r>
    </w:p>
    <w:p>
      <w:pPr>
        <w:pStyle w:val="11"/>
        <w:ind w:left="420"/>
        <w:rPr>
          <w:rFonts w:eastAsia="方正仿宋_GBK"/>
          <w:sz w:val="30"/>
          <w:szCs w:val="30"/>
        </w:rPr>
      </w:pPr>
      <w:r>
        <w:fldChar w:fldCharType="begin"/>
      </w:r>
      <w:r>
        <w:instrText xml:space="preserve"> HYPERLINK \l "_Toc15396606" </w:instrText>
      </w:r>
      <w:r>
        <w:fldChar w:fldCharType="separate"/>
      </w:r>
      <w:r>
        <w:rPr>
          <w:rFonts w:eastAsia="方正仿宋_GBK"/>
          <w:sz w:val="30"/>
          <w:szCs w:val="30"/>
        </w:rPr>
        <w:t>四、财</w:t>
      </w:r>
      <w:r>
        <w:rPr>
          <w:rFonts w:eastAsia="方正仿宋_GBK"/>
          <w:bCs/>
          <w:sz w:val="30"/>
          <w:szCs w:val="30"/>
        </w:rPr>
        <w:t>政拨款收入支出决算总体情况说明</w:t>
      </w:r>
      <w:r>
        <w:rPr>
          <w:rFonts w:eastAsia="方正仿宋_GBK"/>
          <w:sz w:val="30"/>
          <w:szCs w:val="30"/>
        </w:rPr>
        <w:tab/>
      </w:r>
      <w:r>
        <w:rPr>
          <w:rFonts w:hint="eastAsia" w:eastAsia="方正仿宋_GBK"/>
          <w:sz w:val="30"/>
          <w:szCs w:val="30"/>
          <w:lang w:val="en-US" w:eastAsia="zh-CN"/>
        </w:rPr>
        <w:t>7</w:t>
      </w:r>
      <w:r>
        <w:rPr>
          <w:rFonts w:eastAsia="方正仿宋_GBK"/>
          <w:sz w:val="30"/>
          <w:szCs w:val="30"/>
        </w:rPr>
        <w:fldChar w:fldCharType="end"/>
      </w:r>
    </w:p>
    <w:p>
      <w:pPr>
        <w:pStyle w:val="11"/>
        <w:ind w:left="420"/>
        <w:rPr>
          <w:rFonts w:hint="eastAsia" w:eastAsia="方正仿宋_GBK"/>
          <w:sz w:val="30"/>
          <w:szCs w:val="30"/>
          <w:lang w:eastAsia="zh-CN"/>
        </w:rPr>
      </w:pPr>
      <w:r>
        <w:fldChar w:fldCharType="begin"/>
      </w:r>
      <w:r>
        <w:instrText xml:space="preserve"> HYPERLINK \l "_Toc15396607" </w:instrText>
      </w:r>
      <w:r>
        <w:fldChar w:fldCharType="separate"/>
      </w:r>
      <w:r>
        <w:rPr>
          <w:rFonts w:eastAsia="方正仿宋_GBK"/>
          <w:sz w:val="30"/>
          <w:szCs w:val="30"/>
        </w:rPr>
        <w:t>五、一</w:t>
      </w:r>
      <w:r>
        <w:rPr>
          <w:rFonts w:eastAsia="方正仿宋_GBK"/>
          <w:bCs/>
          <w:sz w:val="30"/>
          <w:szCs w:val="30"/>
        </w:rPr>
        <w:t>般公共预算财政拨款支出决算情况说明</w:t>
      </w:r>
      <w:r>
        <w:rPr>
          <w:rFonts w:eastAsia="方正仿宋_GBK"/>
          <w:sz w:val="30"/>
          <w:szCs w:val="30"/>
        </w:rPr>
        <w:tab/>
      </w:r>
      <w:r>
        <w:rPr>
          <w:rFonts w:eastAsia="方正仿宋_GBK"/>
          <w:sz w:val="30"/>
          <w:szCs w:val="30"/>
        </w:rPr>
        <w:fldChar w:fldCharType="end"/>
      </w:r>
      <w:r>
        <w:rPr>
          <w:rFonts w:hint="eastAsia" w:eastAsia="方正仿宋_GBK"/>
          <w:sz w:val="30"/>
          <w:szCs w:val="30"/>
          <w:lang w:val="en-US" w:eastAsia="zh-CN"/>
        </w:rPr>
        <w:t>7</w:t>
      </w:r>
    </w:p>
    <w:p>
      <w:pPr>
        <w:pStyle w:val="11"/>
        <w:ind w:left="420"/>
        <w:rPr>
          <w:rFonts w:eastAsia="方正仿宋_GBK"/>
          <w:sz w:val="30"/>
          <w:szCs w:val="30"/>
        </w:rPr>
      </w:pPr>
      <w:r>
        <w:fldChar w:fldCharType="begin"/>
      </w:r>
      <w:r>
        <w:instrText xml:space="preserve"> HYPERLINK \l "_Toc15396608" </w:instrText>
      </w:r>
      <w:r>
        <w:fldChar w:fldCharType="separate"/>
      </w:r>
      <w:r>
        <w:rPr>
          <w:rFonts w:eastAsia="方正仿宋_GBK"/>
          <w:sz w:val="30"/>
          <w:szCs w:val="30"/>
        </w:rPr>
        <w:t>六、一</w:t>
      </w:r>
      <w:r>
        <w:rPr>
          <w:rFonts w:eastAsia="方正仿宋_GBK"/>
          <w:bCs/>
          <w:sz w:val="30"/>
          <w:szCs w:val="30"/>
        </w:rPr>
        <w:t>般公共预算财政拨款基本支出决算情况说明</w:t>
      </w:r>
      <w:r>
        <w:rPr>
          <w:rFonts w:eastAsia="方正仿宋_GBK"/>
          <w:sz w:val="30"/>
          <w:szCs w:val="30"/>
        </w:rPr>
        <w:tab/>
      </w:r>
      <w:r>
        <w:rPr>
          <w:rFonts w:hint="eastAsia" w:eastAsia="方正仿宋_GBK"/>
          <w:sz w:val="30"/>
          <w:szCs w:val="30"/>
          <w:lang w:val="en-US" w:eastAsia="zh-CN"/>
        </w:rPr>
        <w:t>9</w:t>
      </w:r>
      <w:r>
        <w:rPr>
          <w:rFonts w:eastAsia="方正仿宋_GBK"/>
          <w:sz w:val="30"/>
          <w:szCs w:val="30"/>
        </w:rPr>
        <w:fldChar w:fldCharType="end"/>
      </w:r>
    </w:p>
    <w:p>
      <w:pPr>
        <w:pStyle w:val="11"/>
        <w:ind w:left="420"/>
        <w:rPr>
          <w:rFonts w:hint="eastAsia" w:eastAsia="方正仿宋_GBK"/>
          <w:sz w:val="30"/>
          <w:szCs w:val="30"/>
          <w:lang w:val="en-US" w:eastAsia="zh-CN"/>
        </w:rPr>
      </w:pPr>
      <w:r>
        <w:fldChar w:fldCharType="begin"/>
      </w:r>
      <w:r>
        <w:instrText xml:space="preserve"> HYPERLINK \l "_Toc15396609" </w:instrText>
      </w:r>
      <w:r>
        <w:fldChar w:fldCharType="separate"/>
      </w:r>
      <w:r>
        <w:rPr>
          <w:rFonts w:eastAsia="方正仿宋_GBK"/>
          <w:sz w:val="30"/>
          <w:szCs w:val="30"/>
        </w:rPr>
        <w:t>七、“</w:t>
      </w:r>
      <w:r>
        <w:rPr>
          <w:rFonts w:eastAsia="方正仿宋_GBK"/>
          <w:bCs/>
          <w:sz w:val="30"/>
          <w:szCs w:val="30"/>
        </w:rPr>
        <w:t>三公”经费财政拨款支出决算情况说明</w:t>
      </w:r>
      <w:r>
        <w:rPr>
          <w:rFonts w:eastAsia="方正仿宋_GBK"/>
          <w:sz w:val="30"/>
          <w:szCs w:val="30"/>
        </w:rPr>
        <w:tab/>
      </w:r>
      <w:r>
        <w:rPr>
          <w:rFonts w:hint="eastAsia" w:eastAsia="方正仿宋_GBK"/>
          <w:sz w:val="30"/>
          <w:szCs w:val="30"/>
          <w:lang w:val="en-US" w:eastAsia="zh-CN"/>
        </w:rPr>
        <w:t>1</w:t>
      </w:r>
      <w:r>
        <w:rPr>
          <w:rFonts w:eastAsia="方正仿宋_GBK"/>
          <w:sz w:val="30"/>
          <w:szCs w:val="30"/>
        </w:rPr>
        <w:fldChar w:fldCharType="end"/>
      </w:r>
      <w:r>
        <w:rPr>
          <w:rFonts w:hint="eastAsia" w:eastAsia="方正仿宋_GBK"/>
          <w:sz w:val="30"/>
          <w:szCs w:val="30"/>
          <w:lang w:val="en-US" w:eastAsia="zh-CN"/>
        </w:rPr>
        <w:t>0</w:t>
      </w:r>
    </w:p>
    <w:p>
      <w:pPr>
        <w:pStyle w:val="11"/>
        <w:ind w:left="420"/>
        <w:rPr>
          <w:rFonts w:hint="eastAsia" w:eastAsia="方正仿宋_GBK"/>
          <w:sz w:val="30"/>
          <w:szCs w:val="30"/>
          <w:lang w:val="en-US" w:eastAsia="zh-CN"/>
        </w:rPr>
      </w:pPr>
      <w:r>
        <w:fldChar w:fldCharType="begin"/>
      </w:r>
      <w:r>
        <w:instrText xml:space="preserve"> HYPERLINK \l "_Toc15396610" </w:instrText>
      </w:r>
      <w:r>
        <w:fldChar w:fldCharType="separate"/>
      </w:r>
      <w:r>
        <w:rPr>
          <w:rFonts w:eastAsia="方正仿宋_GBK"/>
          <w:sz w:val="30"/>
          <w:szCs w:val="30"/>
        </w:rPr>
        <w:t>八、</w:t>
      </w:r>
      <w:r>
        <w:rPr>
          <w:rFonts w:eastAsia="方正仿宋_GBK"/>
          <w:bCs/>
          <w:sz w:val="30"/>
          <w:szCs w:val="30"/>
        </w:rPr>
        <w:t>政府性基金预算支出决算情况说明</w:t>
      </w:r>
      <w:r>
        <w:rPr>
          <w:rFonts w:eastAsia="方正仿宋_GBK"/>
          <w:sz w:val="30"/>
          <w:szCs w:val="30"/>
        </w:rPr>
        <w:tab/>
      </w:r>
      <w:r>
        <w:rPr>
          <w:rFonts w:hint="eastAsia" w:eastAsia="方正仿宋_GBK"/>
          <w:sz w:val="30"/>
          <w:szCs w:val="30"/>
          <w:lang w:val="en-US" w:eastAsia="zh-CN"/>
        </w:rPr>
        <w:t>1</w:t>
      </w:r>
      <w:r>
        <w:rPr>
          <w:rFonts w:eastAsia="方正仿宋_GBK"/>
          <w:sz w:val="30"/>
          <w:szCs w:val="30"/>
        </w:rPr>
        <w:fldChar w:fldCharType="end"/>
      </w:r>
      <w:r>
        <w:rPr>
          <w:rFonts w:hint="eastAsia" w:eastAsia="方正仿宋_GBK"/>
          <w:sz w:val="30"/>
          <w:szCs w:val="30"/>
          <w:lang w:val="en-US" w:eastAsia="zh-CN"/>
        </w:rPr>
        <w:t>1</w:t>
      </w:r>
    </w:p>
    <w:p>
      <w:pPr>
        <w:pStyle w:val="11"/>
        <w:ind w:left="420"/>
        <w:rPr>
          <w:rFonts w:hint="eastAsia" w:eastAsia="方正仿宋_GBK"/>
          <w:sz w:val="30"/>
          <w:szCs w:val="30"/>
          <w:lang w:val="en-US" w:eastAsia="zh-CN"/>
        </w:rPr>
      </w:pPr>
      <w:r>
        <w:fldChar w:fldCharType="begin"/>
      </w:r>
      <w:r>
        <w:instrText xml:space="preserve"> HYPERLINK \l "_Toc15396611" </w:instrText>
      </w:r>
      <w:r>
        <w:fldChar w:fldCharType="separate"/>
      </w:r>
      <w:r>
        <w:rPr>
          <w:rFonts w:eastAsia="方正仿宋_GBK"/>
          <w:bCs/>
          <w:sz w:val="30"/>
          <w:szCs w:val="30"/>
        </w:rPr>
        <w:t>九、</w:t>
      </w:r>
      <w:r>
        <w:rPr>
          <w:rFonts w:eastAsia="方正仿宋_GBK"/>
          <w:sz w:val="30"/>
          <w:szCs w:val="30"/>
        </w:rPr>
        <w:t xml:space="preserve"> 国</w:t>
      </w:r>
      <w:r>
        <w:rPr>
          <w:rFonts w:eastAsia="方正仿宋_GBK"/>
          <w:bCs/>
          <w:sz w:val="30"/>
          <w:szCs w:val="30"/>
        </w:rPr>
        <w:t>有资本经营预算支出决算情况说明</w:t>
      </w:r>
      <w:r>
        <w:rPr>
          <w:rFonts w:eastAsia="方正仿宋_GBK"/>
          <w:sz w:val="30"/>
          <w:szCs w:val="30"/>
        </w:rPr>
        <w:tab/>
      </w:r>
      <w:r>
        <w:rPr>
          <w:rFonts w:hint="eastAsia" w:eastAsia="方正仿宋_GBK"/>
          <w:sz w:val="30"/>
          <w:szCs w:val="30"/>
          <w:lang w:val="en-US" w:eastAsia="zh-CN"/>
        </w:rPr>
        <w:t>1</w:t>
      </w:r>
      <w:r>
        <w:rPr>
          <w:rFonts w:eastAsia="方正仿宋_GBK"/>
          <w:sz w:val="30"/>
          <w:szCs w:val="30"/>
        </w:rPr>
        <w:fldChar w:fldCharType="end"/>
      </w:r>
      <w:r>
        <w:rPr>
          <w:rFonts w:hint="eastAsia" w:eastAsia="方正仿宋_GBK"/>
          <w:sz w:val="30"/>
          <w:szCs w:val="30"/>
          <w:lang w:val="en-US" w:eastAsia="zh-CN"/>
        </w:rPr>
        <w:t>1</w:t>
      </w:r>
    </w:p>
    <w:p>
      <w:pPr>
        <w:pStyle w:val="11"/>
        <w:ind w:left="420"/>
        <w:rPr>
          <w:rFonts w:hint="default" w:eastAsia="方正仿宋_GBK"/>
          <w:sz w:val="30"/>
          <w:szCs w:val="30"/>
          <w:lang w:val="en-US" w:eastAsia="zh-CN"/>
        </w:rPr>
      </w:pPr>
      <w:r>
        <w:rPr>
          <w:rStyle w:val="15"/>
          <w:rFonts w:eastAsia="方正仿宋_GBK"/>
          <w:bCs/>
          <w:color w:val="auto"/>
          <w:sz w:val="30"/>
          <w:szCs w:val="30"/>
          <w:u w:val="none"/>
        </w:rPr>
        <w:t>十、预算绩效情况说明...............................................................</w:t>
      </w:r>
      <w:r>
        <w:rPr>
          <w:rStyle w:val="15"/>
          <w:rFonts w:hint="eastAsia" w:eastAsia="方正仿宋_GBK"/>
          <w:bCs/>
          <w:color w:val="auto"/>
          <w:sz w:val="30"/>
          <w:szCs w:val="30"/>
          <w:u w:val="none"/>
          <w:lang w:val="en-US" w:eastAsia="zh-CN"/>
        </w:rPr>
        <w:t>11</w:t>
      </w:r>
    </w:p>
    <w:p>
      <w:pPr>
        <w:pStyle w:val="11"/>
        <w:ind w:left="420"/>
        <w:rPr>
          <w:rFonts w:hint="eastAsia" w:eastAsia="方正仿宋_GBK"/>
          <w:sz w:val="30"/>
          <w:szCs w:val="30"/>
          <w:lang w:eastAsia="zh-CN"/>
        </w:rPr>
      </w:pPr>
      <w:r>
        <w:fldChar w:fldCharType="begin"/>
      </w:r>
      <w:r>
        <w:instrText xml:space="preserve"> HYPERLINK \l "_Toc15396612" </w:instrText>
      </w:r>
      <w:r>
        <w:fldChar w:fldCharType="separate"/>
      </w:r>
      <w:r>
        <w:rPr>
          <w:rFonts w:eastAsia="方正仿宋_GBK"/>
          <w:sz w:val="30"/>
          <w:szCs w:val="30"/>
        </w:rPr>
        <w:t>十</w:t>
      </w:r>
      <w:r>
        <w:rPr>
          <w:rFonts w:eastAsia="方正仿宋_GBK"/>
          <w:bCs/>
          <w:sz w:val="30"/>
          <w:szCs w:val="30"/>
        </w:rPr>
        <w:t>一、其他重要事项的情况说明</w:t>
      </w:r>
      <w:r>
        <w:rPr>
          <w:rFonts w:eastAsia="方正仿宋_GBK"/>
          <w:sz w:val="30"/>
          <w:szCs w:val="30"/>
        </w:rPr>
        <w:tab/>
      </w:r>
      <w:r>
        <w:rPr>
          <w:rFonts w:eastAsia="方正仿宋_GBK"/>
          <w:sz w:val="30"/>
          <w:szCs w:val="30"/>
        </w:rPr>
        <w:t>1</w:t>
      </w:r>
      <w:r>
        <w:rPr>
          <w:rFonts w:eastAsia="方正仿宋_GBK"/>
          <w:sz w:val="30"/>
          <w:szCs w:val="30"/>
        </w:rPr>
        <w:fldChar w:fldCharType="end"/>
      </w:r>
      <w:r>
        <w:rPr>
          <w:rFonts w:hint="eastAsia" w:eastAsia="方正仿宋_GBK"/>
          <w:sz w:val="30"/>
          <w:szCs w:val="30"/>
          <w:lang w:val="en-US" w:eastAsia="zh-CN"/>
        </w:rPr>
        <w:t>3</w:t>
      </w:r>
    </w:p>
    <w:p>
      <w:pPr>
        <w:pStyle w:val="10"/>
        <w:rPr>
          <w:rFonts w:ascii="Times New Roman" w:eastAsia="方正仿宋_GBK"/>
          <w:sz w:val="30"/>
          <w:szCs w:val="30"/>
        </w:rPr>
      </w:pPr>
      <w:r>
        <w:fldChar w:fldCharType="begin"/>
      </w:r>
      <w:r>
        <w:instrText xml:space="preserve"> HYPERLINK \l "_Toc15396613" </w:instrText>
      </w:r>
      <w:r>
        <w:fldChar w:fldCharType="separate"/>
      </w:r>
      <w:r>
        <w:rPr>
          <w:rFonts w:ascii="Times New Roman" w:eastAsia="方正仿宋_GBK"/>
          <w:bCs/>
          <w:kern w:val="44"/>
          <w:sz w:val="30"/>
          <w:szCs w:val="30"/>
        </w:rPr>
        <w:t>第三部分</w:t>
      </w:r>
      <w:r>
        <w:rPr>
          <w:rFonts w:ascii="Times New Roman" w:eastAsia="方正仿宋_GBK"/>
          <w:sz w:val="30"/>
          <w:szCs w:val="30"/>
        </w:rPr>
        <w:t xml:space="preserve"> 名</w:t>
      </w:r>
      <w:r>
        <w:rPr>
          <w:rFonts w:ascii="Times New Roman" w:eastAsia="方正仿宋_GBK"/>
          <w:bCs/>
          <w:kern w:val="44"/>
          <w:sz w:val="30"/>
          <w:szCs w:val="30"/>
        </w:rPr>
        <w:t>词解释</w:t>
      </w:r>
      <w:r>
        <w:rPr>
          <w:rFonts w:ascii="Times New Roman" w:eastAsia="方正仿宋_GBK"/>
          <w:sz w:val="30"/>
          <w:szCs w:val="30"/>
        </w:rPr>
        <w:tab/>
      </w:r>
      <w:r>
        <w:rPr>
          <w:rFonts w:ascii="Times New Roman" w:eastAsia="方正仿宋_GBK"/>
          <w:sz w:val="30"/>
          <w:szCs w:val="30"/>
        </w:rPr>
        <w:t>1</w:t>
      </w:r>
      <w:r>
        <w:rPr>
          <w:rFonts w:ascii="Times New Roman" w:eastAsia="方正仿宋_GBK"/>
          <w:sz w:val="30"/>
          <w:szCs w:val="30"/>
        </w:rPr>
        <w:fldChar w:fldCharType="end"/>
      </w:r>
      <w:r>
        <w:rPr>
          <w:rFonts w:hint="eastAsia" w:ascii="Times New Roman" w:eastAsia="方正仿宋_GBK"/>
          <w:sz w:val="30"/>
          <w:szCs w:val="30"/>
          <w:lang w:val="en-US" w:eastAsia="zh-CN"/>
        </w:rPr>
        <w:t>3</w:t>
      </w:r>
      <w:r>
        <w:rPr>
          <w:rFonts w:ascii="Times New Roman" w:eastAsia="方正仿宋_GBK"/>
          <w:sz w:val="30"/>
          <w:szCs w:val="30"/>
        </w:rPr>
        <w:fldChar w:fldCharType="end"/>
      </w:r>
      <w:bookmarkStart w:id="12" w:name="_Toc15377196"/>
      <w:bookmarkStart w:id="13" w:name="_Toc15396599"/>
    </w:p>
    <w:p>
      <w:pPr>
        <w:pStyle w:val="10"/>
        <w:rPr>
          <w:rFonts w:ascii="Times New Roman" w:eastAsia="方正仿宋_GBK"/>
          <w:color w:val="000000"/>
          <w:sz w:val="30"/>
          <w:szCs w:val="30"/>
        </w:rPr>
      </w:pPr>
      <w:r>
        <w:rPr>
          <w:rFonts w:ascii="Times New Roman" w:eastAsia="方正仿宋_GBK"/>
          <w:bCs/>
          <w:kern w:val="44"/>
          <w:sz w:val="30"/>
          <w:szCs w:val="30"/>
        </w:rPr>
        <w:t>第四部分 附件</w:t>
      </w:r>
      <w:r>
        <w:rPr>
          <w:rFonts w:ascii="Times New Roman" w:eastAsia="方正仿宋_GBK"/>
          <w:sz w:val="30"/>
          <w:szCs w:val="30"/>
        </w:rPr>
        <w:tab/>
      </w:r>
      <w:r>
        <w:rPr>
          <w:rFonts w:ascii="Times New Roman" w:eastAsia="方正仿宋_GBK"/>
          <w:sz w:val="30"/>
          <w:szCs w:val="30"/>
        </w:rPr>
        <w:t>1</w:t>
      </w:r>
      <w:r>
        <w:rPr>
          <w:rFonts w:hint="eastAsia" w:ascii="Times New Roman" w:eastAsia="方正仿宋_GBK"/>
          <w:sz w:val="30"/>
          <w:szCs w:val="30"/>
          <w:lang w:val="en-US" w:eastAsia="zh-CN"/>
        </w:rPr>
        <w:t>6</w:t>
      </w:r>
      <w:r>
        <w:rPr>
          <w:rFonts w:ascii="Times New Roman" w:eastAsia="方正仿宋_GBK"/>
          <w:bCs/>
          <w:kern w:val="44"/>
          <w:sz w:val="30"/>
          <w:szCs w:val="30"/>
        </w:rPr>
        <w:t xml:space="preserve">  </w:t>
      </w:r>
    </w:p>
    <w:p>
      <w:pPr>
        <w:widowControl/>
        <w:spacing w:line="480" w:lineRule="exact"/>
        <w:rPr>
          <w:rFonts w:eastAsia="方正仿宋_GBK"/>
          <w:sz w:val="30"/>
          <w:szCs w:val="30"/>
        </w:rPr>
      </w:pPr>
      <w:r>
        <w:rPr>
          <w:rFonts w:eastAsia="方正仿宋_GBK"/>
          <w:bCs/>
          <w:sz w:val="30"/>
          <w:szCs w:val="30"/>
        </w:rPr>
        <w:t>中共金川县委组织部2021年部门整体支出绩效报告</w:t>
      </w:r>
      <w:r>
        <w:rPr>
          <w:rStyle w:val="15"/>
          <w:rFonts w:eastAsia="方正仿宋_GBK"/>
          <w:bCs/>
          <w:color w:val="auto"/>
          <w:sz w:val="30"/>
          <w:szCs w:val="30"/>
          <w:u w:val="none"/>
        </w:rPr>
        <w:t>................1</w:t>
      </w:r>
      <w:r>
        <w:rPr>
          <w:rStyle w:val="15"/>
          <w:rFonts w:hint="eastAsia" w:eastAsia="方正仿宋_GBK"/>
          <w:bCs/>
          <w:color w:val="auto"/>
          <w:sz w:val="30"/>
          <w:szCs w:val="30"/>
          <w:u w:val="none"/>
          <w:lang w:val="en-US" w:eastAsia="zh-CN"/>
        </w:rPr>
        <w:t>6</w:t>
      </w:r>
      <w:r>
        <w:rPr>
          <w:rStyle w:val="15"/>
          <w:rFonts w:eastAsia="方正仿宋_GBK"/>
          <w:bCs/>
          <w:color w:val="auto"/>
          <w:sz w:val="30"/>
          <w:szCs w:val="30"/>
          <w:u w:val="none"/>
        </w:rPr>
        <w:t xml:space="preserve">    </w:t>
      </w:r>
    </w:p>
    <w:p>
      <w:pPr>
        <w:pStyle w:val="10"/>
        <w:rPr>
          <w:rFonts w:hint="eastAsia" w:ascii="Times New Roman" w:eastAsia="方正仿宋_GBK"/>
          <w:sz w:val="30"/>
          <w:szCs w:val="30"/>
          <w:lang w:eastAsia="zh-CN"/>
        </w:rPr>
      </w:pPr>
      <w:r>
        <w:rPr>
          <w:rFonts w:ascii="Times New Roman" w:eastAsia="方正仿宋_GBK"/>
          <w:bCs/>
          <w:kern w:val="44"/>
          <w:sz w:val="30"/>
          <w:szCs w:val="30"/>
        </w:rPr>
        <w:t>第五部分 附表</w:t>
      </w:r>
      <w:r>
        <w:rPr>
          <w:rFonts w:ascii="Times New Roman" w:eastAsia="方正仿宋_GBK"/>
          <w:sz w:val="30"/>
          <w:szCs w:val="30"/>
        </w:rPr>
        <w:tab/>
      </w:r>
      <w:r>
        <w:rPr>
          <w:rFonts w:ascii="Times New Roman" w:eastAsia="方正仿宋_GBK"/>
          <w:sz w:val="30"/>
          <w:szCs w:val="30"/>
        </w:rPr>
        <w:t>2</w:t>
      </w:r>
      <w:r>
        <w:rPr>
          <w:rFonts w:hint="eastAsia" w:ascii="Times New Roman" w:eastAsia="方正仿宋_GBK"/>
          <w:sz w:val="30"/>
          <w:szCs w:val="30"/>
          <w:lang w:val="en-US" w:eastAsia="zh-CN"/>
        </w:rPr>
        <w:t>2</w:t>
      </w:r>
    </w:p>
    <w:p>
      <w:pPr>
        <w:pStyle w:val="11"/>
        <w:ind w:left="420"/>
        <w:rPr>
          <w:rStyle w:val="15"/>
          <w:rFonts w:hint="eastAsia" w:eastAsia="方正仿宋_GBK"/>
          <w:bCs/>
          <w:color w:val="auto"/>
          <w:sz w:val="30"/>
          <w:szCs w:val="30"/>
          <w:u w:val="none"/>
          <w:lang w:eastAsia="zh-CN"/>
        </w:rPr>
      </w:pPr>
      <w:r>
        <w:rPr>
          <w:rStyle w:val="15"/>
          <w:rFonts w:eastAsia="方正仿宋_GBK"/>
          <w:bCs/>
          <w:color w:val="auto"/>
          <w:sz w:val="30"/>
          <w:szCs w:val="30"/>
          <w:u w:val="none"/>
        </w:rPr>
        <w:t>一、收入支出决算总表</w:t>
      </w:r>
      <w:r>
        <w:rPr>
          <w:rStyle w:val="15"/>
          <w:rFonts w:eastAsia="方正仿宋_GBK"/>
          <w:bCs/>
          <w:color w:val="auto"/>
          <w:sz w:val="30"/>
          <w:szCs w:val="30"/>
          <w:u w:val="none"/>
        </w:rPr>
        <w:tab/>
      </w:r>
      <w:r>
        <w:rPr>
          <w:rStyle w:val="15"/>
          <w:rFonts w:eastAsia="方正仿宋_GBK"/>
          <w:bCs/>
          <w:color w:val="auto"/>
          <w:sz w:val="30"/>
          <w:szCs w:val="30"/>
          <w:u w:val="none"/>
        </w:rPr>
        <w:t>2</w:t>
      </w:r>
      <w:r>
        <w:rPr>
          <w:rStyle w:val="15"/>
          <w:rFonts w:hint="eastAsia" w:eastAsia="方正仿宋_GBK"/>
          <w:bCs/>
          <w:color w:val="auto"/>
          <w:sz w:val="30"/>
          <w:szCs w:val="30"/>
          <w:u w:val="none"/>
          <w:lang w:val="en-US" w:eastAsia="zh-CN"/>
        </w:rPr>
        <w:t>2</w:t>
      </w:r>
    </w:p>
    <w:p>
      <w:pPr>
        <w:pStyle w:val="11"/>
        <w:ind w:left="420"/>
        <w:rPr>
          <w:rStyle w:val="15"/>
          <w:rFonts w:hint="eastAsia" w:eastAsia="方正仿宋_GBK"/>
          <w:bCs/>
          <w:color w:val="auto"/>
          <w:sz w:val="30"/>
          <w:szCs w:val="30"/>
          <w:u w:val="none"/>
          <w:lang w:eastAsia="zh-CN"/>
        </w:rPr>
      </w:pPr>
      <w:r>
        <w:rPr>
          <w:rStyle w:val="15"/>
          <w:rFonts w:eastAsia="方正仿宋_GBK"/>
          <w:bCs/>
          <w:color w:val="auto"/>
          <w:sz w:val="30"/>
          <w:szCs w:val="30"/>
          <w:u w:val="none"/>
        </w:rPr>
        <w:t>二、收入决算表</w:t>
      </w:r>
      <w:r>
        <w:rPr>
          <w:rStyle w:val="15"/>
          <w:rFonts w:eastAsia="方正仿宋_GBK"/>
          <w:bCs/>
          <w:color w:val="auto"/>
          <w:sz w:val="30"/>
          <w:szCs w:val="30"/>
          <w:u w:val="none"/>
        </w:rPr>
        <w:tab/>
      </w:r>
      <w:r>
        <w:rPr>
          <w:rStyle w:val="15"/>
          <w:rFonts w:eastAsia="方正仿宋_GBK"/>
          <w:bCs/>
          <w:color w:val="auto"/>
          <w:sz w:val="30"/>
          <w:szCs w:val="30"/>
          <w:u w:val="none"/>
        </w:rPr>
        <w:t>2</w:t>
      </w:r>
      <w:r>
        <w:rPr>
          <w:rStyle w:val="15"/>
          <w:rFonts w:hint="eastAsia" w:eastAsia="方正仿宋_GBK"/>
          <w:bCs/>
          <w:color w:val="auto"/>
          <w:sz w:val="30"/>
          <w:szCs w:val="30"/>
          <w:u w:val="none"/>
          <w:lang w:val="en-US" w:eastAsia="zh-CN"/>
        </w:rPr>
        <w:t>2</w:t>
      </w:r>
    </w:p>
    <w:p>
      <w:pPr>
        <w:pStyle w:val="11"/>
        <w:ind w:left="420"/>
        <w:rPr>
          <w:rStyle w:val="15"/>
          <w:rFonts w:hint="eastAsia" w:eastAsia="方正仿宋_GBK"/>
          <w:bCs/>
          <w:color w:val="auto"/>
          <w:sz w:val="30"/>
          <w:szCs w:val="30"/>
          <w:u w:val="none"/>
          <w:lang w:eastAsia="zh-CN"/>
        </w:rPr>
      </w:pPr>
      <w:r>
        <w:rPr>
          <w:rStyle w:val="15"/>
          <w:rFonts w:eastAsia="方正仿宋_GBK"/>
          <w:bCs/>
          <w:color w:val="auto"/>
          <w:sz w:val="30"/>
          <w:szCs w:val="30"/>
          <w:u w:val="none"/>
        </w:rPr>
        <w:t>三、支出决算表</w:t>
      </w:r>
      <w:r>
        <w:rPr>
          <w:rStyle w:val="15"/>
          <w:rFonts w:eastAsia="方正仿宋_GBK"/>
          <w:bCs/>
          <w:color w:val="auto"/>
          <w:sz w:val="30"/>
          <w:szCs w:val="30"/>
          <w:u w:val="none"/>
        </w:rPr>
        <w:tab/>
      </w:r>
      <w:r>
        <w:rPr>
          <w:rStyle w:val="15"/>
          <w:rFonts w:eastAsia="方正仿宋_GBK"/>
          <w:bCs/>
          <w:color w:val="auto"/>
          <w:sz w:val="30"/>
          <w:szCs w:val="30"/>
          <w:u w:val="none"/>
        </w:rPr>
        <w:t>2</w:t>
      </w:r>
      <w:r>
        <w:rPr>
          <w:rStyle w:val="15"/>
          <w:rFonts w:hint="eastAsia" w:eastAsia="方正仿宋_GBK"/>
          <w:bCs/>
          <w:color w:val="auto"/>
          <w:sz w:val="30"/>
          <w:szCs w:val="30"/>
          <w:u w:val="none"/>
          <w:lang w:val="en-US" w:eastAsia="zh-CN"/>
        </w:rPr>
        <w:t>2</w:t>
      </w:r>
    </w:p>
    <w:p>
      <w:pPr>
        <w:pStyle w:val="11"/>
        <w:ind w:left="420"/>
        <w:rPr>
          <w:rStyle w:val="15"/>
          <w:rFonts w:hint="eastAsia" w:eastAsia="方正仿宋_GBK"/>
          <w:bCs/>
          <w:color w:val="auto"/>
          <w:sz w:val="30"/>
          <w:szCs w:val="30"/>
          <w:u w:val="none"/>
          <w:lang w:eastAsia="zh-CN"/>
        </w:rPr>
      </w:pPr>
      <w:r>
        <w:rPr>
          <w:rStyle w:val="15"/>
          <w:rFonts w:eastAsia="方正仿宋_GBK"/>
          <w:bCs/>
          <w:color w:val="auto"/>
          <w:sz w:val="30"/>
          <w:szCs w:val="30"/>
          <w:u w:val="none"/>
        </w:rPr>
        <w:t>四、财政拨款收入支出决算总表</w:t>
      </w:r>
      <w:r>
        <w:rPr>
          <w:rStyle w:val="15"/>
          <w:rFonts w:eastAsia="方正仿宋_GBK"/>
          <w:bCs/>
          <w:color w:val="auto"/>
          <w:sz w:val="30"/>
          <w:szCs w:val="30"/>
          <w:u w:val="none"/>
        </w:rPr>
        <w:tab/>
      </w:r>
      <w:r>
        <w:rPr>
          <w:rStyle w:val="15"/>
          <w:rFonts w:eastAsia="方正仿宋_GBK"/>
          <w:bCs/>
          <w:color w:val="auto"/>
          <w:sz w:val="30"/>
          <w:szCs w:val="30"/>
          <w:u w:val="none"/>
        </w:rPr>
        <w:t>2</w:t>
      </w:r>
      <w:r>
        <w:rPr>
          <w:rStyle w:val="15"/>
          <w:rFonts w:hint="eastAsia" w:eastAsia="方正仿宋_GBK"/>
          <w:bCs/>
          <w:color w:val="auto"/>
          <w:sz w:val="30"/>
          <w:szCs w:val="30"/>
          <w:u w:val="none"/>
          <w:lang w:val="en-US" w:eastAsia="zh-CN"/>
        </w:rPr>
        <w:t>2</w:t>
      </w:r>
    </w:p>
    <w:p>
      <w:pPr>
        <w:pStyle w:val="11"/>
        <w:ind w:left="420"/>
        <w:rPr>
          <w:rStyle w:val="15"/>
          <w:rFonts w:eastAsia="方正仿宋_GBK"/>
          <w:bCs/>
          <w:color w:val="auto"/>
          <w:sz w:val="30"/>
          <w:szCs w:val="30"/>
          <w:u w:val="none"/>
        </w:rPr>
      </w:pPr>
      <w:r>
        <w:rPr>
          <w:rStyle w:val="15"/>
          <w:rFonts w:eastAsia="方正仿宋_GBK"/>
          <w:bCs/>
          <w:color w:val="auto"/>
          <w:sz w:val="30"/>
          <w:szCs w:val="30"/>
          <w:u w:val="none"/>
        </w:rPr>
        <w:t>五、财政拨款支出决算明细表</w:t>
      </w:r>
      <w:r>
        <w:rPr>
          <w:rStyle w:val="15"/>
          <w:rFonts w:eastAsia="方正仿宋_GBK"/>
          <w:bCs/>
          <w:color w:val="auto"/>
          <w:sz w:val="30"/>
          <w:szCs w:val="30"/>
          <w:u w:val="none"/>
        </w:rPr>
        <w:tab/>
      </w:r>
      <w:r>
        <w:rPr>
          <w:rStyle w:val="15"/>
          <w:rFonts w:eastAsia="方正仿宋_GBK"/>
          <w:bCs/>
          <w:color w:val="auto"/>
          <w:sz w:val="30"/>
          <w:szCs w:val="30"/>
          <w:u w:val="none"/>
        </w:rPr>
        <w:t>2</w:t>
      </w:r>
      <w:r>
        <w:rPr>
          <w:rStyle w:val="15"/>
          <w:rFonts w:hint="eastAsia" w:eastAsia="方正仿宋_GBK"/>
          <w:bCs/>
          <w:color w:val="auto"/>
          <w:sz w:val="30"/>
          <w:szCs w:val="30"/>
          <w:u w:val="none"/>
          <w:lang w:val="en-US" w:eastAsia="zh-CN"/>
        </w:rPr>
        <w:t>2</w:t>
      </w:r>
    </w:p>
    <w:p>
      <w:pPr>
        <w:pStyle w:val="11"/>
        <w:ind w:left="420"/>
        <w:rPr>
          <w:rStyle w:val="15"/>
          <w:rFonts w:hint="eastAsia" w:eastAsia="方正仿宋_GBK"/>
          <w:bCs/>
          <w:color w:val="auto"/>
          <w:sz w:val="30"/>
          <w:szCs w:val="30"/>
          <w:u w:val="none"/>
          <w:lang w:eastAsia="zh-CN"/>
        </w:rPr>
      </w:pPr>
      <w:r>
        <w:rPr>
          <w:rStyle w:val="15"/>
          <w:rFonts w:eastAsia="方正仿宋_GBK"/>
          <w:bCs/>
          <w:color w:val="auto"/>
          <w:sz w:val="30"/>
          <w:szCs w:val="30"/>
          <w:u w:val="none"/>
        </w:rPr>
        <w:t>六、一般公共预算财政拨款支出决算表</w:t>
      </w:r>
      <w:r>
        <w:rPr>
          <w:rStyle w:val="15"/>
          <w:rFonts w:eastAsia="方正仿宋_GBK"/>
          <w:bCs/>
          <w:color w:val="auto"/>
          <w:sz w:val="30"/>
          <w:szCs w:val="30"/>
          <w:u w:val="none"/>
        </w:rPr>
        <w:tab/>
      </w:r>
      <w:r>
        <w:rPr>
          <w:rStyle w:val="15"/>
          <w:rFonts w:eastAsia="方正仿宋_GBK"/>
          <w:bCs/>
          <w:color w:val="auto"/>
          <w:sz w:val="30"/>
          <w:szCs w:val="30"/>
          <w:u w:val="none"/>
        </w:rPr>
        <w:t>2</w:t>
      </w:r>
      <w:r>
        <w:rPr>
          <w:rStyle w:val="15"/>
          <w:rFonts w:hint="eastAsia" w:eastAsia="方正仿宋_GBK"/>
          <w:bCs/>
          <w:color w:val="auto"/>
          <w:sz w:val="30"/>
          <w:szCs w:val="30"/>
          <w:u w:val="none"/>
          <w:lang w:val="en-US" w:eastAsia="zh-CN"/>
        </w:rPr>
        <w:t>2</w:t>
      </w:r>
    </w:p>
    <w:p>
      <w:pPr>
        <w:pStyle w:val="11"/>
        <w:ind w:left="420"/>
        <w:rPr>
          <w:rStyle w:val="15"/>
          <w:rFonts w:hint="eastAsia" w:eastAsia="方正仿宋_GBK"/>
          <w:bCs/>
          <w:color w:val="auto"/>
          <w:sz w:val="30"/>
          <w:szCs w:val="30"/>
          <w:u w:val="none"/>
          <w:lang w:eastAsia="zh-CN"/>
        </w:rPr>
      </w:pPr>
      <w:r>
        <w:rPr>
          <w:rStyle w:val="15"/>
          <w:rFonts w:eastAsia="方正仿宋_GBK"/>
          <w:bCs/>
          <w:color w:val="auto"/>
          <w:sz w:val="30"/>
          <w:szCs w:val="30"/>
          <w:u w:val="none"/>
        </w:rPr>
        <w:t>七、一般公共预算财政拨款支出决算明细表</w:t>
      </w:r>
      <w:r>
        <w:rPr>
          <w:rStyle w:val="15"/>
          <w:rFonts w:eastAsia="方正仿宋_GBK"/>
          <w:bCs/>
          <w:color w:val="auto"/>
          <w:sz w:val="30"/>
          <w:szCs w:val="30"/>
          <w:u w:val="none"/>
        </w:rPr>
        <w:tab/>
      </w:r>
      <w:r>
        <w:rPr>
          <w:rStyle w:val="15"/>
          <w:rFonts w:eastAsia="方正仿宋_GBK"/>
          <w:bCs/>
          <w:color w:val="auto"/>
          <w:sz w:val="30"/>
          <w:szCs w:val="30"/>
          <w:u w:val="none"/>
        </w:rPr>
        <w:t>2</w:t>
      </w:r>
      <w:r>
        <w:rPr>
          <w:rStyle w:val="15"/>
          <w:rFonts w:hint="eastAsia" w:eastAsia="方正仿宋_GBK"/>
          <w:bCs/>
          <w:color w:val="auto"/>
          <w:sz w:val="30"/>
          <w:szCs w:val="30"/>
          <w:u w:val="none"/>
          <w:lang w:val="en-US" w:eastAsia="zh-CN"/>
        </w:rPr>
        <w:t>2</w:t>
      </w:r>
    </w:p>
    <w:p>
      <w:pPr>
        <w:pStyle w:val="11"/>
        <w:ind w:left="420"/>
        <w:rPr>
          <w:rStyle w:val="15"/>
          <w:rFonts w:hint="eastAsia" w:eastAsia="方正仿宋_GBK"/>
          <w:bCs/>
          <w:color w:val="auto"/>
          <w:sz w:val="30"/>
          <w:szCs w:val="30"/>
          <w:u w:val="none"/>
          <w:lang w:eastAsia="zh-CN"/>
        </w:rPr>
      </w:pPr>
      <w:r>
        <w:rPr>
          <w:rStyle w:val="15"/>
          <w:rFonts w:eastAsia="方正仿宋_GBK"/>
          <w:bCs/>
          <w:color w:val="auto"/>
          <w:sz w:val="30"/>
          <w:szCs w:val="30"/>
          <w:u w:val="none"/>
        </w:rPr>
        <w:t>八、一般公共预算财政拨款基本支出决算表</w:t>
      </w:r>
      <w:r>
        <w:rPr>
          <w:rStyle w:val="15"/>
          <w:rFonts w:eastAsia="方正仿宋_GBK"/>
          <w:bCs/>
          <w:color w:val="auto"/>
          <w:sz w:val="30"/>
          <w:szCs w:val="30"/>
          <w:u w:val="none"/>
        </w:rPr>
        <w:tab/>
      </w:r>
      <w:r>
        <w:rPr>
          <w:rStyle w:val="15"/>
          <w:rFonts w:eastAsia="方正仿宋_GBK"/>
          <w:bCs/>
          <w:color w:val="auto"/>
          <w:sz w:val="30"/>
          <w:szCs w:val="30"/>
          <w:u w:val="none"/>
        </w:rPr>
        <w:t>2</w:t>
      </w:r>
      <w:r>
        <w:rPr>
          <w:rStyle w:val="15"/>
          <w:rFonts w:hint="eastAsia" w:eastAsia="方正仿宋_GBK"/>
          <w:bCs/>
          <w:color w:val="auto"/>
          <w:sz w:val="30"/>
          <w:szCs w:val="30"/>
          <w:u w:val="none"/>
          <w:lang w:val="en-US" w:eastAsia="zh-CN"/>
        </w:rPr>
        <w:t>2</w:t>
      </w:r>
    </w:p>
    <w:p>
      <w:pPr>
        <w:pStyle w:val="11"/>
        <w:ind w:left="420"/>
        <w:rPr>
          <w:rStyle w:val="15"/>
          <w:rFonts w:hint="eastAsia" w:eastAsia="方正仿宋_GBK"/>
          <w:bCs/>
          <w:color w:val="auto"/>
          <w:sz w:val="30"/>
          <w:szCs w:val="30"/>
          <w:u w:val="none"/>
          <w:lang w:eastAsia="zh-CN"/>
        </w:rPr>
      </w:pPr>
      <w:r>
        <w:rPr>
          <w:rStyle w:val="15"/>
          <w:rFonts w:eastAsia="方正仿宋_GBK"/>
          <w:bCs/>
          <w:color w:val="auto"/>
          <w:sz w:val="30"/>
          <w:szCs w:val="30"/>
          <w:u w:val="none"/>
        </w:rPr>
        <w:t>九、一般公共预算财政拨款项目支出决算表</w:t>
      </w:r>
      <w:r>
        <w:rPr>
          <w:rStyle w:val="15"/>
          <w:rFonts w:eastAsia="方正仿宋_GBK"/>
          <w:bCs/>
          <w:color w:val="auto"/>
          <w:sz w:val="30"/>
          <w:szCs w:val="30"/>
          <w:u w:val="none"/>
        </w:rPr>
        <w:tab/>
      </w:r>
      <w:r>
        <w:rPr>
          <w:rStyle w:val="15"/>
          <w:rFonts w:eastAsia="方正仿宋_GBK"/>
          <w:bCs/>
          <w:color w:val="auto"/>
          <w:sz w:val="30"/>
          <w:szCs w:val="30"/>
          <w:u w:val="none"/>
        </w:rPr>
        <w:t>2</w:t>
      </w:r>
      <w:r>
        <w:rPr>
          <w:rStyle w:val="15"/>
          <w:rFonts w:hint="eastAsia" w:eastAsia="方正仿宋_GBK"/>
          <w:bCs/>
          <w:color w:val="auto"/>
          <w:sz w:val="30"/>
          <w:szCs w:val="30"/>
          <w:u w:val="none"/>
          <w:lang w:val="en-US" w:eastAsia="zh-CN"/>
        </w:rPr>
        <w:t>2</w:t>
      </w:r>
    </w:p>
    <w:p>
      <w:pPr>
        <w:pStyle w:val="11"/>
        <w:ind w:left="420"/>
        <w:rPr>
          <w:rStyle w:val="15"/>
          <w:rFonts w:hint="eastAsia" w:eastAsia="方正仿宋_GBK"/>
          <w:bCs/>
          <w:color w:val="auto"/>
          <w:sz w:val="30"/>
          <w:szCs w:val="30"/>
          <w:u w:val="none"/>
          <w:lang w:eastAsia="zh-CN"/>
        </w:rPr>
      </w:pPr>
      <w:r>
        <w:rPr>
          <w:rStyle w:val="15"/>
          <w:rFonts w:eastAsia="方正仿宋_GBK"/>
          <w:bCs/>
          <w:color w:val="auto"/>
          <w:sz w:val="30"/>
          <w:szCs w:val="30"/>
          <w:u w:val="none"/>
        </w:rPr>
        <w:t>十、一般公共预算财政拨款“三公”经费支出决算表</w:t>
      </w:r>
      <w:r>
        <w:rPr>
          <w:rStyle w:val="15"/>
          <w:rFonts w:eastAsia="方正仿宋_GBK"/>
          <w:bCs/>
          <w:color w:val="auto"/>
          <w:sz w:val="30"/>
          <w:szCs w:val="30"/>
          <w:u w:val="none"/>
        </w:rPr>
        <w:tab/>
      </w:r>
      <w:r>
        <w:rPr>
          <w:rStyle w:val="15"/>
          <w:rFonts w:eastAsia="方正仿宋_GBK"/>
          <w:bCs/>
          <w:color w:val="auto"/>
          <w:sz w:val="30"/>
          <w:szCs w:val="30"/>
          <w:u w:val="none"/>
        </w:rPr>
        <w:t>2</w:t>
      </w:r>
      <w:r>
        <w:rPr>
          <w:rStyle w:val="15"/>
          <w:rFonts w:hint="eastAsia" w:eastAsia="方正仿宋_GBK"/>
          <w:bCs/>
          <w:color w:val="auto"/>
          <w:sz w:val="30"/>
          <w:szCs w:val="30"/>
          <w:u w:val="none"/>
          <w:lang w:val="en-US" w:eastAsia="zh-CN"/>
        </w:rPr>
        <w:t>2</w:t>
      </w:r>
    </w:p>
    <w:p>
      <w:pPr>
        <w:pStyle w:val="11"/>
        <w:ind w:left="420"/>
        <w:rPr>
          <w:rStyle w:val="15"/>
          <w:rFonts w:hint="eastAsia" w:eastAsia="方正仿宋_GBK"/>
          <w:bCs/>
          <w:color w:val="auto"/>
          <w:sz w:val="30"/>
          <w:szCs w:val="30"/>
          <w:u w:val="none"/>
          <w:lang w:eastAsia="zh-CN"/>
        </w:rPr>
      </w:pPr>
      <w:r>
        <w:rPr>
          <w:rStyle w:val="15"/>
          <w:rFonts w:eastAsia="方正仿宋_GBK"/>
          <w:bCs/>
          <w:color w:val="auto"/>
          <w:sz w:val="30"/>
          <w:szCs w:val="30"/>
          <w:u w:val="none"/>
        </w:rPr>
        <w:t>十一、政府性基金预算财政拨款收入支出决算表</w:t>
      </w:r>
      <w:r>
        <w:rPr>
          <w:rStyle w:val="15"/>
          <w:rFonts w:eastAsia="方正仿宋_GBK"/>
          <w:bCs/>
          <w:color w:val="auto"/>
          <w:sz w:val="30"/>
          <w:szCs w:val="30"/>
          <w:u w:val="none"/>
        </w:rPr>
        <w:tab/>
      </w:r>
      <w:r>
        <w:rPr>
          <w:rStyle w:val="15"/>
          <w:rFonts w:eastAsia="方正仿宋_GBK"/>
          <w:bCs/>
          <w:color w:val="auto"/>
          <w:sz w:val="30"/>
          <w:szCs w:val="30"/>
          <w:u w:val="none"/>
        </w:rPr>
        <w:t>2</w:t>
      </w:r>
      <w:r>
        <w:rPr>
          <w:rStyle w:val="15"/>
          <w:rFonts w:hint="eastAsia" w:eastAsia="方正仿宋_GBK"/>
          <w:bCs/>
          <w:color w:val="auto"/>
          <w:sz w:val="30"/>
          <w:szCs w:val="30"/>
          <w:u w:val="none"/>
          <w:lang w:val="en-US" w:eastAsia="zh-CN"/>
        </w:rPr>
        <w:t>2</w:t>
      </w:r>
    </w:p>
    <w:p>
      <w:pPr>
        <w:pStyle w:val="11"/>
        <w:ind w:left="420"/>
        <w:rPr>
          <w:rStyle w:val="15"/>
          <w:rFonts w:hint="eastAsia" w:eastAsia="方正仿宋_GBK"/>
          <w:bCs/>
          <w:color w:val="auto"/>
          <w:sz w:val="30"/>
          <w:szCs w:val="30"/>
          <w:u w:val="none"/>
          <w:lang w:eastAsia="zh-CN"/>
        </w:rPr>
      </w:pPr>
      <w:r>
        <w:rPr>
          <w:rStyle w:val="15"/>
          <w:rFonts w:eastAsia="方正仿宋_GBK"/>
          <w:bCs/>
          <w:color w:val="auto"/>
          <w:sz w:val="30"/>
          <w:szCs w:val="30"/>
          <w:u w:val="none"/>
        </w:rPr>
        <w:t>十二、政府性基金预算财政拨款“三公”经费支出决算表</w:t>
      </w:r>
      <w:r>
        <w:rPr>
          <w:rStyle w:val="15"/>
          <w:rFonts w:eastAsia="方正仿宋_GBK"/>
          <w:bCs/>
          <w:color w:val="auto"/>
          <w:sz w:val="30"/>
          <w:szCs w:val="30"/>
          <w:u w:val="none"/>
        </w:rPr>
        <w:tab/>
      </w:r>
      <w:r>
        <w:rPr>
          <w:rStyle w:val="15"/>
          <w:rFonts w:eastAsia="方正仿宋_GBK"/>
          <w:bCs/>
          <w:color w:val="auto"/>
          <w:sz w:val="30"/>
          <w:szCs w:val="30"/>
          <w:u w:val="none"/>
        </w:rPr>
        <w:t>2</w:t>
      </w:r>
      <w:r>
        <w:rPr>
          <w:rStyle w:val="15"/>
          <w:rFonts w:hint="eastAsia" w:eastAsia="方正仿宋_GBK"/>
          <w:bCs/>
          <w:color w:val="auto"/>
          <w:sz w:val="30"/>
          <w:szCs w:val="30"/>
          <w:u w:val="none"/>
          <w:lang w:val="en-US" w:eastAsia="zh-CN"/>
        </w:rPr>
        <w:t>2</w:t>
      </w:r>
    </w:p>
    <w:p>
      <w:pPr>
        <w:pStyle w:val="11"/>
        <w:ind w:left="420"/>
        <w:rPr>
          <w:rStyle w:val="15"/>
          <w:rFonts w:hint="eastAsia" w:eastAsia="方正仿宋_GBK"/>
          <w:bCs/>
          <w:color w:val="auto"/>
          <w:sz w:val="30"/>
          <w:szCs w:val="30"/>
          <w:u w:val="none"/>
          <w:lang w:eastAsia="zh-CN"/>
        </w:rPr>
      </w:pPr>
      <w:r>
        <w:rPr>
          <w:rStyle w:val="15"/>
          <w:rFonts w:eastAsia="方正仿宋_GBK"/>
          <w:bCs/>
          <w:color w:val="auto"/>
          <w:sz w:val="30"/>
          <w:szCs w:val="30"/>
          <w:u w:val="none"/>
        </w:rPr>
        <w:t>十三、国有资本经营预算财政拨款支出决算表</w:t>
      </w:r>
      <w:r>
        <w:rPr>
          <w:rStyle w:val="15"/>
          <w:rFonts w:eastAsia="方正仿宋_GBK"/>
          <w:bCs/>
          <w:color w:val="auto"/>
          <w:sz w:val="30"/>
          <w:szCs w:val="30"/>
          <w:u w:val="none"/>
        </w:rPr>
        <w:tab/>
      </w:r>
      <w:r>
        <w:rPr>
          <w:rStyle w:val="15"/>
          <w:rFonts w:eastAsia="方正仿宋_GBK"/>
          <w:bCs/>
          <w:color w:val="auto"/>
          <w:sz w:val="30"/>
          <w:szCs w:val="30"/>
          <w:u w:val="none"/>
        </w:rPr>
        <w:t>2</w:t>
      </w:r>
      <w:r>
        <w:rPr>
          <w:rStyle w:val="15"/>
          <w:rFonts w:hint="eastAsia" w:eastAsia="方正仿宋_GBK"/>
          <w:bCs/>
          <w:color w:val="auto"/>
          <w:sz w:val="30"/>
          <w:szCs w:val="30"/>
          <w:u w:val="none"/>
          <w:lang w:val="en-US" w:eastAsia="zh-CN"/>
        </w:rPr>
        <w:t>2</w:t>
      </w:r>
    </w:p>
    <w:p>
      <w:pPr>
        <w:pStyle w:val="11"/>
        <w:ind w:left="420"/>
        <w:rPr>
          <w:rStyle w:val="15"/>
          <w:rFonts w:hint="eastAsia" w:eastAsia="方正仿宋_GBK"/>
          <w:bCs/>
          <w:color w:val="auto"/>
          <w:sz w:val="30"/>
          <w:szCs w:val="30"/>
          <w:u w:val="none"/>
          <w:lang w:eastAsia="zh-CN"/>
        </w:rPr>
      </w:pPr>
      <w:r>
        <w:rPr>
          <w:rStyle w:val="15"/>
          <w:rFonts w:eastAsia="方正仿宋_GBK"/>
          <w:bCs/>
          <w:color w:val="auto"/>
          <w:sz w:val="30"/>
          <w:szCs w:val="30"/>
          <w:u w:val="none"/>
        </w:rPr>
        <w:t>十四、国有资本经营预算财政拨款支出决算表</w:t>
      </w:r>
      <w:r>
        <w:rPr>
          <w:rStyle w:val="15"/>
          <w:rFonts w:eastAsia="方正仿宋_GBK"/>
          <w:bCs/>
          <w:color w:val="auto"/>
          <w:sz w:val="30"/>
          <w:szCs w:val="30"/>
          <w:u w:val="none"/>
        </w:rPr>
        <w:tab/>
      </w:r>
      <w:r>
        <w:rPr>
          <w:rStyle w:val="15"/>
          <w:rFonts w:eastAsia="方正仿宋_GBK"/>
          <w:bCs/>
          <w:color w:val="auto"/>
          <w:sz w:val="30"/>
          <w:szCs w:val="30"/>
          <w:u w:val="none"/>
        </w:rPr>
        <w:t>2</w:t>
      </w:r>
      <w:r>
        <w:rPr>
          <w:rStyle w:val="15"/>
          <w:rFonts w:hint="eastAsia" w:eastAsia="方正仿宋_GBK"/>
          <w:bCs/>
          <w:color w:val="auto"/>
          <w:sz w:val="30"/>
          <w:szCs w:val="30"/>
          <w:u w:val="none"/>
          <w:lang w:val="en-US" w:eastAsia="zh-CN"/>
        </w:rPr>
        <w:t>2</w:t>
      </w:r>
    </w:p>
    <w:p>
      <w:pPr>
        <w:rPr>
          <w:rStyle w:val="15"/>
          <w:rFonts w:eastAsia="仿宋"/>
          <w:bCs/>
          <w:color w:val="auto"/>
          <w:sz w:val="28"/>
          <w:szCs w:val="28"/>
          <w:u w:val="none"/>
        </w:rPr>
      </w:pPr>
    </w:p>
    <w:p>
      <w:pPr>
        <w:rPr>
          <w:rStyle w:val="15"/>
          <w:rFonts w:eastAsia="仿宋"/>
          <w:bCs/>
          <w:color w:val="auto"/>
          <w:sz w:val="28"/>
          <w:szCs w:val="28"/>
          <w:u w:val="none"/>
        </w:rPr>
      </w:pPr>
    </w:p>
    <w:p>
      <w:pPr>
        <w:rPr>
          <w:rStyle w:val="15"/>
          <w:rFonts w:eastAsia="仿宋"/>
          <w:bCs/>
          <w:color w:val="auto"/>
          <w:sz w:val="28"/>
          <w:szCs w:val="28"/>
          <w:u w:val="none"/>
        </w:rPr>
      </w:pPr>
    </w:p>
    <w:p>
      <w:pPr>
        <w:rPr>
          <w:rStyle w:val="15"/>
          <w:rFonts w:eastAsia="仿宋"/>
          <w:bCs/>
          <w:color w:val="auto"/>
          <w:sz w:val="28"/>
          <w:szCs w:val="28"/>
          <w:u w:val="none"/>
        </w:rPr>
      </w:pPr>
    </w:p>
    <w:p>
      <w:pPr>
        <w:rPr>
          <w:rStyle w:val="15"/>
          <w:rFonts w:eastAsia="仿宋"/>
          <w:bCs/>
          <w:color w:val="auto"/>
          <w:sz w:val="28"/>
          <w:szCs w:val="28"/>
          <w:u w:val="none"/>
        </w:rPr>
      </w:pPr>
    </w:p>
    <w:p>
      <w:pPr>
        <w:rPr>
          <w:rStyle w:val="15"/>
          <w:rFonts w:eastAsia="仿宋"/>
          <w:bCs/>
          <w:color w:val="auto"/>
          <w:sz w:val="28"/>
          <w:szCs w:val="28"/>
          <w:u w:val="none"/>
        </w:rPr>
      </w:pPr>
    </w:p>
    <w:p>
      <w:pPr>
        <w:pStyle w:val="2"/>
        <w:jc w:val="center"/>
        <w:rPr>
          <w:rFonts w:eastAsia="黑体"/>
          <w:sz w:val="32"/>
          <w:szCs w:val="32"/>
        </w:rPr>
      </w:pPr>
      <w:r>
        <w:rPr>
          <w:rFonts w:eastAsia="黑体"/>
          <w:b w:val="0"/>
        </w:rPr>
        <w:t xml:space="preserve">第一部分 </w:t>
      </w:r>
      <w:r>
        <w:rPr>
          <w:rStyle w:val="16"/>
          <w:rFonts w:eastAsia="黑体"/>
          <w:b w:val="0"/>
          <w:bCs w:val="0"/>
        </w:rPr>
        <w:t>部门概况</w:t>
      </w:r>
      <w:bookmarkEnd w:id="12"/>
      <w:bookmarkEnd w:id="13"/>
    </w:p>
    <w:p>
      <w:pPr>
        <w:pStyle w:val="3"/>
        <w:spacing w:before="0" w:after="0" w:line="240" w:lineRule="auto"/>
        <w:ind w:left="640" w:hanging="640" w:hangingChars="200"/>
        <w:rPr>
          <w:rStyle w:val="17"/>
          <w:rFonts w:ascii="Times New Roman" w:hAnsi="Times New Roman" w:eastAsia="黑体"/>
          <w:b w:val="0"/>
          <w:bCs w:val="0"/>
        </w:rPr>
      </w:pPr>
      <w:bookmarkStart w:id="14" w:name="_Toc15396600"/>
      <w:bookmarkStart w:id="15" w:name="_Toc15377197"/>
      <w:r>
        <w:rPr>
          <w:rFonts w:ascii="Times New Roman" w:hAnsi="Times New Roman" w:eastAsia="黑体"/>
          <w:b w:val="0"/>
        </w:rPr>
        <w:t>一、基</w:t>
      </w:r>
      <w:r>
        <w:rPr>
          <w:rStyle w:val="17"/>
          <w:rFonts w:ascii="Times New Roman" w:hAnsi="Times New Roman" w:eastAsia="黑体"/>
          <w:b w:val="0"/>
          <w:bCs w:val="0"/>
        </w:rPr>
        <w:t>本职能及主要工作</w:t>
      </w:r>
      <w:bookmarkEnd w:id="14"/>
      <w:bookmarkEnd w:id="15"/>
      <w:bookmarkStart w:id="16" w:name="_Toc15377198"/>
      <w:bookmarkStart w:id="17" w:name="_Toc15378445"/>
    </w:p>
    <w:p>
      <w:pPr>
        <w:pStyle w:val="3"/>
        <w:spacing w:before="0" w:after="0" w:line="240" w:lineRule="auto"/>
        <w:ind w:left="642" w:leftChars="153" w:hanging="321" w:hangingChars="100"/>
        <w:rPr>
          <w:rFonts w:ascii="Times New Roman" w:hAnsi="Times New Roman" w:eastAsia="楷体"/>
        </w:rPr>
      </w:pPr>
      <w:r>
        <w:rPr>
          <w:rFonts w:ascii="Times New Roman" w:hAnsi="Times New Roman" w:eastAsia="楷体"/>
        </w:rPr>
        <w:t>（一）主要职能</w:t>
      </w:r>
      <w:bookmarkEnd w:id="16"/>
      <w:bookmarkEnd w:id="17"/>
      <w:bookmarkStart w:id="18" w:name="_Toc15378446"/>
      <w:bookmarkStart w:id="19" w:name="_Toc15377199"/>
    </w:p>
    <w:p>
      <w:pPr>
        <w:ind w:firstLine="640" w:firstLineChars="200"/>
        <w:rPr>
          <w:rFonts w:eastAsia="仿宋_GB2312"/>
          <w:sz w:val="32"/>
          <w:szCs w:val="32"/>
        </w:rPr>
      </w:pPr>
      <w:r>
        <w:rPr>
          <w:rFonts w:hint="eastAsia" w:eastAsia="仿宋_GB2312"/>
          <w:sz w:val="32"/>
          <w:szCs w:val="32"/>
        </w:rPr>
        <w:t>根据2019年中共金川县委办公室《关于印发&lt;中共金川县委组织部职能配置、内设机构和人员编制规定&gt;的通知》（金委办发[2019]58）文件规定，我部主要职责是：负责全县各级党组织建设；负责全县的干部管理工作；负责全县公务员工作；负责全县人才工作的宏观指导、组织协调和督促检查；负责全县干部教育培训工作的宏观指导、政策规划、组织协调和督促检查；负责全县干部监督工作的宏观指导和综合协调、制定和落实干部监督工作制度；协调、督促、检查全县老干部工作，提出老干部工作的有关政策性及贯彻实施意见；统一管理县委机构编制委员会办公室；承担县委党建领导小组、县人才工作领导小组日常工作；承办县委、州委组织部交办的其他事项。</w:t>
      </w:r>
    </w:p>
    <w:p>
      <w:pPr>
        <w:pStyle w:val="3"/>
        <w:spacing w:before="0" w:after="0" w:line="240" w:lineRule="auto"/>
        <w:ind w:firstLine="321" w:firstLineChars="100"/>
        <w:rPr>
          <w:rFonts w:ascii="Times New Roman" w:hAnsi="Times New Roman" w:eastAsia="楷体"/>
        </w:rPr>
      </w:pPr>
      <w:r>
        <w:rPr>
          <w:rFonts w:ascii="Times New Roman" w:hAnsi="Times New Roman" w:eastAsia="楷体"/>
        </w:rPr>
        <w:t>（二）2021年重点工作完成情况</w:t>
      </w:r>
      <w:bookmarkEnd w:id="18"/>
      <w:bookmarkEnd w:id="19"/>
    </w:p>
    <w:p>
      <w:pPr>
        <w:ind w:firstLine="640" w:firstLineChars="200"/>
        <w:rPr>
          <w:rFonts w:eastAsia="仿宋_GB2312"/>
          <w:sz w:val="32"/>
          <w:szCs w:val="32"/>
        </w:rPr>
      </w:pPr>
      <w:bookmarkStart w:id="20" w:name="_Toc15377200"/>
      <w:bookmarkStart w:id="21" w:name="_Toc15396601"/>
      <w:r>
        <w:rPr>
          <w:rFonts w:hint="eastAsia" w:eastAsia="仿宋_GB2312"/>
          <w:sz w:val="32"/>
          <w:szCs w:val="32"/>
        </w:rPr>
        <w:t>1.负责全县各级党组织建设工作，规划和指导全县党员教育工作，抓好了全县党员管理和党员发展及培训工作。</w:t>
      </w:r>
    </w:p>
    <w:p>
      <w:pPr>
        <w:ind w:firstLine="640" w:firstLineChars="200"/>
        <w:rPr>
          <w:rFonts w:eastAsia="仿宋_GB2312"/>
          <w:sz w:val="32"/>
          <w:szCs w:val="32"/>
        </w:rPr>
      </w:pPr>
      <w:r>
        <w:rPr>
          <w:rFonts w:hint="eastAsia" w:eastAsia="仿宋_GB2312"/>
          <w:sz w:val="32"/>
          <w:szCs w:val="32"/>
        </w:rPr>
        <w:t>2.抓好了全县的干部管理工作；对培养和选拔中、青年干部及后备干部队伍进行了相关的培训工作。</w:t>
      </w:r>
    </w:p>
    <w:p>
      <w:pPr>
        <w:ind w:firstLine="640" w:firstLineChars="200"/>
        <w:rPr>
          <w:rFonts w:eastAsia="仿宋_GB2312"/>
          <w:sz w:val="32"/>
          <w:szCs w:val="32"/>
        </w:rPr>
      </w:pPr>
      <w:r>
        <w:rPr>
          <w:rFonts w:hint="eastAsia" w:eastAsia="仿宋_GB2312"/>
          <w:sz w:val="32"/>
          <w:szCs w:val="32"/>
        </w:rPr>
        <w:t>3.协调、督促、检查全县老干部工作的方针政策及有关规定的贯彻执行情况，做好了县级离退休干部的管理服务工作。</w:t>
      </w:r>
    </w:p>
    <w:p>
      <w:pPr>
        <w:ind w:firstLine="640" w:firstLineChars="200"/>
        <w:rPr>
          <w:rStyle w:val="17"/>
          <w:rFonts w:ascii="Times New Roman" w:hAnsi="Times New Roman"/>
          <w:b w:val="0"/>
          <w:bCs w:val="0"/>
        </w:rPr>
      </w:pPr>
      <w:r>
        <w:rPr>
          <w:rFonts w:hint="eastAsia" w:eastAsia="仿宋_GB2312"/>
          <w:sz w:val="32"/>
          <w:szCs w:val="32"/>
        </w:rPr>
        <w:t>4.认真、及时完成县委、州委组织部交办的其它工作。</w:t>
      </w:r>
      <w:r>
        <w:rPr>
          <w:rStyle w:val="17"/>
          <w:rFonts w:ascii="Times New Roman" w:hAnsi="Times New Roman" w:eastAsia="黑体"/>
          <w:b w:val="0"/>
          <w:bCs w:val="0"/>
        </w:rPr>
        <w:t>二、机构设置</w:t>
      </w:r>
      <w:bookmarkEnd w:id="20"/>
      <w:bookmarkEnd w:id="21"/>
    </w:p>
    <w:p>
      <w:pPr>
        <w:widowControl/>
        <w:spacing w:line="560" w:lineRule="exact"/>
        <w:ind w:firstLine="640" w:firstLineChars="200"/>
        <w:jc w:val="left"/>
        <w:rPr>
          <w:rFonts w:eastAsia="仿宋_GB2312"/>
          <w:sz w:val="32"/>
          <w:szCs w:val="32"/>
        </w:rPr>
      </w:pPr>
      <w:bookmarkStart w:id="22" w:name="_Toc15396602"/>
      <w:bookmarkStart w:id="23" w:name="_Toc15377204"/>
      <w:r>
        <w:rPr>
          <w:rFonts w:hint="eastAsia" w:ascii="仿宋_GB2312" w:eastAsia="仿宋_GB2312"/>
          <w:color w:val="000000"/>
          <w:sz w:val="32"/>
          <w:szCs w:val="32"/>
        </w:rPr>
        <w:t>中共金川县委组织部由中共金川县委组织部、中共金川县委党员教育工作中心、中共金川县委组织部信息中心组成</w:t>
      </w:r>
      <w:r>
        <w:rPr>
          <w:rFonts w:hint="eastAsia" w:ascii="仿宋_GB2312" w:eastAsia="仿宋_GB2312"/>
          <w:bCs/>
          <w:color w:val="000000"/>
          <w:sz w:val="32"/>
          <w:szCs w:val="32"/>
        </w:rPr>
        <w:t>，设</w:t>
      </w:r>
      <w:r>
        <w:rPr>
          <w:rFonts w:hint="eastAsia" w:ascii="仿宋_GB2312" w:eastAsia="仿宋_GB2312"/>
          <w:color w:val="000000"/>
          <w:sz w:val="32"/>
          <w:szCs w:val="32"/>
        </w:rPr>
        <w:t>统一核算机构为1个，独立编制机构3个，其中:行政单位1个，参照公务员法管理的事业单位1个，事业单位1个。</w:t>
      </w:r>
    </w:p>
    <w:p>
      <w:pPr>
        <w:ind w:firstLine="640" w:firstLineChars="200"/>
        <w:rPr>
          <w:rFonts w:eastAsia="仿宋_GB2312"/>
          <w:sz w:val="32"/>
          <w:szCs w:val="32"/>
        </w:rPr>
      </w:pPr>
      <w:r>
        <w:rPr>
          <w:rFonts w:hint="eastAsia" w:eastAsia="仿宋_GB2312"/>
          <w:sz w:val="32"/>
          <w:szCs w:val="32"/>
        </w:rPr>
        <w:t>总编制29名,其中：行政编制17名（包括行政工勤2名）、参照公务员法管理的事业编制6名、财政补助事业编制6名。总编制与上年无变化。年末实有在职人数22名，行政人员15名（包括行政工勤2名）、参照公务员法管理的事业人员3名、财政补助事业人员4名。年末实有在职人数与上年无变化。</w:t>
      </w:r>
    </w:p>
    <w:p>
      <w:pPr>
        <w:pStyle w:val="2"/>
        <w:ind w:right="440"/>
        <w:jc w:val="right"/>
      </w:pPr>
      <w:r>
        <w:rPr>
          <w:rFonts w:eastAsia="黑体"/>
          <w:b w:val="0"/>
        </w:rPr>
        <w:t>第二部分</w:t>
      </w:r>
      <w:r>
        <w:rPr>
          <w:rFonts w:eastAsia="黑体"/>
        </w:rPr>
        <w:t xml:space="preserve"> </w:t>
      </w:r>
      <w:r>
        <w:rPr>
          <w:rStyle w:val="16"/>
          <w:rFonts w:eastAsia="黑体"/>
          <w:b w:val="0"/>
          <w:bCs w:val="0"/>
        </w:rPr>
        <w:t>202</w:t>
      </w:r>
      <w:r>
        <w:rPr>
          <w:rStyle w:val="16"/>
          <w:rFonts w:hint="eastAsia" w:eastAsia="黑体"/>
          <w:b w:val="0"/>
          <w:bCs w:val="0"/>
        </w:rPr>
        <w:t xml:space="preserve">1 </w:t>
      </w:r>
      <w:r>
        <w:rPr>
          <w:rStyle w:val="16"/>
          <w:rFonts w:eastAsia="黑体"/>
          <w:b w:val="0"/>
          <w:bCs w:val="0"/>
        </w:rPr>
        <w:t>年度部门决算情况说明</w:t>
      </w:r>
      <w:bookmarkEnd w:id="22"/>
      <w:bookmarkEnd w:id="23"/>
    </w:p>
    <w:p>
      <w:pPr>
        <w:pStyle w:val="22"/>
        <w:numPr>
          <w:ilvl w:val="0"/>
          <w:numId w:val="1"/>
        </w:numPr>
        <w:ind w:left="0" w:firstLine="0" w:firstLineChars="0"/>
        <w:outlineLvl w:val="1"/>
        <w:rPr>
          <w:rStyle w:val="17"/>
          <w:rFonts w:ascii="Times New Roman" w:hAnsi="Times New Roman" w:eastAsia="黑体"/>
          <w:b w:val="0"/>
        </w:rPr>
      </w:pPr>
      <w:bookmarkStart w:id="24" w:name="_Toc15396603"/>
      <w:bookmarkStart w:id="25" w:name="_Toc15377205"/>
      <w:r>
        <w:rPr>
          <w:rFonts w:eastAsia="黑体"/>
          <w:sz w:val="32"/>
          <w:szCs w:val="32"/>
        </w:rPr>
        <w:t>收</w:t>
      </w:r>
      <w:r>
        <w:rPr>
          <w:rStyle w:val="17"/>
          <w:rFonts w:ascii="Times New Roman" w:hAnsi="Times New Roman" w:eastAsia="黑体"/>
          <w:b w:val="0"/>
        </w:rPr>
        <w:t>入支出决算总体情况说明</w:t>
      </w:r>
      <w:bookmarkEnd w:id="24"/>
      <w:bookmarkEnd w:id="25"/>
    </w:p>
    <w:p>
      <w:pPr>
        <w:pStyle w:val="22"/>
        <w:spacing w:line="600" w:lineRule="exact"/>
        <w:ind w:firstLine="640"/>
        <w:rPr>
          <w:rFonts w:eastAsia="仿宋_GB2312"/>
          <w:sz w:val="32"/>
          <w:szCs w:val="32"/>
        </w:rPr>
      </w:pPr>
      <w:bookmarkStart w:id="26" w:name="_Toc15377206"/>
      <w:bookmarkStart w:id="27" w:name="_Toc15396604"/>
      <w:r>
        <w:rPr>
          <w:rFonts w:hint="eastAsia" w:eastAsia="仿宋_GB2312"/>
          <w:sz w:val="32"/>
          <w:szCs w:val="32"/>
        </w:rPr>
        <w:t>1、</w:t>
      </w:r>
      <w:r>
        <w:rPr>
          <w:rFonts w:eastAsia="仿宋_GB2312"/>
          <w:sz w:val="32"/>
          <w:szCs w:val="32"/>
        </w:rPr>
        <w:t>2021年度财政拨款收入总决算</w:t>
      </w:r>
      <w:r>
        <w:rPr>
          <w:rFonts w:hint="eastAsia" w:eastAsia="仿宋_GB2312"/>
          <w:sz w:val="32"/>
          <w:szCs w:val="32"/>
        </w:rPr>
        <w:t>1225.3</w:t>
      </w:r>
      <w:r>
        <w:rPr>
          <w:rFonts w:eastAsia="仿宋_GB2312"/>
          <w:sz w:val="32"/>
          <w:szCs w:val="32"/>
        </w:rPr>
        <w:t>万元与2020年财政拨款收入总决算</w:t>
      </w:r>
      <w:r>
        <w:rPr>
          <w:rFonts w:hint="eastAsia" w:eastAsia="仿宋_GB2312"/>
          <w:sz w:val="32"/>
          <w:szCs w:val="32"/>
        </w:rPr>
        <w:t>1409.63</w:t>
      </w:r>
      <w:r>
        <w:rPr>
          <w:rFonts w:eastAsia="仿宋_GB2312"/>
          <w:sz w:val="32"/>
          <w:szCs w:val="32"/>
        </w:rPr>
        <w:t>万元相比收入减少</w:t>
      </w:r>
      <w:r>
        <w:rPr>
          <w:rFonts w:hint="eastAsia" w:eastAsia="仿宋_GB2312"/>
          <w:sz w:val="32"/>
          <w:szCs w:val="32"/>
        </w:rPr>
        <w:t>184.33</w:t>
      </w:r>
      <w:r>
        <w:rPr>
          <w:rFonts w:eastAsia="仿宋_GB2312"/>
          <w:sz w:val="32"/>
          <w:szCs w:val="32"/>
        </w:rPr>
        <w:t>万元，减少</w:t>
      </w:r>
      <w:r>
        <w:rPr>
          <w:rFonts w:hint="eastAsia" w:eastAsia="仿宋_GB2312"/>
          <w:sz w:val="32"/>
          <w:szCs w:val="32"/>
        </w:rPr>
        <w:t>13.08</w:t>
      </w:r>
      <w:r>
        <w:rPr>
          <w:rFonts w:eastAsia="仿宋_GB2312"/>
          <w:sz w:val="32"/>
          <w:szCs w:val="32"/>
        </w:rPr>
        <w:t>%。</w:t>
      </w:r>
    </w:p>
    <w:p>
      <w:pPr>
        <w:pStyle w:val="22"/>
        <w:spacing w:line="600" w:lineRule="exact"/>
        <w:ind w:firstLine="640"/>
        <w:rPr>
          <w:rFonts w:eastAsia="仿宋_GB2312"/>
          <w:sz w:val="32"/>
          <w:szCs w:val="32"/>
        </w:rPr>
      </w:pPr>
      <w:r>
        <w:rPr>
          <w:rFonts w:hint="eastAsia" w:eastAsia="仿宋_GB2312"/>
          <w:sz w:val="32"/>
          <w:szCs w:val="32"/>
        </w:rPr>
        <w:t>2、</w:t>
      </w:r>
      <w:r>
        <w:rPr>
          <w:rFonts w:eastAsia="仿宋_GB2312"/>
          <w:sz w:val="32"/>
          <w:szCs w:val="32"/>
        </w:rPr>
        <w:t>2021年度财政拨款支出总决算</w:t>
      </w:r>
      <w:r>
        <w:rPr>
          <w:rFonts w:hint="eastAsia" w:eastAsia="仿宋_GB2312"/>
          <w:sz w:val="32"/>
          <w:szCs w:val="32"/>
        </w:rPr>
        <w:t>1271.99</w:t>
      </w:r>
      <w:r>
        <w:rPr>
          <w:rFonts w:eastAsia="仿宋_GB2312"/>
          <w:sz w:val="32"/>
          <w:szCs w:val="32"/>
        </w:rPr>
        <w:t>万元与</w:t>
      </w:r>
      <w:r>
        <w:rPr>
          <w:rFonts w:hint="eastAsia" w:eastAsia="仿宋_GB2312"/>
          <w:sz w:val="32"/>
          <w:szCs w:val="32"/>
        </w:rPr>
        <w:t>2020</w:t>
      </w:r>
      <w:r>
        <w:rPr>
          <w:rFonts w:eastAsia="仿宋_GB2312"/>
          <w:sz w:val="32"/>
          <w:szCs w:val="32"/>
        </w:rPr>
        <w:t>年财政拨款支出总决算</w:t>
      </w:r>
      <w:r>
        <w:rPr>
          <w:rFonts w:hint="eastAsia" w:eastAsia="仿宋_GB2312"/>
          <w:sz w:val="32"/>
          <w:szCs w:val="32"/>
        </w:rPr>
        <w:t>1353.34</w:t>
      </w:r>
      <w:r>
        <w:rPr>
          <w:rFonts w:eastAsia="仿宋_GB2312"/>
          <w:sz w:val="32"/>
          <w:szCs w:val="32"/>
        </w:rPr>
        <w:t>万元相比减少</w:t>
      </w:r>
      <w:r>
        <w:rPr>
          <w:rFonts w:hint="eastAsia" w:eastAsia="仿宋_GB2312"/>
          <w:sz w:val="32"/>
          <w:szCs w:val="32"/>
        </w:rPr>
        <w:t>81.35</w:t>
      </w:r>
      <w:r>
        <w:rPr>
          <w:rFonts w:eastAsia="仿宋_GB2312"/>
          <w:sz w:val="32"/>
          <w:szCs w:val="32"/>
        </w:rPr>
        <w:t>万元减</w:t>
      </w:r>
      <w:r>
        <w:drawing>
          <wp:anchor distT="0" distB="0" distL="114300" distR="114300" simplePos="0" relativeHeight="251659264" behindDoc="0" locked="0" layoutInCell="1" allowOverlap="1">
            <wp:simplePos x="0" y="0"/>
            <wp:positionH relativeFrom="column">
              <wp:posOffset>232410</wp:posOffset>
            </wp:positionH>
            <wp:positionV relativeFrom="paragraph">
              <wp:posOffset>569595</wp:posOffset>
            </wp:positionV>
            <wp:extent cx="4572000" cy="2743200"/>
            <wp:effectExtent l="4445" t="4445" r="14605" b="14605"/>
            <wp:wrapTopAndBottom/>
            <wp:docPr id="103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anchor>
        </w:drawing>
      </w:r>
      <w:r>
        <w:rPr>
          <w:rFonts w:eastAsia="仿宋_GB2312"/>
          <w:sz w:val="32"/>
          <w:szCs w:val="32"/>
        </w:rPr>
        <w:t>少</w:t>
      </w:r>
      <w:r>
        <w:rPr>
          <w:rFonts w:hint="eastAsia" w:eastAsia="仿宋_GB2312"/>
          <w:sz w:val="32"/>
          <w:szCs w:val="32"/>
        </w:rPr>
        <w:t>6.01</w:t>
      </w:r>
      <w:r>
        <w:rPr>
          <w:rFonts w:eastAsia="仿宋_GB2312"/>
          <w:sz w:val="32"/>
          <w:szCs w:val="32"/>
        </w:rPr>
        <w:t>%。</w:t>
      </w:r>
    </w:p>
    <w:p>
      <w:pPr>
        <w:pStyle w:val="22"/>
        <w:spacing w:line="600" w:lineRule="exact"/>
        <w:ind w:firstLine="640"/>
        <w:rPr>
          <w:rFonts w:eastAsia="仿宋_GB2312"/>
          <w:sz w:val="32"/>
          <w:szCs w:val="32"/>
        </w:rPr>
      </w:pPr>
    </w:p>
    <w:p>
      <w:pPr>
        <w:spacing w:line="600" w:lineRule="exact"/>
        <w:rPr>
          <w:rStyle w:val="17"/>
          <w:rFonts w:ascii="Times New Roman" w:hAnsi="Times New Roman" w:eastAsia="黑体"/>
          <w:b w:val="0"/>
        </w:rPr>
      </w:pPr>
      <w:r>
        <w:rPr>
          <w:rFonts w:eastAsia="黑体"/>
          <w:sz w:val="32"/>
          <w:szCs w:val="32"/>
        </w:rPr>
        <w:t>二、收入决</w:t>
      </w:r>
      <w:r>
        <w:rPr>
          <w:rStyle w:val="17"/>
          <w:rFonts w:ascii="Times New Roman" w:hAnsi="Times New Roman" w:eastAsia="黑体"/>
          <w:b w:val="0"/>
        </w:rPr>
        <w:t>算情况说明</w:t>
      </w:r>
      <w:bookmarkEnd w:id="26"/>
      <w:bookmarkEnd w:id="27"/>
    </w:p>
    <w:p>
      <w:pPr>
        <w:spacing w:line="600" w:lineRule="exact"/>
        <w:ind w:firstLine="420" w:firstLineChars="200"/>
        <w:outlineLvl w:val="1"/>
        <w:rPr>
          <w:rFonts w:hint="eastAsia" w:eastAsia="仿宋"/>
          <w:sz w:val="32"/>
          <w:szCs w:val="32"/>
          <w:lang w:eastAsia="zh-CN"/>
        </w:rPr>
      </w:pPr>
      <w:r>
        <w:drawing>
          <wp:anchor distT="0" distB="0" distL="114300" distR="114300" simplePos="0" relativeHeight="251660288" behindDoc="0" locked="0" layoutInCell="1" allowOverlap="1">
            <wp:simplePos x="0" y="0"/>
            <wp:positionH relativeFrom="column">
              <wp:posOffset>859790</wp:posOffset>
            </wp:positionH>
            <wp:positionV relativeFrom="paragraph">
              <wp:posOffset>1953260</wp:posOffset>
            </wp:positionV>
            <wp:extent cx="3945255" cy="2193290"/>
            <wp:effectExtent l="5080" t="4445" r="12065" b="12065"/>
            <wp:wrapTopAndBottom/>
            <wp:docPr id="103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anchor>
        </w:drawing>
      </w:r>
      <w:r>
        <w:rPr>
          <w:rFonts w:eastAsia="仿宋"/>
          <w:sz w:val="32"/>
          <w:szCs w:val="32"/>
        </w:rPr>
        <w:t>2021年总收入</w:t>
      </w:r>
      <w:r>
        <w:rPr>
          <w:rFonts w:hint="eastAsia" w:eastAsia="仿宋_GB2312"/>
          <w:sz w:val="32"/>
          <w:szCs w:val="32"/>
        </w:rPr>
        <w:t>1225.3</w:t>
      </w:r>
      <w:r>
        <w:rPr>
          <w:rFonts w:eastAsia="仿宋"/>
          <w:sz w:val="32"/>
          <w:szCs w:val="32"/>
        </w:rPr>
        <w:t>万元，其中：一般公共预算财政拨款收入</w:t>
      </w:r>
      <w:r>
        <w:rPr>
          <w:rFonts w:hint="eastAsia" w:eastAsia="仿宋_GB2312"/>
          <w:sz w:val="32"/>
          <w:szCs w:val="32"/>
        </w:rPr>
        <w:t>1225.3</w:t>
      </w:r>
      <w:r>
        <w:rPr>
          <w:rFonts w:eastAsia="仿宋"/>
          <w:sz w:val="32"/>
          <w:szCs w:val="32"/>
        </w:rPr>
        <w:t>万元，占100%；政府性基金预算财政拨款收入0万元，占0%；国有资本经营预算财政拨款收入0万元，占0%；事业收入0万元，占0%；经营收入0万元，占0%；附属单位上缴收入0万元，占0%；其他收入0万元，占0%</w:t>
      </w:r>
      <w:bookmarkStart w:id="28" w:name="_Toc15377207"/>
      <w:bookmarkStart w:id="29" w:name="_Toc15396605"/>
      <w:r>
        <w:rPr>
          <w:rFonts w:hint="eastAsia" w:eastAsia="仿宋"/>
          <w:sz w:val="32"/>
          <w:szCs w:val="32"/>
          <w:lang w:eastAsia="zh-CN"/>
        </w:rPr>
        <w:t>。</w:t>
      </w:r>
    </w:p>
    <w:p>
      <w:pPr>
        <w:spacing w:line="600" w:lineRule="exact"/>
        <w:ind w:firstLine="640" w:firstLineChars="200"/>
        <w:outlineLvl w:val="1"/>
        <w:rPr>
          <w:rFonts w:hint="eastAsia" w:eastAsia="仿宋"/>
          <w:sz w:val="32"/>
          <w:szCs w:val="32"/>
          <w:lang w:eastAsia="zh-CN"/>
        </w:rPr>
      </w:pPr>
    </w:p>
    <w:p>
      <w:pPr>
        <w:spacing w:line="600" w:lineRule="exact"/>
        <w:outlineLvl w:val="1"/>
        <w:rPr>
          <w:rStyle w:val="17"/>
          <w:rFonts w:ascii="Times New Roman" w:hAnsi="Times New Roman" w:eastAsia="仿宋"/>
          <w:b w:val="0"/>
          <w:bCs w:val="0"/>
        </w:rPr>
      </w:pPr>
      <w:r>
        <w:rPr>
          <w:rFonts w:eastAsia="黑体"/>
          <w:sz w:val="32"/>
          <w:szCs w:val="32"/>
        </w:rPr>
        <w:t>三、支出决</w:t>
      </w:r>
      <w:r>
        <w:rPr>
          <w:rStyle w:val="17"/>
          <w:rFonts w:ascii="Times New Roman" w:hAnsi="Times New Roman" w:eastAsia="黑体"/>
          <w:b w:val="0"/>
        </w:rPr>
        <w:t>算情况说明</w:t>
      </w:r>
      <w:bookmarkEnd w:id="28"/>
      <w:bookmarkEnd w:id="29"/>
    </w:p>
    <w:p>
      <w:pPr>
        <w:spacing w:line="600" w:lineRule="exact"/>
        <w:ind w:firstLine="640"/>
        <w:rPr>
          <w:rFonts w:eastAsia="仿宋"/>
          <w:sz w:val="32"/>
          <w:szCs w:val="32"/>
        </w:rPr>
      </w:pPr>
      <w:r>
        <w:rPr>
          <w:rFonts w:eastAsia="仿宋"/>
          <w:sz w:val="32"/>
          <w:szCs w:val="32"/>
        </w:rPr>
        <w:t>2021年本年总支出</w:t>
      </w:r>
      <w:r>
        <w:rPr>
          <w:rFonts w:hint="eastAsia" w:eastAsia="仿宋_GB2312"/>
          <w:sz w:val="32"/>
          <w:szCs w:val="32"/>
        </w:rPr>
        <w:t>1271.99</w:t>
      </w:r>
      <w:r>
        <w:rPr>
          <w:rFonts w:eastAsia="仿宋"/>
          <w:sz w:val="32"/>
          <w:szCs w:val="32"/>
        </w:rPr>
        <w:t>万元，其中：基本支出</w:t>
      </w:r>
      <w:r>
        <w:rPr>
          <w:rFonts w:hint="eastAsia" w:eastAsia="仿宋"/>
          <w:sz w:val="32"/>
          <w:szCs w:val="32"/>
        </w:rPr>
        <w:t>578.33</w:t>
      </w:r>
      <w:r>
        <w:rPr>
          <w:rFonts w:eastAsia="仿宋"/>
          <w:sz w:val="32"/>
          <w:szCs w:val="32"/>
        </w:rPr>
        <w:t>万元，占</w:t>
      </w:r>
      <w:r>
        <w:rPr>
          <w:rFonts w:hint="eastAsia" w:eastAsia="仿宋"/>
          <w:sz w:val="32"/>
          <w:szCs w:val="32"/>
        </w:rPr>
        <w:t>45.47</w:t>
      </w:r>
      <w:r>
        <w:rPr>
          <w:rFonts w:eastAsia="仿宋"/>
          <w:sz w:val="32"/>
          <w:szCs w:val="32"/>
        </w:rPr>
        <w:t>%；项目支出</w:t>
      </w:r>
      <w:r>
        <w:rPr>
          <w:rFonts w:hint="eastAsia" w:eastAsia="仿宋"/>
          <w:sz w:val="32"/>
          <w:szCs w:val="32"/>
        </w:rPr>
        <w:t>693.66</w:t>
      </w:r>
      <w:r>
        <w:rPr>
          <w:rFonts w:eastAsia="仿宋"/>
          <w:sz w:val="32"/>
          <w:szCs w:val="32"/>
        </w:rPr>
        <w:t>万元，占</w:t>
      </w:r>
      <w:r>
        <w:rPr>
          <w:rFonts w:hint="eastAsia" w:eastAsia="仿宋"/>
          <w:sz w:val="32"/>
          <w:szCs w:val="32"/>
        </w:rPr>
        <w:t>54.53</w:t>
      </w:r>
      <w:r>
        <w:rPr>
          <w:rFonts w:eastAsia="仿宋"/>
          <w:sz w:val="32"/>
          <w:szCs w:val="32"/>
        </w:rPr>
        <w:t>%；上缴上级支出0万元，占0%；经营支出0万元，占0%；对附属单位补助支出0万元，占0%。</w:t>
      </w:r>
    </w:p>
    <w:p>
      <w:pPr>
        <w:spacing w:line="600" w:lineRule="exact"/>
        <w:ind w:firstLine="640"/>
        <w:rPr>
          <w:rFonts w:eastAsia="仿宋"/>
          <w:sz w:val="32"/>
          <w:szCs w:val="32"/>
        </w:rPr>
      </w:pPr>
      <w:r>
        <w:drawing>
          <wp:anchor distT="0" distB="0" distL="114300" distR="114300" simplePos="0" relativeHeight="251661312" behindDoc="0" locked="0" layoutInCell="1" allowOverlap="1">
            <wp:simplePos x="0" y="0"/>
            <wp:positionH relativeFrom="column">
              <wp:posOffset>418465</wp:posOffset>
            </wp:positionH>
            <wp:positionV relativeFrom="paragraph">
              <wp:posOffset>149225</wp:posOffset>
            </wp:positionV>
            <wp:extent cx="4208780" cy="2154555"/>
            <wp:effectExtent l="4445" t="4445" r="15875" b="12700"/>
            <wp:wrapTopAndBottom/>
            <wp:docPr id="1033"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p>
    <w:p>
      <w:pPr>
        <w:pStyle w:val="22"/>
        <w:numPr>
          <w:ilvl w:val="0"/>
          <w:numId w:val="2"/>
        </w:numPr>
        <w:spacing w:line="600" w:lineRule="exact"/>
        <w:ind w:firstLineChars="0"/>
        <w:outlineLvl w:val="1"/>
        <w:rPr>
          <w:rStyle w:val="17"/>
          <w:rFonts w:ascii="Times New Roman" w:hAnsi="Times New Roman" w:eastAsia="黑体"/>
          <w:b w:val="0"/>
        </w:rPr>
      </w:pPr>
      <w:bookmarkStart w:id="30" w:name="_Toc15396606"/>
      <w:bookmarkStart w:id="31" w:name="_Toc15377208"/>
      <w:r>
        <w:rPr>
          <w:rFonts w:eastAsia="黑体"/>
          <w:sz w:val="32"/>
          <w:szCs w:val="32"/>
        </w:rPr>
        <w:t>财</w:t>
      </w:r>
      <w:r>
        <w:rPr>
          <w:rStyle w:val="17"/>
          <w:rFonts w:ascii="Times New Roman" w:hAnsi="Times New Roman" w:eastAsia="黑体"/>
          <w:b w:val="0"/>
        </w:rPr>
        <w:t>政拨款收入支出决算总体情况说明</w:t>
      </w:r>
      <w:bookmarkEnd w:id="30"/>
      <w:bookmarkEnd w:id="31"/>
    </w:p>
    <w:p>
      <w:pPr>
        <w:pStyle w:val="22"/>
        <w:spacing w:line="600" w:lineRule="exact"/>
        <w:ind w:left="160" w:firstLine="320" w:firstLineChars="100"/>
        <w:rPr>
          <w:rFonts w:eastAsia="仿宋_GB2312"/>
          <w:sz w:val="32"/>
          <w:szCs w:val="32"/>
        </w:rPr>
      </w:pPr>
      <w:bookmarkStart w:id="32" w:name="_Toc15396607"/>
      <w:bookmarkStart w:id="33" w:name="_Toc15377209"/>
      <w:r>
        <w:rPr>
          <w:rFonts w:eastAsia="仿宋_GB2312"/>
          <w:sz w:val="32"/>
          <w:szCs w:val="32"/>
        </w:rPr>
        <w:t xml:space="preserve"> 2021年度财政拨款收入总决算</w:t>
      </w:r>
      <w:r>
        <w:rPr>
          <w:rFonts w:hint="eastAsia" w:eastAsia="仿宋_GB2312"/>
          <w:sz w:val="32"/>
          <w:szCs w:val="32"/>
        </w:rPr>
        <w:t>1225.3</w:t>
      </w:r>
      <w:r>
        <w:rPr>
          <w:rFonts w:eastAsia="仿宋_GB2312"/>
          <w:sz w:val="32"/>
          <w:szCs w:val="32"/>
        </w:rPr>
        <w:t>万元与2020年财政拨款收入总决算</w:t>
      </w:r>
      <w:r>
        <w:rPr>
          <w:rFonts w:hint="eastAsia" w:eastAsia="仿宋_GB2312"/>
          <w:sz w:val="32"/>
          <w:szCs w:val="32"/>
        </w:rPr>
        <w:t>1409.63</w:t>
      </w:r>
      <w:r>
        <w:rPr>
          <w:rFonts w:eastAsia="仿宋_GB2312"/>
          <w:sz w:val="32"/>
          <w:szCs w:val="32"/>
        </w:rPr>
        <w:t>万元相比收入减少</w:t>
      </w:r>
      <w:r>
        <w:rPr>
          <w:rFonts w:hint="eastAsia" w:eastAsia="仿宋_GB2312"/>
          <w:sz w:val="32"/>
          <w:szCs w:val="32"/>
        </w:rPr>
        <w:t>184.33</w:t>
      </w:r>
      <w:r>
        <w:rPr>
          <w:rFonts w:eastAsia="仿宋_GB2312"/>
          <w:sz w:val="32"/>
          <w:szCs w:val="32"/>
        </w:rPr>
        <w:t>万元，减少</w:t>
      </w:r>
      <w:r>
        <w:rPr>
          <w:rFonts w:hint="eastAsia" w:eastAsia="仿宋_GB2312"/>
          <w:sz w:val="32"/>
          <w:szCs w:val="32"/>
        </w:rPr>
        <w:t>13.08</w:t>
      </w:r>
      <w:r>
        <w:rPr>
          <w:rFonts w:eastAsia="仿宋_GB2312"/>
          <w:sz w:val="32"/>
          <w:szCs w:val="32"/>
        </w:rPr>
        <w:t>%</w:t>
      </w:r>
      <w:r>
        <w:rPr>
          <w:rFonts w:hint="eastAsia" w:eastAsia="仿宋_GB2312"/>
          <w:sz w:val="32"/>
          <w:szCs w:val="32"/>
        </w:rPr>
        <w:t>，</w:t>
      </w:r>
      <w:r>
        <w:rPr>
          <w:rFonts w:eastAsia="仿宋_GB2312"/>
          <w:sz w:val="32"/>
          <w:szCs w:val="32"/>
        </w:rPr>
        <w:t>减少原因为2021年度较2020年度项目减少</w:t>
      </w:r>
      <w:r>
        <w:rPr>
          <w:rFonts w:hint="eastAsia" w:eastAsia="仿宋_GB2312"/>
          <w:sz w:val="32"/>
          <w:szCs w:val="32"/>
        </w:rPr>
        <w:t>。</w:t>
      </w:r>
      <w:r>
        <w:rPr>
          <w:rFonts w:eastAsia="仿宋_GB2312"/>
          <w:sz w:val="32"/>
          <w:szCs w:val="32"/>
        </w:rPr>
        <w:t>2021年度财政拨款支出总决算</w:t>
      </w:r>
      <w:r>
        <w:rPr>
          <w:rFonts w:hint="eastAsia" w:eastAsia="仿宋_GB2312"/>
          <w:sz w:val="32"/>
          <w:szCs w:val="32"/>
        </w:rPr>
        <w:t>1271.99</w:t>
      </w:r>
      <w:r>
        <w:rPr>
          <w:rFonts w:eastAsia="仿宋_GB2312"/>
          <w:sz w:val="32"/>
          <w:szCs w:val="32"/>
        </w:rPr>
        <w:t>万元与</w:t>
      </w:r>
      <w:r>
        <w:rPr>
          <w:rFonts w:hint="eastAsia" w:eastAsia="仿宋_GB2312"/>
          <w:sz w:val="32"/>
          <w:szCs w:val="32"/>
        </w:rPr>
        <w:t>2020</w:t>
      </w:r>
      <w:r>
        <w:rPr>
          <w:rFonts w:eastAsia="仿宋_GB2312"/>
          <w:sz w:val="32"/>
          <w:szCs w:val="32"/>
        </w:rPr>
        <w:t>年财政拨款支出总决算</w:t>
      </w:r>
      <w:r>
        <w:rPr>
          <w:rFonts w:hint="eastAsia" w:eastAsia="仿宋_GB2312"/>
          <w:sz w:val="32"/>
          <w:szCs w:val="32"/>
        </w:rPr>
        <w:t>1353.34</w:t>
      </w:r>
      <w:r>
        <w:rPr>
          <w:rFonts w:eastAsia="仿宋_GB2312"/>
          <w:sz w:val="32"/>
          <w:szCs w:val="32"/>
        </w:rPr>
        <w:t>万元相比减少</w:t>
      </w:r>
      <w:r>
        <w:rPr>
          <w:rFonts w:hint="eastAsia" w:eastAsia="仿宋_GB2312"/>
          <w:sz w:val="32"/>
          <w:szCs w:val="32"/>
        </w:rPr>
        <w:t>81.35</w:t>
      </w:r>
      <w:r>
        <w:rPr>
          <w:rFonts w:eastAsia="仿宋_GB2312"/>
          <w:sz w:val="32"/>
          <w:szCs w:val="32"/>
        </w:rPr>
        <w:t>万元</w:t>
      </w:r>
      <w:r>
        <w:rPr>
          <w:rFonts w:hint="eastAsia" w:eastAsia="仿宋_GB2312"/>
          <w:sz w:val="32"/>
          <w:szCs w:val="32"/>
        </w:rPr>
        <w:t>，</w:t>
      </w:r>
      <w:r>
        <w:rPr>
          <w:rFonts w:eastAsia="仿宋_GB2312"/>
          <w:sz w:val="32"/>
          <w:szCs w:val="32"/>
        </w:rPr>
        <w:t>减少</w:t>
      </w:r>
      <w:r>
        <w:rPr>
          <w:rFonts w:hint="eastAsia" w:eastAsia="仿宋_GB2312"/>
          <w:sz w:val="32"/>
          <w:szCs w:val="32"/>
        </w:rPr>
        <w:t>6.01</w:t>
      </w:r>
      <w:r>
        <w:rPr>
          <w:rFonts w:eastAsia="仿宋_GB2312"/>
          <w:sz w:val="32"/>
          <w:szCs w:val="32"/>
        </w:rPr>
        <w:t>%。减少原因为2021年度</w:t>
      </w:r>
      <w:r>
        <w:rPr>
          <w:rFonts w:hint="eastAsia" w:eastAsia="仿宋_GB2312"/>
          <w:sz w:val="32"/>
          <w:szCs w:val="32"/>
        </w:rPr>
        <w:t>受新冠肺炎疫情限制聚集性活动的影响，</w:t>
      </w:r>
      <w:r>
        <w:rPr>
          <w:rFonts w:eastAsia="仿宋_GB2312"/>
          <w:sz w:val="32"/>
          <w:szCs w:val="32"/>
        </w:rPr>
        <w:t>项目支出减少</w:t>
      </w:r>
      <w:r>
        <w:rPr>
          <w:rFonts w:hint="eastAsia" w:eastAsia="仿宋_GB2312"/>
          <w:sz w:val="32"/>
          <w:szCs w:val="32"/>
        </w:rPr>
        <w:t>。</w:t>
      </w:r>
    </w:p>
    <w:p>
      <w:pPr>
        <w:pStyle w:val="22"/>
        <w:numPr>
          <w:ilvl w:val="0"/>
          <w:numId w:val="2"/>
        </w:numPr>
        <w:spacing w:line="600" w:lineRule="exact"/>
        <w:ind w:firstLineChars="0"/>
        <w:rPr>
          <w:rStyle w:val="17"/>
          <w:rFonts w:ascii="Times New Roman" w:hAnsi="Times New Roman" w:eastAsia="黑体"/>
          <w:b w:val="0"/>
        </w:rPr>
      </w:pPr>
      <w:r>
        <w:rPr>
          <w:rFonts w:eastAsia="黑体"/>
          <w:b/>
          <w:sz w:val="32"/>
          <w:szCs w:val="32"/>
        </w:rPr>
        <w:t>一</w:t>
      </w:r>
      <w:r>
        <w:rPr>
          <w:rStyle w:val="17"/>
          <w:rFonts w:ascii="Times New Roman" w:hAnsi="Times New Roman" w:eastAsia="黑体"/>
          <w:b w:val="0"/>
        </w:rPr>
        <w:t>般公共预算财政拨款支出决算情况说明</w:t>
      </w:r>
      <w:bookmarkEnd w:id="32"/>
      <w:bookmarkEnd w:id="33"/>
      <w:bookmarkStart w:id="34" w:name="_Toc15377210"/>
    </w:p>
    <w:p>
      <w:pPr>
        <w:pStyle w:val="22"/>
        <w:spacing w:line="600" w:lineRule="exact"/>
        <w:ind w:firstLine="0" w:firstLineChars="0"/>
        <w:rPr>
          <w:rFonts w:eastAsia="仿宋"/>
          <w:b/>
          <w:sz w:val="32"/>
          <w:szCs w:val="32"/>
        </w:rPr>
      </w:pPr>
      <w:r>
        <w:rPr>
          <w:rFonts w:eastAsia="仿宋"/>
          <w:b/>
          <w:sz w:val="32"/>
          <w:szCs w:val="32"/>
        </w:rPr>
        <w:t>（一）一般公共预算财政拨款支出决算总体情况</w:t>
      </w:r>
      <w:bookmarkEnd w:id="34"/>
    </w:p>
    <w:p>
      <w:pPr>
        <w:snapToGrid w:val="0"/>
        <w:spacing w:line="520" w:lineRule="exact"/>
        <w:ind w:firstLine="640" w:firstLineChars="200"/>
        <w:rPr>
          <w:rFonts w:hint="eastAsia" w:eastAsia="仿宋_GB2312"/>
          <w:sz w:val="32"/>
          <w:szCs w:val="32"/>
        </w:rPr>
      </w:pPr>
      <w:r>
        <w:rPr>
          <w:rFonts w:eastAsia="仿宋"/>
          <w:sz w:val="32"/>
          <w:szCs w:val="32"/>
        </w:rPr>
        <w:t>2021年</w:t>
      </w:r>
      <w:r>
        <w:rPr>
          <w:rFonts w:eastAsia="仿宋_GB2312"/>
          <w:spacing w:val="-2"/>
          <w:sz w:val="32"/>
          <w:szCs w:val="32"/>
        </w:rPr>
        <w:t>一般公共预算财政拨款支出</w:t>
      </w:r>
      <w:r>
        <w:rPr>
          <w:rFonts w:hint="eastAsia" w:eastAsia="仿宋_GB2312"/>
          <w:spacing w:val="-2"/>
          <w:sz w:val="32"/>
          <w:szCs w:val="32"/>
        </w:rPr>
        <w:t>1271.99</w:t>
      </w:r>
      <w:r>
        <w:rPr>
          <w:rFonts w:eastAsia="仿宋_GB2312"/>
          <w:spacing w:val="-2"/>
          <w:sz w:val="32"/>
          <w:szCs w:val="32"/>
        </w:rPr>
        <w:t>万元，</w:t>
      </w:r>
      <w:r>
        <w:rPr>
          <w:rFonts w:eastAsia="仿宋"/>
          <w:sz w:val="32"/>
          <w:szCs w:val="32"/>
        </w:rPr>
        <w:t>占本年总支出的</w:t>
      </w:r>
      <w:r>
        <w:rPr>
          <w:rFonts w:hint="eastAsia" w:eastAsia="仿宋"/>
          <w:sz w:val="32"/>
          <w:szCs w:val="32"/>
        </w:rPr>
        <w:t>100</w:t>
      </w:r>
      <w:r>
        <w:rPr>
          <w:rFonts w:eastAsia="仿宋"/>
          <w:sz w:val="32"/>
          <w:szCs w:val="32"/>
        </w:rPr>
        <w:t>%。与2020年相比，一般公共预算财政拨款</w:t>
      </w:r>
      <w:r>
        <w:rPr>
          <w:rFonts w:eastAsia="仿宋_GB2312"/>
          <w:spacing w:val="-2"/>
          <w:sz w:val="32"/>
          <w:szCs w:val="32"/>
        </w:rPr>
        <w:t>支出</w:t>
      </w:r>
      <w:r>
        <w:rPr>
          <w:rFonts w:eastAsia="仿宋_GB2312"/>
          <w:sz w:val="32"/>
          <w:szCs w:val="32"/>
        </w:rPr>
        <w:t>减少</w:t>
      </w:r>
      <w:r>
        <w:rPr>
          <w:rFonts w:hint="eastAsia" w:eastAsia="仿宋_GB2312"/>
          <w:sz w:val="32"/>
          <w:szCs w:val="32"/>
        </w:rPr>
        <w:t>81.35</w:t>
      </w:r>
      <w:r>
        <w:rPr>
          <w:rFonts w:eastAsia="仿宋_GB2312"/>
          <w:sz w:val="32"/>
          <w:szCs w:val="32"/>
        </w:rPr>
        <w:t>万元</w:t>
      </w:r>
      <w:r>
        <w:rPr>
          <w:rFonts w:eastAsia="仿宋_GB2312"/>
          <w:spacing w:val="-2"/>
          <w:sz w:val="32"/>
          <w:szCs w:val="32"/>
        </w:rPr>
        <w:t>，</w:t>
      </w:r>
      <w:r>
        <w:rPr>
          <w:rFonts w:eastAsia="仿宋_GB2312"/>
          <w:sz w:val="32"/>
          <w:szCs w:val="32"/>
        </w:rPr>
        <w:t>减少</w:t>
      </w:r>
      <w:r>
        <w:rPr>
          <w:rFonts w:hint="eastAsia" w:eastAsia="仿宋_GB2312"/>
          <w:sz w:val="32"/>
          <w:szCs w:val="32"/>
        </w:rPr>
        <w:t>6.01</w:t>
      </w:r>
      <w:r>
        <w:rPr>
          <w:rFonts w:eastAsia="仿宋_GB2312"/>
          <w:sz w:val="32"/>
          <w:szCs w:val="32"/>
        </w:rPr>
        <w:t>%</w:t>
      </w:r>
      <w:r>
        <w:rPr>
          <w:rFonts w:eastAsia="仿宋_GB2312"/>
          <w:spacing w:val="-2"/>
          <w:sz w:val="32"/>
          <w:szCs w:val="32"/>
        </w:rPr>
        <w:t>。主要原因</w:t>
      </w:r>
      <w:r>
        <w:rPr>
          <w:rFonts w:eastAsia="仿宋_GB2312"/>
          <w:sz w:val="32"/>
          <w:szCs w:val="32"/>
        </w:rPr>
        <w:t>为2021年度</w:t>
      </w:r>
      <w:r>
        <w:rPr>
          <w:rFonts w:hint="eastAsia" w:eastAsia="仿宋_GB2312"/>
          <w:sz w:val="32"/>
          <w:szCs w:val="32"/>
        </w:rPr>
        <w:t>受新冠肺炎疫情限制聚集性活动的影响，</w:t>
      </w:r>
      <w:r>
        <w:rPr>
          <w:rFonts w:eastAsia="仿宋_GB2312"/>
          <w:sz w:val="32"/>
          <w:szCs w:val="32"/>
        </w:rPr>
        <w:t>项目支出减少</w:t>
      </w:r>
      <w:r>
        <w:rPr>
          <w:rFonts w:hint="eastAsia" w:eastAsia="仿宋_GB2312"/>
          <w:sz w:val="32"/>
          <w:szCs w:val="32"/>
        </w:rPr>
        <w:t>。</w:t>
      </w:r>
      <w:r>
        <w:drawing>
          <wp:anchor distT="0" distB="0" distL="114300" distR="114300" simplePos="0" relativeHeight="251662336" behindDoc="0" locked="0" layoutInCell="1" allowOverlap="1">
            <wp:simplePos x="0" y="0"/>
            <wp:positionH relativeFrom="column">
              <wp:posOffset>208915</wp:posOffset>
            </wp:positionH>
            <wp:positionV relativeFrom="paragraph">
              <wp:posOffset>151130</wp:posOffset>
            </wp:positionV>
            <wp:extent cx="4471670" cy="2565400"/>
            <wp:effectExtent l="4445" t="4445" r="19685" b="20955"/>
            <wp:wrapTopAndBottom/>
            <wp:docPr id="1034"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p>
    <w:p>
      <w:pPr>
        <w:snapToGrid w:val="0"/>
        <w:spacing w:line="520" w:lineRule="exact"/>
        <w:rPr>
          <w:rFonts w:eastAsia="仿宋"/>
          <w:b/>
          <w:sz w:val="32"/>
          <w:szCs w:val="32"/>
        </w:rPr>
      </w:pPr>
      <w:bookmarkStart w:id="35" w:name="_Toc15377211"/>
      <w:r>
        <w:rPr>
          <w:rFonts w:eastAsia="仿宋"/>
          <w:b/>
          <w:sz w:val="32"/>
          <w:szCs w:val="32"/>
        </w:rPr>
        <w:t>（二）一般公共预算财政拨款支出决算结构情况</w:t>
      </w:r>
      <w:bookmarkEnd w:id="35"/>
    </w:p>
    <w:p>
      <w:pPr>
        <w:spacing w:line="600" w:lineRule="exact"/>
        <w:ind w:firstLine="640"/>
        <w:rPr>
          <w:rFonts w:eastAsia="仿宋"/>
          <w:sz w:val="32"/>
          <w:szCs w:val="32"/>
        </w:rPr>
      </w:pPr>
      <w:r>
        <w:drawing>
          <wp:anchor distT="0" distB="0" distL="114300" distR="114300" simplePos="0" relativeHeight="251664384" behindDoc="0" locked="0" layoutInCell="1" allowOverlap="1">
            <wp:simplePos x="0" y="0"/>
            <wp:positionH relativeFrom="column">
              <wp:posOffset>542925</wp:posOffset>
            </wp:positionH>
            <wp:positionV relativeFrom="paragraph">
              <wp:posOffset>2859405</wp:posOffset>
            </wp:positionV>
            <wp:extent cx="3920490" cy="2129155"/>
            <wp:effectExtent l="4445" t="4445" r="18415" b="19050"/>
            <wp:wrapTopAndBottom/>
            <wp:docPr id="1035"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r>
        <w:rPr>
          <w:rFonts w:eastAsia="仿宋"/>
          <w:sz w:val="32"/>
          <w:szCs w:val="32"/>
        </w:rPr>
        <w:t>2021年一般公共预算财政拨款支出</w:t>
      </w:r>
      <w:r>
        <w:rPr>
          <w:rFonts w:hint="eastAsia" w:eastAsia="仿宋_GB2312"/>
          <w:spacing w:val="-2"/>
          <w:sz w:val="32"/>
          <w:szCs w:val="32"/>
        </w:rPr>
        <w:t>1271.99</w:t>
      </w:r>
      <w:r>
        <w:rPr>
          <w:rFonts w:eastAsia="仿宋"/>
          <w:sz w:val="32"/>
          <w:szCs w:val="32"/>
        </w:rPr>
        <w:t>万元，主要用于以下方面:一般公共服务（类）支出</w:t>
      </w:r>
      <w:r>
        <w:rPr>
          <w:rFonts w:hint="eastAsia" w:eastAsia="仿宋"/>
          <w:sz w:val="32"/>
          <w:szCs w:val="32"/>
        </w:rPr>
        <w:t>569.17</w:t>
      </w:r>
      <w:r>
        <w:rPr>
          <w:rFonts w:eastAsia="仿宋"/>
          <w:sz w:val="32"/>
          <w:szCs w:val="32"/>
        </w:rPr>
        <w:t>万元，占</w:t>
      </w:r>
      <w:r>
        <w:rPr>
          <w:rFonts w:hint="eastAsia" w:eastAsia="仿宋"/>
          <w:sz w:val="32"/>
          <w:szCs w:val="32"/>
        </w:rPr>
        <w:t>44.75</w:t>
      </w:r>
      <w:r>
        <w:rPr>
          <w:rFonts w:eastAsia="仿宋"/>
          <w:sz w:val="32"/>
          <w:szCs w:val="32"/>
        </w:rPr>
        <w:t>%；</w:t>
      </w:r>
      <w:r>
        <w:rPr>
          <w:rFonts w:hint="eastAsia" w:eastAsia="仿宋"/>
          <w:sz w:val="32"/>
          <w:szCs w:val="32"/>
        </w:rPr>
        <w:t>教育支出</w:t>
      </w:r>
      <w:r>
        <w:rPr>
          <w:rFonts w:eastAsia="仿宋"/>
          <w:sz w:val="32"/>
          <w:szCs w:val="32"/>
        </w:rPr>
        <w:t>（类）支出</w:t>
      </w:r>
      <w:r>
        <w:rPr>
          <w:rFonts w:hint="eastAsia" w:eastAsia="仿宋"/>
          <w:sz w:val="32"/>
          <w:szCs w:val="32"/>
        </w:rPr>
        <w:t>65.95</w:t>
      </w:r>
      <w:r>
        <w:rPr>
          <w:rFonts w:eastAsia="仿宋"/>
          <w:sz w:val="32"/>
          <w:szCs w:val="32"/>
        </w:rPr>
        <w:t>万元，占</w:t>
      </w:r>
      <w:r>
        <w:rPr>
          <w:rFonts w:hint="eastAsia" w:eastAsia="仿宋"/>
          <w:sz w:val="32"/>
          <w:szCs w:val="32"/>
        </w:rPr>
        <w:t>5.18</w:t>
      </w:r>
      <w:r>
        <w:rPr>
          <w:rFonts w:eastAsia="仿宋"/>
          <w:sz w:val="32"/>
          <w:szCs w:val="32"/>
        </w:rPr>
        <w:t>%；社会保障和就业</w:t>
      </w:r>
      <w:r>
        <w:rPr>
          <w:rFonts w:hint="eastAsia" w:eastAsia="仿宋"/>
          <w:sz w:val="32"/>
          <w:szCs w:val="32"/>
        </w:rPr>
        <w:t>支出</w:t>
      </w:r>
      <w:r>
        <w:rPr>
          <w:rFonts w:eastAsia="仿宋"/>
          <w:sz w:val="32"/>
          <w:szCs w:val="32"/>
        </w:rPr>
        <w:t>（类）支出</w:t>
      </w:r>
      <w:r>
        <w:rPr>
          <w:rFonts w:hint="eastAsia" w:eastAsia="仿宋"/>
          <w:sz w:val="32"/>
          <w:szCs w:val="32"/>
        </w:rPr>
        <w:t>56.74</w:t>
      </w:r>
      <w:r>
        <w:rPr>
          <w:rFonts w:eastAsia="仿宋"/>
          <w:sz w:val="32"/>
          <w:szCs w:val="32"/>
        </w:rPr>
        <w:t>万元，占</w:t>
      </w:r>
      <w:r>
        <w:rPr>
          <w:rFonts w:hint="eastAsia" w:eastAsia="仿宋"/>
          <w:sz w:val="32"/>
          <w:szCs w:val="32"/>
        </w:rPr>
        <w:t>4.46</w:t>
      </w:r>
      <w:r>
        <w:rPr>
          <w:rFonts w:eastAsia="仿宋"/>
          <w:sz w:val="32"/>
          <w:szCs w:val="32"/>
        </w:rPr>
        <w:t>%；卫生健康支出（类）支出</w:t>
      </w:r>
      <w:r>
        <w:rPr>
          <w:rFonts w:hint="eastAsia" w:eastAsia="仿宋"/>
          <w:sz w:val="32"/>
          <w:szCs w:val="32"/>
        </w:rPr>
        <w:t>19.29</w:t>
      </w:r>
      <w:r>
        <w:rPr>
          <w:rFonts w:eastAsia="仿宋"/>
          <w:sz w:val="32"/>
          <w:szCs w:val="32"/>
        </w:rPr>
        <w:t>万元，占</w:t>
      </w:r>
      <w:r>
        <w:rPr>
          <w:rFonts w:hint="eastAsia" w:eastAsia="仿宋"/>
          <w:sz w:val="32"/>
          <w:szCs w:val="32"/>
        </w:rPr>
        <w:t>1.52</w:t>
      </w:r>
      <w:r>
        <w:rPr>
          <w:rFonts w:eastAsia="仿宋"/>
          <w:sz w:val="32"/>
          <w:szCs w:val="32"/>
        </w:rPr>
        <w:t>%；</w:t>
      </w:r>
      <w:r>
        <w:rPr>
          <w:rFonts w:hint="eastAsia" w:eastAsia="仿宋"/>
          <w:sz w:val="32"/>
          <w:szCs w:val="32"/>
        </w:rPr>
        <w:t>农林水支出</w:t>
      </w:r>
      <w:r>
        <w:rPr>
          <w:rFonts w:eastAsia="仿宋"/>
          <w:sz w:val="32"/>
          <w:szCs w:val="32"/>
        </w:rPr>
        <w:t>（类）支出</w:t>
      </w:r>
      <w:r>
        <w:rPr>
          <w:rFonts w:hint="eastAsia" w:eastAsia="仿宋"/>
          <w:sz w:val="32"/>
          <w:szCs w:val="32"/>
        </w:rPr>
        <w:t>406.96万元，</w:t>
      </w:r>
      <w:r>
        <w:rPr>
          <w:rFonts w:eastAsia="仿宋"/>
          <w:sz w:val="32"/>
          <w:szCs w:val="32"/>
        </w:rPr>
        <w:t>占</w:t>
      </w:r>
      <w:r>
        <w:rPr>
          <w:rFonts w:hint="eastAsia" w:eastAsia="仿宋"/>
          <w:sz w:val="32"/>
          <w:szCs w:val="32"/>
        </w:rPr>
        <w:t>31.99</w:t>
      </w:r>
      <w:r>
        <w:rPr>
          <w:rFonts w:eastAsia="仿宋"/>
          <w:sz w:val="32"/>
          <w:szCs w:val="32"/>
        </w:rPr>
        <w:t>%；住房保障支出（类）支出</w:t>
      </w:r>
      <w:r>
        <w:rPr>
          <w:rFonts w:hint="eastAsia" w:eastAsia="仿宋"/>
          <w:sz w:val="32"/>
          <w:szCs w:val="32"/>
        </w:rPr>
        <w:t>32.19</w:t>
      </w:r>
      <w:r>
        <w:rPr>
          <w:rFonts w:eastAsia="仿宋"/>
          <w:sz w:val="32"/>
          <w:szCs w:val="32"/>
        </w:rPr>
        <w:t>万元，占</w:t>
      </w:r>
      <w:r>
        <w:rPr>
          <w:rFonts w:hint="eastAsia" w:eastAsia="仿宋"/>
          <w:sz w:val="32"/>
          <w:szCs w:val="32"/>
        </w:rPr>
        <w:t>2.53</w:t>
      </w:r>
      <w:r>
        <w:rPr>
          <w:rFonts w:eastAsia="仿宋"/>
          <w:sz w:val="32"/>
          <w:szCs w:val="32"/>
        </w:rPr>
        <w:t>%</w:t>
      </w:r>
      <w:r>
        <w:rPr>
          <w:rFonts w:hint="eastAsia" w:eastAsia="仿宋"/>
          <w:sz w:val="32"/>
          <w:szCs w:val="32"/>
        </w:rPr>
        <w:t>；其他支出</w:t>
      </w:r>
      <w:r>
        <w:rPr>
          <w:rFonts w:eastAsia="仿宋"/>
          <w:sz w:val="32"/>
          <w:szCs w:val="32"/>
        </w:rPr>
        <w:t>（类）支出</w:t>
      </w:r>
      <w:r>
        <w:rPr>
          <w:rFonts w:hint="eastAsia" w:eastAsia="仿宋"/>
          <w:sz w:val="32"/>
          <w:szCs w:val="32"/>
        </w:rPr>
        <w:t>121.69万元，占9.57%</w:t>
      </w:r>
      <w:r>
        <w:rPr>
          <w:rFonts w:eastAsia="仿宋"/>
          <w:sz w:val="32"/>
          <w:szCs w:val="32"/>
        </w:rPr>
        <w:t>。</w:t>
      </w:r>
      <w:bookmarkStart w:id="36" w:name="_Toc15377444"/>
      <w:bookmarkStart w:id="37" w:name="_Toc15377213"/>
      <w:bookmarkStart w:id="38" w:name="_Toc15378460"/>
    </w:p>
    <w:p>
      <w:pPr>
        <w:spacing w:line="600" w:lineRule="exact"/>
        <w:outlineLvl w:val="2"/>
        <w:rPr>
          <w:rFonts w:eastAsia="仿宋"/>
          <w:b/>
          <w:sz w:val="32"/>
          <w:szCs w:val="32"/>
        </w:rPr>
      </w:pPr>
      <w:bookmarkStart w:id="39" w:name="_Toc15377212"/>
      <w:r>
        <w:rPr>
          <w:rFonts w:eastAsia="仿宋"/>
          <w:b/>
          <w:sz w:val="32"/>
          <w:szCs w:val="32"/>
        </w:rPr>
        <w:t>（三）一般公共预算财政拨款支出决算具体情况</w:t>
      </w:r>
      <w:bookmarkEnd w:id="39"/>
    </w:p>
    <w:p>
      <w:pPr>
        <w:spacing w:line="600" w:lineRule="exact"/>
        <w:ind w:firstLine="640"/>
        <w:outlineLvl w:val="2"/>
        <w:rPr>
          <w:rStyle w:val="14"/>
          <w:rFonts w:eastAsia="仿宋"/>
          <w:b w:val="0"/>
          <w:bCs/>
          <w:sz w:val="32"/>
          <w:szCs w:val="32"/>
        </w:rPr>
      </w:pPr>
      <w:r>
        <w:rPr>
          <w:rFonts w:eastAsia="仿宋"/>
          <w:bCs/>
          <w:sz w:val="32"/>
          <w:szCs w:val="32"/>
        </w:rPr>
        <w:t>2021年一般公共预算年初预算数为</w:t>
      </w:r>
      <w:r>
        <w:rPr>
          <w:rFonts w:hint="eastAsia" w:eastAsia="仿宋"/>
          <w:bCs/>
          <w:sz w:val="32"/>
          <w:szCs w:val="32"/>
        </w:rPr>
        <w:t>408.08</w:t>
      </w:r>
      <w:r>
        <w:rPr>
          <w:rFonts w:eastAsia="仿宋"/>
          <w:bCs/>
          <w:sz w:val="32"/>
          <w:szCs w:val="32"/>
        </w:rPr>
        <w:t>万元，支出决算数为</w:t>
      </w:r>
      <w:r>
        <w:rPr>
          <w:rFonts w:hint="eastAsia" w:eastAsia="仿宋"/>
          <w:bCs/>
          <w:sz w:val="32"/>
          <w:szCs w:val="32"/>
        </w:rPr>
        <w:t>1271.99</w:t>
      </w:r>
      <w:r>
        <w:rPr>
          <w:rFonts w:eastAsia="仿宋"/>
          <w:bCs/>
          <w:sz w:val="32"/>
          <w:szCs w:val="32"/>
        </w:rPr>
        <w:t>万元，完</w:t>
      </w:r>
      <w:r>
        <w:rPr>
          <w:rStyle w:val="14"/>
          <w:rFonts w:eastAsia="仿宋"/>
          <w:b w:val="0"/>
          <w:bCs/>
          <w:sz w:val="32"/>
          <w:szCs w:val="32"/>
        </w:rPr>
        <w:t>成预算100%。其中：</w:t>
      </w:r>
      <w:bookmarkEnd w:id="36"/>
      <w:bookmarkEnd w:id="37"/>
      <w:bookmarkEnd w:id="38"/>
    </w:p>
    <w:p>
      <w:pPr>
        <w:spacing w:line="600" w:lineRule="exact"/>
        <w:ind w:firstLine="640"/>
        <w:rPr>
          <w:rFonts w:eastAsia="仿宋"/>
          <w:sz w:val="32"/>
          <w:szCs w:val="32"/>
        </w:rPr>
      </w:pPr>
      <w:r>
        <w:rPr>
          <w:rFonts w:hint="eastAsia" w:eastAsia="仿宋"/>
          <w:sz w:val="32"/>
          <w:szCs w:val="32"/>
        </w:rPr>
        <w:t>1.</w:t>
      </w:r>
      <w:r>
        <w:rPr>
          <w:rFonts w:eastAsia="仿宋"/>
          <w:sz w:val="32"/>
          <w:szCs w:val="32"/>
        </w:rPr>
        <w:t>一般公共服务（类）</w:t>
      </w:r>
      <w:r>
        <w:rPr>
          <w:rFonts w:hint="eastAsia" w:eastAsia="仿宋"/>
          <w:sz w:val="32"/>
          <w:szCs w:val="32"/>
        </w:rPr>
        <w:t>:</w:t>
      </w:r>
      <w:r>
        <w:rPr>
          <w:rFonts w:eastAsia="仿宋"/>
          <w:sz w:val="32"/>
          <w:szCs w:val="32"/>
        </w:rPr>
        <w:t>支出决算为</w:t>
      </w:r>
      <w:r>
        <w:rPr>
          <w:rFonts w:hint="eastAsia" w:eastAsia="仿宋"/>
          <w:sz w:val="32"/>
          <w:szCs w:val="32"/>
        </w:rPr>
        <w:t>569.17</w:t>
      </w:r>
      <w:r>
        <w:rPr>
          <w:rFonts w:eastAsia="仿宋"/>
          <w:sz w:val="32"/>
          <w:szCs w:val="32"/>
        </w:rPr>
        <w:t>万元，</w:t>
      </w:r>
      <w:r>
        <w:rPr>
          <w:rFonts w:hint="eastAsia" w:eastAsia="仿宋"/>
          <w:sz w:val="32"/>
          <w:szCs w:val="32"/>
        </w:rPr>
        <w:t>完成100</w:t>
      </w:r>
      <w:r>
        <w:rPr>
          <w:rFonts w:eastAsia="仿宋"/>
          <w:sz w:val="32"/>
          <w:szCs w:val="32"/>
        </w:rPr>
        <w:t>%</w:t>
      </w:r>
      <w:r>
        <w:rPr>
          <w:rFonts w:hint="eastAsia" w:eastAsia="仿宋"/>
          <w:sz w:val="32"/>
          <w:szCs w:val="32"/>
        </w:rPr>
        <w:t>；</w:t>
      </w:r>
    </w:p>
    <w:p>
      <w:pPr>
        <w:spacing w:line="600" w:lineRule="exact"/>
        <w:ind w:firstLine="640"/>
        <w:rPr>
          <w:rFonts w:eastAsia="仿宋"/>
          <w:sz w:val="32"/>
          <w:szCs w:val="32"/>
        </w:rPr>
      </w:pPr>
      <w:r>
        <w:rPr>
          <w:rFonts w:hint="eastAsia" w:eastAsia="仿宋"/>
          <w:sz w:val="32"/>
          <w:szCs w:val="32"/>
        </w:rPr>
        <w:t>2.教育支出</w:t>
      </w:r>
      <w:r>
        <w:rPr>
          <w:rFonts w:eastAsia="仿宋"/>
          <w:sz w:val="32"/>
          <w:szCs w:val="32"/>
        </w:rPr>
        <w:t>（类）</w:t>
      </w:r>
      <w:r>
        <w:rPr>
          <w:rFonts w:hint="eastAsia" w:eastAsia="仿宋"/>
          <w:sz w:val="32"/>
          <w:szCs w:val="32"/>
        </w:rPr>
        <w:t>:</w:t>
      </w:r>
      <w:r>
        <w:rPr>
          <w:rFonts w:eastAsia="仿宋"/>
          <w:sz w:val="32"/>
          <w:szCs w:val="32"/>
        </w:rPr>
        <w:t>支出决算为</w:t>
      </w:r>
      <w:r>
        <w:rPr>
          <w:rFonts w:hint="eastAsia" w:eastAsia="仿宋"/>
          <w:sz w:val="32"/>
          <w:szCs w:val="32"/>
        </w:rPr>
        <w:t>65.95</w:t>
      </w:r>
      <w:r>
        <w:rPr>
          <w:rFonts w:eastAsia="仿宋"/>
          <w:sz w:val="32"/>
          <w:szCs w:val="32"/>
        </w:rPr>
        <w:t>万元，</w:t>
      </w:r>
      <w:r>
        <w:rPr>
          <w:rFonts w:hint="eastAsia" w:eastAsia="仿宋"/>
          <w:sz w:val="32"/>
          <w:szCs w:val="32"/>
        </w:rPr>
        <w:t>完成100</w:t>
      </w:r>
      <w:r>
        <w:rPr>
          <w:rFonts w:eastAsia="仿宋"/>
          <w:sz w:val="32"/>
          <w:szCs w:val="32"/>
        </w:rPr>
        <w:t>%；</w:t>
      </w:r>
    </w:p>
    <w:p>
      <w:pPr>
        <w:spacing w:line="600" w:lineRule="exact"/>
        <w:ind w:firstLine="640"/>
        <w:rPr>
          <w:rFonts w:eastAsia="仿宋"/>
          <w:sz w:val="32"/>
          <w:szCs w:val="32"/>
        </w:rPr>
      </w:pPr>
      <w:r>
        <w:rPr>
          <w:rFonts w:hint="eastAsia" w:eastAsia="仿宋"/>
          <w:sz w:val="32"/>
          <w:szCs w:val="32"/>
        </w:rPr>
        <w:t>3.</w:t>
      </w:r>
      <w:r>
        <w:rPr>
          <w:rFonts w:eastAsia="仿宋"/>
          <w:sz w:val="32"/>
          <w:szCs w:val="32"/>
        </w:rPr>
        <w:t>社会保障和就业</w:t>
      </w:r>
      <w:r>
        <w:rPr>
          <w:rFonts w:hint="eastAsia" w:eastAsia="仿宋"/>
          <w:sz w:val="32"/>
          <w:szCs w:val="32"/>
        </w:rPr>
        <w:t>支出</w:t>
      </w:r>
      <w:r>
        <w:rPr>
          <w:rFonts w:eastAsia="仿宋"/>
          <w:sz w:val="32"/>
          <w:szCs w:val="32"/>
        </w:rPr>
        <w:t>（类）</w:t>
      </w:r>
      <w:r>
        <w:rPr>
          <w:rFonts w:hint="eastAsia" w:eastAsia="仿宋"/>
          <w:sz w:val="32"/>
          <w:szCs w:val="32"/>
        </w:rPr>
        <w:t>:</w:t>
      </w:r>
      <w:r>
        <w:rPr>
          <w:rFonts w:eastAsia="仿宋"/>
          <w:sz w:val="32"/>
          <w:szCs w:val="32"/>
        </w:rPr>
        <w:t>支出决算为</w:t>
      </w:r>
      <w:r>
        <w:rPr>
          <w:rFonts w:hint="eastAsia" w:eastAsia="仿宋"/>
          <w:sz w:val="32"/>
          <w:szCs w:val="32"/>
        </w:rPr>
        <w:t>56.74</w:t>
      </w:r>
      <w:r>
        <w:rPr>
          <w:rFonts w:eastAsia="仿宋"/>
          <w:sz w:val="32"/>
          <w:szCs w:val="32"/>
        </w:rPr>
        <w:t>万元</w:t>
      </w:r>
      <w:r>
        <w:rPr>
          <w:rFonts w:hint="eastAsia" w:eastAsia="仿宋"/>
          <w:sz w:val="32"/>
          <w:szCs w:val="32"/>
        </w:rPr>
        <w:t>,完成100</w:t>
      </w:r>
      <w:r>
        <w:rPr>
          <w:rFonts w:eastAsia="仿宋"/>
          <w:sz w:val="32"/>
          <w:szCs w:val="32"/>
        </w:rPr>
        <w:t>%；</w:t>
      </w:r>
    </w:p>
    <w:p>
      <w:pPr>
        <w:spacing w:line="600" w:lineRule="exact"/>
        <w:ind w:firstLine="640"/>
        <w:rPr>
          <w:rFonts w:eastAsia="仿宋"/>
          <w:sz w:val="32"/>
          <w:szCs w:val="32"/>
        </w:rPr>
      </w:pPr>
      <w:r>
        <w:rPr>
          <w:rFonts w:hint="eastAsia" w:eastAsia="仿宋"/>
          <w:sz w:val="32"/>
          <w:szCs w:val="32"/>
        </w:rPr>
        <w:t>4.</w:t>
      </w:r>
      <w:r>
        <w:rPr>
          <w:rFonts w:eastAsia="仿宋"/>
          <w:sz w:val="32"/>
          <w:szCs w:val="32"/>
        </w:rPr>
        <w:t>卫生健康支出（类）</w:t>
      </w:r>
      <w:r>
        <w:rPr>
          <w:rFonts w:hint="eastAsia" w:eastAsia="仿宋"/>
          <w:sz w:val="32"/>
          <w:szCs w:val="32"/>
        </w:rPr>
        <w:t>:</w:t>
      </w:r>
      <w:r>
        <w:rPr>
          <w:rFonts w:eastAsia="仿宋"/>
          <w:sz w:val="32"/>
          <w:szCs w:val="32"/>
        </w:rPr>
        <w:t>支出决算为</w:t>
      </w:r>
      <w:r>
        <w:rPr>
          <w:rFonts w:hint="eastAsia" w:eastAsia="仿宋"/>
          <w:sz w:val="32"/>
          <w:szCs w:val="32"/>
        </w:rPr>
        <w:t>19.29</w:t>
      </w:r>
      <w:r>
        <w:rPr>
          <w:rFonts w:eastAsia="仿宋"/>
          <w:sz w:val="32"/>
          <w:szCs w:val="32"/>
        </w:rPr>
        <w:t>万元，</w:t>
      </w:r>
      <w:r>
        <w:rPr>
          <w:rFonts w:hint="eastAsia" w:eastAsia="仿宋"/>
          <w:sz w:val="32"/>
          <w:szCs w:val="32"/>
        </w:rPr>
        <w:t>完成100</w:t>
      </w:r>
      <w:r>
        <w:rPr>
          <w:rFonts w:eastAsia="仿宋"/>
          <w:sz w:val="32"/>
          <w:szCs w:val="32"/>
        </w:rPr>
        <w:t>%；</w:t>
      </w:r>
    </w:p>
    <w:p>
      <w:pPr>
        <w:spacing w:line="600" w:lineRule="exact"/>
        <w:ind w:firstLine="640"/>
        <w:rPr>
          <w:rFonts w:eastAsia="仿宋"/>
          <w:sz w:val="32"/>
          <w:szCs w:val="32"/>
        </w:rPr>
      </w:pPr>
      <w:r>
        <w:rPr>
          <w:rFonts w:hint="eastAsia" w:eastAsia="仿宋"/>
          <w:sz w:val="32"/>
          <w:szCs w:val="32"/>
        </w:rPr>
        <w:t>5.农林水支出</w:t>
      </w:r>
      <w:r>
        <w:rPr>
          <w:rFonts w:eastAsia="仿宋"/>
          <w:sz w:val="32"/>
          <w:szCs w:val="32"/>
        </w:rPr>
        <w:t>（类）</w:t>
      </w:r>
      <w:r>
        <w:rPr>
          <w:rFonts w:hint="eastAsia" w:eastAsia="仿宋"/>
          <w:sz w:val="32"/>
          <w:szCs w:val="32"/>
        </w:rPr>
        <w:t>:</w:t>
      </w:r>
      <w:r>
        <w:rPr>
          <w:rFonts w:eastAsia="仿宋"/>
          <w:sz w:val="32"/>
          <w:szCs w:val="32"/>
        </w:rPr>
        <w:t>支出决算为</w:t>
      </w:r>
      <w:r>
        <w:rPr>
          <w:rFonts w:hint="eastAsia" w:eastAsia="仿宋"/>
          <w:sz w:val="32"/>
          <w:szCs w:val="32"/>
        </w:rPr>
        <w:t>406.96万元，完成100</w:t>
      </w:r>
      <w:r>
        <w:rPr>
          <w:rFonts w:eastAsia="仿宋"/>
          <w:sz w:val="32"/>
          <w:szCs w:val="32"/>
        </w:rPr>
        <w:t>%；</w:t>
      </w:r>
    </w:p>
    <w:p>
      <w:pPr>
        <w:spacing w:line="600" w:lineRule="exact"/>
        <w:ind w:firstLine="640"/>
        <w:rPr>
          <w:rFonts w:eastAsia="仿宋"/>
          <w:sz w:val="32"/>
          <w:szCs w:val="32"/>
        </w:rPr>
      </w:pPr>
      <w:r>
        <w:rPr>
          <w:rFonts w:hint="eastAsia" w:eastAsia="仿宋"/>
          <w:sz w:val="32"/>
          <w:szCs w:val="32"/>
        </w:rPr>
        <w:t>6.</w:t>
      </w:r>
      <w:r>
        <w:rPr>
          <w:rFonts w:eastAsia="仿宋"/>
          <w:sz w:val="32"/>
          <w:szCs w:val="32"/>
        </w:rPr>
        <w:t>住房保障支出（类）</w:t>
      </w:r>
      <w:r>
        <w:rPr>
          <w:rFonts w:hint="eastAsia" w:eastAsia="仿宋"/>
          <w:sz w:val="32"/>
          <w:szCs w:val="32"/>
        </w:rPr>
        <w:t>:</w:t>
      </w:r>
      <w:r>
        <w:rPr>
          <w:rFonts w:eastAsia="仿宋"/>
          <w:sz w:val="32"/>
          <w:szCs w:val="32"/>
        </w:rPr>
        <w:t>支出决算为</w:t>
      </w:r>
      <w:r>
        <w:rPr>
          <w:rFonts w:hint="eastAsia" w:eastAsia="仿宋"/>
          <w:sz w:val="32"/>
          <w:szCs w:val="32"/>
        </w:rPr>
        <w:t>32.19</w:t>
      </w:r>
      <w:r>
        <w:rPr>
          <w:rFonts w:eastAsia="仿宋"/>
          <w:sz w:val="32"/>
          <w:szCs w:val="32"/>
        </w:rPr>
        <w:t>万元，</w:t>
      </w:r>
      <w:r>
        <w:rPr>
          <w:rFonts w:hint="eastAsia" w:eastAsia="仿宋"/>
          <w:sz w:val="32"/>
          <w:szCs w:val="32"/>
        </w:rPr>
        <w:t>完成100</w:t>
      </w:r>
      <w:r>
        <w:rPr>
          <w:rFonts w:eastAsia="仿宋"/>
          <w:sz w:val="32"/>
          <w:szCs w:val="32"/>
        </w:rPr>
        <w:t>%</w:t>
      </w:r>
      <w:r>
        <w:rPr>
          <w:rFonts w:hint="eastAsia" w:eastAsia="仿宋"/>
          <w:sz w:val="32"/>
          <w:szCs w:val="32"/>
        </w:rPr>
        <w:t>；</w:t>
      </w:r>
    </w:p>
    <w:p>
      <w:pPr>
        <w:spacing w:line="600" w:lineRule="exact"/>
        <w:ind w:firstLine="640"/>
        <w:rPr>
          <w:rFonts w:eastAsia="仿宋"/>
          <w:sz w:val="32"/>
          <w:szCs w:val="32"/>
        </w:rPr>
      </w:pPr>
      <w:r>
        <w:rPr>
          <w:rFonts w:hint="eastAsia" w:eastAsia="仿宋"/>
          <w:sz w:val="32"/>
          <w:szCs w:val="32"/>
        </w:rPr>
        <w:t>7.其他支出</w:t>
      </w:r>
      <w:r>
        <w:rPr>
          <w:rFonts w:eastAsia="仿宋"/>
          <w:sz w:val="32"/>
          <w:szCs w:val="32"/>
        </w:rPr>
        <w:t>（类）</w:t>
      </w:r>
      <w:r>
        <w:rPr>
          <w:rFonts w:hint="eastAsia" w:eastAsia="仿宋"/>
          <w:sz w:val="32"/>
          <w:szCs w:val="32"/>
        </w:rPr>
        <w:t>:</w:t>
      </w:r>
      <w:r>
        <w:rPr>
          <w:rFonts w:eastAsia="仿宋"/>
          <w:sz w:val="32"/>
          <w:szCs w:val="32"/>
        </w:rPr>
        <w:t>支出决算为</w:t>
      </w:r>
      <w:r>
        <w:rPr>
          <w:rFonts w:hint="eastAsia" w:eastAsia="仿宋"/>
          <w:sz w:val="32"/>
          <w:szCs w:val="32"/>
        </w:rPr>
        <w:t>121.69万元，完成100</w:t>
      </w:r>
      <w:r>
        <w:rPr>
          <w:rFonts w:eastAsia="仿宋"/>
          <w:sz w:val="32"/>
          <w:szCs w:val="32"/>
        </w:rPr>
        <w:t>%。</w:t>
      </w:r>
    </w:p>
    <w:p>
      <w:pPr>
        <w:spacing w:line="600" w:lineRule="exact"/>
        <w:rPr>
          <w:rStyle w:val="17"/>
          <w:rFonts w:ascii="Times New Roman" w:hAnsi="Times New Roman"/>
        </w:rPr>
      </w:pPr>
      <w:bookmarkStart w:id="40" w:name="_Toc15396608"/>
      <w:bookmarkStart w:id="41" w:name="_Toc15377214"/>
      <w:r>
        <w:rPr>
          <w:rFonts w:eastAsia="黑体"/>
          <w:sz w:val="32"/>
          <w:szCs w:val="32"/>
        </w:rPr>
        <w:t>六</w:t>
      </w:r>
      <w:r>
        <w:rPr>
          <w:rFonts w:eastAsia="黑体"/>
          <w:b/>
          <w:sz w:val="32"/>
          <w:szCs w:val="32"/>
        </w:rPr>
        <w:t>、一</w:t>
      </w:r>
      <w:r>
        <w:rPr>
          <w:rStyle w:val="17"/>
          <w:rFonts w:ascii="Times New Roman" w:hAnsi="Times New Roman" w:eastAsia="黑体"/>
          <w:b w:val="0"/>
        </w:rPr>
        <w:t>般公共预算财政拨款基本支出决算情况说明</w:t>
      </w:r>
      <w:bookmarkEnd w:id="40"/>
      <w:bookmarkEnd w:id="41"/>
      <w:r>
        <w:rPr>
          <w:rStyle w:val="17"/>
          <w:rFonts w:ascii="Times New Roman" w:hAnsi="Times New Roman" w:eastAsia="黑体"/>
          <w:b w:val="0"/>
        </w:rPr>
        <w:tab/>
      </w:r>
    </w:p>
    <w:p>
      <w:pPr>
        <w:spacing w:line="600" w:lineRule="exact"/>
        <w:ind w:firstLine="645"/>
        <w:rPr>
          <w:rFonts w:eastAsia="仿宋"/>
          <w:sz w:val="32"/>
          <w:szCs w:val="32"/>
        </w:rPr>
      </w:pPr>
      <w:r>
        <w:rPr>
          <w:rFonts w:eastAsia="仿宋"/>
          <w:sz w:val="32"/>
          <w:szCs w:val="32"/>
        </w:rPr>
        <w:t>2021年一般公共预算财政拨款基本支出</w:t>
      </w:r>
      <w:r>
        <w:rPr>
          <w:rFonts w:hint="eastAsia" w:eastAsia="仿宋"/>
          <w:sz w:val="32"/>
          <w:szCs w:val="32"/>
        </w:rPr>
        <w:t>578.33</w:t>
      </w:r>
      <w:r>
        <w:rPr>
          <w:rFonts w:eastAsia="仿宋"/>
          <w:sz w:val="32"/>
          <w:szCs w:val="32"/>
        </w:rPr>
        <w:t>万元，其中：</w:t>
      </w:r>
    </w:p>
    <w:p>
      <w:pPr>
        <w:spacing w:line="600" w:lineRule="exact"/>
        <w:ind w:firstLine="645"/>
        <w:rPr>
          <w:rFonts w:eastAsia="仿宋"/>
          <w:sz w:val="32"/>
          <w:szCs w:val="32"/>
        </w:rPr>
      </w:pPr>
      <w:r>
        <w:rPr>
          <w:rFonts w:eastAsia="仿宋"/>
          <w:sz w:val="32"/>
          <w:szCs w:val="32"/>
        </w:rPr>
        <w:t>人员经费</w:t>
      </w:r>
      <w:r>
        <w:rPr>
          <w:rFonts w:hint="eastAsia" w:eastAsia="仿宋"/>
          <w:sz w:val="32"/>
          <w:szCs w:val="32"/>
        </w:rPr>
        <w:t>514.61</w:t>
      </w:r>
      <w:r>
        <w:rPr>
          <w:rFonts w:eastAsia="仿宋"/>
          <w:sz w:val="32"/>
          <w:szCs w:val="32"/>
        </w:rPr>
        <w:t>万元，主要包括：基本工资</w:t>
      </w:r>
      <w:r>
        <w:rPr>
          <w:rFonts w:hint="eastAsia" w:eastAsia="仿宋"/>
          <w:sz w:val="32"/>
          <w:szCs w:val="32"/>
        </w:rPr>
        <w:t>82.49</w:t>
      </w:r>
      <w:r>
        <w:rPr>
          <w:rFonts w:eastAsia="仿宋"/>
          <w:sz w:val="32"/>
          <w:szCs w:val="32"/>
        </w:rPr>
        <w:t>万元、津贴补贴</w:t>
      </w:r>
      <w:r>
        <w:rPr>
          <w:rFonts w:hint="eastAsia" w:eastAsia="仿宋"/>
          <w:sz w:val="32"/>
          <w:szCs w:val="32"/>
        </w:rPr>
        <w:t>132.35</w:t>
      </w:r>
      <w:r>
        <w:rPr>
          <w:rFonts w:eastAsia="仿宋"/>
          <w:sz w:val="32"/>
          <w:szCs w:val="32"/>
        </w:rPr>
        <w:t>万元、奖金</w:t>
      </w:r>
      <w:r>
        <w:rPr>
          <w:rFonts w:hint="eastAsia" w:eastAsia="仿宋"/>
          <w:sz w:val="32"/>
          <w:szCs w:val="32"/>
        </w:rPr>
        <w:t>6.52</w:t>
      </w:r>
      <w:r>
        <w:rPr>
          <w:rFonts w:eastAsia="仿宋"/>
          <w:sz w:val="32"/>
          <w:szCs w:val="32"/>
        </w:rPr>
        <w:t>万元、机关事业单位基本养老保险缴费</w:t>
      </w:r>
      <w:r>
        <w:rPr>
          <w:rFonts w:hint="eastAsia" w:eastAsia="仿宋"/>
          <w:sz w:val="32"/>
          <w:szCs w:val="32"/>
        </w:rPr>
        <w:t>31.16</w:t>
      </w:r>
      <w:r>
        <w:rPr>
          <w:rFonts w:eastAsia="仿宋"/>
          <w:sz w:val="32"/>
          <w:szCs w:val="32"/>
        </w:rPr>
        <w:t>万元、职业年金缴费</w:t>
      </w:r>
      <w:r>
        <w:rPr>
          <w:rFonts w:hint="eastAsia" w:eastAsia="仿宋"/>
          <w:sz w:val="32"/>
          <w:szCs w:val="32"/>
        </w:rPr>
        <w:t>15.58</w:t>
      </w:r>
      <w:r>
        <w:rPr>
          <w:rFonts w:eastAsia="仿宋"/>
          <w:sz w:val="32"/>
          <w:szCs w:val="32"/>
        </w:rPr>
        <w:t>万元、职工基本医疗保险缴费</w:t>
      </w:r>
      <w:r>
        <w:rPr>
          <w:rFonts w:hint="eastAsia" w:eastAsia="仿宋"/>
          <w:sz w:val="32"/>
          <w:szCs w:val="32"/>
        </w:rPr>
        <w:t>15.4</w:t>
      </w:r>
      <w:r>
        <w:rPr>
          <w:rFonts w:eastAsia="仿宋"/>
          <w:sz w:val="32"/>
          <w:szCs w:val="32"/>
        </w:rPr>
        <w:t>万元、公务员医疗补助缴费</w:t>
      </w:r>
      <w:r>
        <w:rPr>
          <w:rFonts w:hint="eastAsia" w:eastAsia="仿宋"/>
          <w:sz w:val="32"/>
          <w:szCs w:val="32"/>
        </w:rPr>
        <w:t>5.49</w:t>
      </w:r>
      <w:r>
        <w:rPr>
          <w:rFonts w:eastAsia="仿宋"/>
          <w:sz w:val="32"/>
          <w:szCs w:val="32"/>
        </w:rPr>
        <w:t>万元、其他社会保障缴费</w:t>
      </w:r>
      <w:r>
        <w:rPr>
          <w:rFonts w:hint="eastAsia" w:eastAsia="仿宋"/>
          <w:sz w:val="32"/>
          <w:szCs w:val="32"/>
        </w:rPr>
        <w:t>0.77</w:t>
      </w:r>
      <w:r>
        <w:rPr>
          <w:rFonts w:eastAsia="仿宋"/>
          <w:sz w:val="32"/>
          <w:szCs w:val="32"/>
        </w:rPr>
        <w:t>万元、住房公积金</w:t>
      </w:r>
      <w:r>
        <w:rPr>
          <w:rFonts w:hint="eastAsia" w:eastAsia="仿宋"/>
          <w:sz w:val="32"/>
          <w:szCs w:val="32"/>
        </w:rPr>
        <w:t>32.19</w:t>
      </w:r>
      <w:r>
        <w:rPr>
          <w:rFonts w:eastAsia="仿宋"/>
          <w:sz w:val="32"/>
          <w:szCs w:val="32"/>
        </w:rPr>
        <w:t>万元、奖励金支出</w:t>
      </w:r>
      <w:r>
        <w:rPr>
          <w:rFonts w:hint="eastAsia" w:eastAsia="仿宋"/>
          <w:sz w:val="32"/>
          <w:szCs w:val="32"/>
        </w:rPr>
        <w:t>184.29</w:t>
      </w:r>
      <w:r>
        <w:rPr>
          <w:rFonts w:eastAsia="仿宋"/>
          <w:sz w:val="32"/>
          <w:szCs w:val="32"/>
        </w:rPr>
        <w:t>万元等、生活补助</w:t>
      </w:r>
      <w:r>
        <w:rPr>
          <w:rFonts w:hint="eastAsia" w:eastAsia="仿宋"/>
          <w:sz w:val="32"/>
          <w:szCs w:val="32"/>
        </w:rPr>
        <w:t>8.37</w:t>
      </w:r>
      <w:r>
        <w:rPr>
          <w:rFonts w:eastAsia="仿宋"/>
          <w:sz w:val="32"/>
          <w:szCs w:val="32"/>
        </w:rPr>
        <w:t>万元。</w:t>
      </w:r>
    </w:p>
    <w:p>
      <w:pPr>
        <w:spacing w:line="600" w:lineRule="exact"/>
        <w:ind w:firstLine="645"/>
        <w:rPr>
          <w:rFonts w:eastAsia="仿宋"/>
          <w:sz w:val="32"/>
          <w:szCs w:val="32"/>
        </w:rPr>
      </w:pPr>
      <w:r>
        <w:rPr>
          <w:rFonts w:eastAsia="仿宋"/>
          <w:sz w:val="32"/>
          <w:szCs w:val="32"/>
        </w:rPr>
        <w:t>公用经费</w:t>
      </w:r>
      <w:r>
        <w:rPr>
          <w:rFonts w:hint="eastAsia" w:eastAsia="仿宋"/>
          <w:sz w:val="32"/>
          <w:szCs w:val="32"/>
        </w:rPr>
        <w:t>63.72</w:t>
      </w:r>
      <w:r>
        <w:rPr>
          <w:rFonts w:eastAsia="仿宋"/>
          <w:sz w:val="32"/>
          <w:szCs w:val="32"/>
        </w:rPr>
        <w:t>万元，主要包括：办公费</w:t>
      </w:r>
      <w:r>
        <w:rPr>
          <w:rFonts w:hint="eastAsia" w:eastAsia="仿宋"/>
          <w:sz w:val="32"/>
          <w:szCs w:val="32"/>
        </w:rPr>
        <w:t>27.09</w:t>
      </w:r>
      <w:r>
        <w:rPr>
          <w:rFonts w:eastAsia="仿宋"/>
          <w:sz w:val="32"/>
          <w:szCs w:val="32"/>
        </w:rPr>
        <w:t>万元、水费</w:t>
      </w:r>
      <w:r>
        <w:rPr>
          <w:rFonts w:hint="eastAsia" w:eastAsia="仿宋"/>
          <w:sz w:val="32"/>
          <w:szCs w:val="32"/>
        </w:rPr>
        <w:t>0.4</w:t>
      </w:r>
      <w:r>
        <w:rPr>
          <w:rFonts w:eastAsia="仿宋"/>
          <w:sz w:val="32"/>
          <w:szCs w:val="32"/>
        </w:rPr>
        <w:t>万元、电费</w:t>
      </w:r>
      <w:r>
        <w:rPr>
          <w:rFonts w:hint="eastAsia" w:eastAsia="仿宋"/>
          <w:sz w:val="32"/>
          <w:szCs w:val="32"/>
        </w:rPr>
        <w:t>1.5</w:t>
      </w:r>
      <w:r>
        <w:rPr>
          <w:rFonts w:eastAsia="仿宋"/>
          <w:sz w:val="32"/>
          <w:szCs w:val="32"/>
        </w:rPr>
        <w:t>万元、邮电费</w:t>
      </w:r>
      <w:r>
        <w:rPr>
          <w:rFonts w:hint="eastAsia" w:eastAsia="仿宋"/>
          <w:sz w:val="32"/>
          <w:szCs w:val="32"/>
        </w:rPr>
        <w:t>2</w:t>
      </w:r>
      <w:r>
        <w:rPr>
          <w:rFonts w:eastAsia="仿宋"/>
          <w:sz w:val="32"/>
          <w:szCs w:val="32"/>
        </w:rPr>
        <w:t>万元、差旅费</w:t>
      </w:r>
      <w:r>
        <w:rPr>
          <w:rFonts w:hint="eastAsia" w:eastAsia="仿宋"/>
          <w:sz w:val="32"/>
          <w:szCs w:val="32"/>
        </w:rPr>
        <w:t>17.12</w:t>
      </w:r>
      <w:r>
        <w:rPr>
          <w:rFonts w:eastAsia="仿宋"/>
          <w:sz w:val="32"/>
          <w:szCs w:val="32"/>
        </w:rPr>
        <w:t>万元、</w:t>
      </w:r>
      <w:r>
        <w:rPr>
          <w:rFonts w:hint="eastAsia" w:eastAsia="仿宋"/>
          <w:sz w:val="32"/>
          <w:szCs w:val="32"/>
        </w:rPr>
        <w:t>维修（护）费</w:t>
      </w:r>
      <w:r>
        <w:rPr>
          <w:rFonts w:eastAsia="仿宋"/>
          <w:sz w:val="32"/>
          <w:szCs w:val="32"/>
        </w:rPr>
        <w:t>5万元、公务接待费0.</w:t>
      </w:r>
      <w:r>
        <w:rPr>
          <w:rFonts w:hint="eastAsia" w:eastAsia="仿宋"/>
          <w:sz w:val="32"/>
          <w:szCs w:val="32"/>
        </w:rPr>
        <w:t>34</w:t>
      </w:r>
      <w:r>
        <w:rPr>
          <w:rFonts w:eastAsia="仿宋"/>
          <w:sz w:val="32"/>
          <w:szCs w:val="32"/>
        </w:rPr>
        <w:t>万元、</w:t>
      </w:r>
      <w:r>
        <w:rPr>
          <w:rFonts w:hint="eastAsia" w:eastAsia="仿宋"/>
          <w:sz w:val="32"/>
          <w:szCs w:val="32"/>
        </w:rPr>
        <w:t>福利费1.27万元、</w:t>
      </w:r>
      <w:r>
        <w:rPr>
          <w:rFonts w:eastAsia="仿宋"/>
          <w:sz w:val="32"/>
          <w:szCs w:val="32"/>
        </w:rPr>
        <w:t>公务用车运行维护费</w:t>
      </w:r>
      <w:r>
        <w:rPr>
          <w:rFonts w:hint="eastAsia" w:eastAsia="仿宋"/>
          <w:sz w:val="32"/>
          <w:szCs w:val="32"/>
        </w:rPr>
        <w:t>9</w:t>
      </w:r>
      <w:r>
        <w:rPr>
          <w:rFonts w:eastAsia="仿宋"/>
          <w:sz w:val="32"/>
          <w:szCs w:val="32"/>
        </w:rPr>
        <w:t>万元。</w:t>
      </w:r>
    </w:p>
    <w:p>
      <w:pPr>
        <w:spacing w:line="600" w:lineRule="exact"/>
        <w:outlineLvl w:val="1"/>
        <w:rPr>
          <w:rStyle w:val="17"/>
          <w:rFonts w:ascii="Times New Roman" w:hAnsi="Times New Roman" w:eastAsia="黑体"/>
          <w:b w:val="0"/>
        </w:rPr>
      </w:pPr>
      <w:bookmarkStart w:id="42" w:name="_Toc15377215"/>
      <w:bookmarkStart w:id="43" w:name="_Toc15396609"/>
      <w:r>
        <w:rPr>
          <w:rFonts w:eastAsia="黑体"/>
          <w:sz w:val="32"/>
          <w:szCs w:val="32"/>
        </w:rPr>
        <w:t>七、</w:t>
      </w:r>
      <w:r>
        <w:rPr>
          <w:rStyle w:val="17"/>
          <w:rFonts w:ascii="Times New Roman" w:hAnsi="Times New Roman" w:eastAsia="黑体"/>
        </w:rPr>
        <w:t>“</w:t>
      </w:r>
      <w:r>
        <w:rPr>
          <w:rStyle w:val="17"/>
          <w:rFonts w:ascii="Times New Roman" w:hAnsi="Times New Roman" w:eastAsia="黑体"/>
          <w:b w:val="0"/>
        </w:rPr>
        <w:t>三公”经费财政拨款支出决算情况说明</w:t>
      </w:r>
      <w:bookmarkEnd w:id="42"/>
      <w:bookmarkEnd w:id="43"/>
    </w:p>
    <w:p>
      <w:pPr>
        <w:spacing w:line="600" w:lineRule="exact"/>
        <w:ind w:firstLine="643" w:firstLineChars="200"/>
        <w:outlineLvl w:val="2"/>
        <w:rPr>
          <w:rFonts w:eastAsia="仿宋"/>
          <w:b/>
          <w:sz w:val="32"/>
          <w:szCs w:val="32"/>
        </w:rPr>
      </w:pPr>
      <w:bookmarkStart w:id="44" w:name="_Toc15377216"/>
      <w:r>
        <w:rPr>
          <w:rFonts w:eastAsia="仿宋"/>
          <w:b/>
          <w:sz w:val="32"/>
          <w:szCs w:val="32"/>
        </w:rPr>
        <w:t>（一）“三公”经费财政拨款支出决算总体情况说明</w:t>
      </w:r>
      <w:bookmarkEnd w:id="44"/>
    </w:p>
    <w:p>
      <w:pPr>
        <w:spacing w:line="600" w:lineRule="exact"/>
        <w:ind w:firstLine="640"/>
        <w:rPr>
          <w:rFonts w:eastAsia="仿宋"/>
          <w:sz w:val="32"/>
          <w:szCs w:val="32"/>
        </w:rPr>
      </w:pPr>
      <w:r>
        <w:rPr>
          <w:rFonts w:eastAsia="仿宋"/>
          <w:sz w:val="32"/>
          <w:szCs w:val="32"/>
        </w:rPr>
        <w:t>2021年“三公”经费财政拨款支出决算为</w:t>
      </w:r>
      <w:r>
        <w:rPr>
          <w:rFonts w:hint="eastAsia" w:eastAsia="仿宋"/>
          <w:sz w:val="32"/>
          <w:szCs w:val="32"/>
        </w:rPr>
        <w:t>9.34</w:t>
      </w:r>
      <w:r>
        <w:rPr>
          <w:rFonts w:eastAsia="仿宋"/>
          <w:sz w:val="32"/>
          <w:szCs w:val="32"/>
        </w:rPr>
        <w:t>万元，</w:t>
      </w:r>
      <w:r>
        <w:rPr>
          <w:rFonts w:hint="eastAsia" w:eastAsia="仿宋"/>
          <w:sz w:val="32"/>
          <w:szCs w:val="32"/>
        </w:rPr>
        <w:t>预算为9.34万元，</w:t>
      </w:r>
      <w:r>
        <w:rPr>
          <w:rFonts w:eastAsia="仿宋"/>
          <w:sz w:val="32"/>
          <w:szCs w:val="32"/>
        </w:rPr>
        <w:t>完成预算100%，决算数与预算数持平。</w:t>
      </w:r>
    </w:p>
    <w:p>
      <w:pPr>
        <w:spacing w:line="600" w:lineRule="exact"/>
        <w:ind w:firstLine="640"/>
        <w:outlineLvl w:val="2"/>
        <w:rPr>
          <w:rFonts w:eastAsia="仿宋"/>
          <w:b/>
          <w:sz w:val="32"/>
          <w:szCs w:val="32"/>
        </w:rPr>
      </w:pPr>
      <w:bookmarkStart w:id="45" w:name="_Toc15377217"/>
      <w:r>
        <w:rPr>
          <w:rFonts w:eastAsia="仿宋"/>
          <w:b/>
          <w:sz w:val="32"/>
          <w:szCs w:val="32"/>
        </w:rPr>
        <w:t>（二）“三公”经费财政拨款支出决算具体情况说明</w:t>
      </w:r>
      <w:bookmarkEnd w:id="45"/>
    </w:p>
    <w:p>
      <w:pPr>
        <w:spacing w:line="600" w:lineRule="exact"/>
        <w:ind w:firstLine="640"/>
        <w:rPr>
          <w:rFonts w:eastAsia="仿宋"/>
          <w:sz w:val="32"/>
          <w:szCs w:val="32"/>
        </w:rPr>
      </w:pPr>
      <w:r>
        <w:rPr>
          <w:rFonts w:eastAsia="仿宋"/>
          <w:sz w:val="32"/>
          <w:szCs w:val="32"/>
        </w:rPr>
        <w:t>2021年“三公”经费财政拨款支出决算</w:t>
      </w:r>
      <w:r>
        <w:rPr>
          <w:rFonts w:hint="eastAsia" w:eastAsia="仿宋"/>
          <w:sz w:val="32"/>
          <w:szCs w:val="32"/>
        </w:rPr>
        <w:t>9.34</w:t>
      </w:r>
      <w:r>
        <w:rPr>
          <w:rFonts w:eastAsia="仿宋"/>
          <w:sz w:val="32"/>
          <w:szCs w:val="32"/>
        </w:rPr>
        <w:t>万元，其中：因公出国（境）费支出决算0万元，占0%；公务用车购置及运行维护费支出决算</w:t>
      </w:r>
      <w:r>
        <w:rPr>
          <w:rFonts w:hint="eastAsia" w:eastAsia="仿宋"/>
          <w:sz w:val="32"/>
          <w:szCs w:val="32"/>
        </w:rPr>
        <w:t>9</w:t>
      </w:r>
      <w:r>
        <w:rPr>
          <w:rFonts w:eastAsia="仿宋"/>
          <w:sz w:val="32"/>
          <w:szCs w:val="32"/>
        </w:rPr>
        <w:t>万元，占</w:t>
      </w:r>
      <w:r>
        <w:rPr>
          <w:rFonts w:hint="eastAsia" w:eastAsia="仿宋"/>
          <w:sz w:val="32"/>
          <w:szCs w:val="32"/>
        </w:rPr>
        <w:t>96.36</w:t>
      </w:r>
      <w:r>
        <w:rPr>
          <w:rFonts w:eastAsia="仿宋"/>
          <w:sz w:val="32"/>
          <w:szCs w:val="32"/>
        </w:rPr>
        <w:t>%；公务接待费支出决算0.</w:t>
      </w:r>
      <w:r>
        <w:rPr>
          <w:rFonts w:hint="eastAsia" w:eastAsia="仿宋"/>
          <w:sz w:val="32"/>
          <w:szCs w:val="32"/>
        </w:rPr>
        <w:t>34</w:t>
      </w:r>
      <w:r>
        <w:rPr>
          <w:rFonts w:eastAsia="仿宋"/>
          <w:sz w:val="32"/>
          <w:szCs w:val="32"/>
        </w:rPr>
        <w:t>万元，占</w:t>
      </w:r>
      <w:r>
        <w:rPr>
          <w:rFonts w:hint="eastAsia" w:eastAsia="仿宋"/>
          <w:sz w:val="32"/>
          <w:szCs w:val="32"/>
        </w:rPr>
        <w:t>3.64</w:t>
      </w:r>
      <w:r>
        <w:rPr>
          <w:rFonts w:eastAsia="仿宋"/>
          <w:sz w:val="32"/>
          <w:szCs w:val="32"/>
        </w:rPr>
        <w:t>%。具体情况如下：</w:t>
      </w:r>
    </w:p>
    <w:p>
      <w:pPr>
        <w:ind w:firstLine="420" w:firstLineChars="200"/>
        <w:rPr>
          <w:rFonts w:eastAsia="仿宋_GB2312"/>
          <w:b/>
          <w:sz w:val="32"/>
          <w:szCs w:val="32"/>
        </w:rPr>
      </w:pPr>
      <w:r>
        <w:drawing>
          <wp:anchor distT="0" distB="0" distL="114300" distR="114300" simplePos="0" relativeHeight="251663360" behindDoc="0" locked="0" layoutInCell="1" allowOverlap="1">
            <wp:simplePos x="0" y="0"/>
            <wp:positionH relativeFrom="column">
              <wp:posOffset>537845</wp:posOffset>
            </wp:positionH>
            <wp:positionV relativeFrom="paragraph">
              <wp:posOffset>24765</wp:posOffset>
            </wp:positionV>
            <wp:extent cx="3983990" cy="2078355"/>
            <wp:effectExtent l="4445" t="4445" r="12065" b="12700"/>
            <wp:wrapTopAndBottom/>
            <wp:docPr id="1036"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r>
        <w:rPr>
          <w:rFonts w:eastAsia="仿宋_GB2312"/>
          <w:b/>
          <w:sz w:val="32"/>
          <w:szCs w:val="32"/>
        </w:rPr>
        <w:t>1.公务用车购置及运行维护费支出</w:t>
      </w:r>
      <w:r>
        <w:rPr>
          <w:rFonts w:hint="eastAsia" w:eastAsia="仿宋_GB2312"/>
          <w:sz w:val="32"/>
          <w:szCs w:val="32"/>
        </w:rPr>
        <w:t>9</w:t>
      </w:r>
      <w:r>
        <w:rPr>
          <w:rFonts w:eastAsia="仿宋_GB2312"/>
          <w:sz w:val="32"/>
          <w:szCs w:val="32"/>
        </w:rPr>
        <w:t>万元,</w:t>
      </w:r>
      <w:r>
        <w:rPr>
          <w:rFonts w:hint="eastAsia" w:eastAsia="仿宋_GB2312"/>
          <w:sz w:val="32"/>
          <w:szCs w:val="32"/>
        </w:rPr>
        <w:t>预算为9万元，</w:t>
      </w:r>
      <w:r>
        <w:rPr>
          <w:rStyle w:val="14"/>
          <w:rFonts w:eastAsia="仿宋"/>
          <w:b w:val="0"/>
          <w:bCs/>
          <w:sz w:val="32"/>
          <w:szCs w:val="32"/>
        </w:rPr>
        <w:t>完成预算100%。</w:t>
      </w:r>
      <w:r>
        <w:rPr>
          <w:rFonts w:eastAsia="仿宋_GB2312"/>
          <w:sz w:val="32"/>
          <w:szCs w:val="32"/>
        </w:rPr>
        <w:t>公务用车购置及运行维护费支出决算比2020年</w:t>
      </w:r>
      <w:r>
        <w:rPr>
          <w:rFonts w:hint="eastAsia" w:eastAsia="仿宋_GB2312"/>
          <w:sz w:val="32"/>
          <w:szCs w:val="32"/>
        </w:rPr>
        <w:t>增加2.7</w:t>
      </w:r>
      <w:r>
        <w:rPr>
          <w:rFonts w:eastAsia="仿宋_GB2312"/>
          <w:sz w:val="32"/>
          <w:szCs w:val="32"/>
        </w:rPr>
        <w:t>万元，</w:t>
      </w:r>
      <w:r>
        <w:rPr>
          <w:rFonts w:hint="eastAsia" w:eastAsia="仿宋_GB2312"/>
          <w:sz w:val="32"/>
          <w:szCs w:val="32"/>
        </w:rPr>
        <w:t>增加42.86</w:t>
      </w:r>
      <w:r>
        <w:rPr>
          <w:rFonts w:eastAsia="仿宋_GB2312"/>
          <w:sz w:val="32"/>
          <w:szCs w:val="32"/>
        </w:rPr>
        <w:t>%。</w:t>
      </w:r>
      <w:r>
        <w:rPr>
          <w:rFonts w:hint="eastAsia" w:eastAsia="仿宋_GB2312"/>
          <w:sz w:val="32"/>
          <w:szCs w:val="32"/>
        </w:rPr>
        <w:t>增加</w:t>
      </w:r>
      <w:r>
        <w:rPr>
          <w:rFonts w:eastAsia="仿宋_GB2312"/>
          <w:sz w:val="32"/>
          <w:szCs w:val="32"/>
        </w:rPr>
        <w:t>原因</w:t>
      </w:r>
      <w:r>
        <w:rPr>
          <w:rFonts w:hint="eastAsia" w:eastAsia="仿宋_GB2312"/>
          <w:sz w:val="32"/>
          <w:szCs w:val="32"/>
        </w:rPr>
        <w:t>为</w:t>
      </w:r>
      <w:r>
        <w:rPr>
          <w:rFonts w:eastAsia="仿宋_GB2312"/>
          <w:sz w:val="32"/>
          <w:szCs w:val="32"/>
        </w:rPr>
        <w:t>公务用车</w:t>
      </w:r>
      <w:r>
        <w:rPr>
          <w:rFonts w:hint="eastAsia" w:eastAsia="仿宋_GB2312"/>
          <w:sz w:val="32"/>
          <w:szCs w:val="32"/>
        </w:rPr>
        <w:t>出车频率增加，</w:t>
      </w:r>
      <w:r>
        <w:rPr>
          <w:rFonts w:eastAsia="仿宋_GB2312"/>
          <w:sz w:val="32"/>
          <w:szCs w:val="32"/>
        </w:rPr>
        <w:t>我单位所需的公务用车燃料费、维修费、过路过桥费、保险费等支出</w:t>
      </w:r>
      <w:r>
        <w:rPr>
          <w:rFonts w:hint="eastAsia" w:eastAsia="仿宋_GB2312"/>
          <w:sz w:val="32"/>
          <w:szCs w:val="32"/>
        </w:rPr>
        <w:t>增加</w:t>
      </w:r>
      <w:r>
        <w:rPr>
          <w:rFonts w:eastAsia="仿宋_GB2312"/>
          <w:sz w:val="32"/>
          <w:szCs w:val="32"/>
        </w:rPr>
        <w:t>。</w:t>
      </w:r>
    </w:p>
    <w:p>
      <w:pPr>
        <w:autoSpaceDE w:val="0"/>
        <w:autoSpaceDN w:val="0"/>
        <w:adjustRightInd w:val="0"/>
        <w:spacing w:line="600" w:lineRule="exact"/>
        <w:ind w:firstLine="640" w:firstLineChars="200"/>
        <w:jc w:val="left"/>
        <w:rPr>
          <w:rFonts w:eastAsia="仿宋_GB2312"/>
          <w:b/>
          <w:sz w:val="32"/>
          <w:szCs w:val="32"/>
        </w:rPr>
      </w:pPr>
      <w:r>
        <w:rPr>
          <w:rFonts w:eastAsia="仿宋_GB2312"/>
          <w:sz w:val="32"/>
          <w:szCs w:val="32"/>
        </w:rPr>
        <w:t>其中：</w:t>
      </w:r>
      <w:r>
        <w:rPr>
          <w:rFonts w:eastAsia="仿宋_GB2312"/>
          <w:b/>
          <w:sz w:val="32"/>
          <w:szCs w:val="32"/>
        </w:rPr>
        <w:t>公务用车购置支出</w:t>
      </w:r>
      <w:r>
        <w:rPr>
          <w:rFonts w:eastAsia="仿宋_GB2312"/>
          <w:sz w:val="32"/>
          <w:szCs w:val="32"/>
        </w:rPr>
        <w:t>0万元。全年按规定更新购置公务用车0辆。截至2021年12月31日，共有车辆</w:t>
      </w:r>
      <w:r>
        <w:rPr>
          <w:rFonts w:hint="eastAsia" w:eastAsia="仿宋_GB2312"/>
          <w:sz w:val="32"/>
          <w:szCs w:val="32"/>
        </w:rPr>
        <w:t>1</w:t>
      </w:r>
      <w:r>
        <w:rPr>
          <w:rFonts w:eastAsia="仿宋_GB2312"/>
          <w:sz w:val="32"/>
          <w:szCs w:val="32"/>
        </w:rPr>
        <w:t>辆，其中：部级领导干部用车0辆、主要领导干部用车0辆、机要通信用车0辆、应急保障用车</w:t>
      </w:r>
      <w:r>
        <w:rPr>
          <w:rFonts w:hint="eastAsia" w:eastAsia="仿宋_GB2312"/>
          <w:sz w:val="32"/>
          <w:szCs w:val="32"/>
        </w:rPr>
        <w:t>1</w:t>
      </w:r>
      <w:r>
        <w:rPr>
          <w:rFonts w:eastAsia="仿宋_GB2312"/>
          <w:sz w:val="32"/>
          <w:szCs w:val="32"/>
        </w:rPr>
        <w:t>辆、执法执勤用车0辆、特种专业技术用车0辆、离退休干部用车0辆、其他用车0辆；</w:t>
      </w:r>
      <w:r>
        <w:rPr>
          <w:rFonts w:eastAsia="仿宋_GB2312"/>
          <w:b/>
          <w:sz w:val="32"/>
          <w:szCs w:val="32"/>
        </w:rPr>
        <w:t>公务用车运行维护费支出</w:t>
      </w:r>
      <w:r>
        <w:rPr>
          <w:rFonts w:hint="eastAsia" w:eastAsia="仿宋_GB2312"/>
          <w:sz w:val="32"/>
          <w:szCs w:val="32"/>
        </w:rPr>
        <w:t>9</w:t>
      </w:r>
      <w:r>
        <w:rPr>
          <w:rFonts w:eastAsia="仿宋_GB2312"/>
          <w:sz w:val="32"/>
          <w:szCs w:val="32"/>
        </w:rPr>
        <w:t>万元。主要用我单位所需的公务用车燃料费、维修费、过路过桥费、保险费等支出。</w:t>
      </w:r>
    </w:p>
    <w:p>
      <w:pPr>
        <w:numPr>
          <w:ilvl w:val="0"/>
          <w:numId w:val="3"/>
        </w:numPr>
        <w:spacing w:line="600" w:lineRule="exact"/>
        <w:ind w:firstLine="803" w:firstLineChars="250"/>
        <w:rPr>
          <w:rFonts w:eastAsia="仿宋_GB2312"/>
          <w:sz w:val="32"/>
          <w:szCs w:val="32"/>
        </w:rPr>
      </w:pPr>
      <w:bookmarkStart w:id="46" w:name="_Toc15377218"/>
      <w:bookmarkStart w:id="47" w:name="_Toc15396610"/>
      <w:r>
        <w:rPr>
          <w:rFonts w:eastAsia="仿宋_GB2312"/>
          <w:b/>
          <w:sz w:val="32"/>
          <w:szCs w:val="32"/>
        </w:rPr>
        <w:t>公务接待费支出</w:t>
      </w:r>
      <w:r>
        <w:rPr>
          <w:rFonts w:hint="eastAsia" w:eastAsia="仿宋_GB2312"/>
          <w:sz w:val="32"/>
          <w:szCs w:val="32"/>
        </w:rPr>
        <w:t>0.34</w:t>
      </w:r>
      <w:r>
        <w:rPr>
          <w:rFonts w:eastAsia="仿宋_GB2312"/>
          <w:sz w:val="32"/>
          <w:szCs w:val="32"/>
        </w:rPr>
        <w:t>万元，</w:t>
      </w:r>
      <w:r>
        <w:rPr>
          <w:rFonts w:hint="eastAsia" w:eastAsia="仿宋_GB2312"/>
          <w:sz w:val="32"/>
          <w:szCs w:val="32"/>
        </w:rPr>
        <w:t>预算为0.34万元，</w:t>
      </w:r>
      <w:r>
        <w:rPr>
          <w:rStyle w:val="14"/>
          <w:rFonts w:eastAsia="仿宋"/>
          <w:b w:val="0"/>
          <w:bCs/>
          <w:sz w:val="32"/>
          <w:szCs w:val="32"/>
        </w:rPr>
        <w:t>完成预算100%</w:t>
      </w:r>
      <w:r>
        <w:rPr>
          <w:rStyle w:val="14"/>
          <w:rFonts w:hint="eastAsia" w:eastAsia="仿宋"/>
          <w:b w:val="0"/>
          <w:bCs/>
          <w:sz w:val="32"/>
          <w:szCs w:val="32"/>
          <w:lang w:eastAsia="zh-CN"/>
        </w:rPr>
        <w:t>，</w:t>
      </w:r>
      <w:r>
        <w:rPr>
          <w:rStyle w:val="14"/>
          <w:rFonts w:hint="eastAsia" w:eastAsia="仿宋"/>
          <w:b w:val="0"/>
          <w:bCs/>
          <w:sz w:val="32"/>
          <w:szCs w:val="32"/>
          <w:lang w:val="en-US" w:eastAsia="zh-CN"/>
        </w:rPr>
        <w:t>公务</w:t>
      </w:r>
      <w:r>
        <w:rPr>
          <w:rFonts w:hint="eastAsia" w:eastAsia="仿宋_GB2312"/>
          <w:sz w:val="32"/>
          <w:szCs w:val="32"/>
          <w:lang w:val="en-US" w:eastAsia="zh-CN"/>
        </w:rPr>
        <w:t>接待3批次，23人</w:t>
      </w:r>
      <w:r>
        <w:rPr>
          <w:rStyle w:val="14"/>
          <w:rFonts w:eastAsia="仿宋"/>
          <w:b w:val="0"/>
          <w:bCs/>
          <w:sz w:val="32"/>
          <w:szCs w:val="32"/>
        </w:rPr>
        <w:t>。</w:t>
      </w:r>
      <w:r>
        <w:rPr>
          <w:rFonts w:eastAsia="仿宋_GB2312"/>
          <w:sz w:val="32"/>
          <w:szCs w:val="32"/>
        </w:rPr>
        <w:t>主要用于执行公务、开展业务活动开支的交通费、住宿费、用餐费等。</w:t>
      </w:r>
    </w:p>
    <w:p>
      <w:pPr>
        <w:numPr>
          <w:ilvl w:val="0"/>
          <w:numId w:val="0"/>
        </w:numPr>
        <w:spacing w:line="600" w:lineRule="exact"/>
        <w:rPr>
          <w:rFonts w:hint="default" w:eastAsia="仿宋_GB2312"/>
          <w:sz w:val="32"/>
          <w:szCs w:val="32"/>
          <w:lang w:val="en-US" w:eastAsia="zh-CN"/>
        </w:rPr>
      </w:pPr>
      <w:r>
        <w:rPr>
          <w:rFonts w:hint="eastAsia" w:eastAsia="仿宋_GB2312"/>
          <w:sz w:val="32"/>
          <w:szCs w:val="32"/>
          <w:lang w:val="en-US" w:eastAsia="zh-CN"/>
        </w:rPr>
        <w:t xml:space="preserve">    </w:t>
      </w:r>
      <w:r>
        <w:rPr>
          <w:rFonts w:hint="eastAsia" w:eastAsia="仿宋_GB2312"/>
          <w:b/>
          <w:sz w:val="32"/>
          <w:szCs w:val="32"/>
          <w:lang w:val="en-US" w:eastAsia="zh-CN"/>
        </w:rPr>
        <w:t>外事接待支出</w:t>
      </w:r>
      <w:r>
        <w:rPr>
          <w:rFonts w:hint="eastAsia" w:eastAsia="仿宋_GB2312"/>
          <w:sz w:val="32"/>
          <w:szCs w:val="32"/>
          <w:lang w:val="en-US" w:eastAsia="zh-CN"/>
        </w:rPr>
        <w:t>0万元，外事接待0批次，0人，共计支出0万元。</w:t>
      </w:r>
    </w:p>
    <w:p>
      <w:pPr>
        <w:spacing w:line="600" w:lineRule="exact"/>
        <w:outlineLvl w:val="1"/>
        <w:rPr>
          <w:rStyle w:val="17"/>
          <w:rFonts w:ascii="Times New Roman" w:hAnsi="Times New Roman" w:eastAsia="黑体"/>
          <w:b w:val="0"/>
        </w:rPr>
      </w:pPr>
      <w:r>
        <w:rPr>
          <w:rFonts w:eastAsia="黑体"/>
          <w:sz w:val="32"/>
          <w:szCs w:val="32"/>
        </w:rPr>
        <w:t>八、</w:t>
      </w:r>
      <w:r>
        <w:rPr>
          <w:rStyle w:val="17"/>
          <w:rFonts w:ascii="Times New Roman" w:hAnsi="Times New Roman" w:eastAsia="黑体"/>
          <w:b w:val="0"/>
        </w:rPr>
        <w:t>政府性基金预算支出决算情况说明</w:t>
      </w:r>
      <w:bookmarkEnd w:id="46"/>
      <w:bookmarkEnd w:id="47"/>
    </w:p>
    <w:p>
      <w:pPr>
        <w:spacing w:line="600" w:lineRule="exact"/>
        <w:ind w:firstLine="640"/>
        <w:outlineLvl w:val="1"/>
        <w:rPr>
          <w:rStyle w:val="17"/>
          <w:rFonts w:ascii="Times New Roman" w:hAnsi="Times New Roman" w:eastAsia="仿宋_GB2312"/>
          <w:b w:val="0"/>
        </w:rPr>
      </w:pPr>
      <w:r>
        <w:rPr>
          <w:rFonts w:eastAsia="仿宋"/>
          <w:sz w:val="32"/>
          <w:szCs w:val="32"/>
        </w:rPr>
        <w:t>2021年政府性基金预算</w:t>
      </w:r>
      <w:r>
        <w:rPr>
          <w:rFonts w:eastAsia="仿宋_GB2312"/>
          <w:spacing w:val="-2"/>
          <w:sz w:val="32"/>
          <w:szCs w:val="32"/>
        </w:rPr>
        <w:t>拨款支出</w:t>
      </w:r>
      <w:r>
        <w:rPr>
          <w:rFonts w:hint="eastAsia" w:eastAsia="仿宋_GB2312"/>
          <w:spacing w:val="-2"/>
          <w:sz w:val="32"/>
          <w:szCs w:val="32"/>
        </w:rPr>
        <w:t>0</w:t>
      </w:r>
      <w:r>
        <w:rPr>
          <w:rFonts w:eastAsia="仿宋_GB2312"/>
          <w:spacing w:val="-2"/>
          <w:sz w:val="32"/>
          <w:szCs w:val="32"/>
        </w:rPr>
        <w:t>万元</w:t>
      </w:r>
      <w:r>
        <w:rPr>
          <w:rFonts w:eastAsia="仿宋"/>
          <w:sz w:val="32"/>
          <w:szCs w:val="32"/>
        </w:rPr>
        <w:t>。与2020年相比政府性基金预算</w:t>
      </w:r>
      <w:r>
        <w:rPr>
          <w:rFonts w:eastAsia="仿宋_GB2312"/>
          <w:spacing w:val="-2"/>
          <w:sz w:val="32"/>
          <w:szCs w:val="32"/>
        </w:rPr>
        <w:t>拨款支出</w:t>
      </w:r>
      <w:r>
        <w:rPr>
          <w:rFonts w:hint="eastAsia" w:eastAsia="仿宋_GB2312"/>
          <w:spacing w:val="-2"/>
          <w:sz w:val="32"/>
          <w:szCs w:val="32"/>
        </w:rPr>
        <w:t>无变化。</w:t>
      </w:r>
    </w:p>
    <w:p>
      <w:pPr>
        <w:tabs>
          <w:tab w:val="left" w:pos="0"/>
        </w:tabs>
        <w:spacing w:line="600" w:lineRule="exact"/>
        <w:outlineLvl w:val="1"/>
        <w:rPr>
          <w:rStyle w:val="17"/>
          <w:rFonts w:ascii="Times New Roman" w:hAnsi="Times New Roman" w:eastAsia="黑体"/>
          <w:b w:val="0"/>
        </w:rPr>
      </w:pPr>
      <w:bookmarkStart w:id="48" w:name="_Toc15377219"/>
      <w:bookmarkStart w:id="49" w:name="_Toc15396611"/>
      <w:r>
        <w:rPr>
          <w:rStyle w:val="17"/>
          <w:rFonts w:hint="eastAsia" w:eastAsia="黑体"/>
          <w:b w:val="0"/>
        </w:rPr>
        <w:t>九、</w:t>
      </w:r>
      <w:r>
        <w:rPr>
          <w:rStyle w:val="17"/>
          <w:rFonts w:ascii="Times New Roman" w:hAnsi="Times New Roman" w:eastAsia="黑体"/>
          <w:b w:val="0"/>
        </w:rPr>
        <w:t>国有资本经营预算支出决算情况说明</w:t>
      </w:r>
      <w:bookmarkEnd w:id="48"/>
      <w:bookmarkEnd w:id="49"/>
    </w:p>
    <w:p>
      <w:pPr>
        <w:spacing w:line="600" w:lineRule="exact"/>
        <w:ind w:firstLine="640"/>
        <w:outlineLvl w:val="1"/>
        <w:rPr>
          <w:rFonts w:eastAsia="仿宋_GB2312"/>
          <w:sz w:val="32"/>
          <w:szCs w:val="32"/>
        </w:rPr>
      </w:pPr>
      <w:r>
        <w:rPr>
          <w:rFonts w:eastAsia="仿宋_GB2312"/>
          <w:sz w:val="32"/>
          <w:szCs w:val="32"/>
        </w:rPr>
        <w:t>2021年国有资本经营预算拨款支出0万元。</w:t>
      </w:r>
      <w:r>
        <w:rPr>
          <w:rFonts w:eastAsia="仿宋"/>
          <w:sz w:val="32"/>
          <w:szCs w:val="32"/>
        </w:rPr>
        <w:t>与2020年相比政府性基金预算</w:t>
      </w:r>
      <w:r>
        <w:rPr>
          <w:rFonts w:eastAsia="仿宋_GB2312"/>
          <w:spacing w:val="-2"/>
          <w:sz w:val="32"/>
          <w:szCs w:val="32"/>
        </w:rPr>
        <w:t>拨款支出</w:t>
      </w:r>
      <w:r>
        <w:rPr>
          <w:rFonts w:hint="eastAsia" w:eastAsia="仿宋_GB2312"/>
          <w:spacing w:val="-2"/>
          <w:sz w:val="32"/>
          <w:szCs w:val="32"/>
        </w:rPr>
        <w:t>无变化。</w:t>
      </w:r>
    </w:p>
    <w:p>
      <w:pPr>
        <w:pStyle w:val="22"/>
        <w:spacing w:line="580" w:lineRule="exact"/>
        <w:ind w:firstLine="0" w:firstLineChars="0"/>
        <w:rPr>
          <w:rStyle w:val="17"/>
          <w:rFonts w:ascii="Times New Roman" w:hAnsi="Times New Roman" w:eastAsia="黑体"/>
          <w:b w:val="0"/>
        </w:rPr>
      </w:pPr>
      <w:r>
        <w:rPr>
          <w:rStyle w:val="17"/>
          <w:rFonts w:hint="eastAsia" w:eastAsia="黑体"/>
          <w:b w:val="0"/>
        </w:rPr>
        <w:t>十、</w:t>
      </w:r>
      <w:r>
        <w:rPr>
          <w:rStyle w:val="17"/>
          <w:rFonts w:ascii="Times New Roman" w:hAnsi="Times New Roman" w:eastAsia="黑体"/>
          <w:b w:val="0"/>
        </w:rPr>
        <w:t>预算绩效情况说明</w:t>
      </w:r>
    </w:p>
    <w:p>
      <w:pPr>
        <w:numPr>
          <w:ilvl w:val="0"/>
          <w:numId w:val="4"/>
        </w:numPr>
        <w:spacing w:line="580" w:lineRule="exact"/>
        <w:ind w:firstLine="643" w:firstLineChars="200"/>
        <w:rPr>
          <w:rFonts w:eastAsia="仿宋"/>
          <w:b/>
          <w:bCs/>
          <w:sz w:val="32"/>
          <w:szCs w:val="32"/>
        </w:rPr>
      </w:pPr>
      <w:r>
        <w:rPr>
          <w:rFonts w:eastAsia="仿宋"/>
          <w:b/>
          <w:bCs/>
          <w:sz w:val="32"/>
          <w:szCs w:val="32"/>
        </w:rPr>
        <w:t>预算绩效管理工作开展情况。</w:t>
      </w:r>
    </w:p>
    <w:p>
      <w:pPr>
        <w:pStyle w:val="22"/>
        <w:spacing w:line="600" w:lineRule="atLeast"/>
        <w:ind w:firstLine="480" w:firstLineChars="150"/>
        <w:rPr>
          <w:rFonts w:eastAsia="仿宋_GB2312"/>
          <w:sz w:val="32"/>
          <w:szCs w:val="32"/>
        </w:rPr>
      </w:pPr>
      <w:r>
        <w:rPr>
          <w:rFonts w:eastAsia="仿宋_GB2312"/>
          <w:sz w:val="32"/>
          <w:szCs w:val="32"/>
        </w:rPr>
        <w:t>按照预算绩效管理要求，本部门对2021年一般公共预算项目支出开展了绩效目标管理，共编制绩效目标</w:t>
      </w:r>
      <w:r>
        <w:rPr>
          <w:rFonts w:hint="eastAsia" w:eastAsia="仿宋_GB2312"/>
          <w:sz w:val="32"/>
          <w:szCs w:val="32"/>
        </w:rPr>
        <w:t>34</w:t>
      </w:r>
      <w:r>
        <w:rPr>
          <w:rFonts w:eastAsia="仿宋_GB2312"/>
          <w:sz w:val="32"/>
          <w:szCs w:val="32"/>
        </w:rPr>
        <w:t>个，涉及财政资金</w:t>
      </w:r>
      <w:r>
        <w:rPr>
          <w:rFonts w:hint="eastAsia" w:eastAsia="仿宋_GB2312"/>
          <w:sz w:val="32"/>
          <w:szCs w:val="32"/>
        </w:rPr>
        <w:t>693.66</w:t>
      </w:r>
      <w:r>
        <w:rPr>
          <w:rFonts w:eastAsia="仿宋_GB2312"/>
          <w:sz w:val="32"/>
          <w:szCs w:val="32"/>
        </w:rPr>
        <w:t>万元，覆盖率达到100%。</w:t>
      </w:r>
    </w:p>
    <w:p>
      <w:pPr>
        <w:spacing w:line="600" w:lineRule="atLeast"/>
        <w:ind w:firstLine="643" w:firstLineChars="200"/>
        <w:rPr>
          <w:rFonts w:eastAsia="仿宋"/>
          <w:b/>
          <w:bCs/>
          <w:sz w:val="32"/>
          <w:szCs w:val="32"/>
        </w:rPr>
      </w:pPr>
      <w:r>
        <w:rPr>
          <w:rFonts w:eastAsia="仿宋"/>
          <w:b/>
          <w:bCs/>
          <w:sz w:val="32"/>
          <w:szCs w:val="32"/>
        </w:rPr>
        <w:t>（二）项目整体绩效目标完成情况。</w:t>
      </w:r>
    </w:p>
    <w:p>
      <w:pPr>
        <w:spacing w:line="600" w:lineRule="atLeast"/>
        <w:ind w:firstLine="640" w:firstLineChars="200"/>
        <w:rPr>
          <w:rFonts w:eastAsia="仿宋_GB2312"/>
          <w:b/>
          <w:sz w:val="32"/>
          <w:szCs w:val="32"/>
        </w:rPr>
      </w:pPr>
      <w:r>
        <w:rPr>
          <w:rFonts w:eastAsia="仿宋_GB2312"/>
          <w:sz w:val="32"/>
          <w:szCs w:val="32"/>
        </w:rPr>
        <w:t>按照预算绩效管理要求，本部门对2021年整体支出开展绩效自评，自评得分95分，存在问题：一是预算经费支出进度缓，特别是</w:t>
      </w:r>
      <w:r>
        <w:rPr>
          <w:rFonts w:hint="eastAsia" w:eastAsia="仿宋_GB2312"/>
          <w:sz w:val="32"/>
          <w:szCs w:val="32"/>
        </w:rPr>
        <w:t>集体经济建设项目</w:t>
      </w:r>
      <w:r>
        <w:rPr>
          <w:rFonts w:eastAsia="仿宋_GB2312"/>
          <w:sz w:val="32"/>
          <w:szCs w:val="32"/>
        </w:rPr>
        <w:t>资金；二是部门预算、决算上报效率有待提高。下一步改进措施：一是加快完善部门财务规章制度建设；二是加强会计核算和财务管理能力；三是加强与县财政局相关科室对接工作，提升工作效率。</w:t>
      </w:r>
    </w:p>
    <w:p>
      <w:pPr>
        <w:jc w:val="center"/>
        <w:rPr>
          <w:rFonts w:eastAsia="黑体"/>
          <w:sz w:val="32"/>
          <w:szCs w:val="32"/>
        </w:rPr>
      </w:pPr>
      <w:r>
        <w:rPr>
          <w:rFonts w:eastAsia="黑体"/>
          <w:sz w:val="32"/>
          <w:szCs w:val="32"/>
        </w:rPr>
        <w:t>202</w:t>
      </w:r>
      <w:r>
        <w:rPr>
          <w:rFonts w:hint="eastAsia" w:eastAsia="黑体"/>
          <w:sz w:val="32"/>
          <w:szCs w:val="32"/>
        </w:rPr>
        <w:t>1</w:t>
      </w:r>
      <w:r>
        <w:rPr>
          <w:rFonts w:eastAsia="黑体"/>
          <w:sz w:val="32"/>
          <w:szCs w:val="32"/>
        </w:rPr>
        <w:t>年部门整体支出绩效评价得分表</w:t>
      </w:r>
    </w:p>
    <w:tbl>
      <w:tblPr>
        <w:tblStyle w:val="12"/>
        <w:tblW w:w="0" w:type="auto"/>
        <w:tblInd w:w="-176" w:type="dxa"/>
        <w:tblLayout w:type="fixed"/>
        <w:tblCellMar>
          <w:top w:w="0" w:type="dxa"/>
          <w:left w:w="108" w:type="dxa"/>
          <w:bottom w:w="0" w:type="dxa"/>
          <w:right w:w="108" w:type="dxa"/>
        </w:tblCellMar>
      </w:tblPr>
      <w:tblGrid>
        <w:gridCol w:w="1702"/>
        <w:gridCol w:w="2268"/>
        <w:gridCol w:w="3402"/>
        <w:gridCol w:w="2126"/>
      </w:tblGrid>
      <w:tr>
        <w:tblPrEx>
          <w:tblCellMar>
            <w:top w:w="0" w:type="dxa"/>
            <w:left w:w="108" w:type="dxa"/>
            <w:bottom w:w="0" w:type="dxa"/>
            <w:right w:w="108" w:type="dxa"/>
          </w:tblCellMar>
        </w:tblPrEx>
        <w:trPr>
          <w:trHeight w:val="240" w:hRule="atLeast"/>
        </w:trPr>
        <w:tc>
          <w:tcPr>
            <w:tcW w:w="1702" w:type="dxa"/>
            <w:tcBorders>
              <w:top w:val="single" w:color="auto" w:sz="4" w:space="0"/>
              <w:left w:val="single" w:color="auto" w:sz="4" w:space="0"/>
              <w:bottom w:val="single" w:color="auto" w:sz="4" w:space="0"/>
              <w:right w:val="single" w:color="auto" w:sz="4" w:space="0"/>
            </w:tcBorders>
            <w:vAlign w:val="center"/>
          </w:tcPr>
          <w:p>
            <w:pPr>
              <w:widowControl/>
              <w:jc w:val="center"/>
              <w:rPr>
                <w:b/>
                <w:bCs/>
                <w:kern w:val="0"/>
                <w:sz w:val="20"/>
                <w:szCs w:val="20"/>
              </w:rPr>
            </w:pPr>
            <w:r>
              <w:rPr>
                <w:b/>
                <w:bCs/>
                <w:kern w:val="0"/>
                <w:sz w:val="20"/>
                <w:szCs w:val="20"/>
              </w:rPr>
              <w:t>一级指标</w:t>
            </w:r>
          </w:p>
        </w:tc>
        <w:tc>
          <w:tcPr>
            <w:tcW w:w="2268" w:type="dxa"/>
            <w:tcBorders>
              <w:top w:val="single" w:color="auto" w:sz="4" w:space="0"/>
              <w:left w:val="nil"/>
              <w:bottom w:val="single" w:color="auto" w:sz="4" w:space="0"/>
              <w:right w:val="single" w:color="auto" w:sz="4" w:space="0"/>
            </w:tcBorders>
            <w:vAlign w:val="center"/>
          </w:tcPr>
          <w:p>
            <w:pPr>
              <w:widowControl/>
              <w:jc w:val="center"/>
              <w:rPr>
                <w:b/>
                <w:bCs/>
                <w:kern w:val="0"/>
                <w:sz w:val="20"/>
                <w:szCs w:val="20"/>
              </w:rPr>
            </w:pPr>
            <w:r>
              <w:rPr>
                <w:b/>
                <w:bCs/>
                <w:kern w:val="0"/>
                <w:sz w:val="20"/>
                <w:szCs w:val="20"/>
              </w:rPr>
              <w:t>二级指标</w:t>
            </w:r>
          </w:p>
        </w:tc>
        <w:tc>
          <w:tcPr>
            <w:tcW w:w="3402" w:type="dxa"/>
            <w:tcBorders>
              <w:top w:val="single" w:color="auto" w:sz="4" w:space="0"/>
              <w:left w:val="nil"/>
              <w:bottom w:val="single" w:color="auto" w:sz="4" w:space="0"/>
              <w:right w:val="single" w:color="auto" w:sz="4" w:space="0"/>
            </w:tcBorders>
            <w:vAlign w:val="center"/>
          </w:tcPr>
          <w:p>
            <w:pPr>
              <w:widowControl/>
              <w:jc w:val="center"/>
              <w:rPr>
                <w:b/>
                <w:bCs/>
                <w:kern w:val="0"/>
                <w:sz w:val="20"/>
                <w:szCs w:val="20"/>
              </w:rPr>
            </w:pPr>
            <w:r>
              <w:rPr>
                <w:b/>
                <w:bCs/>
                <w:kern w:val="0"/>
                <w:sz w:val="20"/>
                <w:szCs w:val="20"/>
              </w:rPr>
              <w:t>三级指标</w:t>
            </w:r>
          </w:p>
        </w:tc>
        <w:tc>
          <w:tcPr>
            <w:tcW w:w="2126" w:type="dxa"/>
            <w:tcBorders>
              <w:top w:val="single" w:color="auto" w:sz="4" w:space="0"/>
              <w:left w:val="nil"/>
              <w:bottom w:val="single" w:color="auto" w:sz="4" w:space="0"/>
              <w:right w:val="single" w:color="auto" w:sz="4" w:space="0"/>
            </w:tcBorders>
          </w:tcPr>
          <w:p>
            <w:pPr>
              <w:widowControl/>
              <w:jc w:val="center"/>
              <w:rPr>
                <w:b/>
                <w:bCs/>
                <w:kern w:val="0"/>
                <w:sz w:val="20"/>
                <w:szCs w:val="20"/>
              </w:rPr>
            </w:pPr>
            <w:r>
              <w:rPr>
                <w:b/>
                <w:bCs/>
                <w:kern w:val="0"/>
                <w:sz w:val="20"/>
                <w:szCs w:val="20"/>
              </w:rPr>
              <w:t>得分</w:t>
            </w:r>
          </w:p>
        </w:tc>
      </w:tr>
      <w:tr>
        <w:tblPrEx>
          <w:tblCellMar>
            <w:top w:w="0" w:type="dxa"/>
            <w:left w:w="108" w:type="dxa"/>
            <w:bottom w:w="0" w:type="dxa"/>
            <w:right w:w="108" w:type="dxa"/>
          </w:tblCellMar>
        </w:tblPrEx>
        <w:trPr>
          <w:trHeight w:val="520" w:hRule="atLeast"/>
        </w:trPr>
        <w:tc>
          <w:tcPr>
            <w:tcW w:w="1702" w:type="dxa"/>
            <w:vMerge w:val="restart"/>
            <w:tcBorders>
              <w:top w:val="nil"/>
              <w:left w:val="single" w:color="auto" w:sz="4" w:space="0"/>
              <w:right w:val="single" w:color="auto" w:sz="4" w:space="0"/>
            </w:tcBorders>
            <w:vAlign w:val="center"/>
          </w:tcPr>
          <w:p>
            <w:pPr>
              <w:widowControl/>
              <w:jc w:val="center"/>
              <w:rPr>
                <w:kern w:val="0"/>
                <w:sz w:val="20"/>
                <w:szCs w:val="20"/>
              </w:rPr>
            </w:pPr>
            <w:r>
              <w:rPr>
                <w:kern w:val="0"/>
                <w:sz w:val="20"/>
                <w:szCs w:val="20"/>
              </w:rPr>
              <w:t>部门决策（25分）</w:t>
            </w:r>
          </w:p>
        </w:tc>
        <w:tc>
          <w:tcPr>
            <w:tcW w:w="2268" w:type="dxa"/>
            <w:vMerge w:val="restart"/>
            <w:tcBorders>
              <w:top w:val="nil"/>
              <w:left w:val="single" w:color="auto" w:sz="4" w:space="0"/>
              <w:bottom w:val="single" w:color="auto" w:sz="4" w:space="0"/>
              <w:right w:val="single" w:color="auto" w:sz="4" w:space="0"/>
            </w:tcBorders>
            <w:vAlign w:val="center"/>
          </w:tcPr>
          <w:p>
            <w:pPr>
              <w:widowControl/>
              <w:jc w:val="center"/>
              <w:rPr>
                <w:kern w:val="0"/>
                <w:sz w:val="20"/>
                <w:szCs w:val="20"/>
              </w:rPr>
            </w:pPr>
            <w:r>
              <w:rPr>
                <w:kern w:val="0"/>
                <w:sz w:val="20"/>
                <w:szCs w:val="20"/>
              </w:rPr>
              <w:t>目标任务（15分）</w:t>
            </w:r>
          </w:p>
        </w:tc>
        <w:tc>
          <w:tcPr>
            <w:tcW w:w="3402" w:type="dxa"/>
            <w:tcBorders>
              <w:top w:val="nil"/>
              <w:left w:val="nil"/>
              <w:bottom w:val="single" w:color="auto" w:sz="4" w:space="0"/>
              <w:right w:val="single" w:color="auto" w:sz="4" w:space="0"/>
            </w:tcBorders>
            <w:vAlign w:val="center"/>
          </w:tcPr>
          <w:p>
            <w:pPr>
              <w:widowControl/>
              <w:jc w:val="left"/>
              <w:rPr>
                <w:kern w:val="0"/>
                <w:sz w:val="20"/>
                <w:szCs w:val="20"/>
              </w:rPr>
            </w:pPr>
            <w:r>
              <w:rPr>
                <w:kern w:val="0"/>
                <w:sz w:val="20"/>
                <w:szCs w:val="20"/>
              </w:rPr>
              <w:t>相关性（5分）</w:t>
            </w:r>
          </w:p>
        </w:tc>
        <w:tc>
          <w:tcPr>
            <w:tcW w:w="2126" w:type="dxa"/>
            <w:tcBorders>
              <w:top w:val="nil"/>
              <w:left w:val="nil"/>
              <w:bottom w:val="single" w:color="auto" w:sz="4" w:space="0"/>
              <w:right w:val="single" w:color="auto" w:sz="4" w:space="0"/>
            </w:tcBorders>
          </w:tcPr>
          <w:p>
            <w:pPr>
              <w:widowControl/>
              <w:jc w:val="left"/>
              <w:rPr>
                <w:kern w:val="0"/>
                <w:sz w:val="20"/>
                <w:szCs w:val="20"/>
              </w:rPr>
            </w:pPr>
            <w:r>
              <w:rPr>
                <w:kern w:val="0"/>
                <w:sz w:val="20"/>
                <w:szCs w:val="20"/>
              </w:rPr>
              <w:t>5</w:t>
            </w:r>
          </w:p>
        </w:tc>
      </w:tr>
      <w:tr>
        <w:tblPrEx>
          <w:tblCellMar>
            <w:top w:w="0" w:type="dxa"/>
            <w:left w:w="108" w:type="dxa"/>
            <w:bottom w:w="0" w:type="dxa"/>
            <w:right w:w="108" w:type="dxa"/>
          </w:tblCellMar>
        </w:tblPrEx>
        <w:trPr>
          <w:trHeight w:val="413" w:hRule="atLeast"/>
        </w:trPr>
        <w:tc>
          <w:tcPr>
            <w:tcW w:w="1702" w:type="dxa"/>
            <w:vMerge w:val="continue"/>
            <w:tcBorders>
              <w:left w:val="single" w:color="auto" w:sz="4" w:space="0"/>
              <w:right w:val="single" w:color="auto" w:sz="4" w:space="0"/>
            </w:tcBorders>
            <w:vAlign w:val="center"/>
          </w:tcPr>
          <w:p>
            <w:pPr>
              <w:widowControl/>
              <w:jc w:val="left"/>
              <w:rPr>
                <w:kern w:val="0"/>
                <w:sz w:val="20"/>
                <w:szCs w:val="20"/>
              </w:rPr>
            </w:pPr>
          </w:p>
        </w:tc>
        <w:tc>
          <w:tcPr>
            <w:tcW w:w="2268" w:type="dxa"/>
            <w:vMerge w:val="continue"/>
            <w:tcBorders>
              <w:top w:val="nil"/>
              <w:left w:val="single" w:color="auto" w:sz="4" w:space="0"/>
              <w:bottom w:val="single" w:color="auto" w:sz="4" w:space="0"/>
              <w:right w:val="single" w:color="auto" w:sz="4" w:space="0"/>
            </w:tcBorders>
            <w:vAlign w:val="center"/>
          </w:tcPr>
          <w:p>
            <w:pPr>
              <w:widowControl/>
              <w:jc w:val="left"/>
              <w:rPr>
                <w:kern w:val="0"/>
                <w:sz w:val="20"/>
                <w:szCs w:val="20"/>
              </w:rPr>
            </w:pPr>
          </w:p>
        </w:tc>
        <w:tc>
          <w:tcPr>
            <w:tcW w:w="3402" w:type="dxa"/>
            <w:tcBorders>
              <w:top w:val="nil"/>
              <w:left w:val="nil"/>
              <w:bottom w:val="single" w:color="auto" w:sz="4" w:space="0"/>
              <w:right w:val="single" w:color="auto" w:sz="4" w:space="0"/>
            </w:tcBorders>
            <w:vAlign w:val="center"/>
          </w:tcPr>
          <w:p>
            <w:pPr>
              <w:widowControl/>
              <w:jc w:val="left"/>
              <w:rPr>
                <w:kern w:val="0"/>
                <w:sz w:val="20"/>
                <w:szCs w:val="20"/>
              </w:rPr>
            </w:pPr>
            <w:r>
              <w:rPr>
                <w:kern w:val="0"/>
                <w:sz w:val="20"/>
                <w:szCs w:val="20"/>
              </w:rPr>
              <w:t>明确性（5分）</w:t>
            </w:r>
          </w:p>
        </w:tc>
        <w:tc>
          <w:tcPr>
            <w:tcW w:w="2126" w:type="dxa"/>
            <w:tcBorders>
              <w:top w:val="nil"/>
              <w:left w:val="nil"/>
              <w:bottom w:val="single" w:color="auto" w:sz="4" w:space="0"/>
              <w:right w:val="single" w:color="auto" w:sz="4" w:space="0"/>
            </w:tcBorders>
          </w:tcPr>
          <w:p>
            <w:pPr>
              <w:widowControl/>
              <w:jc w:val="left"/>
              <w:rPr>
                <w:kern w:val="0"/>
                <w:sz w:val="20"/>
                <w:szCs w:val="20"/>
              </w:rPr>
            </w:pPr>
            <w:r>
              <w:rPr>
                <w:kern w:val="0"/>
                <w:sz w:val="20"/>
                <w:szCs w:val="20"/>
              </w:rPr>
              <w:t>5</w:t>
            </w:r>
          </w:p>
        </w:tc>
      </w:tr>
      <w:tr>
        <w:tblPrEx>
          <w:tblCellMar>
            <w:top w:w="0" w:type="dxa"/>
            <w:left w:w="108" w:type="dxa"/>
            <w:bottom w:w="0" w:type="dxa"/>
            <w:right w:w="108" w:type="dxa"/>
          </w:tblCellMar>
        </w:tblPrEx>
        <w:trPr>
          <w:trHeight w:val="420" w:hRule="atLeast"/>
        </w:trPr>
        <w:tc>
          <w:tcPr>
            <w:tcW w:w="1702" w:type="dxa"/>
            <w:vMerge w:val="continue"/>
            <w:tcBorders>
              <w:left w:val="single" w:color="auto" w:sz="4" w:space="0"/>
              <w:right w:val="single" w:color="auto" w:sz="4" w:space="0"/>
            </w:tcBorders>
            <w:vAlign w:val="center"/>
          </w:tcPr>
          <w:p>
            <w:pPr>
              <w:widowControl/>
              <w:jc w:val="left"/>
              <w:rPr>
                <w:kern w:val="0"/>
                <w:sz w:val="20"/>
                <w:szCs w:val="20"/>
              </w:rPr>
            </w:pPr>
          </w:p>
        </w:tc>
        <w:tc>
          <w:tcPr>
            <w:tcW w:w="2268" w:type="dxa"/>
            <w:vMerge w:val="continue"/>
            <w:tcBorders>
              <w:top w:val="nil"/>
              <w:left w:val="single" w:color="auto" w:sz="4" w:space="0"/>
              <w:bottom w:val="single" w:color="auto" w:sz="4" w:space="0"/>
              <w:right w:val="single" w:color="auto" w:sz="4" w:space="0"/>
            </w:tcBorders>
            <w:vAlign w:val="center"/>
          </w:tcPr>
          <w:p>
            <w:pPr>
              <w:widowControl/>
              <w:jc w:val="left"/>
              <w:rPr>
                <w:kern w:val="0"/>
                <w:sz w:val="20"/>
                <w:szCs w:val="20"/>
              </w:rPr>
            </w:pPr>
          </w:p>
        </w:tc>
        <w:tc>
          <w:tcPr>
            <w:tcW w:w="3402" w:type="dxa"/>
            <w:tcBorders>
              <w:top w:val="nil"/>
              <w:left w:val="nil"/>
              <w:bottom w:val="single" w:color="auto" w:sz="4" w:space="0"/>
              <w:right w:val="single" w:color="auto" w:sz="4" w:space="0"/>
            </w:tcBorders>
            <w:vAlign w:val="center"/>
          </w:tcPr>
          <w:p>
            <w:pPr>
              <w:widowControl/>
              <w:jc w:val="left"/>
              <w:rPr>
                <w:kern w:val="0"/>
                <w:sz w:val="20"/>
                <w:szCs w:val="20"/>
              </w:rPr>
            </w:pPr>
            <w:r>
              <w:rPr>
                <w:kern w:val="0"/>
                <w:sz w:val="20"/>
                <w:szCs w:val="20"/>
              </w:rPr>
              <w:t>合理性（5分）</w:t>
            </w:r>
          </w:p>
        </w:tc>
        <w:tc>
          <w:tcPr>
            <w:tcW w:w="2126" w:type="dxa"/>
            <w:tcBorders>
              <w:top w:val="nil"/>
              <w:left w:val="nil"/>
              <w:bottom w:val="single" w:color="auto" w:sz="4" w:space="0"/>
              <w:right w:val="single" w:color="auto" w:sz="4" w:space="0"/>
            </w:tcBorders>
          </w:tcPr>
          <w:p>
            <w:pPr>
              <w:widowControl/>
              <w:jc w:val="left"/>
              <w:rPr>
                <w:kern w:val="0"/>
                <w:sz w:val="20"/>
                <w:szCs w:val="20"/>
              </w:rPr>
            </w:pPr>
            <w:r>
              <w:rPr>
                <w:kern w:val="0"/>
                <w:sz w:val="20"/>
                <w:szCs w:val="20"/>
              </w:rPr>
              <w:t>5</w:t>
            </w:r>
          </w:p>
        </w:tc>
      </w:tr>
      <w:tr>
        <w:tblPrEx>
          <w:tblCellMar>
            <w:top w:w="0" w:type="dxa"/>
            <w:left w:w="108" w:type="dxa"/>
            <w:bottom w:w="0" w:type="dxa"/>
            <w:right w:w="108" w:type="dxa"/>
          </w:tblCellMar>
        </w:tblPrEx>
        <w:trPr>
          <w:trHeight w:val="269" w:hRule="atLeast"/>
        </w:trPr>
        <w:tc>
          <w:tcPr>
            <w:tcW w:w="1702" w:type="dxa"/>
            <w:vMerge w:val="continue"/>
            <w:tcBorders>
              <w:left w:val="single" w:color="auto" w:sz="4" w:space="0"/>
              <w:right w:val="single" w:color="auto" w:sz="4" w:space="0"/>
            </w:tcBorders>
            <w:vAlign w:val="center"/>
          </w:tcPr>
          <w:p>
            <w:pPr>
              <w:widowControl/>
              <w:jc w:val="center"/>
              <w:rPr>
                <w:kern w:val="0"/>
                <w:sz w:val="20"/>
                <w:szCs w:val="20"/>
              </w:rPr>
            </w:pPr>
          </w:p>
        </w:tc>
        <w:tc>
          <w:tcPr>
            <w:tcW w:w="2268" w:type="dxa"/>
            <w:vMerge w:val="restart"/>
            <w:tcBorders>
              <w:top w:val="nil"/>
              <w:left w:val="single" w:color="auto" w:sz="4" w:space="0"/>
              <w:bottom w:val="single" w:color="auto" w:sz="4" w:space="0"/>
              <w:right w:val="single" w:color="auto" w:sz="4" w:space="0"/>
            </w:tcBorders>
            <w:vAlign w:val="center"/>
          </w:tcPr>
          <w:p>
            <w:pPr>
              <w:widowControl/>
              <w:jc w:val="left"/>
              <w:rPr>
                <w:kern w:val="0"/>
                <w:sz w:val="20"/>
                <w:szCs w:val="20"/>
              </w:rPr>
            </w:pPr>
            <w:r>
              <w:rPr>
                <w:kern w:val="0"/>
                <w:sz w:val="20"/>
                <w:szCs w:val="20"/>
              </w:rPr>
              <w:t>预算编制（10分）</w:t>
            </w:r>
          </w:p>
        </w:tc>
        <w:tc>
          <w:tcPr>
            <w:tcW w:w="3402" w:type="dxa"/>
            <w:tcBorders>
              <w:top w:val="nil"/>
              <w:left w:val="nil"/>
              <w:bottom w:val="single" w:color="auto" w:sz="4" w:space="0"/>
              <w:right w:val="single" w:color="auto" w:sz="4" w:space="0"/>
            </w:tcBorders>
            <w:vAlign w:val="center"/>
          </w:tcPr>
          <w:p>
            <w:pPr>
              <w:widowControl/>
              <w:jc w:val="left"/>
              <w:rPr>
                <w:kern w:val="0"/>
                <w:sz w:val="20"/>
                <w:szCs w:val="20"/>
              </w:rPr>
            </w:pPr>
            <w:r>
              <w:rPr>
                <w:kern w:val="0"/>
                <w:sz w:val="20"/>
                <w:szCs w:val="20"/>
              </w:rPr>
              <w:t>测算依据（5分）</w:t>
            </w:r>
          </w:p>
        </w:tc>
        <w:tc>
          <w:tcPr>
            <w:tcW w:w="2126" w:type="dxa"/>
            <w:tcBorders>
              <w:top w:val="nil"/>
              <w:left w:val="nil"/>
              <w:bottom w:val="single" w:color="auto" w:sz="4" w:space="0"/>
              <w:right w:val="single" w:color="auto" w:sz="4" w:space="0"/>
            </w:tcBorders>
          </w:tcPr>
          <w:p>
            <w:pPr>
              <w:widowControl/>
              <w:jc w:val="left"/>
              <w:rPr>
                <w:kern w:val="0"/>
                <w:sz w:val="20"/>
                <w:szCs w:val="20"/>
              </w:rPr>
            </w:pPr>
            <w:r>
              <w:rPr>
                <w:rFonts w:hint="eastAsia"/>
                <w:kern w:val="0"/>
                <w:sz w:val="20"/>
                <w:szCs w:val="20"/>
              </w:rPr>
              <w:t>5</w:t>
            </w:r>
          </w:p>
        </w:tc>
      </w:tr>
      <w:tr>
        <w:tblPrEx>
          <w:tblCellMar>
            <w:top w:w="0" w:type="dxa"/>
            <w:left w:w="108" w:type="dxa"/>
            <w:bottom w:w="0" w:type="dxa"/>
            <w:right w:w="108" w:type="dxa"/>
          </w:tblCellMar>
        </w:tblPrEx>
        <w:trPr>
          <w:trHeight w:val="231" w:hRule="atLeast"/>
        </w:trPr>
        <w:tc>
          <w:tcPr>
            <w:tcW w:w="1702" w:type="dxa"/>
            <w:vMerge w:val="continue"/>
            <w:tcBorders>
              <w:left w:val="single" w:color="auto" w:sz="4" w:space="0"/>
              <w:bottom w:val="single" w:color="auto" w:sz="4" w:space="0"/>
              <w:right w:val="single" w:color="auto" w:sz="4" w:space="0"/>
            </w:tcBorders>
            <w:vAlign w:val="center"/>
          </w:tcPr>
          <w:p>
            <w:pPr>
              <w:widowControl/>
              <w:jc w:val="left"/>
              <w:rPr>
                <w:kern w:val="0"/>
                <w:sz w:val="20"/>
                <w:szCs w:val="20"/>
              </w:rPr>
            </w:pPr>
          </w:p>
        </w:tc>
        <w:tc>
          <w:tcPr>
            <w:tcW w:w="2268" w:type="dxa"/>
            <w:vMerge w:val="continue"/>
            <w:tcBorders>
              <w:top w:val="nil"/>
              <w:left w:val="single" w:color="auto" w:sz="4" w:space="0"/>
              <w:bottom w:val="single" w:color="auto" w:sz="4" w:space="0"/>
              <w:right w:val="single" w:color="auto" w:sz="4" w:space="0"/>
            </w:tcBorders>
            <w:vAlign w:val="center"/>
          </w:tcPr>
          <w:p>
            <w:pPr>
              <w:widowControl/>
              <w:jc w:val="left"/>
              <w:rPr>
                <w:kern w:val="0"/>
                <w:sz w:val="20"/>
                <w:szCs w:val="20"/>
              </w:rPr>
            </w:pPr>
          </w:p>
        </w:tc>
        <w:tc>
          <w:tcPr>
            <w:tcW w:w="3402" w:type="dxa"/>
            <w:tcBorders>
              <w:top w:val="nil"/>
              <w:left w:val="nil"/>
              <w:bottom w:val="single" w:color="auto" w:sz="4" w:space="0"/>
              <w:right w:val="single" w:color="auto" w:sz="4" w:space="0"/>
            </w:tcBorders>
            <w:vAlign w:val="center"/>
          </w:tcPr>
          <w:p>
            <w:pPr>
              <w:widowControl/>
              <w:jc w:val="left"/>
              <w:rPr>
                <w:kern w:val="0"/>
                <w:sz w:val="20"/>
                <w:szCs w:val="20"/>
              </w:rPr>
            </w:pPr>
            <w:r>
              <w:rPr>
                <w:kern w:val="0"/>
                <w:sz w:val="20"/>
                <w:szCs w:val="20"/>
              </w:rPr>
              <w:t>目标管理（5分）</w:t>
            </w:r>
          </w:p>
        </w:tc>
        <w:tc>
          <w:tcPr>
            <w:tcW w:w="2126" w:type="dxa"/>
            <w:tcBorders>
              <w:top w:val="nil"/>
              <w:left w:val="nil"/>
              <w:bottom w:val="single" w:color="auto" w:sz="4" w:space="0"/>
              <w:right w:val="single" w:color="auto" w:sz="4" w:space="0"/>
            </w:tcBorders>
          </w:tcPr>
          <w:p>
            <w:pPr>
              <w:widowControl/>
              <w:jc w:val="left"/>
              <w:rPr>
                <w:kern w:val="0"/>
                <w:sz w:val="20"/>
                <w:szCs w:val="20"/>
              </w:rPr>
            </w:pPr>
            <w:r>
              <w:rPr>
                <w:rFonts w:hint="eastAsia"/>
                <w:kern w:val="0"/>
                <w:sz w:val="20"/>
                <w:szCs w:val="20"/>
              </w:rPr>
              <w:t>5</w:t>
            </w:r>
          </w:p>
        </w:tc>
      </w:tr>
      <w:tr>
        <w:tblPrEx>
          <w:tblCellMar>
            <w:top w:w="0" w:type="dxa"/>
            <w:left w:w="108" w:type="dxa"/>
            <w:bottom w:w="0" w:type="dxa"/>
            <w:right w:w="108" w:type="dxa"/>
          </w:tblCellMar>
        </w:tblPrEx>
        <w:trPr>
          <w:trHeight w:val="477" w:hRule="atLeast"/>
        </w:trPr>
        <w:tc>
          <w:tcPr>
            <w:tcW w:w="1702" w:type="dxa"/>
            <w:vMerge w:val="restart"/>
            <w:tcBorders>
              <w:top w:val="nil"/>
              <w:left w:val="single" w:color="auto" w:sz="4" w:space="0"/>
              <w:right w:val="single" w:color="auto" w:sz="4" w:space="0"/>
            </w:tcBorders>
            <w:vAlign w:val="center"/>
          </w:tcPr>
          <w:p>
            <w:pPr>
              <w:widowControl/>
              <w:jc w:val="center"/>
              <w:rPr>
                <w:kern w:val="0"/>
                <w:sz w:val="20"/>
                <w:szCs w:val="20"/>
              </w:rPr>
            </w:pPr>
            <w:r>
              <w:rPr>
                <w:kern w:val="0"/>
                <w:sz w:val="20"/>
                <w:szCs w:val="20"/>
              </w:rPr>
              <w:t>综合管理（30分）</w:t>
            </w:r>
          </w:p>
        </w:tc>
        <w:tc>
          <w:tcPr>
            <w:tcW w:w="2268" w:type="dxa"/>
            <w:vMerge w:val="restart"/>
            <w:tcBorders>
              <w:top w:val="nil"/>
              <w:left w:val="single" w:color="auto" w:sz="4" w:space="0"/>
              <w:bottom w:val="single" w:color="auto" w:sz="4" w:space="0"/>
              <w:right w:val="single" w:color="auto" w:sz="4" w:space="0"/>
            </w:tcBorders>
            <w:vAlign w:val="center"/>
          </w:tcPr>
          <w:p>
            <w:pPr>
              <w:widowControl/>
              <w:jc w:val="left"/>
              <w:rPr>
                <w:kern w:val="0"/>
                <w:sz w:val="20"/>
                <w:szCs w:val="20"/>
              </w:rPr>
            </w:pPr>
            <w:r>
              <w:rPr>
                <w:kern w:val="0"/>
                <w:sz w:val="20"/>
                <w:szCs w:val="20"/>
              </w:rPr>
              <w:t>专项资金分配时限（2分）</w:t>
            </w:r>
          </w:p>
        </w:tc>
        <w:tc>
          <w:tcPr>
            <w:tcW w:w="3402" w:type="dxa"/>
            <w:tcBorders>
              <w:top w:val="nil"/>
              <w:left w:val="nil"/>
              <w:bottom w:val="single" w:color="auto" w:sz="4" w:space="0"/>
              <w:right w:val="single" w:color="auto" w:sz="4" w:space="0"/>
            </w:tcBorders>
            <w:vAlign w:val="center"/>
          </w:tcPr>
          <w:p>
            <w:pPr>
              <w:widowControl/>
              <w:jc w:val="left"/>
              <w:rPr>
                <w:kern w:val="0"/>
                <w:sz w:val="20"/>
                <w:szCs w:val="20"/>
              </w:rPr>
            </w:pPr>
            <w:r>
              <w:rPr>
                <w:kern w:val="0"/>
                <w:sz w:val="20"/>
                <w:szCs w:val="20"/>
              </w:rPr>
              <w:t>省级财力专项预算分配时限（1分）</w:t>
            </w:r>
          </w:p>
        </w:tc>
        <w:tc>
          <w:tcPr>
            <w:tcW w:w="2126" w:type="dxa"/>
            <w:tcBorders>
              <w:top w:val="nil"/>
              <w:left w:val="nil"/>
              <w:bottom w:val="single" w:color="auto" w:sz="4" w:space="0"/>
              <w:right w:val="single" w:color="auto" w:sz="4" w:space="0"/>
            </w:tcBorders>
          </w:tcPr>
          <w:p>
            <w:pPr>
              <w:widowControl/>
              <w:jc w:val="left"/>
              <w:rPr>
                <w:kern w:val="0"/>
                <w:sz w:val="20"/>
                <w:szCs w:val="20"/>
              </w:rPr>
            </w:pPr>
            <w:r>
              <w:rPr>
                <w:kern w:val="0"/>
                <w:sz w:val="20"/>
                <w:szCs w:val="20"/>
              </w:rPr>
              <w:t>1</w:t>
            </w:r>
          </w:p>
        </w:tc>
      </w:tr>
      <w:tr>
        <w:tblPrEx>
          <w:tblCellMar>
            <w:top w:w="0" w:type="dxa"/>
            <w:left w:w="108" w:type="dxa"/>
            <w:bottom w:w="0" w:type="dxa"/>
            <w:right w:w="108" w:type="dxa"/>
          </w:tblCellMar>
        </w:tblPrEx>
        <w:trPr>
          <w:trHeight w:val="413" w:hRule="atLeast"/>
        </w:trPr>
        <w:tc>
          <w:tcPr>
            <w:tcW w:w="1702" w:type="dxa"/>
            <w:vMerge w:val="continue"/>
            <w:tcBorders>
              <w:left w:val="single" w:color="auto" w:sz="4" w:space="0"/>
              <w:right w:val="single" w:color="auto" w:sz="4" w:space="0"/>
            </w:tcBorders>
            <w:vAlign w:val="center"/>
          </w:tcPr>
          <w:p>
            <w:pPr>
              <w:jc w:val="center"/>
              <w:rPr>
                <w:kern w:val="0"/>
                <w:sz w:val="20"/>
                <w:szCs w:val="20"/>
              </w:rPr>
            </w:pPr>
          </w:p>
        </w:tc>
        <w:tc>
          <w:tcPr>
            <w:tcW w:w="2268" w:type="dxa"/>
            <w:vMerge w:val="continue"/>
            <w:tcBorders>
              <w:top w:val="nil"/>
              <w:left w:val="single" w:color="auto" w:sz="4" w:space="0"/>
              <w:bottom w:val="single" w:color="auto" w:sz="4" w:space="0"/>
              <w:right w:val="single" w:color="auto" w:sz="4" w:space="0"/>
            </w:tcBorders>
            <w:vAlign w:val="center"/>
          </w:tcPr>
          <w:p>
            <w:pPr>
              <w:widowControl/>
              <w:jc w:val="left"/>
              <w:rPr>
                <w:kern w:val="0"/>
                <w:sz w:val="20"/>
                <w:szCs w:val="20"/>
              </w:rPr>
            </w:pPr>
          </w:p>
        </w:tc>
        <w:tc>
          <w:tcPr>
            <w:tcW w:w="3402" w:type="dxa"/>
            <w:tcBorders>
              <w:top w:val="nil"/>
              <w:left w:val="nil"/>
              <w:bottom w:val="single" w:color="auto" w:sz="4" w:space="0"/>
              <w:right w:val="single" w:color="auto" w:sz="4" w:space="0"/>
            </w:tcBorders>
            <w:vAlign w:val="center"/>
          </w:tcPr>
          <w:p>
            <w:pPr>
              <w:widowControl/>
              <w:jc w:val="left"/>
              <w:rPr>
                <w:kern w:val="0"/>
                <w:sz w:val="20"/>
                <w:szCs w:val="20"/>
              </w:rPr>
            </w:pPr>
            <w:r>
              <w:rPr>
                <w:kern w:val="0"/>
                <w:sz w:val="20"/>
                <w:szCs w:val="20"/>
              </w:rPr>
              <w:t>中央专款分配合规率（1分）</w:t>
            </w:r>
          </w:p>
        </w:tc>
        <w:tc>
          <w:tcPr>
            <w:tcW w:w="2126" w:type="dxa"/>
            <w:tcBorders>
              <w:top w:val="nil"/>
              <w:left w:val="nil"/>
              <w:bottom w:val="single" w:color="auto" w:sz="4" w:space="0"/>
              <w:right w:val="single" w:color="auto" w:sz="4" w:space="0"/>
            </w:tcBorders>
          </w:tcPr>
          <w:p>
            <w:pPr>
              <w:widowControl/>
              <w:jc w:val="left"/>
              <w:rPr>
                <w:kern w:val="0"/>
                <w:sz w:val="20"/>
                <w:szCs w:val="20"/>
              </w:rPr>
            </w:pPr>
            <w:r>
              <w:rPr>
                <w:rFonts w:hint="eastAsia"/>
                <w:kern w:val="0"/>
                <w:sz w:val="20"/>
                <w:szCs w:val="20"/>
              </w:rPr>
              <w:t>1</w:t>
            </w:r>
          </w:p>
        </w:tc>
      </w:tr>
      <w:tr>
        <w:tblPrEx>
          <w:tblCellMar>
            <w:top w:w="0" w:type="dxa"/>
            <w:left w:w="108" w:type="dxa"/>
            <w:bottom w:w="0" w:type="dxa"/>
            <w:right w:w="108" w:type="dxa"/>
          </w:tblCellMar>
        </w:tblPrEx>
        <w:trPr>
          <w:trHeight w:val="277" w:hRule="atLeast"/>
        </w:trPr>
        <w:tc>
          <w:tcPr>
            <w:tcW w:w="1702" w:type="dxa"/>
            <w:vMerge w:val="continue"/>
            <w:tcBorders>
              <w:left w:val="single" w:color="auto" w:sz="4" w:space="0"/>
              <w:right w:val="single" w:color="auto" w:sz="4" w:space="0"/>
            </w:tcBorders>
            <w:vAlign w:val="center"/>
          </w:tcPr>
          <w:p>
            <w:pPr>
              <w:jc w:val="center"/>
              <w:rPr>
                <w:kern w:val="0"/>
                <w:sz w:val="20"/>
                <w:szCs w:val="20"/>
              </w:rPr>
            </w:pPr>
          </w:p>
        </w:tc>
        <w:tc>
          <w:tcPr>
            <w:tcW w:w="2268" w:type="dxa"/>
            <w:tcBorders>
              <w:top w:val="nil"/>
              <w:left w:val="nil"/>
              <w:bottom w:val="single" w:color="auto" w:sz="4" w:space="0"/>
              <w:right w:val="single" w:color="auto" w:sz="4" w:space="0"/>
            </w:tcBorders>
            <w:vAlign w:val="center"/>
          </w:tcPr>
          <w:p>
            <w:pPr>
              <w:widowControl/>
              <w:jc w:val="left"/>
              <w:rPr>
                <w:kern w:val="0"/>
                <w:sz w:val="20"/>
                <w:szCs w:val="20"/>
              </w:rPr>
            </w:pPr>
            <w:r>
              <w:rPr>
                <w:kern w:val="0"/>
                <w:sz w:val="20"/>
                <w:szCs w:val="20"/>
              </w:rPr>
              <w:t>中期评估（2分）</w:t>
            </w:r>
          </w:p>
        </w:tc>
        <w:tc>
          <w:tcPr>
            <w:tcW w:w="3402" w:type="dxa"/>
            <w:tcBorders>
              <w:top w:val="nil"/>
              <w:left w:val="nil"/>
              <w:bottom w:val="single" w:color="auto" w:sz="4" w:space="0"/>
              <w:right w:val="single" w:color="auto" w:sz="4" w:space="0"/>
            </w:tcBorders>
            <w:vAlign w:val="center"/>
          </w:tcPr>
          <w:p>
            <w:pPr>
              <w:widowControl/>
              <w:jc w:val="left"/>
              <w:rPr>
                <w:kern w:val="0"/>
                <w:sz w:val="20"/>
                <w:szCs w:val="20"/>
              </w:rPr>
            </w:pPr>
            <w:r>
              <w:rPr>
                <w:kern w:val="0"/>
                <w:sz w:val="20"/>
                <w:szCs w:val="20"/>
              </w:rPr>
              <w:t>执行中期评估（2分）</w:t>
            </w:r>
          </w:p>
        </w:tc>
        <w:tc>
          <w:tcPr>
            <w:tcW w:w="2126" w:type="dxa"/>
            <w:tcBorders>
              <w:top w:val="nil"/>
              <w:left w:val="nil"/>
              <w:bottom w:val="single" w:color="auto" w:sz="4" w:space="0"/>
              <w:right w:val="single" w:color="auto" w:sz="4" w:space="0"/>
            </w:tcBorders>
          </w:tcPr>
          <w:p>
            <w:pPr>
              <w:widowControl/>
              <w:jc w:val="left"/>
              <w:rPr>
                <w:kern w:val="0"/>
                <w:sz w:val="20"/>
                <w:szCs w:val="20"/>
              </w:rPr>
            </w:pPr>
            <w:r>
              <w:rPr>
                <w:kern w:val="0"/>
                <w:sz w:val="20"/>
                <w:szCs w:val="20"/>
              </w:rPr>
              <w:t>2</w:t>
            </w:r>
          </w:p>
        </w:tc>
      </w:tr>
      <w:tr>
        <w:tblPrEx>
          <w:tblCellMar>
            <w:top w:w="0" w:type="dxa"/>
            <w:left w:w="108" w:type="dxa"/>
            <w:bottom w:w="0" w:type="dxa"/>
            <w:right w:w="108" w:type="dxa"/>
          </w:tblCellMar>
        </w:tblPrEx>
        <w:trPr>
          <w:trHeight w:val="381" w:hRule="atLeast"/>
        </w:trPr>
        <w:tc>
          <w:tcPr>
            <w:tcW w:w="1702" w:type="dxa"/>
            <w:vMerge w:val="continue"/>
            <w:tcBorders>
              <w:left w:val="single" w:color="auto" w:sz="4" w:space="0"/>
              <w:right w:val="single" w:color="auto" w:sz="4" w:space="0"/>
            </w:tcBorders>
            <w:vAlign w:val="center"/>
          </w:tcPr>
          <w:p>
            <w:pPr>
              <w:jc w:val="center"/>
              <w:rPr>
                <w:kern w:val="0"/>
                <w:sz w:val="20"/>
                <w:szCs w:val="20"/>
              </w:rPr>
            </w:pPr>
          </w:p>
        </w:tc>
        <w:tc>
          <w:tcPr>
            <w:tcW w:w="2268" w:type="dxa"/>
            <w:vMerge w:val="restart"/>
            <w:tcBorders>
              <w:top w:val="nil"/>
              <w:left w:val="single" w:color="auto" w:sz="4" w:space="0"/>
              <w:bottom w:val="single" w:color="auto" w:sz="4" w:space="0"/>
              <w:right w:val="single" w:color="auto" w:sz="4" w:space="0"/>
            </w:tcBorders>
            <w:vAlign w:val="center"/>
          </w:tcPr>
          <w:p>
            <w:pPr>
              <w:widowControl/>
              <w:jc w:val="left"/>
              <w:rPr>
                <w:kern w:val="0"/>
                <w:sz w:val="20"/>
                <w:szCs w:val="20"/>
              </w:rPr>
            </w:pPr>
            <w:r>
              <w:rPr>
                <w:kern w:val="0"/>
                <w:sz w:val="20"/>
                <w:szCs w:val="20"/>
              </w:rPr>
              <w:t>绩效监控（5分）</w:t>
            </w:r>
          </w:p>
        </w:tc>
        <w:tc>
          <w:tcPr>
            <w:tcW w:w="3402" w:type="dxa"/>
            <w:tcBorders>
              <w:top w:val="nil"/>
              <w:left w:val="nil"/>
              <w:bottom w:val="single" w:color="auto" w:sz="4" w:space="0"/>
              <w:right w:val="single" w:color="auto" w:sz="4" w:space="0"/>
            </w:tcBorders>
            <w:vAlign w:val="center"/>
          </w:tcPr>
          <w:p>
            <w:pPr>
              <w:widowControl/>
              <w:jc w:val="left"/>
              <w:rPr>
                <w:kern w:val="0"/>
                <w:sz w:val="20"/>
                <w:szCs w:val="20"/>
              </w:rPr>
            </w:pPr>
            <w:r>
              <w:rPr>
                <w:kern w:val="0"/>
                <w:sz w:val="20"/>
                <w:szCs w:val="20"/>
              </w:rPr>
              <w:t>预算执行进度监控（2分）</w:t>
            </w:r>
          </w:p>
        </w:tc>
        <w:tc>
          <w:tcPr>
            <w:tcW w:w="2126" w:type="dxa"/>
            <w:tcBorders>
              <w:top w:val="nil"/>
              <w:left w:val="nil"/>
              <w:bottom w:val="single" w:color="auto" w:sz="4" w:space="0"/>
              <w:right w:val="single" w:color="auto" w:sz="4" w:space="0"/>
            </w:tcBorders>
          </w:tcPr>
          <w:p>
            <w:pPr>
              <w:widowControl/>
              <w:jc w:val="left"/>
              <w:rPr>
                <w:kern w:val="0"/>
                <w:sz w:val="20"/>
                <w:szCs w:val="20"/>
              </w:rPr>
            </w:pPr>
            <w:r>
              <w:rPr>
                <w:kern w:val="0"/>
                <w:sz w:val="20"/>
                <w:szCs w:val="20"/>
              </w:rPr>
              <w:t>2</w:t>
            </w:r>
          </w:p>
        </w:tc>
      </w:tr>
      <w:tr>
        <w:tblPrEx>
          <w:tblCellMar>
            <w:top w:w="0" w:type="dxa"/>
            <w:left w:w="108" w:type="dxa"/>
            <w:bottom w:w="0" w:type="dxa"/>
            <w:right w:w="108" w:type="dxa"/>
          </w:tblCellMar>
        </w:tblPrEx>
        <w:trPr>
          <w:trHeight w:val="273" w:hRule="atLeast"/>
        </w:trPr>
        <w:tc>
          <w:tcPr>
            <w:tcW w:w="1702" w:type="dxa"/>
            <w:vMerge w:val="continue"/>
            <w:tcBorders>
              <w:left w:val="single" w:color="auto" w:sz="4" w:space="0"/>
              <w:right w:val="single" w:color="auto" w:sz="4" w:space="0"/>
            </w:tcBorders>
            <w:vAlign w:val="center"/>
          </w:tcPr>
          <w:p>
            <w:pPr>
              <w:jc w:val="center"/>
              <w:rPr>
                <w:kern w:val="0"/>
                <w:sz w:val="20"/>
                <w:szCs w:val="20"/>
              </w:rPr>
            </w:pPr>
          </w:p>
        </w:tc>
        <w:tc>
          <w:tcPr>
            <w:tcW w:w="2268" w:type="dxa"/>
            <w:vMerge w:val="continue"/>
            <w:tcBorders>
              <w:top w:val="nil"/>
              <w:left w:val="single" w:color="auto" w:sz="4" w:space="0"/>
              <w:bottom w:val="single" w:color="auto" w:sz="4" w:space="0"/>
              <w:right w:val="single" w:color="auto" w:sz="4" w:space="0"/>
            </w:tcBorders>
            <w:vAlign w:val="center"/>
          </w:tcPr>
          <w:p>
            <w:pPr>
              <w:widowControl/>
              <w:jc w:val="left"/>
              <w:rPr>
                <w:kern w:val="0"/>
                <w:sz w:val="20"/>
                <w:szCs w:val="20"/>
              </w:rPr>
            </w:pPr>
          </w:p>
        </w:tc>
        <w:tc>
          <w:tcPr>
            <w:tcW w:w="3402" w:type="dxa"/>
            <w:tcBorders>
              <w:top w:val="nil"/>
              <w:left w:val="nil"/>
              <w:bottom w:val="single" w:color="auto" w:sz="4" w:space="0"/>
              <w:right w:val="single" w:color="auto" w:sz="4" w:space="0"/>
            </w:tcBorders>
            <w:vAlign w:val="center"/>
          </w:tcPr>
          <w:p>
            <w:pPr>
              <w:widowControl/>
              <w:jc w:val="left"/>
              <w:rPr>
                <w:kern w:val="0"/>
                <w:sz w:val="20"/>
                <w:szCs w:val="20"/>
              </w:rPr>
            </w:pPr>
            <w:r>
              <w:rPr>
                <w:kern w:val="0"/>
                <w:sz w:val="20"/>
                <w:szCs w:val="20"/>
              </w:rPr>
              <w:t>绩效目标动态监控（3分）</w:t>
            </w:r>
          </w:p>
        </w:tc>
        <w:tc>
          <w:tcPr>
            <w:tcW w:w="2126" w:type="dxa"/>
            <w:tcBorders>
              <w:top w:val="nil"/>
              <w:left w:val="nil"/>
              <w:bottom w:val="single" w:color="auto" w:sz="4" w:space="0"/>
              <w:right w:val="single" w:color="auto" w:sz="4" w:space="0"/>
            </w:tcBorders>
          </w:tcPr>
          <w:p>
            <w:pPr>
              <w:widowControl/>
              <w:jc w:val="left"/>
              <w:rPr>
                <w:kern w:val="0"/>
                <w:sz w:val="20"/>
                <w:szCs w:val="20"/>
              </w:rPr>
            </w:pPr>
            <w:r>
              <w:rPr>
                <w:kern w:val="0"/>
                <w:sz w:val="20"/>
                <w:szCs w:val="20"/>
              </w:rPr>
              <w:t>3</w:t>
            </w:r>
          </w:p>
        </w:tc>
      </w:tr>
      <w:tr>
        <w:tblPrEx>
          <w:tblCellMar>
            <w:top w:w="0" w:type="dxa"/>
            <w:left w:w="108" w:type="dxa"/>
            <w:bottom w:w="0" w:type="dxa"/>
            <w:right w:w="108" w:type="dxa"/>
          </w:tblCellMar>
        </w:tblPrEx>
        <w:trPr>
          <w:trHeight w:val="235" w:hRule="atLeast"/>
        </w:trPr>
        <w:tc>
          <w:tcPr>
            <w:tcW w:w="1702" w:type="dxa"/>
            <w:vMerge w:val="continue"/>
            <w:tcBorders>
              <w:left w:val="single" w:color="auto" w:sz="4" w:space="0"/>
              <w:right w:val="single" w:color="auto" w:sz="4" w:space="0"/>
            </w:tcBorders>
            <w:vAlign w:val="center"/>
          </w:tcPr>
          <w:p>
            <w:pPr>
              <w:jc w:val="center"/>
              <w:rPr>
                <w:kern w:val="0"/>
                <w:sz w:val="20"/>
                <w:szCs w:val="20"/>
              </w:rPr>
            </w:pPr>
          </w:p>
        </w:tc>
        <w:tc>
          <w:tcPr>
            <w:tcW w:w="2268" w:type="dxa"/>
            <w:vMerge w:val="restart"/>
            <w:tcBorders>
              <w:top w:val="nil"/>
              <w:left w:val="single" w:color="auto" w:sz="4" w:space="0"/>
              <w:bottom w:val="single" w:color="auto" w:sz="4" w:space="0"/>
              <w:right w:val="single" w:color="auto" w:sz="4" w:space="0"/>
            </w:tcBorders>
            <w:vAlign w:val="center"/>
          </w:tcPr>
          <w:p>
            <w:pPr>
              <w:widowControl/>
              <w:jc w:val="left"/>
              <w:rPr>
                <w:kern w:val="0"/>
                <w:sz w:val="20"/>
                <w:szCs w:val="20"/>
              </w:rPr>
            </w:pPr>
            <w:r>
              <w:rPr>
                <w:kern w:val="0"/>
                <w:sz w:val="20"/>
                <w:szCs w:val="20"/>
              </w:rPr>
              <w:t>非税收入执收情况（2分）</w:t>
            </w:r>
          </w:p>
        </w:tc>
        <w:tc>
          <w:tcPr>
            <w:tcW w:w="3402" w:type="dxa"/>
            <w:tcBorders>
              <w:top w:val="nil"/>
              <w:left w:val="nil"/>
              <w:bottom w:val="single" w:color="auto" w:sz="4" w:space="0"/>
              <w:right w:val="single" w:color="auto" w:sz="4" w:space="0"/>
            </w:tcBorders>
            <w:vAlign w:val="center"/>
          </w:tcPr>
          <w:p>
            <w:pPr>
              <w:widowControl/>
              <w:jc w:val="left"/>
              <w:rPr>
                <w:kern w:val="0"/>
                <w:sz w:val="20"/>
                <w:szCs w:val="20"/>
              </w:rPr>
            </w:pPr>
            <w:r>
              <w:rPr>
                <w:kern w:val="0"/>
                <w:sz w:val="20"/>
                <w:szCs w:val="20"/>
              </w:rPr>
              <w:t>非税收入征收情况（1分）</w:t>
            </w:r>
          </w:p>
        </w:tc>
        <w:tc>
          <w:tcPr>
            <w:tcW w:w="2126" w:type="dxa"/>
            <w:tcBorders>
              <w:top w:val="nil"/>
              <w:left w:val="nil"/>
              <w:bottom w:val="single" w:color="auto" w:sz="4" w:space="0"/>
              <w:right w:val="single" w:color="auto" w:sz="4" w:space="0"/>
            </w:tcBorders>
          </w:tcPr>
          <w:p>
            <w:pPr>
              <w:widowControl/>
              <w:jc w:val="left"/>
              <w:rPr>
                <w:kern w:val="0"/>
                <w:sz w:val="20"/>
                <w:szCs w:val="20"/>
              </w:rPr>
            </w:pPr>
            <w:r>
              <w:rPr>
                <w:kern w:val="0"/>
                <w:sz w:val="20"/>
                <w:szCs w:val="20"/>
              </w:rPr>
              <w:t>不存在</w:t>
            </w:r>
          </w:p>
        </w:tc>
      </w:tr>
      <w:tr>
        <w:tblPrEx>
          <w:tblCellMar>
            <w:top w:w="0" w:type="dxa"/>
            <w:left w:w="108" w:type="dxa"/>
            <w:bottom w:w="0" w:type="dxa"/>
            <w:right w:w="108" w:type="dxa"/>
          </w:tblCellMar>
        </w:tblPrEx>
        <w:trPr>
          <w:trHeight w:val="325" w:hRule="atLeast"/>
        </w:trPr>
        <w:tc>
          <w:tcPr>
            <w:tcW w:w="1702" w:type="dxa"/>
            <w:vMerge w:val="continue"/>
            <w:tcBorders>
              <w:left w:val="single" w:color="auto" w:sz="4" w:space="0"/>
              <w:right w:val="single" w:color="auto" w:sz="4" w:space="0"/>
            </w:tcBorders>
            <w:vAlign w:val="center"/>
          </w:tcPr>
          <w:p>
            <w:pPr>
              <w:jc w:val="center"/>
              <w:rPr>
                <w:kern w:val="0"/>
                <w:sz w:val="20"/>
                <w:szCs w:val="20"/>
              </w:rPr>
            </w:pPr>
          </w:p>
        </w:tc>
        <w:tc>
          <w:tcPr>
            <w:tcW w:w="2268" w:type="dxa"/>
            <w:vMerge w:val="continue"/>
            <w:tcBorders>
              <w:top w:val="nil"/>
              <w:left w:val="single" w:color="auto" w:sz="4" w:space="0"/>
              <w:bottom w:val="single" w:color="auto" w:sz="4" w:space="0"/>
              <w:right w:val="single" w:color="auto" w:sz="4" w:space="0"/>
            </w:tcBorders>
            <w:vAlign w:val="center"/>
          </w:tcPr>
          <w:p>
            <w:pPr>
              <w:widowControl/>
              <w:jc w:val="left"/>
              <w:rPr>
                <w:kern w:val="0"/>
                <w:sz w:val="20"/>
                <w:szCs w:val="20"/>
              </w:rPr>
            </w:pPr>
          </w:p>
        </w:tc>
        <w:tc>
          <w:tcPr>
            <w:tcW w:w="3402" w:type="dxa"/>
            <w:tcBorders>
              <w:top w:val="nil"/>
              <w:left w:val="nil"/>
              <w:bottom w:val="single" w:color="auto" w:sz="4" w:space="0"/>
              <w:right w:val="single" w:color="auto" w:sz="4" w:space="0"/>
            </w:tcBorders>
            <w:vAlign w:val="center"/>
          </w:tcPr>
          <w:p>
            <w:pPr>
              <w:widowControl/>
              <w:jc w:val="left"/>
              <w:rPr>
                <w:kern w:val="0"/>
                <w:sz w:val="20"/>
                <w:szCs w:val="20"/>
              </w:rPr>
            </w:pPr>
            <w:r>
              <w:rPr>
                <w:kern w:val="0"/>
                <w:sz w:val="20"/>
                <w:szCs w:val="20"/>
              </w:rPr>
              <w:t>非税收入上缴情况（1分）</w:t>
            </w:r>
          </w:p>
        </w:tc>
        <w:tc>
          <w:tcPr>
            <w:tcW w:w="2126" w:type="dxa"/>
            <w:tcBorders>
              <w:top w:val="nil"/>
              <w:left w:val="nil"/>
              <w:bottom w:val="single" w:color="auto" w:sz="4" w:space="0"/>
              <w:right w:val="single" w:color="auto" w:sz="4" w:space="0"/>
            </w:tcBorders>
          </w:tcPr>
          <w:p>
            <w:pPr>
              <w:widowControl/>
              <w:jc w:val="left"/>
              <w:rPr>
                <w:kern w:val="0"/>
                <w:sz w:val="20"/>
                <w:szCs w:val="20"/>
              </w:rPr>
            </w:pPr>
            <w:r>
              <w:rPr>
                <w:kern w:val="0"/>
                <w:sz w:val="20"/>
                <w:szCs w:val="20"/>
              </w:rPr>
              <w:t>不存在</w:t>
            </w:r>
          </w:p>
        </w:tc>
      </w:tr>
      <w:tr>
        <w:tblPrEx>
          <w:tblCellMar>
            <w:top w:w="0" w:type="dxa"/>
            <w:left w:w="108" w:type="dxa"/>
            <w:bottom w:w="0" w:type="dxa"/>
            <w:right w:w="108" w:type="dxa"/>
          </w:tblCellMar>
        </w:tblPrEx>
        <w:trPr>
          <w:trHeight w:val="287" w:hRule="atLeast"/>
        </w:trPr>
        <w:tc>
          <w:tcPr>
            <w:tcW w:w="1702" w:type="dxa"/>
            <w:vMerge w:val="continue"/>
            <w:tcBorders>
              <w:left w:val="single" w:color="auto" w:sz="4" w:space="0"/>
              <w:right w:val="single" w:color="auto" w:sz="4" w:space="0"/>
            </w:tcBorders>
            <w:vAlign w:val="center"/>
          </w:tcPr>
          <w:p>
            <w:pPr>
              <w:jc w:val="center"/>
              <w:rPr>
                <w:kern w:val="0"/>
                <w:sz w:val="20"/>
                <w:szCs w:val="20"/>
              </w:rPr>
            </w:pPr>
          </w:p>
        </w:tc>
        <w:tc>
          <w:tcPr>
            <w:tcW w:w="2268" w:type="dxa"/>
            <w:vMerge w:val="restart"/>
            <w:tcBorders>
              <w:top w:val="nil"/>
              <w:left w:val="single" w:color="auto" w:sz="4" w:space="0"/>
              <w:bottom w:val="single" w:color="auto" w:sz="4" w:space="0"/>
              <w:right w:val="single" w:color="auto" w:sz="4" w:space="0"/>
            </w:tcBorders>
            <w:vAlign w:val="center"/>
          </w:tcPr>
          <w:p>
            <w:pPr>
              <w:widowControl/>
              <w:jc w:val="left"/>
              <w:rPr>
                <w:kern w:val="0"/>
                <w:sz w:val="20"/>
                <w:szCs w:val="20"/>
              </w:rPr>
            </w:pPr>
            <w:r>
              <w:rPr>
                <w:kern w:val="0"/>
                <w:sz w:val="20"/>
                <w:szCs w:val="20"/>
              </w:rPr>
              <w:t>资产管理（6分）</w:t>
            </w:r>
          </w:p>
        </w:tc>
        <w:tc>
          <w:tcPr>
            <w:tcW w:w="3402" w:type="dxa"/>
            <w:tcBorders>
              <w:top w:val="nil"/>
              <w:left w:val="nil"/>
              <w:bottom w:val="single" w:color="auto" w:sz="4" w:space="0"/>
              <w:right w:val="single" w:color="auto" w:sz="4" w:space="0"/>
            </w:tcBorders>
            <w:vAlign w:val="center"/>
          </w:tcPr>
          <w:p>
            <w:pPr>
              <w:widowControl/>
              <w:jc w:val="left"/>
              <w:rPr>
                <w:kern w:val="0"/>
                <w:sz w:val="20"/>
                <w:szCs w:val="20"/>
              </w:rPr>
            </w:pPr>
            <w:r>
              <w:rPr>
                <w:kern w:val="0"/>
                <w:sz w:val="20"/>
                <w:szCs w:val="20"/>
              </w:rPr>
              <w:t>资产管理信息化情况（2分）</w:t>
            </w:r>
          </w:p>
        </w:tc>
        <w:tc>
          <w:tcPr>
            <w:tcW w:w="2126" w:type="dxa"/>
            <w:tcBorders>
              <w:top w:val="nil"/>
              <w:left w:val="nil"/>
              <w:bottom w:val="single" w:color="auto" w:sz="4" w:space="0"/>
              <w:right w:val="single" w:color="auto" w:sz="4" w:space="0"/>
            </w:tcBorders>
          </w:tcPr>
          <w:p>
            <w:pPr>
              <w:widowControl/>
              <w:jc w:val="left"/>
              <w:rPr>
                <w:kern w:val="0"/>
                <w:sz w:val="20"/>
                <w:szCs w:val="20"/>
              </w:rPr>
            </w:pPr>
            <w:r>
              <w:rPr>
                <w:kern w:val="0"/>
                <w:sz w:val="20"/>
                <w:szCs w:val="20"/>
              </w:rPr>
              <w:t>2</w:t>
            </w:r>
          </w:p>
        </w:tc>
      </w:tr>
      <w:tr>
        <w:tblPrEx>
          <w:tblCellMar>
            <w:top w:w="0" w:type="dxa"/>
            <w:left w:w="108" w:type="dxa"/>
            <w:bottom w:w="0" w:type="dxa"/>
            <w:right w:w="108" w:type="dxa"/>
          </w:tblCellMar>
        </w:tblPrEx>
        <w:trPr>
          <w:trHeight w:val="235" w:hRule="atLeast"/>
        </w:trPr>
        <w:tc>
          <w:tcPr>
            <w:tcW w:w="1702" w:type="dxa"/>
            <w:vMerge w:val="continue"/>
            <w:tcBorders>
              <w:left w:val="single" w:color="auto" w:sz="4" w:space="0"/>
              <w:right w:val="single" w:color="auto" w:sz="4" w:space="0"/>
            </w:tcBorders>
            <w:vAlign w:val="center"/>
          </w:tcPr>
          <w:p>
            <w:pPr>
              <w:jc w:val="center"/>
              <w:rPr>
                <w:kern w:val="0"/>
                <w:sz w:val="20"/>
                <w:szCs w:val="20"/>
              </w:rPr>
            </w:pPr>
          </w:p>
        </w:tc>
        <w:tc>
          <w:tcPr>
            <w:tcW w:w="2268" w:type="dxa"/>
            <w:vMerge w:val="continue"/>
            <w:tcBorders>
              <w:top w:val="nil"/>
              <w:left w:val="single" w:color="auto" w:sz="4" w:space="0"/>
              <w:bottom w:val="single" w:color="auto" w:sz="4" w:space="0"/>
              <w:right w:val="single" w:color="auto" w:sz="4" w:space="0"/>
            </w:tcBorders>
            <w:vAlign w:val="center"/>
          </w:tcPr>
          <w:p>
            <w:pPr>
              <w:widowControl/>
              <w:jc w:val="left"/>
              <w:rPr>
                <w:kern w:val="0"/>
                <w:sz w:val="20"/>
                <w:szCs w:val="20"/>
              </w:rPr>
            </w:pPr>
          </w:p>
        </w:tc>
        <w:tc>
          <w:tcPr>
            <w:tcW w:w="3402" w:type="dxa"/>
            <w:tcBorders>
              <w:top w:val="nil"/>
              <w:left w:val="nil"/>
              <w:bottom w:val="single" w:color="auto" w:sz="4" w:space="0"/>
              <w:right w:val="single" w:color="auto" w:sz="4" w:space="0"/>
            </w:tcBorders>
            <w:vAlign w:val="center"/>
          </w:tcPr>
          <w:p>
            <w:pPr>
              <w:widowControl/>
              <w:jc w:val="left"/>
              <w:rPr>
                <w:kern w:val="0"/>
                <w:sz w:val="20"/>
                <w:szCs w:val="20"/>
              </w:rPr>
            </w:pPr>
            <w:r>
              <w:rPr>
                <w:kern w:val="0"/>
                <w:sz w:val="20"/>
                <w:szCs w:val="20"/>
              </w:rPr>
              <w:t>行政事业单位资产报告情况（2分）</w:t>
            </w:r>
          </w:p>
        </w:tc>
        <w:tc>
          <w:tcPr>
            <w:tcW w:w="2126" w:type="dxa"/>
            <w:tcBorders>
              <w:top w:val="nil"/>
              <w:left w:val="nil"/>
              <w:bottom w:val="single" w:color="auto" w:sz="4" w:space="0"/>
              <w:right w:val="single" w:color="auto" w:sz="4" w:space="0"/>
            </w:tcBorders>
          </w:tcPr>
          <w:p>
            <w:pPr>
              <w:widowControl/>
              <w:jc w:val="left"/>
              <w:rPr>
                <w:kern w:val="0"/>
                <w:sz w:val="20"/>
                <w:szCs w:val="20"/>
              </w:rPr>
            </w:pPr>
            <w:r>
              <w:rPr>
                <w:kern w:val="0"/>
                <w:sz w:val="20"/>
                <w:szCs w:val="20"/>
              </w:rPr>
              <w:t>2</w:t>
            </w:r>
          </w:p>
        </w:tc>
      </w:tr>
      <w:tr>
        <w:tblPrEx>
          <w:tblCellMar>
            <w:top w:w="0" w:type="dxa"/>
            <w:left w:w="108" w:type="dxa"/>
            <w:bottom w:w="0" w:type="dxa"/>
            <w:right w:w="108" w:type="dxa"/>
          </w:tblCellMar>
        </w:tblPrEx>
        <w:trPr>
          <w:trHeight w:val="353" w:hRule="atLeast"/>
        </w:trPr>
        <w:tc>
          <w:tcPr>
            <w:tcW w:w="1702" w:type="dxa"/>
            <w:vMerge w:val="continue"/>
            <w:tcBorders>
              <w:left w:val="single" w:color="auto" w:sz="4" w:space="0"/>
              <w:right w:val="single" w:color="auto" w:sz="4" w:space="0"/>
            </w:tcBorders>
            <w:vAlign w:val="center"/>
          </w:tcPr>
          <w:p>
            <w:pPr>
              <w:jc w:val="center"/>
              <w:rPr>
                <w:kern w:val="0"/>
                <w:sz w:val="20"/>
                <w:szCs w:val="20"/>
              </w:rPr>
            </w:pPr>
          </w:p>
        </w:tc>
        <w:tc>
          <w:tcPr>
            <w:tcW w:w="2268" w:type="dxa"/>
            <w:vMerge w:val="continue"/>
            <w:tcBorders>
              <w:top w:val="nil"/>
              <w:left w:val="single" w:color="auto" w:sz="4" w:space="0"/>
              <w:bottom w:val="single" w:color="auto" w:sz="4" w:space="0"/>
              <w:right w:val="single" w:color="auto" w:sz="4" w:space="0"/>
            </w:tcBorders>
            <w:vAlign w:val="center"/>
          </w:tcPr>
          <w:p>
            <w:pPr>
              <w:widowControl/>
              <w:jc w:val="left"/>
              <w:rPr>
                <w:kern w:val="0"/>
                <w:sz w:val="20"/>
                <w:szCs w:val="20"/>
              </w:rPr>
            </w:pPr>
          </w:p>
        </w:tc>
        <w:tc>
          <w:tcPr>
            <w:tcW w:w="3402" w:type="dxa"/>
            <w:tcBorders>
              <w:top w:val="nil"/>
              <w:left w:val="nil"/>
              <w:bottom w:val="single" w:color="auto" w:sz="4" w:space="0"/>
              <w:right w:val="single" w:color="auto" w:sz="4" w:space="0"/>
            </w:tcBorders>
            <w:vAlign w:val="center"/>
          </w:tcPr>
          <w:p>
            <w:pPr>
              <w:widowControl/>
              <w:jc w:val="left"/>
              <w:rPr>
                <w:kern w:val="0"/>
                <w:sz w:val="20"/>
                <w:szCs w:val="20"/>
              </w:rPr>
            </w:pPr>
            <w:r>
              <w:rPr>
                <w:kern w:val="0"/>
                <w:sz w:val="20"/>
                <w:szCs w:val="20"/>
              </w:rPr>
              <w:t>资产管理与预算管理相结合（2分）</w:t>
            </w:r>
          </w:p>
        </w:tc>
        <w:tc>
          <w:tcPr>
            <w:tcW w:w="2126" w:type="dxa"/>
            <w:tcBorders>
              <w:top w:val="nil"/>
              <w:left w:val="nil"/>
              <w:bottom w:val="single" w:color="auto" w:sz="4" w:space="0"/>
              <w:right w:val="single" w:color="auto" w:sz="4" w:space="0"/>
            </w:tcBorders>
          </w:tcPr>
          <w:p>
            <w:pPr>
              <w:widowControl/>
              <w:jc w:val="left"/>
              <w:rPr>
                <w:kern w:val="0"/>
                <w:sz w:val="20"/>
                <w:szCs w:val="20"/>
              </w:rPr>
            </w:pPr>
            <w:r>
              <w:rPr>
                <w:kern w:val="0"/>
                <w:sz w:val="20"/>
                <w:szCs w:val="20"/>
              </w:rPr>
              <w:t>2</w:t>
            </w:r>
          </w:p>
        </w:tc>
      </w:tr>
      <w:tr>
        <w:tblPrEx>
          <w:tblCellMar>
            <w:top w:w="0" w:type="dxa"/>
            <w:left w:w="108" w:type="dxa"/>
            <w:bottom w:w="0" w:type="dxa"/>
            <w:right w:w="108" w:type="dxa"/>
          </w:tblCellMar>
        </w:tblPrEx>
        <w:trPr>
          <w:trHeight w:val="272" w:hRule="atLeast"/>
        </w:trPr>
        <w:tc>
          <w:tcPr>
            <w:tcW w:w="1702" w:type="dxa"/>
            <w:vMerge w:val="continue"/>
            <w:tcBorders>
              <w:left w:val="single" w:color="auto" w:sz="4" w:space="0"/>
              <w:right w:val="single" w:color="auto" w:sz="4" w:space="0"/>
            </w:tcBorders>
            <w:vAlign w:val="center"/>
          </w:tcPr>
          <w:p>
            <w:pPr>
              <w:widowControl/>
              <w:jc w:val="center"/>
              <w:rPr>
                <w:kern w:val="0"/>
                <w:sz w:val="20"/>
                <w:szCs w:val="20"/>
              </w:rPr>
            </w:pPr>
          </w:p>
        </w:tc>
        <w:tc>
          <w:tcPr>
            <w:tcW w:w="2268" w:type="dxa"/>
            <w:tcBorders>
              <w:top w:val="nil"/>
              <w:left w:val="nil"/>
              <w:bottom w:val="single" w:color="auto" w:sz="4" w:space="0"/>
              <w:right w:val="single" w:color="auto" w:sz="4" w:space="0"/>
            </w:tcBorders>
            <w:vAlign w:val="center"/>
          </w:tcPr>
          <w:p>
            <w:pPr>
              <w:widowControl/>
              <w:jc w:val="left"/>
              <w:rPr>
                <w:kern w:val="0"/>
                <w:sz w:val="20"/>
                <w:szCs w:val="20"/>
              </w:rPr>
            </w:pPr>
            <w:r>
              <w:rPr>
                <w:kern w:val="0"/>
                <w:sz w:val="20"/>
                <w:szCs w:val="20"/>
              </w:rPr>
              <w:t>内控制度管理（2分）</w:t>
            </w:r>
          </w:p>
        </w:tc>
        <w:tc>
          <w:tcPr>
            <w:tcW w:w="3402" w:type="dxa"/>
            <w:tcBorders>
              <w:top w:val="nil"/>
              <w:left w:val="nil"/>
              <w:bottom w:val="single" w:color="auto" w:sz="4" w:space="0"/>
              <w:right w:val="single" w:color="auto" w:sz="4" w:space="0"/>
            </w:tcBorders>
            <w:vAlign w:val="center"/>
          </w:tcPr>
          <w:p>
            <w:pPr>
              <w:widowControl/>
              <w:jc w:val="left"/>
              <w:rPr>
                <w:kern w:val="0"/>
                <w:sz w:val="20"/>
                <w:szCs w:val="20"/>
              </w:rPr>
            </w:pPr>
            <w:r>
              <w:rPr>
                <w:kern w:val="0"/>
                <w:sz w:val="20"/>
                <w:szCs w:val="20"/>
              </w:rPr>
              <w:t>内部控制度健全完整（2分）</w:t>
            </w:r>
          </w:p>
        </w:tc>
        <w:tc>
          <w:tcPr>
            <w:tcW w:w="2126" w:type="dxa"/>
            <w:tcBorders>
              <w:top w:val="nil"/>
              <w:left w:val="nil"/>
              <w:bottom w:val="single" w:color="auto" w:sz="4" w:space="0"/>
              <w:right w:val="single" w:color="auto" w:sz="4" w:space="0"/>
            </w:tcBorders>
          </w:tcPr>
          <w:p>
            <w:pPr>
              <w:widowControl/>
              <w:jc w:val="left"/>
              <w:rPr>
                <w:kern w:val="0"/>
                <w:sz w:val="20"/>
                <w:szCs w:val="20"/>
              </w:rPr>
            </w:pPr>
            <w:r>
              <w:rPr>
                <w:kern w:val="0"/>
                <w:sz w:val="20"/>
                <w:szCs w:val="20"/>
              </w:rPr>
              <w:t>2</w:t>
            </w:r>
          </w:p>
        </w:tc>
      </w:tr>
      <w:tr>
        <w:tblPrEx>
          <w:tblCellMar>
            <w:top w:w="0" w:type="dxa"/>
            <w:left w:w="108" w:type="dxa"/>
            <w:bottom w:w="0" w:type="dxa"/>
            <w:right w:w="108" w:type="dxa"/>
          </w:tblCellMar>
        </w:tblPrEx>
        <w:trPr>
          <w:trHeight w:val="221" w:hRule="atLeast"/>
        </w:trPr>
        <w:tc>
          <w:tcPr>
            <w:tcW w:w="1702" w:type="dxa"/>
            <w:vMerge w:val="continue"/>
            <w:tcBorders>
              <w:left w:val="single" w:color="auto" w:sz="4" w:space="0"/>
              <w:right w:val="single" w:color="auto" w:sz="4" w:space="0"/>
            </w:tcBorders>
            <w:vAlign w:val="center"/>
          </w:tcPr>
          <w:p>
            <w:pPr>
              <w:widowControl/>
              <w:jc w:val="left"/>
              <w:rPr>
                <w:kern w:val="0"/>
                <w:sz w:val="20"/>
                <w:szCs w:val="20"/>
              </w:rPr>
            </w:pPr>
          </w:p>
        </w:tc>
        <w:tc>
          <w:tcPr>
            <w:tcW w:w="2268" w:type="dxa"/>
            <w:vMerge w:val="restart"/>
            <w:tcBorders>
              <w:top w:val="nil"/>
              <w:left w:val="single" w:color="auto" w:sz="4" w:space="0"/>
              <w:bottom w:val="single" w:color="auto" w:sz="4" w:space="0"/>
              <w:right w:val="single" w:color="auto" w:sz="4" w:space="0"/>
            </w:tcBorders>
            <w:vAlign w:val="center"/>
          </w:tcPr>
          <w:p>
            <w:pPr>
              <w:widowControl/>
              <w:jc w:val="left"/>
              <w:rPr>
                <w:kern w:val="0"/>
                <w:sz w:val="20"/>
                <w:szCs w:val="20"/>
              </w:rPr>
            </w:pPr>
            <w:r>
              <w:rPr>
                <w:kern w:val="0"/>
                <w:sz w:val="20"/>
                <w:szCs w:val="20"/>
              </w:rPr>
              <w:t>信息公开（6分）</w:t>
            </w:r>
          </w:p>
        </w:tc>
        <w:tc>
          <w:tcPr>
            <w:tcW w:w="3402" w:type="dxa"/>
            <w:tcBorders>
              <w:top w:val="nil"/>
              <w:left w:val="nil"/>
              <w:bottom w:val="single" w:color="auto" w:sz="4" w:space="0"/>
              <w:right w:val="single" w:color="auto" w:sz="4" w:space="0"/>
            </w:tcBorders>
            <w:vAlign w:val="center"/>
          </w:tcPr>
          <w:p>
            <w:pPr>
              <w:widowControl/>
              <w:jc w:val="left"/>
              <w:rPr>
                <w:kern w:val="0"/>
                <w:sz w:val="20"/>
                <w:szCs w:val="20"/>
              </w:rPr>
            </w:pPr>
            <w:r>
              <w:rPr>
                <w:kern w:val="0"/>
                <w:sz w:val="20"/>
                <w:szCs w:val="20"/>
              </w:rPr>
              <w:t>预算公开（2分）</w:t>
            </w:r>
          </w:p>
        </w:tc>
        <w:tc>
          <w:tcPr>
            <w:tcW w:w="2126" w:type="dxa"/>
            <w:tcBorders>
              <w:top w:val="nil"/>
              <w:left w:val="nil"/>
              <w:bottom w:val="single" w:color="auto" w:sz="4" w:space="0"/>
              <w:right w:val="single" w:color="auto" w:sz="4" w:space="0"/>
            </w:tcBorders>
          </w:tcPr>
          <w:p>
            <w:pPr>
              <w:widowControl/>
              <w:jc w:val="left"/>
              <w:rPr>
                <w:kern w:val="0"/>
                <w:sz w:val="20"/>
                <w:szCs w:val="20"/>
              </w:rPr>
            </w:pPr>
            <w:r>
              <w:rPr>
                <w:kern w:val="0"/>
                <w:sz w:val="20"/>
                <w:szCs w:val="20"/>
              </w:rPr>
              <w:t>2</w:t>
            </w:r>
          </w:p>
        </w:tc>
      </w:tr>
      <w:tr>
        <w:tblPrEx>
          <w:tblCellMar>
            <w:top w:w="0" w:type="dxa"/>
            <w:left w:w="108" w:type="dxa"/>
            <w:bottom w:w="0" w:type="dxa"/>
            <w:right w:w="108" w:type="dxa"/>
          </w:tblCellMar>
        </w:tblPrEx>
        <w:trPr>
          <w:trHeight w:val="197" w:hRule="atLeast"/>
        </w:trPr>
        <w:tc>
          <w:tcPr>
            <w:tcW w:w="1702" w:type="dxa"/>
            <w:vMerge w:val="continue"/>
            <w:tcBorders>
              <w:left w:val="single" w:color="auto" w:sz="4" w:space="0"/>
              <w:right w:val="single" w:color="auto" w:sz="4" w:space="0"/>
            </w:tcBorders>
            <w:vAlign w:val="center"/>
          </w:tcPr>
          <w:p>
            <w:pPr>
              <w:widowControl/>
              <w:jc w:val="left"/>
              <w:rPr>
                <w:kern w:val="0"/>
                <w:sz w:val="20"/>
                <w:szCs w:val="20"/>
              </w:rPr>
            </w:pPr>
          </w:p>
        </w:tc>
        <w:tc>
          <w:tcPr>
            <w:tcW w:w="2268" w:type="dxa"/>
            <w:vMerge w:val="continue"/>
            <w:tcBorders>
              <w:top w:val="nil"/>
              <w:left w:val="single" w:color="auto" w:sz="4" w:space="0"/>
              <w:bottom w:val="single" w:color="auto" w:sz="4" w:space="0"/>
              <w:right w:val="single" w:color="auto" w:sz="4" w:space="0"/>
            </w:tcBorders>
            <w:vAlign w:val="center"/>
          </w:tcPr>
          <w:p>
            <w:pPr>
              <w:widowControl/>
              <w:jc w:val="left"/>
              <w:rPr>
                <w:kern w:val="0"/>
                <w:sz w:val="20"/>
                <w:szCs w:val="20"/>
              </w:rPr>
            </w:pPr>
          </w:p>
        </w:tc>
        <w:tc>
          <w:tcPr>
            <w:tcW w:w="3402" w:type="dxa"/>
            <w:tcBorders>
              <w:top w:val="nil"/>
              <w:left w:val="nil"/>
              <w:bottom w:val="single" w:color="auto" w:sz="4" w:space="0"/>
              <w:right w:val="single" w:color="auto" w:sz="4" w:space="0"/>
            </w:tcBorders>
            <w:vAlign w:val="center"/>
          </w:tcPr>
          <w:p>
            <w:pPr>
              <w:widowControl/>
              <w:jc w:val="left"/>
              <w:rPr>
                <w:kern w:val="0"/>
                <w:sz w:val="20"/>
                <w:szCs w:val="20"/>
              </w:rPr>
            </w:pPr>
            <w:r>
              <w:rPr>
                <w:kern w:val="0"/>
                <w:sz w:val="20"/>
                <w:szCs w:val="20"/>
              </w:rPr>
              <w:t>决算公开（2分）</w:t>
            </w:r>
          </w:p>
        </w:tc>
        <w:tc>
          <w:tcPr>
            <w:tcW w:w="2126" w:type="dxa"/>
            <w:tcBorders>
              <w:top w:val="nil"/>
              <w:left w:val="nil"/>
              <w:bottom w:val="single" w:color="auto" w:sz="4" w:space="0"/>
              <w:right w:val="single" w:color="auto" w:sz="4" w:space="0"/>
            </w:tcBorders>
          </w:tcPr>
          <w:p>
            <w:pPr>
              <w:widowControl/>
              <w:jc w:val="left"/>
              <w:rPr>
                <w:kern w:val="0"/>
                <w:sz w:val="20"/>
                <w:szCs w:val="20"/>
              </w:rPr>
            </w:pPr>
            <w:r>
              <w:rPr>
                <w:kern w:val="0"/>
                <w:sz w:val="20"/>
                <w:szCs w:val="20"/>
              </w:rPr>
              <w:t>2</w:t>
            </w:r>
          </w:p>
        </w:tc>
      </w:tr>
      <w:tr>
        <w:tblPrEx>
          <w:tblCellMar>
            <w:top w:w="0" w:type="dxa"/>
            <w:left w:w="108" w:type="dxa"/>
            <w:bottom w:w="0" w:type="dxa"/>
            <w:right w:w="108" w:type="dxa"/>
          </w:tblCellMar>
        </w:tblPrEx>
        <w:trPr>
          <w:trHeight w:val="287" w:hRule="atLeast"/>
        </w:trPr>
        <w:tc>
          <w:tcPr>
            <w:tcW w:w="1702" w:type="dxa"/>
            <w:vMerge w:val="continue"/>
            <w:tcBorders>
              <w:left w:val="single" w:color="auto" w:sz="4" w:space="0"/>
              <w:right w:val="single" w:color="auto" w:sz="4" w:space="0"/>
            </w:tcBorders>
            <w:vAlign w:val="center"/>
          </w:tcPr>
          <w:p>
            <w:pPr>
              <w:widowControl/>
              <w:jc w:val="left"/>
              <w:rPr>
                <w:kern w:val="0"/>
                <w:sz w:val="20"/>
                <w:szCs w:val="20"/>
              </w:rPr>
            </w:pPr>
          </w:p>
        </w:tc>
        <w:tc>
          <w:tcPr>
            <w:tcW w:w="2268" w:type="dxa"/>
            <w:vMerge w:val="continue"/>
            <w:tcBorders>
              <w:top w:val="nil"/>
              <w:left w:val="single" w:color="auto" w:sz="4" w:space="0"/>
              <w:bottom w:val="single" w:color="auto" w:sz="4" w:space="0"/>
              <w:right w:val="single" w:color="auto" w:sz="4" w:space="0"/>
            </w:tcBorders>
            <w:vAlign w:val="center"/>
          </w:tcPr>
          <w:p>
            <w:pPr>
              <w:widowControl/>
              <w:jc w:val="left"/>
              <w:rPr>
                <w:kern w:val="0"/>
                <w:sz w:val="20"/>
                <w:szCs w:val="20"/>
              </w:rPr>
            </w:pPr>
          </w:p>
        </w:tc>
        <w:tc>
          <w:tcPr>
            <w:tcW w:w="3402" w:type="dxa"/>
            <w:tcBorders>
              <w:top w:val="nil"/>
              <w:left w:val="nil"/>
              <w:bottom w:val="single" w:color="auto" w:sz="4" w:space="0"/>
              <w:right w:val="single" w:color="auto" w:sz="4" w:space="0"/>
            </w:tcBorders>
            <w:vAlign w:val="center"/>
          </w:tcPr>
          <w:p>
            <w:pPr>
              <w:widowControl/>
              <w:jc w:val="left"/>
              <w:rPr>
                <w:kern w:val="0"/>
                <w:sz w:val="20"/>
                <w:szCs w:val="20"/>
              </w:rPr>
            </w:pPr>
            <w:r>
              <w:rPr>
                <w:kern w:val="0"/>
                <w:sz w:val="20"/>
                <w:szCs w:val="20"/>
              </w:rPr>
              <w:t>绩效信息公开（2分）</w:t>
            </w:r>
          </w:p>
        </w:tc>
        <w:tc>
          <w:tcPr>
            <w:tcW w:w="2126" w:type="dxa"/>
            <w:tcBorders>
              <w:top w:val="nil"/>
              <w:left w:val="nil"/>
              <w:bottom w:val="single" w:color="auto" w:sz="4" w:space="0"/>
              <w:right w:val="single" w:color="auto" w:sz="4" w:space="0"/>
            </w:tcBorders>
          </w:tcPr>
          <w:p>
            <w:pPr>
              <w:widowControl/>
              <w:jc w:val="left"/>
              <w:rPr>
                <w:kern w:val="0"/>
                <w:sz w:val="20"/>
                <w:szCs w:val="20"/>
              </w:rPr>
            </w:pPr>
            <w:r>
              <w:rPr>
                <w:kern w:val="0"/>
                <w:sz w:val="20"/>
                <w:szCs w:val="20"/>
              </w:rPr>
              <w:t>2</w:t>
            </w:r>
          </w:p>
        </w:tc>
      </w:tr>
      <w:tr>
        <w:tblPrEx>
          <w:tblCellMar>
            <w:top w:w="0" w:type="dxa"/>
            <w:left w:w="108" w:type="dxa"/>
            <w:bottom w:w="0" w:type="dxa"/>
            <w:right w:w="108" w:type="dxa"/>
          </w:tblCellMar>
        </w:tblPrEx>
        <w:trPr>
          <w:trHeight w:val="405" w:hRule="atLeast"/>
        </w:trPr>
        <w:tc>
          <w:tcPr>
            <w:tcW w:w="1702" w:type="dxa"/>
            <w:vMerge w:val="continue"/>
            <w:tcBorders>
              <w:left w:val="single" w:color="auto" w:sz="4" w:space="0"/>
              <w:right w:val="single" w:color="auto" w:sz="4" w:space="0"/>
            </w:tcBorders>
            <w:vAlign w:val="center"/>
          </w:tcPr>
          <w:p>
            <w:pPr>
              <w:widowControl/>
              <w:jc w:val="left"/>
              <w:rPr>
                <w:kern w:val="0"/>
                <w:sz w:val="20"/>
                <w:szCs w:val="20"/>
              </w:rPr>
            </w:pPr>
          </w:p>
        </w:tc>
        <w:tc>
          <w:tcPr>
            <w:tcW w:w="2268" w:type="dxa"/>
            <w:vMerge w:val="restart"/>
            <w:tcBorders>
              <w:top w:val="nil"/>
              <w:left w:val="single" w:color="auto" w:sz="4" w:space="0"/>
              <w:bottom w:val="single" w:color="auto" w:sz="4" w:space="0"/>
              <w:right w:val="single" w:color="auto" w:sz="4" w:space="0"/>
            </w:tcBorders>
            <w:vAlign w:val="center"/>
          </w:tcPr>
          <w:p>
            <w:pPr>
              <w:widowControl/>
              <w:jc w:val="left"/>
              <w:rPr>
                <w:kern w:val="0"/>
                <w:sz w:val="20"/>
                <w:szCs w:val="20"/>
              </w:rPr>
            </w:pPr>
            <w:r>
              <w:rPr>
                <w:kern w:val="0"/>
                <w:sz w:val="20"/>
                <w:szCs w:val="20"/>
              </w:rPr>
              <w:t>绩效评价（5分）</w:t>
            </w:r>
          </w:p>
        </w:tc>
        <w:tc>
          <w:tcPr>
            <w:tcW w:w="3402" w:type="dxa"/>
            <w:tcBorders>
              <w:top w:val="nil"/>
              <w:left w:val="nil"/>
              <w:bottom w:val="single" w:color="auto" w:sz="4" w:space="0"/>
              <w:right w:val="single" w:color="auto" w:sz="4" w:space="0"/>
            </w:tcBorders>
            <w:vAlign w:val="center"/>
          </w:tcPr>
          <w:p>
            <w:pPr>
              <w:widowControl/>
              <w:jc w:val="left"/>
              <w:rPr>
                <w:kern w:val="0"/>
                <w:sz w:val="20"/>
                <w:szCs w:val="20"/>
              </w:rPr>
            </w:pPr>
            <w:r>
              <w:rPr>
                <w:kern w:val="0"/>
                <w:sz w:val="20"/>
                <w:szCs w:val="20"/>
              </w:rPr>
              <w:t>绩效评价开展（2分）</w:t>
            </w:r>
          </w:p>
        </w:tc>
        <w:tc>
          <w:tcPr>
            <w:tcW w:w="2126" w:type="dxa"/>
            <w:tcBorders>
              <w:top w:val="nil"/>
              <w:left w:val="nil"/>
              <w:bottom w:val="single" w:color="auto" w:sz="4" w:space="0"/>
              <w:right w:val="single" w:color="auto" w:sz="4" w:space="0"/>
            </w:tcBorders>
          </w:tcPr>
          <w:p>
            <w:pPr>
              <w:widowControl/>
              <w:jc w:val="left"/>
              <w:rPr>
                <w:kern w:val="0"/>
                <w:sz w:val="20"/>
                <w:szCs w:val="20"/>
              </w:rPr>
            </w:pPr>
            <w:r>
              <w:rPr>
                <w:kern w:val="0"/>
                <w:sz w:val="20"/>
                <w:szCs w:val="20"/>
              </w:rPr>
              <w:t>2</w:t>
            </w:r>
          </w:p>
        </w:tc>
      </w:tr>
      <w:tr>
        <w:tblPrEx>
          <w:tblCellMar>
            <w:top w:w="0" w:type="dxa"/>
            <w:left w:w="108" w:type="dxa"/>
            <w:bottom w:w="0" w:type="dxa"/>
            <w:right w:w="108" w:type="dxa"/>
          </w:tblCellMar>
        </w:tblPrEx>
        <w:trPr>
          <w:trHeight w:val="127" w:hRule="atLeast"/>
        </w:trPr>
        <w:tc>
          <w:tcPr>
            <w:tcW w:w="1702" w:type="dxa"/>
            <w:vMerge w:val="continue"/>
            <w:tcBorders>
              <w:left w:val="single" w:color="auto" w:sz="4" w:space="0"/>
              <w:bottom w:val="single" w:color="auto" w:sz="4" w:space="0"/>
              <w:right w:val="single" w:color="auto" w:sz="4" w:space="0"/>
            </w:tcBorders>
            <w:vAlign w:val="center"/>
          </w:tcPr>
          <w:p>
            <w:pPr>
              <w:widowControl/>
              <w:jc w:val="left"/>
              <w:rPr>
                <w:kern w:val="0"/>
                <w:sz w:val="20"/>
                <w:szCs w:val="20"/>
              </w:rPr>
            </w:pPr>
          </w:p>
        </w:tc>
        <w:tc>
          <w:tcPr>
            <w:tcW w:w="2268" w:type="dxa"/>
            <w:vMerge w:val="continue"/>
            <w:tcBorders>
              <w:top w:val="nil"/>
              <w:left w:val="single" w:color="auto" w:sz="4" w:space="0"/>
              <w:bottom w:val="single" w:color="auto" w:sz="4" w:space="0"/>
              <w:right w:val="single" w:color="auto" w:sz="4" w:space="0"/>
            </w:tcBorders>
            <w:vAlign w:val="center"/>
          </w:tcPr>
          <w:p>
            <w:pPr>
              <w:widowControl/>
              <w:jc w:val="left"/>
              <w:rPr>
                <w:kern w:val="0"/>
                <w:sz w:val="20"/>
                <w:szCs w:val="20"/>
              </w:rPr>
            </w:pPr>
          </w:p>
        </w:tc>
        <w:tc>
          <w:tcPr>
            <w:tcW w:w="3402" w:type="dxa"/>
            <w:tcBorders>
              <w:top w:val="nil"/>
              <w:left w:val="nil"/>
              <w:bottom w:val="single" w:color="auto" w:sz="4" w:space="0"/>
              <w:right w:val="single" w:color="auto" w:sz="4" w:space="0"/>
            </w:tcBorders>
            <w:vAlign w:val="center"/>
          </w:tcPr>
          <w:p>
            <w:pPr>
              <w:widowControl/>
              <w:jc w:val="left"/>
              <w:rPr>
                <w:kern w:val="0"/>
                <w:sz w:val="20"/>
                <w:szCs w:val="20"/>
              </w:rPr>
            </w:pPr>
            <w:r>
              <w:rPr>
                <w:kern w:val="0"/>
                <w:sz w:val="20"/>
                <w:szCs w:val="20"/>
              </w:rPr>
              <w:t>评价结果应用（3分）</w:t>
            </w:r>
          </w:p>
        </w:tc>
        <w:tc>
          <w:tcPr>
            <w:tcW w:w="2126" w:type="dxa"/>
            <w:tcBorders>
              <w:top w:val="nil"/>
              <w:left w:val="nil"/>
              <w:bottom w:val="single" w:color="auto" w:sz="4" w:space="0"/>
              <w:right w:val="single" w:color="auto" w:sz="4" w:space="0"/>
            </w:tcBorders>
          </w:tcPr>
          <w:p>
            <w:pPr>
              <w:widowControl/>
              <w:jc w:val="left"/>
              <w:rPr>
                <w:kern w:val="0"/>
                <w:sz w:val="20"/>
                <w:szCs w:val="20"/>
              </w:rPr>
            </w:pPr>
            <w:r>
              <w:rPr>
                <w:kern w:val="0"/>
                <w:sz w:val="20"/>
                <w:szCs w:val="20"/>
              </w:rPr>
              <w:t>3</w:t>
            </w:r>
          </w:p>
        </w:tc>
      </w:tr>
      <w:tr>
        <w:tblPrEx>
          <w:tblCellMar>
            <w:top w:w="0" w:type="dxa"/>
            <w:left w:w="108" w:type="dxa"/>
            <w:bottom w:w="0" w:type="dxa"/>
            <w:right w:w="108" w:type="dxa"/>
          </w:tblCellMar>
        </w:tblPrEx>
        <w:trPr>
          <w:trHeight w:val="231" w:hRule="atLeast"/>
        </w:trPr>
        <w:tc>
          <w:tcPr>
            <w:tcW w:w="1702" w:type="dxa"/>
            <w:vMerge w:val="restart"/>
            <w:tcBorders>
              <w:top w:val="nil"/>
              <w:left w:val="single" w:color="auto" w:sz="4" w:space="0"/>
              <w:right w:val="single" w:color="auto" w:sz="4" w:space="0"/>
            </w:tcBorders>
            <w:vAlign w:val="center"/>
          </w:tcPr>
          <w:p>
            <w:pPr>
              <w:widowControl/>
              <w:jc w:val="center"/>
              <w:rPr>
                <w:kern w:val="0"/>
                <w:sz w:val="20"/>
                <w:szCs w:val="20"/>
              </w:rPr>
            </w:pPr>
            <w:r>
              <w:rPr>
                <w:kern w:val="0"/>
                <w:sz w:val="20"/>
                <w:szCs w:val="20"/>
              </w:rPr>
              <w:t>部门绩效情况（45分）</w:t>
            </w:r>
          </w:p>
        </w:tc>
        <w:tc>
          <w:tcPr>
            <w:tcW w:w="2268" w:type="dxa"/>
            <w:vMerge w:val="restart"/>
            <w:tcBorders>
              <w:top w:val="nil"/>
              <w:left w:val="single" w:color="auto" w:sz="4" w:space="0"/>
              <w:bottom w:val="single" w:color="auto" w:sz="4" w:space="0"/>
              <w:right w:val="single" w:color="auto" w:sz="4" w:space="0"/>
            </w:tcBorders>
            <w:vAlign w:val="center"/>
          </w:tcPr>
          <w:p>
            <w:pPr>
              <w:widowControl/>
              <w:jc w:val="left"/>
              <w:rPr>
                <w:kern w:val="0"/>
                <w:sz w:val="20"/>
                <w:szCs w:val="20"/>
              </w:rPr>
            </w:pPr>
            <w:r>
              <w:rPr>
                <w:kern w:val="0"/>
                <w:sz w:val="20"/>
                <w:szCs w:val="20"/>
              </w:rPr>
              <w:t>履职成效（20分）</w:t>
            </w:r>
          </w:p>
        </w:tc>
        <w:tc>
          <w:tcPr>
            <w:tcW w:w="3402" w:type="dxa"/>
            <w:tcBorders>
              <w:top w:val="nil"/>
              <w:left w:val="nil"/>
              <w:bottom w:val="single" w:color="auto" w:sz="4" w:space="0"/>
              <w:right w:val="single" w:color="auto" w:sz="4" w:space="0"/>
            </w:tcBorders>
            <w:vAlign w:val="center"/>
          </w:tcPr>
          <w:p>
            <w:pPr>
              <w:widowControl/>
              <w:jc w:val="left"/>
              <w:rPr>
                <w:kern w:val="0"/>
                <w:sz w:val="20"/>
                <w:szCs w:val="20"/>
              </w:rPr>
            </w:pPr>
            <w:r>
              <w:rPr>
                <w:kern w:val="0"/>
                <w:sz w:val="20"/>
                <w:szCs w:val="20"/>
              </w:rPr>
              <w:t>部门特性指标</w:t>
            </w:r>
          </w:p>
        </w:tc>
        <w:tc>
          <w:tcPr>
            <w:tcW w:w="2126" w:type="dxa"/>
            <w:tcBorders>
              <w:top w:val="nil"/>
              <w:left w:val="nil"/>
              <w:bottom w:val="single" w:color="auto" w:sz="4" w:space="0"/>
              <w:right w:val="single" w:color="auto" w:sz="4" w:space="0"/>
            </w:tcBorders>
          </w:tcPr>
          <w:p>
            <w:pPr>
              <w:widowControl/>
              <w:rPr>
                <w:kern w:val="0"/>
                <w:sz w:val="20"/>
                <w:szCs w:val="20"/>
              </w:rPr>
            </w:pPr>
            <w:r>
              <w:rPr>
                <w:kern w:val="0"/>
                <w:sz w:val="20"/>
                <w:szCs w:val="20"/>
              </w:rPr>
              <w:t>19</w:t>
            </w:r>
          </w:p>
        </w:tc>
      </w:tr>
      <w:tr>
        <w:tblPrEx>
          <w:tblCellMar>
            <w:top w:w="0" w:type="dxa"/>
            <w:left w:w="108" w:type="dxa"/>
            <w:bottom w:w="0" w:type="dxa"/>
            <w:right w:w="108" w:type="dxa"/>
          </w:tblCellMar>
        </w:tblPrEx>
        <w:trPr>
          <w:trHeight w:val="180" w:hRule="atLeast"/>
        </w:trPr>
        <w:tc>
          <w:tcPr>
            <w:tcW w:w="1702" w:type="dxa"/>
            <w:vMerge w:val="continue"/>
            <w:tcBorders>
              <w:left w:val="single" w:color="auto" w:sz="4" w:space="0"/>
              <w:right w:val="single" w:color="auto" w:sz="4" w:space="0"/>
            </w:tcBorders>
            <w:vAlign w:val="center"/>
          </w:tcPr>
          <w:p>
            <w:pPr>
              <w:jc w:val="left"/>
              <w:rPr>
                <w:kern w:val="0"/>
                <w:sz w:val="20"/>
                <w:szCs w:val="20"/>
              </w:rPr>
            </w:pPr>
          </w:p>
        </w:tc>
        <w:tc>
          <w:tcPr>
            <w:tcW w:w="2268" w:type="dxa"/>
            <w:vMerge w:val="continue"/>
            <w:tcBorders>
              <w:top w:val="nil"/>
              <w:left w:val="single" w:color="auto" w:sz="4" w:space="0"/>
              <w:bottom w:val="single" w:color="auto" w:sz="4" w:space="0"/>
              <w:right w:val="single" w:color="auto" w:sz="4" w:space="0"/>
            </w:tcBorders>
            <w:vAlign w:val="center"/>
          </w:tcPr>
          <w:p>
            <w:pPr>
              <w:widowControl/>
              <w:jc w:val="left"/>
              <w:rPr>
                <w:kern w:val="0"/>
                <w:sz w:val="20"/>
                <w:szCs w:val="20"/>
              </w:rPr>
            </w:pPr>
          </w:p>
        </w:tc>
        <w:tc>
          <w:tcPr>
            <w:tcW w:w="3402" w:type="dxa"/>
            <w:tcBorders>
              <w:top w:val="nil"/>
              <w:left w:val="nil"/>
              <w:bottom w:val="single" w:color="auto" w:sz="4" w:space="0"/>
              <w:right w:val="single" w:color="auto" w:sz="4" w:space="0"/>
            </w:tcBorders>
            <w:vAlign w:val="center"/>
          </w:tcPr>
          <w:p>
            <w:pPr>
              <w:widowControl/>
              <w:jc w:val="center"/>
              <w:rPr>
                <w:kern w:val="0"/>
                <w:sz w:val="20"/>
                <w:szCs w:val="20"/>
              </w:rPr>
            </w:pPr>
          </w:p>
        </w:tc>
        <w:tc>
          <w:tcPr>
            <w:tcW w:w="2126" w:type="dxa"/>
            <w:tcBorders>
              <w:top w:val="nil"/>
              <w:left w:val="nil"/>
              <w:bottom w:val="single" w:color="auto" w:sz="4" w:space="0"/>
              <w:right w:val="single" w:color="auto" w:sz="4" w:space="0"/>
            </w:tcBorders>
          </w:tcPr>
          <w:p>
            <w:pPr>
              <w:widowControl/>
              <w:jc w:val="center"/>
              <w:rPr>
                <w:kern w:val="0"/>
                <w:sz w:val="20"/>
                <w:szCs w:val="20"/>
              </w:rPr>
            </w:pPr>
          </w:p>
        </w:tc>
      </w:tr>
      <w:tr>
        <w:tblPrEx>
          <w:tblCellMar>
            <w:top w:w="0" w:type="dxa"/>
            <w:left w:w="108" w:type="dxa"/>
            <w:bottom w:w="0" w:type="dxa"/>
            <w:right w:w="108" w:type="dxa"/>
          </w:tblCellMar>
        </w:tblPrEx>
        <w:trPr>
          <w:trHeight w:val="240" w:hRule="atLeast"/>
        </w:trPr>
        <w:tc>
          <w:tcPr>
            <w:tcW w:w="1702" w:type="dxa"/>
            <w:vMerge w:val="continue"/>
            <w:tcBorders>
              <w:left w:val="single" w:color="auto" w:sz="4" w:space="0"/>
              <w:right w:val="single" w:color="auto" w:sz="4" w:space="0"/>
            </w:tcBorders>
            <w:vAlign w:val="center"/>
          </w:tcPr>
          <w:p>
            <w:pPr>
              <w:jc w:val="left"/>
              <w:rPr>
                <w:kern w:val="0"/>
                <w:sz w:val="20"/>
                <w:szCs w:val="20"/>
              </w:rPr>
            </w:pPr>
          </w:p>
        </w:tc>
        <w:tc>
          <w:tcPr>
            <w:tcW w:w="2268" w:type="dxa"/>
            <w:vMerge w:val="continue"/>
            <w:tcBorders>
              <w:top w:val="nil"/>
              <w:left w:val="single" w:color="auto" w:sz="4" w:space="0"/>
              <w:bottom w:val="single" w:color="auto" w:sz="4" w:space="0"/>
              <w:right w:val="single" w:color="auto" w:sz="4" w:space="0"/>
            </w:tcBorders>
            <w:vAlign w:val="center"/>
          </w:tcPr>
          <w:p>
            <w:pPr>
              <w:widowControl/>
              <w:jc w:val="left"/>
              <w:rPr>
                <w:kern w:val="0"/>
                <w:sz w:val="20"/>
                <w:szCs w:val="20"/>
              </w:rPr>
            </w:pPr>
          </w:p>
        </w:tc>
        <w:tc>
          <w:tcPr>
            <w:tcW w:w="3402" w:type="dxa"/>
            <w:tcBorders>
              <w:top w:val="nil"/>
              <w:left w:val="nil"/>
              <w:bottom w:val="single" w:color="auto" w:sz="4" w:space="0"/>
              <w:right w:val="single" w:color="auto" w:sz="4" w:space="0"/>
            </w:tcBorders>
            <w:vAlign w:val="center"/>
          </w:tcPr>
          <w:p>
            <w:pPr>
              <w:widowControl/>
              <w:jc w:val="center"/>
              <w:rPr>
                <w:kern w:val="0"/>
                <w:sz w:val="20"/>
                <w:szCs w:val="20"/>
              </w:rPr>
            </w:pPr>
          </w:p>
        </w:tc>
        <w:tc>
          <w:tcPr>
            <w:tcW w:w="2126" w:type="dxa"/>
            <w:tcBorders>
              <w:top w:val="nil"/>
              <w:left w:val="nil"/>
              <w:bottom w:val="single" w:color="auto" w:sz="4" w:space="0"/>
              <w:right w:val="single" w:color="auto" w:sz="4" w:space="0"/>
            </w:tcBorders>
          </w:tcPr>
          <w:p>
            <w:pPr>
              <w:widowControl/>
              <w:jc w:val="center"/>
              <w:rPr>
                <w:kern w:val="0"/>
                <w:sz w:val="20"/>
                <w:szCs w:val="20"/>
              </w:rPr>
            </w:pPr>
          </w:p>
        </w:tc>
      </w:tr>
      <w:tr>
        <w:tblPrEx>
          <w:tblCellMar>
            <w:top w:w="0" w:type="dxa"/>
            <w:left w:w="108" w:type="dxa"/>
            <w:bottom w:w="0" w:type="dxa"/>
            <w:right w:w="108" w:type="dxa"/>
          </w:tblCellMar>
        </w:tblPrEx>
        <w:trPr>
          <w:trHeight w:val="240" w:hRule="atLeast"/>
        </w:trPr>
        <w:tc>
          <w:tcPr>
            <w:tcW w:w="1702" w:type="dxa"/>
            <w:vMerge w:val="continue"/>
            <w:tcBorders>
              <w:left w:val="single" w:color="auto" w:sz="4" w:space="0"/>
              <w:right w:val="single" w:color="auto" w:sz="4" w:space="0"/>
            </w:tcBorders>
            <w:vAlign w:val="center"/>
          </w:tcPr>
          <w:p>
            <w:pPr>
              <w:jc w:val="left"/>
              <w:rPr>
                <w:kern w:val="0"/>
                <w:sz w:val="20"/>
                <w:szCs w:val="20"/>
              </w:rPr>
            </w:pPr>
          </w:p>
        </w:tc>
        <w:tc>
          <w:tcPr>
            <w:tcW w:w="2268" w:type="dxa"/>
            <w:vMerge w:val="continue"/>
            <w:tcBorders>
              <w:top w:val="nil"/>
              <w:left w:val="single" w:color="auto" w:sz="4" w:space="0"/>
              <w:bottom w:val="single" w:color="auto" w:sz="4" w:space="0"/>
              <w:right w:val="single" w:color="auto" w:sz="4" w:space="0"/>
            </w:tcBorders>
            <w:vAlign w:val="center"/>
          </w:tcPr>
          <w:p>
            <w:pPr>
              <w:widowControl/>
              <w:jc w:val="left"/>
              <w:rPr>
                <w:kern w:val="0"/>
                <w:sz w:val="20"/>
                <w:szCs w:val="20"/>
              </w:rPr>
            </w:pPr>
          </w:p>
        </w:tc>
        <w:tc>
          <w:tcPr>
            <w:tcW w:w="3402" w:type="dxa"/>
            <w:tcBorders>
              <w:top w:val="nil"/>
              <w:left w:val="nil"/>
              <w:bottom w:val="single" w:color="auto" w:sz="4" w:space="0"/>
              <w:right w:val="single" w:color="auto" w:sz="4" w:space="0"/>
            </w:tcBorders>
            <w:vAlign w:val="center"/>
          </w:tcPr>
          <w:p>
            <w:pPr>
              <w:widowControl/>
              <w:jc w:val="center"/>
              <w:rPr>
                <w:kern w:val="0"/>
                <w:sz w:val="20"/>
                <w:szCs w:val="20"/>
              </w:rPr>
            </w:pPr>
          </w:p>
        </w:tc>
        <w:tc>
          <w:tcPr>
            <w:tcW w:w="2126" w:type="dxa"/>
            <w:tcBorders>
              <w:top w:val="nil"/>
              <w:left w:val="nil"/>
              <w:bottom w:val="single" w:color="auto" w:sz="4" w:space="0"/>
              <w:right w:val="single" w:color="auto" w:sz="4" w:space="0"/>
            </w:tcBorders>
          </w:tcPr>
          <w:p>
            <w:pPr>
              <w:widowControl/>
              <w:jc w:val="center"/>
              <w:rPr>
                <w:kern w:val="0"/>
                <w:sz w:val="20"/>
                <w:szCs w:val="20"/>
              </w:rPr>
            </w:pPr>
          </w:p>
        </w:tc>
      </w:tr>
      <w:tr>
        <w:tblPrEx>
          <w:tblCellMar>
            <w:top w:w="0" w:type="dxa"/>
            <w:left w:w="108" w:type="dxa"/>
            <w:bottom w:w="0" w:type="dxa"/>
            <w:right w:w="108" w:type="dxa"/>
          </w:tblCellMar>
        </w:tblPrEx>
        <w:trPr>
          <w:trHeight w:val="157" w:hRule="atLeast"/>
        </w:trPr>
        <w:tc>
          <w:tcPr>
            <w:tcW w:w="1702" w:type="dxa"/>
            <w:vMerge w:val="continue"/>
            <w:tcBorders>
              <w:left w:val="single" w:color="auto" w:sz="4" w:space="0"/>
              <w:right w:val="single" w:color="auto" w:sz="4" w:space="0"/>
            </w:tcBorders>
            <w:vAlign w:val="center"/>
          </w:tcPr>
          <w:p>
            <w:pPr>
              <w:jc w:val="left"/>
              <w:rPr>
                <w:kern w:val="0"/>
                <w:sz w:val="20"/>
                <w:szCs w:val="20"/>
              </w:rPr>
            </w:pPr>
          </w:p>
        </w:tc>
        <w:tc>
          <w:tcPr>
            <w:tcW w:w="2268" w:type="dxa"/>
            <w:vMerge w:val="restart"/>
            <w:tcBorders>
              <w:top w:val="nil"/>
              <w:left w:val="single" w:color="auto" w:sz="4" w:space="0"/>
              <w:bottom w:val="single" w:color="auto" w:sz="4" w:space="0"/>
              <w:right w:val="single" w:color="auto" w:sz="4" w:space="0"/>
            </w:tcBorders>
            <w:vAlign w:val="center"/>
          </w:tcPr>
          <w:p>
            <w:pPr>
              <w:widowControl/>
              <w:jc w:val="left"/>
              <w:rPr>
                <w:kern w:val="0"/>
                <w:sz w:val="20"/>
                <w:szCs w:val="20"/>
              </w:rPr>
            </w:pPr>
            <w:r>
              <w:rPr>
                <w:kern w:val="0"/>
                <w:sz w:val="20"/>
                <w:szCs w:val="20"/>
              </w:rPr>
              <w:t>可持续发展能力（15分）</w:t>
            </w:r>
          </w:p>
        </w:tc>
        <w:tc>
          <w:tcPr>
            <w:tcW w:w="3402" w:type="dxa"/>
            <w:tcBorders>
              <w:top w:val="nil"/>
              <w:left w:val="nil"/>
              <w:bottom w:val="single" w:color="auto" w:sz="4" w:space="0"/>
              <w:right w:val="single" w:color="auto" w:sz="4" w:space="0"/>
            </w:tcBorders>
            <w:vAlign w:val="center"/>
          </w:tcPr>
          <w:p>
            <w:pPr>
              <w:widowControl/>
              <w:jc w:val="center"/>
              <w:rPr>
                <w:kern w:val="0"/>
                <w:sz w:val="20"/>
                <w:szCs w:val="20"/>
              </w:rPr>
            </w:pPr>
            <w:r>
              <w:rPr>
                <w:kern w:val="0"/>
                <w:sz w:val="20"/>
                <w:szCs w:val="20"/>
              </w:rPr>
              <w:t>重点改革（重点工作）完成情况（5分）</w:t>
            </w:r>
          </w:p>
        </w:tc>
        <w:tc>
          <w:tcPr>
            <w:tcW w:w="2126" w:type="dxa"/>
            <w:tcBorders>
              <w:top w:val="nil"/>
              <w:left w:val="nil"/>
              <w:bottom w:val="single" w:color="auto" w:sz="4" w:space="0"/>
              <w:right w:val="single" w:color="auto" w:sz="4" w:space="0"/>
            </w:tcBorders>
          </w:tcPr>
          <w:p>
            <w:pPr>
              <w:widowControl/>
              <w:jc w:val="center"/>
              <w:rPr>
                <w:kern w:val="0"/>
                <w:sz w:val="20"/>
                <w:szCs w:val="20"/>
              </w:rPr>
            </w:pPr>
            <w:r>
              <w:rPr>
                <w:kern w:val="0"/>
                <w:sz w:val="20"/>
                <w:szCs w:val="20"/>
              </w:rPr>
              <w:t>5</w:t>
            </w:r>
          </w:p>
        </w:tc>
      </w:tr>
      <w:tr>
        <w:tblPrEx>
          <w:tblCellMar>
            <w:top w:w="0" w:type="dxa"/>
            <w:left w:w="108" w:type="dxa"/>
            <w:bottom w:w="0" w:type="dxa"/>
            <w:right w:w="108" w:type="dxa"/>
          </w:tblCellMar>
        </w:tblPrEx>
        <w:trPr>
          <w:trHeight w:val="320" w:hRule="atLeast"/>
        </w:trPr>
        <w:tc>
          <w:tcPr>
            <w:tcW w:w="1702" w:type="dxa"/>
            <w:vMerge w:val="continue"/>
            <w:tcBorders>
              <w:left w:val="single" w:color="auto" w:sz="4" w:space="0"/>
              <w:right w:val="single" w:color="auto" w:sz="4" w:space="0"/>
            </w:tcBorders>
            <w:vAlign w:val="center"/>
          </w:tcPr>
          <w:p>
            <w:pPr>
              <w:jc w:val="left"/>
              <w:rPr>
                <w:kern w:val="0"/>
                <w:sz w:val="20"/>
                <w:szCs w:val="20"/>
              </w:rPr>
            </w:pPr>
          </w:p>
        </w:tc>
        <w:tc>
          <w:tcPr>
            <w:tcW w:w="2268" w:type="dxa"/>
            <w:vMerge w:val="continue"/>
            <w:tcBorders>
              <w:top w:val="nil"/>
              <w:left w:val="single" w:color="auto" w:sz="4" w:space="0"/>
              <w:bottom w:val="single" w:color="auto" w:sz="4" w:space="0"/>
              <w:right w:val="single" w:color="auto" w:sz="4" w:space="0"/>
            </w:tcBorders>
            <w:vAlign w:val="center"/>
          </w:tcPr>
          <w:p>
            <w:pPr>
              <w:widowControl/>
              <w:jc w:val="left"/>
              <w:rPr>
                <w:kern w:val="0"/>
                <w:sz w:val="20"/>
                <w:szCs w:val="20"/>
              </w:rPr>
            </w:pPr>
          </w:p>
        </w:tc>
        <w:tc>
          <w:tcPr>
            <w:tcW w:w="3402" w:type="dxa"/>
            <w:tcBorders>
              <w:top w:val="nil"/>
              <w:left w:val="nil"/>
              <w:bottom w:val="single" w:color="auto" w:sz="4" w:space="0"/>
              <w:right w:val="single" w:color="auto" w:sz="4" w:space="0"/>
            </w:tcBorders>
            <w:vAlign w:val="center"/>
          </w:tcPr>
          <w:p>
            <w:pPr>
              <w:widowControl/>
              <w:jc w:val="center"/>
              <w:rPr>
                <w:kern w:val="0"/>
                <w:sz w:val="20"/>
                <w:szCs w:val="20"/>
              </w:rPr>
            </w:pPr>
            <w:r>
              <w:rPr>
                <w:kern w:val="0"/>
                <w:sz w:val="20"/>
                <w:szCs w:val="20"/>
              </w:rPr>
              <w:t>科技（制度、方法、机制等）创新（5分）</w:t>
            </w:r>
          </w:p>
        </w:tc>
        <w:tc>
          <w:tcPr>
            <w:tcW w:w="2126" w:type="dxa"/>
            <w:tcBorders>
              <w:top w:val="nil"/>
              <w:left w:val="nil"/>
              <w:bottom w:val="single" w:color="auto" w:sz="4" w:space="0"/>
              <w:right w:val="single" w:color="auto" w:sz="4" w:space="0"/>
            </w:tcBorders>
          </w:tcPr>
          <w:p>
            <w:pPr>
              <w:widowControl/>
              <w:jc w:val="center"/>
              <w:rPr>
                <w:kern w:val="0"/>
                <w:sz w:val="20"/>
                <w:szCs w:val="20"/>
              </w:rPr>
            </w:pPr>
            <w:r>
              <w:rPr>
                <w:kern w:val="0"/>
                <w:sz w:val="20"/>
                <w:szCs w:val="20"/>
              </w:rPr>
              <w:t>4</w:t>
            </w:r>
          </w:p>
        </w:tc>
      </w:tr>
      <w:tr>
        <w:tblPrEx>
          <w:tblCellMar>
            <w:top w:w="0" w:type="dxa"/>
            <w:left w:w="108" w:type="dxa"/>
            <w:bottom w:w="0" w:type="dxa"/>
            <w:right w:w="108" w:type="dxa"/>
          </w:tblCellMar>
        </w:tblPrEx>
        <w:trPr>
          <w:trHeight w:val="385" w:hRule="atLeast"/>
        </w:trPr>
        <w:tc>
          <w:tcPr>
            <w:tcW w:w="1702" w:type="dxa"/>
            <w:vMerge w:val="continue"/>
            <w:tcBorders>
              <w:left w:val="single" w:color="auto" w:sz="4" w:space="0"/>
              <w:right w:val="single" w:color="auto" w:sz="4" w:space="0"/>
            </w:tcBorders>
            <w:vAlign w:val="center"/>
          </w:tcPr>
          <w:p>
            <w:pPr>
              <w:jc w:val="left"/>
              <w:rPr>
                <w:kern w:val="0"/>
                <w:sz w:val="20"/>
                <w:szCs w:val="20"/>
              </w:rPr>
            </w:pPr>
          </w:p>
        </w:tc>
        <w:tc>
          <w:tcPr>
            <w:tcW w:w="2268" w:type="dxa"/>
            <w:vMerge w:val="continue"/>
            <w:tcBorders>
              <w:top w:val="nil"/>
              <w:left w:val="single" w:color="auto" w:sz="4" w:space="0"/>
              <w:bottom w:val="single" w:color="auto" w:sz="4" w:space="0"/>
              <w:right w:val="single" w:color="auto" w:sz="4" w:space="0"/>
            </w:tcBorders>
            <w:vAlign w:val="center"/>
          </w:tcPr>
          <w:p>
            <w:pPr>
              <w:widowControl/>
              <w:jc w:val="left"/>
              <w:rPr>
                <w:kern w:val="0"/>
                <w:sz w:val="20"/>
                <w:szCs w:val="20"/>
              </w:rPr>
            </w:pPr>
          </w:p>
        </w:tc>
        <w:tc>
          <w:tcPr>
            <w:tcW w:w="3402" w:type="dxa"/>
            <w:tcBorders>
              <w:top w:val="nil"/>
              <w:left w:val="nil"/>
              <w:bottom w:val="single" w:color="auto" w:sz="4" w:space="0"/>
              <w:right w:val="single" w:color="auto" w:sz="4" w:space="0"/>
            </w:tcBorders>
            <w:vAlign w:val="center"/>
          </w:tcPr>
          <w:p>
            <w:pPr>
              <w:widowControl/>
              <w:jc w:val="center"/>
              <w:rPr>
                <w:kern w:val="0"/>
                <w:sz w:val="20"/>
                <w:szCs w:val="20"/>
              </w:rPr>
            </w:pPr>
            <w:r>
              <w:rPr>
                <w:kern w:val="0"/>
                <w:sz w:val="20"/>
                <w:szCs w:val="20"/>
              </w:rPr>
              <w:t>人才培养（5分）</w:t>
            </w:r>
          </w:p>
        </w:tc>
        <w:tc>
          <w:tcPr>
            <w:tcW w:w="2126" w:type="dxa"/>
            <w:tcBorders>
              <w:top w:val="nil"/>
              <w:left w:val="nil"/>
              <w:bottom w:val="single" w:color="auto" w:sz="4" w:space="0"/>
              <w:right w:val="single" w:color="auto" w:sz="4" w:space="0"/>
            </w:tcBorders>
          </w:tcPr>
          <w:p>
            <w:pPr>
              <w:widowControl/>
              <w:jc w:val="center"/>
              <w:rPr>
                <w:kern w:val="0"/>
                <w:sz w:val="20"/>
                <w:szCs w:val="20"/>
              </w:rPr>
            </w:pPr>
            <w:r>
              <w:rPr>
                <w:kern w:val="0"/>
                <w:sz w:val="20"/>
                <w:szCs w:val="20"/>
              </w:rPr>
              <w:t>4</w:t>
            </w:r>
          </w:p>
        </w:tc>
      </w:tr>
      <w:tr>
        <w:tblPrEx>
          <w:tblCellMar>
            <w:top w:w="0" w:type="dxa"/>
            <w:left w:w="108" w:type="dxa"/>
            <w:bottom w:w="0" w:type="dxa"/>
            <w:right w:w="108" w:type="dxa"/>
          </w:tblCellMar>
        </w:tblPrEx>
        <w:trPr>
          <w:trHeight w:val="432" w:hRule="atLeast"/>
        </w:trPr>
        <w:tc>
          <w:tcPr>
            <w:tcW w:w="1702" w:type="dxa"/>
            <w:vMerge w:val="continue"/>
            <w:tcBorders>
              <w:left w:val="single" w:color="auto" w:sz="4" w:space="0"/>
              <w:right w:val="single" w:color="auto" w:sz="4" w:space="0"/>
            </w:tcBorders>
            <w:vAlign w:val="center"/>
          </w:tcPr>
          <w:p>
            <w:pPr>
              <w:jc w:val="left"/>
              <w:rPr>
                <w:kern w:val="0"/>
                <w:sz w:val="20"/>
                <w:szCs w:val="20"/>
              </w:rPr>
            </w:pPr>
          </w:p>
        </w:tc>
        <w:tc>
          <w:tcPr>
            <w:tcW w:w="2268" w:type="dxa"/>
            <w:vMerge w:val="restart"/>
            <w:tcBorders>
              <w:top w:val="nil"/>
              <w:left w:val="single" w:color="auto" w:sz="4" w:space="0"/>
              <w:right w:val="single" w:color="auto" w:sz="4" w:space="0"/>
            </w:tcBorders>
            <w:vAlign w:val="center"/>
          </w:tcPr>
          <w:p>
            <w:pPr>
              <w:widowControl/>
              <w:jc w:val="center"/>
              <w:rPr>
                <w:kern w:val="0"/>
                <w:sz w:val="20"/>
                <w:szCs w:val="20"/>
              </w:rPr>
            </w:pPr>
            <w:r>
              <w:rPr>
                <w:kern w:val="0"/>
                <w:sz w:val="20"/>
                <w:szCs w:val="20"/>
              </w:rPr>
              <w:t>满意度（10分）</w:t>
            </w:r>
          </w:p>
        </w:tc>
        <w:tc>
          <w:tcPr>
            <w:tcW w:w="3402" w:type="dxa"/>
            <w:tcBorders>
              <w:top w:val="nil"/>
              <w:left w:val="nil"/>
              <w:bottom w:val="single" w:color="auto" w:sz="4" w:space="0"/>
              <w:right w:val="single" w:color="auto" w:sz="4" w:space="0"/>
            </w:tcBorders>
            <w:vAlign w:val="center"/>
          </w:tcPr>
          <w:p>
            <w:pPr>
              <w:widowControl/>
              <w:jc w:val="center"/>
              <w:rPr>
                <w:kern w:val="0"/>
                <w:sz w:val="20"/>
                <w:szCs w:val="20"/>
              </w:rPr>
            </w:pPr>
            <w:r>
              <w:rPr>
                <w:kern w:val="0"/>
                <w:sz w:val="20"/>
                <w:szCs w:val="20"/>
              </w:rPr>
              <w:t>协作部门满意度（3分）</w:t>
            </w:r>
          </w:p>
        </w:tc>
        <w:tc>
          <w:tcPr>
            <w:tcW w:w="2126" w:type="dxa"/>
            <w:tcBorders>
              <w:top w:val="nil"/>
              <w:left w:val="nil"/>
              <w:bottom w:val="single" w:color="auto" w:sz="4" w:space="0"/>
              <w:right w:val="single" w:color="auto" w:sz="4" w:space="0"/>
            </w:tcBorders>
          </w:tcPr>
          <w:p>
            <w:pPr>
              <w:widowControl/>
              <w:jc w:val="center"/>
              <w:rPr>
                <w:kern w:val="0"/>
                <w:sz w:val="20"/>
                <w:szCs w:val="20"/>
              </w:rPr>
            </w:pPr>
            <w:r>
              <w:rPr>
                <w:kern w:val="0"/>
                <w:sz w:val="20"/>
                <w:szCs w:val="20"/>
              </w:rPr>
              <w:t>3</w:t>
            </w:r>
          </w:p>
        </w:tc>
      </w:tr>
      <w:tr>
        <w:tblPrEx>
          <w:tblCellMar>
            <w:top w:w="0" w:type="dxa"/>
            <w:left w:w="108" w:type="dxa"/>
            <w:bottom w:w="0" w:type="dxa"/>
            <w:right w:w="108" w:type="dxa"/>
          </w:tblCellMar>
        </w:tblPrEx>
        <w:trPr>
          <w:trHeight w:val="396" w:hRule="atLeast"/>
        </w:trPr>
        <w:tc>
          <w:tcPr>
            <w:tcW w:w="1702" w:type="dxa"/>
            <w:vMerge w:val="continue"/>
            <w:tcBorders>
              <w:left w:val="single" w:color="auto" w:sz="4" w:space="0"/>
              <w:right w:val="single" w:color="auto" w:sz="4" w:space="0"/>
            </w:tcBorders>
            <w:vAlign w:val="center"/>
          </w:tcPr>
          <w:p>
            <w:pPr>
              <w:jc w:val="left"/>
              <w:rPr>
                <w:kern w:val="0"/>
                <w:sz w:val="20"/>
                <w:szCs w:val="20"/>
              </w:rPr>
            </w:pPr>
          </w:p>
        </w:tc>
        <w:tc>
          <w:tcPr>
            <w:tcW w:w="2268" w:type="dxa"/>
            <w:vMerge w:val="continue"/>
            <w:tcBorders>
              <w:left w:val="single" w:color="auto" w:sz="4" w:space="0"/>
              <w:right w:val="single" w:color="auto" w:sz="4" w:space="0"/>
            </w:tcBorders>
            <w:vAlign w:val="center"/>
          </w:tcPr>
          <w:p>
            <w:pPr>
              <w:jc w:val="left"/>
              <w:rPr>
                <w:kern w:val="0"/>
                <w:sz w:val="20"/>
                <w:szCs w:val="20"/>
              </w:rPr>
            </w:pPr>
          </w:p>
        </w:tc>
        <w:tc>
          <w:tcPr>
            <w:tcW w:w="3402" w:type="dxa"/>
            <w:tcBorders>
              <w:top w:val="nil"/>
              <w:left w:val="nil"/>
              <w:bottom w:val="single" w:color="auto" w:sz="4" w:space="0"/>
              <w:right w:val="single" w:color="auto" w:sz="4" w:space="0"/>
            </w:tcBorders>
            <w:vAlign w:val="center"/>
          </w:tcPr>
          <w:p>
            <w:pPr>
              <w:widowControl/>
              <w:jc w:val="center"/>
              <w:rPr>
                <w:kern w:val="0"/>
                <w:sz w:val="20"/>
                <w:szCs w:val="20"/>
              </w:rPr>
            </w:pPr>
            <w:r>
              <w:rPr>
                <w:kern w:val="0"/>
                <w:sz w:val="20"/>
                <w:szCs w:val="20"/>
              </w:rPr>
              <w:t>管理对象满意度（3分）</w:t>
            </w:r>
          </w:p>
        </w:tc>
        <w:tc>
          <w:tcPr>
            <w:tcW w:w="2126" w:type="dxa"/>
            <w:tcBorders>
              <w:top w:val="nil"/>
              <w:left w:val="nil"/>
              <w:bottom w:val="single" w:color="auto" w:sz="4" w:space="0"/>
              <w:right w:val="single" w:color="auto" w:sz="4" w:space="0"/>
            </w:tcBorders>
          </w:tcPr>
          <w:p>
            <w:pPr>
              <w:widowControl/>
              <w:jc w:val="center"/>
              <w:rPr>
                <w:kern w:val="0"/>
                <w:sz w:val="20"/>
                <w:szCs w:val="20"/>
              </w:rPr>
            </w:pPr>
            <w:r>
              <w:rPr>
                <w:kern w:val="0"/>
                <w:sz w:val="20"/>
                <w:szCs w:val="20"/>
              </w:rPr>
              <w:t>3</w:t>
            </w:r>
          </w:p>
        </w:tc>
      </w:tr>
      <w:tr>
        <w:tblPrEx>
          <w:tblCellMar>
            <w:top w:w="0" w:type="dxa"/>
            <w:left w:w="108" w:type="dxa"/>
            <w:bottom w:w="0" w:type="dxa"/>
            <w:right w:w="108" w:type="dxa"/>
          </w:tblCellMar>
        </w:tblPrEx>
        <w:trPr>
          <w:trHeight w:val="411" w:hRule="atLeast"/>
        </w:trPr>
        <w:tc>
          <w:tcPr>
            <w:tcW w:w="1702" w:type="dxa"/>
            <w:vMerge w:val="continue"/>
            <w:tcBorders>
              <w:left w:val="single" w:color="auto" w:sz="4" w:space="0"/>
              <w:bottom w:val="single" w:color="auto" w:sz="4" w:space="0"/>
              <w:right w:val="single" w:color="auto" w:sz="4" w:space="0"/>
            </w:tcBorders>
            <w:vAlign w:val="center"/>
          </w:tcPr>
          <w:p>
            <w:pPr>
              <w:widowControl/>
              <w:jc w:val="left"/>
              <w:rPr>
                <w:kern w:val="0"/>
                <w:sz w:val="20"/>
                <w:szCs w:val="20"/>
              </w:rPr>
            </w:pPr>
          </w:p>
        </w:tc>
        <w:tc>
          <w:tcPr>
            <w:tcW w:w="2268" w:type="dxa"/>
            <w:vMerge w:val="continue"/>
            <w:tcBorders>
              <w:left w:val="single" w:color="auto" w:sz="4" w:space="0"/>
              <w:bottom w:val="single" w:color="auto" w:sz="4" w:space="0"/>
              <w:right w:val="single" w:color="auto" w:sz="4" w:space="0"/>
            </w:tcBorders>
            <w:vAlign w:val="center"/>
          </w:tcPr>
          <w:p>
            <w:pPr>
              <w:widowControl/>
              <w:jc w:val="left"/>
              <w:rPr>
                <w:kern w:val="0"/>
                <w:sz w:val="20"/>
                <w:szCs w:val="20"/>
              </w:rPr>
            </w:pPr>
          </w:p>
        </w:tc>
        <w:tc>
          <w:tcPr>
            <w:tcW w:w="3402" w:type="dxa"/>
            <w:tcBorders>
              <w:top w:val="nil"/>
              <w:left w:val="nil"/>
              <w:bottom w:val="single" w:color="auto" w:sz="4" w:space="0"/>
              <w:right w:val="single" w:color="auto" w:sz="4" w:space="0"/>
            </w:tcBorders>
            <w:vAlign w:val="center"/>
          </w:tcPr>
          <w:p>
            <w:pPr>
              <w:widowControl/>
              <w:jc w:val="center"/>
              <w:rPr>
                <w:kern w:val="0"/>
                <w:sz w:val="20"/>
                <w:szCs w:val="20"/>
              </w:rPr>
            </w:pPr>
            <w:r>
              <w:rPr>
                <w:kern w:val="0"/>
                <w:sz w:val="20"/>
                <w:szCs w:val="20"/>
              </w:rPr>
              <w:t>社会公众满意度（4分）</w:t>
            </w:r>
          </w:p>
        </w:tc>
        <w:tc>
          <w:tcPr>
            <w:tcW w:w="2126" w:type="dxa"/>
            <w:tcBorders>
              <w:top w:val="nil"/>
              <w:left w:val="nil"/>
              <w:bottom w:val="single" w:color="auto" w:sz="4" w:space="0"/>
              <w:right w:val="single" w:color="auto" w:sz="4" w:space="0"/>
            </w:tcBorders>
          </w:tcPr>
          <w:p>
            <w:pPr>
              <w:widowControl/>
              <w:jc w:val="center"/>
              <w:rPr>
                <w:kern w:val="0"/>
                <w:sz w:val="20"/>
                <w:szCs w:val="20"/>
              </w:rPr>
            </w:pPr>
            <w:r>
              <w:rPr>
                <w:kern w:val="0"/>
                <w:sz w:val="20"/>
                <w:szCs w:val="20"/>
              </w:rPr>
              <w:t>4</w:t>
            </w:r>
          </w:p>
        </w:tc>
      </w:tr>
    </w:tbl>
    <w:p>
      <w:pPr>
        <w:spacing w:line="600" w:lineRule="exact"/>
        <w:ind w:firstLine="640" w:firstLineChars="200"/>
        <w:outlineLvl w:val="1"/>
        <w:rPr>
          <w:rStyle w:val="17"/>
          <w:rFonts w:ascii="Times New Roman" w:hAnsi="Times New Roman" w:eastAsia="黑体"/>
        </w:rPr>
      </w:pPr>
      <w:bookmarkStart w:id="50" w:name="_Toc15377221"/>
      <w:bookmarkStart w:id="51" w:name="_Toc15396612"/>
      <w:r>
        <w:rPr>
          <w:rFonts w:eastAsia="黑体"/>
          <w:sz w:val="32"/>
          <w:szCs w:val="32"/>
        </w:rPr>
        <w:t>十</w:t>
      </w:r>
      <w:r>
        <w:rPr>
          <w:rStyle w:val="17"/>
          <w:rFonts w:ascii="Times New Roman" w:hAnsi="Times New Roman" w:eastAsia="黑体"/>
        </w:rPr>
        <w:t>一、</w:t>
      </w:r>
      <w:r>
        <w:rPr>
          <w:rStyle w:val="17"/>
          <w:rFonts w:ascii="Times New Roman" w:hAnsi="Times New Roman" w:eastAsia="黑体"/>
          <w:b w:val="0"/>
        </w:rPr>
        <w:t>其他重要事项的情况说明</w:t>
      </w:r>
      <w:bookmarkEnd w:id="50"/>
      <w:bookmarkEnd w:id="51"/>
    </w:p>
    <w:p>
      <w:pPr>
        <w:spacing w:line="600" w:lineRule="exact"/>
        <w:ind w:firstLine="643" w:firstLineChars="200"/>
        <w:outlineLvl w:val="2"/>
        <w:rPr>
          <w:rFonts w:eastAsia="仿宋"/>
          <w:sz w:val="32"/>
          <w:szCs w:val="32"/>
        </w:rPr>
      </w:pPr>
      <w:bookmarkStart w:id="52" w:name="_Toc15377222"/>
      <w:r>
        <w:rPr>
          <w:rFonts w:eastAsia="仿宋"/>
          <w:b/>
          <w:sz w:val="32"/>
          <w:szCs w:val="32"/>
        </w:rPr>
        <w:t>（一）机关运行经费支出情况</w:t>
      </w:r>
      <w:bookmarkEnd w:id="52"/>
    </w:p>
    <w:p>
      <w:pPr>
        <w:spacing w:line="600" w:lineRule="exact"/>
        <w:ind w:firstLine="640" w:firstLineChars="200"/>
        <w:rPr>
          <w:rFonts w:eastAsia="仿宋_GB2312"/>
          <w:sz w:val="32"/>
          <w:szCs w:val="32"/>
        </w:rPr>
      </w:pPr>
      <w:r>
        <w:rPr>
          <w:rFonts w:eastAsia="仿宋_GB2312"/>
          <w:sz w:val="32"/>
          <w:szCs w:val="32"/>
        </w:rPr>
        <w:t>2021年，金川县</w:t>
      </w:r>
      <w:r>
        <w:rPr>
          <w:rFonts w:hint="eastAsia" w:eastAsia="仿宋_GB2312"/>
          <w:sz w:val="32"/>
          <w:szCs w:val="32"/>
        </w:rPr>
        <w:t>组织</w:t>
      </w:r>
      <w:r>
        <w:rPr>
          <w:rFonts w:eastAsia="仿宋_GB2312"/>
          <w:sz w:val="32"/>
          <w:szCs w:val="32"/>
        </w:rPr>
        <w:t>部运行经费支出</w:t>
      </w:r>
      <w:r>
        <w:rPr>
          <w:rFonts w:hint="eastAsia" w:eastAsia="仿宋_GB2312"/>
          <w:sz w:val="32"/>
          <w:szCs w:val="32"/>
        </w:rPr>
        <w:t>63.72</w:t>
      </w:r>
      <w:r>
        <w:rPr>
          <w:rFonts w:eastAsia="仿宋_GB2312"/>
          <w:sz w:val="32"/>
          <w:szCs w:val="32"/>
        </w:rPr>
        <w:t>万元，比2020年</w:t>
      </w:r>
      <w:r>
        <w:rPr>
          <w:rFonts w:hint="eastAsia" w:eastAsia="仿宋_GB2312"/>
          <w:sz w:val="32"/>
          <w:szCs w:val="32"/>
        </w:rPr>
        <w:t>增加0.03</w:t>
      </w:r>
      <w:r>
        <w:rPr>
          <w:rFonts w:eastAsia="仿宋_GB2312"/>
          <w:sz w:val="32"/>
          <w:szCs w:val="32"/>
        </w:rPr>
        <w:t>万元，</w:t>
      </w:r>
      <w:r>
        <w:rPr>
          <w:rFonts w:hint="eastAsia" w:eastAsia="仿宋_GB2312"/>
          <w:sz w:val="32"/>
          <w:szCs w:val="32"/>
        </w:rPr>
        <w:t>增加0.04</w:t>
      </w:r>
      <w:r>
        <w:rPr>
          <w:rFonts w:eastAsia="仿宋_GB2312"/>
          <w:sz w:val="32"/>
          <w:szCs w:val="32"/>
        </w:rPr>
        <w:t>%。主要原因</w:t>
      </w:r>
      <w:r>
        <w:rPr>
          <w:rFonts w:hint="eastAsia" w:eastAsia="仿宋_GB2312"/>
          <w:sz w:val="32"/>
          <w:szCs w:val="32"/>
        </w:rPr>
        <w:t>为办公费部分增加</w:t>
      </w:r>
      <w:r>
        <w:rPr>
          <w:rFonts w:eastAsia="仿宋_GB2312"/>
          <w:sz w:val="32"/>
          <w:szCs w:val="32"/>
        </w:rPr>
        <w:t>。</w:t>
      </w:r>
    </w:p>
    <w:p>
      <w:pPr>
        <w:autoSpaceDE w:val="0"/>
        <w:autoSpaceDN w:val="0"/>
        <w:adjustRightInd w:val="0"/>
        <w:spacing w:line="600" w:lineRule="exact"/>
        <w:ind w:firstLine="643" w:firstLineChars="200"/>
        <w:jc w:val="left"/>
        <w:outlineLvl w:val="2"/>
        <w:rPr>
          <w:rFonts w:eastAsia="仿宋"/>
          <w:b/>
          <w:sz w:val="32"/>
          <w:szCs w:val="32"/>
        </w:rPr>
      </w:pPr>
      <w:bookmarkStart w:id="53" w:name="_Toc15377223"/>
      <w:r>
        <w:rPr>
          <w:rFonts w:eastAsia="仿宋"/>
          <w:b/>
          <w:sz w:val="32"/>
          <w:szCs w:val="32"/>
        </w:rPr>
        <w:t>（二）政府采购支出情况</w:t>
      </w:r>
      <w:bookmarkEnd w:id="53"/>
    </w:p>
    <w:p>
      <w:pPr>
        <w:spacing w:line="600" w:lineRule="exact"/>
        <w:ind w:firstLine="640" w:firstLineChars="200"/>
        <w:rPr>
          <w:rFonts w:eastAsia="仿宋"/>
          <w:b/>
          <w:sz w:val="32"/>
          <w:szCs w:val="32"/>
        </w:rPr>
      </w:pPr>
      <w:r>
        <w:rPr>
          <w:rFonts w:eastAsia="仿宋_GB2312"/>
          <w:sz w:val="32"/>
          <w:szCs w:val="32"/>
        </w:rPr>
        <w:t>2021年，政府采购支出总额</w:t>
      </w:r>
      <w:r>
        <w:rPr>
          <w:rFonts w:hint="eastAsia" w:eastAsia="仿宋_GB2312"/>
          <w:sz w:val="32"/>
          <w:szCs w:val="32"/>
        </w:rPr>
        <w:t>0</w:t>
      </w:r>
      <w:r>
        <w:rPr>
          <w:rFonts w:eastAsia="仿宋_GB2312"/>
          <w:sz w:val="32"/>
          <w:szCs w:val="32"/>
        </w:rPr>
        <w:t>万元。</w:t>
      </w:r>
    </w:p>
    <w:p>
      <w:pPr>
        <w:autoSpaceDE w:val="0"/>
        <w:autoSpaceDN w:val="0"/>
        <w:adjustRightInd w:val="0"/>
        <w:spacing w:line="600" w:lineRule="exact"/>
        <w:ind w:firstLine="643" w:firstLineChars="200"/>
        <w:jc w:val="left"/>
        <w:outlineLvl w:val="2"/>
        <w:rPr>
          <w:rFonts w:eastAsia="仿宋"/>
          <w:b/>
          <w:sz w:val="32"/>
          <w:szCs w:val="32"/>
        </w:rPr>
      </w:pPr>
      <w:bookmarkStart w:id="54" w:name="_Toc15377224"/>
      <w:r>
        <w:rPr>
          <w:rFonts w:eastAsia="仿宋"/>
          <w:b/>
          <w:sz w:val="32"/>
          <w:szCs w:val="32"/>
        </w:rPr>
        <w:t>（三）国有资产占有使用情况</w:t>
      </w:r>
      <w:bookmarkEnd w:id="54"/>
    </w:p>
    <w:p>
      <w:pPr>
        <w:widowControl/>
        <w:ind w:firstLine="640" w:firstLineChars="200"/>
        <w:jc w:val="left"/>
        <w:rPr>
          <w:rFonts w:eastAsia="仿宋_GB2312"/>
          <w:b/>
          <w:sz w:val="32"/>
          <w:szCs w:val="32"/>
        </w:rPr>
      </w:pPr>
      <w:r>
        <w:rPr>
          <w:rFonts w:eastAsia="仿宋_GB2312"/>
          <w:sz w:val="32"/>
          <w:szCs w:val="32"/>
        </w:rPr>
        <w:t>截至2021年12月31日，共有车辆</w:t>
      </w:r>
      <w:r>
        <w:rPr>
          <w:rFonts w:hint="eastAsia" w:eastAsia="仿宋_GB2312"/>
          <w:sz w:val="32"/>
          <w:szCs w:val="32"/>
        </w:rPr>
        <w:t>1</w:t>
      </w:r>
      <w:r>
        <w:rPr>
          <w:rFonts w:eastAsia="仿宋_GB2312"/>
          <w:sz w:val="32"/>
          <w:szCs w:val="32"/>
        </w:rPr>
        <w:t>辆，为日常工作及应急保障用车。</w:t>
      </w:r>
      <w:r>
        <w:rPr>
          <w:rFonts w:eastAsia="仿宋_GB2312"/>
          <w:b/>
          <w:sz w:val="32"/>
          <w:szCs w:val="32"/>
        </w:rPr>
        <w:t xml:space="preserve">    </w:t>
      </w:r>
    </w:p>
    <w:p>
      <w:pPr>
        <w:widowControl/>
        <w:ind w:firstLine="643" w:firstLineChars="200"/>
        <w:jc w:val="left"/>
        <w:rPr>
          <w:rFonts w:eastAsia="仿宋_GB2312"/>
          <w:b/>
          <w:sz w:val="32"/>
          <w:szCs w:val="32"/>
        </w:rPr>
      </w:pPr>
      <w:r>
        <w:rPr>
          <w:rFonts w:eastAsia="仿宋_GB2312"/>
          <w:b/>
          <w:sz w:val="32"/>
          <w:szCs w:val="32"/>
        </w:rPr>
        <w:t xml:space="preserve"> </w:t>
      </w:r>
    </w:p>
    <w:p>
      <w:pPr>
        <w:numPr>
          <w:ilvl w:val="0"/>
          <w:numId w:val="5"/>
        </w:numPr>
        <w:spacing w:line="600" w:lineRule="exact"/>
        <w:ind w:firstLine="663" w:firstLineChars="150"/>
        <w:jc w:val="center"/>
        <w:outlineLvl w:val="0"/>
        <w:rPr>
          <w:rStyle w:val="16"/>
          <w:rFonts w:eastAsia="黑体"/>
          <w:b w:val="0"/>
        </w:rPr>
      </w:pPr>
      <w:bookmarkStart w:id="55" w:name="_Toc15377225"/>
      <w:bookmarkStart w:id="56" w:name="_Toc15396613"/>
      <w:r>
        <w:rPr>
          <w:rFonts w:eastAsia="黑体"/>
          <w:b/>
          <w:sz w:val="44"/>
          <w:szCs w:val="44"/>
        </w:rPr>
        <w:t>名</w:t>
      </w:r>
      <w:r>
        <w:rPr>
          <w:rStyle w:val="16"/>
          <w:rFonts w:eastAsia="黑体"/>
          <w:b w:val="0"/>
        </w:rPr>
        <w:t>词解释</w:t>
      </w:r>
      <w:bookmarkEnd w:id="55"/>
      <w:bookmarkEnd w:id="56"/>
    </w:p>
    <w:p>
      <w:pPr>
        <w:pStyle w:val="21"/>
        <w:spacing w:line="560" w:lineRule="exact"/>
        <w:ind w:firstLine="640" w:firstLineChars="200"/>
        <w:rPr>
          <w:rFonts w:ascii="Times New Roman" w:eastAsia="仿宋_GB2312" w:cs="Times New Roman"/>
          <w:color w:val="auto"/>
          <w:sz w:val="32"/>
          <w:szCs w:val="32"/>
        </w:rPr>
      </w:pPr>
      <w:r>
        <w:rPr>
          <w:rFonts w:ascii="Times New Roman" w:eastAsia="仿宋_GB2312" w:cs="Times New Roman"/>
          <w:color w:val="auto"/>
          <w:sz w:val="32"/>
          <w:szCs w:val="32"/>
        </w:rPr>
        <w:t>1.财政拨款收入：指单位从同级财政部门取得的财政预算资金。</w:t>
      </w:r>
    </w:p>
    <w:p>
      <w:pPr>
        <w:pStyle w:val="21"/>
        <w:spacing w:line="560" w:lineRule="exact"/>
        <w:ind w:firstLine="640" w:firstLineChars="200"/>
        <w:rPr>
          <w:rFonts w:ascii="Times New Roman" w:eastAsia="仿宋_GB2312" w:cs="Times New Roman"/>
          <w:color w:val="auto"/>
          <w:sz w:val="32"/>
          <w:szCs w:val="32"/>
        </w:rPr>
      </w:pPr>
      <w:r>
        <w:rPr>
          <w:rFonts w:ascii="Times New Roman" w:eastAsia="仿宋_GB2312" w:cs="Times New Roman"/>
          <w:color w:val="auto"/>
          <w:sz w:val="32"/>
          <w:szCs w:val="32"/>
        </w:rPr>
        <w:t>2.事业收入：指事业单位开展专业业务活动及辅助活动取得的收入。</w:t>
      </w:r>
    </w:p>
    <w:p>
      <w:pPr>
        <w:pStyle w:val="21"/>
        <w:spacing w:line="560" w:lineRule="exact"/>
        <w:ind w:firstLine="640" w:firstLineChars="200"/>
        <w:rPr>
          <w:rFonts w:ascii="Times New Roman" w:eastAsia="仿宋_GB2312" w:cs="Times New Roman"/>
          <w:color w:val="auto"/>
          <w:sz w:val="32"/>
          <w:szCs w:val="32"/>
        </w:rPr>
      </w:pPr>
      <w:r>
        <w:rPr>
          <w:rFonts w:ascii="Times New Roman" w:eastAsia="仿宋_GB2312" w:cs="Times New Roman"/>
          <w:color w:val="auto"/>
          <w:sz w:val="32"/>
          <w:szCs w:val="32"/>
        </w:rPr>
        <w:t>3.经营收入：指事业单位在专业业务活动及其辅助活动之外开展非独立核算经营活动取得的收入。</w:t>
      </w:r>
    </w:p>
    <w:p>
      <w:pPr>
        <w:pStyle w:val="21"/>
        <w:spacing w:line="560" w:lineRule="exact"/>
        <w:ind w:firstLine="640" w:firstLineChars="200"/>
        <w:rPr>
          <w:rFonts w:ascii="Times New Roman" w:eastAsia="仿宋_GB2312" w:cs="Times New Roman"/>
          <w:color w:val="auto"/>
          <w:sz w:val="32"/>
          <w:szCs w:val="32"/>
        </w:rPr>
      </w:pPr>
      <w:r>
        <w:rPr>
          <w:rFonts w:ascii="Times New Roman" w:eastAsia="仿宋_GB2312" w:cs="Times New Roman"/>
          <w:color w:val="auto"/>
          <w:sz w:val="32"/>
          <w:szCs w:val="32"/>
        </w:rPr>
        <w:t xml:space="preserve">4.其他收入：指单位取得的除上述收入以外的各项收入。主要是银行存款利息和伙食团缴费等。 </w:t>
      </w:r>
    </w:p>
    <w:p>
      <w:pPr>
        <w:pStyle w:val="21"/>
        <w:spacing w:line="560" w:lineRule="exact"/>
        <w:ind w:firstLine="640" w:firstLineChars="200"/>
        <w:rPr>
          <w:rFonts w:ascii="Times New Roman" w:eastAsia="仿宋_GB2312" w:cs="Times New Roman"/>
          <w:color w:val="auto"/>
          <w:sz w:val="32"/>
          <w:szCs w:val="32"/>
        </w:rPr>
      </w:pPr>
      <w:r>
        <w:rPr>
          <w:rFonts w:ascii="Times New Roman" w:eastAsia="仿宋_GB2312" w:cs="Times New Roman"/>
          <w:color w:val="auto"/>
          <w:sz w:val="32"/>
          <w:szCs w:val="32"/>
        </w:rPr>
        <w:t xml:space="preserve">5. 年初结转和结余：指以前年度尚未完成、结转到本年按有关规定继续使用的资金。 </w:t>
      </w:r>
    </w:p>
    <w:p>
      <w:pPr>
        <w:pStyle w:val="21"/>
        <w:spacing w:line="560" w:lineRule="exact"/>
        <w:ind w:firstLine="640" w:firstLineChars="200"/>
        <w:rPr>
          <w:rFonts w:ascii="Times New Roman" w:eastAsia="仿宋_GB2312" w:cs="Times New Roman"/>
          <w:color w:val="auto"/>
          <w:sz w:val="32"/>
          <w:szCs w:val="32"/>
        </w:rPr>
      </w:pPr>
      <w:r>
        <w:rPr>
          <w:rFonts w:ascii="Times New Roman" w:eastAsia="仿宋_GB2312" w:cs="Times New Roman"/>
          <w:color w:val="auto"/>
          <w:sz w:val="32"/>
          <w:szCs w:val="32"/>
        </w:rPr>
        <w:t>6.结余分配：指事业单位按照事业单位会计制度的规定从非财政补助结余中分配的事业基金和职工福利基金等。</w:t>
      </w:r>
    </w:p>
    <w:p>
      <w:pPr>
        <w:pStyle w:val="21"/>
        <w:spacing w:line="560" w:lineRule="exact"/>
        <w:ind w:firstLine="640" w:firstLineChars="200"/>
        <w:rPr>
          <w:rFonts w:ascii="Times New Roman" w:eastAsia="仿宋_GB2312" w:cs="Times New Roman"/>
          <w:color w:val="auto"/>
          <w:sz w:val="32"/>
          <w:szCs w:val="32"/>
        </w:rPr>
      </w:pPr>
      <w:r>
        <w:rPr>
          <w:rFonts w:ascii="Times New Roman" w:eastAsia="仿宋_GB2312" w:cs="Times New Roman"/>
          <w:color w:val="auto"/>
          <w:sz w:val="32"/>
          <w:szCs w:val="32"/>
        </w:rPr>
        <w:t>7、年末结转和结余：指单位按有关规定结转到下年或以后年度继续使用的资金。</w:t>
      </w:r>
    </w:p>
    <w:p>
      <w:pPr>
        <w:ind w:firstLine="640" w:firstLineChars="200"/>
        <w:rPr>
          <w:rFonts w:eastAsia="仿宋_GB2312"/>
          <w:sz w:val="32"/>
          <w:szCs w:val="32"/>
        </w:rPr>
      </w:pPr>
      <w:r>
        <w:rPr>
          <w:rFonts w:eastAsia="仿宋_GB2312"/>
          <w:sz w:val="32"/>
          <w:szCs w:val="32"/>
        </w:rPr>
        <w:t>8.</w:t>
      </w:r>
      <w:r>
        <w:rPr>
          <w:rFonts w:eastAsia="仿宋_GB2312"/>
          <w:kern w:val="0"/>
          <w:sz w:val="32"/>
          <w:szCs w:val="32"/>
        </w:rPr>
        <w:t>一般公共服务（类）政府办公厅（室）及相关机构事务（款）行政运行（项）：指行政单位的基本支出</w:t>
      </w:r>
      <w:r>
        <w:rPr>
          <w:rFonts w:eastAsia="仿宋_GB2312"/>
          <w:sz w:val="32"/>
          <w:szCs w:val="32"/>
        </w:rPr>
        <w:t>。</w:t>
      </w:r>
    </w:p>
    <w:p>
      <w:pPr>
        <w:ind w:firstLine="640" w:firstLineChars="200"/>
        <w:rPr>
          <w:rFonts w:eastAsia="仿宋_GB2312"/>
          <w:sz w:val="32"/>
          <w:szCs w:val="32"/>
        </w:rPr>
      </w:pPr>
      <w:r>
        <w:rPr>
          <w:rFonts w:eastAsia="仿宋_GB2312"/>
          <w:sz w:val="32"/>
          <w:szCs w:val="32"/>
        </w:rPr>
        <w:t>9.</w:t>
      </w:r>
      <w:r>
        <w:rPr>
          <w:rFonts w:eastAsia="仿宋_GB2312"/>
          <w:kern w:val="0"/>
          <w:sz w:val="32"/>
          <w:szCs w:val="32"/>
        </w:rPr>
        <w:t>一般公共服务（类）政府办公厅（室）及相关机构事务（款）一般行政管理事务（项）：</w:t>
      </w:r>
      <w:r>
        <w:rPr>
          <w:rFonts w:eastAsia="仿宋_GB2312"/>
          <w:sz w:val="32"/>
          <w:szCs w:val="32"/>
        </w:rPr>
        <w:t>指反映行政单位未单独设置顶级科目的其他项目支出。</w:t>
      </w:r>
    </w:p>
    <w:p>
      <w:pPr>
        <w:ind w:firstLine="640" w:firstLineChars="200"/>
        <w:rPr>
          <w:rFonts w:eastAsia="仿宋_GB2312"/>
          <w:sz w:val="32"/>
          <w:szCs w:val="32"/>
        </w:rPr>
      </w:pPr>
      <w:r>
        <w:rPr>
          <w:rFonts w:eastAsia="仿宋_GB2312"/>
          <w:sz w:val="32"/>
          <w:szCs w:val="32"/>
        </w:rPr>
        <w:t>10.</w:t>
      </w:r>
      <w:r>
        <w:rPr>
          <w:rFonts w:eastAsia="仿宋_GB2312"/>
          <w:kern w:val="0"/>
          <w:sz w:val="32"/>
          <w:szCs w:val="32"/>
        </w:rPr>
        <w:t>教育（类）其他教育支出（款）其他教育支出（项）：</w:t>
      </w:r>
      <w:r>
        <w:rPr>
          <w:rFonts w:eastAsia="仿宋_GB2312"/>
          <w:sz w:val="32"/>
          <w:szCs w:val="32"/>
        </w:rPr>
        <w:t>除上诉项目以外用于教育管理事务方面的支出。</w:t>
      </w:r>
    </w:p>
    <w:p>
      <w:pPr>
        <w:ind w:firstLine="640" w:firstLineChars="200"/>
        <w:rPr>
          <w:rFonts w:eastAsia="仿宋_GB2312"/>
          <w:sz w:val="32"/>
          <w:szCs w:val="32"/>
        </w:rPr>
      </w:pPr>
      <w:r>
        <w:rPr>
          <w:rFonts w:eastAsia="仿宋_GB2312"/>
          <w:sz w:val="32"/>
          <w:szCs w:val="32"/>
        </w:rPr>
        <w:t>11.</w:t>
      </w:r>
      <w:r>
        <w:rPr>
          <w:rFonts w:eastAsia="仿宋_GB2312"/>
          <w:kern w:val="0"/>
          <w:sz w:val="32"/>
          <w:szCs w:val="32"/>
        </w:rPr>
        <w:t>社会保障和就业（类）行政事业单位离退休（款）机关事业单位基本养老保险缴费支出（项）：</w:t>
      </w:r>
      <w:r>
        <w:rPr>
          <w:rFonts w:eastAsia="仿宋_GB2312"/>
          <w:sz w:val="32"/>
          <w:szCs w:val="32"/>
        </w:rPr>
        <w:t>指单位为职工缴纳的基本养老保险费。</w:t>
      </w:r>
    </w:p>
    <w:p>
      <w:pPr>
        <w:ind w:firstLine="640" w:firstLineChars="200"/>
        <w:rPr>
          <w:rFonts w:eastAsia="仿宋_GB2312"/>
          <w:sz w:val="32"/>
          <w:szCs w:val="32"/>
        </w:rPr>
      </w:pPr>
      <w:r>
        <w:rPr>
          <w:rFonts w:eastAsia="仿宋_GB2312"/>
          <w:sz w:val="32"/>
          <w:szCs w:val="32"/>
        </w:rPr>
        <w:t>12.</w:t>
      </w:r>
      <w:r>
        <w:rPr>
          <w:rFonts w:eastAsia="仿宋_GB2312"/>
          <w:kern w:val="0"/>
          <w:sz w:val="32"/>
          <w:szCs w:val="32"/>
        </w:rPr>
        <w:t>社会保障和就业（类）行政事业单位离退休（款）机关事业单位基本职业年金缴费支出（项）：</w:t>
      </w:r>
      <w:r>
        <w:rPr>
          <w:rFonts w:eastAsia="仿宋_GB2312"/>
          <w:sz w:val="32"/>
          <w:szCs w:val="32"/>
        </w:rPr>
        <w:t>指单位为职工实际缴纳的职业年金。</w:t>
      </w:r>
    </w:p>
    <w:p>
      <w:pPr>
        <w:ind w:firstLine="640" w:firstLineChars="200"/>
        <w:rPr>
          <w:rFonts w:eastAsia="仿宋_GB2312"/>
          <w:sz w:val="32"/>
          <w:szCs w:val="32"/>
        </w:rPr>
      </w:pPr>
      <w:r>
        <w:rPr>
          <w:rFonts w:eastAsia="仿宋_GB2312"/>
          <w:sz w:val="32"/>
          <w:szCs w:val="32"/>
        </w:rPr>
        <w:t>13.医疗卫生与计划生育（类）行政事业单位医疗（款）行政单位医疗（项）：指反映职工缴纳的基本医疗保险费。</w:t>
      </w:r>
    </w:p>
    <w:p>
      <w:pPr>
        <w:ind w:firstLine="640" w:firstLineChars="200"/>
        <w:rPr>
          <w:rFonts w:eastAsia="仿宋_GB2312"/>
          <w:sz w:val="32"/>
          <w:szCs w:val="32"/>
        </w:rPr>
      </w:pPr>
      <w:r>
        <w:rPr>
          <w:rFonts w:eastAsia="仿宋_GB2312"/>
          <w:sz w:val="32"/>
          <w:szCs w:val="32"/>
        </w:rPr>
        <w:t>14.医疗卫生与计划生育（类）行政事业单位医疗（款）公务员医疗补助（项）：指按规定可享受公务员医疗补助单位为职工缴纳的公务员医疗补助费。</w:t>
      </w:r>
    </w:p>
    <w:p>
      <w:pPr>
        <w:ind w:firstLine="640" w:firstLineChars="200"/>
        <w:rPr>
          <w:rFonts w:eastAsia="仿宋_GB2312"/>
          <w:sz w:val="32"/>
          <w:szCs w:val="32"/>
        </w:rPr>
      </w:pPr>
      <w:r>
        <w:rPr>
          <w:rFonts w:eastAsia="仿宋_GB2312"/>
          <w:sz w:val="32"/>
          <w:szCs w:val="32"/>
        </w:rPr>
        <w:t>15.住房保障（类）住房改革支出（款）住房公积金（项）：指单位按规定为职工缴纳的住房公积金。</w:t>
      </w:r>
    </w:p>
    <w:p>
      <w:pPr>
        <w:ind w:firstLine="640" w:firstLineChars="200"/>
        <w:rPr>
          <w:rFonts w:eastAsia="仿宋_GB2312"/>
          <w:sz w:val="32"/>
          <w:szCs w:val="32"/>
        </w:rPr>
      </w:pPr>
      <w:r>
        <w:rPr>
          <w:rFonts w:eastAsia="仿宋_GB2312"/>
          <w:sz w:val="32"/>
          <w:szCs w:val="32"/>
        </w:rPr>
        <w:t>16.基本支出：指为保障机构正常运转、完成日常工作任务而发生的人员支出和公用支出。</w:t>
      </w:r>
    </w:p>
    <w:p>
      <w:pPr>
        <w:ind w:firstLine="640" w:firstLineChars="200"/>
        <w:rPr>
          <w:rFonts w:eastAsia="仿宋_GB2312"/>
          <w:sz w:val="32"/>
          <w:szCs w:val="32"/>
        </w:rPr>
      </w:pPr>
      <w:r>
        <w:rPr>
          <w:rFonts w:eastAsia="仿宋_GB2312"/>
          <w:sz w:val="32"/>
          <w:szCs w:val="32"/>
        </w:rPr>
        <w:t xml:space="preserve">17.项目支出：指在基本支出之外为完成特定行政任务和事业发展目标所发生的支出。 </w:t>
      </w:r>
    </w:p>
    <w:p>
      <w:pPr>
        <w:pStyle w:val="21"/>
        <w:spacing w:line="560" w:lineRule="exact"/>
        <w:ind w:firstLine="640" w:firstLineChars="200"/>
        <w:rPr>
          <w:rFonts w:ascii="Times New Roman" w:eastAsia="仿宋_GB2312" w:cs="Times New Roman"/>
          <w:color w:val="auto"/>
          <w:sz w:val="32"/>
          <w:szCs w:val="32"/>
        </w:rPr>
      </w:pPr>
      <w:r>
        <w:rPr>
          <w:rFonts w:ascii="Times New Roman" w:eastAsia="仿宋_GB2312" w:cs="Times New Roman"/>
          <w:color w:val="auto"/>
          <w:sz w:val="32"/>
          <w:szCs w:val="32"/>
        </w:rPr>
        <w:t>18.“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1"/>
        <w:spacing w:line="560" w:lineRule="exact"/>
        <w:ind w:firstLine="640" w:firstLineChars="200"/>
        <w:rPr>
          <w:rFonts w:ascii="Times New Roman" w:eastAsia="仿宋_GB2312" w:cs="Times New Roman"/>
          <w:color w:val="auto"/>
          <w:sz w:val="32"/>
          <w:szCs w:val="32"/>
        </w:rPr>
      </w:pPr>
      <w:r>
        <w:rPr>
          <w:rFonts w:ascii="Times New Roman" w:eastAsia="仿宋_GB2312" w:cs="Times New Roman"/>
          <w:color w:val="auto"/>
          <w:sz w:val="32"/>
          <w:szCs w:val="32"/>
        </w:rPr>
        <w:t>19.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rPr>
          <w:rFonts w:ascii="方正小标宋简体" w:eastAsia="方正小标宋简体"/>
          <w:color w:val="000000"/>
          <w:sz w:val="44"/>
          <w:szCs w:val="44"/>
        </w:rPr>
      </w:pPr>
      <w:bookmarkStart w:id="57" w:name="_Toc79163630"/>
      <w:bookmarkStart w:id="58" w:name="_Toc15396614"/>
      <w:bookmarkStart w:id="59" w:name="_Toc79163880"/>
    </w:p>
    <w:p>
      <w:pPr>
        <w:pStyle w:val="3"/>
        <w:jc w:val="center"/>
        <w:rPr>
          <w:rStyle w:val="16"/>
          <w:rFonts w:ascii="方正小标宋简体" w:eastAsia="方正小标宋简体"/>
          <w:b w:val="0"/>
          <w:bCs/>
        </w:rPr>
      </w:pPr>
      <w:r>
        <w:rPr>
          <w:rFonts w:hint="eastAsia" w:ascii="方正小标宋简体" w:eastAsia="方正小标宋简体"/>
          <w:color w:val="000000"/>
          <w:sz w:val="44"/>
          <w:szCs w:val="44"/>
        </w:rPr>
        <w:t>第</w:t>
      </w:r>
      <w:r>
        <w:rPr>
          <w:rStyle w:val="16"/>
          <w:rFonts w:hint="eastAsia" w:ascii="方正小标宋简体" w:eastAsia="方正小标宋简体"/>
          <w:b w:val="0"/>
          <w:bCs/>
        </w:rPr>
        <w:t>四部分 附件</w:t>
      </w:r>
      <w:bookmarkEnd w:id="57"/>
      <w:bookmarkEnd w:id="58"/>
      <w:bookmarkEnd w:id="59"/>
    </w:p>
    <w:p>
      <w:pPr>
        <w:widowControl/>
        <w:spacing w:line="480" w:lineRule="exact"/>
        <w:jc w:val="center"/>
        <w:rPr>
          <w:rFonts w:ascii="方正小标宋简体" w:hAnsi="宋体" w:eastAsia="方正小标宋简体"/>
          <w:sz w:val="44"/>
          <w:szCs w:val="44"/>
        </w:rPr>
      </w:pPr>
      <w:r>
        <w:rPr>
          <w:rFonts w:hint="eastAsia" w:ascii="方正小标宋简体" w:hAnsi="宋体" w:eastAsia="方正小标宋简体"/>
          <w:sz w:val="44"/>
          <w:szCs w:val="44"/>
        </w:rPr>
        <w:t>中共金川县委组织部</w:t>
      </w:r>
    </w:p>
    <w:p>
      <w:pPr>
        <w:widowControl/>
        <w:spacing w:line="576" w:lineRule="exact"/>
        <w:jc w:val="center"/>
        <w:rPr>
          <w:rFonts w:ascii="方正小标宋简体" w:hAnsi="宋体" w:eastAsia="方正小标宋简体"/>
          <w:sz w:val="44"/>
          <w:szCs w:val="44"/>
        </w:rPr>
      </w:pPr>
      <w:r>
        <w:rPr>
          <w:rFonts w:ascii="方正小标宋简体" w:hAnsi="宋体" w:eastAsia="方正小标宋简体"/>
          <w:sz w:val="44"/>
          <w:szCs w:val="44"/>
        </w:rPr>
        <w:t>20</w:t>
      </w:r>
      <w:r>
        <w:rPr>
          <w:rFonts w:hint="eastAsia" w:ascii="方正小标宋简体" w:hAnsi="宋体" w:eastAsia="方正小标宋简体"/>
          <w:sz w:val="44"/>
          <w:szCs w:val="44"/>
        </w:rPr>
        <w:t>21年部门整体支出绩效报告</w:t>
      </w:r>
    </w:p>
    <w:p>
      <w:pPr>
        <w:widowControl/>
        <w:adjustRightInd w:val="0"/>
        <w:snapToGrid w:val="0"/>
        <w:spacing w:line="576" w:lineRule="exact"/>
        <w:ind w:firstLine="720"/>
        <w:jc w:val="left"/>
        <w:rPr>
          <w:rFonts w:ascii="仿宋_GB2312" w:hAnsi="仿宋_GB2312" w:cs="仿宋_GB2312"/>
        </w:rPr>
      </w:pPr>
    </w:p>
    <w:p>
      <w:pPr>
        <w:widowControl/>
        <w:adjustRightInd w:val="0"/>
        <w:snapToGrid w:val="0"/>
        <w:spacing w:line="576" w:lineRule="exact"/>
        <w:ind w:firstLine="720"/>
        <w:jc w:val="left"/>
        <w:rPr>
          <w:rFonts w:eastAsia="仿宋_GB2312"/>
          <w:kern w:val="0"/>
          <w:sz w:val="32"/>
          <w:szCs w:val="32"/>
          <w:lang w:val="zh-CN"/>
        </w:rPr>
      </w:pPr>
      <w:r>
        <w:rPr>
          <w:rFonts w:hint="eastAsia" w:eastAsia="仿宋_GB2312"/>
          <w:kern w:val="0"/>
          <w:sz w:val="32"/>
          <w:szCs w:val="32"/>
        </w:rPr>
        <w:t>根据《金川县财政局关于开展2022年部门整体和项目支出绩效评价工作的通知》（金财监绩〔2022〕22号）文件要求，结合我单位的实际，</w:t>
      </w:r>
      <w:r>
        <w:rPr>
          <w:rFonts w:hint="eastAsia" w:eastAsia="仿宋_GB2312"/>
          <w:kern w:val="0"/>
          <w:sz w:val="32"/>
          <w:szCs w:val="32"/>
          <w:lang w:val="zh-CN"/>
        </w:rPr>
        <w:t>本着独立、客观、公正、科学的原则，按照公认的绩效评价方法，我部积极组织，对2021年全年整体支出进行了绩效自评，现将具体绩效评价情况报告如下：</w:t>
      </w:r>
    </w:p>
    <w:p>
      <w:pPr>
        <w:widowControl/>
        <w:adjustRightInd w:val="0"/>
        <w:snapToGrid w:val="0"/>
        <w:spacing w:line="576" w:lineRule="exact"/>
        <w:ind w:firstLine="720"/>
        <w:jc w:val="left"/>
        <w:rPr>
          <w:rFonts w:eastAsia="仿宋_GB2312"/>
          <w:kern w:val="0"/>
          <w:sz w:val="32"/>
          <w:szCs w:val="32"/>
        </w:rPr>
      </w:pPr>
      <w:r>
        <w:rPr>
          <w:rFonts w:hint="eastAsia" w:eastAsia="仿宋_GB2312"/>
          <w:kern w:val="0"/>
          <w:sz w:val="32"/>
          <w:szCs w:val="32"/>
        </w:rPr>
        <w:t>一、部门概况</w:t>
      </w:r>
    </w:p>
    <w:p>
      <w:pPr>
        <w:widowControl/>
        <w:adjustRightInd w:val="0"/>
        <w:snapToGrid w:val="0"/>
        <w:spacing w:line="576" w:lineRule="exact"/>
        <w:ind w:firstLine="720"/>
        <w:jc w:val="left"/>
        <w:rPr>
          <w:rFonts w:eastAsia="仿宋_GB2312"/>
          <w:kern w:val="0"/>
          <w:sz w:val="32"/>
          <w:szCs w:val="32"/>
        </w:rPr>
      </w:pPr>
      <w:r>
        <w:rPr>
          <w:rFonts w:hint="eastAsia" w:eastAsia="仿宋_GB2312"/>
          <w:kern w:val="0"/>
          <w:sz w:val="32"/>
          <w:szCs w:val="32"/>
        </w:rPr>
        <w:t>（一）机构组成</w:t>
      </w:r>
    </w:p>
    <w:p>
      <w:pPr>
        <w:widowControl/>
        <w:adjustRightInd w:val="0"/>
        <w:snapToGrid w:val="0"/>
        <w:spacing w:line="576" w:lineRule="exact"/>
        <w:ind w:firstLine="720"/>
        <w:jc w:val="left"/>
        <w:rPr>
          <w:rFonts w:eastAsia="仿宋_GB2312"/>
          <w:kern w:val="0"/>
          <w:sz w:val="32"/>
          <w:szCs w:val="32"/>
        </w:rPr>
      </w:pPr>
      <w:r>
        <w:rPr>
          <w:rFonts w:hint="eastAsia" w:eastAsia="仿宋_GB2312"/>
          <w:kern w:val="0"/>
          <w:sz w:val="32"/>
          <w:szCs w:val="32"/>
        </w:rPr>
        <w:t>2021年末共有机构数1个，其中全额预算单位1个，单位内设机构6个，分别为办公室、组织一室、组织二室、干部一室、干部二室、干部三室。</w:t>
      </w:r>
    </w:p>
    <w:p>
      <w:pPr>
        <w:widowControl/>
        <w:adjustRightInd w:val="0"/>
        <w:snapToGrid w:val="0"/>
        <w:spacing w:line="576" w:lineRule="exact"/>
        <w:ind w:firstLine="720"/>
        <w:jc w:val="left"/>
        <w:rPr>
          <w:rFonts w:eastAsia="仿宋_GB2312"/>
          <w:kern w:val="0"/>
          <w:sz w:val="32"/>
          <w:szCs w:val="32"/>
        </w:rPr>
      </w:pPr>
      <w:r>
        <w:rPr>
          <w:rFonts w:hint="eastAsia" w:eastAsia="仿宋_GB2312"/>
          <w:kern w:val="0"/>
          <w:sz w:val="32"/>
          <w:szCs w:val="32"/>
        </w:rPr>
        <w:t>（二）机构职能</w:t>
      </w:r>
    </w:p>
    <w:p>
      <w:pPr>
        <w:widowControl/>
        <w:adjustRightInd w:val="0"/>
        <w:snapToGrid w:val="0"/>
        <w:spacing w:line="576" w:lineRule="exact"/>
        <w:ind w:firstLine="720"/>
        <w:jc w:val="left"/>
        <w:rPr>
          <w:rFonts w:eastAsia="仿宋_GB2312"/>
          <w:kern w:val="0"/>
          <w:sz w:val="32"/>
          <w:szCs w:val="32"/>
        </w:rPr>
      </w:pPr>
      <w:r>
        <w:rPr>
          <w:rFonts w:hint="eastAsia" w:eastAsia="仿宋_GB2312"/>
          <w:kern w:val="0"/>
          <w:sz w:val="32"/>
          <w:szCs w:val="32"/>
        </w:rPr>
        <w:t>根据2019年中共金川县委办公室《关于印发&lt;中共金川县委组织部职能配置、内设机构和人员编制规定&gt;的通知》（金委办发[2019]58）文件规定，我部主要职责是：负责全县各级党组织建设；负责全县的干部管理工作；负责全县公务员工作；负责全县人才工作的宏观指导、组织协调和督促检查；负责全县干部教育培训工作的宏观指导、政策规划、组织协调和督促检查；负责全县干部监督工作的宏观指导和综合协调、制定和落实干部监督工作制度；协调、督促、检查全县老干部工作，提出老干部工作的有关政策性及贯彻实施意见；统一管理县委机构编制委员会办公室；承担县委党建领导小组、县人才工作领导小组日常工作；承办县委、州委组织部交办的其他事项。</w:t>
      </w:r>
    </w:p>
    <w:p>
      <w:pPr>
        <w:widowControl/>
        <w:adjustRightInd w:val="0"/>
        <w:snapToGrid w:val="0"/>
        <w:spacing w:line="576" w:lineRule="exact"/>
        <w:ind w:firstLine="720"/>
        <w:jc w:val="left"/>
        <w:rPr>
          <w:rFonts w:eastAsia="仿宋_GB2312"/>
          <w:kern w:val="0"/>
          <w:sz w:val="32"/>
          <w:szCs w:val="32"/>
        </w:rPr>
      </w:pPr>
      <w:r>
        <w:rPr>
          <w:rFonts w:hint="eastAsia" w:eastAsia="仿宋_GB2312"/>
          <w:kern w:val="0"/>
          <w:sz w:val="32"/>
          <w:szCs w:val="32"/>
        </w:rPr>
        <w:t>2021年末共有机构数1个，其中全额预算单位1个，单位内设机构6个，分别为办公室、组织一室、组织二室、干部一室、干部二室、干部三室。</w:t>
      </w:r>
    </w:p>
    <w:p>
      <w:pPr>
        <w:widowControl/>
        <w:adjustRightInd w:val="0"/>
        <w:snapToGrid w:val="0"/>
        <w:spacing w:line="576" w:lineRule="exact"/>
        <w:ind w:firstLine="720"/>
        <w:jc w:val="left"/>
        <w:rPr>
          <w:rFonts w:eastAsia="仿宋_GB2312"/>
          <w:kern w:val="0"/>
          <w:sz w:val="32"/>
          <w:szCs w:val="32"/>
        </w:rPr>
      </w:pPr>
      <w:r>
        <w:rPr>
          <w:rFonts w:hint="eastAsia" w:eastAsia="仿宋_GB2312"/>
          <w:kern w:val="0"/>
          <w:sz w:val="32"/>
          <w:szCs w:val="32"/>
        </w:rPr>
        <w:t>（三）人员概况</w:t>
      </w:r>
    </w:p>
    <w:p>
      <w:pPr>
        <w:widowControl/>
        <w:adjustRightInd w:val="0"/>
        <w:snapToGrid w:val="0"/>
        <w:spacing w:line="576" w:lineRule="exact"/>
        <w:ind w:firstLine="720"/>
        <w:jc w:val="left"/>
        <w:rPr>
          <w:rFonts w:eastAsia="仿宋_GB2312"/>
          <w:kern w:val="0"/>
          <w:sz w:val="32"/>
          <w:szCs w:val="32"/>
        </w:rPr>
      </w:pPr>
      <w:r>
        <w:rPr>
          <w:rFonts w:hint="eastAsia" w:eastAsia="仿宋_GB2312"/>
          <w:kern w:val="0"/>
          <w:sz w:val="32"/>
          <w:szCs w:val="32"/>
        </w:rPr>
        <w:t>总编制29名,其中：行政编制17名（包括行政工勤2名）、参照公务员法管理的事业编制6名、财政补助事业编制6名。总编制数与去年一致。年末实有在职人数22名，行政人员15名（包括行政工勤3名）、参照公务员法管理的事业人员3名，事业管理人员4人。年末实有在职人数与上年一致。</w:t>
      </w:r>
    </w:p>
    <w:p>
      <w:pPr>
        <w:widowControl/>
        <w:adjustRightInd w:val="0"/>
        <w:snapToGrid w:val="0"/>
        <w:spacing w:line="576" w:lineRule="exact"/>
        <w:ind w:firstLine="720"/>
        <w:jc w:val="left"/>
        <w:rPr>
          <w:rFonts w:eastAsia="仿宋_GB2312"/>
          <w:kern w:val="0"/>
          <w:sz w:val="32"/>
          <w:szCs w:val="32"/>
        </w:rPr>
      </w:pPr>
      <w:r>
        <w:rPr>
          <w:rFonts w:hint="eastAsia" w:eastAsia="仿宋_GB2312"/>
          <w:kern w:val="0"/>
          <w:sz w:val="32"/>
          <w:szCs w:val="32"/>
        </w:rPr>
        <w:t>二、部门财政资金收支情况</w:t>
      </w:r>
    </w:p>
    <w:p>
      <w:pPr>
        <w:widowControl/>
        <w:adjustRightInd w:val="0"/>
        <w:snapToGrid w:val="0"/>
        <w:spacing w:line="576" w:lineRule="exact"/>
        <w:ind w:firstLine="480" w:firstLineChars="150"/>
        <w:jc w:val="left"/>
        <w:rPr>
          <w:rFonts w:eastAsia="仿宋_GB2312"/>
          <w:kern w:val="0"/>
          <w:sz w:val="32"/>
          <w:szCs w:val="32"/>
          <w:lang w:val="zh-CN"/>
        </w:rPr>
      </w:pPr>
      <w:r>
        <w:rPr>
          <w:rFonts w:hint="eastAsia" w:eastAsia="仿宋_GB2312"/>
          <w:kern w:val="0"/>
          <w:sz w:val="32"/>
          <w:szCs w:val="32"/>
          <w:lang w:val="zh-CN"/>
        </w:rPr>
        <w:t>（一）部门财政资金收入情况。</w:t>
      </w:r>
    </w:p>
    <w:p>
      <w:pPr>
        <w:snapToGrid w:val="0"/>
        <w:spacing w:line="576" w:lineRule="exact"/>
        <w:ind w:firstLine="640" w:firstLineChars="200"/>
        <w:rPr>
          <w:rFonts w:eastAsia="仿宋_GB2312"/>
          <w:kern w:val="0"/>
          <w:sz w:val="32"/>
          <w:szCs w:val="32"/>
        </w:rPr>
      </w:pPr>
      <w:r>
        <w:rPr>
          <w:rFonts w:hint="eastAsia" w:eastAsia="仿宋_GB2312"/>
          <w:kern w:val="0"/>
          <w:sz w:val="32"/>
          <w:szCs w:val="32"/>
        </w:rPr>
        <w:t>我部2021年收入合计1225.3万元，其中：一般公共预算财政拨款收入1225.3万元，占100%；政府性基金预算财政拨款收入0元，占0%；国有资本经营预算财政拨款收入0万元，占0%；事业收入0万元，占0%；经营收入0万元，占0%；附属单位上缴收入0万元，占0%；其他收入0万元，占0%。</w:t>
      </w:r>
    </w:p>
    <w:p>
      <w:pPr>
        <w:widowControl/>
        <w:adjustRightInd w:val="0"/>
        <w:snapToGrid w:val="0"/>
        <w:spacing w:line="576" w:lineRule="exact"/>
        <w:ind w:firstLine="480" w:firstLineChars="150"/>
        <w:jc w:val="left"/>
        <w:rPr>
          <w:rFonts w:eastAsia="仿宋_GB2312"/>
          <w:kern w:val="0"/>
          <w:sz w:val="32"/>
          <w:szCs w:val="32"/>
          <w:lang w:val="zh-CN"/>
        </w:rPr>
      </w:pPr>
      <w:r>
        <w:rPr>
          <w:rFonts w:hint="eastAsia" w:eastAsia="仿宋_GB2312"/>
          <w:kern w:val="0"/>
          <w:sz w:val="32"/>
          <w:szCs w:val="32"/>
          <w:lang w:val="zh-CN"/>
        </w:rPr>
        <w:t>（二）部门财政资金支出情况。</w:t>
      </w:r>
    </w:p>
    <w:p>
      <w:pPr>
        <w:widowControl/>
        <w:adjustRightInd w:val="0"/>
        <w:snapToGrid w:val="0"/>
        <w:spacing w:line="576" w:lineRule="exact"/>
        <w:ind w:firstLine="720"/>
        <w:jc w:val="left"/>
        <w:rPr>
          <w:rFonts w:eastAsia="仿宋_GB2312"/>
          <w:kern w:val="0"/>
          <w:sz w:val="32"/>
          <w:szCs w:val="32"/>
        </w:rPr>
      </w:pPr>
      <w:r>
        <w:rPr>
          <w:rFonts w:hint="eastAsia" w:eastAsia="仿宋_GB2312"/>
          <w:kern w:val="0"/>
          <w:sz w:val="32"/>
          <w:szCs w:val="32"/>
        </w:rPr>
        <w:t>我部2021年支出合计1271.99万元，一般公共预算财政拨款基本支出578.33万元、项目支出693.66万元。其中：</w:t>
      </w:r>
    </w:p>
    <w:p>
      <w:pPr>
        <w:widowControl/>
        <w:adjustRightInd w:val="0"/>
        <w:snapToGrid w:val="0"/>
        <w:spacing w:line="576" w:lineRule="exact"/>
        <w:ind w:firstLine="720"/>
        <w:jc w:val="left"/>
        <w:rPr>
          <w:rFonts w:eastAsia="仿宋_GB2312"/>
          <w:kern w:val="0"/>
          <w:sz w:val="32"/>
          <w:szCs w:val="32"/>
        </w:rPr>
      </w:pPr>
      <w:r>
        <w:rPr>
          <w:rFonts w:hint="eastAsia" w:eastAsia="仿宋_GB2312"/>
          <w:kern w:val="0"/>
          <w:sz w:val="32"/>
          <w:szCs w:val="32"/>
        </w:rPr>
        <w:t>人员经费514.61万元，主要包括：基本工资82.49万元、津贴补贴132.35万元、奖金6.52万元、机关事业单位基本养老保险缴费31.16万元、职业年金缴费15.58万元、职工基本医疗保险缴费15.4万元、公务员医疗补助缴费5.5万元、其他社会保障缴费0.76万元、住房公积金32.19万元、奖励金184.29万元和生活补助8.37万元等。</w:t>
      </w:r>
    </w:p>
    <w:p>
      <w:pPr>
        <w:widowControl/>
        <w:adjustRightInd w:val="0"/>
        <w:snapToGrid w:val="0"/>
        <w:spacing w:line="576" w:lineRule="exact"/>
        <w:ind w:firstLine="720"/>
        <w:jc w:val="left"/>
        <w:rPr>
          <w:rFonts w:eastAsia="仿宋_GB2312"/>
          <w:kern w:val="0"/>
          <w:sz w:val="32"/>
          <w:szCs w:val="32"/>
        </w:rPr>
      </w:pPr>
      <w:r>
        <w:rPr>
          <w:rFonts w:hint="eastAsia" w:eastAsia="仿宋_GB2312"/>
          <w:kern w:val="0"/>
          <w:sz w:val="32"/>
          <w:szCs w:val="32"/>
        </w:rPr>
        <w:t>公用经费63.72万元，主要包括：办公费27.09万元、水费0.4万元、电费1.5万元、邮电费2万元、差旅费17.12万元、维修（护）费5万元、公务接待费0.34万元、福利费1.27万元和公务用车运行维护费9万元等。</w:t>
      </w:r>
    </w:p>
    <w:p>
      <w:pPr>
        <w:widowControl/>
        <w:adjustRightInd w:val="0"/>
        <w:snapToGrid w:val="0"/>
        <w:spacing w:line="576" w:lineRule="exact"/>
        <w:ind w:firstLine="720"/>
        <w:jc w:val="left"/>
        <w:rPr>
          <w:rFonts w:eastAsia="仿宋_GB2312"/>
          <w:kern w:val="0"/>
          <w:sz w:val="32"/>
          <w:szCs w:val="32"/>
        </w:rPr>
      </w:pPr>
      <w:r>
        <w:rPr>
          <w:rFonts w:hint="eastAsia" w:eastAsia="仿宋_GB2312"/>
          <w:kern w:val="0"/>
          <w:sz w:val="32"/>
          <w:szCs w:val="32"/>
        </w:rPr>
        <w:t>项目支出693.66万元，主要包括：县乡换届、两新党支部成立、两优一先评选、干部群众心连心平台、9+3教育计划派驻管理、关工委工作等工作经费89.06万元；人才和党员的培训费46.95万元； 深度贫困县千名紧缺专业人才经费（财返）19万元；基层治理工作经费10万元；涉农整合资金咯尔乡金江村47.1万元；旅游扶贫项目建设（财返）沙尔乡沙尔尼村、咯尔乡金江村、庆宁乡新沙村7.14万元； 村集体经济建设项目（财返）二嘎里乡白塔村3万元；驻村工作队经费281.92万元；村集体经济建设项目（含财返）咯尔乡、勒乌镇、安宁镇、马奈镇、二嘎里乡、沙尔乡67.8万元；东西部对口资金及春慰经费121.69万元。</w:t>
      </w:r>
    </w:p>
    <w:p>
      <w:pPr>
        <w:widowControl/>
        <w:adjustRightInd w:val="0"/>
        <w:snapToGrid w:val="0"/>
        <w:spacing w:line="576" w:lineRule="exact"/>
        <w:ind w:firstLine="720"/>
        <w:jc w:val="left"/>
        <w:rPr>
          <w:rFonts w:eastAsia="仿宋_GB2312"/>
          <w:kern w:val="0"/>
          <w:sz w:val="32"/>
          <w:szCs w:val="32"/>
        </w:rPr>
      </w:pPr>
      <w:r>
        <w:rPr>
          <w:rFonts w:hint="eastAsia" w:eastAsia="仿宋_GB2312"/>
          <w:kern w:val="0"/>
          <w:sz w:val="32"/>
          <w:szCs w:val="32"/>
        </w:rPr>
        <w:t>三、部门整体预算绩效管理情况</w:t>
      </w:r>
    </w:p>
    <w:p>
      <w:pPr>
        <w:widowControl/>
        <w:adjustRightInd w:val="0"/>
        <w:snapToGrid w:val="0"/>
        <w:spacing w:line="576" w:lineRule="exact"/>
        <w:ind w:firstLine="720"/>
        <w:jc w:val="left"/>
        <w:rPr>
          <w:rFonts w:eastAsia="仿宋_GB2312"/>
          <w:kern w:val="0"/>
          <w:sz w:val="32"/>
          <w:szCs w:val="32"/>
          <w:lang w:val="zh-CN"/>
        </w:rPr>
      </w:pPr>
      <w:r>
        <w:rPr>
          <w:rFonts w:hint="eastAsia" w:eastAsia="仿宋_GB2312"/>
          <w:kern w:val="0"/>
          <w:sz w:val="32"/>
          <w:szCs w:val="32"/>
          <w:lang w:val="zh-CN"/>
        </w:rPr>
        <w:t>（一）部门预算管理。</w:t>
      </w:r>
    </w:p>
    <w:p>
      <w:pPr>
        <w:widowControl/>
        <w:adjustRightInd w:val="0"/>
        <w:snapToGrid w:val="0"/>
        <w:spacing w:line="576" w:lineRule="exact"/>
        <w:ind w:firstLine="640" w:firstLineChars="200"/>
        <w:jc w:val="left"/>
        <w:rPr>
          <w:rFonts w:eastAsia="仿宋_GB2312"/>
          <w:kern w:val="0"/>
          <w:sz w:val="32"/>
          <w:szCs w:val="32"/>
        </w:rPr>
      </w:pPr>
      <w:r>
        <w:rPr>
          <w:rFonts w:hint="eastAsia" w:eastAsia="仿宋_GB2312"/>
          <w:kern w:val="0"/>
          <w:sz w:val="32"/>
          <w:szCs w:val="32"/>
        </w:rPr>
        <w:t>按照综合预算的编制原则，保证预算编制质量，中共金川县委组织部所有收入和支出均纳入财政预算管理，公用经费按人员数进行编制，其它经费严格按照有关预算法执行。</w:t>
      </w:r>
    </w:p>
    <w:p>
      <w:pPr>
        <w:widowControl/>
        <w:adjustRightInd w:val="0"/>
        <w:snapToGrid w:val="0"/>
        <w:spacing w:line="576" w:lineRule="exact"/>
        <w:ind w:firstLine="720"/>
        <w:jc w:val="left"/>
        <w:rPr>
          <w:rFonts w:eastAsia="仿宋_GB2312"/>
          <w:kern w:val="0"/>
          <w:sz w:val="32"/>
          <w:szCs w:val="32"/>
        </w:rPr>
      </w:pPr>
      <w:r>
        <w:rPr>
          <w:rFonts w:hint="eastAsia" w:eastAsia="仿宋_GB2312"/>
          <w:kern w:val="0"/>
          <w:sz w:val="32"/>
          <w:szCs w:val="32"/>
        </w:rPr>
        <w:t>2021年预算按当年10月实有人数29人，2021年公用经费33.36万元（编制方法：12000元/人/年×行政23人＝276000元，再加上9600元/人/年×事业6人＝57600元），由县财政预算下达中共金川县委组织部使用执行。</w:t>
      </w:r>
    </w:p>
    <w:p>
      <w:pPr>
        <w:widowControl/>
        <w:adjustRightInd w:val="0"/>
        <w:snapToGrid w:val="0"/>
        <w:spacing w:line="576" w:lineRule="exact"/>
        <w:ind w:firstLine="720"/>
        <w:jc w:val="left"/>
        <w:rPr>
          <w:rFonts w:eastAsia="仿宋_GB2312"/>
          <w:kern w:val="0"/>
          <w:sz w:val="32"/>
          <w:szCs w:val="32"/>
          <w:lang w:val="zh-CN"/>
        </w:rPr>
      </w:pPr>
      <w:r>
        <w:rPr>
          <w:rFonts w:hint="eastAsia" w:eastAsia="仿宋_GB2312"/>
          <w:kern w:val="0"/>
          <w:sz w:val="32"/>
          <w:szCs w:val="32"/>
          <w:lang w:val="zh-CN"/>
        </w:rPr>
        <w:t>（二）结果应用情况。</w:t>
      </w:r>
      <w:r>
        <w:rPr>
          <w:rFonts w:hint="eastAsia" w:eastAsia="仿宋_GB2312"/>
          <w:kern w:val="0"/>
          <w:sz w:val="32"/>
          <w:szCs w:val="32"/>
          <w:lang w:val="zh-CN"/>
        </w:rPr>
        <w:tab/>
      </w:r>
    </w:p>
    <w:p>
      <w:pPr>
        <w:widowControl/>
        <w:adjustRightInd w:val="0"/>
        <w:snapToGrid w:val="0"/>
        <w:spacing w:line="576" w:lineRule="exact"/>
        <w:ind w:firstLine="640" w:firstLineChars="200"/>
        <w:jc w:val="left"/>
        <w:rPr>
          <w:rFonts w:eastAsia="仿宋_GB2312"/>
          <w:kern w:val="0"/>
          <w:sz w:val="32"/>
          <w:szCs w:val="32"/>
        </w:rPr>
      </w:pPr>
      <w:r>
        <w:rPr>
          <w:rFonts w:hint="eastAsia" w:eastAsia="仿宋_GB2312"/>
          <w:kern w:val="0"/>
          <w:sz w:val="32"/>
          <w:szCs w:val="32"/>
        </w:rPr>
        <w:t>1.预算执行情况：所有预算严格按照预算法执行，我部存在预算下达后增加人员、组织工作临时工作多，因此年初预算和当年决算数相比人员经费和公用经费没有达到只减不增要求。预算经费中人员经费是按月拔付，公用经费在预算指标内按需求拔付。</w:t>
      </w:r>
    </w:p>
    <w:p>
      <w:pPr>
        <w:widowControl/>
        <w:adjustRightInd w:val="0"/>
        <w:snapToGrid w:val="0"/>
        <w:spacing w:line="576" w:lineRule="exact"/>
        <w:ind w:firstLine="640" w:firstLineChars="200"/>
        <w:jc w:val="left"/>
        <w:rPr>
          <w:rFonts w:eastAsia="仿宋_GB2312"/>
          <w:kern w:val="0"/>
          <w:sz w:val="32"/>
          <w:szCs w:val="32"/>
        </w:rPr>
      </w:pPr>
      <w:r>
        <w:rPr>
          <w:rFonts w:hint="eastAsia" w:eastAsia="仿宋_GB2312"/>
          <w:kern w:val="0"/>
          <w:sz w:val="32"/>
          <w:szCs w:val="32"/>
        </w:rPr>
        <w:t>2.三公经费预算执行情况;</w:t>
      </w:r>
    </w:p>
    <w:p>
      <w:pPr>
        <w:widowControl/>
        <w:adjustRightInd w:val="0"/>
        <w:snapToGrid w:val="0"/>
        <w:spacing w:line="576" w:lineRule="exact"/>
        <w:ind w:firstLine="640" w:firstLineChars="200"/>
        <w:jc w:val="left"/>
        <w:rPr>
          <w:rFonts w:eastAsia="仿宋_GB2312"/>
          <w:kern w:val="0"/>
          <w:sz w:val="32"/>
          <w:szCs w:val="32"/>
        </w:rPr>
      </w:pPr>
      <w:r>
        <w:rPr>
          <w:rFonts w:hint="eastAsia" w:eastAsia="仿宋_GB2312"/>
          <w:kern w:val="0"/>
          <w:sz w:val="32"/>
          <w:szCs w:val="32"/>
        </w:rPr>
        <w:t>2021年“三公”经费:2020年公务接待费0.34万元，公务用车运行维护费9万元。</w:t>
      </w:r>
    </w:p>
    <w:p>
      <w:pPr>
        <w:widowControl/>
        <w:adjustRightInd w:val="0"/>
        <w:snapToGrid w:val="0"/>
        <w:spacing w:line="576" w:lineRule="exact"/>
        <w:ind w:firstLine="640" w:firstLineChars="200"/>
        <w:jc w:val="left"/>
        <w:rPr>
          <w:rFonts w:eastAsia="仿宋_GB2312"/>
          <w:kern w:val="0"/>
          <w:sz w:val="32"/>
          <w:szCs w:val="32"/>
        </w:rPr>
      </w:pPr>
      <w:r>
        <w:rPr>
          <w:rFonts w:hint="eastAsia" w:eastAsia="仿宋_GB2312"/>
          <w:kern w:val="0"/>
          <w:sz w:val="32"/>
          <w:szCs w:val="32"/>
        </w:rPr>
        <w:t>3.综合管理情况。</w:t>
      </w:r>
    </w:p>
    <w:p>
      <w:pPr>
        <w:spacing w:line="576" w:lineRule="exact"/>
        <w:ind w:firstLine="640" w:firstLineChars="200"/>
        <w:rPr>
          <w:rFonts w:eastAsia="仿宋_GB2312"/>
          <w:kern w:val="0"/>
          <w:sz w:val="32"/>
          <w:szCs w:val="32"/>
          <w:lang w:val="zh-CN"/>
        </w:rPr>
      </w:pPr>
      <w:r>
        <w:rPr>
          <w:rFonts w:hint="eastAsia" w:eastAsia="仿宋_GB2312"/>
          <w:kern w:val="0"/>
          <w:sz w:val="32"/>
          <w:szCs w:val="32"/>
          <w:lang w:val="zh-CN"/>
        </w:rPr>
        <w:t>我部</w:t>
      </w:r>
      <w:r>
        <w:rPr>
          <w:rFonts w:hint="eastAsia" w:eastAsia="仿宋_GB2312"/>
          <w:kern w:val="0"/>
          <w:sz w:val="32"/>
          <w:szCs w:val="32"/>
        </w:rPr>
        <w:t>2021年无预算、支出政府采购。所有国有资产纳入</w:t>
      </w:r>
      <w:r>
        <w:rPr>
          <w:rFonts w:hint="eastAsia" w:eastAsia="仿宋_GB2312"/>
          <w:kern w:val="0"/>
          <w:sz w:val="32"/>
          <w:szCs w:val="32"/>
          <w:lang w:val="zh-CN"/>
        </w:rPr>
        <w:t>资产管理系统，及时准确上报并做好资产的管理工作。根据相关要求，单位使用预算资金基本符合相关的预算财务管理制度。我部在财政批复后</w:t>
      </w:r>
      <w:r>
        <w:rPr>
          <w:rFonts w:hint="eastAsia" w:eastAsia="仿宋_GB2312"/>
          <w:kern w:val="0"/>
          <w:sz w:val="32"/>
          <w:szCs w:val="32"/>
        </w:rPr>
        <w:t>20日内在指定网站公开预决算信息。按照相关要求进行绩效自我评价，按要求及时上报，对发现的问题提出整改措施，并整改落实到位。</w:t>
      </w:r>
      <w:r>
        <w:rPr>
          <w:rFonts w:hint="eastAsia" w:eastAsia="仿宋_GB2312"/>
          <w:kern w:val="0"/>
          <w:sz w:val="32"/>
          <w:szCs w:val="32"/>
          <w:lang w:val="zh-CN"/>
        </w:rPr>
        <w:t>绩效评价及依法接受财政监督情况等。</w:t>
      </w:r>
    </w:p>
    <w:p>
      <w:pPr>
        <w:widowControl/>
        <w:adjustRightInd w:val="0"/>
        <w:snapToGrid w:val="0"/>
        <w:spacing w:line="576" w:lineRule="exact"/>
        <w:ind w:firstLine="640" w:firstLineChars="200"/>
        <w:jc w:val="left"/>
        <w:rPr>
          <w:rFonts w:eastAsia="仿宋_GB2312"/>
          <w:kern w:val="0"/>
          <w:sz w:val="32"/>
          <w:szCs w:val="32"/>
        </w:rPr>
      </w:pPr>
      <w:r>
        <w:rPr>
          <w:rFonts w:hint="eastAsia" w:eastAsia="仿宋_GB2312"/>
          <w:kern w:val="0"/>
          <w:sz w:val="32"/>
          <w:szCs w:val="32"/>
        </w:rPr>
        <w:t>（三）整体绩效。</w:t>
      </w:r>
    </w:p>
    <w:p>
      <w:pPr>
        <w:pStyle w:val="22"/>
        <w:spacing w:line="576" w:lineRule="exact"/>
        <w:ind w:firstLine="640"/>
        <w:rPr>
          <w:rFonts w:eastAsia="仿宋_GB2312"/>
          <w:kern w:val="0"/>
          <w:sz w:val="32"/>
          <w:szCs w:val="32"/>
          <w:lang w:val="zh-CN"/>
        </w:rPr>
      </w:pPr>
      <w:r>
        <w:rPr>
          <w:rFonts w:hint="eastAsia" w:eastAsia="仿宋_GB2312"/>
          <w:kern w:val="0"/>
          <w:sz w:val="32"/>
          <w:szCs w:val="32"/>
          <w:lang w:val="zh-CN"/>
        </w:rPr>
        <w:t>我部按照规定完全履行职责，整体评价良好，服务对象基本满意从预算执行来情况看，预算资金覆盖我部工作的各个方面，按照保工资、保运转、保民生的保障序列科学编制，分配办法科学，考虑的因素必要合理，分配的结果合理，保障了人员经费及单位正常运转。在预算执行过程中单位遵守财经纪律、财务制度，坚持先有预算后支出；严格审批程序，保障了资金安全。</w:t>
      </w:r>
    </w:p>
    <w:p>
      <w:pPr>
        <w:widowControl/>
        <w:numPr>
          <w:ilvl w:val="0"/>
          <w:numId w:val="6"/>
        </w:numPr>
        <w:adjustRightInd w:val="0"/>
        <w:snapToGrid w:val="0"/>
        <w:spacing w:line="576" w:lineRule="exact"/>
        <w:ind w:firstLine="640" w:firstLineChars="200"/>
        <w:jc w:val="left"/>
        <w:rPr>
          <w:rFonts w:eastAsia="仿宋_GB2312"/>
          <w:kern w:val="0"/>
          <w:sz w:val="32"/>
          <w:szCs w:val="32"/>
        </w:rPr>
      </w:pPr>
      <w:r>
        <w:rPr>
          <w:rFonts w:hint="eastAsia" w:eastAsia="仿宋_GB2312"/>
          <w:kern w:val="0"/>
          <w:sz w:val="32"/>
          <w:szCs w:val="32"/>
        </w:rPr>
        <w:t>评价结论及建议</w:t>
      </w:r>
    </w:p>
    <w:p>
      <w:pPr>
        <w:widowControl/>
        <w:adjustRightInd w:val="0"/>
        <w:snapToGrid w:val="0"/>
        <w:spacing w:line="576" w:lineRule="exact"/>
        <w:ind w:firstLine="640" w:firstLineChars="200"/>
        <w:jc w:val="left"/>
        <w:rPr>
          <w:rFonts w:eastAsia="仿宋_GB2312"/>
          <w:kern w:val="0"/>
          <w:sz w:val="32"/>
          <w:szCs w:val="32"/>
        </w:rPr>
      </w:pPr>
      <w:r>
        <w:rPr>
          <w:rFonts w:hint="eastAsia" w:eastAsia="仿宋_GB2312"/>
          <w:kern w:val="0"/>
          <w:sz w:val="32"/>
          <w:szCs w:val="32"/>
        </w:rPr>
        <w:t>（一）评价结论</w:t>
      </w:r>
    </w:p>
    <w:p>
      <w:pPr>
        <w:spacing w:line="576" w:lineRule="exact"/>
        <w:ind w:firstLine="640" w:firstLineChars="200"/>
        <w:rPr>
          <w:rFonts w:eastAsia="仿宋_GB2312"/>
          <w:kern w:val="0"/>
          <w:sz w:val="32"/>
          <w:szCs w:val="32"/>
        </w:rPr>
      </w:pPr>
      <w:r>
        <w:rPr>
          <w:rFonts w:hint="eastAsia" w:ascii="仿宋_GB2312" w:eastAsia="仿宋_GB2312"/>
          <w:sz w:val="32"/>
          <w:szCs w:val="32"/>
        </w:rPr>
        <w:t>综上所诉，</w:t>
      </w:r>
      <w:r>
        <w:rPr>
          <w:rFonts w:hint="eastAsia" w:eastAsia="仿宋_GB2312"/>
          <w:kern w:val="0"/>
          <w:sz w:val="32"/>
          <w:szCs w:val="32"/>
        </w:rPr>
        <w:t>整体评价良好，预算支出和决算支出情况相符。</w:t>
      </w:r>
    </w:p>
    <w:p>
      <w:pPr>
        <w:widowControl/>
        <w:adjustRightInd w:val="0"/>
        <w:snapToGrid w:val="0"/>
        <w:spacing w:line="576" w:lineRule="exact"/>
        <w:ind w:firstLine="640" w:firstLineChars="200"/>
        <w:jc w:val="left"/>
        <w:rPr>
          <w:rFonts w:eastAsia="仿宋_GB2312"/>
          <w:kern w:val="0"/>
          <w:sz w:val="32"/>
          <w:szCs w:val="32"/>
        </w:rPr>
      </w:pPr>
      <w:r>
        <w:rPr>
          <w:rFonts w:hint="eastAsia" w:eastAsia="仿宋_GB2312"/>
          <w:kern w:val="0"/>
          <w:sz w:val="32"/>
          <w:szCs w:val="32"/>
        </w:rPr>
        <w:t>（二）存在问题</w:t>
      </w:r>
    </w:p>
    <w:p>
      <w:pPr>
        <w:widowControl/>
        <w:adjustRightInd w:val="0"/>
        <w:snapToGrid w:val="0"/>
        <w:spacing w:line="576" w:lineRule="exact"/>
        <w:ind w:firstLine="640" w:firstLineChars="200"/>
        <w:jc w:val="left"/>
        <w:rPr>
          <w:rFonts w:eastAsia="仿宋_GB2312"/>
          <w:kern w:val="0"/>
          <w:sz w:val="32"/>
          <w:szCs w:val="32"/>
        </w:rPr>
      </w:pPr>
      <w:r>
        <w:rPr>
          <w:rFonts w:hint="eastAsia" w:eastAsia="仿宋_GB2312"/>
          <w:kern w:val="0"/>
          <w:sz w:val="32"/>
          <w:szCs w:val="32"/>
        </w:rPr>
        <w:t>综合我部实际，收发文件、传递文件还不够及时；资产管理、公务用车和节能工作力度还应加强；财务管理制度有待加强。</w:t>
      </w:r>
    </w:p>
    <w:p>
      <w:pPr>
        <w:widowControl/>
        <w:adjustRightInd w:val="0"/>
        <w:snapToGrid w:val="0"/>
        <w:spacing w:line="576" w:lineRule="exact"/>
        <w:ind w:firstLine="640" w:firstLineChars="200"/>
        <w:jc w:val="left"/>
        <w:rPr>
          <w:rFonts w:eastAsia="仿宋_GB2312"/>
          <w:kern w:val="0"/>
          <w:sz w:val="32"/>
          <w:szCs w:val="32"/>
        </w:rPr>
      </w:pPr>
      <w:r>
        <w:rPr>
          <w:rFonts w:hint="eastAsia" w:eastAsia="仿宋_GB2312"/>
          <w:kern w:val="0"/>
          <w:sz w:val="32"/>
          <w:szCs w:val="32"/>
        </w:rPr>
        <w:t>（三）改进建议</w:t>
      </w:r>
    </w:p>
    <w:p>
      <w:pPr>
        <w:widowControl/>
        <w:adjustRightInd w:val="0"/>
        <w:snapToGrid w:val="0"/>
        <w:spacing w:line="576" w:lineRule="exact"/>
        <w:ind w:firstLine="640" w:firstLineChars="200"/>
        <w:jc w:val="left"/>
        <w:rPr>
          <w:rFonts w:eastAsia="仿宋_GB2312"/>
          <w:kern w:val="0"/>
          <w:sz w:val="32"/>
          <w:szCs w:val="32"/>
        </w:rPr>
      </w:pPr>
      <w:r>
        <w:rPr>
          <w:rFonts w:hint="eastAsia" w:eastAsia="仿宋_GB2312"/>
          <w:kern w:val="0"/>
          <w:sz w:val="32"/>
          <w:szCs w:val="32"/>
        </w:rPr>
        <w:t>1、严格按照《会计法》、《行政单位会计制度》、《行政单位财务规则》等规定执行财务核算，并结合实际情况，完整、准确地披露相关信息，尽可能地做到决算与预算相衔接。</w:t>
      </w:r>
    </w:p>
    <w:p>
      <w:pPr>
        <w:widowControl/>
        <w:adjustRightInd w:val="0"/>
        <w:snapToGrid w:val="0"/>
        <w:spacing w:line="576" w:lineRule="exact"/>
        <w:ind w:firstLine="640" w:firstLineChars="200"/>
        <w:jc w:val="left"/>
        <w:rPr>
          <w:rFonts w:eastAsia="仿宋_GB2312"/>
          <w:kern w:val="0"/>
          <w:sz w:val="32"/>
          <w:szCs w:val="32"/>
        </w:rPr>
      </w:pPr>
      <w:r>
        <w:rPr>
          <w:rFonts w:hint="eastAsia" w:eastAsia="仿宋_GB2312"/>
          <w:kern w:val="0"/>
          <w:sz w:val="32"/>
          <w:szCs w:val="32"/>
        </w:rPr>
        <w:t xml:space="preserve">2、进一步加强内部控制，加强内部管理；注重资金管理的事前、事中、事后的全过程监督，加强资金使用效率。 </w:t>
      </w:r>
    </w:p>
    <w:p>
      <w:pPr>
        <w:widowControl/>
        <w:adjustRightInd w:val="0"/>
        <w:snapToGrid w:val="0"/>
        <w:spacing w:line="576" w:lineRule="exact"/>
        <w:ind w:firstLine="640" w:firstLineChars="200"/>
        <w:jc w:val="left"/>
        <w:rPr>
          <w:rFonts w:eastAsia="仿宋_GB2312"/>
          <w:kern w:val="0"/>
          <w:sz w:val="32"/>
          <w:szCs w:val="32"/>
        </w:rPr>
      </w:pPr>
      <w:r>
        <w:rPr>
          <w:rFonts w:hint="eastAsia" w:eastAsia="仿宋_GB2312"/>
          <w:kern w:val="0"/>
          <w:sz w:val="32"/>
          <w:szCs w:val="32"/>
        </w:rPr>
        <w:t>3、加强会计核算和财务管理能力，请财政局多指导我们部门的工作，不规范的收支请及给我们指出，及时与财政局相关科室对接工作，提升工作效率。</w:t>
      </w:r>
    </w:p>
    <w:p>
      <w:pPr>
        <w:widowControl/>
        <w:adjustRightInd w:val="0"/>
        <w:snapToGrid w:val="0"/>
        <w:spacing w:line="576" w:lineRule="exact"/>
        <w:ind w:firstLine="4320" w:firstLineChars="1350"/>
        <w:jc w:val="left"/>
        <w:rPr>
          <w:rFonts w:eastAsia="仿宋_GB2312"/>
          <w:kern w:val="0"/>
          <w:sz w:val="32"/>
          <w:szCs w:val="32"/>
        </w:rPr>
      </w:pPr>
    </w:p>
    <w:p>
      <w:pPr>
        <w:widowControl/>
        <w:adjustRightInd w:val="0"/>
        <w:snapToGrid w:val="0"/>
        <w:spacing w:line="576" w:lineRule="exact"/>
        <w:ind w:firstLine="4320" w:firstLineChars="1350"/>
        <w:jc w:val="left"/>
        <w:rPr>
          <w:rFonts w:eastAsia="仿宋_GB2312"/>
          <w:kern w:val="0"/>
          <w:sz w:val="32"/>
          <w:szCs w:val="32"/>
        </w:rPr>
      </w:pPr>
    </w:p>
    <w:p>
      <w:pPr>
        <w:widowControl/>
        <w:adjustRightInd w:val="0"/>
        <w:snapToGrid w:val="0"/>
        <w:spacing w:line="576" w:lineRule="exact"/>
        <w:ind w:firstLine="4320" w:firstLineChars="1350"/>
        <w:jc w:val="left"/>
        <w:rPr>
          <w:rFonts w:eastAsia="仿宋_GB2312"/>
          <w:kern w:val="0"/>
          <w:sz w:val="32"/>
          <w:szCs w:val="32"/>
        </w:rPr>
      </w:pPr>
    </w:p>
    <w:p>
      <w:pPr>
        <w:widowControl/>
        <w:adjustRightInd w:val="0"/>
        <w:snapToGrid w:val="0"/>
        <w:spacing w:line="576" w:lineRule="exact"/>
        <w:ind w:firstLine="4320" w:firstLineChars="1350"/>
        <w:jc w:val="left"/>
        <w:rPr>
          <w:rFonts w:eastAsia="仿宋_GB2312"/>
          <w:kern w:val="0"/>
          <w:sz w:val="32"/>
          <w:szCs w:val="32"/>
        </w:rPr>
      </w:pPr>
    </w:p>
    <w:p>
      <w:pPr>
        <w:widowControl/>
        <w:adjustRightInd w:val="0"/>
        <w:snapToGrid w:val="0"/>
        <w:spacing w:line="576" w:lineRule="exact"/>
        <w:ind w:firstLine="4320" w:firstLineChars="1350"/>
        <w:jc w:val="left"/>
        <w:rPr>
          <w:rFonts w:eastAsia="仿宋_GB2312"/>
          <w:kern w:val="0"/>
          <w:sz w:val="32"/>
          <w:szCs w:val="32"/>
        </w:rPr>
      </w:pPr>
    </w:p>
    <w:p>
      <w:pPr>
        <w:widowControl/>
        <w:adjustRightInd w:val="0"/>
        <w:snapToGrid w:val="0"/>
        <w:spacing w:line="576" w:lineRule="exact"/>
        <w:ind w:firstLine="4320" w:firstLineChars="1350"/>
        <w:jc w:val="left"/>
        <w:rPr>
          <w:rFonts w:eastAsia="仿宋_GB2312"/>
          <w:kern w:val="0"/>
          <w:sz w:val="32"/>
          <w:szCs w:val="32"/>
        </w:rPr>
      </w:pPr>
    </w:p>
    <w:p>
      <w:pPr>
        <w:widowControl/>
        <w:adjustRightInd w:val="0"/>
        <w:snapToGrid w:val="0"/>
        <w:spacing w:line="576" w:lineRule="exact"/>
        <w:ind w:firstLine="4320" w:firstLineChars="1350"/>
        <w:jc w:val="left"/>
        <w:rPr>
          <w:rFonts w:eastAsia="仿宋_GB2312"/>
          <w:kern w:val="0"/>
          <w:sz w:val="32"/>
          <w:szCs w:val="32"/>
        </w:rPr>
      </w:pPr>
    </w:p>
    <w:p>
      <w:pPr>
        <w:widowControl/>
        <w:adjustRightInd w:val="0"/>
        <w:snapToGrid w:val="0"/>
        <w:spacing w:line="576" w:lineRule="exact"/>
        <w:ind w:firstLine="4320" w:firstLineChars="1350"/>
        <w:jc w:val="left"/>
        <w:rPr>
          <w:rFonts w:eastAsia="仿宋_GB2312"/>
          <w:kern w:val="0"/>
          <w:sz w:val="32"/>
          <w:szCs w:val="32"/>
        </w:rPr>
      </w:pPr>
    </w:p>
    <w:p>
      <w:pPr>
        <w:widowControl/>
        <w:adjustRightInd w:val="0"/>
        <w:snapToGrid w:val="0"/>
        <w:spacing w:line="576" w:lineRule="exact"/>
        <w:ind w:firstLine="4320" w:firstLineChars="1350"/>
        <w:jc w:val="left"/>
        <w:rPr>
          <w:rFonts w:eastAsia="仿宋_GB2312"/>
          <w:kern w:val="0"/>
          <w:sz w:val="32"/>
          <w:szCs w:val="32"/>
        </w:rPr>
      </w:pPr>
    </w:p>
    <w:p>
      <w:pPr>
        <w:widowControl/>
        <w:adjustRightInd w:val="0"/>
        <w:snapToGrid w:val="0"/>
        <w:spacing w:line="576" w:lineRule="exact"/>
        <w:ind w:firstLine="4320" w:firstLineChars="1350"/>
        <w:jc w:val="left"/>
        <w:rPr>
          <w:rFonts w:eastAsia="仿宋_GB2312"/>
          <w:kern w:val="0"/>
          <w:sz w:val="32"/>
          <w:szCs w:val="32"/>
        </w:rPr>
      </w:pPr>
    </w:p>
    <w:p>
      <w:pPr>
        <w:widowControl/>
        <w:adjustRightInd w:val="0"/>
        <w:snapToGrid w:val="0"/>
        <w:spacing w:line="576" w:lineRule="exact"/>
        <w:ind w:firstLine="4320" w:firstLineChars="1350"/>
        <w:jc w:val="left"/>
        <w:rPr>
          <w:rFonts w:eastAsia="仿宋_GB2312"/>
          <w:kern w:val="0"/>
          <w:sz w:val="32"/>
          <w:szCs w:val="32"/>
        </w:rPr>
      </w:pPr>
    </w:p>
    <w:p>
      <w:pPr>
        <w:widowControl/>
        <w:adjustRightInd w:val="0"/>
        <w:snapToGrid w:val="0"/>
        <w:spacing w:line="576" w:lineRule="exact"/>
        <w:ind w:firstLine="4320" w:firstLineChars="1350"/>
        <w:jc w:val="left"/>
        <w:rPr>
          <w:rFonts w:eastAsia="仿宋_GB2312"/>
          <w:kern w:val="0"/>
          <w:sz w:val="32"/>
          <w:szCs w:val="32"/>
        </w:rPr>
      </w:pPr>
    </w:p>
    <w:p>
      <w:pPr>
        <w:widowControl/>
        <w:adjustRightInd w:val="0"/>
        <w:snapToGrid w:val="0"/>
        <w:spacing w:line="576" w:lineRule="exact"/>
        <w:ind w:firstLine="4320" w:firstLineChars="1350"/>
        <w:jc w:val="left"/>
        <w:rPr>
          <w:rFonts w:eastAsia="仿宋_GB2312"/>
          <w:kern w:val="0"/>
          <w:sz w:val="32"/>
          <w:szCs w:val="32"/>
        </w:rPr>
      </w:pPr>
    </w:p>
    <w:p>
      <w:pPr>
        <w:widowControl/>
        <w:adjustRightInd w:val="0"/>
        <w:snapToGrid w:val="0"/>
        <w:spacing w:line="576" w:lineRule="exact"/>
        <w:ind w:firstLine="4320" w:firstLineChars="1350"/>
        <w:jc w:val="left"/>
        <w:rPr>
          <w:rFonts w:eastAsia="仿宋_GB2312"/>
          <w:kern w:val="0"/>
          <w:sz w:val="32"/>
          <w:szCs w:val="32"/>
        </w:rPr>
      </w:pPr>
    </w:p>
    <w:p>
      <w:pPr>
        <w:widowControl/>
        <w:adjustRightInd w:val="0"/>
        <w:snapToGrid w:val="0"/>
        <w:spacing w:line="576" w:lineRule="exact"/>
        <w:ind w:firstLine="4320" w:firstLineChars="1350"/>
        <w:jc w:val="left"/>
        <w:rPr>
          <w:rFonts w:eastAsia="仿宋_GB2312"/>
          <w:kern w:val="0"/>
          <w:sz w:val="32"/>
          <w:szCs w:val="32"/>
        </w:rPr>
      </w:pPr>
    </w:p>
    <w:p>
      <w:pPr>
        <w:widowControl/>
        <w:adjustRightInd w:val="0"/>
        <w:snapToGrid w:val="0"/>
        <w:spacing w:line="576" w:lineRule="exact"/>
        <w:ind w:firstLine="4320" w:firstLineChars="1350"/>
        <w:jc w:val="left"/>
        <w:rPr>
          <w:rFonts w:eastAsia="仿宋_GB2312"/>
          <w:kern w:val="0"/>
          <w:sz w:val="32"/>
          <w:szCs w:val="32"/>
        </w:rPr>
      </w:pPr>
    </w:p>
    <w:p>
      <w:pPr>
        <w:widowControl/>
        <w:adjustRightInd w:val="0"/>
        <w:snapToGrid w:val="0"/>
        <w:spacing w:line="576" w:lineRule="exact"/>
        <w:ind w:firstLine="4320" w:firstLineChars="1350"/>
        <w:jc w:val="left"/>
        <w:rPr>
          <w:rFonts w:eastAsia="仿宋_GB2312"/>
          <w:kern w:val="0"/>
          <w:sz w:val="32"/>
          <w:szCs w:val="32"/>
        </w:rPr>
      </w:pPr>
    </w:p>
    <w:p>
      <w:pPr>
        <w:widowControl/>
        <w:adjustRightInd w:val="0"/>
        <w:snapToGrid w:val="0"/>
        <w:spacing w:line="576" w:lineRule="exact"/>
        <w:ind w:firstLine="4320" w:firstLineChars="1350"/>
        <w:jc w:val="left"/>
        <w:rPr>
          <w:rFonts w:eastAsia="仿宋_GB2312"/>
          <w:kern w:val="0"/>
          <w:sz w:val="32"/>
          <w:szCs w:val="32"/>
        </w:rPr>
      </w:pPr>
    </w:p>
    <w:p>
      <w:pPr>
        <w:widowControl/>
        <w:adjustRightInd w:val="0"/>
        <w:snapToGrid w:val="0"/>
        <w:spacing w:line="576" w:lineRule="exact"/>
        <w:ind w:firstLine="4320" w:firstLineChars="1350"/>
        <w:jc w:val="left"/>
        <w:rPr>
          <w:rFonts w:eastAsia="仿宋_GB2312"/>
          <w:kern w:val="0"/>
          <w:sz w:val="32"/>
          <w:szCs w:val="32"/>
        </w:rPr>
      </w:pPr>
    </w:p>
    <w:p>
      <w:pPr>
        <w:widowControl/>
        <w:adjustRightInd w:val="0"/>
        <w:snapToGrid w:val="0"/>
        <w:spacing w:line="576" w:lineRule="exact"/>
        <w:ind w:firstLine="4320" w:firstLineChars="1350"/>
        <w:jc w:val="left"/>
        <w:rPr>
          <w:rFonts w:eastAsia="仿宋_GB2312"/>
          <w:kern w:val="0"/>
          <w:sz w:val="32"/>
          <w:szCs w:val="32"/>
        </w:rPr>
      </w:pPr>
    </w:p>
    <w:p>
      <w:pPr>
        <w:widowControl/>
        <w:adjustRightInd w:val="0"/>
        <w:snapToGrid w:val="0"/>
        <w:spacing w:line="576" w:lineRule="exact"/>
        <w:ind w:firstLine="4320" w:firstLineChars="1350"/>
        <w:jc w:val="left"/>
        <w:rPr>
          <w:rFonts w:eastAsia="仿宋_GB2312"/>
          <w:kern w:val="0"/>
          <w:sz w:val="32"/>
          <w:szCs w:val="32"/>
        </w:rPr>
      </w:pPr>
    </w:p>
    <w:p>
      <w:pPr>
        <w:widowControl/>
        <w:adjustRightInd w:val="0"/>
        <w:snapToGrid w:val="0"/>
        <w:spacing w:line="576" w:lineRule="exact"/>
        <w:ind w:firstLine="4320" w:firstLineChars="1350"/>
        <w:jc w:val="left"/>
        <w:rPr>
          <w:rFonts w:eastAsia="仿宋_GB2312"/>
          <w:kern w:val="0"/>
          <w:sz w:val="32"/>
          <w:szCs w:val="32"/>
        </w:rPr>
      </w:pPr>
    </w:p>
    <w:p>
      <w:pPr>
        <w:spacing w:line="600" w:lineRule="exact"/>
        <w:jc w:val="center"/>
        <w:outlineLvl w:val="0"/>
        <w:rPr>
          <w:rStyle w:val="16"/>
          <w:rFonts w:ascii="方正小标宋简体" w:eastAsia="方正小标宋简体"/>
          <w:b w:val="0"/>
        </w:rPr>
      </w:pPr>
      <w:r>
        <w:rPr>
          <w:rFonts w:hint="eastAsia" w:ascii="方正小标宋简体" w:eastAsia="方正小标宋简体"/>
          <w:color w:val="000000"/>
          <w:sz w:val="44"/>
          <w:szCs w:val="44"/>
        </w:rPr>
        <w:t>第</w:t>
      </w:r>
      <w:r>
        <w:rPr>
          <w:rStyle w:val="16"/>
          <w:rFonts w:hint="eastAsia" w:ascii="方正小标宋简体" w:eastAsia="方正小标宋简体"/>
          <w:b w:val="0"/>
        </w:rPr>
        <w:t>五部分 附表</w:t>
      </w:r>
    </w:p>
    <w:p>
      <w:pPr>
        <w:pStyle w:val="3"/>
        <w:spacing w:before="0" w:after="0" w:line="560" w:lineRule="exact"/>
        <w:rPr>
          <w:rFonts w:ascii="方正仿宋_GBK" w:hAnsi="方正仿宋_GBK" w:eastAsia="方正仿宋_GBK" w:cs="方正仿宋_GBK"/>
          <w:b w:val="0"/>
          <w:color w:val="000000"/>
        </w:rPr>
      </w:pPr>
      <w:bookmarkStart w:id="60" w:name="_Toc79163636"/>
      <w:bookmarkStart w:id="61" w:name="_Toc15396619"/>
      <w:bookmarkStart w:id="62" w:name="_Toc79163886"/>
      <w:r>
        <w:rPr>
          <w:rFonts w:hint="eastAsia" w:ascii="方正仿宋_GBK" w:hAnsi="方正仿宋_GBK" w:eastAsia="方正仿宋_GBK" w:cs="方正仿宋_GBK"/>
          <w:b w:val="0"/>
          <w:color w:val="000000"/>
        </w:rPr>
        <w:t>一、收</w:t>
      </w:r>
      <w:r>
        <w:rPr>
          <w:rStyle w:val="17"/>
          <w:rFonts w:hint="eastAsia" w:ascii="方正仿宋_GBK" w:hAnsi="方正仿宋_GBK" w:eastAsia="方正仿宋_GBK" w:cs="方正仿宋_GBK"/>
          <w:b w:val="0"/>
          <w:bCs/>
        </w:rPr>
        <w:t>入支出决算总表</w:t>
      </w:r>
      <w:bookmarkEnd w:id="60"/>
      <w:bookmarkEnd w:id="61"/>
      <w:bookmarkEnd w:id="62"/>
    </w:p>
    <w:p>
      <w:pPr>
        <w:pStyle w:val="3"/>
        <w:spacing w:before="0" w:after="0" w:line="560" w:lineRule="exact"/>
        <w:rPr>
          <w:rFonts w:ascii="方正仿宋_GBK" w:hAnsi="方正仿宋_GBK" w:eastAsia="方正仿宋_GBK" w:cs="方正仿宋_GBK"/>
          <w:b w:val="0"/>
          <w:color w:val="000000"/>
        </w:rPr>
      </w:pPr>
      <w:bookmarkStart w:id="63" w:name="_Toc15396620"/>
      <w:bookmarkStart w:id="64" w:name="_Toc79163637"/>
      <w:bookmarkStart w:id="65" w:name="_Toc79163887"/>
      <w:r>
        <w:rPr>
          <w:rFonts w:hint="eastAsia" w:ascii="方正仿宋_GBK" w:hAnsi="方正仿宋_GBK" w:eastAsia="方正仿宋_GBK" w:cs="方正仿宋_GBK"/>
          <w:b w:val="0"/>
          <w:color w:val="000000"/>
        </w:rPr>
        <w:t>二、收</w:t>
      </w:r>
      <w:r>
        <w:rPr>
          <w:rStyle w:val="17"/>
          <w:rFonts w:hint="eastAsia" w:ascii="方正仿宋_GBK" w:hAnsi="方正仿宋_GBK" w:eastAsia="方正仿宋_GBK" w:cs="方正仿宋_GBK"/>
          <w:b w:val="0"/>
          <w:bCs/>
        </w:rPr>
        <w:t>入决算表</w:t>
      </w:r>
      <w:bookmarkEnd w:id="63"/>
      <w:bookmarkEnd w:id="64"/>
      <w:bookmarkEnd w:id="65"/>
    </w:p>
    <w:p>
      <w:pPr>
        <w:pStyle w:val="3"/>
        <w:spacing w:before="0" w:after="0" w:line="560" w:lineRule="exact"/>
        <w:rPr>
          <w:rFonts w:ascii="方正仿宋_GBK" w:hAnsi="方正仿宋_GBK" w:eastAsia="方正仿宋_GBK" w:cs="方正仿宋_GBK"/>
          <w:b w:val="0"/>
          <w:color w:val="000000"/>
        </w:rPr>
      </w:pPr>
      <w:bookmarkStart w:id="66" w:name="_Toc15396621"/>
      <w:bookmarkStart w:id="67" w:name="_Toc79163888"/>
      <w:bookmarkStart w:id="68" w:name="_Toc79163638"/>
      <w:r>
        <w:rPr>
          <w:rStyle w:val="17"/>
          <w:rFonts w:hint="eastAsia" w:ascii="方正仿宋_GBK" w:hAnsi="方正仿宋_GBK" w:eastAsia="方正仿宋_GBK" w:cs="方正仿宋_GBK"/>
          <w:b w:val="0"/>
          <w:bCs/>
        </w:rPr>
        <w:t>三、</w:t>
      </w:r>
      <w:r>
        <w:rPr>
          <w:rFonts w:hint="eastAsia" w:ascii="方正仿宋_GBK" w:hAnsi="方正仿宋_GBK" w:eastAsia="方正仿宋_GBK" w:cs="方正仿宋_GBK"/>
          <w:b w:val="0"/>
          <w:color w:val="000000"/>
        </w:rPr>
        <w:t>支</w:t>
      </w:r>
      <w:r>
        <w:rPr>
          <w:rStyle w:val="17"/>
          <w:rFonts w:hint="eastAsia" w:ascii="方正仿宋_GBK" w:hAnsi="方正仿宋_GBK" w:eastAsia="方正仿宋_GBK" w:cs="方正仿宋_GBK"/>
          <w:b w:val="0"/>
          <w:bCs/>
        </w:rPr>
        <w:t>出决算表</w:t>
      </w:r>
      <w:bookmarkEnd w:id="66"/>
      <w:bookmarkEnd w:id="67"/>
      <w:bookmarkEnd w:id="68"/>
    </w:p>
    <w:p>
      <w:pPr>
        <w:pStyle w:val="3"/>
        <w:spacing w:before="0" w:after="0" w:line="560" w:lineRule="exact"/>
        <w:rPr>
          <w:rFonts w:ascii="方正仿宋_GBK" w:hAnsi="方正仿宋_GBK" w:eastAsia="方正仿宋_GBK" w:cs="方正仿宋_GBK"/>
          <w:b w:val="0"/>
          <w:color w:val="000000"/>
        </w:rPr>
      </w:pPr>
      <w:bookmarkStart w:id="69" w:name="_Toc15396622"/>
      <w:bookmarkStart w:id="70" w:name="_Toc79163639"/>
      <w:bookmarkStart w:id="71" w:name="_Toc79163889"/>
      <w:r>
        <w:rPr>
          <w:rStyle w:val="17"/>
          <w:rFonts w:hint="eastAsia" w:ascii="方正仿宋_GBK" w:hAnsi="方正仿宋_GBK" w:eastAsia="方正仿宋_GBK" w:cs="方正仿宋_GBK"/>
          <w:b w:val="0"/>
          <w:bCs/>
        </w:rPr>
        <w:t>四、</w:t>
      </w:r>
      <w:r>
        <w:rPr>
          <w:rFonts w:hint="eastAsia" w:ascii="方正仿宋_GBK" w:hAnsi="方正仿宋_GBK" w:eastAsia="方正仿宋_GBK" w:cs="方正仿宋_GBK"/>
          <w:b w:val="0"/>
          <w:color w:val="000000"/>
        </w:rPr>
        <w:t>财</w:t>
      </w:r>
      <w:r>
        <w:rPr>
          <w:rStyle w:val="17"/>
          <w:rFonts w:hint="eastAsia" w:ascii="方正仿宋_GBK" w:hAnsi="方正仿宋_GBK" w:eastAsia="方正仿宋_GBK" w:cs="方正仿宋_GBK"/>
          <w:b w:val="0"/>
          <w:bCs/>
        </w:rPr>
        <w:t>政拨款收入支出决算总表</w:t>
      </w:r>
      <w:bookmarkEnd w:id="69"/>
      <w:bookmarkEnd w:id="70"/>
      <w:bookmarkEnd w:id="71"/>
    </w:p>
    <w:p>
      <w:pPr>
        <w:pStyle w:val="3"/>
        <w:spacing w:before="0" w:after="0" w:line="560" w:lineRule="exact"/>
        <w:rPr>
          <w:rStyle w:val="17"/>
          <w:rFonts w:ascii="方正仿宋_GBK" w:hAnsi="方正仿宋_GBK" w:eastAsia="方正仿宋_GBK" w:cs="方正仿宋_GBK"/>
          <w:b w:val="0"/>
          <w:bCs/>
        </w:rPr>
      </w:pPr>
      <w:bookmarkStart w:id="72" w:name="_Toc15396623"/>
      <w:bookmarkStart w:id="73" w:name="_Toc79163640"/>
      <w:bookmarkStart w:id="74" w:name="_Toc79163890"/>
      <w:r>
        <w:rPr>
          <w:rStyle w:val="17"/>
          <w:rFonts w:hint="eastAsia" w:ascii="方正仿宋_GBK" w:hAnsi="方正仿宋_GBK" w:eastAsia="方正仿宋_GBK" w:cs="方正仿宋_GBK"/>
          <w:b w:val="0"/>
          <w:bCs/>
        </w:rPr>
        <w:t>五、</w:t>
      </w:r>
      <w:r>
        <w:rPr>
          <w:rFonts w:hint="eastAsia" w:ascii="方正仿宋_GBK" w:hAnsi="方正仿宋_GBK" w:eastAsia="方正仿宋_GBK" w:cs="方正仿宋_GBK"/>
          <w:b w:val="0"/>
          <w:color w:val="000000"/>
        </w:rPr>
        <w:t>财</w:t>
      </w:r>
      <w:r>
        <w:rPr>
          <w:rStyle w:val="17"/>
          <w:rFonts w:hint="eastAsia" w:ascii="方正仿宋_GBK" w:hAnsi="方正仿宋_GBK" w:eastAsia="方正仿宋_GBK" w:cs="方正仿宋_GBK"/>
          <w:b w:val="0"/>
          <w:bCs/>
        </w:rPr>
        <w:t>政拨款支出决算明细表</w:t>
      </w:r>
      <w:bookmarkEnd w:id="72"/>
      <w:bookmarkEnd w:id="73"/>
      <w:bookmarkEnd w:id="74"/>
      <w:bookmarkStart w:id="75" w:name="_Toc15396624"/>
    </w:p>
    <w:p>
      <w:pPr>
        <w:pStyle w:val="3"/>
        <w:spacing w:before="0" w:after="0" w:line="560" w:lineRule="exact"/>
        <w:rPr>
          <w:rFonts w:ascii="方正仿宋_GBK" w:hAnsi="方正仿宋_GBK" w:eastAsia="方正仿宋_GBK" w:cs="方正仿宋_GBK"/>
          <w:b w:val="0"/>
          <w:color w:val="000000"/>
        </w:rPr>
      </w:pPr>
      <w:bookmarkStart w:id="76" w:name="_Toc79163891"/>
      <w:bookmarkStart w:id="77" w:name="_Toc79163641"/>
      <w:r>
        <w:rPr>
          <w:rStyle w:val="17"/>
          <w:rFonts w:hint="eastAsia" w:ascii="方正仿宋_GBK" w:hAnsi="方正仿宋_GBK" w:eastAsia="方正仿宋_GBK" w:cs="方正仿宋_GBK"/>
          <w:b w:val="0"/>
          <w:bCs/>
        </w:rPr>
        <w:t>六、</w:t>
      </w:r>
      <w:r>
        <w:rPr>
          <w:rFonts w:hint="eastAsia" w:ascii="方正仿宋_GBK" w:hAnsi="方正仿宋_GBK" w:eastAsia="方正仿宋_GBK" w:cs="方正仿宋_GBK"/>
          <w:b w:val="0"/>
          <w:color w:val="000000"/>
        </w:rPr>
        <w:t>一</w:t>
      </w:r>
      <w:r>
        <w:rPr>
          <w:rStyle w:val="17"/>
          <w:rFonts w:hint="eastAsia" w:ascii="方正仿宋_GBK" w:hAnsi="方正仿宋_GBK" w:eastAsia="方正仿宋_GBK" w:cs="方正仿宋_GBK"/>
          <w:b w:val="0"/>
          <w:bCs/>
        </w:rPr>
        <w:t>般公共预算财政拨款支出决算表</w:t>
      </w:r>
      <w:bookmarkEnd w:id="75"/>
      <w:bookmarkEnd w:id="76"/>
      <w:bookmarkEnd w:id="77"/>
    </w:p>
    <w:p>
      <w:pPr>
        <w:pStyle w:val="3"/>
        <w:spacing w:before="0" w:after="0" w:line="560" w:lineRule="exact"/>
        <w:rPr>
          <w:rFonts w:ascii="方正仿宋_GBK" w:hAnsi="方正仿宋_GBK" w:eastAsia="方正仿宋_GBK" w:cs="方正仿宋_GBK"/>
          <w:b w:val="0"/>
          <w:color w:val="000000"/>
        </w:rPr>
      </w:pPr>
      <w:bookmarkStart w:id="78" w:name="_Toc79163892"/>
      <w:bookmarkStart w:id="79" w:name="_Toc15396625"/>
      <w:bookmarkStart w:id="80" w:name="_Toc79163642"/>
      <w:r>
        <w:rPr>
          <w:rStyle w:val="17"/>
          <w:rFonts w:hint="eastAsia" w:ascii="方正仿宋_GBK" w:hAnsi="方正仿宋_GBK" w:eastAsia="方正仿宋_GBK" w:cs="方正仿宋_GBK"/>
          <w:b w:val="0"/>
          <w:bCs/>
        </w:rPr>
        <w:t>七、</w:t>
      </w:r>
      <w:r>
        <w:rPr>
          <w:rFonts w:hint="eastAsia" w:ascii="方正仿宋_GBK" w:hAnsi="方正仿宋_GBK" w:eastAsia="方正仿宋_GBK" w:cs="方正仿宋_GBK"/>
          <w:b w:val="0"/>
          <w:color w:val="000000"/>
        </w:rPr>
        <w:t>一</w:t>
      </w:r>
      <w:r>
        <w:rPr>
          <w:rStyle w:val="17"/>
          <w:rFonts w:hint="eastAsia" w:ascii="方正仿宋_GBK" w:hAnsi="方正仿宋_GBK" w:eastAsia="方正仿宋_GBK" w:cs="方正仿宋_GBK"/>
          <w:b w:val="0"/>
          <w:bCs/>
        </w:rPr>
        <w:t>般公共预算财政拨款支出决算明细表</w:t>
      </w:r>
      <w:bookmarkEnd w:id="78"/>
      <w:bookmarkEnd w:id="79"/>
      <w:bookmarkEnd w:id="80"/>
    </w:p>
    <w:p>
      <w:pPr>
        <w:pStyle w:val="3"/>
        <w:spacing w:before="0" w:after="0" w:line="560" w:lineRule="exact"/>
        <w:rPr>
          <w:rFonts w:ascii="方正仿宋_GBK" w:hAnsi="方正仿宋_GBK" w:eastAsia="方正仿宋_GBK" w:cs="方正仿宋_GBK"/>
          <w:b w:val="0"/>
          <w:color w:val="000000"/>
        </w:rPr>
      </w:pPr>
      <w:bookmarkStart w:id="81" w:name="_Toc79163893"/>
      <w:bookmarkStart w:id="82" w:name="_Toc79163643"/>
      <w:bookmarkStart w:id="83" w:name="_Toc15396626"/>
      <w:r>
        <w:rPr>
          <w:rStyle w:val="17"/>
          <w:rFonts w:hint="eastAsia" w:ascii="方正仿宋_GBK" w:hAnsi="方正仿宋_GBK" w:eastAsia="方正仿宋_GBK" w:cs="方正仿宋_GBK"/>
          <w:b w:val="0"/>
          <w:bCs/>
        </w:rPr>
        <w:t>八、</w:t>
      </w:r>
      <w:r>
        <w:rPr>
          <w:rFonts w:hint="eastAsia" w:ascii="方正仿宋_GBK" w:hAnsi="方正仿宋_GBK" w:eastAsia="方正仿宋_GBK" w:cs="方正仿宋_GBK"/>
          <w:b w:val="0"/>
          <w:color w:val="000000"/>
        </w:rPr>
        <w:t>一</w:t>
      </w:r>
      <w:r>
        <w:rPr>
          <w:rStyle w:val="17"/>
          <w:rFonts w:hint="eastAsia" w:ascii="方正仿宋_GBK" w:hAnsi="方正仿宋_GBK" w:eastAsia="方正仿宋_GBK" w:cs="方正仿宋_GBK"/>
          <w:b w:val="0"/>
          <w:bCs/>
        </w:rPr>
        <w:t>般公共预算财政拨款基本支出决算表</w:t>
      </w:r>
      <w:bookmarkEnd w:id="81"/>
      <w:bookmarkEnd w:id="82"/>
      <w:bookmarkEnd w:id="83"/>
    </w:p>
    <w:p>
      <w:pPr>
        <w:pStyle w:val="3"/>
        <w:spacing w:before="0" w:after="0" w:line="560" w:lineRule="exact"/>
        <w:rPr>
          <w:rFonts w:ascii="方正仿宋_GBK" w:hAnsi="方正仿宋_GBK" w:eastAsia="方正仿宋_GBK" w:cs="方正仿宋_GBK"/>
          <w:b w:val="0"/>
          <w:color w:val="000000"/>
        </w:rPr>
      </w:pPr>
      <w:bookmarkStart w:id="84" w:name="_Toc79163644"/>
      <w:bookmarkStart w:id="85" w:name="_Toc15396627"/>
      <w:bookmarkStart w:id="86" w:name="_Toc79163894"/>
      <w:r>
        <w:rPr>
          <w:rStyle w:val="17"/>
          <w:rFonts w:hint="eastAsia" w:ascii="方正仿宋_GBK" w:hAnsi="方正仿宋_GBK" w:eastAsia="方正仿宋_GBK" w:cs="方正仿宋_GBK"/>
          <w:b w:val="0"/>
          <w:bCs/>
        </w:rPr>
        <w:t>九、</w:t>
      </w:r>
      <w:r>
        <w:rPr>
          <w:rFonts w:hint="eastAsia" w:ascii="方正仿宋_GBK" w:hAnsi="方正仿宋_GBK" w:eastAsia="方正仿宋_GBK" w:cs="方正仿宋_GBK"/>
          <w:b w:val="0"/>
          <w:color w:val="000000"/>
        </w:rPr>
        <w:t>一</w:t>
      </w:r>
      <w:r>
        <w:rPr>
          <w:rStyle w:val="17"/>
          <w:rFonts w:hint="eastAsia" w:ascii="方正仿宋_GBK" w:hAnsi="方正仿宋_GBK" w:eastAsia="方正仿宋_GBK" w:cs="方正仿宋_GBK"/>
          <w:b w:val="0"/>
          <w:bCs/>
        </w:rPr>
        <w:t>般公共预算财政拨款项目支出决算表</w:t>
      </w:r>
      <w:bookmarkEnd w:id="84"/>
      <w:bookmarkEnd w:id="85"/>
      <w:bookmarkEnd w:id="86"/>
    </w:p>
    <w:p>
      <w:pPr>
        <w:pStyle w:val="3"/>
        <w:spacing w:before="0" w:after="0" w:line="560" w:lineRule="exact"/>
        <w:rPr>
          <w:rFonts w:ascii="方正仿宋_GBK" w:hAnsi="方正仿宋_GBK" w:eastAsia="方正仿宋_GBK" w:cs="方正仿宋_GBK"/>
          <w:b w:val="0"/>
          <w:color w:val="000000"/>
        </w:rPr>
      </w:pPr>
      <w:bookmarkStart w:id="87" w:name="_Toc79163895"/>
      <w:bookmarkStart w:id="88" w:name="_Toc79163645"/>
      <w:bookmarkStart w:id="89" w:name="_Toc15396628"/>
      <w:r>
        <w:rPr>
          <w:rStyle w:val="17"/>
          <w:rFonts w:hint="eastAsia" w:ascii="方正仿宋_GBK" w:hAnsi="方正仿宋_GBK" w:eastAsia="方正仿宋_GBK" w:cs="方正仿宋_GBK"/>
          <w:b w:val="0"/>
          <w:bCs/>
        </w:rPr>
        <w:t>十、</w:t>
      </w:r>
      <w:r>
        <w:rPr>
          <w:rFonts w:hint="eastAsia" w:ascii="方正仿宋_GBK" w:hAnsi="方正仿宋_GBK" w:eastAsia="方正仿宋_GBK" w:cs="方正仿宋_GBK"/>
          <w:b w:val="0"/>
          <w:color w:val="000000"/>
        </w:rPr>
        <w:t>一</w:t>
      </w:r>
      <w:r>
        <w:rPr>
          <w:rStyle w:val="17"/>
          <w:rFonts w:hint="eastAsia" w:ascii="方正仿宋_GBK" w:hAnsi="方正仿宋_GBK" w:eastAsia="方正仿宋_GBK" w:cs="方正仿宋_GBK"/>
          <w:b w:val="0"/>
          <w:bCs/>
        </w:rPr>
        <w:t>般公共预算财政拨款“三公”经费支出决算表</w:t>
      </w:r>
      <w:bookmarkEnd w:id="87"/>
      <w:bookmarkEnd w:id="88"/>
      <w:bookmarkEnd w:id="89"/>
    </w:p>
    <w:p>
      <w:pPr>
        <w:pStyle w:val="3"/>
        <w:spacing w:before="0" w:after="0" w:line="560" w:lineRule="exact"/>
        <w:rPr>
          <w:rFonts w:ascii="方正仿宋_GBK" w:hAnsi="方正仿宋_GBK" w:eastAsia="方正仿宋_GBK" w:cs="方正仿宋_GBK"/>
          <w:b w:val="0"/>
          <w:color w:val="000000"/>
        </w:rPr>
      </w:pPr>
      <w:bookmarkStart w:id="90" w:name="_Toc15396629"/>
      <w:bookmarkStart w:id="91" w:name="_Toc79163646"/>
      <w:bookmarkStart w:id="92" w:name="_Toc79163896"/>
      <w:r>
        <w:rPr>
          <w:rStyle w:val="17"/>
          <w:rFonts w:hint="eastAsia" w:ascii="方正仿宋_GBK" w:hAnsi="方正仿宋_GBK" w:eastAsia="方正仿宋_GBK" w:cs="方正仿宋_GBK"/>
          <w:b w:val="0"/>
          <w:bCs/>
        </w:rPr>
        <w:t>十一、</w:t>
      </w:r>
      <w:r>
        <w:rPr>
          <w:rFonts w:hint="eastAsia" w:ascii="方正仿宋_GBK" w:hAnsi="方正仿宋_GBK" w:eastAsia="方正仿宋_GBK" w:cs="方正仿宋_GBK"/>
          <w:b w:val="0"/>
          <w:color w:val="000000"/>
        </w:rPr>
        <w:t>政</w:t>
      </w:r>
      <w:r>
        <w:rPr>
          <w:rStyle w:val="17"/>
          <w:rFonts w:hint="eastAsia" w:ascii="方正仿宋_GBK" w:hAnsi="方正仿宋_GBK" w:eastAsia="方正仿宋_GBK" w:cs="方正仿宋_GBK"/>
          <w:b w:val="0"/>
          <w:bCs/>
        </w:rPr>
        <w:t>府性基金预算财政拨款收入支出决算表</w:t>
      </w:r>
      <w:bookmarkEnd w:id="90"/>
      <w:bookmarkEnd w:id="91"/>
      <w:bookmarkEnd w:id="92"/>
    </w:p>
    <w:p>
      <w:pPr>
        <w:pStyle w:val="3"/>
        <w:spacing w:before="0" w:after="0" w:line="560" w:lineRule="exact"/>
        <w:rPr>
          <w:rFonts w:ascii="方正仿宋_GBK" w:hAnsi="方正仿宋_GBK" w:eastAsia="方正仿宋_GBK" w:cs="方正仿宋_GBK"/>
          <w:b w:val="0"/>
          <w:color w:val="000000"/>
        </w:rPr>
      </w:pPr>
      <w:bookmarkStart w:id="93" w:name="_Toc79163897"/>
      <w:bookmarkStart w:id="94" w:name="_Toc79163647"/>
      <w:bookmarkStart w:id="95" w:name="_Toc15396630"/>
      <w:r>
        <w:rPr>
          <w:rStyle w:val="17"/>
          <w:rFonts w:hint="eastAsia" w:ascii="方正仿宋_GBK" w:hAnsi="方正仿宋_GBK" w:eastAsia="方正仿宋_GBK" w:cs="方正仿宋_GBK"/>
          <w:b w:val="0"/>
          <w:bCs/>
        </w:rPr>
        <w:t>十二、</w:t>
      </w:r>
      <w:r>
        <w:rPr>
          <w:rFonts w:hint="eastAsia" w:ascii="方正仿宋_GBK" w:hAnsi="方正仿宋_GBK" w:eastAsia="方正仿宋_GBK" w:cs="方正仿宋_GBK"/>
          <w:b w:val="0"/>
          <w:color w:val="000000"/>
        </w:rPr>
        <w:t>政</w:t>
      </w:r>
      <w:r>
        <w:rPr>
          <w:rStyle w:val="17"/>
          <w:rFonts w:hint="eastAsia" w:ascii="方正仿宋_GBK" w:hAnsi="方正仿宋_GBK" w:eastAsia="方正仿宋_GBK" w:cs="方正仿宋_GBK"/>
          <w:b w:val="0"/>
          <w:bCs/>
        </w:rPr>
        <w:t>府性基金预算财政拨款“三公”经费支出决算表</w:t>
      </w:r>
      <w:bookmarkEnd w:id="93"/>
      <w:bookmarkEnd w:id="94"/>
      <w:bookmarkEnd w:id="95"/>
    </w:p>
    <w:p>
      <w:pPr>
        <w:pStyle w:val="3"/>
        <w:spacing w:before="0" w:after="0" w:line="560" w:lineRule="exact"/>
        <w:rPr>
          <w:rStyle w:val="17"/>
          <w:rFonts w:ascii="方正仿宋_GBK" w:hAnsi="方正仿宋_GBK" w:eastAsia="方正仿宋_GBK" w:cs="方正仿宋_GBK"/>
          <w:b w:val="0"/>
          <w:bCs/>
        </w:rPr>
      </w:pPr>
      <w:bookmarkStart w:id="96" w:name="_Toc15396631"/>
      <w:bookmarkStart w:id="97" w:name="_Toc79163898"/>
      <w:bookmarkStart w:id="98" w:name="_Toc79163648"/>
      <w:r>
        <w:rPr>
          <w:rStyle w:val="17"/>
          <w:rFonts w:hint="eastAsia" w:ascii="方正仿宋_GBK" w:hAnsi="方正仿宋_GBK" w:eastAsia="方正仿宋_GBK" w:cs="方正仿宋_GBK"/>
          <w:b w:val="0"/>
          <w:bCs/>
        </w:rPr>
        <w:t>十三、</w:t>
      </w:r>
      <w:r>
        <w:rPr>
          <w:rFonts w:hint="eastAsia" w:ascii="方正仿宋_GBK" w:hAnsi="方正仿宋_GBK" w:eastAsia="方正仿宋_GBK" w:cs="方正仿宋_GBK"/>
          <w:b w:val="0"/>
          <w:color w:val="000000"/>
        </w:rPr>
        <w:t>国</w:t>
      </w:r>
      <w:r>
        <w:rPr>
          <w:rStyle w:val="17"/>
          <w:rFonts w:hint="eastAsia" w:ascii="方正仿宋_GBK" w:hAnsi="方正仿宋_GBK" w:eastAsia="方正仿宋_GBK" w:cs="方正仿宋_GBK"/>
          <w:b w:val="0"/>
          <w:bCs/>
        </w:rPr>
        <w:t>有资本经营预算财政拨款支出决算表</w:t>
      </w:r>
      <w:bookmarkEnd w:id="96"/>
      <w:bookmarkEnd w:id="97"/>
      <w:bookmarkEnd w:id="98"/>
    </w:p>
    <w:p>
      <w:pPr>
        <w:pStyle w:val="3"/>
        <w:spacing w:before="0" w:after="0" w:line="560" w:lineRule="exact"/>
        <w:rPr>
          <w:rStyle w:val="17"/>
          <w:rFonts w:ascii="方正仿宋_GBK" w:hAnsi="方正仿宋_GBK" w:eastAsia="方正仿宋_GBK" w:cs="方正仿宋_GBK"/>
          <w:b w:val="0"/>
          <w:bCs/>
        </w:rPr>
      </w:pPr>
      <w:bookmarkStart w:id="99" w:name="_Toc79163899"/>
      <w:bookmarkStart w:id="100" w:name="_Toc79163649"/>
      <w:r>
        <w:rPr>
          <w:rStyle w:val="17"/>
          <w:rFonts w:hint="eastAsia" w:ascii="方正仿宋_GBK" w:hAnsi="方正仿宋_GBK" w:eastAsia="方正仿宋_GBK" w:cs="方正仿宋_GBK"/>
          <w:b w:val="0"/>
          <w:bCs/>
        </w:rPr>
        <w:t>十四、国有资本经营预算财政拨款支出决算表</w:t>
      </w:r>
      <w:bookmarkEnd w:id="99"/>
      <w:bookmarkEnd w:id="100"/>
    </w:p>
    <w:p>
      <w:pPr>
        <w:widowControl/>
        <w:adjustRightInd w:val="0"/>
        <w:snapToGrid w:val="0"/>
        <w:spacing w:line="576" w:lineRule="exact"/>
        <w:ind w:firstLine="4320" w:firstLineChars="1350"/>
        <w:jc w:val="left"/>
        <w:rPr>
          <w:rFonts w:eastAsia="仿宋_GB2312"/>
          <w:kern w:val="0"/>
          <w:sz w:val="32"/>
          <w:szCs w:val="32"/>
        </w:rPr>
      </w:pPr>
    </w:p>
    <w:p>
      <w:pPr>
        <w:widowControl/>
        <w:adjustRightInd w:val="0"/>
        <w:snapToGrid w:val="0"/>
        <w:spacing w:line="576" w:lineRule="exact"/>
        <w:ind w:firstLine="4960" w:firstLineChars="1550"/>
        <w:jc w:val="left"/>
        <w:rPr>
          <w:rFonts w:eastAsia="仿宋_GB2312"/>
          <w:kern w:val="0"/>
          <w:sz w:val="32"/>
          <w:szCs w:val="32"/>
        </w:rPr>
      </w:pPr>
    </w:p>
    <w:p>
      <w:pPr>
        <w:rPr>
          <w:rFonts w:eastAsia="仿宋_GB2312"/>
          <w:kern w:val="0"/>
          <w:sz w:val="32"/>
          <w:szCs w:val="32"/>
        </w:rPr>
      </w:pPr>
    </w:p>
    <w:sectPr>
      <w:headerReference r:id="rId3" w:type="default"/>
      <w:footerReference r:id="rId4" w:type="default"/>
      <w:pgSz w:w="11906" w:h="16838"/>
      <w:pgMar w:top="1440" w:right="1800" w:bottom="1440" w:left="1800" w:header="851" w:footer="992" w:gutter="0"/>
      <w:pgNumType w:start="1"/>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楷体_GB2312">
    <w:altName w:val="楷体"/>
    <w:panose1 w:val="00000000000000000000"/>
    <w:charset w:val="86"/>
    <w:family w:val="modern"/>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631135400"/>
      <w:docPartList>
        <w:docPartGallery w:val="Quick Parts"/>
      </w:docPartList>
    </w:sdtPr>
    <w:sdtContent>
      <w:p>
        <w:pPr>
          <w:pStyle w:val="8"/>
          <w:jc w:val="center"/>
        </w:pPr>
        <w:r>
          <w:fldChar w:fldCharType="begin"/>
        </w:r>
        <w:r>
          <w:instrText xml:space="preserve">PAGE   \* MERGEFORMAT</w:instrText>
        </w:r>
        <w:r>
          <w:fldChar w:fldCharType="separate"/>
        </w:r>
        <w:r>
          <w:rPr>
            <w:lang w:val="zh-CN"/>
          </w:rPr>
          <w:t>2</w:t>
        </w:r>
        <w:r>
          <w:rPr>
            <w:lang w:val="zh-CN"/>
          </w:rPr>
          <w:fldChar w:fldCharType="end"/>
        </w:r>
      </w:p>
    </w:sdtContent>
  </w:sdt>
  <w:p>
    <w:pPr>
      <w:pStyle w:val="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2FA047D"/>
    <w:multiLevelType w:val="singleLevel"/>
    <w:tmpl w:val="E2FA047D"/>
    <w:lvl w:ilvl="0" w:tentative="0">
      <w:start w:val="3"/>
      <w:numFmt w:val="chineseCounting"/>
      <w:suff w:val="space"/>
      <w:lvlText w:val="第%1部分"/>
      <w:lvlJc w:val="left"/>
      <w:pPr>
        <w:tabs>
          <w:tab w:val="left" w:pos="0"/>
        </w:tabs>
        <w:ind w:left="0" w:firstLine="0"/>
      </w:pPr>
      <w:rPr>
        <w:rFonts w:hint="eastAsia"/>
      </w:rPr>
    </w:lvl>
  </w:abstractNum>
  <w:abstractNum w:abstractNumId="1">
    <w:nsid w:val="EC0BEF30"/>
    <w:multiLevelType w:val="singleLevel"/>
    <w:tmpl w:val="EC0BEF30"/>
    <w:lvl w:ilvl="0" w:tentative="0">
      <w:start w:val="1"/>
      <w:numFmt w:val="chineseCounting"/>
      <w:suff w:val="nothing"/>
      <w:lvlText w:val="（%1）"/>
      <w:lvlJc w:val="left"/>
      <w:pPr>
        <w:tabs>
          <w:tab w:val="left" w:pos="0"/>
        </w:tabs>
        <w:ind w:left="0" w:firstLine="0"/>
      </w:pPr>
      <w:rPr>
        <w:rFonts w:hint="eastAsia" w:ascii="楷体_GB2312" w:hAnsi="楷体_GB2312" w:eastAsia="楷体_GB2312" w:cs="楷体_GB2312"/>
        <w:b/>
        <w:bCs/>
        <w:sz w:val="32"/>
        <w:szCs w:val="32"/>
      </w:rPr>
    </w:lvl>
  </w:abstractNum>
  <w:abstractNum w:abstractNumId="2">
    <w:nsid w:val="ED85FFC3"/>
    <w:multiLevelType w:val="singleLevel"/>
    <w:tmpl w:val="ED85FFC3"/>
    <w:lvl w:ilvl="0" w:tentative="0">
      <w:start w:val="2"/>
      <w:numFmt w:val="decimal"/>
      <w:suff w:val="space"/>
      <w:lvlText w:val="%1."/>
      <w:lvlJc w:val="left"/>
    </w:lvl>
  </w:abstractNum>
  <w:abstractNum w:abstractNumId="3">
    <w:nsid w:val="1272550B"/>
    <w:multiLevelType w:val="multilevel"/>
    <w:tmpl w:val="1272550B"/>
    <w:lvl w:ilvl="0" w:tentative="0">
      <w:start w:val="1"/>
      <w:numFmt w:val="japaneseCounting"/>
      <w:lvlText w:val="%1、"/>
      <w:lvlJc w:val="left"/>
      <w:pPr>
        <w:tabs>
          <w:tab w:val="left" w:pos="0"/>
        </w:tabs>
        <w:ind w:left="1360" w:hanging="720"/>
      </w:pPr>
      <w:rPr>
        <w:rFonts w:hint="default"/>
        <w:b w:val="0"/>
      </w:rPr>
    </w:lvl>
    <w:lvl w:ilvl="1" w:tentative="0">
      <w:start w:val="1"/>
      <w:numFmt w:val="lowerLetter"/>
      <w:lvlText w:val="%2)"/>
      <w:lvlJc w:val="left"/>
      <w:pPr>
        <w:tabs>
          <w:tab w:val="left" w:pos="0"/>
        </w:tabs>
        <w:ind w:left="1480" w:hanging="420"/>
      </w:pPr>
    </w:lvl>
    <w:lvl w:ilvl="2" w:tentative="0">
      <w:start w:val="1"/>
      <w:numFmt w:val="lowerRoman"/>
      <w:lvlText w:val="%3."/>
      <w:lvlJc w:val="right"/>
      <w:pPr>
        <w:tabs>
          <w:tab w:val="left" w:pos="0"/>
        </w:tabs>
        <w:ind w:left="1900" w:hanging="420"/>
      </w:pPr>
    </w:lvl>
    <w:lvl w:ilvl="3" w:tentative="0">
      <w:start w:val="1"/>
      <w:numFmt w:val="decimal"/>
      <w:lvlText w:val="%4."/>
      <w:lvlJc w:val="left"/>
      <w:pPr>
        <w:tabs>
          <w:tab w:val="left" w:pos="0"/>
        </w:tabs>
        <w:ind w:left="2320" w:hanging="420"/>
      </w:pPr>
    </w:lvl>
    <w:lvl w:ilvl="4" w:tentative="0">
      <w:start w:val="1"/>
      <w:numFmt w:val="lowerLetter"/>
      <w:lvlText w:val="%5)"/>
      <w:lvlJc w:val="left"/>
      <w:pPr>
        <w:tabs>
          <w:tab w:val="left" w:pos="0"/>
        </w:tabs>
        <w:ind w:left="2740" w:hanging="420"/>
      </w:pPr>
    </w:lvl>
    <w:lvl w:ilvl="5" w:tentative="0">
      <w:start w:val="1"/>
      <w:numFmt w:val="lowerRoman"/>
      <w:lvlText w:val="%6."/>
      <w:lvlJc w:val="right"/>
      <w:pPr>
        <w:tabs>
          <w:tab w:val="left" w:pos="0"/>
        </w:tabs>
        <w:ind w:left="3160" w:hanging="420"/>
      </w:pPr>
    </w:lvl>
    <w:lvl w:ilvl="6" w:tentative="0">
      <w:start w:val="1"/>
      <w:numFmt w:val="decimal"/>
      <w:lvlText w:val="%7."/>
      <w:lvlJc w:val="left"/>
      <w:pPr>
        <w:tabs>
          <w:tab w:val="left" w:pos="0"/>
        </w:tabs>
        <w:ind w:left="3580" w:hanging="420"/>
      </w:pPr>
    </w:lvl>
    <w:lvl w:ilvl="7" w:tentative="0">
      <w:start w:val="1"/>
      <w:numFmt w:val="lowerLetter"/>
      <w:lvlText w:val="%8)"/>
      <w:lvlJc w:val="left"/>
      <w:pPr>
        <w:tabs>
          <w:tab w:val="left" w:pos="0"/>
        </w:tabs>
        <w:ind w:left="4000" w:hanging="420"/>
      </w:pPr>
    </w:lvl>
    <w:lvl w:ilvl="8" w:tentative="0">
      <w:start w:val="1"/>
      <w:numFmt w:val="lowerRoman"/>
      <w:lvlText w:val="%9."/>
      <w:lvlJc w:val="right"/>
      <w:pPr>
        <w:tabs>
          <w:tab w:val="left" w:pos="0"/>
        </w:tabs>
        <w:ind w:left="4420" w:hanging="420"/>
      </w:pPr>
    </w:lvl>
  </w:abstractNum>
  <w:abstractNum w:abstractNumId="4">
    <w:nsid w:val="49CC52F5"/>
    <w:multiLevelType w:val="multilevel"/>
    <w:tmpl w:val="49CC52F5"/>
    <w:lvl w:ilvl="0" w:tentative="0">
      <w:start w:val="4"/>
      <w:numFmt w:val="japaneseCounting"/>
      <w:lvlText w:val="%1、"/>
      <w:lvlJc w:val="left"/>
      <w:pPr>
        <w:ind w:left="720" w:hanging="720"/>
      </w:pPr>
      <w:rPr>
        <w:rFonts w:hint="default" w:hAnsi="Times New Roman"/>
        <w:color w:val="000000"/>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6EFFCD8E"/>
    <w:multiLevelType w:val="singleLevel"/>
    <w:tmpl w:val="6EFFCD8E"/>
    <w:lvl w:ilvl="0" w:tentative="0">
      <w:start w:val="4"/>
      <w:numFmt w:val="chineseCounting"/>
      <w:suff w:val="nothing"/>
      <w:lvlText w:val="%1、"/>
      <w:lvlJc w:val="left"/>
      <w:rPr>
        <w:rFonts w:hint="eastAsia"/>
      </w:rPr>
    </w:lvl>
  </w:abstractNum>
  <w:num w:numId="1">
    <w:abstractNumId w:val="3"/>
  </w:num>
  <w:num w:numId="2">
    <w:abstractNumId w:val="4"/>
  </w:num>
  <w:num w:numId="3">
    <w:abstractNumId w:val="2"/>
  </w:num>
  <w:num w:numId="4">
    <w:abstractNumId w:val="1"/>
  </w:num>
  <w:num w:numId="5">
    <w:abstractNumId w:val="0"/>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bordersDoNotSurroundHeader w:val="1"/>
  <w:bordersDoNotSurroundFooter w:val="1"/>
  <w:documentProtection w:edit="readOnly"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useFELayout/>
    <w:compatSetting w:name="compatibilityMode" w:uri="http://schemas.microsoft.com/office/word" w:val="12"/>
  </w:compat>
  <w:docVars>
    <w:docVar w:name="commondata" w:val="eyJoZGlkIjoiYTBlOTc1NWUwZWNhYWIwYTgyOTFhY2RiNDNmZjRhOTUifQ=="/>
  </w:docVars>
  <w:rsids>
    <w:rsidRoot w:val="00AD070F"/>
    <w:rsid w:val="00053BC6"/>
    <w:rsid w:val="000709AB"/>
    <w:rsid w:val="001471D8"/>
    <w:rsid w:val="001546D7"/>
    <w:rsid w:val="001C47CE"/>
    <w:rsid w:val="001D23B3"/>
    <w:rsid w:val="001D7090"/>
    <w:rsid w:val="001F46AD"/>
    <w:rsid w:val="0020343D"/>
    <w:rsid w:val="002056F3"/>
    <w:rsid w:val="003C77BC"/>
    <w:rsid w:val="00467652"/>
    <w:rsid w:val="00524F97"/>
    <w:rsid w:val="00531DEC"/>
    <w:rsid w:val="005476CA"/>
    <w:rsid w:val="005A032C"/>
    <w:rsid w:val="005C49C0"/>
    <w:rsid w:val="00621DEE"/>
    <w:rsid w:val="00690151"/>
    <w:rsid w:val="006A445F"/>
    <w:rsid w:val="006C12BD"/>
    <w:rsid w:val="0073645F"/>
    <w:rsid w:val="00771509"/>
    <w:rsid w:val="0079527C"/>
    <w:rsid w:val="007C6F30"/>
    <w:rsid w:val="008B630E"/>
    <w:rsid w:val="00951328"/>
    <w:rsid w:val="00A25B2F"/>
    <w:rsid w:val="00A90B43"/>
    <w:rsid w:val="00AD070F"/>
    <w:rsid w:val="00AD2334"/>
    <w:rsid w:val="00AF1ECC"/>
    <w:rsid w:val="00B05F8A"/>
    <w:rsid w:val="00B94EE3"/>
    <w:rsid w:val="00B95CDD"/>
    <w:rsid w:val="00C82587"/>
    <w:rsid w:val="00D532A2"/>
    <w:rsid w:val="00DA4C69"/>
    <w:rsid w:val="00E140A6"/>
    <w:rsid w:val="00E21554"/>
    <w:rsid w:val="00E71765"/>
    <w:rsid w:val="00EC5E85"/>
    <w:rsid w:val="0103164E"/>
    <w:rsid w:val="01CA5CC8"/>
    <w:rsid w:val="02217FCE"/>
    <w:rsid w:val="02F0175E"/>
    <w:rsid w:val="0341249E"/>
    <w:rsid w:val="036117EC"/>
    <w:rsid w:val="04BC33D8"/>
    <w:rsid w:val="052C7FC1"/>
    <w:rsid w:val="05AE3C1C"/>
    <w:rsid w:val="05B272AB"/>
    <w:rsid w:val="0600296F"/>
    <w:rsid w:val="06093262"/>
    <w:rsid w:val="08F54642"/>
    <w:rsid w:val="0A9B19C0"/>
    <w:rsid w:val="0AE61DC4"/>
    <w:rsid w:val="0B860EB1"/>
    <w:rsid w:val="0CDF4D1D"/>
    <w:rsid w:val="0CFB25DD"/>
    <w:rsid w:val="0D2978D8"/>
    <w:rsid w:val="0D4B23B2"/>
    <w:rsid w:val="0D810A37"/>
    <w:rsid w:val="0E44794C"/>
    <w:rsid w:val="0E4A08BC"/>
    <w:rsid w:val="11156B59"/>
    <w:rsid w:val="116206E1"/>
    <w:rsid w:val="119C4A64"/>
    <w:rsid w:val="11BE5610"/>
    <w:rsid w:val="12456514"/>
    <w:rsid w:val="12891287"/>
    <w:rsid w:val="12D1780C"/>
    <w:rsid w:val="14203274"/>
    <w:rsid w:val="154C32A3"/>
    <w:rsid w:val="162F4032"/>
    <w:rsid w:val="17E256C1"/>
    <w:rsid w:val="19B46FFB"/>
    <w:rsid w:val="1A70744E"/>
    <w:rsid w:val="1B3C333B"/>
    <w:rsid w:val="1B9E43CF"/>
    <w:rsid w:val="1C220723"/>
    <w:rsid w:val="1C9C36AC"/>
    <w:rsid w:val="1D215AA1"/>
    <w:rsid w:val="1D2E13A9"/>
    <w:rsid w:val="1D5E22DD"/>
    <w:rsid w:val="1D9E62AE"/>
    <w:rsid w:val="20D66B64"/>
    <w:rsid w:val="21FD43DA"/>
    <w:rsid w:val="245044BD"/>
    <w:rsid w:val="25284476"/>
    <w:rsid w:val="258778A8"/>
    <w:rsid w:val="262C1775"/>
    <w:rsid w:val="272A0E68"/>
    <w:rsid w:val="27326D5B"/>
    <w:rsid w:val="275D5F2C"/>
    <w:rsid w:val="27C26894"/>
    <w:rsid w:val="2805028C"/>
    <w:rsid w:val="286D2DB0"/>
    <w:rsid w:val="2BCC0B60"/>
    <w:rsid w:val="2BFA0DD4"/>
    <w:rsid w:val="2CD8457F"/>
    <w:rsid w:val="2D272D50"/>
    <w:rsid w:val="2D616403"/>
    <w:rsid w:val="2D7F400A"/>
    <w:rsid w:val="2E283D2E"/>
    <w:rsid w:val="2F816A1B"/>
    <w:rsid w:val="2F9C2DF8"/>
    <w:rsid w:val="2FF124EE"/>
    <w:rsid w:val="30D269BA"/>
    <w:rsid w:val="313E7E25"/>
    <w:rsid w:val="316E3A34"/>
    <w:rsid w:val="321A5D38"/>
    <w:rsid w:val="3342428A"/>
    <w:rsid w:val="339921E7"/>
    <w:rsid w:val="345945CA"/>
    <w:rsid w:val="349B511E"/>
    <w:rsid w:val="350A48DC"/>
    <w:rsid w:val="36435E6F"/>
    <w:rsid w:val="3662413F"/>
    <w:rsid w:val="36B52FE4"/>
    <w:rsid w:val="378D640D"/>
    <w:rsid w:val="37CA47B3"/>
    <w:rsid w:val="387A3124"/>
    <w:rsid w:val="39E5694E"/>
    <w:rsid w:val="3A831E3A"/>
    <w:rsid w:val="3AAD1707"/>
    <w:rsid w:val="3B214698"/>
    <w:rsid w:val="3B420E1F"/>
    <w:rsid w:val="3B4C6D41"/>
    <w:rsid w:val="3BBF16F2"/>
    <w:rsid w:val="3C32006A"/>
    <w:rsid w:val="3C3415B1"/>
    <w:rsid w:val="3C992E8C"/>
    <w:rsid w:val="3C9A5CBB"/>
    <w:rsid w:val="3D3037BD"/>
    <w:rsid w:val="3F553E3C"/>
    <w:rsid w:val="3F5C5F4A"/>
    <w:rsid w:val="406665E0"/>
    <w:rsid w:val="40E340D5"/>
    <w:rsid w:val="423261F5"/>
    <w:rsid w:val="423D46F9"/>
    <w:rsid w:val="445157F9"/>
    <w:rsid w:val="461C29F4"/>
    <w:rsid w:val="46947254"/>
    <w:rsid w:val="46C027C2"/>
    <w:rsid w:val="484C3CA3"/>
    <w:rsid w:val="48DB2C82"/>
    <w:rsid w:val="49647D7D"/>
    <w:rsid w:val="49A860B2"/>
    <w:rsid w:val="49AD5280"/>
    <w:rsid w:val="49EF541C"/>
    <w:rsid w:val="49FB2351"/>
    <w:rsid w:val="4A8E7B5F"/>
    <w:rsid w:val="4B335C59"/>
    <w:rsid w:val="4C2A0B13"/>
    <w:rsid w:val="4C36792C"/>
    <w:rsid w:val="4CE92A73"/>
    <w:rsid w:val="4D2B7059"/>
    <w:rsid w:val="4E477A6A"/>
    <w:rsid w:val="4F0025ED"/>
    <w:rsid w:val="4F6D69A4"/>
    <w:rsid w:val="50760AC1"/>
    <w:rsid w:val="519A433C"/>
    <w:rsid w:val="53342612"/>
    <w:rsid w:val="534F6418"/>
    <w:rsid w:val="5357226F"/>
    <w:rsid w:val="536367F7"/>
    <w:rsid w:val="53D80EDC"/>
    <w:rsid w:val="544B16EC"/>
    <w:rsid w:val="549E4355"/>
    <w:rsid w:val="54C73CC3"/>
    <w:rsid w:val="54CD1D19"/>
    <w:rsid w:val="560E7711"/>
    <w:rsid w:val="56204D1B"/>
    <w:rsid w:val="562B40FC"/>
    <w:rsid w:val="56811F6E"/>
    <w:rsid w:val="56AB2A55"/>
    <w:rsid w:val="56BA0FDC"/>
    <w:rsid w:val="57315742"/>
    <w:rsid w:val="579000D1"/>
    <w:rsid w:val="57E95591"/>
    <w:rsid w:val="58832393"/>
    <w:rsid w:val="596C4358"/>
    <w:rsid w:val="59856944"/>
    <w:rsid w:val="59A71CEC"/>
    <w:rsid w:val="5A026F22"/>
    <w:rsid w:val="5A3D1F24"/>
    <w:rsid w:val="5B9404C9"/>
    <w:rsid w:val="5C8B7636"/>
    <w:rsid w:val="5CBC5AAE"/>
    <w:rsid w:val="5CD52834"/>
    <w:rsid w:val="5DF30008"/>
    <w:rsid w:val="5E285DD7"/>
    <w:rsid w:val="5E532BB8"/>
    <w:rsid w:val="5F11296C"/>
    <w:rsid w:val="5FA97E40"/>
    <w:rsid w:val="60381A6D"/>
    <w:rsid w:val="614E5143"/>
    <w:rsid w:val="63F57AF7"/>
    <w:rsid w:val="64E5191A"/>
    <w:rsid w:val="651D3FF8"/>
    <w:rsid w:val="65E240AB"/>
    <w:rsid w:val="65F4277A"/>
    <w:rsid w:val="661B7FD5"/>
    <w:rsid w:val="66216982"/>
    <w:rsid w:val="67235A66"/>
    <w:rsid w:val="68BC32E6"/>
    <w:rsid w:val="68FF7E90"/>
    <w:rsid w:val="693E4A08"/>
    <w:rsid w:val="69767AFD"/>
    <w:rsid w:val="6B631DB7"/>
    <w:rsid w:val="6B6D4417"/>
    <w:rsid w:val="6D7A177D"/>
    <w:rsid w:val="6D8D155E"/>
    <w:rsid w:val="6EF40ABD"/>
    <w:rsid w:val="6F2013E5"/>
    <w:rsid w:val="6FBD18A2"/>
    <w:rsid w:val="6FE23626"/>
    <w:rsid w:val="71381023"/>
    <w:rsid w:val="7161682C"/>
    <w:rsid w:val="71AA0790"/>
    <w:rsid w:val="72536115"/>
    <w:rsid w:val="7315786E"/>
    <w:rsid w:val="73487C44"/>
    <w:rsid w:val="73DB1E6E"/>
    <w:rsid w:val="747338AC"/>
    <w:rsid w:val="74C74DEC"/>
    <w:rsid w:val="76211778"/>
    <w:rsid w:val="768865A9"/>
    <w:rsid w:val="789B25C4"/>
    <w:rsid w:val="79850083"/>
    <w:rsid w:val="79C031FB"/>
    <w:rsid w:val="7A5A025C"/>
    <w:rsid w:val="7AFE794F"/>
    <w:rsid w:val="7C8F0691"/>
    <w:rsid w:val="7DEC566F"/>
    <w:rsid w:val="7EC0021F"/>
    <w:rsid w:val="7EFC5B0D"/>
    <w:rsid w:val="7F364DF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qFormat="1" w:unhideWhenUsed="0" w:uiPriority="0" w:semiHidden="0" w:name="toc 2"/>
    <w:lsdException w:qFormat="1" w:unhideWhenUsed="0" w:uiPriority="0"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6"/>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17"/>
    <w:qFormat/>
    <w:uiPriority w:val="0"/>
    <w:pPr>
      <w:keepNext/>
      <w:keepLines/>
      <w:spacing w:before="260" w:after="260" w:line="415" w:lineRule="auto"/>
      <w:outlineLvl w:val="1"/>
    </w:pPr>
    <w:rPr>
      <w:rFonts w:ascii="Cambria" w:hAnsi="Cambria"/>
      <w:b/>
      <w:bCs/>
      <w:sz w:val="32"/>
      <w:szCs w:val="32"/>
    </w:rPr>
  </w:style>
  <w:style w:type="paragraph" w:styleId="4">
    <w:name w:val="heading 3"/>
    <w:basedOn w:val="1"/>
    <w:next w:val="1"/>
    <w:qFormat/>
    <w:uiPriority w:val="0"/>
    <w:pPr>
      <w:keepNext/>
      <w:keepLines/>
      <w:spacing w:before="260" w:after="260" w:line="415" w:lineRule="auto"/>
      <w:outlineLvl w:val="2"/>
    </w:pPr>
    <w:rPr>
      <w:b/>
      <w:bCs/>
      <w:sz w:val="32"/>
      <w:szCs w:val="32"/>
    </w:rPr>
  </w:style>
  <w:style w:type="character" w:default="1" w:styleId="13">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5">
    <w:name w:val="Body Text"/>
    <w:basedOn w:val="1"/>
    <w:qFormat/>
    <w:uiPriority w:val="0"/>
    <w:pPr>
      <w:spacing w:beforeLines="30"/>
    </w:pPr>
    <w:rPr>
      <w:rFonts w:ascii="仿宋_GB2312" w:eastAsia="仿宋_GB2312"/>
      <w:kern w:val="0"/>
      <w:sz w:val="30"/>
    </w:rPr>
  </w:style>
  <w:style w:type="paragraph" w:styleId="6">
    <w:name w:val="toc 3"/>
    <w:basedOn w:val="1"/>
    <w:next w:val="1"/>
    <w:qFormat/>
    <w:uiPriority w:val="0"/>
    <w:pPr>
      <w:tabs>
        <w:tab w:val="right" w:leader="dot" w:pos="8296"/>
      </w:tabs>
      <w:ind w:left="400" w:leftChars="400"/>
    </w:pPr>
  </w:style>
  <w:style w:type="paragraph" w:styleId="7">
    <w:name w:val="Balloon Text"/>
    <w:basedOn w:val="1"/>
    <w:qFormat/>
    <w:uiPriority w:val="0"/>
    <w:rPr>
      <w:sz w:val="18"/>
      <w:szCs w:val="18"/>
    </w:rPr>
  </w:style>
  <w:style w:type="paragraph" w:styleId="8">
    <w:name w:val="footer"/>
    <w:basedOn w:val="1"/>
    <w:qFormat/>
    <w:uiPriority w:val="0"/>
    <w:pPr>
      <w:tabs>
        <w:tab w:val="center" w:pos="4153"/>
        <w:tab w:val="right" w:pos="8306"/>
      </w:tabs>
      <w:snapToGrid w:val="0"/>
      <w:jc w:val="left"/>
    </w:pPr>
    <w:rPr>
      <w:rFonts w:ascii="Calibri" w:hAnsi="Calibri"/>
      <w:kern w:val="0"/>
      <w:sz w:val="18"/>
      <w:szCs w:val="18"/>
    </w:rPr>
  </w:style>
  <w:style w:type="paragraph" w:styleId="9">
    <w:name w:val="header"/>
    <w:basedOn w:val="1"/>
    <w:qFormat/>
    <w:uiPriority w:val="0"/>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0">
    <w:name w:val="toc 1"/>
    <w:basedOn w:val="1"/>
    <w:next w:val="1"/>
    <w:qFormat/>
    <w:uiPriority w:val="0"/>
    <w:pPr>
      <w:tabs>
        <w:tab w:val="right" w:leader="dot" w:pos="8296"/>
      </w:tabs>
      <w:spacing w:before="93"/>
      <w:jc w:val="center"/>
    </w:pPr>
    <w:rPr>
      <w:rFonts w:ascii="仿宋" w:eastAsia="仿宋"/>
      <w:sz w:val="28"/>
      <w:szCs w:val="28"/>
    </w:rPr>
  </w:style>
  <w:style w:type="paragraph" w:styleId="11">
    <w:name w:val="toc 2"/>
    <w:basedOn w:val="1"/>
    <w:next w:val="1"/>
    <w:qFormat/>
    <w:uiPriority w:val="0"/>
    <w:pPr>
      <w:tabs>
        <w:tab w:val="right" w:leader="dot" w:pos="8296"/>
      </w:tabs>
      <w:ind w:left="200" w:leftChars="200"/>
    </w:pPr>
  </w:style>
  <w:style w:type="character" w:styleId="14">
    <w:name w:val="Strong"/>
    <w:basedOn w:val="13"/>
    <w:qFormat/>
    <w:uiPriority w:val="0"/>
    <w:rPr>
      <w:b/>
    </w:rPr>
  </w:style>
  <w:style w:type="character" w:styleId="15">
    <w:name w:val="Hyperlink"/>
    <w:basedOn w:val="13"/>
    <w:qFormat/>
    <w:uiPriority w:val="0"/>
    <w:rPr>
      <w:color w:val="0000FF"/>
      <w:u w:val="single"/>
    </w:rPr>
  </w:style>
  <w:style w:type="character" w:customStyle="1" w:styleId="16">
    <w:name w:val="标题 1 Char"/>
    <w:basedOn w:val="13"/>
    <w:link w:val="2"/>
    <w:qFormat/>
    <w:uiPriority w:val="0"/>
    <w:rPr>
      <w:rFonts w:ascii="Times New Roman" w:hAnsi="Times New Roman" w:eastAsia="宋体" w:cs="Times New Roman"/>
      <w:b/>
      <w:bCs/>
      <w:kern w:val="44"/>
      <w:sz w:val="44"/>
      <w:szCs w:val="44"/>
      <w:lang w:val="en-US" w:eastAsia="zh-CN" w:bidi="ar-SA"/>
    </w:rPr>
  </w:style>
  <w:style w:type="character" w:customStyle="1" w:styleId="17">
    <w:name w:val="标题 2 Char"/>
    <w:basedOn w:val="13"/>
    <w:link w:val="3"/>
    <w:qFormat/>
    <w:uiPriority w:val="0"/>
    <w:rPr>
      <w:rFonts w:ascii="Cambria" w:hAnsi="Cambria" w:eastAsia="宋体" w:cs="Times New Roman"/>
      <w:b/>
      <w:bCs/>
      <w:kern w:val="2"/>
      <w:sz w:val="32"/>
      <w:szCs w:val="32"/>
      <w:lang w:val="en-US" w:eastAsia="zh-CN" w:bidi="ar-SA"/>
    </w:rPr>
  </w:style>
  <w:style w:type="character" w:customStyle="1" w:styleId="18">
    <w:name w:val="Header Char"/>
    <w:basedOn w:val="13"/>
    <w:qFormat/>
    <w:uiPriority w:val="0"/>
    <w:rPr>
      <w:rFonts w:ascii="Times New Roman" w:hAnsi="Times New Roman"/>
      <w:sz w:val="18"/>
      <w:szCs w:val="18"/>
    </w:rPr>
  </w:style>
  <w:style w:type="character" w:customStyle="1" w:styleId="19">
    <w:name w:val="Footer Char"/>
    <w:basedOn w:val="13"/>
    <w:qFormat/>
    <w:uiPriority w:val="0"/>
    <w:rPr>
      <w:rFonts w:ascii="Times New Roman" w:hAnsi="Times New Roman"/>
      <w:sz w:val="18"/>
      <w:szCs w:val="18"/>
    </w:rPr>
  </w:style>
  <w:style w:type="character" w:customStyle="1" w:styleId="20">
    <w:name w:val="Body Text Char"/>
    <w:basedOn w:val="13"/>
    <w:qFormat/>
    <w:uiPriority w:val="0"/>
    <w:rPr>
      <w:rFonts w:ascii="Times New Roman" w:hAnsi="Times New Roman"/>
      <w:szCs w:val="24"/>
    </w:rPr>
  </w:style>
  <w:style w:type="paragraph" w:customStyle="1" w:styleId="21">
    <w:name w:val="Default"/>
    <w:qFormat/>
    <w:uiPriority w:val="0"/>
    <w:pPr>
      <w:widowControl w:val="0"/>
      <w:autoSpaceDE w:val="0"/>
      <w:autoSpaceDN w:val="0"/>
      <w:adjustRightInd w:val="0"/>
    </w:pPr>
    <w:rPr>
      <w:rFonts w:ascii="仿宋" w:hAnsi="Times New Roman" w:eastAsia="仿宋" w:cs="仿宋"/>
      <w:color w:val="000000"/>
      <w:sz w:val="24"/>
      <w:szCs w:val="24"/>
      <w:lang w:val="en-US" w:eastAsia="zh-CN" w:bidi="ar-SA"/>
    </w:rPr>
  </w:style>
  <w:style w:type="paragraph" w:styleId="22">
    <w:name w:val="List Paragraph"/>
    <w:basedOn w:val="1"/>
    <w:qFormat/>
    <w:uiPriority w:val="0"/>
    <w:pPr>
      <w:ind w:firstLine="200" w:firstLineChars="200"/>
    </w:pPr>
  </w:style>
  <w:style w:type="paragraph" w:customStyle="1" w:styleId="23">
    <w:name w:val="TOC 标题1"/>
    <w:basedOn w:val="2"/>
    <w:next w:val="1"/>
    <w:qFormat/>
    <w:uiPriority w:val="0"/>
    <w:pPr>
      <w:widowControl/>
      <w:spacing w:before="480" w:after="0" w:line="276" w:lineRule="auto"/>
      <w:jc w:val="left"/>
      <w:outlineLvl w:val="9"/>
    </w:pPr>
    <w:rPr>
      <w:rFonts w:ascii="Cambria" w:hAnsi="Cambria"/>
      <w:color w:val="376092"/>
      <w:kern w:val="0"/>
      <w:sz w:val="28"/>
      <w:szCs w:val="28"/>
    </w:rPr>
  </w:style>
</w:styles>
</file>

<file path=word/_rels/document.xml.rels><?xml version="1.0" encoding="UTF-8" standalone="yes"?>
<Relationships xmlns="http://schemas.openxmlformats.org/package/2006/relationships"><Relationship Id="rId9" Type="http://schemas.openxmlformats.org/officeDocument/2006/relationships/chart" Target="charts/chart4.xml"/><Relationship Id="rId8" Type="http://schemas.openxmlformats.org/officeDocument/2006/relationships/chart" Target="charts/chart3.xml"/><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customXml" Target="../customXml/item1.xml"/><Relationship Id="rId12" Type="http://schemas.openxmlformats.org/officeDocument/2006/relationships/numbering" Target="numbering.xml"/><Relationship Id="rId11" Type="http://schemas.openxmlformats.org/officeDocument/2006/relationships/chart" Target="charts/chart6.xml"/><Relationship Id="rId10" Type="http://schemas.openxmlformats.org/officeDocument/2006/relationships/chart" Target="charts/chart5.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oleObject" Target="file:///E:\&#29420;&#26494;&#20065;\2021\2021&#24180;&#29420;&#26494;&#20915;&#31639;\&#20915;&#31639;&#30011;&#22270;.xls"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E:\&#29420;&#26494;&#20065;\2021\2021&#24180;&#29420;&#26494;&#20915;&#31639;\&#20915;&#31639;&#30011;&#22270;.xls"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E:\&#29420;&#26494;&#20065;\2021\2021&#24180;&#29420;&#26494;&#20915;&#31639;\&#20915;&#31639;&#30011;&#22270;.xls"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E:\&#29420;&#26494;&#20065;\2021\2021&#24180;&#29420;&#26494;&#20915;&#31639;\&#20915;&#31639;&#30011;&#22270;.xls"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E:\&#29420;&#26494;&#20065;\2021\2021&#24180;&#29420;&#26494;&#20915;&#31639;\&#20915;&#31639;&#30011;&#22270;.xls"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E:\&#29420;&#26494;&#20065;\2021\2021&#24180;&#29420;&#26494;&#20915;&#31639;\&#20915;&#31639;&#30011;&#22270;.xls"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收、支决算结构图</a:t>
            </a:r>
            <a:endParaRPr sz="1400" b="0" i="0" u="none" strike="noStrike" baseline="0">
              <a:solidFill>
                <a:srgbClr val="595959">
                  <a:alpha val="100000"/>
                </a:srgbClr>
              </a:solidFill>
              <a:latin typeface="宋体" panose="02010600030101010101" charset="-122"/>
              <a:ea typeface="宋体" panose="02010600030101010101" charset="-122"/>
              <a:cs typeface="宋体" panose="02010600030101010101" charset="-122"/>
            </a:endParaRPr>
          </a:p>
        </c:rich>
      </c:tx>
      <c:layout>
        <c:manualLayout>
          <c:xMode val="edge"/>
          <c:yMode val="edge"/>
          <c:x val="0.35"/>
          <c:y val="0.03125"/>
        </c:manualLayout>
      </c:layout>
      <c:overlay val="0"/>
      <c:spPr>
        <a:noFill/>
        <a:ln>
          <a:noFill/>
        </a:ln>
        <a:effectLst/>
      </c:spPr>
    </c:title>
    <c:autoTitleDeleted val="0"/>
    <c:plotArea>
      <c:layout>
        <c:manualLayout>
          <c:layoutTarget val="inner"/>
          <c:xMode val="edge"/>
          <c:yMode val="edge"/>
          <c:x val="0.0806388888888889"/>
          <c:y val="0.325231481481481"/>
          <c:w val="0.882"/>
          <c:h val="0.606805555555556"/>
        </c:manualLayout>
      </c:layout>
      <c:barChart>
        <c:barDir val="col"/>
        <c:grouping val="clustered"/>
        <c:varyColors val="0"/>
        <c:ser>
          <c:idx val="0"/>
          <c:order val="0"/>
          <c:tx>
            <c:strRef>
              <c:f>[决算画图.xls]Sheet1!$A$3</c:f>
              <c:strCache>
                <c:ptCount val="1"/>
                <c:pt idx="0">
                  <c:v>总收入</c:v>
                </c:pt>
              </c:strCache>
            </c:strRef>
          </c:tx>
          <c:spPr>
            <a:solidFill>
              <a:schemeClr val="accent1"/>
            </a:solidFill>
            <a:ln>
              <a:noFill/>
            </a:ln>
            <a:effectLst/>
          </c:spPr>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[决算画图.xls]Sheet1!$B$2:$C$2</c:f>
              <c:strCache>
                <c:ptCount val="2"/>
                <c:pt idx="0">
                  <c:v>2020年</c:v>
                </c:pt>
                <c:pt idx="1">
                  <c:v>2021年</c:v>
                </c:pt>
              </c:strCache>
            </c:strRef>
          </c:cat>
          <c:val>
            <c:numRef>
              <c:f>[决算画图.xls]Sheet1!$B$3:$C$3</c:f>
              <c:numCache>
                <c:formatCode>General</c:formatCode>
                <c:ptCount val="2"/>
                <c:pt idx="0">
                  <c:v>1409.63</c:v>
                </c:pt>
                <c:pt idx="1">
                  <c:v>1225.3</c:v>
                </c:pt>
              </c:numCache>
            </c:numRef>
          </c:val>
        </c:ser>
        <c:ser>
          <c:idx val="1"/>
          <c:order val="1"/>
          <c:tx>
            <c:strRef>
              <c:f>[决算画图.xls]Sheet1!$A$4</c:f>
              <c:strCache>
                <c:ptCount val="1"/>
                <c:pt idx="0">
                  <c:v>总支出</c:v>
                </c:pt>
              </c:strCache>
            </c:strRef>
          </c:tx>
          <c:spPr>
            <a:solidFill>
              <a:schemeClr val="accent2"/>
            </a:solidFill>
            <a:ln>
              <a:noFill/>
            </a:ln>
            <a:effectLst/>
          </c:spPr>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[决算画图.xls]Sheet1!$B$2:$C$2</c:f>
              <c:strCache>
                <c:ptCount val="2"/>
                <c:pt idx="0">
                  <c:v>2020年</c:v>
                </c:pt>
                <c:pt idx="1">
                  <c:v>2021年</c:v>
                </c:pt>
              </c:strCache>
            </c:strRef>
          </c:cat>
          <c:val>
            <c:numRef>
              <c:f>[决算画图.xls]Sheet1!$B$4:$C$4</c:f>
              <c:numCache>
                <c:formatCode>General</c:formatCode>
                <c:ptCount val="2"/>
                <c:pt idx="0">
                  <c:v>1353.34</c:v>
                </c:pt>
                <c:pt idx="1">
                  <c:v>1271.99</c:v>
                </c:pt>
              </c:numCache>
            </c:numRef>
          </c:val>
        </c:ser>
        <c:dLbls>
          <c:showLegendKey val="0"/>
          <c:showVal val="0"/>
          <c:showCatName val="0"/>
          <c:showSerName val="0"/>
          <c:showPercent val="0"/>
          <c:showBubbleSize val="0"/>
        </c:dLbls>
        <c:gapWidth val="219"/>
        <c:overlap val="-27"/>
        <c:axId val="684811226"/>
        <c:axId val="196550907"/>
      </c:barChart>
      <c:catAx>
        <c:axId val="684811226"/>
        <c:scaling>
          <c:orientation val="minMax"/>
        </c:scaling>
        <c:delete val="0"/>
        <c:axPos val="b"/>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96550907"/>
        <c:crosses val="autoZero"/>
        <c:auto val="1"/>
        <c:lblAlgn val="ctr"/>
        <c:lblOffset val="100"/>
        <c:noMultiLvlLbl val="0"/>
      </c:catAx>
      <c:valAx>
        <c:axId val="196550907"/>
        <c:scaling>
          <c:orientation val="minMax"/>
        </c:scaling>
        <c:delete val="0"/>
        <c:axPos val="l"/>
        <c:majorGridlines>
          <c:spPr>
            <a:ln w="9525" cap="flat" cmpd="sng" algn="ctr">
              <a:solidFill>
                <a:schemeClr val="tx1">
                  <a:lumMod val="15000"/>
                  <a:lumOff val="85000"/>
                </a:schemeClr>
              </a:solidFill>
              <a:prstDash val="solid"/>
              <a:round/>
            </a:ln>
            <a:effectLst/>
          </c:spPr>
        </c:majorGridlines>
        <c:numFmt formatCode="General" sourceLinked="1"/>
        <c:majorTickMark val="none"/>
        <c:minorTickMark val="none"/>
        <c:tickLblPos val="nextTo"/>
        <c:spPr>
          <a:noFill/>
          <a:ln w="6350" cap="flat" cmpd="sng" algn="ctr">
            <a:no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684811226"/>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wrap="square"/>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收入决算结构图</a:t>
            </a:r>
            <a:endParaRPr sz="1400" b="0" i="0" u="none" strike="noStrike" baseline="0">
              <a:solidFill>
                <a:srgbClr val="595959">
                  <a:alpha val="100000"/>
                </a:srgbClr>
              </a:solidFill>
              <a:latin typeface="宋体" panose="02010600030101010101" charset="-122"/>
              <a:ea typeface="宋体" panose="02010600030101010101" charset="-122"/>
              <a:cs typeface="宋体" panose="02010600030101010101" charset="-122"/>
            </a:endParaRPr>
          </a:p>
        </c:rich>
      </c:tx>
      <c:layout>
        <c:manualLayout>
          <c:xMode val="edge"/>
          <c:yMode val="edge"/>
          <c:x val="0.349861111111111"/>
          <c:y val="0.0381944444444444"/>
        </c:manualLayout>
      </c:layout>
      <c:overlay val="0"/>
      <c:spPr>
        <a:noFill/>
        <a:ln>
          <a:noFill/>
        </a:ln>
        <a:effectLst/>
      </c:spPr>
    </c:title>
    <c:autoTitleDeleted val="0"/>
    <c:plotArea>
      <c:layout/>
      <c:pieChart>
        <c:varyColors val="1"/>
        <c:ser>
          <c:idx val="0"/>
          <c:order val="0"/>
          <c:explosion val="0"/>
          <c:dPt>
            <c:idx val="0"/>
            <c:bubble3D val="0"/>
            <c:explosion val="0"/>
            <c:spPr>
              <a:solidFill>
                <a:schemeClr val="accent1"/>
              </a:solidFill>
              <a:ln w="19050">
                <a:solidFill>
                  <a:schemeClr val="lt1"/>
                </a:solidFill>
              </a:ln>
              <a:effectLst/>
            </c:spPr>
          </c:dPt>
          <c:dPt>
            <c:idx val="1"/>
            <c:bubble3D val="0"/>
            <c:explosion val="0"/>
            <c:spPr>
              <a:solidFill>
                <a:schemeClr val="accent2"/>
              </a:solidFill>
              <a:ln w="19050">
                <a:solidFill>
                  <a:schemeClr val="lt1"/>
                </a:solidFill>
              </a:ln>
              <a:effectLst/>
            </c:spPr>
          </c:dPt>
          <c:dPt>
            <c:idx val="2"/>
            <c:bubble3D val="0"/>
            <c:explosion val="0"/>
            <c:spPr>
              <a:solidFill>
                <a:schemeClr val="accent3"/>
              </a:solidFill>
              <a:ln w="19050">
                <a:solidFill>
                  <a:schemeClr val="lt1"/>
                </a:solidFill>
              </a:ln>
              <a:effectLst/>
            </c:spPr>
          </c:dPt>
          <c:dLbls>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rgbClr val="969696">
                          <a:alpha val="100000"/>
                        </a:srgbClr>
                      </a:solidFill>
                      <a:prstDash val="solid"/>
                      <a:round/>
                    </a:ln>
                  </c:spPr>
                </c15:leaderLines>
              </c:ext>
            </c:extLst>
          </c:dLbls>
          <c:cat>
            <c:strRef>
              <c:f>[决算画图.xls]Sheet1!$D$24:$D$26</c:f>
              <c:strCache>
                <c:ptCount val="3"/>
                <c:pt idx="0">
                  <c:v>一般公共预算财政拨款收入</c:v>
                </c:pt>
                <c:pt idx="1">
                  <c:v>政府性基金预算财政拨款收入</c:v>
                </c:pt>
                <c:pt idx="2">
                  <c:v>其他收入</c:v>
                </c:pt>
              </c:strCache>
            </c:strRef>
          </c:cat>
          <c:val>
            <c:numRef>
              <c:f>[决算画图.xls]Sheet1!$E$24:$E$26</c:f>
              <c:numCache>
                <c:formatCode>General</c:formatCode>
                <c:ptCount val="3"/>
                <c:pt idx="0">
                  <c:v>1225.3</c:v>
                </c:pt>
                <c:pt idx="1">
                  <c:v>0</c:v>
                </c:pt>
                <c:pt idx="2">
                  <c:v>0</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wrap="square"/>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支出决算结构图</a:t>
            </a:r>
            <a:endParaRPr sz="1400" b="0" i="0" u="none" strike="noStrike" baseline="0">
              <a:solidFill>
                <a:srgbClr val="595959">
                  <a:alpha val="100000"/>
                </a:srgbClr>
              </a:solidFill>
              <a:latin typeface="宋体" panose="02010600030101010101" charset="-122"/>
              <a:ea typeface="宋体" panose="02010600030101010101" charset="-122"/>
              <a:cs typeface="宋体" panose="02010600030101010101" charset="-122"/>
            </a:endParaRPr>
          </a:p>
        </c:rich>
      </c:tx>
      <c:layout/>
      <c:overlay val="0"/>
      <c:spPr>
        <a:noFill/>
        <a:ln>
          <a:noFill/>
        </a:ln>
        <a:effectLst/>
      </c:spPr>
    </c:title>
    <c:autoTitleDeleted val="0"/>
    <c:plotArea>
      <c:layout/>
      <c:pieChart>
        <c:varyColors val="1"/>
        <c:ser>
          <c:idx val="0"/>
          <c:order val="0"/>
          <c:explosion val="0"/>
          <c:dPt>
            <c:idx val="0"/>
            <c:bubble3D val="0"/>
            <c:explosion val="0"/>
            <c:spPr>
              <a:solidFill>
                <a:schemeClr val="accent1"/>
              </a:solidFill>
              <a:ln w="19050">
                <a:solidFill>
                  <a:schemeClr val="lt1"/>
                </a:solidFill>
              </a:ln>
              <a:effectLst/>
            </c:spPr>
          </c:dPt>
          <c:dPt>
            <c:idx val="1"/>
            <c:bubble3D val="0"/>
            <c:explosion val="0"/>
            <c:spPr>
              <a:solidFill>
                <a:schemeClr val="accent2"/>
              </a:solidFill>
              <a:ln w="19050">
                <a:solidFill>
                  <a:schemeClr val="lt1"/>
                </a:solidFill>
              </a:ln>
              <a:effectLst/>
            </c:spPr>
          </c:dPt>
          <c:dLbls>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rgbClr val="969696">
                          <a:alpha val="100000"/>
                        </a:srgbClr>
                      </a:solidFill>
                      <a:prstDash val="solid"/>
                      <a:round/>
                    </a:ln>
                  </c:spPr>
                </c15:leaderLines>
              </c:ext>
            </c:extLst>
          </c:dLbls>
          <c:cat>
            <c:strRef>
              <c:f>[决算画图.xls]Sheet1!$D$42:$D$43</c:f>
              <c:strCache>
                <c:ptCount val="2"/>
                <c:pt idx="0">
                  <c:v>基本支出</c:v>
                </c:pt>
                <c:pt idx="1">
                  <c:v>项目支出</c:v>
                </c:pt>
              </c:strCache>
            </c:strRef>
          </c:cat>
          <c:val>
            <c:numRef>
              <c:f>[决算画图.xls]Sheet1!$E$42:$E$43</c:f>
              <c:numCache>
                <c:formatCode>General</c:formatCode>
                <c:ptCount val="2"/>
                <c:pt idx="0">
                  <c:v>578.33</c:v>
                </c:pt>
                <c:pt idx="1">
                  <c:v>693.66</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wrap="square"/>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一般公共预算财政拨款支出决算变动情况</a:t>
            </a:r>
            <a:endParaRPr sz="1400" b="0" i="0" u="none" strike="noStrike" baseline="0">
              <a:solidFill>
                <a:srgbClr val="595959">
                  <a:alpha val="100000"/>
                </a:srgbClr>
              </a:solidFill>
              <a:latin typeface="宋体" panose="02010600030101010101" charset="-122"/>
              <a:ea typeface="宋体" panose="02010600030101010101" charset="-122"/>
              <a:cs typeface="宋体" panose="02010600030101010101" charset="-122"/>
            </a:endParaRPr>
          </a:p>
        </c:rich>
      </c:tx>
      <c:layout/>
      <c:overlay val="0"/>
      <c:spPr>
        <a:noFill/>
        <a:ln>
          <a:noFill/>
        </a:ln>
        <a:effectLst/>
      </c:spPr>
    </c:title>
    <c:autoTitleDeleted val="0"/>
    <c:plotArea>
      <c:layout>
        <c:manualLayout>
          <c:layoutTarget val="inner"/>
          <c:xMode val="edge"/>
          <c:yMode val="edge"/>
          <c:x val="0.0610555555555556"/>
          <c:y val="0.22037037037037"/>
          <c:w val="0.882"/>
          <c:h val="0.711666666666667"/>
        </c:manualLayout>
      </c:layout>
      <c:barChart>
        <c:barDir val="col"/>
        <c:grouping val="clustered"/>
        <c:varyColors val="0"/>
        <c:ser>
          <c:idx val="0"/>
          <c:order val="0"/>
          <c:spPr>
            <a:solidFill>
              <a:schemeClr val="accent1"/>
            </a:solidFill>
            <a:ln>
              <a:noFill/>
            </a:ln>
            <a:effectLst/>
          </c:spPr>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[决算画图.xls]Sheet1!$B$62:$B$63</c:f>
              <c:strCache>
                <c:ptCount val="2"/>
                <c:pt idx="0">
                  <c:v>2020年</c:v>
                </c:pt>
                <c:pt idx="1">
                  <c:v>2021年</c:v>
                </c:pt>
              </c:strCache>
            </c:strRef>
          </c:cat>
          <c:val>
            <c:numRef>
              <c:f>[决算画图.xls]Sheet1!$C$62:$C$63</c:f>
              <c:numCache>
                <c:formatCode>General</c:formatCode>
                <c:ptCount val="2"/>
                <c:pt idx="0">
                  <c:v>1353.34</c:v>
                </c:pt>
                <c:pt idx="1">
                  <c:v>1271.99</c:v>
                </c:pt>
              </c:numCache>
            </c:numRef>
          </c:val>
        </c:ser>
        <c:dLbls>
          <c:showLegendKey val="0"/>
          <c:showVal val="0"/>
          <c:showCatName val="0"/>
          <c:showSerName val="0"/>
          <c:showPercent val="0"/>
          <c:showBubbleSize val="0"/>
        </c:dLbls>
        <c:gapWidth val="219"/>
        <c:overlap val="-27"/>
        <c:axId val="729884916"/>
        <c:axId val="505618291"/>
      </c:barChart>
      <c:catAx>
        <c:axId val="729884916"/>
        <c:scaling>
          <c:orientation val="minMax"/>
        </c:scaling>
        <c:delete val="0"/>
        <c:axPos val="b"/>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505618291"/>
        <c:crosses val="autoZero"/>
        <c:auto val="1"/>
        <c:lblAlgn val="ctr"/>
        <c:lblOffset val="100"/>
        <c:noMultiLvlLbl val="0"/>
      </c:catAx>
      <c:valAx>
        <c:axId val="505618291"/>
        <c:scaling>
          <c:orientation val="minMax"/>
        </c:scaling>
        <c:delete val="0"/>
        <c:axPos val="l"/>
        <c:majorGridlines>
          <c:spPr>
            <a:ln w="9525" cap="flat" cmpd="sng" algn="ctr">
              <a:solidFill>
                <a:schemeClr val="tx1">
                  <a:lumMod val="15000"/>
                  <a:lumOff val="85000"/>
                </a:schemeClr>
              </a:solidFill>
              <a:prstDash val="solid"/>
              <a:round/>
            </a:ln>
            <a:effectLst/>
          </c:spPr>
        </c:majorGridlines>
        <c:numFmt formatCode="General" sourceLinked="1"/>
        <c:majorTickMark val="none"/>
        <c:minorTickMark val="none"/>
        <c:tickLblPos val="nextTo"/>
        <c:spPr>
          <a:noFill/>
          <a:ln w="6350" cap="flat" cmpd="sng" algn="ctr">
            <a:no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72988491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wrap="square"/>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一般公共预算财政拨款支出决算结构图</a:t>
            </a:r>
            <a:endParaRPr sz="1400" b="0" i="0" u="none" strike="noStrike" baseline="0">
              <a:solidFill>
                <a:srgbClr val="595959">
                  <a:alpha val="100000"/>
                </a:srgbClr>
              </a:solidFill>
              <a:latin typeface="宋体" panose="02010600030101010101" charset="-122"/>
              <a:ea typeface="宋体" panose="02010600030101010101" charset="-122"/>
              <a:cs typeface="宋体" panose="02010600030101010101" charset="-122"/>
            </a:endParaRPr>
          </a:p>
        </c:rich>
      </c:tx>
      <c:layout/>
      <c:overlay val="0"/>
      <c:spPr>
        <a:noFill/>
        <a:ln>
          <a:noFill/>
        </a:ln>
        <a:effectLst/>
      </c:spPr>
    </c:title>
    <c:autoTitleDeleted val="0"/>
    <c:plotArea>
      <c:layout/>
      <c:pieChart>
        <c:varyColors val="1"/>
        <c:ser>
          <c:idx val="0"/>
          <c:order val="0"/>
          <c:explosion val="0"/>
          <c:dPt>
            <c:idx val="0"/>
            <c:bubble3D val="0"/>
            <c:explosion val="0"/>
            <c:spPr>
              <a:solidFill>
                <a:schemeClr val="accent1"/>
              </a:solidFill>
              <a:ln w="19050">
                <a:solidFill>
                  <a:schemeClr val="lt1"/>
                </a:solidFill>
              </a:ln>
              <a:effectLst/>
            </c:spPr>
          </c:dPt>
          <c:dPt>
            <c:idx val="1"/>
            <c:bubble3D val="0"/>
            <c:explosion val="0"/>
            <c:spPr>
              <a:solidFill>
                <a:schemeClr val="accent2"/>
              </a:solidFill>
              <a:ln w="19050">
                <a:solidFill>
                  <a:schemeClr val="lt1"/>
                </a:solidFill>
              </a:ln>
              <a:effectLst/>
            </c:spPr>
          </c:dPt>
          <c:dPt>
            <c:idx val="2"/>
            <c:bubble3D val="0"/>
            <c:explosion val="0"/>
            <c:spPr>
              <a:solidFill>
                <a:schemeClr val="accent3"/>
              </a:solidFill>
              <a:ln w="19050">
                <a:solidFill>
                  <a:schemeClr val="lt1"/>
                </a:solidFill>
              </a:ln>
              <a:effectLst/>
            </c:spPr>
          </c:dPt>
          <c:dPt>
            <c:idx val="3"/>
            <c:bubble3D val="0"/>
            <c:explosion val="0"/>
            <c:spPr>
              <a:solidFill>
                <a:schemeClr val="accent4"/>
              </a:solidFill>
              <a:ln w="19050">
                <a:solidFill>
                  <a:schemeClr val="lt1"/>
                </a:solidFill>
              </a:ln>
              <a:effectLst/>
            </c:spPr>
          </c:dPt>
          <c:dPt>
            <c:idx val="4"/>
            <c:bubble3D val="0"/>
            <c:explosion val="0"/>
            <c:spPr>
              <a:solidFill>
                <a:schemeClr val="accent5"/>
              </a:solidFill>
              <a:ln w="19050">
                <a:solidFill>
                  <a:schemeClr val="lt1"/>
                </a:solidFill>
              </a:ln>
              <a:effectLst/>
            </c:spPr>
          </c:dPt>
          <c:dPt>
            <c:idx val="5"/>
            <c:bubble3D val="0"/>
            <c:explosion val="0"/>
            <c:spPr>
              <a:solidFill>
                <a:schemeClr val="accent6"/>
              </a:solidFill>
              <a:ln w="19050">
                <a:solidFill>
                  <a:schemeClr val="lt1"/>
                </a:solidFill>
              </a:ln>
              <a:effectLst/>
            </c:spPr>
          </c:dPt>
          <c:dPt>
            <c:idx val="6"/>
            <c:bubble3D val="0"/>
            <c:explosion val="0"/>
            <c:spPr>
              <a:solidFill>
                <a:schemeClr val="accent1">
                  <a:lumMod val="60000"/>
                </a:schemeClr>
              </a:solidFill>
              <a:ln w="19050">
                <a:solidFill>
                  <a:schemeClr val="lt1"/>
                </a:solidFill>
              </a:ln>
              <a:effectLst/>
            </c:spPr>
          </c:dPt>
          <c:dLbls>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rgbClr val="969696">
                          <a:alpha val="100000"/>
                        </a:srgbClr>
                      </a:solidFill>
                      <a:prstDash val="solid"/>
                      <a:round/>
                    </a:ln>
                  </c:spPr>
                </c15:leaderLines>
              </c:ext>
            </c:extLst>
          </c:dLbls>
          <c:cat>
            <c:strRef>
              <c:f>[决算画图.xls]Sheet1!$D$82:$D$88</c:f>
              <c:strCache>
                <c:ptCount val="7"/>
                <c:pt idx="0">
                  <c:v>一般公共服务支出</c:v>
                </c:pt>
                <c:pt idx="1">
                  <c:v>社会保障和就业支出</c:v>
                </c:pt>
                <c:pt idx="2">
                  <c:v>卫生健康支出</c:v>
                </c:pt>
                <c:pt idx="3">
                  <c:v>农林水支出</c:v>
                </c:pt>
                <c:pt idx="4">
                  <c:v>住房保障支出</c:v>
                </c:pt>
                <c:pt idx="5">
                  <c:v>教育支出</c:v>
                </c:pt>
                <c:pt idx="6">
                  <c:v>其他支出</c:v>
                </c:pt>
              </c:strCache>
            </c:strRef>
          </c:cat>
          <c:val>
            <c:numRef>
              <c:f>[决算画图.xls]Sheet1!$E$82:$E$88</c:f>
              <c:numCache>
                <c:formatCode>General</c:formatCode>
                <c:ptCount val="7"/>
                <c:pt idx="0">
                  <c:v>569.17</c:v>
                </c:pt>
                <c:pt idx="1">
                  <c:v>56.74</c:v>
                </c:pt>
                <c:pt idx="2">
                  <c:v>19.29</c:v>
                </c:pt>
                <c:pt idx="3">
                  <c:v>406.96</c:v>
                </c:pt>
                <c:pt idx="4">
                  <c:v>32.19</c:v>
                </c:pt>
                <c:pt idx="5">
                  <c:v>65.95</c:v>
                </c:pt>
                <c:pt idx="6">
                  <c:v>121.69</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wrap="square"/>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三公”经费财政拨款支出结构图</a:t>
            </a:r>
            <a:endParaRPr sz="1400" b="0" i="0" u="none" strike="noStrike" baseline="0">
              <a:solidFill>
                <a:srgbClr val="595959">
                  <a:alpha val="100000"/>
                </a:srgbClr>
              </a:solidFill>
              <a:latin typeface="宋体" panose="02010600030101010101" charset="-122"/>
              <a:ea typeface="宋体" panose="02010600030101010101" charset="-122"/>
              <a:cs typeface="宋体" panose="02010600030101010101" charset="-122"/>
            </a:endParaRPr>
          </a:p>
        </c:rich>
      </c:tx>
      <c:layout>
        <c:manualLayout>
          <c:xMode val="edge"/>
          <c:yMode val="edge"/>
          <c:x val="0.185387833923399"/>
          <c:y val="0.0103626943005181"/>
        </c:manualLayout>
      </c:layout>
      <c:overlay val="0"/>
      <c:spPr>
        <a:noFill/>
        <a:ln>
          <a:noFill/>
        </a:ln>
        <a:effectLst/>
      </c:spPr>
    </c:title>
    <c:autoTitleDeleted val="0"/>
    <c:plotArea>
      <c:layout/>
      <c:pieChart>
        <c:varyColors val="1"/>
        <c:ser>
          <c:idx val="0"/>
          <c:order val="0"/>
          <c:explosion val="0"/>
          <c:dPt>
            <c:idx val="0"/>
            <c:bubble3D val="0"/>
            <c:explosion val="0"/>
            <c:spPr>
              <a:solidFill>
                <a:schemeClr val="accent1"/>
              </a:solidFill>
              <a:ln w="19050">
                <a:solidFill>
                  <a:schemeClr val="lt1"/>
                </a:solidFill>
              </a:ln>
              <a:effectLst/>
            </c:spPr>
          </c:dPt>
          <c:dPt>
            <c:idx val="1"/>
            <c:bubble3D val="0"/>
            <c:explosion val="0"/>
            <c:spPr>
              <a:solidFill>
                <a:schemeClr val="accent2"/>
              </a:solidFill>
              <a:ln w="19050">
                <a:solidFill>
                  <a:schemeClr val="lt1"/>
                </a:solidFill>
              </a:ln>
              <a:effectLst/>
            </c:spPr>
          </c:dPt>
          <c:dPt>
            <c:idx val="2"/>
            <c:bubble3D val="0"/>
            <c:explosion val="0"/>
            <c:spPr>
              <a:solidFill>
                <a:schemeClr val="accent3"/>
              </a:solidFill>
              <a:ln w="19050">
                <a:solidFill>
                  <a:schemeClr val="lt1"/>
                </a:solidFill>
              </a:ln>
              <a:effectLst/>
            </c:spPr>
          </c:dPt>
          <c:dLbls>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rgbClr val="969696">
                          <a:alpha val="100000"/>
                        </a:srgbClr>
                      </a:solidFill>
                      <a:prstDash val="solid"/>
                      <a:round/>
                    </a:ln>
                  </c:spPr>
                </c15:leaderLines>
              </c:ext>
            </c:extLst>
          </c:dLbls>
          <c:cat>
            <c:strRef>
              <c:f>[决算画图.xls]Sheet1!$D$105:$D$107</c:f>
              <c:strCache>
                <c:ptCount val="3"/>
                <c:pt idx="0">
                  <c:v>因公出国（境）费</c:v>
                </c:pt>
                <c:pt idx="1">
                  <c:v>公务用车购置及运行维护费</c:v>
                </c:pt>
                <c:pt idx="2">
                  <c:v>公务接待费</c:v>
                </c:pt>
              </c:strCache>
            </c:strRef>
          </c:cat>
          <c:val>
            <c:numRef>
              <c:f>[决算画图.xls]Sheet1!$E$105:$E$107</c:f>
              <c:numCache>
                <c:formatCode>General</c:formatCode>
                <c:ptCount val="3"/>
                <c:pt idx="0">
                  <c:v>0</c:v>
                </c:pt>
                <c:pt idx="1">
                  <c:v>9</c:v>
                </c:pt>
                <c:pt idx="2">
                  <c:v>0.34</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wrap="square"/>
    <a:lstStyle/>
    <a:p>
      <a:pPr>
        <a:defRPr lang="zh-CN"/>
      </a:pPr>
    </a:p>
  </c:txPr>
  <c:externalData r:id="rId1">
    <c:autoUpdate val="0"/>
  </c:externalData>
</c:chartSpac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6B1738E9-03C6-4750-BDB4-23570FF92BE3}">
  <ds:schemaRefs/>
</ds:datastoreItem>
</file>

<file path=docProps/app.xml><?xml version="1.0" encoding="utf-8"?>
<Properties xmlns="http://schemas.openxmlformats.org/officeDocument/2006/extended-properties" xmlns:vt="http://schemas.openxmlformats.org/officeDocument/2006/docPropsVTypes">
  <Template>Normal</Template>
  <Company>四川省财政厅</Company>
  <Pages>21</Pages>
  <Words>7855</Words>
  <Characters>8777</Characters>
  <Lines>15</Lines>
  <Paragraphs>19</Paragraphs>
  <TotalTime>32</TotalTime>
  <ScaleCrop>false</ScaleCrop>
  <LinksUpToDate>false</LinksUpToDate>
  <CharactersWithSpaces>8841</CharactersWithSpaces>
  <Application>WPS Office_12.1.0.15374_F1E327BC-269C-435d-A152-05C5408002CA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2022-08-15T09:28:00Z</dcterms:created>
  <dc:creator>张彬茜</dc:creator>
  <cp:lastModifiedBy>變</cp:lastModifiedBy>
  <cp:lastPrinted>2023-09-21T01:40:31Z</cp:lastPrinted>
  <dcterms:modified xsi:type="dcterms:W3CDTF">2023-09-21T01:48:41Z</dcterms:modified>
  <dc:title>四川省***</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B021E76127AD47CE92BEF5790F8574EB</vt:lpwstr>
  </property>
</Properties>
</file>