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sz w:val="72"/>
          <w:szCs w:val="72"/>
        </w:rPr>
      </w:pPr>
      <w:bookmarkStart w:id="0" w:name="_Toc15306267"/>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adjustRightInd w:val="0"/>
        <w:snapToGrid w:val="0"/>
        <w:spacing w:line="360" w:lineRule="auto"/>
        <w:jc w:val="center"/>
        <w:outlineLvl w:val="0"/>
        <w:rPr>
          <w:rFonts w:eastAsia="方正小标宋简体"/>
          <w:sz w:val="72"/>
          <w:szCs w:val="72"/>
        </w:rPr>
      </w:pPr>
      <w:bookmarkStart w:id="1" w:name="_Toc15378441"/>
      <w:bookmarkStart w:id="2" w:name="_Toc15396475"/>
      <w:bookmarkStart w:id="3" w:name="_Toc15377425"/>
      <w:bookmarkStart w:id="4" w:name="_Toc15396597"/>
      <w:bookmarkStart w:id="5" w:name="_Toc15377193"/>
      <w:r>
        <w:rPr>
          <w:rFonts w:eastAsia="黑体"/>
          <w:sz w:val="72"/>
          <w:szCs w:val="72"/>
        </w:rPr>
        <w:t>2020</w:t>
      </w:r>
      <w:r>
        <w:rPr>
          <w:rFonts w:eastAsia="方正小标宋简体"/>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eastAsia="方正小标宋简体"/>
          <w:sz w:val="72"/>
          <w:szCs w:val="72"/>
        </w:rPr>
      </w:pPr>
      <w:bookmarkStart w:id="6" w:name="_Toc20266"/>
      <w:bookmarkStart w:id="7" w:name="_Toc28892"/>
      <w:bookmarkStart w:id="8" w:name="_Toc15377194"/>
      <w:bookmarkStart w:id="9" w:name="_Toc15378442"/>
      <w:bookmarkStart w:id="10" w:name="_Toc15377426"/>
      <w:bookmarkStart w:id="11" w:name="_Toc15306268"/>
      <w:bookmarkStart w:id="12" w:name="_Toc15396598"/>
      <w:bookmarkStart w:id="13" w:name="_Toc15396476"/>
      <w:r>
        <w:rPr>
          <w:rFonts w:eastAsia="方正小标宋简体"/>
          <w:sz w:val="72"/>
          <w:szCs w:val="72"/>
        </w:rPr>
        <w:t>中共金川县</w:t>
      </w:r>
      <w:bookmarkEnd w:id="6"/>
      <w:bookmarkEnd w:id="7"/>
      <w:r>
        <w:rPr>
          <w:rFonts w:eastAsia="方正小标宋简体"/>
          <w:sz w:val="72"/>
          <w:szCs w:val="72"/>
        </w:rPr>
        <w:t>委组织部</w:t>
      </w:r>
    </w:p>
    <w:p>
      <w:pPr>
        <w:adjustRightInd w:val="0"/>
        <w:snapToGrid w:val="0"/>
        <w:spacing w:line="360" w:lineRule="auto"/>
        <w:jc w:val="center"/>
        <w:outlineLvl w:val="0"/>
        <w:rPr>
          <w:rFonts w:eastAsia="方正小标宋简体"/>
          <w:sz w:val="72"/>
          <w:szCs w:val="72"/>
        </w:rPr>
      </w:pPr>
      <w:r>
        <w:rPr>
          <w:rFonts w:eastAsia="方正小标宋简体"/>
          <w:sz w:val="72"/>
          <w:szCs w:val="72"/>
        </w:rPr>
        <w:t>部门决算</w:t>
      </w:r>
      <w:bookmarkEnd w:id="8"/>
      <w:bookmarkEnd w:id="9"/>
      <w:bookmarkEnd w:id="10"/>
      <w:bookmarkEnd w:id="11"/>
      <w:bookmarkEnd w:id="12"/>
      <w:bookmarkEnd w:id="13"/>
    </w:p>
    <w:p>
      <w:pPr>
        <w:widowControl/>
        <w:jc w:val="center"/>
        <w:rPr>
          <w:rFonts w:eastAsia="方正小标宋简体"/>
          <w:sz w:val="36"/>
          <w:szCs w:val="36"/>
        </w:rPr>
      </w:pPr>
    </w:p>
    <w:p>
      <w:pPr>
        <w:widowControl/>
        <w:jc w:val="center"/>
        <w:rPr>
          <w:rFonts w:eastAsia="方正小标宋简体"/>
          <w:sz w:val="36"/>
          <w:szCs w:val="36"/>
        </w:rPr>
      </w:pPr>
    </w:p>
    <w:p>
      <w:pPr>
        <w:widowControl/>
        <w:jc w:val="center"/>
        <w:rPr>
          <w:rFonts w:eastAsia="方正小标宋简体"/>
          <w:sz w:val="36"/>
          <w:szCs w:val="36"/>
        </w:rPr>
      </w:pPr>
    </w:p>
    <w:p>
      <w:pPr>
        <w:widowControl/>
        <w:jc w:val="center"/>
        <w:rPr>
          <w:rFonts w:eastAsia="黑体"/>
          <w:sz w:val="48"/>
          <w:szCs w:val="48"/>
        </w:rPr>
      </w:pPr>
      <w:r>
        <w:rPr>
          <w:rFonts w:eastAsia="方正小标宋简体"/>
          <w:sz w:val="36"/>
          <w:szCs w:val="36"/>
        </w:rPr>
        <w:br w:type="page"/>
      </w:r>
      <w:r>
        <w:rPr>
          <w:rFonts w:eastAsia="黑体"/>
          <w:sz w:val="48"/>
          <w:szCs w:val="48"/>
        </w:rPr>
        <w:t>目录</w:t>
      </w:r>
    </w:p>
    <w:p>
      <w:pPr>
        <w:widowControl/>
        <w:jc w:val="center"/>
        <w:rPr>
          <w:rFonts w:eastAsia="黑体"/>
          <w:sz w:val="28"/>
          <w:szCs w:val="28"/>
        </w:rPr>
      </w:pPr>
      <w:r>
        <w:rPr>
          <w:rFonts w:eastAsia="黑体"/>
          <w:sz w:val="48"/>
          <w:szCs w:val="48"/>
        </w:rPr>
        <w:fldChar w:fldCharType="begin"/>
      </w:r>
      <w:r>
        <w:rPr>
          <w:rFonts w:eastAsia="黑体"/>
          <w:sz w:val="48"/>
          <w:szCs w:val="48"/>
        </w:rPr>
        <w:instrText xml:space="preserve"> TOC \o "1-2" \h \z \u </w:instrText>
      </w:r>
      <w:r>
        <w:rPr>
          <w:rFonts w:eastAsia="黑体"/>
          <w:sz w:val="48"/>
          <w:szCs w:val="48"/>
        </w:rPr>
        <w:fldChar w:fldCharType="separate"/>
      </w:r>
    </w:p>
    <w:p>
      <w:pPr>
        <w:pStyle w:val="10"/>
        <w:rPr>
          <w:rFonts w:ascii="Times New Roman"/>
        </w:rPr>
      </w:pPr>
      <w:r>
        <w:rPr>
          <w:rFonts w:ascii="Times New Roman"/>
        </w:rPr>
        <w:t>公开时间：2021年8月3日</w:t>
      </w:r>
    </w:p>
    <w:p/>
    <w:p/>
    <w:p/>
    <w:p/>
    <w:p>
      <w:pPr>
        <w:pStyle w:val="10"/>
        <w:rPr>
          <w:rFonts w:ascii="Times New Roman"/>
        </w:rPr>
      </w:pPr>
      <w:r>
        <w:fldChar w:fldCharType="begin"/>
      </w:r>
      <w:r>
        <w:instrText xml:space="preserve"> HYPERLINK \l "_Toc15396599" </w:instrText>
      </w:r>
      <w:r>
        <w:fldChar w:fldCharType="separate"/>
      </w:r>
      <w:r>
        <w:rPr>
          <w:rFonts w:ascii="Times New Roman"/>
        </w:rPr>
        <w:t>第一部分 部门概况</w:t>
      </w:r>
      <w:r>
        <w:rPr>
          <w:rFonts w:ascii="Times New Roman"/>
        </w:rPr>
        <w:tab/>
      </w:r>
      <w:r>
        <w:rPr>
          <w:rFonts w:ascii="Times New Roman"/>
        </w:rPr>
        <w:t>4</w:t>
      </w:r>
      <w:r>
        <w:rPr>
          <w:rFonts w:ascii="Times New Roman"/>
        </w:rPr>
        <w:fldChar w:fldCharType="end"/>
      </w:r>
    </w:p>
    <w:p>
      <w:pPr>
        <w:pStyle w:val="11"/>
        <w:ind w:left="420"/>
        <w:rPr>
          <w:rFonts w:eastAsia="仿宋"/>
          <w:sz w:val="28"/>
          <w:szCs w:val="28"/>
        </w:rPr>
      </w:pPr>
      <w:r>
        <w:fldChar w:fldCharType="begin"/>
      </w:r>
      <w:r>
        <w:instrText xml:space="preserve"> HYPERLINK \l "_Toc15396600" </w:instrText>
      </w:r>
      <w:r>
        <w:fldChar w:fldCharType="separate"/>
      </w:r>
      <w:r>
        <w:rPr>
          <w:rFonts w:eastAsia="仿宋"/>
          <w:sz w:val="28"/>
          <w:szCs w:val="28"/>
        </w:rPr>
        <w:t>一、基本职能及主要工作</w:t>
      </w:r>
      <w:r>
        <w:rPr>
          <w:rFonts w:eastAsia="仿宋"/>
          <w:sz w:val="28"/>
          <w:szCs w:val="28"/>
        </w:rPr>
        <w:tab/>
      </w:r>
      <w:r>
        <w:rPr>
          <w:rFonts w:eastAsia="仿宋"/>
          <w:sz w:val="28"/>
          <w:szCs w:val="28"/>
        </w:rPr>
        <w:t>4</w:t>
      </w:r>
      <w:r>
        <w:rPr>
          <w:rFonts w:eastAsia="仿宋"/>
          <w:sz w:val="28"/>
          <w:szCs w:val="28"/>
        </w:rPr>
        <w:fldChar w:fldCharType="end"/>
      </w:r>
    </w:p>
    <w:p>
      <w:pPr>
        <w:pStyle w:val="11"/>
        <w:ind w:left="420"/>
        <w:rPr>
          <w:rFonts w:eastAsia="仿宋"/>
          <w:sz w:val="28"/>
          <w:szCs w:val="28"/>
        </w:rPr>
      </w:pPr>
      <w:r>
        <w:fldChar w:fldCharType="begin"/>
      </w:r>
      <w:r>
        <w:instrText xml:space="preserve"> HYPERLINK \l "_Toc15396601" </w:instrText>
      </w:r>
      <w:r>
        <w:fldChar w:fldCharType="separate"/>
      </w:r>
      <w:r>
        <w:rPr>
          <w:rFonts w:eastAsia="仿宋"/>
          <w:sz w:val="28"/>
          <w:szCs w:val="28"/>
        </w:rPr>
        <w:t>二、机构设置</w:t>
      </w:r>
      <w:r>
        <w:rPr>
          <w:rFonts w:eastAsia="仿宋"/>
          <w:sz w:val="28"/>
          <w:szCs w:val="28"/>
        </w:rPr>
        <w:tab/>
      </w:r>
      <w:r>
        <w:rPr>
          <w:rFonts w:eastAsia="仿宋"/>
          <w:sz w:val="28"/>
          <w:szCs w:val="28"/>
        </w:rPr>
        <w:t>6</w:t>
      </w:r>
      <w:r>
        <w:rPr>
          <w:rFonts w:eastAsia="仿宋"/>
          <w:sz w:val="28"/>
          <w:szCs w:val="28"/>
        </w:rPr>
        <w:fldChar w:fldCharType="end"/>
      </w:r>
    </w:p>
    <w:p>
      <w:pPr>
        <w:pStyle w:val="10"/>
        <w:rPr>
          <w:rFonts w:ascii="Times New Roman"/>
        </w:rPr>
      </w:pPr>
      <w:r>
        <w:fldChar w:fldCharType="begin"/>
      </w:r>
      <w:r>
        <w:instrText xml:space="preserve"> HYPERLINK \l "_Toc15396602" </w:instrText>
      </w:r>
      <w:r>
        <w:fldChar w:fldCharType="separate"/>
      </w:r>
      <w:r>
        <w:rPr>
          <w:rFonts w:ascii="Times New Roman"/>
        </w:rPr>
        <w:t>第二部分 部门决算情况说明</w:t>
      </w:r>
      <w:r>
        <w:rPr>
          <w:rFonts w:ascii="Times New Roman"/>
        </w:rPr>
        <w:tab/>
      </w:r>
      <w:r>
        <w:rPr>
          <w:rFonts w:ascii="Times New Roman"/>
        </w:rPr>
        <w:t>7</w:t>
      </w:r>
      <w:r>
        <w:rPr>
          <w:rFonts w:ascii="Times New Roman"/>
        </w:rPr>
        <w:fldChar w:fldCharType="end"/>
      </w:r>
    </w:p>
    <w:p>
      <w:pPr>
        <w:pStyle w:val="11"/>
        <w:ind w:left="420"/>
        <w:rPr>
          <w:rFonts w:eastAsia="仿宋"/>
          <w:sz w:val="28"/>
          <w:szCs w:val="28"/>
        </w:rPr>
      </w:pPr>
      <w:r>
        <w:fldChar w:fldCharType="begin"/>
      </w:r>
      <w:r>
        <w:instrText xml:space="preserve"> HYPERLINK \l "_Toc15396603" </w:instrText>
      </w:r>
      <w:r>
        <w:fldChar w:fldCharType="separate"/>
      </w:r>
      <w:r>
        <w:rPr>
          <w:rFonts w:eastAsia="仿宋"/>
          <w:bCs/>
          <w:sz w:val="28"/>
          <w:szCs w:val="28"/>
        </w:rPr>
        <w:t>一、</w:t>
      </w:r>
      <w:r>
        <w:rPr>
          <w:rFonts w:eastAsia="仿宋"/>
          <w:sz w:val="28"/>
          <w:szCs w:val="28"/>
        </w:rPr>
        <w:t>收</w:t>
      </w:r>
      <w:r>
        <w:rPr>
          <w:rFonts w:eastAsia="仿宋"/>
          <w:bCs/>
          <w:sz w:val="28"/>
          <w:szCs w:val="28"/>
        </w:rPr>
        <w:t>入支出决算总体情况说明</w:t>
      </w:r>
      <w:r>
        <w:rPr>
          <w:rFonts w:eastAsia="仿宋"/>
          <w:sz w:val="28"/>
          <w:szCs w:val="28"/>
        </w:rPr>
        <w:tab/>
      </w:r>
      <w:r>
        <w:rPr>
          <w:rFonts w:eastAsia="仿宋"/>
          <w:sz w:val="28"/>
          <w:szCs w:val="28"/>
        </w:rPr>
        <w:t>7</w:t>
      </w:r>
      <w:r>
        <w:rPr>
          <w:rFonts w:eastAsia="仿宋"/>
          <w:sz w:val="28"/>
          <w:szCs w:val="28"/>
        </w:rPr>
        <w:fldChar w:fldCharType="end"/>
      </w:r>
    </w:p>
    <w:p>
      <w:pPr>
        <w:pStyle w:val="11"/>
        <w:ind w:left="420"/>
        <w:rPr>
          <w:rFonts w:eastAsia="仿宋"/>
          <w:sz w:val="28"/>
          <w:szCs w:val="28"/>
        </w:rPr>
      </w:pPr>
      <w:r>
        <w:fldChar w:fldCharType="begin"/>
      </w:r>
      <w:r>
        <w:instrText xml:space="preserve"> HYPERLINK \l "_Toc15396604" </w:instrText>
      </w:r>
      <w:r>
        <w:fldChar w:fldCharType="separate"/>
      </w:r>
      <w:r>
        <w:rPr>
          <w:rFonts w:eastAsia="仿宋"/>
          <w:bCs/>
          <w:sz w:val="28"/>
          <w:szCs w:val="28"/>
        </w:rPr>
        <w:t>二、</w:t>
      </w:r>
      <w:r>
        <w:rPr>
          <w:rFonts w:eastAsia="仿宋"/>
          <w:sz w:val="28"/>
          <w:szCs w:val="28"/>
        </w:rPr>
        <w:t>收</w:t>
      </w:r>
      <w:r>
        <w:rPr>
          <w:rFonts w:eastAsia="仿宋"/>
          <w:bCs/>
          <w:sz w:val="28"/>
          <w:szCs w:val="28"/>
        </w:rPr>
        <w:t>入决算情况说明</w:t>
      </w:r>
      <w:r>
        <w:rPr>
          <w:rFonts w:eastAsia="仿宋"/>
          <w:sz w:val="28"/>
          <w:szCs w:val="28"/>
        </w:rPr>
        <w:tab/>
      </w:r>
      <w:r>
        <w:rPr>
          <w:rFonts w:eastAsia="仿宋"/>
          <w:sz w:val="28"/>
          <w:szCs w:val="28"/>
        </w:rPr>
        <w:t>7</w:t>
      </w:r>
      <w:r>
        <w:rPr>
          <w:rFonts w:eastAsia="仿宋"/>
          <w:sz w:val="28"/>
          <w:szCs w:val="28"/>
        </w:rPr>
        <w:fldChar w:fldCharType="end"/>
      </w:r>
    </w:p>
    <w:p>
      <w:pPr>
        <w:pStyle w:val="11"/>
        <w:ind w:left="420"/>
        <w:rPr>
          <w:rFonts w:eastAsia="仿宋"/>
          <w:sz w:val="28"/>
          <w:szCs w:val="28"/>
        </w:rPr>
      </w:pPr>
      <w:r>
        <w:fldChar w:fldCharType="begin"/>
      </w:r>
      <w:r>
        <w:instrText xml:space="preserve"> HYPERLINK \l "_Toc15396605" </w:instrText>
      </w:r>
      <w:r>
        <w:fldChar w:fldCharType="separate"/>
      </w:r>
      <w:r>
        <w:rPr>
          <w:rFonts w:eastAsia="仿宋"/>
          <w:bCs/>
          <w:sz w:val="28"/>
          <w:szCs w:val="28"/>
        </w:rPr>
        <w:t>三、</w:t>
      </w:r>
      <w:r>
        <w:rPr>
          <w:rFonts w:eastAsia="仿宋"/>
          <w:sz w:val="28"/>
          <w:szCs w:val="28"/>
        </w:rPr>
        <w:t>支</w:t>
      </w:r>
      <w:r>
        <w:rPr>
          <w:rFonts w:eastAsia="仿宋"/>
          <w:bCs/>
          <w:sz w:val="28"/>
          <w:szCs w:val="28"/>
        </w:rPr>
        <w:t>出决算情况说明</w:t>
      </w:r>
      <w:r>
        <w:rPr>
          <w:rFonts w:eastAsia="仿宋"/>
          <w:sz w:val="28"/>
          <w:szCs w:val="28"/>
        </w:rPr>
        <w:tab/>
      </w:r>
      <w:r>
        <w:rPr>
          <w:rFonts w:eastAsia="仿宋"/>
          <w:sz w:val="28"/>
          <w:szCs w:val="28"/>
        </w:rPr>
        <w:t>8</w:t>
      </w:r>
      <w:r>
        <w:rPr>
          <w:rFonts w:eastAsia="仿宋"/>
          <w:sz w:val="28"/>
          <w:szCs w:val="28"/>
        </w:rPr>
        <w:fldChar w:fldCharType="end"/>
      </w:r>
    </w:p>
    <w:p>
      <w:pPr>
        <w:pStyle w:val="11"/>
        <w:ind w:left="420"/>
        <w:rPr>
          <w:rFonts w:eastAsia="仿宋"/>
          <w:sz w:val="28"/>
          <w:szCs w:val="28"/>
        </w:rPr>
      </w:pPr>
      <w:r>
        <w:fldChar w:fldCharType="begin"/>
      </w:r>
      <w:r>
        <w:instrText xml:space="preserve"> HYPERLINK \l "_Toc15396606" </w:instrText>
      </w:r>
      <w:r>
        <w:fldChar w:fldCharType="separate"/>
      </w:r>
      <w:r>
        <w:rPr>
          <w:rFonts w:eastAsia="仿宋"/>
          <w:sz w:val="28"/>
          <w:szCs w:val="28"/>
        </w:rPr>
        <w:t>四、财</w:t>
      </w:r>
      <w:r>
        <w:rPr>
          <w:rFonts w:eastAsia="仿宋"/>
          <w:bCs/>
          <w:sz w:val="28"/>
          <w:szCs w:val="28"/>
        </w:rPr>
        <w:t>政拨款收入支出决算总体情况说明</w:t>
      </w:r>
      <w:r>
        <w:rPr>
          <w:rFonts w:eastAsia="仿宋"/>
          <w:sz w:val="28"/>
          <w:szCs w:val="28"/>
        </w:rPr>
        <w:tab/>
      </w:r>
      <w:r>
        <w:rPr>
          <w:rFonts w:eastAsia="仿宋"/>
          <w:sz w:val="28"/>
          <w:szCs w:val="28"/>
        </w:rPr>
        <w:t>9</w:t>
      </w:r>
      <w:r>
        <w:rPr>
          <w:rFonts w:eastAsia="仿宋"/>
          <w:sz w:val="28"/>
          <w:szCs w:val="28"/>
        </w:rPr>
        <w:fldChar w:fldCharType="end"/>
      </w:r>
    </w:p>
    <w:p>
      <w:pPr>
        <w:pStyle w:val="11"/>
        <w:ind w:left="420"/>
        <w:rPr>
          <w:rFonts w:eastAsia="仿宋"/>
          <w:sz w:val="28"/>
          <w:szCs w:val="28"/>
        </w:rPr>
      </w:pPr>
      <w:r>
        <w:fldChar w:fldCharType="begin"/>
      </w:r>
      <w:r>
        <w:instrText xml:space="preserve"> HYPERLINK \l "_Toc15396607" </w:instrText>
      </w:r>
      <w:r>
        <w:fldChar w:fldCharType="separate"/>
      </w:r>
      <w:r>
        <w:rPr>
          <w:rFonts w:eastAsia="仿宋"/>
          <w:sz w:val="28"/>
          <w:szCs w:val="28"/>
        </w:rPr>
        <w:t>五、一</w:t>
      </w:r>
      <w:r>
        <w:rPr>
          <w:rFonts w:eastAsia="仿宋"/>
          <w:bCs/>
          <w:sz w:val="28"/>
          <w:szCs w:val="28"/>
        </w:rPr>
        <w:t>般公共预算财政拨款支出决算情况说明</w:t>
      </w:r>
      <w:r>
        <w:rPr>
          <w:rFonts w:eastAsia="仿宋"/>
          <w:sz w:val="28"/>
          <w:szCs w:val="28"/>
        </w:rPr>
        <w:tab/>
      </w:r>
      <w:r>
        <w:rPr>
          <w:rFonts w:eastAsia="仿宋"/>
          <w:sz w:val="28"/>
          <w:szCs w:val="28"/>
        </w:rPr>
        <w:t>9</w:t>
      </w:r>
      <w:r>
        <w:rPr>
          <w:rFonts w:eastAsia="仿宋"/>
          <w:sz w:val="28"/>
          <w:szCs w:val="28"/>
        </w:rPr>
        <w:fldChar w:fldCharType="end"/>
      </w:r>
    </w:p>
    <w:p>
      <w:pPr>
        <w:pStyle w:val="11"/>
        <w:ind w:left="420"/>
        <w:rPr>
          <w:rFonts w:eastAsia="仿宋"/>
          <w:sz w:val="28"/>
          <w:szCs w:val="28"/>
        </w:rPr>
      </w:pPr>
      <w:r>
        <w:fldChar w:fldCharType="begin"/>
      </w:r>
      <w:r>
        <w:instrText xml:space="preserve"> HYPERLINK \l "_Toc15396608" </w:instrText>
      </w:r>
      <w:r>
        <w:fldChar w:fldCharType="separate"/>
      </w:r>
      <w:r>
        <w:rPr>
          <w:rFonts w:eastAsia="仿宋"/>
          <w:sz w:val="28"/>
          <w:szCs w:val="28"/>
        </w:rPr>
        <w:t>六、一</w:t>
      </w:r>
      <w:r>
        <w:rPr>
          <w:rFonts w:eastAsia="仿宋"/>
          <w:bCs/>
          <w:sz w:val="28"/>
          <w:szCs w:val="28"/>
        </w:rPr>
        <w:t>般公共预算财政拨款基本支出决算情况说明</w:t>
      </w:r>
      <w:r>
        <w:rPr>
          <w:rFonts w:eastAsia="仿宋"/>
          <w:sz w:val="28"/>
          <w:szCs w:val="28"/>
        </w:rPr>
        <w:tab/>
      </w:r>
      <w:r>
        <w:rPr>
          <w:rFonts w:eastAsia="仿宋"/>
          <w:sz w:val="28"/>
          <w:szCs w:val="28"/>
        </w:rPr>
        <w:t>1</w:t>
      </w:r>
      <w:r>
        <w:rPr>
          <w:rFonts w:eastAsia="仿宋"/>
          <w:sz w:val="28"/>
          <w:szCs w:val="28"/>
        </w:rPr>
        <w:fldChar w:fldCharType="end"/>
      </w:r>
      <w:r>
        <w:rPr>
          <w:rFonts w:eastAsia="仿宋"/>
          <w:sz w:val="28"/>
          <w:szCs w:val="28"/>
        </w:rPr>
        <w:t>2</w:t>
      </w:r>
    </w:p>
    <w:p>
      <w:pPr>
        <w:pStyle w:val="11"/>
        <w:ind w:left="420"/>
        <w:rPr>
          <w:rFonts w:eastAsia="仿宋"/>
          <w:sz w:val="28"/>
          <w:szCs w:val="28"/>
        </w:rPr>
      </w:pPr>
      <w:r>
        <w:fldChar w:fldCharType="begin"/>
      </w:r>
      <w:r>
        <w:instrText xml:space="preserve"> HYPERLINK \l "_Toc15396609" </w:instrText>
      </w:r>
      <w:r>
        <w:fldChar w:fldCharType="separate"/>
      </w:r>
      <w:r>
        <w:rPr>
          <w:rFonts w:eastAsia="仿宋"/>
          <w:sz w:val="28"/>
          <w:szCs w:val="28"/>
        </w:rPr>
        <w:t>七、“</w:t>
      </w:r>
      <w:r>
        <w:rPr>
          <w:rFonts w:eastAsia="仿宋"/>
          <w:bCs/>
          <w:sz w:val="28"/>
          <w:szCs w:val="28"/>
        </w:rPr>
        <w:t>三公”经费财政拨款支出决算情况说明</w:t>
      </w:r>
      <w:r>
        <w:rPr>
          <w:rFonts w:eastAsia="仿宋"/>
          <w:sz w:val="28"/>
          <w:szCs w:val="28"/>
        </w:rPr>
        <w:tab/>
      </w:r>
      <w:r>
        <w:rPr>
          <w:rFonts w:eastAsia="仿宋"/>
          <w:sz w:val="28"/>
          <w:szCs w:val="28"/>
        </w:rPr>
        <w:t>1</w:t>
      </w:r>
      <w:r>
        <w:rPr>
          <w:rFonts w:eastAsia="仿宋"/>
          <w:sz w:val="28"/>
          <w:szCs w:val="28"/>
        </w:rPr>
        <w:fldChar w:fldCharType="end"/>
      </w:r>
      <w:r>
        <w:rPr>
          <w:rFonts w:eastAsia="仿宋"/>
          <w:sz w:val="28"/>
          <w:szCs w:val="28"/>
        </w:rPr>
        <w:t>3</w:t>
      </w:r>
    </w:p>
    <w:p>
      <w:pPr>
        <w:pStyle w:val="11"/>
        <w:ind w:left="420"/>
        <w:rPr>
          <w:rFonts w:eastAsia="仿宋"/>
          <w:sz w:val="28"/>
          <w:szCs w:val="28"/>
        </w:rPr>
      </w:pPr>
      <w:r>
        <w:fldChar w:fldCharType="begin"/>
      </w:r>
      <w:r>
        <w:instrText xml:space="preserve"> HYPERLINK \l "_Toc15396610" </w:instrText>
      </w:r>
      <w:r>
        <w:fldChar w:fldCharType="separate"/>
      </w:r>
      <w:r>
        <w:rPr>
          <w:rFonts w:eastAsia="仿宋"/>
          <w:sz w:val="28"/>
          <w:szCs w:val="28"/>
        </w:rPr>
        <w:t>八、</w:t>
      </w:r>
      <w:r>
        <w:rPr>
          <w:rFonts w:eastAsia="仿宋"/>
          <w:bCs/>
          <w:sz w:val="28"/>
          <w:szCs w:val="28"/>
        </w:rPr>
        <w:t>政府性基金预算支出决算情况说明</w:t>
      </w:r>
      <w:r>
        <w:rPr>
          <w:rFonts w:eastAsia="仿宋"/>
          <w:sz w:val="28"/>
          <w:szCs w:val="28"/>
        </w:rPr>
        <w:tab/>
      </w:r>
      <w:r>
        <w:rPr>
          <w:rFonts w:eastAsia="仿宋"/>
          <w:sz w:val="28"/>
          <w:szCs w:val="28"/>
        </w:rPr>
        <w:t>1</w:t>
      </w:r>
      <w:r>
        <w:rPr>
          <w:rFonts w:eastAsia="仿宋"/>
          <w:sz w:val="28"/>
          <w:szCs w:val="28"/>
        </w:rPr>
        <w:fldChar w:fldCharType="end"/>
      </w:r>
      <w:r>
        <w:rPr>
          <w:rFonts w:eastAsia="仿宋"/>
          <w:sz w:val="28"/>
          <w:szCs w:val="28"/>
        </w:rPr>
        <w:t>5</w:t>
      </w:r>
    </w:p>
    <w:p>
      <w:pPr>
        <w:pStyle w:val="11"/>
        <w:ind w:left="420"/>
        <w:rPr>
          <w:rFonts w:eastAsia="仿宋"/>
          <w:sz w:val="28"/>
          <w:szCs w:val="28"/>
        </w:rPr>
      </w:pPr>
      <w:r>
        <w:fldChar w:fldCharType="begin"/>
      </w:r>
      <w:r>
        <w:instrText xml:space="preserve"> HYPERLINK \l "_Toc15396611" </w:instrText>
      </w:r>
      <w:r>
        <w:fldChar w:fldCharType="separate"/>
      </w:r>
      <w:r>
        <w:rPr>
          <w:rFonts w:eastAsia="仿宋"/>
          <w:bCs/>
          <w:sz w:val="28"/>
          <w:szCs w:val="28"/>
        </w:rPr>
        <w:t>九、</w:t>
      </w:r>
      <w:r>
        <w:rPr>
          <w:rFonts w:eastAsia="仿宋"/>
          <w:sz w:val="28"/>
          <w:szCs w:val="28"/>
        </w:rPr>
        <w:t xml:space="preserve"> 国</w:t>
      </w:r>
      <w:r>
        <w:rPr>
          <w:rFonts w:eastAsia="仿宋"/>
          <w:bCs/>
          <w:sz w:val="28"/>
          <w:szCs w:val="28"/>
        </w:rPr>
        <w:t>有资本经营预算支出决算情况说明</w:t>
      </w:r>
      <w:r>
        <w:rPr>
          <w:rFonts w:eastAsia="仿宋"/>
          <w:sz w:val="28"/>
          <w:szCs w:val="28"/>
        </w:rPr>
        <w:tab/>
      </w:r>
      <w:r>
        <w:rPr>
          <w:rFonts w:eastAsia="仿宋"/>
          <w:sz w:val="28"/>
          <w:szCs w:val="28"/>
        </w:rPr>
        <w:t>1</w:t>
      </w:r>
      <w:r>
        <w:rPr>
          <w:rFonts w:eastAsia="仿宋"/>
          <w:sz w:val="28"/>
          <w:szCs w:val="28"/>
        </w:rPr>
        <w:fldChar w:fldCharType="end"/>
      </w:r>
      <w:r>
        <w:rPr>
          <w:rFonts w:eastAsia="仿宋"/>
          <w:sz w:val="28"/>
          <w:szCs w:val="28"/>
        </w:rPr>
        <w:t>5</w:t>
      </w:r>
    </w:p>
    <w:p>
      <w:pPr>
        <w:pStyle w:val="11"/>
        <w:ind w:left="420"/>
        <w:rPr>
          <w:rFonts w:eastAsia="仿宋"/>
          <w:sz w:val="28"/>
          <w:szCs w:val="28"/>
        </w:rPr>
      </w:pPr>
      <w:r>
        <w:rPr>
          <w:rStyle w:val="16"/>
          <w:rFonts w:eastAsia="仿宋"/>
          <w:bCs/>
          <w:color w:val="auto"/>
          <w:sz w:val="28"/>
          <w:szCs w:val="28"/>
        </w:rPr>
        <w:t>十、预算绩效情况说明.....................................................................15</w:t>
      </w:r>
    </w:p>
    <w:p>
      <w:pPr>
        <w:pStyle w:val="11"/>
        <w:ind w:left="0" w:leftChars="0" w:firstLine="420" w:firstLineChars="200"/>
        <w:rPr>
          <w:rFonts w:eastAsia="仿宋"/>
          <w:sz w:val="28"/>
          <w:szCs w:val="28"/>
        </w:rPr>
      </w:pPr>
      <w:r>
        <w:fldChar w:fldCharType="begin"/>
      </w:r>
      <w:r>
        <w:instrText xml:space="preserve"> HYPERLINK \l "_Toc15396612" </w:instrText>
      </w:r>
      <w:r>
        <w:fldChar w:fldCharType="separate"/>
      </w:r>
      <w:r>
        <w:rPr>
          <w:rFonts w:eastAsia="仿宋"/>
          <w:sz w:val="28"/>
          <w:szCs w:val="28"/>
        </w:rPr>
        <w:t>十</w:t>
      </w:r>
      <w:r>
        <w:rPr>
          <w:rFonts w:eastAsia="仿宋"/>
          <w:bCs/>
          <w:sz w:val="28"/>
          <w:szCs w:val="28"/>
        </w:rPr>
        <w:t>一、其他重要事项的情况说明</w:t>
      </w:r>
      <w:r>
        <w:rPr>
          <w:rFonts w:eastAsia="仿宋"/>
          <w:sz w:val="28"/>
          <w:szCs w:val="28"/>
        </w:rPr>
        <w:tab/>
      </w:r>
      <w:r>
        <w:rPr>
          <w:rFonts w:eastAsia="仿宋"/>
          <w:sz w:val="28"/>
          <w:szCs w:val="28"/>
        </w:rPr>
        <w:t>2</w:t>
      </w:r>
      <w:r>
        <w:rPr>
          <w:rFonts w:eastAsia="仿宋"/>
          <w:sz w:val="28"/>
          <w:szCs w:val="28"/>
        </w:rPr>
        <w:fldChar w:fldCharType="end"/>
      </w:r>
      <w:r>
        <w:rPr>
          <w:rFonts w:eastAsia="仿宋"/>
          <w:sz w:val="28"/>
          <w:szCs w:val="28"/>
        </w:rPr>
        <w:t>3</w:t>
      </w:r>
    </w:p>
    <w:p>
      <w:pPr>
        <w:pStyle w:val="10"/>
        <w:rPr>
          <w:rFonts w:ascii="Times New Roman"/>
        </w:rPr>
      </w:pPr>
      <w:r>
        <w:fldChar w:fldCharType="begin"/>
      </w:r>
      <w:r>
        <w:instrText xml:space="preserve"> HYPERLINK \l "_Toc15396613" </w:instrText>
      </w:r>
      <w:r>
        <w:fldChar w:fldCharType="separate"/>
      </w:r>
      <w:r>
        <w:rPr>
          <w:rFonts w:ascii="Times New Roman"/>
          <w:bCs/>
          <w:kern w:val="44"/>
        </w:rPr>
        <w:t>第三部分</w:t>
      </w:r>
      <w:r>
        <w:rPr>
          <w:rFonts w:ascii="Times New Roman"/>
        </w:rPr>
        <w:t xml:space="preserve"> 名</w:t>
      </w:r>
      <w:r>
        <w:rPr>
          <w:rFonts w:ascii="Times New Roman"/>
          <w:bCs/>
          <w:kern w:val="44"/>
        </w:rPr>
        <w:t>词解释</w:t>
      </w:r>
      <w:r>
        <w:rPr>
          <w:rFonts w:ascii="Times New Roman"/>
        </w:rPr>
        <w:tab/>
      </w:r>
      <w:r>
        <w:rPr>
          <w:rFonts w:ascii="Times New Roman"/>
        </w:rPr>
        <w:t>2</w:t>
      </w:r>
      <w:r>
        <w:rPr>
          <w:rFonts w:ascii="Times New Roman"/>
        </w:rPr>
        <w:fldChar w:fldCharType="end"/>
      </w:r>
      <w:r>
        <w:rPr>
          <w:rFonts w:ascii="Times New Roman"/>
        </w:rPr>
        <w:t>5</w:t>
      </w:r>
    </w:p>
    <w:p>
      <w:pPr>
        <w:pStyle w:val="10"/>
        <w:rPr>
          <w:rFonts w:ascii="Times New Roman"/>
        </w:rPr>
      </w:pPr>
      <w:r>
        <w:fldChar w:fldCharType="begin"/>
      </w:r>
      <w:r>
        <w:instrText xml:space="preserve"> HYPERLINK \l "_Toc15396614" </w:instrText>
      </w:r>
      <w:r>
        <w:fldChar w:fldCharType="separate"/>
      </w:r>
      <w:r>
        <w:rPr>
          <w:rFonts w:ascii="Times New Roman"/>
        </w:rPr>
        <w:t>第</w:t>
      </w:r>
      <w:r>
        <w:rPr>
          <w:rFonts w:ascii="Times New Roman"/>
          <w:bCs/>
          <w:kern w:val="44"/>
        </w:rPr>
        <w:t>四部分 附件</w:t>
      </w:r>
      <w:r>
        <w:rPr>
          <w:rFonts w:ascii="Times New Roman"/>
        </w:rPr>
        <w:tab/>
      </w:r>
      <w:r>
        <w:rPr>
          <w:rFonts w:ascii="Times New Roman"/>
        </w:rPr>
        <w:t>2</w:t>
      </w:r>
      <w:r>
        <w:rPr>
          <w:rFonts w:ascii="Times New Roman"/>
        </w:rPr>
        <w:fldChar w:fldCharType="end"/>
      </w:r>
      <w:r>
        <w:rPr>
          <w:rFonts w:ascii="Times New Roman"/>
        </w:rPr>
        <w:t>8</w:t>
      </w:r>
    </w:p>
    <w:p>
      <w:pPr>
        <w:pStyle w:val="11"/>
        <w:ind w:left="420"/>
        <w:rPr>
          <w:rFonts w:eastAsia="仿宋"/>
          <w:sz w:val="28"/>
          <w:szCs w:val="28"/>
        </w:rPr>
      </w:pPr>
      <w:r>
        <w:fldChar w:fldCharType="begin"/>
      </w:r>
      <w:r>
        <w:instrText xml:space="preserve"> HYPERLINK \l "_Toc15396615" </w:instrText>
      </w:r>
      <w:r>
        <w:fldChar w:fldCharType="separate"/>
      </w:r>
      <w:r>
        <w:rPr>
          <w:rFonts w:eastAsia="仿宋"/>
          <w:kern w:val="44"/>
          <w:sz w:val="28"/>
          <w:szCs w:val="28"/>
        </w:rPr>
        <w:t>附件1</w:t>
      </w:r>
      <w:r>
        <w:rPr>
          <w:rFonts w:eastAsia="仿宋"/>
          <w:sz w:val="28"/>
          <w:szCs w:val="28"/>
        </w:rPr>
        <w:tab/>
      </w:r>
      <w:r>
        <w:rPr>
          <w:rFonts w:eastAsia="仿宋"/>
          <w:sz w:val="28"/>
          <w:szCs w:val="28"/>
        </w:rPr>
        <w:t>2</w:t>
      </w:r>
      <w:r>
        <w:rPr>
          <w:rFonts w:eastAsia="仿宋"/>
          <w:sz w:val="28"/>
          <w:szCs w:val="28"/>
        </w:rPr>
        <w:fldChar w:fldCharType="end"/>
      </w:r>
      <w:r>
        <w:rPr>
          <w:rFonts w:eastAsia="仿宋"/>
          <w:sz w:val="28"/>
          <w:szCs w:val="28"/>
        </w:rPr>
        <w:t>8</w:t>
      </w:r>
    </w:p>
    <w:p>
      <w:pPr>
        <w:pStyle w:val="10"/>
        <w:rPr>
          <w:rFonts w:ascii="Times New Roman"/>
        </w:rPr>
      </w:pPr>
      <w:r>
        <w:fldChar w:fldCharType="begin"/>
      </w:r>
      <w:r>
        <w:instrText xml:space="preserve"> HYPERLINK \l "_Toc15396618" </w:instrText>
      </w:r>
      <w:r>
        <w:fldChar w:fldCharType="separate"/>
      </w:r>
      <w:r>
        <w:rPr>
          <w:rFonts w:ascii="Times New Roman"/>
        </w:rPr>
        <w:t>第</w:t>
      </w:r>
      <w:r>
        <w:rPr>
          <w:rFonts w:ascii="Times New Roman"/>
          <w:bCs/>
          <w:kern w:val="44"/>
        </w:rPr>
        <w:t>五部分 附表</w:t>
      </w:r>
      <w:r>
        <w:rPr>
          <w:rFonts w:ascii="Times New Roman"/>
        </w:rPr>
        <w:tab/>
      </w:r>
      <w:r>
        <w:rPr>
          <w:rFonts w:ascii="Times New Roman"/>
        </w:rPr>
        <w:t>2</w:t>
      </w:r>
      <w:r>
        <w:rPr>
          <w:rFonts w:ascii="Times New Roman"/>
        </w:rPr>
        <w:fldChar w:fldCharType="end"/>
      </w:r>
      <w:r>
        <w:rPr>
          <w:rFonts w:ascii="Times New Roman"/>
        </w:rPr>
        <w:t>8</w:t>
      </w:r>
    </w:p>
    <w:p>
      <w:pPr>
        <w:pStyle w:val="11"/>
        <w:ind w:left="420"/>
        <w:rPr>
          <w:rFonts w:eastAsia="仿宋"/>
          <w:sz w:val="28"/>
          <w:szCs w:val="28"/>
        </w:rPr>
      </w:pPr>
      <w:r>
        <w:rPr>
          <w:rFonts w:eastAsia="仿宋"/>
          <w:sz w:val="28"/>
          <w:szCs w:val="28"/>
        </w:rPr>
        <w:t>一、</w:t>
      </w:r>
      <w:r>
        <w:fldChar w:fldCharType="begin"/>
      </w:r>
      <w:r>
        <w:instrText xml:space="preserve"> HYPERLINK \l "_Toc15396619" </w:instrText>
      </w:r>
      <w:r>
        <w:fldChar w:fldCharType="separate"/>
      </w:r>
      <w:r>
        <w:rPr>
          <w:rFonts w:eastAsia="仿宋"/>
          <w:sz w:val="28"/>
          <w:szCs w:val="28"/>
        </w:rPr>
        <w:t>收入支出决算总表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二、</w:t>
      </w:r>
      <w:r>
        <w:fldChar w:fldCharType="begin"/>
      </w:r>
      <w:r>
        <w:instrText xml:space="preserve"> HYPERLINK \l "_Toc15396620" </w:instrText>
      </w:r>
      <w:r>
        <w:fldChar w:fldCharType="separate"/>
      </w:r>
      <w:r>
        <w:rPr>
          <w:rFonts w:eastAsia="仿宋"/>
          <w:sz w:val="28"/>
          <w:szCs w:val="28"/>
        </w:rPr>
        <w:t>收入总表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三、</w:t>
      </w:r>
      <w:r>
        <w:fldChar w:fldCharType="begin"/>
      </w:r>
      <w:r>
        <w:instrText xml:space="preserve"> HYPERLINK \l "_Toc15396621" </w:instrText>
      </w:r>
      <w:r>
        <w:fldChar w:fldCharType="separate"/>
      </w:r>
      <w:r>
        <w:rPr>
          <w:rFonts w:eastAsia="仿宋"/>
          <w:sz w:val="28"/>
          <w:szCs w:val="28"/>
        </w:rPr>
        <w:t>支出总表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四、</w:t>
      </w:r>
      <w:r>
        <w:fldChar w:fldCharType="begin"/>
      </w:r>
      <w:r>
        <w:instrText xml:space="preserve"> HYPERLINK \l "_Toc15396622" </w:instrText>
      </w:r>
      <w:r>
        <w:fldChar w:fldCharType="separate"/>
      </w:r>
      <w:r>
        <w:rPr>
          <w:rFonts w:eastAsia="仿宋"/>
          <w:sz w:val="28"/>
          <w:szCs w:val="28"/>
        </w:rPr>
        <w:t>财政拨款收入支出决算总表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五、</w:t>
      </w:r>
      <w:r>
        <w:fldChar w:fldCharType="begin"/>
      </w:r>
      <w:r>
        <w:instrText xml:space="preserve"> HYPERLINK \l "_Toc15396623" </w:instrText>
      </w:r>
      <w:r>
        <w:fldChar w:fldCharType="separate"/>
      </w:r>
      <w:r>
        <w:rPr>
          <w:rFonts w:eastAsia="仿宋"/>
          <w:sz w:val="28"/>
          <w:szCs w:val="28"/>
        </w:rPr>
        <w:t>财政拨款支出决算明细表（政府经济分类科目）</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六、</w:t>
      </w:r>
      <w:r>
        <w:fldChar w:fldCharType="begin"/>
      </w:r>
      <w:r>
        <w:instrText xml:space="preserve"> HYPERLINK \l "_Toc15396624" </w:instrText>
      </w:r>
      <w:r>
        <w:fldChar w:fldCharType="separate"/>
      </w:r>
      <w:r>
        <w:rPr>
          <w:rFonts w:eastAsia="仿宋"/>
          <w:sz w:val="28"/>
          <w:szCs w:val="28"/>
        </w:rPr>
        <w:t>一般公共预算财政拨款支出决算表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七、</w:t>
      </w:r>
      <w:r>
        <w:fldChar w:fldCharType="begin"/>
      </w:r>
      <w:r>
        <w:instrText xml:space="preserve"> HYPERLINK \l "_Toc15396625" </w:instrText>
      </w:r>
      <w:r>
        <w:fldChar w:fldCharType="separate"/>
      </w:r>
      <w:r>
        <w:rPr>
          <w:rFonts w:eastAsia="仿宋"/>
          <w:sz w:val="28"/>
          <w:szCs w:val="28"/>
        </w:rPr>
        <w:t>一般公共预算财政拨款支出决算明细表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八、</w:t>
      </w:r>
      <w:r>
        <w:fldChar w:fldCharType="begin"/>
      </w:r>
      <w:r>
        <w:instrText xml:space="preserve"> HYPERLINK \l "_Toc15396626" </w:instrText>
      </w:r>
      <w:r>
        <w:fldChar w:fldCharType="separate"/>
      </w:r>
      <w:r>
        <w:rPr>
          <w:rFonts w:eastAsia="仿宋"/>
          <w:sz w:val="28"/>
          <w:szCs w:val="28"/>
        </w:rPr>
        <w:t>一般公共预算财政拨款基本支出决算表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九、</w:t>
      </w:r>
      <w:r>
        <w:fldChar w:fldCharType="begin"/>
      </w:r>
      <w:r>
        <w:instrText xml:space="preserve"> HYPERLINK \l "_Toc15396627" </w:instrText>
      </w:r>
      <w:r>
        <w:fldChar w:fldCharType="separate"/>
      </w:r>
      <w:r>
        <w:rPr>
          <w:rFonts w:eastAsia="仿宋"/>
          <w:sz w:val="28"/>
          <w:szCs w:val="28"/>
        </w:rPr>
        <w:t>一般公共预算财政拨款项目支出决算表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十、</w:t>
      </w:r>
      <w:r>
        <w:fldChar w:fldCharType="begin"/>
      </w:r>
      <w:r>
        <w:instrText xml:space="preserve"> HYPERLINK \l "_Toc15396628" </w:instrText>
      </w:r>
      <w:r>
        <w:fldChar w:fldCharType="separate"/>
      </w:r>
      <w:r>
        <w:rPr>
          <w:rFonts w:eastAsia="仿宋"/>
          <w:sz w:val="28"/>
          <w:szCs w:val="28"/>
        </w:rPr>
        <w:t>一般公共预算财政拨款“三公”经费支出决算表</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pStyle w:val="11"/>
        <w:ind w:left="420"/>
        <w:rPr>
          <w:rFonts w:eastAsia="仿宋"/>
          <w:sz w:val="28"/>
          <w:szCs w:val="28"/>
        </w:rPr>
      </w:pPr>
      <w:r>
        <w:rPr>
          <w:rFonts w:eastAsia="仿宋"/>
          <w:sz w:val="28"/>
          <w:szCs w:val="28"/>
        </w:rPr>
        <w:t>十一、</w:t>
      </w:r>
      <w:r>
        <w:fldChar w:fldCharType="begin"/>
      </w:r>
      <w:r>
        <w:instrText xml:space="preserve"> HYPERLINK \l "_Toc15396629" </w:instrText>
      </w:r>
      <w:r>
        <w:fldChar w:fldCharType="separate"/>
      </w:r>
      <w:r>
        <w:rPr>
          <w:rFonts w:eastAsia="仿宋"/>
          <w:sz w:val="28"/>
          <w:szCs w:val="28"/>
        </w:rPr>
        <w:t>封面代码</w:t>
      </w:r>
      <w:r>
        <w:rPr>
          <w:rFonts w:eastAsia="仿宋"/>
          <w:sz w:val="28"/>
          <w:szCs w:val="28"/>
        </w:rPr>
        <w:tab/>
      </w:r>
      <w:r>
        <w:rPr>
          <w:rFonts w:eastAsia="仿宋"/>
          <w:sz w:val="28"/>
          <w:szCs w:val="28"/>
        </w:rPr>
        <w:t>3</w:t>
      </w:r>
      <w:r>
        <w:rPr>
          <w:rFonts w:eastAsia="仿宋"/>
          <w:sz w:val="28"/>
          <w:szCs w:val="28"/>
        </w:rPr>
        <w:fldChar w:fldCharType="end"/>
      </w:r>
      <w:r>
        <w:rPr>
          <w:rFonts w:eastAsia="仿宋"/>
          <w:sz w:val="28"/>
          <w:szCs w:val="28"/>
        </w:rPr>
        <w:t>3</w:t>
      </w:r>
    </w:p>
    <w:p>
      <w:pPr>
        <w:widowControl/>
        <w:jc w:val="left"/>
        <w:rPr>
          <w:rFonts w:eastAsia="仿宋"/>
          <w:sz w:val="24"/>
        </w:rPr>
      </w:pPr>
      <w:r>
        <w:rPr>
          <w:rFonts w:eastAsia="仿宋"/>
          <w:sz w:val="24"/>
        </w:rPr>
        <w:fldChar w:fldCharType="end"/>
      </w:r>
    </w:p>
    <w:p>
      <w:pPr>
        <w:widowControl/>
        <w:jc w:val="left"/>
        <w:rPr>
          <w:rFonts w:eastAsia="黑体"/>
          <w:bCs/>
          <w:kern w:val="44"/>
          <w:sz w:val="44"/>
          <w:szCs w:val="44"/>
        </w:rPr>
      </w:pPr>
      <w:bookmarkStart w:id="14" w:name="_Toc15377196"/>
      <w:bookmarkStart w:id="15" w:name="_Toc15396599"/>
      <w:r>
        <w:rPr>
          <w:rFonts w:eastAsia="黑体"/>
          <w:b/>
        </w:rPr>
        <w:br w:type="page"/>
      </w:r>
    </w:p>
    <w:p>
      <w:pPr>
        <w:pStyle w:val="2"/>
        <w:jc w:val="center"/>
        <w:rPr>
          <w:rFonts w:eastAsia="黑体"/>
          <w:sz w:val="32"/>
          <w:szCs w:val="32"/>
        </w:rPr>
      </w:pPr>
      <w:r>
        <w:rPr>
          <w:rFonts w:eastAsia="黑体"/>
          <w:b w:val="0"/>
        </w:rPr>
        <w:t xml:space="preserve">第一部分 </w:t>
      </w:r>
      <w:r>
        <w:rPr>
          <w:rStyle w:val="17"/>
          <w:rFonts w:eastAsia="黑体"/>
          <w:b w:val="0"/>
          <w:bCs w:val="0"/>
        </w:rPr>
        <w:t>部门概况</w:t>
      </w:r>
      <w:bookmarkEnd w:id="14"/>
      <w:bookmarkEnd w:id="15"/>
    </w:p>
    <w:p>
      <w:pPr>
        <w:pStyle w:val="3"/>
        <w:spacing w:before="0" w:after="0" w:line="240" w:lineRule="auto"/>
        <w:ind w:left="640" w:hanging="640" w:hangingChars="200"/>
        <w:rPr>
          <w:rStyle w:val="18"/>
          <w:rFonts w:ascii="Times New Roman" w:hAnsi="Times New Roman" w:eastAsia="黑体"/>
          <w:b w:val="0"/>
          <w:bCs w:val="0"/>
        </w:rPr>
      </w:pPr>
      <w:bookmarkStart w:id="16" w:name="_Toc15396600"/>
      <w:bookmarkStart w:id="17" w:name="_Toc15377197"/>
      <w:r>
        <w:rPr>
          <w:rFonts w:ascii="Times New Roman" w:hAnsi="Times New Roman" w:eastAsia="黑体"/>
          <w:b w:val="0"/>
        </w:rPr>
        <w:t>一、基</w:t>
      </w:r>
      <w:r>
        <w:rPr>
          <w:rStyle w:val="18"/>
          <w:rFonts w:ascii="Times New Roman" w:hAnsi="Times New Roman" w:eastAsia="黑体"/>
          <w:b w:val="0"/>
          <w:bCs w:val="0"/>
        </w:rPr>
        <w:t>本职能及主要工作</w:t>
      </w:r>
      <w:bookmarkEnd w:id="16"/>
      <w:bookmarkEnd w:id="17"/>
      <w:bookmarkStart w:id="18" w:name="_Toc15377198"/>
      <w:bookmarkStart w:id="19" w:name="_Toc15378445"/>
    </w:p>
    <w:p>
      <w:pPr>
        <w:pStyle w:val="3"/>
        <w:spacing w:before="0" w:after="0" w:line="240" w:lineRule="auto"/>
        <w:ind w:left="642" w:leftChars="153" w:hanging="321" w:hangingChars="100"/>
        <w:rPr>
          <w:rFonts w:ascii="Times New Roman" w:hAnsi="Times New Roman" w:eastAsia="楷体"/>
        </w:rPr>
      </w:pPr>
      <w:r>
        <w:rPr>
          <w:rFonts w:ascii="Times New Roman" w:hAnsi="Times New Roman" w:eastAsia="楷体"/>
        </w:rPr>
        <w:t>（一）主要职能</w:t>
      </w:r>
      <w:bookmarkEnd w:id="18"/>
      <w:bookmarkEnd w:id="19"/>
      <w:bookmarkStart w:id="20" w:name="_Toc15378446"/>
      <w:bookmarkStart w:id="21" w:name="_Toc15377199"/>
    </w:p>
    <w:p>
      <w:pPr>
        <w:pStyle w:val="12"/>
        <w:shd w:val="clear" w:color="auto" w:fill="FFFFFF"/>
        <w:spacing w:before="0" w:beforeAutospacing="0" w:after="0" w:afterAutospacing="0" w:line="335" w:lineRule="atLeast"/>
        <w:ind w:firstLine="584" w:firstLineChars="200"/>
        <w:rPr>
          <w:rFonts w:ascii="Times New Roman" w:hAnsi="Times New Roman" w:eastAsia="仿宋_GB2312" w:cs="Times New Roman"/>
          <w:spacing w:val="-14"/>
          <w:sz w:val="32"/>
          <w:szCs w:val="32"/>
        </w:rPr>
      </w:pPr>
      <w:r>
        <w:rPr>
          <w:rFonts w:ascii="Times New Roman" w:hAnsi="Times New Roman" w:eastAsia="仿宋_GB2312" w:cs="Times New Roman"/>
          <w:spacing w:val="-14"/>
          <w:sz w:val="32"/>
          <w:szCs w:val="32"/>
        </w:rPr>
        <w:t>根据2019年中共金川县委办公室《关于印发</w:t>
      </w:r>
      <w:r>
        <w:rPr>
          <w:rFonts w:hint="eastAsia" w:ascii="Times New Roman" w:hAnsi="Times New Roman" w:eastAsia="仿宋_GB2312" w:cs="Times New Roman"/>
          <w:spacing w:val="-14"/>
          <w:sz w:val="32"/>
          <w:szCs w:val="32"/>
          <w:lang w:eastAsia="zh-CN"/>
        </w:rPr>
        <w:t>〈</w:t>
      </w:r>
      <w:r>
        <w:rPr>
          <w:rFonts w:ascii="Times New Roman" w:hAnsi="Times New Roman" w:eastAsia="仿宋_GB2312" w:cs="Times New Roman"/>
          <w:spacing w:val="-14"/>
          <w:sz w:val="32"/>
          <w:szCs w:val="32"/>
        </w:rPr>
        <w:t>中共金川县委组织部职能配置、内设机构和人员编制规定</w:t>
      </w:r>
      <w:r>
        <w:rPr>
          <w:rFonts w:hint="eastAsia" w:ascii="Times New Roman" w:hAnsi="Times New Roman" w:eastAsia="仿宋_GB2312" w:cs="Times New Roman"/>
          <w:spacing w:val="-14"/>
          <w:sz w:val="32"/>
          <w:szCs w:val="32"/>
          <w:lang w:eastAsia="zh-CN"/>
        </w:rPr>
        <w:t>〉</w:t>
      </w:r>
      <w:r>
        <w:rPr>
          <w:rFonts w:ascii="Times New Roman" w:hAnsi="Times New Roman" w:eastAsia="仿宋_GB2312" w:cs="Times New Roman"/>
          <w:spacing w:val="-14"/>
          <w:sz w:val="32"/>
          <w:szCs w:val="32"/>
        </w:rPr>
        <w:t>的通知》（金委办发[2019]58）文件规定，我部主要职责是：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协调、督促、检查全县老干部工作，提出老干部工作的有关政策性及贯彻实施意见；统一管理县委机构编制委员会办公室；承担县委党建领导小组、县人才工作领导小组日常工作；承办县委、州委组织部交办的其他事项。</w:t>
      </w:r>
    </w:p>
    <w:p>
      <w:pPr>
        <w:pStyle w:val="3"/>
        <w:spacing w:before="0" w:after="0" w:line="240" w:lineRule="auto"/>
        <w:ind w:firstLine="321" w:firstLineChars="100"/>
        <w:rPr>
          <w:rFonts w:ascii="Times New Roman" w:hAnsi="Times New Roman" w:eastAsia="楷体"/>
        </w:rPr>
      </w:pPr>
      <w:r>
        <w:rPr>
          <w:rFonts w:ascii="Times New Roman" w:hAnsi="Times New Roman" w:eastAsia="楷体"/>
        </w:rPr>
        <w:t>（二）2020年重点工作完成情况</w:t>
      </w:r>
      <w:bookmarkEnd w:id="20"/>
      <w:bookmarkEnd w:id="21"/>
    </w:p>
    <w:p>
      <w:pPr>
        <w:ind w:firstLine="584" w:firstLineChars="200"/>
        <w:rPr>
          <w:rFonts w:eastAsia="仿宋_GB2312"/>
          <w:spacing w:val="-14"/>
          <w:sz w:val="32"/>
          <w:szCs w:val="32"/>
        </w:rPr>
      </w:pPr>
      <w:bookmarkStart w:id="22" w:name="_Toc15377200"/>
      <w:bookmarkStart w:id="23" w:name="_Toc15396601"/>
      <w:r>
        <w:rPr>
          <w:rFonts w:eastAsia="仿宋_GB2312"/>
          <w:spacing w:val="-14"/>
          <w:kern w:val="0"/>
          <w:sz w:val="32"/>
          <w:szCs w:val="32"/>
        </w:rPr>
        <w:t xml:space="preserve"> </w:t>
      </w:r>
      <w:r>
        <w:rPr>
          <w:rFonts w:eastAsia="仿宋_GB2312"/>
          <w:spacing w:val="-14"/>
          <w:sz w:val="32"/>
          <w:szCs w:val="32"/>
        </w:rPr>
        <w:t>1.负责全县各级党组织建设工作，规划和指导全县党员教育工作，抓好了全县党员管理和党员发展及培训工作。</w:t>
      </w:r>
    </w:p>
    <w:p>
      <w:pPr>
        <w:ind w:firstLine="584" w:firstLineChars="200"/>
        <w:rPr>
          <w:rFonts w:eastAsia="仿宋_GB2312"/>
          <w:spacing w:val="-14"/>
          <w:sz w:val="32"/>
          <w:szCs w:val="32"/>
        </w:rPr>
      </w:pPr>
      <w:r>
        <w:rPr>
          <w:rFonts w:eastAsia="仿宋_GB2312"/>
          <w:spacing w:val="-14"/>
          <w:sz w:val="32"/>
          <w:szCs w:val="32"/>
        </w:rPr>
        <w:t>2.抓好了全县的干部管理工作；对培养和选拔中、青年干</w:t>
      </w:r>
    </w:p>
    <w:p>
      <w:pPr>
        <w:ind w:firstLine="584" w:firstLineChars="200"/>
        <w:rPr>
          <w:rFonts w:eastAsia="仿宋_GB2312"/>
          <w:spacing w:val="-14"/>
          <w:sz w:val="32"/>
          <w:szCs w:val="32"/>
        </w:rPr>
      </w:pPr>
      <w:r>
        <w:rPr>
          <w:rFonts w:eastAsia="仿宋_GB2312"/>
          <w:spacing w:val="-14"/>
          <w:sz w:val="32"/>
          <w:szCs w:val="32"/>
        </w:rPr>
        <w:t>部及后备干部队伍进行了相关的培训工作。</w:t>
      </w:r>
    </w:p>
    <w:p>
      <w:pPr>
        <w:ind w:firstLine="584" w:firstLineChars="200"/>
        <w:rPr>
          <w:rFonts w:eastAsia="仿宋_GB2312"/>
          <w:spacing w:val="-14"/>
          <w:sz w:val="32"/>
          <w:szCs w:val="32"/>
        </w:rPr>
      </w:pPr>
      <w:r>
        <w:rPr>
          <w:rFonts w:eastAsia="仿宋_GB2312"/>
          <w:spacing w:val="-14"/>
          <w:sz w:val="32"/>
          <w:szCs w:val="32"/>
        </w:rPr>
        <w:t>3.协调、督促、检查全县老干部工作的方针政策及有关规定的贯彻执行情况，做好了县级离退休干部的管理服务工作。</w:t>
      </w:r>
    </w:p>
    <w:p>
      <w:pPr>
        <w:ind w:firstLine="584" w:firstLineChars="200"/>
        <w:rPr>
          <w:rFonts w:eastAsia="仿宋_GB2312"/>
          <w:spacing w:val="-14"/>
          <w:sz w:val="32"/>
          <w:szCs w:val="32"/>
        </w:rPr>
      </w:pPr>
      <w:r>
        <w:rPr>
          <w:rFonts w:eastAsia="仿宋_GB2312"/>
          <w:spacing w:val="-14"/>
          <w:sz w:val="32"/>
          <w:szCs w:val="32"/>
        </w:rPr>
        <w:t>4.认真、及时完成县委、州委组织部交办的</w:t>
      </w:r>
      <w:r>
        <w:rPr>
          <w:rFonts w:hint="eastAsia" w:eastAsia="仿宋_GB2312"/>
          <w:spacing w:val="-14"/>
          <w:sz w:val="32"/>
          <w:szCs w:val="32"/>
          <w:lang w:eastAsia="zh-CN"/>
        </w:rPr>
        <w:t>其他</w:t>
      </w:r>
      <w:r>
        <w:rPr>
          <w:rFonts w:eastAsia="仿宋_GB2312"/>
          <w:spacing w:val="-14"/>
          <w:sz w:val="32"/>
          <w:szCs w:val="32"/>
        </w:rPr>
        <w:t>工作。</w:t>
      </w:r>
    </w:p>
    <w:p>
      <w:pPr>
        <w:spacing w:line="578" w:lineRule="exact"/>
        <w:ind w:firstLine="640" w:firstLineChars="200"/>
        <w:rPr>
          <w:rStyle w:val="18"/>
          <w:rFonts w:ascii="Times New Roman" w:hAnsi="Times New Roman"/>
          <w:b w:val="0"/>
          <w:bCs w:val="0"/>
        </w:rPr>
      </w:pPr>
      <w:r>
        <w:rPr>
          <w:rStyle w:val="18"/>
          <w:rFonts w:ascii="Times New Roman" w:hAnsi="Times New Roman" w:eastAsia="黑体"/>
          <w:b w:val="0"/>
          <w:bCs w:val="0"/>
        </w:rPr>
        <w:t>二、机构设置</w:t>
      </w:r>
      <w:bookmarkEnd w:id="22"/>
      <w:bookmarkEnd w:id="23"/>
    </w:p>
    <w:p>
      <w:pPr>
        <w:ind w:firstLine="600" w:firstLineChars="200"/>
        <w:rPr>
          <w:rFonts w:eastAsia="仿宋_GB2312"/>
          <w:sz w:val="30"/>
          <w:szCs w:val="30"/>
        </w:rPr>
      </w:pPr>
      <w:bookmarkStart w:id="24" w:name="_Toc15396602"/>
      <w:bookmarkStart w:id="25" w:name="_Toc15377204"/>
      <w:r>
        <w:rPr>
          <w:rFonts w:eastAsia="仿宋_GB2312"/>
          <w:sz w:val="30"/>
          <w:szCs w:val="30"/>
        </w:rPr>
        <w:t xml:space="preserve">   </w:t>
      </w:r>
      <w:r>
        <w:rPr>
          <w:rFonts w:eastAsia="仿宋_GB2312"/>
          <w:spacing w:val="-14"/>
          <w:sz w:val="32"/>
          <w:szCs w:val="32"/>
        </w:rPr>
        <w:t>2020年末共有机构数1个，其中全额预算单位1个，单位内设机构6个，分别为办公室、组织一室、组织二室、干部一室、干部二室、干部三室。总编制29名</w:t>
      </w:r>
      <w:r>
        <w:rPr>
          <w:rFonts w:hint="eastAsia" w:eastAsia="仿宋_GB2312"/>
          <w:spacing w:val="-14"/>
          <w:sz w:val="32"/>
          <w:szCs w:val="32"/>
          <w:lang w:eastAsia="zh-CN"/>
        </w:rPr>
        <w:t>，</w:t>
      </w:r>
      <w:r>
        <w:rPr>
          <w:rFonts w:eastAsia="仿宋_GB2312"/>
          <w:spacing w:val="-14"/>
          <w:sz w:val="32"/>
          <w:szCs w:val="32"/>
        </w:rPr>
        <w:t>其中：行政编制17名（包括行政工勤2名）、参照公务员法管理的事业编制6名、财政补助事业编制6名。总编制比上年增加了7名，指行政编制增加了2名、参照公务员法管理的事业编制增加了2名、财政补助事业编制增加了3名。年末实有在职人数22名，行政人员14名（包括行政工勤2名）、参照公务员法管理的事业人员4名、财政补助事业人员4名。年末实有在职人数比上年增加了2人，指行政人员增加了1人和财政补助事业人员增加了1人。</w:t>
      </w:r>
    </w:p>
    <w:p>
      <w:pPr>
        <w:pStyle w:val="2"/>
        <w:ind w:right="440"/>
        <w:jc w:val="right"/>
      </w:pPr>
      <w:r>
        <w:rPr>
          <w:rFonts w:eastAsia="黑体"/>
          <w:b w:val="0"/>
        </w:rPr>
        <w:t>第二部分</w:t>
      </w:r>
      <w:r>
        <w:rPr>
          <w:rFonts w:eastAsia="黑体"/>
        </w:rPr>
        <w:t xml:space="preserve"> </w:t>
      </w:r>
      <w:r>
        <w:rPr>
          <w:rStyle w:val="17"/>
          <w:rFonts w:eastAsia="黑体"/>
          <w:b w:val="0"/>
          <w:bCs w:val="0"/>
        </w:rPr>
        <w:t>20</w:t>
      </w:r>
      <w:r>
        <w:rPr>
          <w:rStyle w:val="17"/>
          <w:rFonts w:hint="eastAsia" w:eastAsia="黑体"/>
          <w:b w:val="0"/>
          <w:bCs w:val="0"/>
        </w:rPr>
        <w:t>20</w:t>
      </w:r>
      <w:r>
        <w:rPr>
          <w:rStyle w:val="17"/>
          <w:rFonts w:eastAsia="黑体"/>
          <w:b w:val="0"/>
          <w:bCs w:val="0"/>
        </w:rPr>
        <w:t>年度部门决算情况说明</w:t>
      </w:r>
      <w:bookmarkEnd w:id="24"/>
      <w:bookmarkEnd w:id="25"/>
    </w:p>
    <w:p>
      <w:pPr>
        <w:pStyle w:val="23"/>
        <w:numPr>
          <w:ilvl w:val="0"/>
          <w:numId w:val="1"/>
        </w:numPr>
        <w:ind w:left="0" w:firstLine="0" w:firstLineChars="0"/>
        <w:outlineLvl w:val="1"/>
        <w:rPr>
          <w:rStyle w:val="18"/>
          <w:rFonts w:ascii="Times New Roman" w:hAnsi="Times New Roman" w:eastAsia="黑体"/>
          <w:b w:val="0"/>
        </w:rPr>
      </w:pPr>
      <w:bookmarkStart w:id="26" w:name="_Toc15377205"/>
      <w:bookmarkStart w:id="27" w:name="_Toc15396603"/>
      <w:r>
        <w:rPr>
          <w:rFonts w:eastAsia="黑体"/>
          <w:sz w:val="32"/>
          <w:szCs w:val="32"/>
        </w:rPr>
        <w:t>收</w:t>
      </w:r>
      <w:r>
        <w:rPr>
          <w:rStyle w:val="18"/>
          <w:rFonts w:ascii="Times New Roman" w:hAnsi="Times New Roman" w:eastAsia="黑体"/>
          <w:b w:val="0"/>
        </w:rPr>
        <w:t>入支出决算总体情况说明</w:t>
      </w:r>
      <w:bookmarkEnd w:id="26"/>
      <w:bookmarkEnd w:id="27"/>
    </w:p>
    <w:p>
      <w:pPr>
        <w:ind w:firstLine="632" w:firstLineChars="200"/>
        <w:rPr>
          <w:rFonts w:eastAsia="仿宋_GB2312"/>
          <w:spacing w:val="-2"/>
          <w:sz w:val="32"/>
          <w:szCs w:val="32"/>
        </w:rPr>
      </w:pPr>
      <w:r>
        <w:rPr>
          <w:rFonts w:eastAsia="仿宋_GB2312"/>
          <w:spacing w:val="-2"/>
          <w:sz w:val="32"/>
          <w:szCs w:val="32"/>
        </w:rPr>
        <w:t>2020年度总收入</w:t>
      </w:r>
      <w:r>
        <w:rPr>
          <w:rFonts w:eastAsia="方正仿宋简体"/>
          <w:sz w:val="32"/>
          <w:szCs w:val="32"/>
        </w:rPr>
        <w:t>1409.63</w:t>
      </w:r>
      <w:r>
        <w:rPr>
          <w:rFonts w:eastAsia="仿宋_GB2312"/>
          <w:spacing w:val="-2"/>
          <w:sz w:val="32"/>
          <w:szCs w:val="32"/>
        </w:rPr>
        <w:t>万元，</w:t>
      </w:r>
      <w:r>
        <w:rPr>
          <w:rFonts w:hint="eastAsia" w:ascii="仿宋_GB2312" w:hAnsi="仿宋_GB2312" w:eastAsia="仿宋_GB2312" w:cs="仿宋_GB2312"/>
          <w:sz w:val="32"/>
          <w:szCs w:val="32"/>
        </w:rPr>
        <w:t>比去年增加</w:t>
      </w:r>
      <w:r>
        <w:rPr>
          <w:rFonts w:eastAsia="方正仿宋简体"/>
          <w:bCs/>
          <w:sz w:val="32"/>
          <w:szCs w:val="32"/>
        </w:rPr>
        <w:t>325.61</w:t>
      </w:r>
      <w:r>
        <w:rPr>
          <w:rFonts w:eastAsia="仿宋_GB2312"/>
          <w:sz w:val="32"/>
          <w:szCs w:val="32"/>
        </w:rPr>
        <w:t>万元</w:t>
      </w:r>
      <w:r>
        <w:rPr>
          <w:rFonts w:eastAsia="仿宋_GB2312"/>
          <w:spacing w:val="-2"/>
          <w:sz w:val="32"/>
          <w:szCs w:val="32"/>
        </w:rPr>
        <w:t>，</w:t>
      </w:r>
      <w:r>
        <w:rPr>
          <w:rFonts w:eastAsia="仿宋_GB2312"/>
          <w:sz w:val="32"/>
          <w:szCs w:val="32"/>
        </w:rPr>
        <w:t>比去年增加</w:t>
      </w:r>
      <w:r>
        <w:rPr>
          <w:rFonts w:hint="eastAsia" w:eastAsia="方正仿宋简体"/>
          <w:sz w:val="32"/>
          <w:szCs w:val="32"/>
        </w:rPr>
        <w:t>30.04</w:t>
      </w:r>
      <w:r>
        <w:rPr>
          <w:rFonts w:hint="eastAsia" w:ascii="方正仿宋简体" w:hAnsi="方正仿宋简体" w:eastAsia="方正仿宋简体" w:cs="方正仿宋简体"/>
          <w:sz w:val="32"/>
          <w:szCs w:val="32"/>
        </w:rPr>
        <w:t>%</w:t>
      </w:r>
      <w:r>
        <w:rPr>
          <w:rFonts w:eastAsia="仿宋_GB2312"/>
          <w:spacing w:val="-2"/>
          <w:sz w:val="32"/>
          <w:szCs w:val="32"/>
        </w:rPr>
        <w:t>。</w:t>
      </w:r>
      <w:r>
        <w:rPr>
          <w:rFonts w:hint="eastAsia" w:ascii="仿宋_GB2312" w:eastAsia="仿宋_GB2312"/>
          <w:spacing w:val="-2"/>
          <w:sz w:val="32"/>
          <w:szCs w:val="32"/>
        </w:rPr>
        <w:t>增</w:t>
      </w:r>
      <w:r>
        <w:rPr>
          <w:rFonts w:hint="eastAsia" w:eastAsia="仿宋_GB2312"/>
          <w:spacing w:val="-2"/>
          <w:sz w:val="32"/>
          <w:szCs w:val="32"/>
        </w:rPr>
        <w:t>加的主要原因是基本支出中人员经费增加了调进人员工资、调资及补发工资和第一书记伙食补助等和日常公用经费增加了办公费、差旅费等；项目支出增加了贫困村工作经费、村旅游和村集体经济建设项目、深度贫困县千名紧缺专业人才培养行动研修培训经费和浙江帮扶经费。</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eastAsia="仿宋_GB2312"/>
          <w:sz w:val="32"/>
          <w:szCs w:val="32"/>
        </w:rPr>
      </w:pPr>
      <w:r>
        <w:rPr>
          <w:rFonts w:eastAsia="仿宋_GB2312"/>
          <w:spacing w:val="-2"/>
          <w:sz w:val="32"/>
          <w:szCs w:val="32"/>
        </w:rPr>
        <w:t>2020年总支出</w:t>
      </w:r>
      <w:r>
        <w:rPr>
          <w:rFonts w:eastAsia="方正仿宋简体"/>
          <w:sz w:val="32"/>
          <w:szCs w:val="32"/>
        </w:rPr>
        <w:t>1353.3</w:t>
      </w:r>
      <w:r>
        <w:rPr>
          <w:rFonts w:hint="eastAsia" w:eastAsia="方正仿宋简体"/>
          <w:sz w:val="32"/>
          <w:szCs w:val="32"/>
        </w:rPr>
        <w:t>4</w:t>
      </w:r>
      <w:r>
        <w:rPr>
          <w:rFonts w:eastAsia="仿宋_GB2312"/>
          <w:spacing w:val="-2"/>
          <w:sz w:val="32"/>
          <w:szCs w:val="32"/>
        </w:rPr>
        <w:t>万元，</w:t>
      </w:r>
      <w:r>
        <w:rPr>
          <w:rFonts w:eastAsia="仿宋_GB2312"/>
          <w:sz w:val="32"/>
          <w:szCs w:val="32"/>
        </w:rPr>
        <w:t>比去年增加188.57万元</w:t>
      </w:r>
      <w:r>
        <w:rPr>
          <w:rFonts w:hint="eastAsia" w:eastAsia="仿宋_GB2312"/>
          <w:sz w:val="32"/>
          <w:szCs w:val="32"/>
          <w:lang w:eastAsia="zh-CN"/>
        </w:rPr>
        <w:t>，</w:t>
      </w:r>
      <w:r>
        <w:rPr>
          <w:rFonts w:eastAsia="仿宋_GB2312"/>
          <w:sz w:val="32"/>
          <w:szCs w:val="32"/>
        </w:rPr>
        <w:t xml:space="preserve"> 比去年增加16.19%。</w:t>
      </w:r>
      <w:r>
        <w:rPr>
          <w:rFonts w:hint="eastAsia" w:eastAsia="仿宋_GB2312"/>
          <w:sz w:val="32"/>
          <w:szCs w:val="32"/>
        </w:rPr>
        <w:t>增加的原因是</w:t>
      </w:r>
      <w:r>
        <w:rPr>
          <w:rFonts w:hint="eastAsia" w:eastAsia="仿宋_GB2312"/>
          <w:sz w:val="32"/>
          <w:szCs w:val="32"/>
          <w:lang w:eastAsia="zh-CN"/>
        </w:rPr>
        <w:t>乡村</w:t>
      </w:r>
      <w:r>
        <w:rPr>
          <w:rFonts w:hint="eastAsia" w:eastAsia="仿宋_GB2312"/>
          <w:sz w:val="32"/>
          <w:szCs w:val="32"/>
        </w:rPr>
        <w:t>旅游和村集体经济建设项目增加。</w:t>
      </w:r>
    </w:p>
    <w:p>
      <w:pPr>
        <w:spacing w:line="600" w:lineRule="exact"/>
        <w:ind w:firstLine="640" w:firstLineChars="200"/>
        <w:rPr>
          <w:rStyle w:val="18"/>
          <w:rFonts w:ascii="Times New Roman" w:hAnsi="Times New Roman" w:eastAsia="黑体"/>
          <w:b w:val="0"/>
        </w:rPr>
      </w:pPr>
      <w:r>
        <w:rPr>
          <w:rFonts w:eastAsia="黑体"/>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8" w:name="_Toc15377206"/>
      <w:bookmarkStart w:id="29" w:name="_Toc15396604"/>
      <w:r>
        <w:rPr>
          <w:rFonts w:eastAsia="黑体"/>
          <w:sz w:val="32"/>
          <w:szCs w:val="32"/>
        </w:rPr>
        <w:t>二、收入决</w:t>
      </w:r>
      <w:r>
        <w:rPr>
          <w:rStyle w:val="18"/>
          <w:rFonts w:ascii="Times New Roman" w:hAnsi="Times New Roman" w:eastAsia="黑体"/>
          <w:b w:val="0"/>
        </w:rPr>
        <w:t>算情况说明</w:t>
      </w:r>
      <w:bookmarkEnd w:id="28"/>
      <w:bookmarkEnd w:id="29"/>
    </w:p>
    <w:p>
      <w:pPr>
        <w:spacing w:line="600" w:lineRule="exact"/>
        <w:ind w:firstLine="632" w:firstLineChars="200"/>
        <w:outlineLvl w:val="1"/>
        <w:rPr>
          <w:rFonts w:eastAsia="仿宋"/>
          <w:sz w:val="32"/>
          <w:szCs w:val="32"/>
        </w:rPr>
      </w:pPr>
      <w:r>
        <w:rPr>
          <w:rFonts w:eastAsia="仿宋_GB2312"/>
          <w:spacing w:val="-2"/>
          <w:sz w:val="32"/>
          <w:szCs w:val="32"/>
        </w:rPr>
        <w:t>2020年度总收入</w:t>
      </w:r>
      <w:r>
        <w:rPr>
          <w:rFonts w:eastAsia="方正仿宋简体"/>
          <w:sz w:val="32"/>
          <w:szCs w:val="32"/>
        </w:rPr>
        <w:t>1409.63</w:t>
      </w:r>
      <w:r>
        <w:rPr>
          <w:rFonts w:eastAsia="仿宋_GB2312"/>
          <w:spacing w:val="-2"/>
          <w:sz w:val="32"/>
          <w:szCs w:val="32"/>
        </w:rPr>
        <w:t>万元</w:t>
      </w:r>
      <w:r>
        <w:rPr>
          <w:rFonts w:hint="eastAsia" w:eastAsia="仿宋_GB2312"/>
          <w:spacing w:val="-2"/>
          <w:sz w:val="32"/>
          <w:szCs w:val="32"/>
        </w:rPr>
        <w:t>，年末结转83.13万元</w:t>
      </w:r>
      <w:r>
        <w:rPr>
          <w:rFonts w:eastAsia="仿宋_GB2312"/>
          <w:spacing w:val="-2"/>
          <w:sz w:val="32"/>
          <w:szCs w:val="32"/>
        </w:rPr>
        <w:t>，</w:t>
      </w:r>
      <w:r>
        <w:rPr>
          <w:rFonts w:hint="eastAsia" w:eastAsia="仿宋_GB2312"/>
          <w:spacing w:val="-2"/>
          <w:sz w:val="32"/>
          <w:szCs w:val="32"/>
        </w:rPr>
        <w:t>其中：人员经费收入619.03万元、公用经费收入790.6元。</w:t>
      </w:r>
      <w:r>
        <w:rPr>
          <w:rFonts w:eastAsia="仿宋_GB2312"/>
          <w:spacing w:val="-2"/>
          <w:sz w:val="32"/>
          <w:szCs w:val="32"/>
        </w:rPr>
        <w:t>一般公共预算财政拨</w:t>
      </w:r>
      <w:r>
        <w:rPr>
          <w:rFonts w:eastAsia="仿宋"/>
          <w:sz w:val="32"/>
          <w:szCs w:val="32"/>
        </w:rPr>
        <w:t>款收入</w:t>
      </w:r>
      <w:r>
        <w:rPr>
          <w:rFonts w:eastAsia="方正仿宋简体"/>
          <w:sz w:val="32"/>
          <w:szCs w:val="32"/>
        </w:rPr>
        <w:t>1409.63</w:t>
      </w:r>
      <w:r>
        <w:rPr>
          <w:rFonts w:eastAsia="仿宋"/>
          <w:sz w:val="32"/>
          <w:szCs w:val="32"/>
        </w:rPr>
        <w:t>万元，占</w:t>
      </w:r>
      <w:r>
        <w:rPr>
          <w:rFonts w:hint="eastAsia" w:eastAsia="仿宋"/>
          <w:sz w:val="32"/>
          <w:szCs w:val="32"/>
        </w:rPr>
        <w:t>100</w:t>
      </w:r>
      <w:r>
        <w:rPr>
          <w:rFonts w:eastAsia="仿宋"/>
          <w:sz w:val="32"/>
          <w:szCs w:val="32"/>
        </w:rPr>
        <w:t>%；政府性基金预算财政拨款收入0万元，占0%；国有资本经营预算财政拨款收入0万元，占0%；事业收入0万元，占0%；经营收入0万元，占0%；附属单位上缴收入0万元，占0%；其他收入</w:t>
      </w:r>
      <w:r>
        <w:rPr>
          <w:rFonts w:hint="eastAsia" w:eastAsia="仿宋"/>
          <w:sz w:val="32"/>
          <w:szCs w:val="32"/>
        </w:rPr>
        <w:t>0</w:t>
      </w:r>
      <w:r>
        <w:rPr>
          <w:rFonts w:eastAsia="仿宋"/>
          <w:sz w:val="32"/>
          <w:szCs w:val="32"/>
        </w:rPr>
        <w:t>万元，占</w:t>
      </w:r>
      <w:r>
        <w:rPr>
          <w:rFonts w:hint="eastAsia" w:eastAsia="仿宋"/>
          <w:sz w:val="32"/>
          <w:szCs w:val="32"/>
        </w:rPr>
        <w:t>0</w:t>
      </w:r>
      <w:r>
        <w:rPr>
          <w:rFonts w:eastAsia="仿宋"/>
          <w:sz w:val="32"/>
          <w:szCs w:val="32"/>
        </w:rPr>
        <w:t>%。</w:t>
      </w:r>
    </w:p>
    <w:p>
      <w:pPr>
        <w:spacing w:line="600" w:lineRule="exact"/>
        <w:ind w:firstLine="640" w:firstLineChars="200"/>
        <w:outlineLvl w:val="1"/>
        <w:rPr>
          <w:rStyle w:val="18"/>
          <w:rFonts w:ascii="Times New Roman" w:hAnsi="Times New Roman" w:eastAsia="黑体"/>
          <w:b w:val="0"/>
        </w:rPr>
      </w:pPr>
      <w:r>
        <w:rPr>
          <w:rFonts w:eastAsia="黑体"/>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0" w:name="_Toc15377207"/>
      <w:bookmarkStart w:id="31" w:name="_Toc15396605"/>
      <w:r>
        <w:rPr>
          <w:rFonts w:eastAsia="黑体"/>
          <w:sz w:val="32"/>
          <w:szCs w:val="32"/>
        </w:rPr>
        <w:t>三、支出决</w:t>
      </w:r>
      <w:r>
        <w:rPr>
          <w:rStyle w:val="18"/>
          <w:rFonts w:ascii="Times New Roman" w:hAnsi="Times New Roman" w:eastAsia="黑体"/>
          <w:b w:val="0"/>
        </w:rPr>
        <w:t>算情况说明</w:t>
      </w:r>
      <w:bookmarkEnd w:id="30"/>
      <w:bookmarkEnd w:id="31"/>
    </w:p>
    <w:p>
      <w:pPr>
        <w:spacing w:line="600" w:lineRule="exact"/>
        <w:ind w:firstLine="640"/>
        <w:rPr>
          <w:rFonts w:eastAsia="仿宋"/>
          <w:sz w:val="32"/>
          <w:szCs w:val="32"/>
          <w:shd w:val="pct10" w:color="auto" w:fill="FFFFFF"/>
        </w:rPr>
      </w:pPr>
      <w:r>
        <w:rPr>
          <w:rFonts w:eastAsia="仿宋_GB2312"/>
          <w:spacing w:val="-2"/>
          <w:sz w:val="32"/>
          <w:szCs w:val="32"/>
        </w:rPr>
        <w:t>2020年总支出</w:t>
      </w:r>
      <w:r>
        <w:rPr>
          <w:rFonts w:eastAsia="方正仿宋简体"/>
          <w:sz w:val="32"/>
          <w:szCs w:val="32"/>
        </w:rPr>
        <w:t>1353.34</w:t>
      </w:r>
      <w:r>
        <w:rPr>
          <w:rFonts w:eastAsia="仿宋_GB2312"/>
          <w:spacing w:val="-2"/>
          <w:sz w:val="32"/>
          <w:szCs w:val="32"/>
        </w:rPr>
        <w:t>万元，</w:t>
      </w:r>
      <w:r>
        <w:rPr>
          <w:rFonts w:eastAsia="仿宋"/>
          <w:sz w:val="32"/>
          <w:szCs w:val="32"/>
        </w:rPr>
        <w:t>其中：基本支出</w:t>
      </w:r>
      <w:r>
        <w:rPr>
          <w:rFonts w:hint="eastAsia" w:eastAsia="仿宋_GB2312"/>
          <w:spacing w:val="-2"/>
          <w:sz w:val="32"/>
          <w:szCs w:val="32"/>
        </w:rPr>
        <w:t>446.53万元</w:t>
      </w:r>
      <w:r>
        <w:rPr>
          <w:rFonts w:eastAsia="仿宋"/>
          <w:sz w:val="32"/>
          <w:szCs w:val="32"/>
        </w:rPr>
        <w:t>，占</w:t>
      </w:r>
      <w:r>
        <w:rPr>
          <w:rFonts w:hint="eastAsia" w:eastAsia="仿宋"/>
          <w:sz w:val="32"/>
          <w:szCs w:val="32"/>
        </w:rPr>
        <w:t>32.99</w:t>
      </w:r>
      <w:r>
        <w:rPr>
          <w:rFonts w:eastAsia="仿宋"/>
          <w:sz w:val="32"/>
          <w:szCs w:val="32"/>
        </w:rPr>
        <w:t>%；项目支出</w:t>
      </w:r>
      <w:r>
        <w:rPr>
          <w:rFonts w:hint="eastAsia" w:eastAsia="仿宋_GB2312"/>
          <w:spacing w:val="-2"/>
          <w:sz w:val="32"/>
          <w:szCs w:val="32"/>
        </w:rPr>
        <w:t>906.81万元</w:t>
      </w:r>
      <w:r>
        <w:rPr>
          <w:rFonts w:eastAsia="仿宋"/>
          <w:sz w:val="32"/>
          <w:szCs w:val="32"/>
        </w:rPr>
        <w:t>，占</w:t>
      </w:r>
      <w:r>
        <w:rPr>
          <w:rFonts w:hint="eastAsia" w:eastAsia="仿宋"/>
          <w:sz w:val="32"/>
          <w:szCs w:val="32"/>
        </w:rPr>
        <w:t>67.01</w:t>
      </w:r>
      <w:r>
        <w:rPr>
          <w:rFonts w:eastAsia="仿宋"/>
          <w:sz w:val="32"/>
          <w:szCs w:val="32"/>
        </w:rPr>
        <w:t>%；上缴上级支出0万元，占0%；经营支出0万元，占0%；对附属单位补助支出0万元，占0%。</w:t>
      </w:r>
    </w:p>
    <w:p>
      <w:pPr>
        <w:spacing w:line="600" w:lineRule="exact"/>
        <w:ind w:firstLine="640" w:firstLineChars="200"/>
        <w:rPr>
          <w:rFonts w:eastAsia="仿宋_GB2312"/>
          <w:sz w:val="32"/>
          <w:szCs w:val="32"/>
        </w:rPr>
      </w:pPr>
      <w:r>
        <w:rPr>
          <w:rFonts w:eastAsia="仿宋_GB2312"/>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Times New Roman" w:hAnsi="Times New Roman" w:eastAsia="黑体"/>
          <w:b w:val="0"/>
        </w:rPr>
      </w:pPr>
      <w:bookmarkStart w:id="32" w:name="_Toc15396606"/>
      <w:bookmarkStart w:id="33" w:name="_Toc15377208"/>
      <w:r>
        <w:rPr>
          <w:rFonts w:eastAsia="黑体"/>
          <w:sz w:val="32"/>
          <w:szCs w:val="32"/>
        </w:rPr>
        <w:t>四、财</w:t>
      </w:r>
      <w:r>
        <w:rPr>
          <w:rStyle w:val="18"/>
          <w:rFonts w:ascii="Times New Roman" w:hAnsi="Times New Roman" w:eastAsia="黑体"/>
          <w:b w:val="0"/>
        </w:rPr>
        <w:t>政拨款收入支出决算总体情况说明</w:t>
      </w:r>
      <w:bookmarkEnd w:id="32"/>
      <w:bookmarkEnd w:id="33"/>
    </w:p>
    <w:p>
      <w:pPr>
        <w:ind w:firstLine="640" w:firstLineChars="200"/>
        <w:rPr>
          <w:rFonts w:eastAsia="仿宋_GB2312"/>
          <w:spacing w:val="-2"/>
          <w:sz w:val="32"/>
          <w:szCs w:val="32"/>
        </w:rPr>
      </w:pPr>
      <w:r>
        <w:rPr>
          <w:rFonts w:hint="eastAsia" w:eastAsia="仿宋"/>
          <w:sz w:val="32"/>
          <w:szCs w:val="32"/>
        </w:rPr>
        <w:t>2020</w:t>
      </w:r>
      <w:r>
        <w:rPr>
          <w:rFonts w:eastAsia="仿宋"/>
          <w:sz w:val="32"/>
          <w:szCs w:val="32"/>
        </w:rPr>
        <w:t>年财政拨款收入</w:t>
      </w:r>
      <w:r>
        <w:rPr>
          <w:rFonts w:hint="eastAsia" w:eastAsia="仿宋"/>
          <w:sz w:val="32"/>
          <w:szCs w:val="32"/>
        </w:rPr>
        <w:t>1409.63</w:t>
      </w:r>
      <w:r>
        <w:rPr>
          <w:rFonts w:eastAsia="仿宋"/>
          <w:sz w:val="32"/>
          <w:szCs w:val="32"/>
        </w:rPr>
        <w:t>万元。与</w:t>
      </w:r>
      <w:r>
        <w:rPr>
          <w:rFonts w:hint="eastAsia" w:eastAsia="仿宋"/>
          <w:sz w:val="32"/>
          <w:szCs w:val="32"/>
        </w:rPr>
        <w:t>2019</w:t>
      </w:r>
      <w:r>
        <w:rPr>
          <w:rFonts w:eastAsia="仿宋"/>
          <w:sz w:val="32"/>
          <w:szCs w:val="32"/>
        </w:rPr>
        <w:t>年相比，一般公共预算财政拨款收入</w:t>
      </w:r>
      <w:r>
        <w:rPr>
          <w:rFonts w:hint="eastAsia" w:ascii="仿宋_GB2312" w:hAnsi="仿宋_GB2312" w:eastAsia="仿宋_GB2312" w:cs="仿宋_GB2312"/>
          <w:sz w:val="32"/>
          <w:szCs w:val="32"/>
        </w:rPr>
        <w:t>比上年增加</w:t>
      </w:r>
      <w:r>
        <w:rPr>
          <w:rFonts w:eastAsia="方正仿宋简体"/>
          <w:bCs/>
          <w:sz w:val="32"/>
          <w:szCs w:val="32"/>
        </w:rPr>
        <w:t>325.61</w:t>
      </w:r>
      <w:r>
        <w:rPr>
          <w:rFonts w:hint="eastAsia" w:ascii="仿宋_GB2312" w:hAnsi="仿宋_GB2312" w:eastAsia="仿宋_GB2312" w:cs="仿宋_GB2312"/>
          <w:sz w:val="32"/>
          <w:szCs w:val="32"/>
        </w:rPr>
        <w:t>万元</w:t>
      </w:r>
      <w:r>
        <w:rPr>
          <w:rFonts w:eastAsia="仿宋"/>
          <w:sz w:val="32"/>
          <w:szCs w:val="32"/>
        </w:rPr>
        <w:t>，</w:t>
      </w:r>
      <w:r>
        <w:rPr>
          <w:rFonts w:hint="eastAsia" w:eastAsia="仿宋"/>
          <w:sz w:val="32"/>
          <w:szCs w:val="32"/>
        </w:rPr>
        <w:t>增加30.04</w:t>
      </w:r>
      <w:r>
        <w:rPr>
          <w:rFonts w:eastAsia="仿宋"/>
          <w:sz w:val="32"/>
          <w:szCs w:val="32"/>
        </w:rPr>
        <w:t>%。</w:t>
      </w:r>
      <w:r>
        <w:rPr>
          <w:rFonts w:hint="eastAsia" w:ascii="仿宋_GB2312" w:eastAsia="仿宋_GB2312"/>
          <w:spacing w:val="-2"/>
          <w:sz w:val="32"/>
          <w:szCs w:val="32"/>
        </w:rPr>
        <w:t>增</w:t>
      </w:r>
      <w:r>
        <w:rPr>
          <w:rFonts w:hint="eastAsia" w:eastAsia="仿宋_GB2312"/>
          <w:spacing w:val="-2"/>
          <w:sz w:val="32"/>
          <w:szCs w:val="32"/>
        </w:rPr>
        <w:t>加的主要原因是基本支出中人员经费增加了调进人员工资、调资及补发工资和第一书记伙食补助等和日常公用经费增加了办公费、差旅费等；项目支出增加了贫困村工作经费、村旅游和村集体经济建设项目、深度贫困县千名紧缺专业人才培养行动研修培训经费和浙江帮扶经费。</w:t>
      </w:r>
    </w:p>
    <w:p>
      <w:pPr>
        <w:snapToGrid w:val="0"/>
        <w:spacing w:line="520" w:lineRule="exact"/>
        <w:ind w:firstLine="640" w:firstLineChars="200"/>
        <w:rPr>
          <w:rFonts w:eastAsia="仿宋"/>
          <w:sz w:val="32"/>
          <w:szCs w:val="32"/>
        </w:rPr>
      </w:pPr>
    </w:p>
    <w:p>
      <w:pPr>
        <w:spacing w:line="600" w:lineRule="exact"/>
        <w:ind w:firstLine="640" w:firstLineChars="200"/>
        <w:rPr>
          <w:rStyle w:val="18"/>
          <w:rFonts w:ascii="Times New Roman" w:hAnsi="Times New Roman" w:eastAsia="黑体"/>
          <w:b w:val="0"/>
        </w:rPr>
      </w:pPr>
      <w:r>
        <w:rPr>
          <w:rFonts w:eastAsia="仿宋"/>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4" w:name="_Toc15396607"/>
      <w:bookmarkStart w:id="35" w:name="_Toc15377209"/>
      <w:r>
        <w:rPr>
          <w:rFonts w:eastAsia="黑体"/>
          <w:sz w:val="32"/>
          <w:szCs w:val="32"/>
        </w:rPr>
        <w:t>五、</w:t>
      </w:r>
      <w:r>
        <w:rPr>
          <w:rFonts w:eastAsia="黑体"/>
          <w:b/>
          <w:sz w:val="32"/>
          <w:szCs w:val="32"/>
        </w:rPr>
        <w:t>一</w:t>
      </w:r>
      <w:r>
        <w:rPr>
          <w:rStyle w:val="18"/>
          <w:rFonts w:ascii="Times New Roman" w:hAnsi="Times New Roman" w:eastAsia="黑体"/>
          <w:b w:val="0"/>
        </w:rPr>
        <w:t>般公共预算财政拨款支出决算情况说明</w:t>
      </w:r>
      <w:bookmarkEnd w:id="34"/>
      <w:bookmarkEnd w:id="35"/>
    </w:p>
    <w:p>
      <w:pPr>
        <w:spacing w:line="600" w:lineRule="exact"/>
        <w:ind w:firstLine="643" w:firstLineChars="200"/>
        <w:outlineLvl w:val="2"/>
        <w:rPr>
          <w:rFonts w:eastAsia="仿宋"/>
          <w:b/>
          <w:sz w:val="32"/>
          <w:szCs w:val="32"/>
        </w:rPr>
      </w:pPr>
      <w:bookmarkStart w:id="36" w:name="_Toc15377210"/>
      <w:r>
        <w:rPr>
          <w:rFonts w:eastAsia="仿宋"/>
          <w:b/>
          <w:sz w:val="32"/>
          <w:szCs w:val="32"/>
        </w:rPr>
        <w:t>（一）一般公共预算财政拨款支出决算总体情况</w:t>
      </w:r>
      <w:bookmarkEnd w:id="36"/>
    </w:p>
    <w:p>
      <w:pPr>
        <w:snapToGrid w:val="0"/>
        <w:spacing w:line="520" w:lineRule="exact"/>
        <w:ind w:firstLine="640" w:firstLineChars="200"/>
        <w:rPr>
          <w:rFonts w:eastAsia="仿宋_GB2312"/>
          <w:sz w:val="32"/>
          <w:szCs w:val="32"/>
        </w:rPr>
      </w:pPr>
      <w:r>
        <w:rPr>
          <w:rFonts w:hint="eastAsia" w:eastAsia="仿宋"/>
          <w:sz w:val="32"/>
          <w:szCs w:val="32"/>
        </w:rPr>
        <w:t>2020</w:t>
      </w:r>
      <w:r>
        <w:rPr>
          <w:rFonts w:eastAsia="仿宋"/>
          <w:sz w:val="32"/>
          <w:szCs w:val="32"/>
        </w:rPr>
        <w:t>年</w:t>
      </w:r>
      <w:r>
        <w:rPr>
          <w:rFonts w:eastAsia="仿宋_GB2312"/>
          <w:spacing w:val="-2"/>
          <w:sz w:val="32"/>
          <w:szCs w:val="32"/>
        </w:rPr>
        <w:t>一般公共预算财政拨款支出</w:t>
      </w:r>
      <w:r>
        <w:rPr>
          <w:rFonts w:eastAsia="方正仿宋简体"/>
          <w:sz w:val="32"/>
          <w:szCs w:val="32"/>
        </w:rPr>
        <w:t>1353.34</w:t>
      </w:r>
      <w:r>
        <w:rPr>
          <w:rFonts w:eastAsia="仿宋_GB2312"/>
          <w:spacing w:val="-2"/>
          <w:sz w:val="32"/>
          <w:szCs w:val="32"/>
        </w:rPr>
        <w:t>万元，</w:t>
      </w:r>
      <w:r>
        <w:rPr>
          <w:rFonts w:eastAsia="仿宋"/>
          <w:sz w:val="32"/>
          <w:szCs w:val="32"/>
        </w:rPr>
        <w:t>占本年总支出的</w:t>
      </w:r>
      <w:r>
        <w:rPr>
          <w:rFonts w:hint="eastAsia" w:eastAsia="仿宋"/>
          <w:sz w:val="32"/>
          <w:szCs w:val="32"/>
        </w:rPr>
        <w:t>100</w:t>
      </w:r>
      <w:r>
        <w:rPr>
          <w:rFonts w:eastAsia="仿宋"/>
          <w:sz w:val="32"/>
          <w:szCs w:val="32"/>
        </w:rPr>
        <w:t>%。与</w:t>
      </w:r>
      <w:r>
        <w:rPr>
          <w:rFonts w:hint="eastAsia" w:eastAsia="仿宋"/>
          <w:sz w:val="32"/>
          <w:szCs w:val="32"/>
        </w:rPr>
        <w:t>2019</w:t>
      </w:r>
      <w:r>
        <w:rPr>
          <w:rFonts w:eastAsia="仿宋"/>
          <w:sz w:val="32"/>
          <w:szCs w:val="32"/>
        </w:rPr>
        <w:t>年相比，</w:t>
      </w:r>
      <w:r>
        <w:rPr>
          <w:rFonts w:eastAsia="仿宋_GB2312"/>
          <w:sz w:val="32"/>
          <w:szCs w:val="32"/>
        </w:rPr>
        <w:t>增加188.57万元</w:t>
      </w:r>
      <w:r>
        <w:rPr>
          <w:rFonts w:hint="eastAsia" w:eastAsia="仿宋_GB2312"/>
          <w:sz w:val="32"/>
          <w:szCs w:val="32"/>
          <w:lang w:eastAsia="zh-CN"/>
        </w:rPr>
        <w:t>，</w:t>
      </w:r>
      <w:r>
        <w:rPr>
          <w:rFonts w:eastAsia="仿宋_GB2312"/>
          <w:sz w:val="32"/>
          <w:szCs w:val="32"/>
        </w:rPr>
        <w:t xml:space="preserve"> 比去年增加16.19%。</w:t>
      </w:r>
      <w:r>
        <w:rPr>
          <w:rFonts w:hint="eastAsia" w:eastAsia="仿宋_GB2312"/>
          <w:sz w:val="32"/>
          <w:szCs w:val="32"/>
        </w:rPr>
        <w:t>增加的原因是</w:t>
      </w:r>
      <w:r>
        <w:rPr>
          <w:rFonts w:hint="eastAsia" w:eastAsia="仿宋_GB2312"/>
          <w:sz w:val="32"/>
          <w:szCs w:val="32"/>
          <w:lang w:eastAsia="zh-CN"/>
        </w:rPr>
        <w:t>乡村</w:t>
      </w:r>
      <w:r>
        <w:rPr>
          <w:rFonts w:hint="eastAsia" w:eastAsia="仿宋_GB2312"/>
          <w:sz w:val="32"/>
          <w:szCs w:val="32"/>
        </w:rPr>
        <w:t>旅游和村集体经济建设项目增加。</w:t>
      </w:r>
    </w:p>
    <w:p>
      <w:pPr>
        <w:snapToGrid w:val="0"/>
        <w:spacing w:line="520" w:lineRule="exact"/>
        <w:ind w:firstLine="632" w:firstLineChars="200"/>
        <w:rPr>
          <w:rFonts w:eastAsia="仿宋_GB2312"/>
          <w:spacing w:val="-2"/>
          <w:sz w:val="32"/>
          <w:szCs w:val="32"/>
        </w:rPr>
      </w:pPr>
    </w:p>
    <w:p>
      <w:pPr>
        <w:snapToGrid w:val="0"/>
        <w:spacing w:line="520" w:lineRule="exact"/>
        <w:ind w:firstLine="632" w:firstLineChars="200"/>
        <w:rPr>
          <w:rFonts w:eastAsia="仿宋_GB2312"/>
          <w:spacing w:val="-2"/>
          <w:sz w:val="32"/>
          <w:szCs w:val="32"/>
        </w:rPr>
      </w:pPr>
    </w:p>
    <w:p>
      <w:pPr>
        <w:snapToGrid w:val="0"/>
        <w:spacing w:line="520" w:lineRule="exact"/>
        <w:ind w:firstLine="640" w:firstLineChars="200"/>
        <w:rPr>
          <w:rFonts w:eastAsia="仿宋"/>
          <w:sz w:val="32"/>
          <w:szCs w:val="32"/>
        </w:rPr>
      </w:pPr>
      <w:r>
        <w:rPr>
          <w:rFonts w:eastAsia="仿宋"/>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7" w:name="_Toc15377211"/>
      <w:r>
        <w:rPr>
          <w:rFonts w:eastAsia="仿宋"/>
          <w:sz w:val="32"/>
          <w:szCs w:val="32"/>
        </w:rPr>
        <w:t>（二）一般公共预算财政拨款支出决算结构情况</w:t>
      </w:r>
      <w:bookmarkEnd w:id="37"/>
    </w:p>
    <w:p>
      <w:pPr>
        <w:spacing w:line="600" w:lineRule="exact"/>
        <w:ind w:firstLine="640"/>
        <w:rPr>
          <w:rFonts w:eastAsia="仿宋"/>
          <w:sz w:val="32"/>
          <w:szCs w:val="32"/>
        </w:rPr>
      </w:pPr>
      <w:r>
        <w:rPr>
          <w:rFonts w:hint="eastAsia" w:eastAsia="仿宋"/>
          <w:sz w:val="32"/>
          <w:szCs w:val="32"/>
        </w:rPr>
        <w:t>2020</w:t>
      </w:r>
      <w:r>
        <w:rPr>
          <w:rFonts w:eastAsia="仿宋"/>
          <w:sz w:val="32"/>
          <w:szCs w:val="32"/>
        </w:rPr>
        <w:t>年一般公共预算财政拨款支出</w:t>
      </w:r>
      <w:r>
        <w:rPr>
          <w:rFonts w:eastAsia="方正仿宋简体"/>
          <w:sz w:val="32"/>
          <w:szCs w:val="32"/>
        </w:rPr>
        <w:t>1353.34</w:t>
      </w:r>
      <w:r>
        <w:rPr>
          <w:rFonts w:eastAsia="仿宋"/>
          <w:sz w:val="32"/>
          <w:szCs w:val="32"/>
        </w:rPr>
        <w:t>万元，主要用于以下方面</w:t>
      </w:r>
      <w:r>
        <w:rPr>
          <w:rFonts w:hint="eastAsia" w:eastAsia="仿宋"/>
          <w:sz w:val="32"/>
          <w:szCs w:val="32"/>
          <w:lang w:eastAsia="zh-CN"/>
        </w:rPr>
        <w:t>：</w:t>
      </w:r>
      <w:r>
        <w:rPr>
          <w:rFonts w:eastAsia="仿宋"/>
          <w:sz w:val="32"/>
          <w:szCs w:val="32"/>
        </w:rPr>
        <w:t>一般公共服务（类）支出</w:t>
      </w:r>
      <w:r>
        <w:rPr>
          <w:rFonts w:hint="eastAsia" w:eastAsia="仿宋"/>
          <w:sz w:val="32"/>
          <w:szCs w:val="32"/>
        </w:rPr>
        <w:t>371.92</w:t>
      </w:r>
      <w:r>
        <w:rPr>
          <w:rFonts w:eastAsia="仿宋"/>
          <w:sz w:val="32"/>
          <w:szCs w:val="32"/>
        </w:rPr>
        <w:t>万元，占</w:t>
      </w:r>
      <w:r>
        <w:rPr>
          <w:rFonts w:hint="eastAsia" w:eastAsia="仿宋"/>
          <w:sz w:val="32"/>
          <w:szCs w:val="32"/>
        </w:rPr>
        <w:t>27.48</w:t>
      </w:r>
      <w:r>
        <w:rPr>
          <w:rFonts w:eastAsia="仿宋"/>
          <w:sz w:val="32"/>
          <w:szCs w:val="32"/>
        </w:rPr>
        <w:t>%；</w:t>
      </w:r>
      <w:r>
        <w:rPr>
          <w:rFonts w:hint="eastAsia" w:eastAsia="仿宋"/>
          <w:sz w:val="32"/>
          <w:szCs w:val="32"/>
        </w:rPr>
        <w:t>教育支出61.46万元，占4.54%；</w:t>
      </w:r>
      <w:r>
        <w:rPr>
          <w:rFonts w:eastAsia="仿宋"/>
          <w:sz w:val="32"/>
          <w:szCs w:val="32"/>
        </w:rPr>
        <w:t>社会保障和就业（类）支出</w:t>
      </w:r>
      <w:r>
        <w:rPr>
          <w:rFonts w:hint="eastAsia" w:eastAsia="仿宋"/>
          <w:sz w:val="32"/>
          <w:szCs w:val="32"/>
        </w:rPr>
        <w:t>50.33</w:t>
      </w:r>
      <w:r>
        <w:rPr>
          <w:rFonts w:eastAsia="仿宋"/>
          <w:sz w:val="32"/>
          <w:szCs w:val="32"/>
        </w:rPr>
        <w:t>万元，占</w:t>
      </w:r>
      <w:r>
        <w:rPr>
          <w:rFonts w:hint="eastAsia" w:eastAsia="仿宋"/>
          <w:sz w:val="32"/>
          <w:szCs w:val="32"/>
        </w:rPr>
        <w:t>3.72</w:t>
      </w:r>
      <w:r>
        <w:rPr>
          <w:rFonts w:eastAsia="仿宋"/>
          <w:sz w:val="32"/>
          <w:szCs w:val="32"/>
        </w:rPr>
        <w:t>%；卫生健康支出</w:t>
      </w:r>
      <w:r>
        <w:rPr>
          <w:rFonts w:hint="eastAsia" w:eastAsia="仿宋"/>
          <w:sz w:val="32"/>
          <w:szCs w:val="32"/>
        </w:rPr>
        <w:t>20.63</w:t>
      </w:r>
      <w:r>
        <w:rPr>
          <w:rFonts w:eastAsia="仿宋"/>
          <w:sz w:val="32"/>
          <w:szCs w:val="32"/>
        </w:rPr>
        <w:t>万元，占</w:t>
      </w:r>
      <w:r>
        <w:rPr>
          <w:rFonts w:hint="eastAsia" w:eastAsia="仿宋"/>
          <w:sz w:val="32"/>
          <w:szCs w:val="32"/>
        </w:rPr>
        <w:t>1.52</w:t>
      </w:r>
      <w:r>
        <w:rPr>
          <w:rFonts w:eastAsia="仿宋"/>
          <w:sz w:val="32"/>
          <w:szCs w:val="32"/>
        </w:rPr>
        <w:t>%；</w:t>
      </w:r>
      <w:r>
        <w:rPr>
          <w:rFonts w:hint="eastAsia" w:eastAsia="仿宋"/>
          <w:sz w:val="32"/>
          <w:szCs w:val="32"/>
        </w:rPr>
        <w:t>农林水支出720.13万元，占53.22%</w:t>
      </w:r>
      <w:r>
        <w:rPr>
          <w:rFonts w:hint="eastAsia" w:eastAsia="仿宋"/>
          <w:sz w:val="32"/>
          <w:szCs w:val="32"/>
          <w:lang w:eastAsia="zh-CN"/>
        </w:rPr>
        <w:t>；</w:t>
      </w:r>
      <w:r>
        <w:rPr>
          <w:rFonts w:eastAsia="仿宋"/>
          <w:sz w:val="32"/>
          <w:szCs w:val="32"/>
        </w:rPr>
        <w:t>住房保障支出</w:t>
      </w:r>
      <w:r>
        <w:rPr>
          <w:rFonts w:hint="eastAsia" w:eastAsia="仿宋"/>
          <w:sz w:val="32"/>
          <w:szCs w:val="32"/>
        </w:rPr>
        <w:t>28.87</w:t>
      </w:r>
      <w:r>
        <w:rPr>
          <w:rFonts w:eastAsia="仿宋"/>
          <w:sz w:val="32"/>
          <w:szCs w:val="32"/>
        </w:rPr>
        <w:t>万元，占</w:t>
      </w:r>
      <w:r>
        <w:rPr>
          <w:rFonts w:hint="eastAsia" w:eastAsia="仿宋"/>
          <w:sz w:val="32"/>
          <w:szCs w:val="32"/>
        </w:rPr>
        <w:t>2.13</w:t>
      </w:r>
      <w:r>
        <w:rPr>
          <w:rFonts w:eastAsia="仿宋"/>
          <w:sz w:val="32"/>
          <w:szCs w:val="32"/>
        </w:rPr>
        <w:t>%</w:t>
      </w:r>
      <w:r>
        <w:rPr>
          <w:rFonts w:hint="eastAsia" w:eastAsia="仿宋"/>
          <w:sz w:val="32"/>
          <w:szCs w:val="32"/>
          <w:lang w:eastAsia="zh-CN"/>
        </w:rPr>
        <w:t>；</w:t>
      </w:r>
      <w:r>
        <w:rPr>
          <w:rFonts w:hint="eastAsia" w:eastAsia="仿宋"/>
          <w:sz w:val="32"/>
          <w:szCs w:val="32"/>
        </w:rPr>
        <w:t>其他支出100万元，占7.39%。</w:t>
      </w:r>
    </w:p>
    <w:p>
      <w:pPr>
        <w:spacing w:line="600" w:lineRule="exact"/>
        <w:ind w:firstLine="8320" w:firstLineChars="2600"/>
        <w:outlineLvl w:val="2"/>
        <w:rPr>
          <w:rFonts w:eastAsia="仿宋"/>
          <w:b/>
          <w:sz w:val="32"/>
          <w:szCs w:val="32"/>
        </w:rPr>
      </w:pPr>
      <w:bookmarkStart w:id="38" w:name="_Toc15377213"/>
      <w:bookmarkStart w:id="39" w:name="_Toc15377444"/>
      <w:bookmarkStart w:id="40" w:name="_Toc15378460"/>
      <w:r>
        <w:rPr>
          <w:rFonts w:eastAsia="仿宋"/>
          <w:sz w:val="32"/>
          <w:szCs w:val="32"/>
        </w:rPr>
        <w:drawing>
          <wp:anchor distT="0" distB="0" distL="114300" distR="114300" simplePos="0" relativeHeight="251663360" behindDoc="0" locked="0" layoutInCell="1" allowOverlap="1">
            <wp:simplePos x="0" y="0"/>
            <wp:positionH relativeFrom="column">
              <wp:posOffset>548640</wp:posOffset>
            </wp:positionH>
            <wp:positionV relativeFrom="paragraph">
              <wp:posOffset>292735</wp:posOffset>
            </wp:positionV>
            <wp:extent cx="4572000" cy="2341245"/>
            <wp:effectExtent l="4445" t="4445" r="14605" b="1651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eastAsia="仿宋"/>
          <w:b/>
          <w:sz w:val="32"/>
          <w:szCs w:val="32"/>
        </w:rPr>
      </w:pPr>
    </w:p>
    <w:p>
      <w:pPr>
        <w:spacing w:line="600" w:lineRule="exact"/>
        <w:ind w:firstLine="8353" w:firstLineChars="2600"/>
        <w:outlineLvl w:val="2"/>
        <w:rPr>
          <w:rFonts w:eastAsia="仿宋"/>
          <w:b/>
          <w:sz w:val="32"/>
          <w:szCs w:val="32"/>
        </w:rPr>
      </w:pPr>
    </w:p>
    <w:p>
      <w:pPr>
        <w:spacing w:line="600" w:lineRule="exact"/>
        <w:ind w:firstLine="643" w:firstLineChars="200"/>
        <w:outlineLvl w:val="2"/>
        <w:rPr>
          <w:rFonts w:eastAsia="仿宋"/>
          <w:b/>
          <w:sz w:val="32"/>
          <w:szCs w:val="32"/>
        </w:rPr>
      </w:pPr>
      <w:bookmarkStart w:id="41" w:name="_Toc15377212"/>
      <w:r>
        <w:rPr>
          <w:rFonts w:eastAsia="仿宋"/>
          <w:b/>
          <w:sz w:val="32"/>
          <w:szCs w:val="32"/>
        </w:rPr>
        <w:t>（三）一般公共预算财政拨款支出决算具体情况</w:t>
      </w:r>
      <w:bookmarkEnd w:id="41"/>
    </w:p>
    <w:p>
      <w:pPr>
        <w:spacing w:line="600" w:lineRule="exact"/>
        <w:outlineLvl w:val="2"/>
        <w:rPr>
          <w:rFonts w:eastAsia="仿宋"/>
          <w:bCs/>
          <w:sz w:val="32"/>
          <w:szCs w:val="32"/>
        </w:rPr>
      </w:pPr>
      <w:r>
        <w:rPr>
          <w:rFonts w:eastAsia="仿宋"/>
          <w:bCs/>
          <w:sz w:val="32"/>
          <w:szCs w:val="32"/>
        </w:rPr>
        <w:t xml:space="preserve">   </w:t>
      </w:r>
      <w:r>
        <w:rPr>
          <w:rFonts w:hint="eastAsia" w:eastAsia="仿宋"/>
          <w:bCs/>
          <w:sz w:val="32"/>
          <w:szCs w:val="32"/>
        </w:rPr>
        <w:t xml:space="preserve"> 2020</w:t>
      </w:r>
      <w:r>
        <w:rPr>
          <w:rFonts w:eastAsia="仿宋"/>
          <w:bCs/>
          <w:sz w:val="32"/>
          <w:szCs w:val="32"/>
        </w:rPr>
        <w:t>年一般公共预算数为</w:t>
      </w:r>
      <w:r>
        <w:rPr>
          <w:rFonts w:hint="eastAsia" w:eastAsia="仿宋"/>
          <w:bCs/>
          <w:sz w:val="32"/>
          <w:szCs w:val="32"/>
        </w:rPr>
        <w:t>373.6</w:t>
      </w:r>
      <w:r>
        <w:rPr>
          <w:rFonts w:eastAsia="仿宋"/>
          <w:bCs/>
          <w:sz w:val="32"/>
          <w:szCs w:val="32"/>
        </w:rPr>
        <w:t>万元，支出决算数为</w:t>
      </w:r>
      <w:r>
        <w:rPr>
          <w:rFonts w:hint="eastAsia" w:eastAsia="仿宋"/>
          <w:bCs/>
          <w:sz w:val="32"/>
          <w:szCs w:val="32"/>
        </w:rPr>
        <w:t>1353.34</w:t>
      </w:r>
      <w:r>
        <w:rPr>
          <w:rFonts w:eastAsia="仿宋"/>
          <w:bCs/>
          <w:sz w:val="32"/>
          <w:szCs w:val="32"/>
        </w:rPr>
        <w:t>万元，完</w:t>
      </w:r>
      <w:r>
        <w:rPr>
          <w:rStyle w:val="15"/>
          <w:rFonts w:eastAsia="仿宋"/>
          <w:b w:val="0"/>
          <w:bCs/>
          <w:sz w:val="32"/>
          <w:szCs w:val="32"/>
        </w:rPr>
        <w:t>成预算</w:t>
      </w:r>
      <w:r>
        <w:rPr>
          <w:rStyle w:val="15"/>
          <w:rFonts w:hint="eastAsia" w:eastAsia="仿宋"/>
          <w:b w:val="0"/>
          <w:bCs/>
          <w:sz w:val="32"/>
          <w:szCs w:val="32"/>
        </w:rPr>
        <w:t>100</w:t>
      </w:r>
      <w:r>
        <w:rPr>
          <w:rStyle w:val="15"/>
          <w:rFonts w:eastAsia="仿宋"/>
          <w:b w:val="0"/>
          <w:bCs/>
          <w:sz w:val="32"/>
          <w:szCs w:val="32"/>
        </w:rPr>
        <w:t>%。结转下年</w:t>
      </w:r>
      <w:r>
        <w:rPr>
          <w:rStyle w:val="15"/>
          <w:rFonts w:hint="eastAsia" w:eastAsia="仿宋"/>
          <w:b w:val="0"/>
          <w:bCs/>
          <w:sz w:val="32"/>
          <w:szCs w:val="32"/>
        </w:rPr>
        <w:t>0</w:t>
      </w:r>
      <w:r>
        <w:rPr>
          <w:rStyle w:val="15"/>
          <w:rFonts w:eastAsia="仿宋"/>
          <w:b w:val="0"/>
          <w:bCs/>
          <w:sz w:val="32"/>
          <w:szCs w:val="32"/>
        </w:rPr>
        <w:t>万元。其中：</w:t>
      </w:r>
      <w:bookmarkEnd w:id="38"/>
      <w:bookmarkEnd w:id="39"/>
      <w:bookmarkEnd w:id="40"/>
    </w:p>
    <w:p>
      <w:pPr>
        <w:spacing w:line="600" w:lineRule="exact"/>
        <w:ind w:firstLine="640" w:firstLineChars="200"/>
        <w:outlineLvl w:val="2"/>
        <w:rPr>
          <w:rFonts w:eastAsia="仿宋"/>
          <w:bCs/>
          <w:sz w:val="32"/>
          <w:szCs w:val="32"/>
        </w:rPr>
      </w:pPr>
      <w:r>
        <w:rPr>
          <w:rFonts w:hint="eastAsia" w:eastAsia="仿宋"/>
          <w:bCs/>
          <w:sz w:val="32"/>
          <w:szCs w:val="32"/>
        </w:rPr>
        <w:t>1.一般公共服务（类）组织事务（款）行政运行（项）</w:t>
      </w:r>
      <w:r>
        <w:rPr>
          <w:rFonts w:hint="eastAsia" w:eastAsia="仿宋"/>
          <w:bCs/>
          <w:sz w:val="32"/>
          <w:szCs w:val="32"/>
          <w:lang w:eastAsia="zh-CN"/>
        </w:rPr>
        <w:t>：</w:t>
      </w:r>
      <w:r>
        <w:rPr>
          <w:rFonts w:eastAsia="仿宋"/>
          <w:bCs/>
          <w:sz w:val="32"/>
          <w:szCs w:val="32"/>
        </w:rPr>
        <w:t>支出决算为</w:t>
      </w:r>
      <w:r>
        <w:rPr>
          <w:rFonts w:hint="eastAsia" w:eastAsia="仿宋"/>
          <w:bCs/>
          <w:sz w:val="32"/>
          <w:szCs w:val="32"/>
        </w:rPr>
        <w:t>357.36</w:t>
      </w:r>
      <w:r>
        <w:rPr>
          <w:rFonts w:eastAsia="仿宋"/>
          <w:bCs/>
          <w:sz w:val="32"/>
          <w:szCs w:val="32"/>
        </w:rPr>
        <w:t>万元，完成预算100%</w:t>
      </w:r>
      <w:r>
        <w:rPr>
          <w:rFonts w:hint="eastAsia" w:eastAsia="仿宋"/>
          <w:bCs/>
          <w:sz w:val="32"/>
          <w:szCs w:val="32"/>
        </w:rPr>
        <w:t>。</w:t>
      </w:r>
    </w:p>
    <w:p>
      <w:pPr>
        <w:spacing w:line="600" w:lineRule="exact"/>
        <w:ind w:firstLine="640" w:firstLineChars="200"/>
        <w:outlineLvl w:val="2"/>
        <w:rPr>
          <w:rFonts w:eastAsia="仿宋"/>
          <w:bCs/>
          <w:sz w:val="32"/>
          <w:szCs w:val="32"/>
        </w:rPr>
      </w:pPr>
      <w:r>
        <w:rPr>
          <w:rFonts w:eastAsia="仿宋"/>
          <w:bCs/>
          <w:sz w:val="32"/>
          <w:szCs w:val="32"/>
        </w:rPr>
        <w:t>2.一般公共服务（类）</w:t>
      </w:r>
      <w:r>
        <w:rPr>
          <w:rFonts w:hint="eastAsia" w:eastAsia="仿宋"/>
          <w:bCs/>
          <w:sz w:val="32"/>
          <w:szCs w:val="32"/>
        </w:rPr>
        <w:t>组织事务</w:t>
      </w:r>
      <w:r>
        <w:rPr>
          <w:rFonts w:eastAsia="仿宋"/>
          <w:bCs/>
          <w:sz w:val="32"/>
          <w:szCs w:val="32"/>
        </w:rPr>
        <w:t>（款）一般行政管理事务（项）: 支出决算为</w:t>
      </w:r>
      <w:r>
        <w:rPr>
          <w:rFonts w:hint="eastAsia" w:eastAsia="仿宋"/>
          <w:bCs/>
          <w:sz w:val="32"/>
          <w:szCs w:val="32"/>
        </w:rPr>
        <w:t>14.56</w:t>
      </w:r>
      <w:r>
        <w:rPr>
          <w:rFonts w:eastAsia="仿宋"/>
          <w:bCs/>
          <w:sz w:val="32"/>
          <w:szCs w:val="32"/>
        </w:rPr>
        <w:t>万元，完成预算</w:t>
      </w:r>
      <w:r>
        <w:rPr>
          <w:rFonts w:hint="eastAsia" w:eastAsia="仿宋"/>
          <w:bCs/>
          <w:sz w:val="32"/>
          <w:szCs w:val="32"/>
        </w:rPr>
        <w:t>100</w:t>
      </w:r>
      <w:r>
        <w:rPr>
          <w:rFonts w:eastAsia="仿宋"/>
          <w:bCs/>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3.教育（类）进修及培训（款）培训支出（项）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为61.46万元</w:t>
      </w:r>
      <w:r>
        <w:rPr>
          <w:rFonts w:eastAsia="仿宋"/>
          <w:bCs/>
          <w:sz w:val="32"/>
          <w:szCs w:val="32"/>
        </w:rPr>
        <w:t>，完成预算100%</w:t>
      </w:r>
      <w:r>
        <w:rPr>
          <w:rFonts w:hint="eastAsia" w:eastAsia="仿宋"/>
          <w:bCs/>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4.社会保障和就业（类）民政管理事务（款）基层政权建设和社区治理（项）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为7.45万元</w:t>
      </w:r>
      <w:r>
        <w:rPr>
          <w:rFonts w:eastAsia="仿宋"/>
          <w:bCs/>
          <w:sz w:val="32"/>
          <w:szCs w:val="32"/>
        </w:rPr>
        <w:t>，完成预算100%</w:t>
      </w:r>
      <w:r>
        <w:rPr>
          <w:rFonts w:hint="eastAsia" w:eastAsia="仿宋"/>
          <w:bCs/>
          <w:sz w:val="32"/>
          <w:szCs w:val="32"/>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5.社会保障和就业（类）行政事业单位离退休（款）机关事业单位基本养老保险缴费支出（项）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为28.59万元</w:t>
      </w:r>
      <w:r>
        <w:rPr>
          <w:rFonts w:eastAsia="仿宋"/>
          <w:bCs/>
          <w:sz w:val="32"/>
          <w:szCs w:val="32"/>
        </w:rPr>
        <w:t>，完成预算100%</w:t>
      </w:r>
      <w:r>
        <w:rPr>
          <w:rFonts w:hint="eastAsia" w:eastAsia="仿宋"/>
          <w:bCs/>
          <w:sz w:val="32"/>
          <w:szCs w:val="32"/>
        </w:rPr>
        <w:t>。</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6.社会保障和就业（类）行政事业单位离退休（款）机关事业单位职业年金缴费支出（项）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为14.29万元</w:t>
      </w:r>
      <w:r>
        <w:rPr>
          <w:rFonts w:eastAsia="仿宋"/>
          <w:bCs/>
          <w:sz w:val="32"/>
          <w:szCs w:val="32"/>
        </w:rPr>
        <w:t>，完成预算100%</w:t>
      </w:r>
      <w:r>
        <w:rPr>
          <w:rFonts w:hint="eastAsia" w:eastAsia="仿宋"/>
          <w:bCs/>
          <w:sz w:val="32"/>
          <w:szCs w:val="32"/>
        </w:rPr>
        <w:t>。</w:t>
      </w:r>
    </w:p>
    <w:p>
      <w:pPr>
        <w:ind w:firstLine="640"/>
        <w:rPr>
          <w:rFonts w:eastAsia="仿宋"/>
          <w:bCs/>
          <w:sz w:val="32"/>
          <w:szCs w:val="32"/>
        </w:rPr>
      </w:pPr>
      <w:r>
        <w:rPr>
          <w:rFonts w:hint="eastAsia" w:ascii="仿宋_GB2312" w:hAnsi="仿宋_GB2312" w:eastAsia="仿宋_GB2312" w:cs="仿宋_GB2312"/>
          <w:sz w:val="32"/>
          <w:szCs w:val="32"/>
        </w:rPr>
        <w:t>7.卫生健康（类）公共卫生（款）突发公共卫生事件应急处理（项）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为3.21万元，</w:t>
      </w:r>
      <w:r>
        <w:rPr>
          <w:rFonts w:eastAsia="仿宋"/>
          <w:bCs/>
          <w:sz w:val="32"/>
          <w:szCs w:val="32"/>
        </w:rPr>
        <w:t>完成预算100%</w:t>
      </w:r>
      <w:r>
        <w:rPr>
          <w:rFonts w:hint="eastAsia" w:eastAsia="仿宋"/>
          <w:bCs/>
          <w:sz w:val="32"/>
          <w:szCs w:val="32"/>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8. 卫生健康（类）行政事业单位医疗（款）行政单位医疗（项）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为12.61万元，</w:t>
      </w:r>
      <w:r>
        <w:rPr>
          <w:rFonts w:eastAsia="仿宋"/>
          <w:bCs/>
          <w:sz w:val="32"/>
          <w:szCs w:val="32"/>
        </w:rPr>
        <w:t>完成预算100%</w:t>
      </w:r>
      <w:r>
        <w:rPr>
          <w:rFonts w:hint="eastAsia" w:eastAsia="仿宋"/>
          <w:bCs/>
          <w:sz w:val="32"/>
          <w:szCs w:val="32"/>
        </w:rPr>
        <w:t>。</w:t>
      </w:r>
    </w:p>
    <w:p>
      <w:pPr>
        <w:ind w:firstLine="640"/>
        <w:rPr>
          <w:rFonts w:eastAsia="仿宋"/>
          <w:bCs/>
          <w:sz w:val="32"/>
          <w:szCs w:val="32"/>
        </w:rPr>
      </w:pPr>
      <w:r>
        <w:rPr>
          <w:rFonts w:hint="eastAsia" w:ascii="仿宋_GB2312" w:hAnsi="仿宋_GB2312" w:eastAsia="仿宋_GB2312" w:cs="仿宋_GB2312"/>
          <w:sz w:val="32"/>
          <w:szCs w:val="32"/>
        </w:rPr>
        <w:t>9. 卫生健康（类）行政事业单位医疗（款）公务员医疗补助（项）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为4.81万元，</w:t>
      </w:r>
      <w:r>
        <w:rPr>
          <w:rFonts w:eastAsia="仿宋"/>
          <w:bCs/>
          <w:sz w:val="32"/>
          <w:szCs w:val="32"/>
        </w:rPr>
        <w:t>完成预算100%</w:t>
      </w:r>
      <w:r>
        <w:rPr>
          <w:rFonts w:hint="eastAsia" w:eastAsia="仿宋"/>
          <w:bCs/>
          <w:sz w:val="32"/>
          <w:szCs w:val="32"/>
        </w:rPr>
        <w:t>。</w:t>
      </w:r>
    </w:p>
    <w:p>
      <w:pPr>
        <w:ind w:firstLine="640"/>
        <w:rPr>
          <w:rFonts w:eastAsia="仿宋"/>
          <w:bCs/>
          <w:sz w:val="32"/>
          <w:szCs w:val="32"/>
        </w:rPr>
      </w:pPr>
      <w:r>
        <w:rPr>
          <w:rFonts w:hint="eastAsia" w:ascii="仿宋_GB2312" w:hAnsi="仿宋_GB2312" w:eastAsia="仿宋_GB2312" w:cs="仿宋_GB2312"/>
          <w:sz w:val="32"/>
          <w:szCs w:val="32"/>
        </w:rPr>
        <w:t>10. 农林水支出（类）扶贫（款）农村基础设施建设（项）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为191.28万元，</w:t>
      </w:r>
      <w:r>
        <w:rPr>
          <w:rFonts w:eastAsia="仿宋"/>
          <w:bCs/>
          <w:sz w:val="32"/>
          <w:szCs w:val="32"/>
        </w:rPr>
        <w:t>完成预算100%</w:t>
      </w:r>
      <w:r>
        <w:rPr>
          <w:rFonts w:hint="eastAsia" w:eastAsia="仿宋"/>
          <w:bCs/>
          <w:sz w:val="32"/>
          <w:szCs w:val="32"/>
        </w:rPr>
        <w:t>。</w:t>
      </w:r>
    </w:p>
    <w:p>
      <w:pPr>
        <w:ind w:firstLine="640"/>
        <w:rPr>
          <w:rFonts w:eastAsia="仿宋"/>
          <w:bCs/>
          <w:sz w:val="32"/>
          <w:szCs w:val="32"/>
        </w:rPr>
      </w:pPr>
      <w:r>
        <w:rPr>
          <w:rFonts w:hint="eastAsia" w:ascii="仿宋_GB2312" w:hAnsi="仿宋_GB2312" w:eastAsia="仿宋_GB2312" w:cs="仿宋_GB2312"/>
          <w:sz w:val="32"/>
          <w:szCs w:val="32"/>
        </w:rPr>
        <w:t>11. 农林水支出（类）扶贫（款）生产发展（项）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为3万元，</w:t>
      </w:r>
      <w:r>
        <w:rPr>
          <w:rFonts w:eastAsia="仿宋"/>
          <w:bCs/>
          <w:sz w:val="32"/>
          <w:szCs w:val="32"/>
        </w:rPr>
        <w:t>完成预算100%</w:t>
      </w:r>
      <w:r>
        <w:rPr>
          <w:rFonts w:hint="eastAsia" w:eastAsia="仿宋"/>
          <w:bCs/>
          <w:sz w:val="32"/>
          <w:szCs w:val="32"/>
        </w:rPr>
        <w:t>。</w:t>
      </w:r>
    </w:p>
    <w:p>
      <w:pPr>
        <w:ind w:firstLine="640"/>
        <w:rPr>
          <w:rFonts w:eastAsia="仿宋"/>
          <w:bCs/>
          <w:sz w:val="32"/>
          <w:szCs w:val="32"/>
        </w:rPr>
      </w:pPr>
      <w:r>
        <w:rPr>
          <w:rFonts w:hint="eastAsia" w:ascii="仿宋_GB2312" w:hAnsi="仿宋_GB2312" w:eastAsia="仿宋_GB2312" w:cs="仿宋_GB2312"/>
          <w:sz w:val="32"/>
          <w:szCs w:val="32"/>
        </w:rPr>
        <w:t>12. 农林水支出（类）扶贫（款）其他扶贫支出（项）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为247.42万元，</w:t>
      </w:r>
      <w:r>
        <w:rPr>
          <w:rFonts w:eastAsia="仿宋"/>
          <w:bCs/>
          <w:sz w:val="32"/>
          <w:szCs w:val="32"/>
        </w:rPr>
        <w:t>完成预算100%</w:t>
      </w:r>
      <w:r>
        <w:rPr>
          <w:rFonts w:hint="eastAsia" w:eastAsia="仿宋"/>
          <w:bCs/>
          <w:sz w:val="32"/>
          <w:szCs w:val="32"/>
        </w:rPr>
        <w:t>。</w:t>
      </w:r>
    </w:p>
    <w:p>
      <w:pPr>
        <w:ind w:firstLine="640"/>
        <w:rPr>
          <w:rFonts w:eastAsia="仿宋"/>
          <w:bCs/>
          <w:sz w:val="32"/>
          <w:szCs w:val="32"/>
        </w:rPr>
      </w:pPr>
      <w:r>
        <w:rPr>
          <w:rFonts w:hint="eastAsia" w:ascii="仿宋_GB2312" w:hAnsi="仿宋_GB2312" w:eastAsia="仿宋_GB2312" w:cs="仿宋_GB2312"/>
          <w:sz w:val="32"/>
          <w:szCs w:val="32"/>
        </w:rPr>
        <w:t>13. 农林水支出（类）农村综合改革（款）对村集体经济组织的补助（项）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为278.43万元，</w:t>
      </w:r>
      <w:r>
        <w:rPr>
          <w:rFonts w:eastAsia="仿宋"/>
          <w:bCs/>
          <w:sz w:val="32"/>
          <w:szCs w:val="32"/>
        </w:rPr>
        <w:t>完成预算100%</w:t>
      </w:r>
      <w:r>
        <w:rPr>
          <w:rFonts w:hint="eastAsia" w:eastAsia="仿宋"/>
          <w:bCs/>
          <w:sz w:val="32"/>
          <w:szCs w:val="32"/>
        </w:rPr>
        <w:t>。</w:t>
      </w:r>
    </w:p>
    <w:p>
      <w:pPr>
        <w:ind w:firstLine="640"/>
        <w:rPr>
          <w:rFonts w:eastAsia="仿宋"/>
          <w:bCs/>
          <w:sz w:val="32"/>
          <w:szCs w:val="32"/>
        </w:rPr>
      </w:pPr>
      <w:r>
        <w:rPr>
          <w:rFonts w:hint="eastAsia" w:ascii="仿宋_GB2312" w:hAnsi="仿宋_GB2312" w:eastAsia="仿宋_GB2312" w:cs="仿宋_GB2312"/>
          <w:sz w:val="32"/>
          <w:szCs w:val="32"/>
        </w:rPr>
        <w:t>14.住房保障（类）住房改革支出（款）住房公积金（项）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为28.87万元，</w:t>
      </w:r>
      <w:r>
        <w:rPr>
          <w:rFonts w:eastAsia="仿宋"/>
          <w:bCs/>
          <w:sz w:val="32"/>
          <w:szCs w:val="32"/>
        </w:rPr>
        <w:t>完成预算100%</w:t>
      </w:r>
      <w:r>
        <w:rPr>
          <w:rFonts w:hint="eastAsia" w:eastAsia="仿宋"/>
          <w:bCs/>
          <w:sz w:val="32"/>
          <w:szCs w:val="32"/>
        </w:rPr>
        <w:t>。</w:t>
      </w:r>
    </w:p>
    <w:p>
      <w:pPr>
        <w:ind w:firstLine="640"/>
        <w:rPr>
          <w:rStyle w:val="15"/>
          <w:rFonts w:eastAsia="仿宋"/>
          <w:bCs/>
          <w:sz w:val="32"/>
          <w:szCs w:val="32"/>
        </w:rPr>
      </w:pPr>
      <w:r>
        <w:rPr>
          <w:rFonts w:hint="eastAsia" w:ascii="仿宋_GB2312" w:hAnsi="仿宋_GB2312" w:eastAsia="仿宋_GB2312" w:cs="仿宋_GB2312"/>
          <w:sz w:val="32"/>
          <w:szCs w:val="32"/>
        </w:rPr>
        <w:t>15.其他支出（类）其他支出（款）其他支出（项）</w:t>
      </w:r>
      <w:r>
        <w:rPr>
          <w:rFonts w:hint="eastAsia" w:ascii="仿宋_GB2312" w:hAnsi="仿宋_GB2312" w:eastAsia="仿宋_GB2312" w:cs="仿宋_GB2312"/>
          <w:sz w:val="32"/>
          <w:szCs w:val="32"/>
          <w:lang w:eastAsia="zh-CN"/>
        </w:rPr>
        <w:t>：</w:t>
      </w:r>
      <w:r>
        <w:rPr>
          <w:rStyle w:val="15"/>
          <w:rFonts w:eastAsia="仿宋"/>
          <w:b w:val="0"/>
          <w:bCs/>
          <w:sz w:val="32"/>
          <w:szCs w:val="32"/>
        </w:rPr>
        <w:t>支出决算</w:t>
      </w:r>
      <w:r>
        <w:rPr>
          <w:rFonts w:hint="eastAsia" w:ascii="仿宋_GB2312" w:hAnsi="仿宋_GB2312" w:eastAsia="仿宋_GB2312" w:cs="仿宋_GB2312"/>
          <w:sz w:val="32"/>
          <w:szCs w:val="32"/>
        </w:rPr>
        <w:t>为100万元，</w:t>
      </w:r>
      <w:r>
        <w:rPr>
          <w:rFonts w:eastAsia="仿宋"/>
          <w:bCs/>
          <w:sz w:val="32"/>
          <w:szCs w:val="32"/>
        </w:rPr>
        <w:t>完成预算100%</w:t>
      </w:r>
      <w:r>
        <w:rPr>
          <w:rFonts w:hint="eastAsia" w:eastAsia="仿宋"/>
          <w:bCs/>
          <w:sz w:val="32"/>
          <w:szCs w:val="32"/>
        </w:rPr>
        <w:t>。</w:t>
      </w:r>
    </w:p>
    <w:p>
      <w:pPr>
        <w:spacing w:line="600" w:lineRule="exact"/>
        <w:ind w:firstLine="640"/>
        <w:rPr>
          <w:rStyle w:val="18"/>
          <w:rFonts w:ascii="Times New Roman" w:hAnsi="Times New Roman"/>
        </w:rPr>
      </w:pPr>
      <w:bookmarkStart w:id="42" w:name="_Toc15396608"/>
      <w:bookmarkStart w:id="43" w:name="_Toc15377214"/>
      <w:r>
        <w:rPr>
          <w:rFonts w:eastAsia="黑体"/>
          <w:sz w:val="32"/>
          <w:szCs w:val="32"/>
        </w:rPr>
        <w:t>六</w:t>
      </w:r>
      <w:r>
        <w:rPr>
          <w:rFonts w:eastAsia="黑体"/>
          <w:b/>
          <w:sz w:val="32"/>
          <w:szCs w:val="32"/>
        </w:rPr>
        <w:t>、一</w:t>
      </w:r>
      <w:r>
        <w:rPr>
          <w:rStyle w:val="18"/>
          <w:rFonts w:ascii="Times New Roman" w:hAnsi="Times New Roman" w:eastAsia="黑体"/>
          <w:b w:val="0"/>
        </w:rPr>
        <w:t>般公共预算财政拨款基本支出决算情况说明</w:t>
      </w:r>
      <w:bookmarkEnd w:id="42"/>
      <w:bookmarkEnd w:id="43"/>
      <w:r>
        <w:rPr>
          <w:rStyle w:val="18"/>
          <w:rFonts w:ascii="Times New Roman" w:hAnsi="Times New Roman" w:eastAsia="黑体"/>
          <w:b w:val="0"/>
        </w:rPr>
        <w:tab/>
      </w:r>
    </w:p>
    <w:p>
      <w:pPr>
        <w:spacing w:line="60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2020年一般公共预算财政拨款基本支出446.53万元，其中：人员经费382.84万元，主要包括：基本工资78.22万元、津贴补贴102.24万元、奖金6.09万元、机关事业单位基本养老保险缴费28.59万元、职业年金缴费14.29万元、职工基本医疗保险缴费12.61万元、公务员医疗补助缴费4.81万元、其他社会保障缴费2.69万元、住房公积金28.87万元、奖励金82.56万元和生活补助21.87万元；公用经费63.69万元，主要包括：办公费24.91万元、水费0.4万元、电费0.45万元、邮电费4.2万元、取暖费1.05万元、差旅费13.04万元、维修（护）费11万元、公务接待费0.34万元、福利费2万元和公务用车运行维护费6.3万元等。</w:t>
      </w:r>
    </w:p>
    <w:p>
      <w:pPr>
        <w:spacing w:line="60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资本性支出404.66万元，主要包括：基础设施建设费404.66万元等。</w:t>
      </w:r>
    </w:p>
    <w:p>
      <w:pPr>
        <w:spacing w:line="600" w:lineRule="exact"/>
        <w:ind w:firstLine="640" w:firstLineChars="200"/>
        <w:rPr>
          <w:rFonts w:eastAsia="仿宋"/>
          <w:sz w:val="32"/>
          <w:szCs w:val="32"/>
        </w:rPr>
      </w:pPr>
      <w:r>
        <w:rPr>
          <w:rFonts w:hint="eastAsia" w:ascii="仿宋_GB2312" w:hAnsi="仿宋_GB2312" w:eastAsia="仿宋_GB2312" w:cs="仿宋_GB2312"/>
          <w:sz w:val="32"/>
          <w:szCs w:val="32"/>
        </w:rPr>
        <w:t>2020年一般公共预算财政拨款项目支出906.81万元。其中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员经费229.24万元，主要包括：生活补助161.18万元、个人农业生产补贴68.06万元；公用经费272.91万元，主要包括：办公费111.45万元、差旅费45万元、培训费116.46万元；资本性支出404.66万元，主要包括：基础设施建设404.66万元。</w:t>
      </w:r>
    </w:p>
    <w:p>
      <w:pPr>
        <w:spacing w:line="600" w:lineRule="exact"/>
        <w:ind w:firstLine="640" w:firstLineChars="200"/>
        <w:outlineLvl w:val="1"/>
        <w:rPr>
          <w:rStyle w:val="18"/>
          <w:rFonts w:ascii="Times New Roman" w:hAnsi="Times New Roman" w:eastAsia="黑体"/>
          <w:b w:val="0"/>
        </w:rPr>
      </w:pPr>
      <w:bookmarkStart w:id="44" w:name="_Toc15396609"/>
      <w:bookmarkStart w:id="45" w:name="_Toc15377215"/>
      <w:r>
        <w:rPr>
          <w:rFonts w:eastAsia="黑体"/>
          <w:sz w:val="32"/>
          <w:szCs w:val="32"/>
        </w:rPr>
        <w:t>七、</w:t>
      </w:r>
      <w:r>
        <w:rPr>
          <w:rStyle w:val="18"/>
          <w:rFonts w:ascii="Times New Roman" w:hAnsi="Times New Roman" w:eastAsia="黑体"/>
        </w:rPr>
        <w:t>“</w:t>
      </w:r>
      <w:r>
        <w:rPr>
          <w:rStyle w:val="18"/>
          <w:rFonts w:ascii="Times New Roman" w:hAnsi="Times New Roman" w:eastAsia="黑体"/>
          <w:b w:val="0"/>
        </w:rPr>
        <w:t>三公”经费财政拨款支出决算情况说明</w:t>
      </w:r>
      <w:bookmarkEnd w:id="44"/>
      <w:bookmarkEnd w:id="45"/>
    </w:p>
    <w:p>
      <w:pPr>
        <w:spacing w:line="600" w:lineRule="exact"/>
        <w:ind w:firstLine="640"/>
        <w:outlineLvl w:val="2"/>
        <w:rPr>
          <w:rFonts w:eastAsia="仿宋"/>
          <w:b/>
          <w:sz w:val="32"/>
          <w:szCs w:val="32"/>
        </w:rPr>
      </w:pPr>
      <w:bookmarkStart w:id="46" w:name="_Toc15377216"/>
      <w:r>
        <w:rPr>
          <w:rFonts w:eastAsia="仿宋"/>
          <w:b/>
          <w:sz w:val="32"/>
          <w:szCs w:val="32"/>
        </w:rPr>
        <w:t>（一）“三公”经费财政拨款支出决算总体情况说明</w:t>
      </w:r>
      <w:bookmarkEnd w:id="46"/>
    </w:p>
    <w:p>
      <w:pPr>
        <w:spacing w:line="600" w:lineRule="exact"/>
        <w:ind w:firstLine="640"/>
        <w:rPr>
          <w:rFonts w:eastAsia="仿宋"/>
          <w:sz w:val="32"/>
          <w:szCs w:val="32"/>
        </w:rPr>
      </w:pPr>
      <w:r>
        <w:rPr>
          <w:rFonts w:hint="eastAsia" w:eastAsia="仿宋"/>
          <w:bCs/>
          <w:sz w:val="32"/>
          <w:szCs w:val="32"/>
        </w:rPr>
        <w:t xml:space="preserve"> 2020</w:t>
      </w:r>
      <w:r>
        <w:rPr>
          <w:rFonts w:eastAsia="仿宋"/>
          <w:sz w:val="32"/>
          <w:szCs w:val="32"/>
        </w:rPr>
        <w:t>年“三公”经费财政拨款支出决算为</w:t>
      </w:r>
      <w:r>
        <w:rPr>
          <w:rFonts w:hint="eastAsia" w:eastAsia="仿宋"/>
          <w:sz w:val="32"/>
          <w:szCs w:val="32"/>
        </w:rPr>
        <w:t>6.64</w:t>
      </w:r>
      <w:r>
        <w:rPr>
          <w:rFonts w:eastAsia="仿宋"/>
          <w:sz w:val="32"/>
          <w:szCs w:val="32"/>
        </w:rPr>
        <w:t>万元，完成预算100%，决算数与预算数持平。</w:t>
      </w:r>
    </w:p>
    <w:p>
      <w:pPr>
        <w:spacing w:line="600" w:lineRule="exact"/>
        <w:ind w:firstLine="640"/>
        <w:outlineLvl w:val="2"/>
        <w:rPr>
          <w:rFonts w:eastAsia="仿宋"/>
          <w:b/>
          <w:sz w:val="32"/>
          <w:szCs w:val="32"/>
        </w:rPr>
      </w:pPr>
      <w:bookmarkStart w:id="47" w:name="_Toc15377217"/>
      <w:r>
        <w:rPr>
          <w:rFonts w:eastAsia="仿宋"/>
          <w:b/>
          <w:sz w:val="32"/>
          <w:szCs w:val="32"/>
        </w:rPr>
        <w:t>（二）“三公”经费财政拨款支出决算具体情况说明</w:t>
      </w:r>
      <w:bookmarkEnd w:id="47"/>
    </w:p>
    <w:p>
      <w:pPr>
        <w:spacing w:line="600" w:lineRule="exact"/>
        <w:ind w:firstLine="640"/>
        <w:rPr>
          <w:rFonts w:eastAsia="仿宋"/>
          <w:sz w:val="32"/>
          <w:szCs w:val="32"/>
        </w:rPr>
      </w:pPr>
      <w:r>
        <w:rPr>
          <w:rFonts w:hint="eastAsia" w:eastAsia="仿宋"/>
          <w:bCs/>
          <w:sz w:val="32"/>
          <w:szCs w:val="32"/>
        </w:rPr>
        <w:t xml:space="preserve"> 2020</w:t>
      </w:r>
      <w:r>
        <w:rPr>
          <w:rFonts w:eastAsia="仿宋"/>
          <w:sz w:val="32"/>
          <w:szCs w:val="32"/>
        </w:rPr>
        <w:t>年“三公”经费财政拨款支出决算</w:t>
      </w:r>
      <w:r>
        <w:rPr>
          <w:rFonts w:hint="eastAsia" w:eastAsia="仿宋"/>
          <w:sz w:val="32"/>
          <w:szCs w:val="32"/>
        </w:rPr>
        <w:t>6.64</w:t>
      </w:r>
      <w:r>
        <w:rPr>
          <w:rFonts w:eastAsia="仿宋"/>
          <w:sz w:val="32"/>
          <w:szCs w:val="32"/>
        </w:rPr>
        <w:t>万元，其中：公务用车购置及运行维护费支出决算</w:t>
      </w:r>
      <w:r>
        <w:rPr>
          <w:rFonts w:hint="eastAsia" w:eastAsia="仿宋"/>
          <w:sz w:val="32"/>
          <w:szCs w:val="32"/>
        </w:rPr>
        <w:t>6.3</w:t>
      </w:r>
      <w:r>
        <w:rPr>
          <w:rFonts w:eastAsia="仿宋"/>
          <w:sz w:val="32"/>
          <w:szCs w:val="32"/>
        </w:rPr>
        <w:t>万元，占</w:t>
      </w:r>
      <w:r>
        <w:rPr>
          <w:rFonts w:hint="eastAsia" w:eastAsia="仿宋"/>
          <w:sz w:val="32"/>
          <w:szCs w:val="32"/>
        </w:rPr>
        <w:t>94.88</w:t>
      </w:r>
      <w:r>
        <w:rPr>
          <w:rFonts w:eastAsia="仿宋"/>
          <w:sz w:val="32"/>
          <w:szCs w:val="32"/>
        </w:rPr>
        <w:t>%；公务接待费支出决算</w:t>
      </w:r>
      <w:r>
        <w:rPr>
          <w:rFonts w:hint="eastAsia" w:eastAsia="仿宋"/>
          <w:sz w:val="32"/>
          <w:szCs w:val="32"/>
        </w:rPr>
        <w:t>0.34</w:t>
      </w:r>
      <w:r>
        <w:rPr>
          <w:rFonts w:eastAsia="仿宋"/>
          <w:sz w:val="32"/>
          <w:szCs w:val="32"/>
        </w:rPr>
        <w:t>万元，占</w:t>
      </w:r>
      <w:r>
        <w:rPr>
          <w:rFonts w:hint="eastAsia" w:eastAsia="仿宋"/>
          <w:sz w:val="32"/>
          <w:szCs w:val="32"/>
        </w:rPr>
        <w:t>5.12</w:t>
      </w:r>
      <w:r>
        <w:rPr>
          <w:rFonts w:eastAsia="仿宋"/>
          <w:sz w:val="32"/>
          <w:szCs w:val="32"/>
        </w:rPr>
        <w:t>%。具体情况如下：</w:t>
      </w:r>
    </w:p>
    <w:p>
      <w:pPr>
        <w:spacing w:line="600" w:lineRule="exact"/>
        <w:ind w:firstLine="640"/>
        <w:rPr>
          <w:rFonts w:eastAsia="仿宋"/>
          <w:sz w:val="32"/>
          <w:szCs w:val="32"/>
        </w:rPr>
      </w:pPr>
    </w:p>
    <w:p>
      <w:pPr>
        <w:spacing w:line="600" w:lineRule="exact"/>
        <w:ind w:firstLine="640"/>
        <w:rPr>
          <w:rFonts w:eastAsia="仿宋"/>
          <w:sz w:val="32"/>
          <w:szCs w:val="32"/>
        </w:rPr>
      </w:pPr>
    </w:p>
    <w:p>
      <w:pPr>
        <w:spacing w:line="600" w:lineRule="exact"/>
        <w:ind w:firstLine="640"/>
        <w:rPr>
          <w:rFonts w:eastAsia="仿宋"/>
          <w:sz w:val="32"/>
          <w:szCs w:val="32"/>
        </w:rPr>
      </w:pPr>
      <w:r>
        <w:rPr>
          <w:rFonts w:eastAsia="仿宋"/>
          <w:sz w:val="32"/>
          <w:szCs w:val="32"/>
        </w:rPr>
        <w:drawing>
          <wp:anchor distT="0" distB="0" distL="114300" distR="114300" simplePos="0" relativeHeight="251664384" behindDoc="0" locked="0" layoutInCell="1" allowOverlap="1">
            <wp:simplePos x="0" y="0"/>
            <wp:positionH relativeFrom="column">
              <wp:posOffset>236855</wp:posOffset>
            </wp:positionH>
            <wp:positionV relativeFrom="paragraph">
              <wp:posOffset>116840</wp:posOffset>
            </wp:positionV>
            <wp:extent cx="4572000" cy="2341245"/>
            <wp:effectExtent l="4445" t="4445" r="14605" b="16510"/>
            <wp:wrapTopAndBottom/>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eastAsia="仿宋_GB2312"/>
          <w:b/>
          <w:sz w:val="32"/>
          <w:szCs w:val="32"/>
        </w:rPr>
      </w:pPr>
      <w:r>
        <w:rPr>
          <w:rFonts w:eastAsia="仿宋_GB2312"/>
          <w:b/>
          <w:sz w:val="32"/>
          <w:szCs w:val="32"/>
        </w:rPr>
        <w:t>2.公务用车购置及运行维护费支出</w:t>
      </w:r>
      <w:r>
        <w:rPr>
          <w:rFonts w:hint="eastAsia" w:eastAsia="仿宋"/>
          <w:sz w:val="32"/>
          <w:szCs w:val="32"/>
        </w:rPr>
        <w:t>6.3</w:t>
      </w:r>
      <w:r>
        <w:rPr>
          <w:rFonts w:eastAsia="仿宋_GB2312"/>
          <w:sz w:val="32"/>
          <w:szCs w:val="32"/>
        </w:rPr>
        <w:t>万元</w:t>
      </w:r>
      <w:r>
        <w:rPr>
          <w:rFonts w:hint="eastAsia" w:eastAsia="仿宋_GB2312"/>
          <w:sz w:val="32"/>
          <w:szCs w:val="32"/>
          <w:lang w:eastAsia="zh-CN"/>
        </w:rPr>
        <w:t>，</w:t>
      </w:r>
      <w:r>
        <w:rPr>
          <w:rStyle w:val="15"/>
          <w:rFonts w:eastAsia="仿宋"/>
          <w:b w:val="0"/>
          <w:bCs/>
          <w:sz w:val="32"/>
          <w:szCs w:val="32"/>
        </w:rPr>
        <w:t>完成预算100%。</w:t>
      </w:r>
      <w:r>
        <w:rPr>
          <w:rFonts w:eastAsia="仿宋_GB2312"/>
          <w:sz w:val="32"/>
          <w:szCs w:val="32"/>
        </w:rPr>
        <w:t>公务用车购置及运行维护费支出决算</w:t>
      </w:r>
      <w:r>
        <w:rPr>
          <w:rFonts w:hint="eastAsia" w:eastAsia="仿宋_GB2312"/>
          <w:sz w:val="32"/>
          <w:szCs w:val="32"/>
        </w:rPr>
        <w:t>与2019</w:t>
      </w:r>
      <w:r>
        <w:rPr>
          <w:rFonts w:eastAsia="仿宋_GB2312"/>
          <w:sz w:val="32"/>
          <w:szCs w:val="32"/>
        </w:rPr>
        <w:t>年</w:t>
      </w:r>
      <w:r>
        <w:rPr>
          <w:rFonts w:hint="eastAsia" w:eastAsia="仿宋_GB2312"/>
          <w:sz w:val="32"/>
          <w:szCs w:val="32"/>
        </w:rPr>
        <w:t>持平。</w:t>
      </w:r>
    </w:p>
    <w:p>
      <w:pPr>
        <w:autoSpaceDE w:val="0"/>
        <w:autoSpaceDN w:val="0"/>
        <w:adjustRightInd w:val="0"/>
        <w:spacing w:line="600" w:lineRule="exact"/>
        <w:ind w:firstLine="640" w:firstLineChars="200"/>
        <w:jc w:val="left"/>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0万元。全年按规定更新购置公务用车0辆。截至</w:t>
      </w:r>
      <w:r>
        <w:rPr>
          <w:rFonts w:hint="eastAsia" w:eastAsia="仿宋"/>
          <w:bCs/>
          <w:sz w:val="32"/>
          <w:szCs w:val="32"/>
        </w:rPr>
        <w:t>2020</w:t>
      </w:r>
      <w:r>
        <w:rPr>
          <w:rFonts w:eastAsia="仿宋_GB2312"/>
          <w:sz w:val="32"/>
          <w:szCs w:val="32"/>
        </w:rPr>
        <w:t>年12月31日，共有车辆</w:t>
      </w:r>
      <w:r>
        <w:rPr>
          <w:rFonts w:hint="eastAsia" w:eastAsia="仿宋_GB2312"/>
          <w:sz w:val="32"/>
          <w:szCs w:val="32"/>
        </w:rPr>
        <w:t>2</w:t>
      </w:r>
      <w:r>
        <w:rPr>
          <w:rFonts w:eastAsia="仿宋_GB2312"/>
          <w:sz w:val="32"/>
          <w:szCs w:val="32"/>
        </w:rPr>
        <w:t>辆，其中：部级领导干部用车0辆、主要领导干部用车0辆、机要通信用车0辆、应急保障用车</w:t>
      </w:r>
      <w:r>
        <w:rPr>
          <w:rFonts w:hint="eastAsia" w:eastAsia="仿宋_GB2312"/>
          <w:sz w:val="32"/>
          <w:szCs w:val="32"/>
        </w:rPr>
        <w:t>2</w:t>
      </w:r>
      <w:r>
        <w:rPr>
          <w:rFonts w:eastAsia="仿宋_GB2312"/>
          <w:sz w:val="32"/>
          <w:szCs w:val="32"/>
        </w:rPr>
        <w:t>辆、执法执勤用车0辆、特种专业技术用车0辆、离退休干部用车0辆、其他用车0辆；</w:t>
      </w:r>
    </w:p>
    <w:p>
      <w:pPr>
        <w:spacing w:line="600" w:lineRule="exact"/>
        <w:ind w:firstLine="640"/>
        <w:rPr>
          <w:rFonts w:eastAsia="仿宋_GB2312"/>
          <w:sz w:val="32"/>
          <w:szCs w:val="32"/>
        </w:rPr>
      </w:pPr>
      <w:r>
        <w:rPr>
          <w:rFonts w:eastAsia="仿宋_GB2312"/>
          <w:b/>
          <w:sz w:val="32"/>
          <w:szCs w:val="32"/>
        </w:rPr>
        <w:t>公务用车运行维护费支出</w:t>
      </w:r>
      <w:r>
        <w:rPr>
          <w:rFonts w:hint="eastAsia" w:eastAsia="仿宋_GB2312"/>
          <w:sz w:val="32"/>
          <w:szCs w:val="32"/>
        </w:rPr>
        <w:t>6.3</w:t>
      </w:r>
      <w:r>
        <w:rPr>
          <w:rFonts w:eastAsia="仿宋_GB2312"/>
          <w:sz w:val="32"/>
          <w:szCs w:val="32"/>
        </w:rPr>
        <w:t>万元。主要用我单位所需的公务用车燃料费、维修费、过路过桥费、保险费等支出。</w:t>
      </w:r>
    </w:p>
    <w:p>
      <w:pPr>
        <w:spacing w:line="600" w:lineRule="exact"/>
        <w:ind w:firstLine="643" w:firstLineChars="200"/>
        <w:rPr>
          <w:rFonts w:eastAsia="仿宋_GB2312"/>
          <w:sz w:val="32"/>
          <w:szCs w:val="32"/>
        </w:rPr>
      </w:pPr>
      <w:r>
        <w:rPr>
          <w:rFonts w:eastAsia="仿宋_GB2312"/>
          <w:b/>
          <w:sz w:val="32"/>
          <w:szCs w:val="32"/>
        </w:rPr>
        <w:t>公务接待费支出</w:t>
      </w:r>
      <w:r>
        <w:rPr>
          <w:rFonts w:hint="eastAsia" w:eastAsia="仿宋_GB2312"/>
          <w:sz w:val="32"/>
          <w:szCs w:val="32"/>
        </w:rPr>
        <w:t>0.34</w:t>
      </w:r>
      <w:r>
        <w:rPr>
          <w:rFonts w:eastAsia="仿宋_GB2312"/>
          <w:sz w:val="32"/>
          <w:szCs w:val="32"/>
        </w:rPr>
        <w:t>万元，</w:t>
      </w:r>
      <w:r>
        <w:rPr>
          <w:rStyle w:val="15"/>
          <w:rFonts w:eastAsia="仿宋"/>
          <w:b w:val="0"/>
          <w:bCs/>
          <w:sz w:val="32"/>
          <w:szCs w:val="32"/>
        </w:rPr>
        <w:t>完成预算100%。</w:t>
      </w:r>
      <w:r>
        <w:rPr>
          <w:rFonts w:eastAsia="仿宋_GB2312"/>
          <w:sz w:val="32"/>
          <w:szCs w:val="32"/>
        </w:rPr>
        <w:t>公务接待费</w:t>
      </w:r>
      <w:r>
        <w:rPr>
          <w:rFonts w:hint="eastAsia" w:eastAsia="仿宋_GB2312"/>
          <w:sz w:val="32"/>
          <w:szCs w:val="32"/>
        </w:rPr>
        <w:t>0.34</w:t>
      </w:r>
      <w:r>
        <w:rPr>
          <w:rFonts w:eastAsia="仿宋_GB2312"/>
          <w:sz w:val="32"/>
          <w:szCs w:val="32"/>
        </w:rPr>
        <w:t>万元，</w:t>
      </w:r>
      <w:r>
        <w:rPr>
          <w:rFonts w:hint="eastAsia" w:eastAsia="仿宋_GB2312"/>
          <w:sz w:val="32"/>
          <w:szCs w:val="32"/>
        </w:rPr>
        <w:t>与上年持平</w:t>
      </w:r>
      <w:r>
        <w:rPr>
          <w:rFonts w:eastAsia="仿宋_GB2312"/>
          <w:sz w:val="32"/>
          <w:szCs w:val="32"/>
        </w:rPr>
        <w:t>。国内公务接待</w:t>
      </w:r>
      <w:r>
        <w:rPr>
          <w:rFonts w:hint="eastAsia" w:eastAsia="仿宋_GB2312"/>
          <w:sz w:val="32"/>
          <w:szCs w:val="32"/>
        </w:rPr>
        <w:t>4</w:t>
      </w:r>
      <w:r>
        <w:rPr>
          <w:rFonts w:eastAsia="仿宋_GB2312"/>
          <w:sz w:val="32"/>
          <w:szCs w:val="32"/>
        </w:rPr>
        <w:t>批次，16人次，共计支出</w:t>
      </w:r>
      <w:r>
        <w:rPr>
          <w:rFonts w:hint="eastAsia" w:eastAsia="仿宋_GB2312"/>
          <w:sz w:val="32"/>
          <w:szCs w:val="32"/>
        </w:rPr>
        <w:t>0.34</w:t>
      </w:r>
      <w:r>
        <w:rPr>
          <w:rFonts w:eastAsia="仿宋_GB2312"/>
          <w:sz w:val="32"/>
          <w:szCs w:val="32"/>
        </w:rPr>
        <w:t>万元。</w:t>
      </w:r>
    </w:p>
    <w:p>
      <w:pPr>
        <w:spacing w:line="600" w:lineRule="exact"/>
        <w:ind w:firstLine="640"/>
        <w:outlineLvl w:val="1"/>
        <w:rPr>
          <w:rFonts w:eastAsia="仿宋_GB2312"/>
          <w:sz w:val="32"/>
          <w:szCs w:val="32"/>
        </w:rPr>
      </w:pPr>
      <w:r>
        <w:rPr>
          <w:rFonts w:eastAsia="仿宋"/>
          <w:b/>
          <w:sz w:val="32"/>
          <w:szCs w:val="32"/>
        </w:rPr>
        <w:t>外事接待支出</w:t>
      </w:r>
      <w:r>
        <w:rPr>
          <w:rFonts w:eastAsia="仿宋"/>
          <w:sz w:val="32"/>
          <w:szCs w:val="32"/>
        </w:rPr>
        <w:t>0</w:t>
      </w:r>
      <w:r>
        <w:rPr>
          <w:rFonts w:eastAsia="仿宋_GB2312"/>
          <w:sz w:val="32"/>
          <w:szCs w:val="32"/>
        </w:rPr>
        <w:t>万元，外事接待0批次，0人，共计支出0万元。</w:t>
      </w:r>
      <w:bookmarkStart w:id="48" w:name="_Toc15396610"/>
      <w:bookmarkStart w:id="49" w:name="_Toc15377218"/>
    </w:p>
    <w:p>
      <w:pPr>
        <w:spacing w:line="600" w:lineRule="exact"/>
        <w:ind w:firstLine="640"/>
        <w:outlineLvl w:val="1"/>
        <w:rPr>
          <w:rStyle w:val="18"/>
          <w:rFonts w:ascii="Times New Roman" w:hAnsi="Times New Roman" w:eastAsia="黑体"/>
        </w:rPr>
      </w:pPr>
      <w:r>
        <w:rPr>
          <w:rFonts w:eastAsia="黑体"/>
          <w:sz w:val="32"/>
          <w:szCs w:val="32"/>
        </w:rPr>
        <w:t>八、</w:t>
      </w:r>
      <w:r>
        <w:rPr>
          <w:rStyle w:val="18"/>
          <w:rFonts w:ascii="Times New Roman" w:hAnsi="Times New Roman" w:eastAsia="黑体"/>
          <w:b w:val="0"/>
        </w:rPr>
        <w:t>政府性基金预算支出决算情况说明</w:t>
      </w:r>
      <w:bookmarkEnd w:id="48"/>
      <w:bookmarkEnd w:id="49"/>
    </w:p>
    <w:p>
      <w:pPr>
        <w:spacing w:line="600" w:lineRule="exact"/>
        <w:ind w:firstLine="640"/>
        <w:rPr>
          <w:rFonts w:eastAsia="仿宋_GB2312"/>
          <w:sz w:val="32"/>
          <w:szCs w:val="32"/>
        </w:rPr>
      </w:pPr>
      <w:r>
        <w:rPr>
          <w:rFonts w:hint="eastAsia" w:eastAsia="仿宋_GB2312"/>
          <w:sz w:val="32"/>
          <w:szCs w:val="32"/>
        </w:rPr>
        <w:t>2020</w:t>
      </w:r>
      <w:r>
        <w:rPr>
          <w:rFonts w:eastAsia="仿宋_GB2312"/>
          <w:sz w:val="32"/>
          <w:szCs w:val="32"/>
        </w:rPr>
        <w:t>年政府性基金预算拨款支出0万元。</w:t>
      </w:r>
    </w:p>
    <w:p>
      <w:pPr>
        <w:numPr>
          <w:ilvl w:val="0"/>
          <w:numId w:val="2"/>
        </w:numPr>
        <w:spacing w:line="600" w:lineRule="exact"/>
        <w:ind w:firstLine="640"/>
        <w:outlineLvl w:val="1"/>
        <w:rPr>
          <w:rStyle w:val="18"/>
          <w:rFonts w:ascii="Times New Roman" w:hAnsi="Times New Roman" w:eastAsia="黑体"/>
          <w:b w:val="0"/>
        </w:rPr>
      </w:pPr>
      <w:bookmarkStart w:id="50" w:name="_Toc15396611"/>
      <w:bookmarkStart w:id="51" w:name="_Toc15377219"/>
      <w:r>
        <w:rPr>
          <w:rStyle w:val="18"/>
          <w:rFonts w:ascii="Times New Roman" w:hAnsi="Times New Roman" w:eastAsia="黑体"/>
          <w:b w:val="0"/>
        </w:rPr>
        <w:t>国有资本经营预算支出决算情况说明</w:t>
      </w:r>
      <w:bookmarkEnd w:id="50"/>
      <w:bookmarkEnd w:id="51"/>
    </w:p>
    <w:p>
      <w:pPr>
        <w:spacing w:line="600" w:lineRule="exact"/>
        <w:ind w:firstLine="640"/>
        <w:rPr>
          <w:rFonts w:eastAsia="仿宋_GB2312"/>
          <w:sz w:val="32"/>
          <w:szCs w:val="32"/>
        </w:rPr>
      </w:pPr>
      <w:r>
        <w:rPr>
          <w:rFonts w:hint="eastAsia" w:eastAsia="仿宋_GB2312"/>
          <w:sz w:val="32"/>
          <w:szCs w:val="32"/>
        </w:rPr>
        <w:t>2020</w:t>
      </w:r>
      <w:r>
        <w:rPr>
          <w:rFonts w:eastAsia="仿宋_GB2312"/>
          <w:sz w:val="32"/>
          <w:szCs w:val="32"/>
        </w:rPr>
        <w:t>年国有资本经营预算拨款支出0万元。</w:t>
      </w:r>
    </w:p>
    <w:p>
      <w:pPr>
        <w:pStyle w:val="23"/>
        <w:numPr>
          <w:ilvl w:val="0"/>
          <w:numId w:val="3"/>
        </w:numPr>
        <w:spacing w:line="580" w:lineRule="exact"/>
        <w:ind w:firstLineChars="0"/>
        <w:rPr>
          <w:rStyle w:val="18"/>
          <w:rFonts w:ascii="Times New Roman" w:hAnsi="Times New Roman" w:eastAsia="黑体"/>
          <w:b w:val="0"/>
        </w:rPr>
      </w:pPr>
      <w:r>
        <w:rPr>
          <w:rStyle w:val="18"/>
          <w:rFonts w:ascii="Times New Roman" w:hAnsi="Times New Roman" w:eastAsia="黑体"/>
          <w:b w:val="0"/>
        </w:rPr>
        <w:t>预算绩效情况说明</w:t>
      </w:r>
    </w:p>
    <w:p>
      <w:pPr>
        <w:numPr>
          <w:ilvl w:val="0"/>
          <w:numId w:val="4"/>
        </w:numPr>
        <w:spacing w:line="580" w:lineRule="exact"/>
        <w:ind w:firstLine="643"/>
        <w:rPr>
          <w:rFonts w:eastAsia="仿宋"/>
          <w:b/>
          <w:bCs/>
          <w:sz w:val="32"/>
          <w:szCs w:val="32"/>
        </w:rPr>
      </w:pPr>
      <w:r>
        <w:rPr>
          <w:rFonts w:eastAsia="仿宋"/>
          <w:b/>
          <w:bCs/>
          <w:sz w:val="32"/>
          <w:szCs w:val="32"/>
        </w:rPr>
        <w:t>预算绩效管理工作开展情况。</w:t>
      </w:r>
    </w:p>
    <w:p>
      <w:pPr>
        <w:spacing w:line="580" w:lineRule="exact"/>
        <w:ind w:firstLine="640" w:firstLineChars="200"/>
        <w:rPr>
          <w:rFonts w:eastAsia="仿宋_GB2312"/>
          <w:sz w:val="32"/>
          <w:szCs w:val="32"/>
        </w:rPr>
      </w:pPr>
      <w:r>
        <w:rPr>
          <w:rFonts w:eastAsia="仿宋_GB2312"/>
          <w:sz w:val="32"/>
          <w:szCs w:val="32"/>
        </w:rPr>
        <w:t>根据预算绩效管理要求，我单位在年初预算编制阶段，组织对项目开展了预算事前绩效评估，对</w:t>
      </w:r>
      <w:r>
        <w:rPr>
          <w:rFonts w:hint="eastAsia" w:eastAsia="仿宋_GB2312"/>
          <w:sz w:val="32"/>
          <w:szCs w:val="32"/>
        </w:rPr>
        <w:t>6</w:t>
      </w:r>
      <w:r>
        <w:rPr>
          <w:rFonts w:eastAsia="仿宋_GB2312"/>
          <w:sz w:val="32"/>
          <w:szCs w:val="32"/>
        </w:rPr>
        <w:t>个项目编制了绩效目标，预算执行过程中，选取</w:t>
      </w:r>
      <w:r>
        <w:rPr>
          <w:rFonts w:hint="eastAsia" w:eastAsia="仿宋_GB2312"/>
          <w:sz w:val="32"/>
          <w:szCs w:val="32"/>
        </w:rPr>
        <w:t>6</w:t>
      </w:r>
      <w:r>
        <w:rPr>
          <w:rFonts w:eastAsia="仿宋_GB2312"/>
          <w:sz w:val="32"/>
          <w:szCs w:val="32"/>
        </w:rPr>
        <w:t>个项目开展绩效监控，年终执行完毕后，对</w:t>
      </w:r>
      <w:r>
        <w:rPr>
          <w:rFonts w:hint="eastAsia" w:eastAsia="仿宋_GB2312"/>
          <w:sz w:val="32"/>
          <w:szCs w:val="32"/>
        </w:rPr>
        <w:t>6</w:t>
      </w:r>
      <w:r>
        <w:rPr>
          <w:rFonts w:eastAsia="仿宋_GB2312"/>
          <w:sz w:val="32"/>
          <w:szCs w:val="32"/>
        </w:rPr>
        <w:t>个项目开展了绩效目标完成情况梳理填报。</w:t>
      </w:r>
    </w:p>
    <w:p>
      <w:pPr>
        <w:spacing w:line="580" w:lineRule="exact"/>
        <w:ind w:firstLine="640" w:firstLineChars="200"/>
        <w:rPr>
          <w:rFonts w:eastAsia="仿宋_GB2312"/>
          <w:sz w:val="32"/>
          <w:szCs w:val="32"/>
        </w:rPr>
      </w:pPr>
      <w:r>
        <w:rPr>
          <w:rFonts w:eastAsia="仿宋_GB2312"/>
          <w:sz w:val="32"/>
          <w:szCs w:val="32"/>
        </w:rPr>
        <w:t>本部门按要求对</w:t>
      </w:r>
      <w:r>
        <w:rPr>
          <w:rFonts w:hint="eastAsia" w:eastAsia="仿宋"/>
          <w:bCs/>
          <w:sz w:val="32"/>
          <w:szCs w:val="32"/>
        </w:rPr>
        <w:t xml:space="preserve"> 2020</w:t>
      </w:r>
      <w:r>
        <w:rPr>
          <w:rFonts w:eastAsia="仿宋_GB2312"/>
          <w:sz w:val="32"/>
          <w:szCs w:val="32"/>
        </w:rPr>
        <w:t>年部门整体支出开展绩效自评，经全面综合评价，我单位预算支出绩效自评得分</w:t>
      </w:r>
      <w:r>
        <w:rPr>
          <w:rFonts w:hint="eastAsia" w:eastAsia="仿宋_GB2312"/>
          <w:sz w:val="32"/>
          <w:szCs w:val="32"/>
        </w:rPr>
        <w:t>96</w:t>
      </w:r>
      <w:r>
        <w:rPr>
          <w:rFonts w:eastAsia="仿宋_GB2312"/>
          <w:sz w:val="32"/>
          <w:szCs w:val="32"/>
        </w:rPr>
        <w:t>分</w:t>
      </w:r>
      <w:r>
        <w:rPr>
          <w:rFonts w:hint="eastAsia" w:eastAsia="仿宋_GB2312"/>
          <w:sz w:val="32"/>
          <w:szCs w:val="32"/>
        </w:rPr>
        <w:t>（中共金川县委组织部有2项共4分不在本单位评价内容中，扣分4分）</w:t>
      </w:r>
      <w:r>
        <w:rPr>
          <w:rFonts w:eastAsia="仿宋_GB2312"/>
          <w:sz w:val="32"/>
          <w:szCs w:val="32"/>
        </w:rPr>
        <w:t>。我单位深入贯彻落实十九大关于“全面实施绩效管理”的要求，努力提升本单位绩效预算管理业务水平。主动公开绩效结果，加大资金使用效率，提升管理水平。及时告知各科室预算及项目支出进度。本单位还自行组织了</w:t>
      </w:r>
      <w:r>
        <w:rPr>
          <w:rFonts w:hint="eastAsia" w:eastAsia="仿宋_GB2312"/>
          <w:sz w:val="32"/>
          <w:szCs w:val="32"/>
        </w:rPr>
        <w:t>6</w:t>
      </w:r>
      <w:r>
        <w:rPr>
          <w:rFonts w:eastAsia="仿宋_GB2312"/>
          <w:sz w:val="32"/>
          <w:szCs w:val="32"/>
        </w:rPr>
        <w:t>个项目绩效评价，从评价情况来看我单位年初预算项目基本按照绩效目标完成支付，有部分项目结转质保金在下年质保期后进行支付。</w:t>
      </w:r>
    </w:p>
    <w:p>
      <w:pPr>
        <w:numPr>
          <w:ilvl w:val="0"/>
          <w:numId w:val="4"/>
        </w:numPr>
        <w:spacing w:line="580" w:lineRule="exact"/>
        <w:ind w:firstLine="643"/>
        <w:jc w:val="left"/>
        <w:rPr>
          <w:rFonts w:eastAsia="仿宋_GB2312"/>
          <w:sz w:val="32"/>
          <w:szCs w:val="32"/>
        </w:rPr>
      </w:pPr>
      <w:r>
        <w:rPr>
          <w:rFonts w:eastAsia="仿宋"/>
          <w:b/>
          <w:bCs/>
          <w:sz w:val="32"/>
          <w:szCs w:val="32"/>
        </w:rPr>
        <w:t>项目绩效目标完成情况。</w:t>
      </w:r>
    </w:p>
    <w:p>
      <w:pPr>
        <w:numPr>
          <w:ilvl w:val="0"/>
          <w:numId w:val="4"/>
        </w:numPr>
        <w:spacing w:line="580" w:lineRule="exact"/>
        <w:ind w:firstLine="640"/>
        <w:jc w:val="left"/>
        <w:rPr>
          <w:rFonts w:eastAsia="仿宋_GB2312"/>
          <w:sz w:val="32"/>
          <w:szCs w:val="32"/>
        </w:rPr>
      </w:pPr>
      <w:r>
        <w:rPr>
          <w:rFonts w:eastAsia="仿宋_GB2312"/>
          <w:sz w:val="32"/>
          <w:szCs w:val="32"/>
        </w:rPr>
        <w:t>本部门在</w:t>
      </w:r>
      <w:r>
        <w:rPr>
          <w:rFonts w:hint="eastAsia" w:eastAsia="仿宋"/>
          <w:bCs/>
          <w:sz w:val="32"/>
          <w:szCs w:val="32"/>
        </w:rPr>
        <w:t xml:space="preserve"> 2020</w:t>
      </w:r>
      <w:r>
        <w:rPr>
          <w:rFonts w:eastAsia="仿宋_GB2312"/>
          <w:sz w:val="32"/>
          <w:szCs w:val="32"/>
        </w:rPr>
        <w:t>年度部门决算中反映</w:t>
      </w:r>
      <w:r>
        <w:rPr>
          <w:rFonts w:hint="eastAsia" w:eastAsia="仿宋_GB2312"/>
          <w:sz w:val="32"/>
          <w:szCs w:val="32"/>
        </w:rPr>
        <w:t>6</w:t>
      </w:r>
      <w:r>
        <w:rPr>
          <w:rFonts w:eastAsia="仿宋_GB2312"/>
          <w:sz w:val="32"/>
          <w:szCs w:val="32"/>
        </w:rPr>
        <w:t>个项目绩效目标实际完成情况。</w:t>
      </w:r>
    </w:p>
    <w:p>
      <w:pPr>
        <w:spacing w:line="580" w:lineRule="exact"/>
        <w:ind w:firstLine="640" w:firstLineChars="200"/>
        <w:rPr>
          <w:rFonts w:eastAsia="仿宋_GB2312"/>
          <w:sz w:val="32"/>
          <w:szCs w:val="32"/>
        </w:rPr>
      </w:pPr>
      <w:r>
        <w:rPr>
          <w:rFonts w:eastAsia="仿宋_GB2312"/>
          <w:sz w:val="32"/>
          <w:szCs w:val="32"/>
        </w:rPr>
        <w:t>1.“</w:t>
      </w:r>
      <w:r>
        <w:rPr>
          <w:rFonts w:hint="eastAsia" w:eastAsia="仿宋_GB2312"/>
          <w:sz w:val="32"/>
          <w:szCs w:val="32"/>
        </w:rPr>
        <w:t>其他支出</w:t>
      </w:r>
      <w:r>
        <w:rPr>
          <w:rFonts w:eastAsia="仿宋_GB2312"/>
          <w:sz w:val="32"/>
          <w:szCs w:val="32"/>
        </w:rPr>
        <w:t>”</w:t>
      </w:r>
      <w:r>
        <w:rPr>
          <w:rFonts w:hint="eastAsia" w:eastAsia="仿宋_GB2312"/>
          <w:sz w:val="32"/>
          <w:szCs w:val="32"/>
        </w:rPr>
        <w:t>中</w:t>
      </w:r>
      <w:r>
        <w:rPr>
          <w:rFonts w:eastAsia="仿宋_GB2312"/>
          <w:sz w:val="32"/>
          <w:szCs w:val="32"/>
        </w:rPr>
        <w:t>项目绩效目标完成情况综述。项目全年预算数</w:t>
      </w:r>
      <w:r>
        <w:rPr>
          <w:rFonts w:hint="eastAsia" w:eastAsia="仿宋_GB2312"/>
          <w:sz w:val="32"/>
          <w:szCs w:val="32"/>
        </w:rPr>
        <w:t>100</w:t>
      </w:r>
      <w:r>
        <w:rPr>
          <w:rFonts w:eastAsia="仿宋_GB2312"/>
          <w:sz w:val="32"/>
          <w:szCs w:val="32"/>
        </w:rPr>
        <w:t>万元，执行数为</w:t>
      </w:r>
      <w:r>
        <w:rPr>
          <w:rFonts w:hint="eastAsia" w:eastAsia="仿宋_GB2312"/>
          <w:sz w:val="32"/>
          <w:szCs w:val="32"/>
        </w:rPr>
        <w:t>100</w:t>
      </w:r>
      <w:r>
        <w:rPr>
          <w:rFonts w:eastAsia="仿宋_GB2312"/>
          <w:sz w:val="32"/>
          <w:szCs w:val="32"/>
        </w:rPr>
        <w:t>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eastAsia="黑体"/>
                <w:bCs/>
                <w:kern w:val="0"/>
                <w:sz w:val="36"/>
                <w:szCs w:val="36"/>
              </w:rPr>
            </w:pPr>
            <w:r>
              <w:rPr>
                <w:rFonts w:eastAsia="黑体"/>
                <w:bCs/>
                <w:kern w:val="0"/>
                <w:sz w:val="36"/>
                <w:szCs w:val="36"/>
              </w:rPr>
              <w:t>项目支出绩效目标完成情况表</w:t>
            </w:r>
          </w:p>
          <w:p>
            <w:pPr>
              <w:pStyle w:val="23"/>
              <w:widowControl/>
              <w:ind w:firstLine="0" w:firstLineChars="0"/>
              <w:jc w:val="center"/>
              <w:textAlignment w:val="center"/>
              <w:rPr>
                <w:sz w:val="36"/>
                <w:szCs w:val="36"/>
              </w:rPr>
            </w:pPr>
            <w:r>
              <w:rPr>
                <w:kern w:val="0"/>
                <w:sz w:val="36"/>
                <w:szCs w:val="36"/>
              </w:rPr>
              <w:t>(</w:t>
            </w:r>
            <w:r>
              <w:rPr>
                <w:rFonts w:hint="eastAsia" w:eastAsia="仿宋"/>
                <w:bCs/>
                <w:sz w:val="32"/>
                <w:szCs w:val="32"/>
              </w:rPr>
              <w:t xml:space="preserve"> 2020</w:t>
            </w:r>
            <w:r>
              <w:rPr>
                <w:kern w:val="0"/>
                <w:sz w:val="36"/>
                <w:szCs w:val="36"/>
              </w:rPr>
              <w:t>年度</w:t>
            </w:r>
            <w:r>
              <w:rPr>
                <w:rFonts w:hint="eastAsia"/>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其他支出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中共金川县委组织部</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预算执行情况</w:t>
            </w:r>
            <w:r>
              <w:rPr>
                <w:rFonts w:hint="eastAsia"/>
                <w:kern w:val="0"/>
                <w:sz w:val="24"/>
                <w:lang w:eastAsia="zh-CN"/>
              </w:rPr>
              <w:t>（</w:t>
            </w:r>
            <w:r>
              <w:rPr>
                <w:kern w:val="0"/>
                <w:sz w:val="24"/>
              </w:rPr>
              <w:t>万元</w:t>
            </w:r>
            <w:r>
              <w:rPr>
                <w:rFonts w:hint="eastAsia"/>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执行数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r>
              <w:rPr>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r>
              <w:rPr>
                <w:sz w:val="24"/>
              </w:rPr>
              <w:t>万元</w:t>
            </w:r>
          </w:p>
        </w:tc>
      </w:tr>
      <w:tr>
        <w:tblPrEx>
          <w:tblCellMar>
            <w:top w:w="0" w:type="dxa"/>
            <w:left w:w="0" w:type="dxa"/>
            <w:bottom w:w="0" w:type="dxa"/>
            <w:right w:w="0" w:type="dxa"/>
          </w:tblCellMar>
        </w:tblPrEx>
        <w:trPr>
          <w:trHeight w:val="129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sz w:val="24"/>
              </w:rPr>
            </w:pPr>
            <w:r>
              <w:rPr>
                <w:rFonts w:hint="eastAsia"/>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推进人才支援项目各项工作开展，进一步提高挂职干部人才待遇保障</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预期指标值</w:t>
            </w:r>
            <w:r>
              <w:rPr>
                <w:rFonts w:hint="eastAsia"/>
                <w:kern w:val="0"/>
                <w:sz w:val="24"/>
                <w:lang w:eastAsia="zh-CN"/>
              </w:rPr>
              <w:t>（</w:t>
            </w:r>
            <w:r>
              <w:rPr>
                <w:kern w:val="0"/>
                <w:sz w:val="24"/>
              </w:rPr>
              <w:t>包含数字及文字描述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实际完成指标值</w:t>
            </w:r>
            <w:r>
              <w:rPr>
                <w:rFonts w:hint="eastAsia"/>
                <w:kern w:val="0"/>
                <w:sz w:val="24"/>
                <w:lang w:eastAsia="zh-CN"/>
              </w:rPr>
              <w:t>（</w:t>
            </w:r>
            <w:r>
              <w:rPr>
                <w:kern w:val="0"/>
                <w:sz w:val="24"/>
              </w:rPr>
              <w:t>包含数字及文字描述</w:t>
            </w:r>
            <w:r>
              <w:rPr>
                <w:rFonts w:hint="eastAsia"/>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数量</w:t>
            </w:r>
            <w:r>
              <w:rPr>
                <w:kern w:val="0"/>
                <w:sz w:val="24"/>
              </w:rPr>
              <w:t>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数量</w:t>
            </w:r>
            <w:r>
              <w:rPr>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浙江</w:t>
            </w:r>
            <w:r>
              <w:rPr>
                <w:rFonts w:hint="eastAsia"/>
                <w:kern w:val="0"/>
                <w:sz w:val="24"/>
              </w:rPr>
              <w:t>东西部扶贫协作人才支援项目资金</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23人</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23人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质量</w:t>
            </w:r>
            <w:r>
              <w:rPr>
                <w:kern w:val="0"/>
                <w:sz w:val="24"/>
              </w:rPr>
              <w:t>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质量</w:t>
            </w:r>
            <w:r>
              <w:rPr>
                <w:kern w:val="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进一步提高挂职干部人才待遇保障</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kern w:val="0"/>
                <w:sz w:val="24"/>
              </w:rPr>
            </w:pPr>
            <w:r>
              <w:rPr>
                <w:rFonts w:hint="eastAsia"/>
                <w:kern w:val="0"/>
                <w:sz w:val="24"/>
              </w:rPr>
              <w:t>社会效益指标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社会指标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推进人才支援项目各项工作开展</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90%</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挂职干部人才满意度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p>
        </w:tc>
      </w:tr>
    </w:tbl>
    <w:p>
      <w:pPr>
        <w:spacing w:line="580" w:lineRule="exact"/>
        <w:ind w:firstLine="640" w:firstLineChars="200"/>
        <w:rPr>
          <w:rFonts w:eastAsia="仿宋_GB2312"/>
          <w:sz w:val="32"/>
          <w:szCs w:val="32"/>
        </w:rPr>
      </w:pPr>
    </w:p>
    <w:p>
      <w:pPr>
        <w:spacing w:line="580" w:lineRule="exact"/>
        <w:ind w:firstLine="640" w:firstLineChars="200"/>
        <w:rPr>
          <w:rFonts w:eastAsia="仿宋_GB2312"/>
          <w:sz w:val="32"/>
          <w:szCs w:val="32"/>
        </w:rPr>
      </w:pPr>
      <w:r>
        <w:rPr>
          <w:rFonts w:eastAsia="仿宋_GB2312"/>
          <w:sz w:val="32"/>
          <w:szCs w:val="32"/>
        </w:rPr>
        <w:t>2.“</w:t>
      </w:r>
      <w:r>
        <w:rPr>
          <w:rFonts w:hint="eastAsia" w:eastAsia="仿宋_GB2312"/>
          <w:sz w:val="32"/>
          <w:szCs w:val="32"/>
        </w:rPr>
        <w:t>农林水支出</w:t>
      </w:r>
      <w:r>
        <w:rPr>
          <w:rFonts w:eastAsia="仿宋_GB2312"/>
          <w:sz w:val="32"/>
          <w:szCs w:val="32"/>
        </w:rPr>
        <w:t>”</w:t>
      </w:r>
      <w:r>
        <w:rPr>
          <w:rFonts w:hint="eastAsia" w:eastAsia="仿宋_GB2312"/>
          <w:sz w:val="32"/>
          <w:szCs w:val="32"/>
        </w:rPr>
        <w:t>中</w:t>
      </w:r>
      <w:r>
        <w:rPr>
          <w:rFonts w:eastAsia="仿宋_GB2312"/>
          <w:sz w:val="32"/>
          <w:szCs w:val="32"/>
        </w:rPr>
        <w:t>项目绩效目标完成情况综述。项目全年预算数</w:t>
      </w:r>
      <w:r>
        <w:rPr>
          <w:rFonts w:hint="eastAsia" w:eastAsia="仿宋_GB2312"/>
          <w:sz w:val="32"/>
          <w:szCs w:val="32"/>
        </w:rPr>
        <w:t>778.69</w:t>
      </w:r>
      <w:r>
        <w:rPr>
          <w:rFonts w:eastAsia="仿宋_GB2312"/>
          <w:sz w:val="32"/>
          <w:szCs w:val="32"/>
        </w:rPr>
        <w:t>万元，执行数为</w:t>
      </w:r>
      <w:r>
        <w:rPr>
          <w:rFonts w:hint="eastAsia" w:eastAsia="仿宋_GB2312"/>
          <w:sz w:val="32"/>
          <w:szCs w:val="32"/>
        </w:rPr>
        <w:t>720.13</w:t>
      </w:r>
      <w:r>
        <w:rPr>
          <w:rFonts w:eastAsia="仿宋_GB2312"/>
          <w:sz w:val="32"/>
          <w:szCs w:val="32"/>
        </w:rPr>
        <w:t>万元，完成预算的</w:t>
      </w:r>
      <w:r>
        <w:rPr>
          <w:rFonts w:hint="eastAsia" w:eastAsia="仿宋_GB2312"/>
          <w:sz w:val="32"/>
          <w:szCs w:val="32"/>
        </w:rPr>
        <w:t>92.48</w:t>
      </w:r>
      <w:r>
        <w:rPr>
          <w:rFonts w:eastAsia="仿宋_GB2312"/>
          <w:sz w:val="32"/>
          <w:szCs w:val="32"/>
        </w:rPr>
        <w:t>%。</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3"/>
              <w:widowControl/>
              <w:ind w:left="4173" w:leftChars="1310" w:hanging="1422" w:hangingChars="395"/>
              <w:textAlignment w:val="center"/>
              <w:rPr>
                <w:rFonts w:eastAsia="黑体"/>
                <w:bCs/>
                <w:kern w:val="0"/>
                <w:sz w:val="36"/>
                <w:szCs w:val="36"/>
              </w:rPr>
            </w:pPr>
            <w:r>
              <w:rPr>
                <w:rFonts w:eastAsia="黑体"/>
                <w:bCs/>
                <w:kern w:val="0"/>
                <w:sz w:val="36"/>
                <w:szCs w:val="36"/>
              </w:rPr>
              <w:t>项目支出绩效目标完成情况表</w:t>
            </w:r>
          </w:p>
          <w:p>
            <w:pPr>
              <w:pStyle w:val="23"/>
              <w:widowControl/>
              <w:ind w:firstLine="0" w:firstLineChars="0"/>
              <w:jc w:val="center"/>
              <w:textAlignment w:val="center"/>
              <w:rPr>
                <w:sz w:val="36"/>
                <w:szCs w:val="36"/>
              </w:rPr>
            </w:pPr>
            <w:r>
              <w:rPr>
                <w:kern w:val="0"/>
                <w:sz w:val="36"/>
                <w:szCs w:val="36"/>
              </w:rPr>
              <w:t>(</w:t>
            </w:r>
            <w:r>
              <w:rPr>
                <w:rFonts w:hint="eastAsia" w:eastAsia="仿宋"/>
                <w:bCs/>
                <w:sz w:val="32"/>
                <w:szCs w:val="32"/>
              </w:rPr>
              <w:t xml:space="preserve"> 2020</w:t>
            </w:r>
            <w:r>
              <w:rPr>
                <w:kern w:val="0"/>
                <w:sz w:val="36"/>
                <w:szCs w:val="36"/>
              </w:rPr>
              <w:t>年度</w:t>
            </w:r>
            <w:r>
              <w:rPr>
                <w:rFonts w:hint="eastAsia"/>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农林水支出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中共金川县委组织部</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预算执行情况</w:t>
            </w:r>
            <w:r>
              <w:rPr>
                <w:rFonts w:hint="eastAsia"/>
                <w:kern w:val="0"/>
                <w:sz w:val="24"/>
                <w:lang w:eastAsia="zh-CN"/>
              </w:rPr>
              <w:t>（</w:t>
            </w:r>
            <w:r>
              <w:rPr>
                <w:kern w:val="0"/>
                <w:sz w:val="24"/>
              </w:rPr>
              <w:t>万元</w:t>
            </w:r>
            <w:r>
              <w:rPr>
                <w:rFonts w:hint="eastAsia"/>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778.69</w:t>
            </w:r>
            <w:r>
              <w:rPr>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执行数</w:t>
            </w:r>
            <w:r>
              <w:rPr>
                <w:rFonts w:hint="eastAsia"/>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720.13</w:t>
            </w:r>
            <w:r>
              <w:rPr>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778.69</w:t>
            </w:r>
            <w:r>
              <w:rPr>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720.13</w:t>
            </w:r>
            <w:r>
              <w:rPr>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sz w:val="24"/>
              </w:rPr>
            </w:pPr>
            <w:r>
              <w:rPr>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sz w:val="24"/>
              </w:rPr>
            </w:pPr>
            <w:r>
              <w:rPr>
                <w:rFonts w:hint="eastAsia"/>
                <w:sz w:val="24"/>
              </w:rPr>
              <w:t>加强农林水项目保障，促进农林水项目发展</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预期指标值</w:t>
            </w:r>
            <w:r>
              <w:rPr>
                <w:rFonts w:hint="eastAsia"/>
                <w:kern w:val="0"/>
                <w:sz w:val="24"/>
                <w:lang w:eastAsia="zh-CN"/>
              </w:rPr>
              <w:t>（</w:t>
            </w:r>
            <w:r>
              <w:rPr>
                <w:kern w:val="0"/>
                <w:sz w:val="24"/>
              </w:rPr>
              <w:t>包含数字及文字描述</w:t>
            </w:r>
            <w:r>
              <w:rPr>
                <w:rFonts w:hint="eastAsia"/>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实际完成指标值</w:t>
            </w:r>
            <w:r>
              <w:rPr>
                <w:rFonts w:hint="eastAsia"/>
                <w:kern w:val="0"/>
                <w:sz w:val="24"/>
                <w:lang w:eastAsia="zh-CN"/>
              </w:rPr>
              <w:t>（</w:t>
            </w:r>
            <w:r>
              <w:rPr>
                <w:kern w:val="0"/>
                <w:sz w:val="24"/>
              </w:rPr>
              <w:t>包含数字及文字描述</w:t>
            </w:r>
            <w:r>
              <w:rPr>
                <w:rFonts w:hint="eastAsia"/>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数量指标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总金额</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778.69万元</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720.13万元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质量指标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保质保量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95%</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b/>
                <w:bCs/>
                <w:sz w:val="24"/>
              </w:rPr>
            </w:pPr>
            <w:r>
              <w:rPr>
                <w:rFonts w:hint="eastAsia"/>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社会效益</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95%</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95%</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w:t>
            </w:r>
          </w:p>
        </w:tc>
      </w:tr>
    </w:tbl>
    <w:p>
      <w:pPr>
        <w:ind w:firstLine="640" w:firstLineChars="200"/>
        <w:jc w:val="left"/>
        <w:rPr>
          <w:rFonts w:eastAsia="仿宋_GB2312"/>
          <w:sz w:val="32"/>
          <w:szCs w:val="32"/>
        </w:rPr>
      </w:pPr>
      <w:r>
        <w:rPr>
          <w:rFonts w:eastAsia="仿宋_GB2312"/>
          <w:sz w:val="32"/>
          <w:szCs w:val="32"/>
        </w:rPr>
        <w:t xml:space="preserve">                                                                                                                                                                     </w:t>
      </w:r>
    </w:p>
    <w:p>
      <w:pPr>
        <w:numPr>
          <w:ilvl w:val="0"/>
          <w:numId w:val="5"/>
        </w:numPr>
        <w:spacing w:line="58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卫生健康</w:t>
      </w:r>
      <w:r>
        <w:rPr>
          <w:rFonts w:eastAsia="仿宋_GB2312"/>
          <w:sz w:val="32"/>
          <w:szCs w:val="32"/>
        </w:rPr>
        <w:t>”</w:t>
      </w:r>
      <w:r>
        <w:rPr>
          <w:rFonts w:hint="eastAsia" w:eastAsia="仿宋_GB2312"/>
          <w:sz w:val="32"/>
          <w:szCs w:val="32"/>
        </w:rPr>
        <w:t>中</w:t>
      </w:r>
      <w:r>
        <w:rPr>
          <w:rFonts w:eastAsia="仿宋_GB2312"/>
          <w:sz w:val="32"/>
          <w:szCs w:val="32"/>
        </w:rPr>
        <w:t>项目绩效目标完成情况综述。项目全年预算数</w:t>
      </w:r>
      <w:r>
        <w:rPr>
          <w:rFonts w:hint="eastAsia" w:eastAsia="仿宋_GB2312"/>
          <w:sz w:val="32"/>
          <w:szCs w:val="32"/>
        </w:rPr>
        <w:t>3.21</w:t>
      </w:r>
      <w:r>
        <w:rPr>
          <w:rFonts w:eastAsia="仿宋_GB2312"/>
          <w:sz w:val="32"/>
          <w:szCs w:val="32"/>
        </w:rPr>
        <w:t>万元</w:t>
      </w:r>
      <w:r>
        <w:rPr>
          <w:rFonts w:hint="eastAsia" w:eastAsia="仿宋_GB2312"/>
          <w:sz w:val="32"/>
          <w:szCs w:val="32"/>
        </w:rPr>
        <w:t>，</w:t>
      </w:r>
      <w:r>
        <w:rPr>
          <w:rFonts w:eastAsia="仿宋_GB2312"/>
          <w:sz w:val="32"/>
          <w:szCs w:val="32"/>
        </w:rPr>
        <w:t>执行数为</w:t>
      </w:r>
      <w:r>
        <w:rPr>
          <w:rFonts w:hint="eastAsia" w:eastAsia="仿宋_GB2312"/>
          <w:sz w:val="32"/>
          <w:szCs w:val="32"/>
        </w:rPr>
        <w:t>3.21</w:t>
      </w:r>
      <w:r>
        <w:rPr>
          <w:rFonts w:eastAsia="仿宋_GB2312"/>
          <w:sz w:val="32"/>
          <w:szCs w:val="32"/>
        </w:rPr>
        <w:t>万元，完成预算的</w:t>
      </w:r>
      <w:r>
        <w:rPr>
          <w:rFonts w:hint="eastAsia" w:eastAsia="仿宋_GB2312"/>
          <w:sz w:val="32"/>
          <w:szCs w:val="32"/>
        </w:rPr>
        <w:t>100</w:t>
      </w:r>
      <w:r>
        <w:rPr>
          <w:rFonts w:eastAsia="仿宋_GB2312"/>
          <w:sz w:val="32"/>
          <w:szCs w:val="32"/>
        </w:rPr>
        <w:t>%。</w:t>
      </w:r>
    </w:p>
    <w:p>
      <w:pPr>
        <w:spacing w:line="580" w:lineRule="exact"/>
        <w:rPr>
          <w:rFonts w:eastAsia="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b/>
                <w:bCs/>
                <w:kern w:val="0"/>
                <w:sz w:val="36"/>
                <w:szCs w:val="36"/>
              </w:rPr>
            </w:pPr>
            <w:r>
              <w:rPr>
                <w:b/>
                <w:bCs/>
                <w:kern w:val="0"/>
                <w:sz w:val="36"/>
                <w:szCs w:val="36"/>
              </w:rPr>
              <w:t>项目绩效目标完成情况表</w:t>
            </w:r>
          </w:p>
          <w:p>
            <w:pPr>
              <w:widowControl/>
              <w:jc w:val="center"/>
              <w:textAlignment w:val="center"/>
              <w:rPr>
                <w:sz w:val="36"/>
                <w:szCs w:val="36"/>
              </w:rPr>
            </w:pPr>
            <w:r>
              <w:rPr>
                <w:kern w:val="0"/>
                <w:sz w:val="36"/>
                <w:szCs w:val="36"/>
              </w:rPr>
              <w:t>(</w:t>
            </w:r>
            <w:r>
              <w:rPr>
                <w:rFonts w:hint="eastAsia" w:eastAsia="仿宋"/>
                <w:bCs/>
                <w:sz w:val="32"/>
                <w:szCs w:val="32"/>
              </w:rPr>
              <w:t xml:space="preserve"> 2020</w:t>
            </w:r>
            <w:r>
              <w:rPr>
                <w:kern w:val="0"/>
                <w:sz w:val="36"/>
                <w:szCs w:val="36"/>
              </w:rPr>
              <w:t xml:space="preserve"> 年度</w:t>
            </w:r>
            <w:r>
              <w:rPr>
                <w:rFonts w:hint="eastAsia"/>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卫生健康</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中共金川县委组织部</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预算执行情况</w:t>
            </w:r>
            <w:r>
              <w:rPr>
                <w:rFonts w:hint="eastAsia"/>
                <w:kern w:val="0"/>
                <w:sz w:val="24"/>
                <w:lang w:eastAsia="zh-CN"/>
              </w:rPr>
              <w:t>（</w:t>
            </w:r>
            <w:r>
              <w:rPr>
                <w:kern w:val="0"/>
                <w:sz w:val="24"/>
              </w:rPr>
              <w:t>万元</w:t>
            </w:r>
            <w:r>
              <w:rPr>
                <w:rFonts w:hint="eastAsia"/>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3.21</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执行数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3.21</w:t>
            </w:r>
            <w:r>
              <w:rPr>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3.21</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3.21</w:t>
            </w:r>
            <w:r>
              <w:rPr>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sz w:val="24"/>
              </w:rPr>
            </w:pPr>
            <w:r>
              <w:rPr>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疫情防控</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预期指标值</w:t>
            </w:r>
            <w:r>
              <w:rPr>
                <w:rFonts w:hint="eastAsia"/>
                <w:kern w:val="0"/>
                <w:sz w:val="24"/>
                <w:lang w:eastAsia="zh-CN"/>
              </w:rPr>
              <w:t>（</w:t>
            </w:r>
            <w:r>
              <w:rPr>
                <w:kern w:val="0"/>
                <w:sz w:val="24"/>
              </w:rPr>
              <w:t>包含数字及文字描述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实际完成指标值</w:t>
            </w:r>
            <w:r>
              <w:rPr>
                <w:rFonts w:hint="eastAsia"/>
                <w:kern w:val="0"/>
                <w:sz w:val="24"/>
                <w:lang w:eastAsia="zh-CN"/>
              </w:rPr>
              <w:t>（</w:t>
            </w:r>
            <w:r>
              <w:rPr>
                <w:kern w:val="0"/>
                <w:sz w:val="24"/>
              </w:rPr>
              <w:t>包含数字及文字描述</w:t>
            </w:r>
            <w:r>
              <w:rPr>
                <w:rFonts w:hint="eastAsia"/>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数量指标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spacing w:line="720" w:lineRule="auto"/>
            </w:pPr>
            <w:r>
              <w:rPr>
                <w:rFonts w:hint="eastAsia"/>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sz w:val="24"/>
              </w:rPr>
              <w:t xml:space="preserve">              </w:t>
            </w:r>
            <w:r>
              <w:rPr>
                <w:rFonts w:hint="eastAsia"/>
                <w:sz w:val="24"/>
              </w:rPr>
              <w:t>金额</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3.21万元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3.21万元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做好疫情防控工作</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w:t>
            </w:r>
          </w:p>
        </w:tc>
      </w:tr>
    </w:tbl>
    <w:p/>
    <w:p>
      <w:pPr>
        <w:spacing w:line="580" w:lineRule="exact"/>
        <w:ind w:firstLine="640" w:firstLineChars="200"/>
        <w:rPr>
          <w:rFonts w:eastAsia="仿宋_GB2312"/>
          <w:sz w:val="32"/>
          <w:szCs w:val="32"/>
        </w:rPr>
      </w:pPr>
      <w:r>
        <w:rPr>
          <w:rFonts w:eastAsia="仿宋_GB2312"/>
          <w:sz w:val="32"/>
          <w:szCs w:val="32"/>
        </w:rPr>
        <w:t>4 .“</w:t>
      </w:r>
      <w:r>
        <w:rPr>
          <w:rFonts w:hint="eastAsia" w:eastAsia="仿宋_GB2312"/>
          <w:sz w:val="32"/>
          <w:szCs w:val="32"/>
        </w:rPr>
        <w:t>基层治理</w:t>
      </w:r>
      <w:r>
        <w:rPr>
          <w:rFonts w:eastAsia="仿宋_GB2312"/>
          <w:sz w:val="32"/>
          <w:szCs w:val="32"/>
        </w:rPr>
        <w:t>”</w:t>
      </w:r>
      <w:r>
        <w:rPr>
          <w:rFonts w:hint="eastAsia" w:eastAsia="仿宋_GB2312"/>
          <w:sz w:val="32"/>
          <w:szCs w:val="32"/>
        </w:rPr>
        <w:t>中</w:t>
      </w:r>
      <w:r>
        <w:rPr>
          <w:rFonts w:eastAsia="仿宋_GB2312"/>
          <w:sz w:val="32"/>
          <w:szCs w:val="32"/>
        </w:rPr>
        <w:t>绩效目标完成情况综述。项目全年预算数</w:t>
      </w:r>
      <w:r>
        <w:rPr>
          <w:rFonts w:hint="eastAsia" w:eastAsia="仿宋_GB2312"/>
          <w:sz w:val="32"/>
          <w:szCs w:val="32"/>
        </w:rPr>
        <w:t>7.45</w:t>
      </w:r>
      <w:r>
        <w:rPr>
          <w:rFonts w:eastAsia="仿宋_GB2312"/>
          <w:sz w:val="32"/>
          <w:szCs w:val="32"/>
        </w:rPr>
        <w:t>万元，执行数为</w:t>
      </w:r>
      <w:r>
        <w:rPr>
          <w:rFonts w:hint="eastAsia" w:eastAsia="仿宋_GB2312"/>
          <w:sz w:val="32"/>
          <w:szCs w:val="32"/>
        </w:rPr>
        <w:t>7.45</w:t>
      </w:r>
      <w:r>
        <w:rPr>
          <w:rFonts w:eastAsia="仿宋_GB2312"/>
          <w:sz w:val="32"/>
          <w:szCs w:val="32"/>
        </w:rPr>
        <w:t>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b/>
                <w:bCs/>
                <w:kern w:val="0"/>
                <w:sz w:val="36"/>
                <w:szCs w:val="36"/>
              </w:rPr>
            </w:pPr>
            <w:r>
              <w:rPr>
                <w:b/>
                <w:bCs/>
                <w:kern w:val="0"/>
                <w:sz w:val="36"/>
                <w:szCs w:val="36"/>
              </w:rPr>
              <w:t>项目绩效目标完成情况表</w:t>
            </w:r>
          </w:p>
          <w:p>
            <w:pPr>
              <w:widowControl/>
              <w:jc w:val="center"/>
              <w:textAlignment w:val="center"/>
              <w:rPr>
                <w:sz w:val="36"/>
                <w:szCs w:val="36"/>
              </w:rPr>
            </w:pPr>
            <w:r>
              <w:rPr>
                <w:kern w:val="0"/>
                <w:sz w:val="36"/>
                <w:szCs w:val="36"/>
              </w:rPr>
              <w:t>(</w:t>
            </w:r>
            <w:r>
              <w:rPr>
                <w:rFonts w:hint="eastAsia" w:eastAsia="仿宋"/>
                <w:bCs/>
                <w:sz w:val="32"/>
                <w:szCs w:val="32"/>
              </w:rPr>
              <w:t xml:space="preserve"> 2020</w:t>
            </w:r>
            <w:r>
              <w:rPr>
                <w:kern w:val="0"/>
                <w:sz w:val="36"/>
                <w:szCs w:val="36"/>
              </w:rPr>
              <w:t xml:space="preserve"> 年度</w:t>
            </w:r>
            <w:r>
              <w:rPr>
                <w:rFonts w:hint="eastAsia"/>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基层治理</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中共金川县委组织部</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预算执行情况</w:t>
            </w:r>
            <w:r>
              <w:rPr>
                <w:rFonts w:hint="eastAsia"/>
                <w:kern w:val="0"/>
                <w:sz w:val="24"/>
                <w:lang w:eastAsia="zh-CN"/>
              </w:rPr>
              <w:t>（</w:t>
            </w:r>
            <w:r>
              <w:rPr>
                <w:kern w:val="0"/>
                <w:sz w:val="24"/>
              </w:rPr>
              <w:t>万元</w:t>
            </w:r>
            <w:r>
              <w:rPr>
                <w:rFonts w:hint="eastAsia"/>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7.45</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执行数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7.45</w:t>
            </w:r>
            <w:r>
              <w:rPr>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7.45</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7.45</w:t>
            </w:r>
            <w:r>
              <w:rPr>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sz w:val="24"/>
              </w:rPr>
            </w:pPr>
            <w:r>
              <w:rPr>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推进基层党建工作开展</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完成</w:t>
            </w:r>
            <w:r>
              <w:rPr>
                <w:sz w:val="24"/>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预期指标值</w:t>
            </w:r>
            <w:r>
              <w:rPr>
                <w:rFonts w:hint="eastAsia"/>
                <w:kern w:val="0"/>
                <w:sz w:val="24"/>
                <w:lang w:eastAsia="zh-CN"/>
              </w:rPr>
              <w:t>（</w:t>
            </w:r>
            <w:r>
              <w:rPr>
                <w:kern w:val="0"/>
                <w:sz w:val="24"/>
              </w:rPr>
              <w:t>包含数字及文字描述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实际完成指标值</w:t>
            </w:r>
            <w:r>
              <w:rPr>
                <w:rFonts w:hint="eastAsia"/>
                <w:kern w:val="0"/>
                <w:sz w:val="24"/>
                <w:lang w:eastAsia="zh-CN"/>
              </w:rPr>
              <w:t>（</w:t>
            </w:r>
            <w:r>
              <w:rPr>
                <w:kern w:val="0"/>
                <w:sz w:val="24"/>
              </w:rPr>
              <w:t>包含数字及文字描述</w:t>
            </w:r>
            <w:r>
              <w:rPr>
                <w:rFonts w:hint="eastAsia"/>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数量指标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金额</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p>
          <w:p>
            <w:pPr>
              <w:jc w:val="center"/>
              <w:rPr>
                <w:sz w:val="24"/>
              </w:rPr>
            </w:pPr>
            <w:r>
              <w:rPr>
                <w:rFonts w:hint="eastAsia"/>
                <w:sz w:val="24"/>
              </w:rPr>
              <w:t>7.45万元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p>
          <w:p>
            <w:pPr>
              <w:jc w:val="center"/>
              <w:rPr>
                <w:sz w:val="24"/>
              </w:rPr>
            </w:pPr>
            <w:r>
              <w:rPr>
                <w:rFonts w:hint="eastAsia"/>
                <w:sz w:val="24"/>
              </w:rPr>
              <w:t>7.45万元</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质量指标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进一步加强基层党建工作</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社会效益指标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社会指标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推进基层党建工作的开展</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90%</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w:t>
            </w:r>
          </w:p>
        </w:tc>
      </w:tr>
    </w:tbl>
    <w:p>
      <w:pPr>
        <w:spacing w:line="580" w:lineRule="exact"/>
        <w:ind w:firstLine="640" w:firstLineChars="200"/>
        <w:rPr>
          <w:rFonts w:eastAsia="仿宋_GB2312"/>
          <w:sz w:val="32"/>
          <w:szCs w:val="32"/>
        </w:rPr>
      </w:pPr>
      <w:r>
        <w:rPr>
          <w:rFonts w:eastAsia="仿宋_GB2312"/>
          <w:sz w:val="32"/>
          <w:szCs w:val="32"/>
        </w:rPr>
        <w:t>5.“</w:t>
      </w:r>
      <w:r>
        <w:rPr>
          <w:rFonts w:hint="eastAsia" w:eastAsia="仿宋_GB2312"/>
          <w:sz w:val="32"/>
          <w:szCs w:val="32"/>
        </w:rPr>
        <w:t>教育类</w:t>
      </w:r>
      <w:r>
        <w:rPr>
          <w:rFonts w:eastAsia="仿宋_GB2312"/>
          <w:sz w:val="32"/>
          <w:szCs w:val="32"/>
        </w:rPr>
        <w:t>”</w:t>
      </w:r>
      <w:r>
        <w:rPr>
          <w:rFonts w:hint="eastAsia" w:eastAsia="仿宋_GB2312"/>
          <w:sz w:val="32"/>
          <w:szCs w:val="32"/>
        </w:rPr>
        <w:t>中</w:t>
      </w:r>
      <w:r>
        <w:rPr>
          <w:rFonts w:eastAsia="仿宋_GB2312"/>
          <w:sz w:val="32"/>
          <w:szCs w:val="32"/>
        </w:rPr>
        <w:t>绩效目标完成情况综述。项目全年预算数</w:t>
      </w:r>
      <w:r>
        <w:rPr>
          <w:rFonts w:hint="eastAsia" w:eastAsia="仿宋_GB2312"/>
          <w:sz w:val="32"/>
          <w:szCs w:val="32"/>
        </w:rPr>
        <w:t>61.46</w:t>
      </w:r>
      <w:r>
        <w:rPr>
          <w:rFonts w:eastAsia="仿宋_GB2312"/>
          <w:sz w:val="32"/>
          <w:szCs w:val="32"/>
        </w:rPr>
        <w:t>万元，执行数为</w:t>
      </w:r>
      <w:r>
        <w:rPr>
          <w:rFonts w:hint="eastAsia" w:eastAsia="仿宋_GB2312"/>
          <w:sz w:val="32"/>
          <w:szCs w:val="32"/>
        </w:rPr>
        <w:t>61.46</w:t>
      </w:r>
      <w:r>
        <w:rPr>
          <w:rFonts w:eastAsia="仿宋_GB2312"/>
          <w:sz w:val="32"/>
          <w:szCs w:val="32"/>
        </w:rPr>
        <w:t>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eastAsia="黑体"/>
                <w:bCs/>
                <w:kern w:val="0"/>
                <w:sz w:val="36"/>
                <w:szCs w:val="36"/>
              </w:rPr>
            </w:pPr>
            <w:r>
              <w:rPr>
                <w:rFonts w:eastAsia="黑体"/>
                <w:bCs/>
                <w:kern w:val="0"/>
                <w:sz w:val="36"/>
                <w:szCs w:val="36"/>
              </w:rPr>
              <w:t>项目支出绩效目标完成情况表</w:t>
            </w:r>
          </w:p>
          <w:p>
            <w:pPr>
              <w:pStyle w:val="23"/>
              <w:widowControl/>
              <w:ind w:firstLine="0" w:firstLineChars="0"/>
              <w:jc w:val="center"/>
              <w:textAlignment w:val="center"/>
              <w:rPr>
                <w:sz w:val="36"/>
                <w:szCs w:val="36"/>
              </w:rPr>
            </w:pPr>
            <w:r>
              <w:rPr>
                <w:kern w:val="0"/>
                <w:sz w:val="36"/>
                <w:szCs w:val="36"/>
              </w:rPr>
              <w:t>(</w:t>
            </w:r>
            <w:r>
              <w:rPr>
                <w:rFonts w:hint="eastAsia" w:eastAsia="仿宋"/>
                <w:bCs/>
                <w:sz w:val="32"/>
                <w:szCs w:val="32"/>
              </w:rPr>
              <w:t xml:space="preserve"> 2020</w:t>
            </w:r>
            <w:r>
              <w:rPr>
                <w:kern w:val="0"/>
                <w:sz w:val="36"/>
                <w:szCs w:val="36"/>
              </w:rPr>
              <w:t>年度</w:t>
            </w:r>
            <w:r>
              <w:rPr>
                <w:rFonts w:hint="eastAsia"/>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教育类</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中共金川县委组织部</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预算执行情况</w:t>
            </w:r>
            <w:r>
              <w:rPr>
                <w:rFonts w:hint="eastAsia"/>
                <w:kern w:val="0"/>
                <w:sz w:val="24"/>
                <w:lang w:eastAsia="zh-CN"/>
              </w:rPr>
              <w:t>（</w:t>
            </w:r>
            <w:r>
              <w:rPr>
                <w:kern w:val="0"/>
                <w:sz w:val="24"/>
              </w:rPr>
              <w:t>万元</w:t>
            </w:r>
            <w:r>
              <w:rPr>
                <w:rFonts w:hint="eastAsia"/>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61.46</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执行数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61.46</w:t>
            </w:r>
            <w:r>
              <w:rPr>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61.46</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61.46</w:t>
            </w:r>
            <w:r>
              <w:rPr>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进一步提高干部人才综合素质</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预期指标值</w:t>
            </w:r>
            <w:r>
              <w:rPr>
                <w:rFonts w:hint="eastAsia"/>
                <w:kern w:val="0"/>
                <w:sz w:val="24"/>
                <w:lang w:eastAsia="zh-CN"/>
              </w:rPr>
              <w:t>（</w:t>
            </w:r>
            <w:r>
              <w:rPr>
                <w:kern w:val="0"/>
                <w:sz w:val="24"/>
              </w:rPr>
              <w:t>包含数字及文字描述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实际完成指标值</w:t>
            </w:r>
            <w:r>
              <w:rPr>
                <w:rFonts w:hint="eastAsia"/>
                <w:kern w:val="0"/>
                <w:sz w:val="24"/>
                <w:lang w:eastAsia="zh-CN"/>
              </w:rPr>
              <w:t>（</w:t>
            </w:r>
            <w:r>
              <w:rPr>
                <w:kern w:val="0"/>
                <w:sz w:val="24"/>
              </w:rPr>
              <w:t>包含数字及文字描述</w:t>
            </w:r>
            <w:r>
              <w:rPr>
                <w:rFonts w:hint="eastAsia"/>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数量指标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金额</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61.46万元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61.46万元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质量指标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进一步提高干部人才综合素质</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kern w:val="0"/>
                <w:sz w:val="24"/>
              </w:rPr>
            </w:pPr>
            <w:r>
              <w:rPr>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推进人才各项工作的开展</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95%</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干部人才满意度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100%</w:t>
            </w:r>
          </w:p>
        </w:tc>
      </w:tr>
    </w:tbl>
    <w:p>
      <w:pPr>
        <w:spacing w:line="580" w:lineRule="exact"/>
        <w:ind w:firstLine="640" w:firstLineChars="200"/>
        <w:rPr>
          <w:rFonts w:eastAsia="仿宋_GB2312"/>
          <w:sz w:val="32"/>
          <w:szCs w:val="32"/>
        </w:rPr>
      </w:pPr>
      <w:r>
        <w:rPr>
          <w:rFonts w:hint="eastAsia" w:eastAsia="仿宋_GB2312"/>
          <w:sz w:val="32"/>
          <w:szCs w:val="32"/>
        </w:rPr>
        <w:t>6</w:t>
      </w:r>
      <w:r>
        <w:rPr>
          <w:rFonts w:eastAsia="仿宋_GB2312"/>
          <w:sz w:val="32"/>
          <w:szCs w:val="32"/>
        </w:rPr>
        <w:t>.“</w:t>
      </w:r>
      <w:r>
        <w:rPr>
          <w:rFonts w:hint="eastAsia" w:eastAsia="仿宋_GB2312"/>
          <w:sz w:val="32"/>
          <w:szCs w:val="32"/>
        </w:rPr>
        <w:t>一般行政管理事务</w:t>
      </w:r>
      <w:r>
        <w:rPr>
          <w:rFonts w:eastAsia="仿宋_GB2312"/>
          <w:sz w:val="32"/>
          <w:szCs w:val="32"/>
        </w:rPr>
        <w:t>”</w:t>
      </w:r>
      <w:r>
        <w:rPr>
          <w:rFonts w:hint="eastAsia" w:eastAsia="仿宋_GB2312"/>
          <w:sz w:val="32"/>
          <w:szCs w:val="32"/>
        </w:rPr>
        <w:t>中</w:t>
      </w:r>
      <w:r>
        <w:rPr>
          <w:rFonts w:eastAsia="仿宋_GB2312"/>
          <w:sz w:val="32"/>
          <w:szCs w:val="32"/>
        </w:rPr>
        <w:t>绩效目标完成情况综述。项目全年预算数</w:t>
      </w:r>
      <w:r>
        <w:rPr>
          <w:rFonts w:hint="eastAsia" w:eastAsia="仿宋_GB2312"/>
          <w:sz w:val="32"/>
          <w:szCs w:val="32"/>
        </w:rPr>
        <w:t>14.56</w:t>
      </w:r>
      <w:r>
        <w:rPr>
          <w:rFonts w:eastAsia="仿宋_GB2312"/>
          <w:sz w:val="32"/>
          <w:szCs w:val="32"/>
        </w:rPr>
        <w:t>万元，执行数为</w:t>
      </w:r>
      <w:r>
        <w:rPr>
          <w:rFonts w:hint="eastAsia" w:eastAsia="仿宋_GB2312"/>
          <w:sz w:val="32"/>
          <w:szCs w:val="32"/>
        </w:rPr>
        <w:t>14.56</w:t>
      </w:r>
      <w:r>
        <w:rPr>
          <w:rFonts w:eastAsia="仿宋_GB2312"/>
          <w:sz w:val="32"/>
          <w:szCs w:val="32"/>
        </w:rPr>
        <w:t>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eastAsia="黑体"/>
                <w:bCs/>
                <w:kern w:val="0"/>
                <w:sz w:val="36"/>
                <w:szCs w:val="36"/>
              </w:rPr>
            </w:pPr>
            <w:r>
              <w:rPr>
                <w:rFonts w:eastAsia="黑体"/>
                <w:bCs/>
                <w:kern w:val="0"/>
                <w:sz w:val="36"/>
                <w:szCs w:val="36"/>
              </w:rPr>
              <w:t>项目支出绩效目标完成情况表</w:t>
            </w:r>
          </w:p>
          <w:p>
            <w:pPr>
              <w:pStyle w:val="23"/>
              <w:widowControl/>
              <w:ind w:firstLine="0" w:firstLineChars="0"/>
              <w:jc w:val="center"/>
              <w:textAlignment w:val="center"/>
              <w:rPr>
                <w:sz w:val="36"/>
                <w:szCs w:val="36"/>
              </w:rPr>
            </w:pPr>
            <w:r>
              <w:rPr>
                <w:kern w:val="0"/>
                <w:sz w:val="36"/>
                <w:szCs w:val="36"/>
              </w:rPr>
              <w:t>(</w:t>
            </w:r>
            <w:r>
              <w:rPr>
                <w:rFonts w:hint="eastAsia" w:eastAsia="仿宋"/>
                <w:bCs/>
                <w:sz w:val="32"/>
                <w:szCs w:val="32"/>
              </w:rPr>
              <w:t xml:space="preserve"> 2020</w:t>
            </w:r>
            <w:r>
              <w:rPr>
                <w:kern w:val="0"/>
                <w:sz w:val="36"/>
                <w:szCs w:val="36"/>
              </w:rPr>
              <w:t>年度</w:t>
            </w:r>
            <w:r>
              <w:rPr>
                <w:rFonts w:hint="eastAsia"/>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一般行政管理事务</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中共金川县委组织部</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预算执行情况</w:t>
            </w:r>
            <w:r>
              <w:rPr>
                <w:rFonts w:hint="eastAsia"/>
                <w:kern w:val="0"/>
                <w:sz w:val="24"/>
                <w:lang w:eastAsia="zh-CN"/>
              </w:rPr>
              <w:t>（</w:t>
            </w:r>
            <w:r>
              <w:rPr>
                <w:kern w:val="0"/>
                <w:sz w:val="24"/>
              </w:rPr>
              <w:t>万元</w:t>
            </w:r>
            <w:r>
              <w:rPr>
                <w:rFonts w:hint="eastAsia"/>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预算数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14.56</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执行数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14.56</w:t>
            </w:r>
            <w:r>
              <w:rPr>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14.56</w:t>
            </w:r>
            <w:r>
              <w:rPr>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其中</w:t>
            </w:r>
            <w:r>
              <w:rPr>
                <w:rFonts w:hint="eastAsia"/>
                <w:kern w:val="0"/>
                <w:sz w:val="24"/>
                <w:lang w:eastAsia="zh-CN"/>
              </w:rPr>
              <w:t>－</w:t>
            </w:r>
            <w:r>
              <w:rPr>
                <w:kern w:val="0"/>
                <w:sz w:val="24"/>
              </w:rPr>
              <w:t>财政拨款</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14.56</w:t>
            </w:r>
            <w:r>
              <w:rPr>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lang w:eastAsia="zh-CN"/>
              </w:rPr>
              <w:t>其他</w:t>
            </w:r>
            <w:r>
              <w:rPr>
                <w:kern w:val="0"/>
                <w:sz w:val="24"/>
              </w:rPr>
              <w:t>资金</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推进派驻管理干部工作</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预期指标值</w:t>
            </w:r>
            <w:r>
              <w:rPr>
                <w:rFonts w:hint="eastAsia"/>
                <w:kern w:val="0"/>
                <w:sz w:val="24"/>
                <w:lang w:eastAsia="zh-CN"/>
              </w:rPr>
              <w:t>（</w:t>
            </w:r>
            <w:r>
              <w:rPr>
                <w:kern w:val="0"/>
                <w:sz w:val="24"/>
              </w:rPr>
              <w:t>包含数字及文字描述</w:t>
            </w:r>
            <w:r>
              <w:rPr>
                <w:rFonts w:hint="eastAsia"/>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实际完成指标值</w:t>
            </w:r>
            <w:r>
              <w:rPr>
                <w:rFonts w:hint="eastAsia"/>
                <w:kern w:val="0"/>
                <w:sz w:val="24"/>
                <w:lang w:eastAsia="zh-CN"/>
              </w:rPr>
              <w:t>（</w:t>
            </w:r>
            <w:r>
              <w:rPr>
                <w:kern w:val="0"/>
                <w:sz w:val="24"/>
              </w:rPr>
              <w:t>包含数字及文字描述</w:t>
            </w:r>
            <w:r>
              <w:rPr>
                <w:rFonts w:hint="eastAsia"/>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数量指标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金额</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14.56万元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14.56万元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kern w:val="0"/>
                <w:sz w:val="24"/>
              </w:rPr>
              <w:t>质量指标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进一步让派驻管理干部</w:t>
            </w:r>
            <w:r>
              <w:rPr>
                <w:rFonts w:hint="eastAsia"/>
                <w:sz w:val="24"/>
                <w:lang w:eastAsia="zh-CN"/>
              </w:rPr>
              <w:t>履职</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kern w:val="0"/>
                <w:sz w:val="24"/>
              </w:rPr>
            </w:pPr>
            <w:r>
              <w:rPr>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推进各项工作的开展</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95%</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rFonts w:hint="eastAsia"/>
                <w:sz w:val="24"/>
              </w:rPr>
              <w:t>派驻干部满意度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sz w:val="24"/>
              </w:rPr>
            </w:pPr>
            <w:r>
              <w:rPr>
                <w:sz w:val="24"/>
              </w:rPr>
              <w:t>100%</w:t>
            </w:r>
          </w:p>
        </w:tc>
      </w:tr>
    </w:tbl>
    <w:p/>
    <w:p>
      <w:pPr>
        <w:numPr>
          <w:ilvl w:val="0"/>
          <w:numId w:val="4"/>
        </w:numPr>
        <w:spacing w:line="580" w:lineRule="exact"/>
        <w:ind w:firstLine="643"/>
        <w:rPr>
          <w:rFonts w:eastAsia="仿宋"/>
          <w:sz w:val="32"/>
          <w:szCs w:val="32"/>
        </w:rPr>
      </w:pPr>
      <w:r>
        <w:rPr>
          <w:rFonts w:eastAsia="仿宋"/>
          <w:b/>
          <w:bCs/>
          <w:sz w:val="32"/>
          <w:szCs w:val="32"/>
        </w:rPr>
        <w:t>部门开展绩效评价结果。</w:t>
      </w:r>
    </w:p>
    <w:p>
      <w:pPr>
        <w:spacing w:line="580" w:lineRule="exact"/>
        <w:ind w:firstLine="640" w:firstLineChars="200"/>
        <w:rPr>
          <w:rFonts w:eastAsia="仿宋_GB2312"/>
          <w:sz w:val="32"/>
          <w:szCs w:val="32"/>
        </w:rPr>
      </w:pPr>
      <w:r>
        <w:rPr>
          <w:rFonts w:eastAsia="仿宋_GB2312"/>
          <w:sz w:val="32"/>
          <w:szCs w:val="32"/>
        </w:rPr>
        <w:t>本部门按要求对</w:t>
      </w:r>
      <w:r>
        <w:rPr>
          <w:rFonts w:hint="eastAsia" w:eastAsia="仿宋"/>
          <w:bCs/>
          <w:sz w:val="32"/>
          <w:szCs w:val="32"/>
        </w:rPr>
        <w:t xml:space="preserve"> 2020</w:t>
      </w:r>
      <w:r>
        <w:rPr>
          <w:rFonts w:eastAsia="仿宋_GB2312"/>
          <w:sz w:val="32"/>
          <w:szCs w:val="32"/>
        </w:rPr>
        <w:t>年部门整体支出绩效评价情况开展自评，《</w:t>
      </w:r>
      <w:r>
        <w:rPr>
          <w:rFonts w:hint="eastAsia" w:eastAsia="仿宋_GB2312"/>
          <w:sz w:val="32"/>
          <w:szCs w:val="32"/>
        </w:rPr>
        <w:t>中共金川县委组织部</w:t>
      </w:r>
      <w:r>
        <w:rPr>
          <w:rFonts w:hint="eastAsia" w:eastAsia="仿宋"/>
          <w:bCs/>
          <w:sz w:val="32"/>
          <w:szCs w:val="32"/>
        </w:rPr>
        <w:t xml:space="preserve"> 2020</w:t>
      </w:r>
      <w:r>
        <w:rPr>
          <w:rFonts w:eastAsia="仿宋_GB2312"/>
          <w:sz w:val="32"/>
          <w:szCs w:val="32"/>
        </w:rPr>
        <w:t>年部门整体支出绩效评价报告》见附件。</w:t>
      </w:r>
    </w:p>
    <w:p>
      <w:pPr>
        <w:spacing w:line="600" w:lineRule="exact"/>
        <w:ind w:firstLine="640" w:firstLineChars="200"/>
        <w:outlineLvl w:val="1"/>
        <w:rPr>
          <w:rStyle w:val="18"/>
          <w:rFonts w:ascii="Times New Roman" w:hAnsi="Times New Roman" w:eastAsia="黑体"/>
        </w:rPr>
      </w:pPr>
      <w:bookmarkStart w:id="52" w:name="_Toc15396612"/>
      <w:bookmarkStart w:id="53" w:name="_Toc15377221"/>
      <w:r>
        <w:rPr>
          <w:rFonts w:eastAsia="黑体"/>
          <w:sz w:val="32"/>
          <w:szCs w:val="32"/>
        </w:rPr>
        <w:t>十</w:t>
      </w:r>
      <w:r>
        <w:rPr>
          <w:rStyle w:val="18"/>
          <w:rFonts w:ascii="Times New Roman" w:hAnsi="Times New Roman" w:eastAsia="黑体"/>
        </w:rPr>
        <w:t>一、</w:t>
      </w:r>
      <w:r>
        <w:rPr>
          <w:rStyle w:val="18"/>
          <w:rFonts w:ascii="Times New Roman" w:hAnsi="Times New Roman" w:eastAsia="黑体"/>
          <w:b w:val="0"/>
        </w:rPr>
        <w:t>其他重要事项的情况说明</w:t>
      </w:r>
      <w:bookmarkEnd w:id="52"/>
      <w:bookmarkEnd w:id="53"/>
    </w:p>
    <w:p>
      <w:pPr>
        <w:spacing w:line="600" w:lineRule="exact"/>
        <w:ind w:firstLine="643" w:firstLineChars="200"/>
        <w:outlineLvl w:val="2"/>
        <w:rPr>
          <w:rFonts w:eastAsia="仿宋"/>
          <w:sz w:val="32"/>
          <w:szCs w:val="32"/>
        </w:rPr>
      </w:pPr>
      <w:bookmarkStart w:id="54" w:name="_Toc15377222"/>
      <w:r>
        <w:rPr>
          <w:rFonts w:eastAsia="仿宋"/>
          <w:b/>
          <w:sz w:val="32"/>
          <w:szCs w:val="32"/>
        </w:rPr>
        <w:t>（一）机关运行经费支出情况</w:t>
      </w:r>
      <w:bookmarkEnd w:id="54"/>
    </w:p>
    <w:p>
      <w:pPr>
        <w:spacing w:line="600" w:lineRule="exact"/>
        <w:ind w:firstLine="640" w:firstLineChars="200"/>
        <w:rPr>
          <w:rFonts w:eastAsia="仿宋_GB2312"/>
          <w:sz w:val="32"/>
          <w:szCs w:val="32"/>
        </w:rPr>
      </w:pPr>
      <w:r>
        <w:rPr>
          <w:rFonts w:hint="eastAsia" w:eastAsia="仿宋"/>
          <w:bCs/>
          <w:sz w:val="32"/>
          <w:szCs w:val="32"/>
        </w:rPr>
        <w:t xml:space="preserve"> 2020</w:t>
      </w:r>
      <w:r>
        <w:rPr>
          <w:rFonts w:eastAsia="仿宋_GB2312"/>
          <w:sz w:val="32"/>
          <w:szCs w:val="32"/>
        </w:rPr>
        <w:t>年，</w:t>
      </w:r>
      <w:r>
        <w:rPr>
          <w:rFonts w:hint="eastAsia" w:eastAsia="仿宋_GB2312"/>
          <w:sz w:val="32"/>
          <w:szCs w:val="32"/>
        </w:rPr>
        <w:t>中共金川县委组织部</w:t>
      </w:r>
      <w:r>
        <w:rPr>
          <w:rFonts w:eastAsia="仿宋_GB2312"/>
          <w:sz w:val="32"/>
          <w:szCs w:val="32"/>
        </w:rPr>
        <w:t>运行经费支出</w:t>
      </w:r>
      <w:r>
        <w:rPr>
          <w:rFonts w:hint="eastAsia" w:eastAsia="仿宋_GB2312"/>
          <w:sz w:val="32"/>
          <w:szCs w:val="32"/>
        </w:rPr>
        <w:t>63.69</w:t>
      </w:r>
      <w:r>
        <w:rPr>
          <w:rFonts w:eastAsia="仿宋_GB2312"/>
          <w:sz w:val="32"/>
          <w:szCs w:val="32"/>
        </w:rPr>
        <w:t>万元，比201</w:t>
      </w:r>
      <w:r>
        <w:rPr>
          <w:rFonts w:hint="eastAsia" w:eastAsia="仿宋_GB2312"/>
          <w:sz w:val="32"/>
          <w:szCs w:val="32"/>
        </w:rPr>
        <w:t>9</w:t>
      </w:r>
      <w:r>
        <w:rPr>
          <w:rFonts w:eastAsia="仿宋_GB2312"/>
          <w:sz w:val="32"/>
          <w:szCs w:val="32"/>
        </w:rPr>
        <w:t>年</w:t>
      </w:r>
      <w:r>
        <w:rPr>
          <w:rFonts w:hint="eastAsia" w:eastAsia="仿宋_GB2312"/>
          <w:sz w:val="32"/>
          <w:szCs w:val="32"/>
        </w:rPr>
        <w:t>减少77.55</w:t>
      </w:r>
      <w:r>
        <w:rPr>
          <w:rFonts w:eastAsia="仿宋_GB2312"/>
          <w:sz w:val="32"/>
          <w:szCs w:val="32"/>
        </w:rPr>
        <w:t>万元，</w:t>
      </w:r>
      <w:r>
        <w:rPr>
          <w:rFonts w:hint="eastAsia" w:eastAsia="仿宋_GB2312"/>
          <w:sz w:val="32"/>
          <w:szCs w:val="32"/>
        </w:rPr>
        <w:t>下降54.91</w:t>
      </w:r>
      <w:r>
        <w:rPr>
          <w:rFonts w:eastAsia="仿宋_GB2312"/>
          <w:sz w:val="32"/>
          <w:szCs w:val="32"/>
        </w:rPr>
        <w:t>%。主要原因为</w:t>
      </w:r>
      <w:r>
        <w:rPr>
          <w:rFonts w:hint="eastAsia" w:eastAsia="仿宋_GB2312"/>
          <w:sz w:val="32"/>
          <w:szCs w:val="32"/>
        </w:rPr>
        <w:t>减少了部内工作经费和主题办工作经费</w:t>
      </w:r>
      <w:r>
        <w:rPr>
          <w:rFonts w:eastAsia="仿宋_GB2312"/>
          <w:sz w:val="32"/>
          <w:szCs w:val="32"/>
        </w:rPr>
        <w:t>。</w:t>
      </w:r>
    </w:p>
    <w:p>
      <w:pPr>
        <w:autoSpaceDE w:val="0"/>
        <w:autoSpaceDN w:val="0"/>
        <w:adjustRightInd w:val="0"/>
        <w:spacing w:line="600" w:lineRule="exact"/>
        <w:ind w:firstLine="643" w:firstLineChars="200"/>
        <w:jc w:val="left"/>
        <w:outlineLvl w:val="2"/>
        <w:rPr>
          <w:rFonts w:eastAsia="仿宋"/>
          <w:b/>
          <w:sz w:val="32"/>
          <w:szCs w:val="32"/>
        </w:rPr>
      </w:pPr>
      <w:bookmarkStart w:id="55" w:name="_Toc15377223"/>
      <w:r>
        <w:rPr>
          <w:rFonts w:eastAsia="仿宋"/>
          <w:b/>
          <w:sz w:val="32"/>
          <w:szCs w:val="32"/>
        </w:rPr>
        <w:t>（二）政府采购支出情况</w:t>
      </w:r>
      <w:bookmarkEnd w:id="55"/>
    </w:p>
    <w:p>
      <w:pPr>
        <w:spacing w:line="600" w:lineRule="exact"/>
        <w:ind w:firstLine="640" w:firstLineChars="200"/>
        <w:rPr>
          <w:rFonts w:eastAsia="仿宋"/>
          <w:b/>
          <w:sz w:val="32"/>
          <w:szCs w:val="32"/>
        </w:rPr>
      </w:pPr>
      <w:r>
        <w:rPr>
          <w:rFonts w:hint="eastAsia" w:eastAsia="仿宋"/>
          <w:bCs/>
          <w:sz w:val="32"/>
          <w:szCs w:val="32"/>
        </w:rPr>
        <w:t xml:space="preserve"> 2020</w:t>
      </w:r>
      <w:r>
        <w:rPr>
          <w:rFonts w:eastAsia="仿宋_GB2312"/>
          <w:sz w:val="32"/>
          <w:szCs w:val="32"/>
        </w:rPr>
        <w:t>年，政府采购支出总额</w:t>
      </w:r>
      <w:r>
        <w:rPr>
          <w:rFonts w:hint="eastAsia" w:eastAsia="仿宋_GB2312"/>
          <w:sz w:val="32"/>
          <w:szCs w:val="32"/>
        </w:rPr>
        <w:t>0</w:t>
      </w:r>
      <w:r>
        <w:rPr>
          <w:rFonts w:eastAsia="仿宋_GB2312"/>
          <w:sz w:val="32"/>
          <w:szCs w:val="32"/>
        </w:rPr>
        <w:t>万元，其中：政府采购货物支出</w:t>
      </w:r>
      <w:r>
        <w:rPr>
          <w:rFonts w:hint="eastAsia" w:eastAsia="仿宋_GB2312"/>
          <w:sz w:val="32"/>
          <w:szCs w:val="32"/>
        </w:rPr>
        <w:t>0</w:t>
      </w:r>
      <w:r>
        <w:rPr>
          <w:rFonts w:eastAsia="仿宋_GB2312"/>
          <w:sz w:val="32"/>
          <w:szCs w:val="32"/>
        </w:rPr>
        <w:t>万元、政府采购服务支出</w:t>
      </w:r>
      <w:r>
        <w:rPr>
          <w:rFonts w:hint="eastAsia" w:eastAsia="仿宋_GB2312"/>
          <w:sz w:val="32"/>
          <w:szCs w:val="32"/>
        </w:rPr>
        <w:t>0</w:t>
      </w:r>
      <w:r>
        <w:rPr>
          <w:rFonts w:eastAsia="仿宋_GB2312"/>
          <w:sz w:val="32"/>
          <w:szCs w:val="32"/>
        </w:rPr>
        <w:t>万元。</w:t>
      </w:r>
    </w:p>
    <w:p>
      <w:pPr>
        <w:autoSpaceDE w:val="0"/>
        <w:autoSpaceDN w:val="0"/>
        <w:adjustRightInd w:val="0"/>
        <w:spacing w:line="600" w:lineRule="exact"/>
        <w:ind w:firstLine="643" w:firstLineChars="200"/>
        <w:jc w:val="left"/>
        <w:outlineLvl w:val="2"/>
        <w:rPr>
          <w:rFonts w:eastAsia="仿宋"/>
          <w:b/>
          <w:sz w:val="32"/>
          <w:szCs w:val="32"/>
        </w:rPr>
      </w:pPr>
      <w:bookmarkStart w:id="56" w:name="_Toc15377224"/>
      <w:r>
        <w:rPr>
          <w:rFonts w:eastAsia="仿宋"/>
          <w:b/>
          <w:sz w:val="32"/>
          <w:szCs w:val="32"/>
        </w:rPr>
        <w:t>（三）国有资产占有使用情况</w:t>
      </w:r>
      <w:bookmarkEnd w:id="56"/>
    </w:p>
    <w:p>
      <w:pPr>
        <w:widowControl/>
        <w:ind w:firstLine="640" w:firstLineChars="200"/>
        <w:jc w:val="left"/>
        <w:rPr>
          <w:rFonts w:eastAsia="仿宋_GB2312"/>
          <w:b/>
          <w:sz w:val="32"/>
          <w:szCs w:val="32"/>
        </w:rPr>
      </w:pPr>
      <w:r>
        <w:rPr>
          <w:rFonts w:eastAsia="仿宋_GB2312"/>
          <w:sz w:val="32"/>
          <w:szCs w:val="32"/>
        </w:rPr>
        <w:t>截至</w:t>
      </w:r>
      <w:r>
        <w:rPr>
          <w:rFonts w:hint="eastAsia" w:eastAsia="仿宋"/>
          <w:bCs/>
          <w:sz w:val="32"/>
          <w:szCs w:val="32"/>
        </w:rPr>
        <w:t xml:space="preserve"> 2020</w:t>
      </w:r>
      <w:r>
        <w:rPr>
          <w:rFonts w:eastAsia="仿宋_GB2312"/>
          <w:sz w:val="32"/>
          <w:szCs w:val="32"/>
        </w:rPr>
        <w:t>年12月31日，共有车辆</w:t>
      </w:r>
      <w:r>
        <w:rPr>
          <w:rFonts w:hint="eastAsia" w:eastAsia="仿宋_GB2312"/>
          <w:sz w:val="32"/>
          <w:szCs w:val="32"/>
        </w:rPr>
        <w:t>2</w:t>
      </w:r>
      <w:r>
        <w:rPr>
          <w:rFonts w:eastAsia="仿宋_GB2312"/>
          <w:sz w:val="32"/>
          <w:szCs w:val="32"/>
        </w:rPr>
        <w:t>辆，为日常工作及应急保障用车。</w:t>
      </w:r>
      <w:r>
        <w:rPr>
          <w:rFonts w:eastAsia="仿宋_GB2312"/>
          <w:b/>
          <w:sz w:val="32"/>
          <w:szCs w:val="32"/>
        </w:rPr>
        <w:t xml:space="preserve">    </w:t>
      </w:r>
    </w:p>
    <w:p>
      <w:pPr>
        <w:numPr>
          <w:ilvl w:val="0"/>
          <w:numId w:val="6"/>
        </w:numPr>
        <w:spacing w:line="600" w:lineRule="exact"/>
        <w:ind w:firstLine="663" w:firstLineChars="150"/>
        <w:jc w:val="center"/>
        <w:outlineLvl w:val="0"/>
        <w:rPr>
          <w:rStyle w:val="17"/>
          <w:rFonts w:eastAsia="黑体"/>
          <w:b w:val="0"/>
        </w:rPr>
      </w:pPr>
      <w:bookmarkStart w:id="57" w:name="_Toc15396613"/>
      <w:bookmarkStart w:id="58" w:name="_Toc15377225"/>
      <w:r>
        <w:rPr>
          <w:rFonts w:eastAsia="黑体"/>
          <w:b/>
          <w:sz w:val="44"/>
          <w:szCs w:val="44"/>
        </w:rPr>
        <w:t>名</w:t>
      </w:r>
      <w:r>
        <w:rPr>
          <w:rStyle w:val="17"/>
          <w:rFonts w:eastAsia="黑体"/>
          <w:b w:val="0"/>
        </w:rPr>
        <w:t>词解释</w:t>
      </w:r>
      <w:bookmarkEnd w:id="57"/>
      <w:bookmarkEnd w:id="58"/>
    </w:p>
    <w:p>
      <w:pPr>
        <w:spacing w:line="600" w:lineRule="atLeast"/>
        <w:ind w:firstLine="640" w:firstLineChars="200"/>
        <w:rPr>
          <w:rFonts w:ascii="仿宋_GB2312" w:eastAsia="仿宋_GB2312"/>
          <w:sz w:val="32"/>
          <w:szCs w:val="32"/>
        </w:rPr>
      </w:pPr>
      <w:bookmarkStart w:id="59" w:name="_Toc15396614"/>
      <w:bookmarkStart w:id="60" w:name="_Toc15377226"/>
      <w:r>
        <w:rPr>
          <w:rFonts w:hint="eastAsia" w:ascii="仿宋_GB2312" w:eastAsia="仿宋_GB2312"/>
          <w:sz w:val="32"/>
          <w:szCs w:val="32"/>
        </w:rPr>
        <w:t xml:space="preserve">1.财政拨款收入：指县级财政当年拨付的资金。 </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2.一般公共服务201组织事务32行政运行01：指反映行政单位的基本支出。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3.教育支出205其他教育支出99其他教育支出99：指反映其他教育方面的支出。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4.社会保障和就业208行政事业单位离退休05机关事业单位基本养老保险缴费支出05：指机关事业单位实施养老保险制度由单位缴纳的基本养老保险费支出。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5.社会保障和就业208行政事业单位离退休05机关事业单位职业年金缴费支出06：指机关事业单位实施养老保险制度由单位缴纳的职业年金支出。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6.医疗卫生与计划生育支出210医疗保障05行政单位医疗01：指反映财政部门集中安排的行政单位基本医疗保险缴费经费，未参加医疗保险的行政单位的公费医疗经费，按国家规定享受离休人员、红军老战士待遇人员的医疗经费。</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7.农林水支出213扶贫05其他扶贫支出99：指反映其他扶贫支出。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8.住房保障支出221住房改革支出02住房公积金01：指反映行政事业单位按人力资源和社会保障部、财政部规定的基本工资和津贴补贴以及规定比例为职工缴纳的住房公积金。</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9.其他支出229其他支出99其他支出01：指反映的其他支出。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10.基本支出：指为保障机构正常运转、完成日常工作任务而发生的人员支出和公用支出。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 xml:space="preserve">11.项目支出：指在基本支出之外为完成特定行政任务和事业发展目标所发生的支出。 </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12.“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outlineLvl w:val="0"/>
        <w:rPr>
          <w:rFonts w:eastAsia="黑体"/>
          <w:sz w:val="32"/>
          <w:szCs w:val="32"/>
        </w:rPr>
      </w:pPr>
      <w:r>
        <w:rPr>
          <w:rFonts w:hint="eastAsia" w:ascii="仿宋_GB2312" w:eastAsia="仿宋_GB2312"/>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eastAsia="黑体"/>
          <w:sz w:val="44"/>
          <w:szCs w:val="44"/>
        </w:rPr>
      </w:pPr>
    </w:p>
    <w:p>
      <w:pPr>
        <w:spacing w:line="600" w:lineRule="exact"/>
        <w:jc w:val="center"/>
        <w:outlineLvl w:val="0"/>
        <w:rPr>
          <w:rFonts w:eastAsia="黑体"/>
          <w:sz w:val="44"/>
          <w:szCs w:val="44"/>
        </w:rPr>
      </w:pPr>
    </w:p>
    <w:p>
      <w:pPr>
        <w:pStyle w:val="3"/>
        <w:rPr>
          <w:rStyle w:val="17"/>
          <w:rFonts w:eastAsia="仿宋"/>
          <w:b w:val="0"/>
          <w:bCs w:val="0"/>
          <w:sz w:val="32"/>
          <w:szCs w:val="32"/>
        </w:rPr>
      </w:pPr>
      <w:bookmarkStart w:id="61" w:name="_Toc15396615"/>
      <w:r>
        <w:rPr>
          <w:rStyle w:val="17"/>
          <w:rFonts w:eastAsia="仿宋"/>
          <w:b w:val="0"/>
          <w:bCs w:val="0"/>
          <w:sz w:val="32"/>
          <w:szCs w:val="32"/>
        </w:rPr>
        <w:t>附件1</w:t>
      </w:r>
      <w:bookmarkEnd w:id="61"/>
    </w:p>
    <w:p>
      <w:pPr>
        <w:numPr>
          <w:ilvl w:val="0"/>
          <w:numId w:val="6"/>
        </w:numPr>
        <w:spacing w:line="600" w:lineRule="exact"/>
        <w:ind w:firstLine="660" w:firstLineChars="150"/>
        <w:jc w:val="center"/>
        <w:outlineLvl w:val="0"/>
        <w:rPr>
          <w:rStyle w:val="17"/>
          <w:rFonts w:eastAsia="黑体"/>
          <w:b w:val="0"/>
        </w:rPr>
      </w:pPr>
      <w:r>
        <w:rPr>
          <w:rStyle w:val="17"/>
          <w:rFonts w:eastAsia="黑体"/>
          <w:b w:val="0"/>
        </w:rPr>
        <w:t>附件</w:t>
      </w:r>
      <w:bookmarkEnd w:id="59"/>
    </w:p>
    <w:p>
      <w:pPr>
        <w:outlineLvl w:val="0"/>
        <w:rPr>
          <w:rStyle w:val="17"/>
          <w:rFonts w:eastAsia="黑体"/>
          <w:b w:val="0"/>
        </w:rPr>
      </w:pPr>
    </w:p>
    <w:bookmarkEnd w:id="60"/>
    <w:p>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中共金川县委组织部</w:t>
      </w:r>
    </w:p>
    <w:p>
      <w:pPr>
        <w:widowControl/>
        <w:spacing w:line="480" w:lineRule="exact"/>
        <w:jc w:val="center"/>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21年部门整体支出绩效报告</w:t>
      </w:r>
    </w:p>
    <w:p>
      <w:pPr>
        <w:widowControl/>
        <w:adjustRightInd w:val="0"/>
        <w:snapToGrid w:val="0"/>
        <w:spacing w:line="480" w:lineRule="exact"/>
        <w:ind w:firstLine="720"/>
        <w:jc w:val="left"/>
        <w:rPr>
          <w:rFonts w:ascii="仿宋_GB2312" w:hAnsi="仿宋_GB2312" w:cs="仿宋_GB2312"/>
        </w:rPr>
      </w:pPr>
    </w:p>
    <w:p>
      <w:pPr>
        <w:spacing w:line="600" w:lineRule="exact"/>
        <w:ind w:firstLine="640" w:firstLineChars="200"/>
        <w:outlineLvl w:val="0"/>
        <w:rPr>
          <w:rFonts w:ascii="仿宋_GB2312" w:eastAsia="仿宋_GB2312"/>
          <w:sz w:val="32"/>
          <w:szCs w:val="32"/>
          <w:lang w:val="zh-CN"/>
        </w:rPr>
      </w:pPr>
      <w:r>
        <w:rPr>
          <w:rFonts w:hint="eastAsia" w:ascii="仿宋_GB2312" w:eastAsia="仿宋_GB2312"/>
          <w:sz w:val="32"/>
          <w:szCs w:val="32"/>
        </w:rPr>
        <w:t>根据《金川县财政局关于开展2021年部门、政策和项目支出绩效评价工作的通知》（金财监绩【2021】26号）文件要求，结合我单位的实际，</w:t>
      </w:r>
      <w:r>
        <w:rPr>
          <w:rFonts w:hint="eastAsia" w:ascii="仿宋_GB2312" w:eastAsia="仿宋_GB2312"/>
          <w:sz w:val="32"/>
          <w:szCs w:val="32"/>
          <w:lang w:val="zh-CN"/>
        </w:rPr>
        <w:t>本着独立、客观、公正、科学的原则，按照公认的绩效评价方法，我部积极组织，对2020年全年、2021年上半年本单位整体支出进行了绩效自评，现将具体绩效评价情况报告如下：</w:t>
      </w:r>
    </w:p>
    <w:p>
      <w:pPr>
        <w:numPr>
          <w:ilvl w:val="0"/>
          <w:numId w:val="7"/>
        </w:numPr>
        <w:spacing w:line="600" w:lineRule="exact"/>
        <w:outlineLvl w:val="0"/>
        <w:rPr>
          <w:rFonts w:ascii="仿宋_GB2312" w:eastAsia="仿宋_GB2312"/>
          <w:sz w:val="32"/>
          <w:szCs w:val="32"/>
        </w:rPr>
      </w:pPr>
      <w:r>
        <w:rPr>
          <w:rFonts w:hint="eastAsia" w:ascii="仿宋_GB2312" w:eastAsia="仿宋_GB2312"/>
          <w:sz w:val="32"/>
          <w:szCs w:val="32"/>
        </w:rPr>
        <w:t>部门概况</w:t>
      </w:r>
    </w:p>
    <w:p>
      <w:pPr>
        <w:spacing w:line="600" w:lineRule="exact"/>
        <w:outlineLvl w:val="0"/>
        <w:rPr>
          <w:rFonts w:ascii="仿宋_GB2312" w:eastAsia="仿宋_GB2312"/>
          <w:sz w:val="32"/>
          <w:szCs w:val="32"/>
        </w:rPr>
      </w:pPr>
      <w:r>
        <w:rPr>
          <w:rFonts w:hint="eastAsia" w:ascii="仿宋_GB2312" w:eastAsia="仿宋_GB2312"/>
          <w:sz w:val="32"/>
          <w:szCs w:val="32"/>
        </w:rPr>
        <w:t>（一）机构组成</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2020年末共有机构数1个，其中全额预算单位1个，单位内设机构6个，分别为办公室、组织一室、组织二室、干部一室、干部二室、干部三室。</w:t>
      </w:r>
    </w:p>
    <w:p>
      <w:pPr>
        <w:spacing w:line="600" w:lineRule="exact"/>
        <w:outlineLvl w:val="0"/>
        <w:rPr>
          <w:rFonts w:ascii="仿宋_GB2312" w:eastAsia="仿宋_GB2312"/>
          <w:sz w:val="32"/>
          <w:szCs w:val="32"/>
        </w:rPr>
      </w:pPr>
      <w:r>
        <w:rPr>
          <w:rFonts w:hint="eastAsia" w:ascii="仿宋_GB2312" w:eastAsia="仿宋_GB2312"/>
          <w:sz w:val="32"/>
          <w:szCs w:val="32"/>
        </w:rPr>
        <w:t>（二）机构职能</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根据2019年中共金川县委办公室《关于印发</w:t>
      </w:r>
      <w:r>
        <w:rPr>
          <w:rFonts w:hint="eastAsia" w:ascii="仿宋_GB2312" w:eastAsia="仿宋_GB2312"/>
          <w:sz w:val="32"/>
          <w:szCs w:val="32"/>
          <w:lang w:eastAsia="zh-CN"/>
        </w:rPr>
        <w:t>〈</w:t>
      </w:r>
      <w:r>
        <w:rPr>
          <w:rFonts w:hint="eastAsia" w:ascii="仿宋_GB2312" w:eastAsia="仿宋_GB2312"/>
          <w:sz w:val="32"/>
          <w:szCs w:val="32"/>
        </w:rPr>
        <w:t>中共金川县委组织部职能配置、内设机构和人员编制规定</w:t>
      </w:r>
      <w:r>
        <w:rPr>
          <w:rFonts w:hint="eastAsia" w:ascii="仿宋_GB2312" w:eastAsia="仿宋_GB2312"/>
          <w:sz w:val="32"/>
          <w:szCs w:val="32"/>
          <w:lang w:eastAsia="zh-CN"/>
        </w:rPr>
        <w:t>〉</w:t>
      </w:r>
      <w:r>
        <w:rPr>
          <w:rFonts w:hint="eastAsia" w:ascii="仿宋_GB2312" w:eastAsia="仿宋_GB2312"/>
          <w:sz w:val="32"/>
          <w:szCs w:val="32"/>
        </w:rPr>
        <w:t>的通知》（金委办发[2019]58）文件规定，我部主要职责是：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协调、督促、检查全县老干部工作，提出老干部工作的有关政策性及贯彻实施意见；统一管理县委机构编制委员会办公室；承担县委党建领导小组、县人才工作领导小组日常工作；承办县委、州委组织部交办的其他事项。</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2.机构情况</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2020年末共有机构数1个，其中全额预算单位1个，单位内设机构6个，分别为办公室、组织一室、组织二室、干部一室、干部二室、干部三室。</w:t>
      </w:r>
    </w:p>
    <w:p>
      <w:pPr>
        <w:spacing w:line="600" w:lineRule="exact"/>
        <w:outlineLvl w:val="0"/>
        <w:rPr>
          <w:rFonts w:ascii="仿宋_GB2312" w:eastAsia="仿宋_GB2312"/>
          <w:sz w:val="32"/>
          <w:szCs w:val="32"/>
        </w:rPr>
      </w:pPr>
      <w:r>
        <w:rPr>
          <w:rFonts w:hint="eastAsia" w:ascii="仿宋_GB2312" w:eastAsia="仿宋_GB2312"/>
          <w:sz w:val="32"/>
          <w:szCs w:val="32"/>
        </w:rPr>
        <w:t>（三）人员概况</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总编制29名</w:t>
      </w:r>
      <w:r>
        <w:rPr>
          <w:rFonts w:hint="eastAsia" w:ascii="仿宋_GB2312" w:eastAsia="仿宋_GB2312"/>
          <w:sz w:val="32"/>
          <w:szCs w:val="32"/>
          <w:lang w:eastAsia="zh-CN"/>
        </w:rPr>
        <w:t>，</w:t>
      </w:r>
      <w:r>
        <w:rPr>
          <w:rFonts w:hint="eastAsia" w:ascii="仿宋_GB2312" w:eastAsia="仿宋_GB2312"/>
          <w:sz w:val="32"/>
          <w:szCs w:val="32"/>
        </w:rPr>
        <w:t>其中：行政编制17名（包括行政工勤2名）、参照公务员法管理的事业编制6名、财政补助事业编制6名。总编制比上年增加了7名，指行政编制增加了2名、参照公务员法管理的事业编制增加了2名、财政补助事业编制增加了3名。年末实有在职人数22名，行政人员14名（包括行政工勤2名）、参照公务员法管理的事业人员8名。年末实有在职人数比上年增加了2人，指行政人员增加了1人和财政补助事业人员增加了1人。</w:t>
      </w:r>
    </w:p>
    <w:p>
      <w:pPr>
        <w:spacing w:line="600" w:lineRule="exact"/>
        <w:outlineLvl w:val="0"/>
        <w:rPr>
          <w:rFonts w:ascii="仿宋_GB2312" w:eastAsia="仿宋_GB2312"/>
          <w:sz w:val="32"/>
          <w:szCs w:val="32"/>
        </w:rPr>
      </w:pPr>
      <w:r>
        <w:rPr>
          <w:rFonts w:hint="eastAsia" w:ascii="仿宋_GB2312" w:eastAsia="仿宋_GB2312"/>
          <w:sz w:val="32"/>
          <w:szCs w:val="32"/>
        </w:rPr>
        <w:t>二、部门财政资金收支情况</w:t>
      </w:r>
    </w:p>
    <w:p>
      <w:p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（一）部门财政资金收入情况。</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 xml:space="preserve">1、2020年1—12月我部收入合计1409.63万元，财政拨款收入1409.63万元。其中：人员经费收入619.03万元、公用经费收入790.6元。      </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2、2021年1—6月收入604.49万元，财政拨款收入604.49万元。其中：人员经费收入451.61万元、公用经费收入152.88万元</w:t>
      </w:r>
    </w:p>
    <w:p>
      <w:pPr>
        <w:spacing w:line="600" w:lineRule="exact"/>
        <w:outlineLvl w:val="0"/>
        <w:rPr>
          <w:rFonts w:ascii="仿宋_GB2312" w:eastAsia="仿宋_GB2312"/>
          <w:sz w:val="32"/>
          <w:szCs w:val="32"/>
          <w:lang w:val="zh-CN"/>
        </w:rPr>
      </w:pPr>
      <w:r>
        <w:rPr>
          <w:rFonts w:hint="eastAsia" w:ascii="仿宋_GB2312" w:eastAsia="仿宋_GB2312"/>
          <w:sz w:val="32"/>
          <w:szCs w:val="32"/>
          <w:lang w:val="zh-CN"/>
        </w:rPr>
        <w:t>（二）部门财政资金支出情况。</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1、2020年1-12月支出</w:t>
      </w:r>
    </w:p>
    <w:p>
      <w:pPr>
        <w:spacing w:line="600" w:lineRule="exact"/>
        <w:outlineLvl w:val="0"/>
        <w:rPr>
          <w:rFonts w:ascii="仿宋_GB2312" w:eastAsia="仿宋_GB2312"/>
          <w:sz w:val="32"/>
          <w:szCs w:val="32"/>
        </w:rPr>
      </w:pPr>
      <w:r>
        <w:rPr>
          <w:rFonts w:hint="eastAsia" w:ascii="仿宋_GB2312" w:eastAsia="仿宋_GB2312"/>
          <w:sz w:val="32"/>
          <w:szCs w:val="32"/>
        </w:rPr>
        <w:t>中共金川县委组织部2020年支出1353.34万元，一般公共预算财政拨款基本支出446.53万元、项目支出906.81万元。其中：</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人员经费612.08万元，主要包括：基本工资78.22万元、津贴补贴102.24万元、奖金6.09万元、机关事业单位基本养老保险缴费28.59万元、职业年金缴费14.29万元、职工基本医疗保险缴费12.61万元、公务员医疗补助缴费4.81万元、其他社会保障缴费2.69万元、住房公积金28.86万元、奖励金82.56万元和生活补助183.06万元、个人农业生产补贴68.06等。</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公用经费336.6万元，主要包括：办公费136.36万元、培训费116.46万元、水费0.4万元、电费0.45万元、邮电费4.2万元、取暖费1.05万元、差旅费58.04万元、维修（护）费11万元、公务接待费0.34万元、福利费2万元和公务用车运行维护费6.3万元等。</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资本性支出404.66万元，主要包括：基础设施建设费404.66万元等。</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2、2021年1-6月支出</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中共金川县委组织部2021年上半年支出532.36万元，一般公共预算财政拨款基本支出404.61万元、项目支出127.75万元。其中：</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人员经费441.52万元，主要包括：基本工资42.61万元、津贴补贴76.67万元、机关事业单位基本养老保险缴费16.12万元、职业年金缴费8.06万元、职工基本医疗保险缴费7.02万元、公务员医疗2.82万元、其他社会保障缴费0.4万元、住房公积金15.65万元、生活补助115.85万元和奖励金156.32万元等。</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公用经费87.54万元，主要包括：办公费3. 92万元、邮电费2.05万元、差旅费14.05万元、维修（护）费16万元、培训费45.25万元、福利费0.05万元、公务用车运行维护费6.06万元和</w:t>
      </w:r>
      <w:r>
        <w:rPr>
          <w:rFonts w:hint="eastAsia" w:ascii="仿宋_GB2312" w:eastAsia="仿宋_GB2312"/>
          <w:sz w:val="32"/>
          <w:szCs w:val="32"/>
          <w:lang w:eastAsia="zh-CN"/>
        </w:rPr>
        <w:t>税费</w:t>
      </w:r>
      <w:r>
        <w:rPr>
          <w:rFonts w:hint="eastAsia" w:ascii="仿宋_GB2312" w:eastAsia="仿宋_GB2312"/>
          <w:sz w:val="32"/>
          <w:szCs w:val="32"/>
        </w:rPr>
        <w:t>0.16万元等。</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资本性支出3.3万元，主要包括：生产发展3万元和对村集体经济组织的补助0.3万元</w:t>
      </w:r>
    </w:p>
    <w:p>
      <w:pPr>
        <w:spacing w:line="600" w:lineRule="exact"/>
        <w:outlineLvl w:val="0"/>
        <w:rPr>
          <w:rFonts w:ascii="仿宋_GB2312" w:eastAsia="仿宋_GB2312"/>
          <w:sz w:val="32"/>
          <w:szCs w:val="32"/>
        </w:rPr>
      </w:pPr>
      <w:r>
        <w:rPr>
          <w:rFonts w:hint="eastAsia" w:ascii="仿宋_GB2312" w:eastAsia="仿宋_GB2312"/>
          <w:sz w:val="32"/>
          <w:szCs w:val="32"/>
        </w:rPr>
        <w:t>三、部门整体预算绩效管理情况</w:t>
      </w:r>
    </w:p>
    <w:p>
      <w:p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（一）部门预算管理。</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按照综合预算的编制原则，保证预算编制质量，中共金川县委组织部所有收入和支出均纳入财政预算管理，公用经费按人员数进行编制，</w:t>
      </w:r>
      <w:r>
        <w:rPr>
          <w:rFonts w:hint="eastAsia" w:ascii="仿宋_GB2312" w:eastAsia="仿宋_GB2312"/>
          <w:sz w:val="32"/>
          <w:szCs w:val="32"/>
          <w:lang w:eastAsia="zh-CN"/>
        </w:rPr>
        <w:t>其他</w:t>
      </w:r>
      <w:r>
        <w:rPr>
          <w:rFonts w:hint="eastAsia" w:ascii="仿宋_GB2312" w:eastAsia="仿宋_GB2312"/>
          <w:sz w:val="32"/>
          <w:szCs w:val="32"/>
        </w:rPr>
        <w:t>经费严格按照有关预算法执行。</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1.2020年预算按当年10月实有人数21人，2020年公用经费24.48万元（编制方法：12000元/人/年×行政18人＝216000元，再加上9600元/人/年×事业3人＝28800元），由县财政预算下达中共金川县委组织部使用执行。</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2.2021年预算按当年10月实有人数29人，2021年公用经费33.36万元（编制方法：12000元/人/年×行政23人＝276000元，再加上9600元/人/年×事业6人＝57600元），由县财政预算下达中共金川县委组织部使用执行。</w:t>
      </w:r>
    </w:p>
    <w:p>
      <w:pPr>
        <w:spacing w:line="600" w:lineRule="exact"/>
        <w:outlineLvl w:val="0"/>
        <w:rPr>
          <w:rFonts w:ascii="仿宋_GB2312" w:eastAsia="仿宋_GB2312"/>
          <w:sz w:val="32"/>
          <w:szCs w:val="32"/>
          <w:lang w:val="zh-CN"/>
        </w:rPr>
      </w:pPr>
      <w:r>
        <w:rPr>
          <w:rFonts w:hint="eastAsia" w:ascii="仿宋_GB2312" w:eastAsia="仿宋_GB2312"/>
          <w:sz w:val="32"/>
          <w:szCs w:val="32"/>
          <w:lang w:val="zh-CN"/>
        </w:rPr>
        <w:t>（二）结果应用情况。</w:t>
      </w:r>
      <w:r>
        <w:rPr>
          <w:rFonts w:hint="eastAsia" w:ascii="仿宋_GB2312" w:eastAsia="仿宋_GB2312"/>
          <w:sz w:val="32"/>
          <w:szCs w:val="32"/>
          <w:lang w:val="zh-CN"/>
        </w:rPr>
        <w:tab/>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1.预算执行情况：所有预算严格按照预算法执行，我部存在预算下达后增加人员、组织工作临时工作多，因此年初预算和当年决算数相比人员经费和公用经费没有达到只减不增要求。预算经费中人员经费是按月</w:t>
      </w:r>
      <w:r>
        <w:rPr>
          <w:rFonts w:hint="eastAsia" w:ascii="仿宋_GB2312" w:eastAsia="仿宋_GB2312"/>
          <w:sz w:val="32"/>
          <w:szCs w:val="32"/>
          <w:lang w:eastAsia="zh-CN"/>
        </w:rPr>
        <w:t>拨付</w:t>
      </w:r>
      <w:r>
        <w:rPr>
          <w:rFonts w:hint="eastAsia" w:ascii="仿宋_GB2312" w:eastAsia="仿宋_GB2312"/>
          <w:sz w:val="32"/>
          <w:szCs w:val="32"/>
        </w:rPr>
        <w:t>，公用经费在预算指标内按需求</w:t>
      </w:r>
      <w:r>
        <w:rPr>
          <w:rFonts w:hint="eastAsia" w:ascii="仿宋_GB2312" w:eastAsia="仿宋_GB2312"/>
          <w:sz w:val="32"/>
          <w:szCs w:val="32"/>
          <w:lang w:eastAsia="zh-CN"/>
        </w:rPr>
        <w:t>拨付</w:t>
      </w:r>
      <w:r>
        <w:rPr>
          <w:rFonts w:hint="eastAsia" w:ascii="仿宋_GB2312" w:eastAsia="仿宋_GB2312"/>
          <w:sz w:val="32"/>
          <w:szCs w:val="32"/>
        </w:rPr>
        <w:t>。</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2.中期评估</w:t>
      </w:r>
      <w:r>
        <w:rPr>
          <w:rFonts w:hint="eastAsia" w:ascii="仿宋_GB2312" w:eastAsia="仿宋_GB2312"/>
          <w:sz w:val="32"/>
          <w:szCs w:val="32"/>
          <w:lang w:eastAsia="zh-CN"/>
        </w:rPr>
        <w:t>：</w:t>
      </w:r>
      <w:r>
        <w:rPr>
          <w:rFonts w:hint="eastAsia" w:ascii="仿宋_GB2312" w:eastAsia="仿宋_GB2312"/>
          <w:sz w:val="32"/>
          <w:szCs w:val="32"/>
        </w:rPr>
        <w:t>根据《预算法》以及部门预算编制重点，结合本单位工作实际，编制本单位三年流动财政规划报表。</w:t>
      </w:r>
    </w:p>
    <w:p>
      <w:pPr>
        <w:spacing w:line="600" w:lineRule="exact"/>
        <w:outlineLvl w:val="0"/>
        <w:rPr>
          <w:rFonts w:ascii="仿宋_GB2312" w:eastAsia="仿宋_GB2312"/>
          <w:sz w:val="32"/>
          <w:szCs w:val="32"/>
        </w:rPr>
      </w:pPr>
      <w:r>
        <w:rPr>
          <w:rFonts w:hint="eastAsia" w:ascii="仿宋_GB2312" w:eastAsia="仿宋_GB2312"/>
          <w:sz w:val="32"/>
          <w:szCs w:val="32"/>
        </w:rPr>
        <w:t>我部编制县级2018年—2020年三年滚动财政规划表。</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3.节能降耗方面：水电油2020年、2021年预算数差别不大。</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4.三公经费预算执行情况</w:t>
      </w:r>
      <w:r>
        <w:rPr>
          <w:rFonts w:hint="eastAsia" w:ascii="仿宋_GB2312" w:eastAsia="仿宋_GB2312"/>
          <w:sz w:val="32"/>
          <w:szCs w:val="32"/>
          <w:lang w:eastAsia="zh-CN"/>
        </w:rPr>
        <w:t>；</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（1）2020年“三公”经费</w:t>
      </w:r>
      <w:r>
        <w:rPr>
          <w:rFonts w:hint="eastAsia" w:ascii="仿宋_GB2312" w:eastAsia="仿宋_GB2312"/>
          <w:sz w:val="32"/>
          <w:szCs w:val="32"/>
          <w:lang w:eastAsia="zh-CN"/>
        </w:rPr>
        <w:t>：</w:t>
      </w:r>
      <w:r>
        <w:rPr>
          <w:rFonts w:hint="eastAsia" w:ascii="仿宋_GB2312" w:eastAsia="仿宋_GB2312"/>
          <w:sz w:val="32"/>
          <w:szCs w:val="32"/>
        </w:rPr>
        <w:t>2020年公务接待费0.34万元，公务用车运行维护费6.3万元。</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（2）2021年上半年公务用车运行维护费6.06万元。</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（3）2021年上半年公务接待费0万元。</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5.综合管理情况。</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（1）政府采购方面：无政府采购，零星采购严格按固定资产管理办法进行登记入账。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（2）固定资产管理方面：本单位固定资产按科学合理、优化资产结构、勤俭节约的原则和专门的资产管理系统进行管理，</w:t>
      </w:r>
      <w:r>
        <w:rPr>
          <w:rFonts w:hint="eastAsia" w:ascii="仿宋_GB2312" w:eastAsia="仿宋_GB2312"/>
          <w:sz w:val="32"/>
          <w:szCs w:val="32"/>
          <w:lang w:eastAsia="zh-CN"/>
        </w:rPr>
        <w:t>截至</w:t>
      </w:r>
      <w:bookmarkStart w:id="76" w:name="_GoBack"/>
      <w:bookmarkEnd w:id="76"/>
      <w:r>
        <w:rPr>
          <w:rFonts w:hint="eastAsia" w:ascii="仿宋_GB2312" w:eastAsia="仿宋_GB2312"/>
          <w:sz w:val="32"/>
          <w:szCs w:val="32"/>
        </w:rPr>
        <w:t>2020年12月30日，固定资产账面数219.96万元，固定资产账面数据和固定资产管理系统数据一致。</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（3）内控制度方面</w:t>
      </w:r>
      <w:r>
        <w:rPr>
          <w:rFonts w:hint="eastAsia" w:ascii="仿宋_GB2312" w:eastAsia="仿宋_GB2312"/>
          <w:sz w:val="32"/>
          <w:szCs w:val="32"/>
          <w:lang w:eastAsia="zh-CN"/>
        </w:rPr>
        <w:t>：</w:t>
      </w:r>
      <w:r>
        <w:rPr>
          <w:rFonts w:hint="eastAsia" w:ascii="仿宋_GB2312" w:eastAsia="仿宋_GB2312"/>
          <w:sz w:val="32"/>
          <w:szCs w:val="32"/>
        </w:rPr>
        <w:t>为进一步做好行政事业单位内部控制基础性工作，贯彻执行县财政局《关于开展行政事业单位内部控制报告编报工作的通知》金财〔2017〕35号文件要求，结合我部实际，特制订以下制度草案。</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 xml:space="preserve">①中共金川县委组织部预算业务管理制度 </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②中共金川县委组织部财务收支管理制度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③中共金川县委组织部政府采购管理制度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④中共金川县委组织部办公室资产管理制度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⑤中共金川县委组织部办公室财务管理制度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⑥中共金川县委组织部办公室差旅费报销制度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⑦中共金川县委组织部办公室考勤制度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⑧中共金川县委组织部办公室销假制度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⑨中共金川县委组织部公务用车日常管理使用制度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⑩中共金川县委组织部办公室保密工作制度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⑪中共金川县委组织部办公室首问制度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⑫中共金川县委组织部办公室学习制度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⑬中共金川县委组织部办公室印章管理使用制度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⑭中共金川县委组织部环境卫生制度</w:t>
      </w:r>
    </w:p>
    <w:p>
      <w:pPr>
        <w:spacing w:line="600" w:lineRule="exact"/>
        <w:ind w:firstLine="960" w:firstLineChars="300"/>
        <w:outlineLvl w:val="0"/>
        <w:rPr>
          <w:rFonts w:ascii="仿宋_GB2312" w:eastAsia="仿宋_GB2312"/>
          <w:sz w:val="32"/>
          <w:szCs w:val="32"/>
        </w:rPr>
      </w:pPr>
      <w:r>
        <w:rPr>
          <w:rFonts w:hint="eastAsia" w:ascii="仿宋_GB2312" w:eastAsia="仿宋_GB2312"/>
          <w:sz w:val="32"/>
          <w:szCs w:val="32"/>
        </w:rPr>
        <w:t>⑮中共金川县委组织部计算机管理制度</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（4）信息公开方面：预算决算公开按财政局的要求在收到财政批复后20个工作日在金川县政府中心的信息网站进行公开。</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（5）绩效评价及财政监督情况</w:t>
      </w:r>
      <w:r>
        <w:rPr>
          <w:rFonts w:hint="eastAsia" w:ascii="仿宋_GB2312" w:eastAsia="仿宋_GB2312"/>
          <w:sz w:val="32"/>
          <w:szCs w:val="32"/>
          <w:lang w:eastAsia="zh-CN"/>
        </w:rPr>
        <w:t>：</w:t>
      </w:r>
      <w:r>
        <w:rPr>
          <w:rFonts w:hint="eastAsia" w:ascii="仿宋_GB2312" w:eastAsia="仿宋_GB2312"/>
          <w:sz w:val="32"/>
          <w:szCs w:val="32"/>
        </w:rPr>
        <w:t>按金财监绩〔2021〕26号文件的附件1-2部门支出绩效评价指标体系进行单位自评，按财政要求收支并接受财政的监督管理。</w:t>
      </w:r>
    </w:p>
    <w:p>
      <w:pPr>
        <w:spacing w:line="600" w:lineRule="exact"/>
        <w:outlineLvl w:val="0"/>
        <w:rPr>
          <w:rFonts w:ascii="仿宋_GB2312" w:eastAsia="仿宋_GB2312"/>
          <w:sz w:val="32"/>
          <w:szCs w:val="32"/>
        </w:rPr>
      </w:pPr>
      <w:r>
        <w:rPr>
          <w:rFonts w:hint="eastAsia" w:ascii="仿宋_GB2312" w:eastAsia="仿宋_GB2312"/>
          <w:sz w:val="32"/>
          <w:szCs w:val="32"/>
        </w:rPr>
        <w:t>（四）整体绩效。</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包括部门职责履行结果、重点项目绩效评价结果和服务对象满意度等。</w:t>
      </w:r>
    </w:p>
    <w:p>
      <w:pPr>
        <w:spacing w:line="600" w:lineRule="exact"/>
        <w:outlineLvl w:val="0"/>
        <w:rPr>
          <w:rFonts w:ascii="仿宋_GB2312" w:eastAsia="仿宋_GB2312"/>
          <w:sz w:val="32"/>
          <w:szCs w:val="32"/>
        </w:rPr>
      </w:pPr>
      <w:r>
        <w:rPr>
          <w:rFonts w:hint="eastAsia" w:ascii="仿宋_GB2312" w:eastAsia="仿宋_GB2312"/>
          <w:sz w:val="32"/>
          <w:szCs w:val="32"/>
        </w:rPr>
        <w:t>评价结论及建议</w:t>
      </w:r>
    </w:p>
    <w:p>
      <w:pPr>
        <w:spacing w:line="600" w:lineRule="exact"/>
        <w:outlineLvl w:val="0"/>
        <w:rPr>
          <w:rFonts w:ascii="仿宋_GB2312" w:eastAsia="仿宋_GB2312"/>
          <w:sz w:val="32"/>
          <w:szCs w:val="32"/>
        </w:rPr>
      </w:pPr>
      <w:r>
        <w:rPr>
          <w:rFonts w:hint="eastAsia" w:ascii="仿宋_GB2312" w:eastAsia="仿宋_GB2312"/>
          <w:sz w:val="32"/>
          <w:szCs w:val="32"/>
        </w:rPr>
        <w:t>（一）评价结论</w:t>
      </w:r>
    </w:p>
    <w:p>
      <w:pPr>
        <w:spacing w:line="600" w:lineRule="exact"/>
        <w:outlineLvl w:val="0"/>
        <w:rPr>
          <w:rFonts w:ascii="仿宋_GB2312" w:eastAsia="仿宋_GB2312"/>
          <w:sz w:val="32"/>
          <w:szCs w:val="32"/>
        </w:rPr>
      </w:pPr>
      <w:r>
        <w:rPr>
          <w:rFonts w:hint="eastAsia" w:ascii="仿宋_GB2312" w:eastAsia="仿宋_GB2312"/>
          <w:sz w:val="32"/>
          <w:szCs w:val="32"/>
        </w:rPr>
        <w:t xml:space="preserve">   根据金财监绩〔2021〕26号文件的附件1-2部门支出绩效评价指标体系进行单位自评。</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1.预算执行总分20分，自评得分16分，中共金川县委组织部有2项共4分不在本单位评价内容中，扣分4分。</w:t>
      </w:r>
    </w:p>
    <w:p>
      <w:pPr>
        <w:spacing w:line="600" w:lineRule="exact"/>
        <w:outlineLvl w:val="0"/>
        <w:rPr>
          <w:rFonts w:ascii="仿宋_GB2312" w:eastAsia="仿宋_GB2312"/>
          <w:sz w:val="32"/>
          <w:szCs w:val="32"/>
        </w:rPr>
      </w:pPr>
      <w:r>
        <w:rPr>
          <w:rFonts w:hint="eastAsia" w:ascii="仿宋_GB2312" w:eastAsia="仿宋_GB2312"/>
          <w:sz w:val="32"/>
          <w:szCs w:val="32"/>
        </w:rPr>
        <w:t>（二）存在问题</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综合我部实际，收发文件、传递文件还不够及时；资产管理、公务用车和节能工作力度还应加强；财务管理制度有待加强。</w:t>
      </w:r>
    </w:p>
    <w:p>
      <w:pPr>
        <w:spacing w:line="600" w:lineRule="exact"/>
        <w:outlineLvl w:val="0"/>
        <w:rPr>
          <w:rFonts w:ascii="仿宋_GB2312" w:eastAsia="仿宋_GB2312"/>
          <w:sz w:val="32"/>
          <w:szCs w:val="32"/>
        </w:rPr>
      </w:pPr>
      <w:r>
        <w:rPr>
          <w:rFonts w:hint="eastAsia" w:ascii="仿宋_GB2312" w:eastAsia="仿宋_GB2312"/>
          <w:sz w:val="32"/>
          <w:szCs w:val="32"/>
        </w:rPr>
        <w:t>（三）改进建议</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1、严格按照《会计法》、《行政单位会计制度》、《行政单位财务规则》等规定执行财务核算，并结合实际情况，完整、准确地披露相关信息，尽可能地做到决算与预算相衔接。</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 xml:space="preserve">2、进一步加强内部控制，加强内部管理；注重资金管理的事前、事中、事后的全过程监督，加强资金使用效率。 </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3、加强会计核算和财务管理能力，请财政局多指导我们部门的工作，不规范的收支请及给我们指出，及时与财政局相关科室对接工作，提升工作效率。</w:t>
      </w:r>
    </w:p>
    <w:p>
      <w:pPr>
        <w:spacing w:line="600" w:lineRule="exact"/>
        <w:outlineLvl w:val="0"/>
        <w:rPr>
          <w:rFonts w:ascii="仿宋_GB2312" w:eastAsia="仿宋_GB2312"/>
          <w:sz w:val="32"/>
          <w:szCs w:val="32"/>
        </w:rPr>
      </w:pPr>
    </w:p>
    <w:p>
      <w:pPr>
        <w:spacing w:line="600" w:lineRule="exact"/>
        <w:ind w:firstLine="4800" w:firstLineChars="1500"/>
        <w:outlineLvl w:val="0"/>
        <w:rPr>
          <w:rFonts w:ascii="仿宋_GB2312" w:eastAsia="仿宋_GB2312"/>
          <w:sz w:val="32"/>
          <w:szCs w:val="32"/>
        </w:rPr>
      </w:pPr>
      <w:r>
        <w:rPr>
          <w:rFonts w:hint="eastAsia" w:ascii="仿宋_GB2312" w:eastAsia="仿宋_GB2312"/>
          <w:sz w:val="32"/>
          <w:szCs w:val="32"/>
        </w:rPr>
        <w:t>中共金川县委组织部</w:t>
      </w:r>
    </w:p>
    <w:p>
      <w:pPr>
        <w:spacing w:line="600" w:lineRule="exact"/>
        <w:ind w:firstLine="5120" w:firstLineChars="1600"/>
        <w:outlineLvl w:val="0"/>
        <w:rPr>
          <w:rFonts w:ascii="仿宋_GB2312" w:eastAsia="仿宋_GB2312"/>
          <w:sz w:val="32"/>
          <w:szCs w:val="32"/>
        </w:rPr>
      </w:pPr>
      <w:r>
        <w:rPr>
          <w:rFonts w:hint="eastAsia" w:ascii="仿宋_GB2312" w:eastAsia="仿宋_GB2312"/>
          <w:sz w:val="32"/>
          <w:szCs w:val="32"/>
        </w:rPr>
        <w:t>2021年7月23日</w:t>
      </w:r>
    </w:p>
    <w:p>
      <w:pPr>
        <w:spacing w:line="460" w:lineRule="exact"/>
        <w:rPr>
          <w:rFonts w:ascii="黑体" w:hAnsi="黑体" w:eastAsia="黑体"/>
          <w:color w:val="FF0000"/>
          <w:sz w:val="30"/>
          <w:szCs w:val="30"/>
        </w:rPr>
      </w:pPr>
    </w:p>
    <w:p>
      <w:pPr>
        <w:spacing w:line="460" w:lineRule="exact"/>
        <w:rPr>
          <w:color w:val="FF0000"/>
        </w:rPr>
      </w:pPr>
    </w:p>
    <w:p>
      <w:pPr>
        <w:spacing w:line="460" w:lineRule="exact"/>
        <w:rPr>
          <w:rFonts w:eastAsia="黑体"/>
          <w:sz w:val="30"/>
          <w:szCs w:val="30"/>
        </w:rPr>
      </w:pPr>
    </w:p>
    <w:p>
      <w:pPr>
        <w:spacing w:line="460" w:lineRule="exact"/>
        <w:rPr>
          <w:rFonts w:eastAsia="黑体"/>
          <w:sz w:val="30"/>
          <w:szCs w:val="30"/>
        </w:rPr>
      </w:pPr>
    </w:p>
    <w:p>
      <w:pPr>
        <w:spacing w:line="460" w:lineRule="exact"/>
        <w:rPr>
          <w:rFonts w:eastAsia="黑体"/>
          <w:sz w:val="30"/>
          <w:szCs w:val="30"/>
        </w:rPr>
      </w:pPr>
    </w:p>
    <w:p>
      <w:pPr>
        <w:spacing w:line="600" w:lineRule="exact"/>
        <w:outlineLvl w:val="0"/>
        <w:rPr>
          <w:rFonts w:eastAsia="黑体"/>
          <w:sz w:val="44"/>
          <w:szCs w:val="44"/>
        </w:rPr>
      </w:pPr>
      <w:bookmarkStart w:id="62" w:name="_Toc15396618"/>
      <w:bookmarkStart w:id="63" w:name="_Toc15396619"/>
    </w:p>
    <w:p>
      <w:pPr>
        <w:spacing w:line="600" w:lineRule="exact"/>
        <w:outlineLvl w:val="0"/>
        <w:rPr>
          <w:rFonts w:eastAsia="黑体"/>
          <w:sz w:val="44"/>
          <w:szCs w:val="44"/>
        </w:rPr>
      </w:pPr>
    </w:p>
    <w:p>
      <w:pPr>
        <w:spacing w:line="600" w:lineRule="exact"/>
        <w:jc w:val="center"/>
        <w:outlineLvl w:val="0"/>
        <w:rPr>
          <w:rStyle w:val="17"/>
          <w:rFonts w:eastAsia="黑体"/>
          <w:b w:val="0"/>
        </w:rPr>
      </w:pPr>
      <w:r>
        <w:rPr>
          <w:rFonts w:eastAsia="黑体"/>
          <w:sz w:val="44"/>
          <w:szCs w:val="44"/>
        </w:rPr>
        <w:t>第</w:t>
      </w:r>
      <w:r>
        <w:rPr>
          <w:rStyle w:val="17"/>
          <w:rFonts w:eastAsia="黑体"/>
          <w:b w:val="0"/>
        </w:rPr>
        <w:t>五部分 附表</w:t>
      </w:r>
      <w:bookmarkEnd w:id="62"/>
    </w:p>
    <w:p>
      <w:pPr>
        <w:pStyle w:val="3"/>
        <w:rPr>
          <w:rFonts w:ascii="Times New Roman" w:hAnsi="Times New Roman" w:eastAsia="仿宋"/>
        </w:rPr>
      </w:pPr>
      <w:r>
        <w:rPr>
          <w:rFonts w:ascii="Times New Roman" w:hAnsi="Times New Roman" w:eastAsia="仿宋"/>
          <w:b w:val="0"/>
        </w:rPr>
        <w:t>一、收</w:t>
      </w:r>
      <w:r>
        <w:rPr>
          <w:rStyle w:val="18"/>
          <w:rFonts w:ascii="Times New Roman" w:hAnsi="Times New Roman" w:eastAsia="仿宋"/>
          <w:b w:val="0"/>
          <w:bCs w:val="0"/>
        </w:rPr>
        <w:t>入支出决算总表</w:t>
      </w:r>
      <w:bookmarkEnd w:id="63"/>
    </w:p>
    <w:p>
      <w:pPr>
        <w:pStyle w:val="3"/>
        <w:rPr>
          <w:rFonts w:ascii="Times New Roman" w:hAnsi="Times New Roman" w:eastAsia="仿宋"/>
        </w:rPr>
      </w:pPr>
      <w:bookmarkStart w:id="64" w:name="_Toc15396620"/>
      <w:r>
        <w:rPr>
          <w:rFonts w:ascii="Times New Roman" w:hAnsi="Times New Roman" w:eastAsia="仿宋"/>
          <w:b w:val="0"/>
        </w:rPr>
        <w:t>二、收</w:t>
      </w:r>
      <w:r>
        <w:rPr>
          <w:rStyle w:val="18"/>
          <w:rFonts w:ascii="Times New Roman" w:hAnsi="Times New Roman" w:eastAsia="仿宋"/>
          <w:b w:val="0"/>
          <w:bCs w:val="0"/>
        </w:rPr>
        <w:t>入总表</w:t>
      </w:r>
      <w:bookmarkEnd w:id="64"/>
    </w:p>
    <w:p>
      <w:pPr>
        <w:pStyle w:val="3"/>
        <w:rPr>
          <w:rFonts w:ascii="Times New Roman" w:hAnsi="Times New Roman" w:eastAsia="仿宋"/>
        </w:rPr>
      </w:pPr>
      <w:bookmarkStart w:id="65" w:name="_Toc15396621"/>
      <w:r>
        <w:rPr>
          <w:rStyle w:val="18"/>
          <w:rFonts w:ascii="Times New Roman" w:hAnsi="Times New Roman" w:eastAsia="仿宋"/>
          <w:b w:val="0"/>
          <w:bCs w:val="0"/>
        </w:rPr>
        <w:t>三、</w:t>
      </w:r>
      <w:r>
        <w:rPr>
          <w:rFonts w:ascii="Times New Roman" w:hAnsi="Times New Roman" w:eastAsia="仿宋"/>
          <w:b w:val="0"/>
        </w:rPr>
        <w:t>支</w:t>
      </w:r>
      <w:r>
        <w:rPr>
          <w:rStyle w:val="18"/>
          <w:rFonts w:ascii="Times New Roman" w:hAnsi="Times New Roman" w:eastAsia="仿宋"/>
          <w:b w:val="0"/>
          <w:bCs w:val="0"/>
        </w:rPr>
        <w:t>出总表</w:t>
      </w:r>
      <w:bookmarkEnd w:id="65"/>
    </w:p>
    <w:p>
      <w:pPr>
        <w:pStyle w:val="3"/>
        <w:rPr>
          <w:rFonts w:ascii="Times New Roman" w:hAnsi="Times New Roman" w:eastAsia="仿宋"/>
          <w:b w:val="0"/>
        </w:rPr>
      </w:pPr>
      <w:bookmarkStart w:id="66" w:name="_Toc15396622"/>
      <w:r>
        <w:rPr>
          <w:rStyle w:val="18"/>
          <w:rFonts w:ascii="Times New Roman" w:hAnsi="Times New Roman" w:eastAsia="仿宋"/>
          <w:b w:val="0"/>
          <w:bCs w:val="0"/>
        </w:rPr>
        <w:t>四、</w:t>
      </w:r>
      <w:r>
        <w:rPr>
          <w:rFonts w:ascii="Times New Roman" w:hAnsi="Times New Roman" w:eastAsia="仿宋"/>
          <w:b w:val="0"/>
        </w:rPr>
        <w:t>财</w:t>
      </w:r>
      <w:r>
        <w:rPr>
          <w:rStyle w:val="18"/>
          <w:rFonts w:ascii="Times New Roman" w:hAnsi="Times New Roman" w:eastAsia="仿宋"/>
          <w:b w:val="0"/>
          <w:bCs w:val="0"/>
        </w:rPr>
        <w:t>政拨款收入支出决算总表</w:t>
      </w:r>
      <w:bookmarkEnd w:id="66"/>
    </w:p>
    <w:p>
      <w:pPr>
        <w:pStyle w:val="3"/>
        <w:rPr>
          <w:rFonts w:ascii="Times New Roman" w:hAnsi="Times New Roman" w:eastAsia="仿宋"/>
        </w:rPr>
      </w:pPr>
      <w:bookmarkStart w:id="67" w:name="_Toc15396623"/>
      <w:r>
        <w:rPr>
          <w:rStyle w:val="18"/>
          <w:rFonts w:ascii="Times New Roman" w:hAnsi="Times New Roman" w:eastAsia="仿宋"/>
          <w:b w:val="0"/>
          <w:bCs w:val="0"/>
        </w:rPr>
        <w:t>五、</w:t>
      </w:r>
      <w:r>
        <w:rPr>
          <w:rFonts w:ascii="Times New Roman" w:hAnsi="Times New Roman" w:eastAsia="仿宋"/>
          <w:b w:val="0"/>
        </w:rPr>
        <w:t>财</w:t>
      </w:r>
      <w:r>
        <w:rPr>
          <w:rStyle w:val="18"/>
          <w:rFonts w:ascii="Times New Roman" w:hAnsi="Times New Roman" w:eastAsia="仿宋"/>
          <w:b w:val="0"/>
          <w:bCs w:val="0"/>
        </w:rPr>
        <w:t>政拨款支出决算明细表（政府经济分类科目）</w:t>
      </w:r>
      <w:bookmarkEnd w:id="67"/>
    </w:p>
    <w:p>
      <w:pPr>
        <w:pStyle w:val="3"/>
        <w:rPr>
          <w:rFonts w:ascii="Times New Roman" w:hAnsi="Times New Roman" w:eastAsia="仿宋"/>
        </w:rPr>
      </w:pPr>
      <w:bookmarkStart w:id="68" w:name="_Toc15396624"/>
      <w:r>
        <w:rPr>
          <w:rStyle w:val="18"/>
          <w:rFonts w:ascii="Times New Roman" w:hAnsi="Times New Roman" w:eastAsia="仿宋"/>
          <w:b w:val="0"/>
          <w:bCs w:val="0"/>
        </w:rPr>
        <w:t>六、</w:t>
      </w:r>
      <w:r>
        <w:rPr>
          <w:rFonts w:ascii="Times New Roman" w:hAnsi="Times New Roman" w:eastAsia="仿宋"/>
          <w:b w:val="0"/>
        </w:rPr>
        <w:t>一</w:t>
      </w:r>
      <w:r>
        <w:rPr>
          <w:rStyle w:val="18"/>
          <w:rFonts w:ascii="Times New Roman" w:hAnsi="Times New Roman" w:eastAsia="仿宋"/>
          <w:b w:val="0"/>
          <w:bCs w:val="0"/>
        </w:rPr>
        <w:t>般公共预算财政拨款支出决算表</w:t>
      </w:r>
      <w:bookmarkEnd w:id="68"/>
    </w:p>
    <w:p>
      <w:pPr>
        <w:pStyle w:val="3"/>
        <w:rPr>
          <w:rFonts w:ascii="Times New Roman" w:hAnsi="Times New Roman" w:eastAsia="仿宋"/>
        </w:rPr>
      </w:pPr>
      <w:bookmarkStart w:id="69" w:name="_Toc15396625"/>
      <w:r>
        <w:rPr>
          <w:rStyle w:val="18"/>
          <w:rFonts w:ascii="Times New Roman" w:hAnsi="Times New Roman" w:eastAsia="仿宋"/>
          <w:b w:val="0"/>
          <w:bCs w:val="0"/>
        </w:rPr>
        <w:t>七、</w:t>
      </w:r>
      <w:r>
        <w:rPr>
          <w:rFonts w:ascii="Times New Roman" w:hAnsi="Times New Roman" w:eastAsia="仿宋"/>
          <w:b w:val="0"/>
        </w:rPr>
        <w:t>一</w:t>
      </w:r>
      <w:r>
        <w:rPr>
          <w:rStyle w:val="18"/>
          <w:rFonts w:ascii="Times New Roman" w:hAnsi="Times New Roman" w:eastAsia="仿宋"/>
          <w:b w:val="0"/>
          <w:bCs w:val="0"/>
        </w:rPr>
        <w:t>般公共预算财政拨款支出决算明细表</w:t>
      </w:r>
      <w:bookmarkEnd w:id="69"/>
    </w:p>
    <w:p>
      <w:pPr>
        <w:pStyle w:val="3"/>
        <w:rPr>
          <w:rFonts w:ascii="Times New Roman" w:hAnsi="Times New Roman" w:eastAsia="仿宋"/>
        </w:rPr>
      </w:pPr>
      <w:bookmarkStart w:id="70" w:name="_Toc15396626"/>
      <w:r>
        <w:rPr>
          <w:rStyle w:val="18"/>
          <w:rFonts w:ascii="Times New Roman" w:hAnsi="Times New Roman" w:eastAsia="仿宋"/>
          <w:b w:val="0"/>
          <w:bCs w:val="0"/>
        </w:rPr>
        <w:t>八、</w:t>
      </w:r>
      <w:r>
        <w:rPr>
          <w:rFonts w:ascii="Times New Roman" w:hAnsi="Times New Roman" w:eastAsia="仿宋"/>
          <w:b w:val="0"/>
        </w:rPr>
        <w:t>一</w:t>
      </w:r>
      <w:r>
        <w:rPr>
          <w:rStyle w:val="18"/>
          <w:rFonts w:ascii="Times New Roman" w:hAnsi="Times New Roman" w:eastAsia="仿宋"/>
          <w:b w:val="0"/>
          <w:bCs w:val="0"/>
        </w:rPr>
        <w:t>般公共预算财政拨款基本支出决算表</w:t>
      </w:r>
      <w:bookmarkEnd w:id="70"/>
    </w:p>
    <w:p>
      <w:pPr>
        <w:pStyle w:val="3"/>
        <w:rPr>
          <w:rFonts w:ascii="Times New Roman" w:hAnsi="Times New Roman" w:eastAsia="仿宋"/>
        </w:rPr>
      </w:pPr>
      <w:bookmarkStart w:id="71" w:name="_Toc15396627"/>
      <w:r>
        <w:rPr>
          <w:rStyle w:val="18"/>
          <w:rFonts w:ascii="Times New Roman" w:hAnsi="Times New Roman" w:eastAsia="仿宋"/>
          <w:b w:val="0"/>
          <w:bCs w:val="0"/>
        </w:rPr>
        <w:t>九、</w:t>
      </w:r>
      <w:r>
        <w:rPr>
          <w:rFonts w:ascii="Times New Roman" w:hAnsi="Times New Roman" w:eastAsia="仿宋"/>
          <w:b w:val="0"/>
        </w:rPr>
        <w:t>一</w:t>
      </w:r>
      <w:r>
        <w:rPr>
          <w:rStyle w:val="18"/>
          <w:rFonts w:ascii="Times New Roman" w:hAnsi="Times New Roman" w:eastAsia="仿宋"/>
          <w:b w:val="0"/>
          <w:bCs w:val="0"/>
        </w:rPr>
        <w:t>般公共预算财政拨款项目支出决算表</w:t>
      </w:r>
      <w:bookmarkEnd w:id="71"/>
    </w:p>
    <w:p>
      <w:pPr>
        <w:pStyle w:val="3"/>
        <w:rPr>
          <w:rFonts w:ascii="Times New Roman" w:hAnsi="Times New Roman" w:eastAsia="仿宋"/>
        </w:rPr>
      </w:pPr>
      <w:bookmarkStart w:id="72" w:name="_Toc15396628"/>
      <w:r>
        <w:rPr>
          <w:rStyle w:val="18"/>
          <w:rFonts w:ascii="Times New Roman" w:hAnsi="Times New Roman" w:eastAsia="仿宋"/>
          <w:b w:val="0"/>
          <w:bCs w:val="0"/>
        </w:rPr>
        <w:t>十、</w:t>
      </w:r>
      <w:r>
        <w:rPr>
          <w:rFonts w:ascii="Times New Roman" w:hAnsi="Times New Roman" w:eastAsia="仿宋"/>
          <w:b w:val="0"/>
        </w:rPr>
        <w:t>一</w:t>
      </w:r>
      <w:r>
        <w:rPr>
          <w:rStyle w:val="18"/>
          <w:rFonts w:ascii="Times New Roman" w:hAnsi="Times New Roman" w:eastAsia="仿宋"/>
          <w:b w:val="0"/>
          <w:bCs w:val="0"/>
        </w:rPr>
        <w:t>般公共预算财政拨款“三公”经费支出决算表</w:t>
      </w:r>
      <w:bookmarkEnd w:id="72"/>
    </w:p>
    <w:p>
      <w:pPr>
        <w:pStyle w:val="3"/>
        <w:rPr>
          <w:rFonts w:ascii="Times New Roman" w:hAnsi="Times New Roman" w:eastAsia="仿宋"/>
        </w:rPr>
      </w:pPr>
      <w:bookmarkStart w:id="73" w:name="_Toc15396629"/>
      <w:r>
        <w:rPr>
          <w:rStyle w:val="18"/>
          <w:rFonts w:ascii="Times New Roman" w:hAnsi="Times New Roman" w:eastAsia="仿宋"/>
          <w:b w:val="0"/>
          <w:bCs w:val="0"/>
        </w:rPr>
        <w:t>十一、</w:t>
      </w:r>
      <w:r>
        <w:rPr>
          <w:rFonts w:ascii="Times New Roman" w:hAnsi="Times New Roman" w:eastAsia="仿宋"/>
          <w:b w:val="0"/>
        </w:rPr>
        <w:t>政</w:t>
      </w:r>
      <w:r>
        <w:rPr>
          <w:rStyle w:val="18"/>
          <w:rFonts w:ascii="Times New Roman" w:hAnsi="Times New Roman" w:eastAsia="仿宋"/>
          <w:b w:val="0"/>
          <w:bCs w:val="0"/>
        </w:rPr>
        <w:t>府性基金预算财政拨款收入支出决算表</w:t>
      </w:r>
      <w:bookmarkEnd w:id="73"/>
    </w:p>
    <w:p>
      <w:pPr>
        <w:pStyle w:val="3"/>
        <w:rPr>
          <w:rFonts w:ascii="Times New Roman" w:hAnsi="Times New Roman" w:eastAsia="仿宋"/>
        </w:rPr>
      </w:pPr>
      <w:bookmarkStart w:id="74" w:name="_Toc15396630"/>
      <w:r>
        <w:rPr>
          <w:rStyle w:val="18"/>
          <w:rFonts w:ascii="Times New Roman" w:hAnsi="Times New Roman" w:eastAsia="仿宋"/>
          <w:b w:val="0"/>
          <w:bCs w:val="0"/>
        </w:rPr>
        <w:t>十二、</w:t>
      </w:r>
      <w:r>
        <w:rPr>
          <w:rFonts w:ascii="Times New Roman" w:hAnsi="Times New Roman" w:eastAsia="仿宋"/>
          <w:b w:val="0"/>
        </w:rPr>
        <w:t>政</w:t>
      </w:r>
      <w:r>
        <w:rPr>
          <w:rStyle w:val="18"/>
          <w:rFonts w:ascii="Times New Roman" w:hAnsi="Times New Roman" w:eastAsia="仿宋"/>
          <w:b w:val="0"/>
          <w:bCs w:val="0"/>
        </w:rPr>
        <w:t>府性基金预算财政拨款“三公”经费支出决算表</w:t>
      </w:r>
      <w:bookmarkEnd w:id="74"/>
    </w:p>
    <w:p>
      <w:pPr>
        <w:pStyle w:val="3"/>
        <w:rPr>
          <w:rFonts w:ascii="Times New Roman" w:hAnsi="Times New Roman" w:eastAsia="仿宋"/>
        </w:rPr>
      </w:pPr>
      <w:bookmarkStart w:id="75" w:name="_Toc15396631"/>
      <w:r>
        <w:rPr>
          <w:rStyle w:val="18"/>
          <w:rFonts w:ascii="Times New Roman" w:hAnsi="Times New Roman" w:eastAsia="仿宋"/>
          <w:b w:val="0"/>
          <w:bCs w:val="0"/>
        </w:rPr>
        <w:t>十三、</w:t>
      </w:r>
      <w:r>
        <w:rPr>
          <w:rFonts w:ascii="Times New Roman" w:hAnsi="Times New Roman" w:eastAsia="仿宋"/>
          <w:b w:val="0"/>
        </w:rPr>
        <w:t>国</w:t>
      </w:r>
      <w:r>
        <w:rPr>
          <w:rStyle w:val="18"/>
          <w:rFonts w:ascii="Times New Roman" w:hAnsi="Times New Roman"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宋体"/>
    <w:panose1 w:val="00000000000000000000"/>
    <w:charset w:val="86"/>
    <w:family w:val="auto"/>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6</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13"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386D6DF3"/>
    <w:multiLevelType w:val="singleLevel"/>
    <w:tmpl w:val="386D6DF3"/>
    <w:lvl w:ilvl="0" w:tentative="0">
      <w:start w:val="3"/>
      <w:numFmt w:val="decimal"/>
      <w:lvlText w:val="%1."/>
      <w:lvlJc w:val="left"/>
      <w:pPr>
        <w:tabs>
          <w:tab w:val="left" w:pos="0"/>
        </w:tabs>
        <w:ind w:left="0" w:firstLine="0"/>
      </w:pPr>
    </w:lvl>
  </w:abstractNum>
  <w:abstractNum w:abstractNumId="6">
    <w:nsid w:val="6108CC39"/>
    <w:multiLevelType w:val="singleLevel"/>
    <w:tmpl w:val="6108CC39"/>
    <w:lvl w:ilvl="0" w:tentative="0">
      <w:start w:val="1"/>
      <w:numFmt w:val="chineseCounting"/>
      <w:suff w:val="nothing"/>
      <w:lvlText w:val="%1、"/>
      <w:lvlJc w:val="left"/>
      <w:rPr>
        <w:rFonts w:hint="eastAsia"/>
      </w:rPr>
    </w:lvl>
  </w:abstractNum>
  <w:num w:numId="1">
    <w:abstractNumId w:val="3"/>
  </w:num>
  <w:num w:numId="2">
    <w:abstractNumId w:val="0"/>
  </w:num>
  <w:num w:numId="3">
    <w:abstractNumId w:val="4"/>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DF5151"/>
    <w:rsid w:val="00086DF5"/>
    <w:rsid w:val="002704CD"/>
    <w:rsid w:val="00D73FB4"/>
    <w:rsid w:val="00DF5151"/>
    <w:rsid w:val="00F82372"/>
    <w:rsid w:val="02053D10"/>
    <w:rsid w:val="0250483F"/>
    <w:rsid w:val="031046CD"/>
    <w:rsid w:val="033B6312"/>
    <w:rsid w:val="03AF70C3"/>
    <w:rsid w:val="03FF1AB5"/>
    <w:rsid w:val="04E744F2"/>
    <w:rsid w:val="05047918"/>
    <w:rsid w:val="05BC7531"/>
    <w:rsid w:val="06206DF8"/>
    <w:rsid w:val="068626C9"/>
    <w:rsid w:val="076C238E"/>
    <w:rsid w:val="0786033E"/>
    <w:rsid w:val="078710E8"/>
    <w:rsid w:val="07DE3D87"/>
    <w:rsid w:val="082A2D9C"/>
    <w:rsid w:val="08584BC6"/>
    <w:rsid w:val="0879043A"/>
    <w:rsid w:val="08F82F70"/>
    <w:rsid w:val="097C59CD"/>
    <w:rsid w:val="0A60303A"/>
    <w:rsid w:val="0A9511D2"/>
    <w:rsid w:val="0AD37AB9"/>
    <w:rsid w:val="0BC87F1F"/>
    <w:rsid w:val="0BFD7B02"/>
    <w:rsid w:val="0D603A18"/>
    <w:rsid w:val="0DD05A07"/>
    <w:rsid w:val="0EB43609"/>
    <w:rsid w:val="0F801D77"/>
    <w:rsid w:val="0FC24A86"/>
    <w:rsid w:val="1028005C"/>
    <w:rsid w:val="103C3691"/>
    <w:rsid w:val="10A92E43"/>
    <w:rsid w:val="10F2295A"/>
    <w:rsid w:val="11AD5094"/>
    <w:rsid w:val="12592032"/>
    <w:rsid w:val="136C6607"/>
    <w:rsid w:val="13E21A81"/>
    <w:rsid w:val="150550BD"/>
    <w:rsid w:val="16696D2E"/>
    <w:rsid w:val="166B4FFE"/>
    <w:rsid w:val="17383C09"/>
    <w:rsid w:val="1792106C"/>
    <w:rsid w:val="18AD7FA1"/>
    <w:rsid w:val="18BB5320"/>
    <w:rsid w:val="1914189C"/>
    <w:rsid w:val="197F5DC1"/>
    <w:rsid w:val="1AA53EF5"/>
    <w:rsid w:val="1B5959BD"/>
    <w:rsid w:val="1C1B404C"/>
    <w:rsid w:val="1CF84E72"/>
    <w:rsid w:val="1D481A5B"/>
    <w:rsid w:val="1D74013C"/>
    <w:rsid w:val="1DDF530A"/>
    <w:rsid w:val="1E0C5F5B"/>
    <w:rsid w:val="1E3D79C4"/>
    <w:rsid w:val="1E7F09E5"/>
    <w:rsid w:val="1E891C30"/>
    <w:rsid w:val="1EC95A1E"/>
    <w:rsid w:val="20EC5219"/>
    <w:rsid w:val="212642C2"/>
    <w:rsid w:val="215604D7"/>
    <w:rsid w:val="21A86B78"/>
    <w:rsid w:val="227F5933"/>
    <w:rsid w:val="22AC0BF7"/>
    <w:rsid w:val="25015AC2"/>
    <w:rsid w:val="2527460F"/>
    <w:rsid w:val="25FA58B4"/>
    <w:rsid w:val="270913EC"/>
    <w:rsid w:val="27F772B1"/>
    <w:rsid w:val="290359D2"/>
    <w:rsid w:val="296E11BE"/>
    <w:rsid w:val="2AA64A7E"/>
    <w:rsid w:val="2B627E7E"/>
    <w:rsid w:val="2C424C34"/>
    <w:rsid w:val="2CBE2365"/>
    <w:rsid w:val="2CDB20CA"/>
    <w:rsid w:val="2D744543"/>
    <w:rsid w:val="2DF765FA"/>
    <w:rsid w:val="2F0D1DF6"/>
    <w:rsid w:val="2F1B0293"/>
    <w:rsid w:val="306F3A08"/>
    <w:rsid w:val="31F17D70"/>
    <w:rsid w:val="321C0C70"/>
    <w:rsid w:val="33523B12"/>
    <w:rsid w:val="33F85839"/>
    <w:rsid w:val="34357B19"/>
    <w:rsid w:val="34654730"/>
    <w:rsid w:val="34807EEE"/>
    <w:rsid w:val="354F3F5B"/>
    <w:rsid w:val="35B5299D"/>
    <w:rsid w:val="35CF37BF"/>
    <w:rsid w:val="36102BF2"/>
    <w:rsid w:val="369C0083"/>
    <w:rsid w:val="36F164FB"/>
    <w:rsid w:val="37F05837"/>
    <w:rsid w:val="382D2CB5"/>
    <w:rsid w:val="3ACE04C4"/>
    <w:rsid w:val="3B0C39EC"/>
    <w:rsid w:val="3CD608C6"/>
    <w:rsid w:val="3D0E48C1"/>
    <w:rsid w:val="3E370957"/>
    <w:rsid w:val="3F4364E3"/>
    <w:rsid w:val="3F451F15"/>
    <w:rsid w:val="407431F4"/>
    <w:rsid w:val="42906819"/>
    <w:rsid w:val="43081538"/>
    <w:rsid w:val="43083A11"/>
    <w:rsid w:val="43812DF1"/>
    <w:rsid w:val="45117AEE"/>
    <w:rsid w:val="458D1430"/>
    <w:rsid w:val="45BF630E"/>
    <w:rsid w:val="46036E51"/>
    <w:rsid w:val="46283CA2"/>
    <w:rsid w:val="471E5E2E"/>
    <w:rsid w:val="47556849"/>
    <w:rsid w:val="47B46125"/>
    <w:rsid w:val="47FF0986"/>
    <w:rsid w:val="480B00FB"/>
    <w:rsid w:val="48481D3F"/>
    <w:rsid w:val="49AA60E7"/>
    <w:rsid w:val="4A0D77F5"/>
    <w:rsid w:val="4A6A1B8A"/>
    <w:rsid w:val="4B9E7B4E"/>
    <w:rsid w:val="4D3632AC"/>
    <w:rsid w:val="4DD73BAF"/>
    <w:rsid w:val="4E7563AC"/>
    <w:rsid w:val="4EAD58C0"/>
    <w:rsid w:val="4F1B1D75"/>
    <w:rsid w:val="4F68751A"/>
    <w:rsid w:val="4F917FA1"/>
    <w:rsid w:val="50CB42FA"/>
    <w:rsid w:val="524030D5"/>
    <w:rsid w:val="536F15C0"/>
    <w:rsid w:val="53966240"/>
    <w:rsid w:val="54237AF4"/>
    <w:rsid w:val="56A258B9"/>
    <w:rsid w:val="578133BD"/>
    <w:rsid w:val="57AC66E1"/>
    <w:rsid w:val="57F97940"/>
    <w:rsid w:val="58213186"/>
    <w:rsid w:val="583C2B2E"/>
    <w:rsid w:val="59074E95"/>
    <w:rsid w:val="59193D41"/>
    <w:rsid w:val="59C9209E"/>
    <w:rsid w:val="59D4061F"/>
    <w:rsid w:val="5A6F3876"/>
    <w:rsid w:val="5A7B0163"/>
    <w:rsid w:val="5B997617"/>
    <w:rsid w:val="5BE57FD4"/>
    <w:rsid w:val="5C22368E"/>
    <w:rsid w:val="5C7E36CF"/>
    <w:rsid w:val="5C962A0F"/>
    <w:rsid w:val="5D5719DA"/>
    <w:rsid w:val="5E8A29D3"/>
    <w:rsid w:val="5E8F7686"/>
    <w:rsid w:val="5EFE0275"/>
    <w:rsid w:val="5FB63CC9"/>
    <w:rsid w:val="60882BDC"/>
    <w:rsid w:val="61400879"/>
    <w:rsid w:val="61430746"/>
    <w:rsid w:val="63573E67"/>
    <w:rsid w:val="63893E43"/>
    <w:rsid w:val="643566FA"/>
    <w:rsid w:val="646128AE"/>
    <w:rsid w:val="64E9218F"/>
    <w:rsid w:val="65952D1F"/>
    <w:rsid w:val="65CB1272"/>
    <w:rsid w:val="65D144C1"/>
    <w:rsid w:val="66690775"/>
    <w:rsid w:val="670228B6"/>
    <w:rsid w:val="67130B1E"/>
    <w:rsid w:val="677A6C0F"/>
    <w:rsid w:val="67A83628"/>
    <w:rsid w:val="68346E21"/>
    <w:rsid w:val="691C4957"/>
    <w:rsid w:val="6A3E65C4"/>
    <w:rsid w:val="6B5F0ECB"/>
    <w:rsid w:val="6C442F3B"/>
    <w:rsid w:val="6C6F2C5A"/>
    <w:rsid w:val="6CB612CB"/>
    <w:rsid w:val="6CE83770"/>
    <w:rsid w:val="6D8B4A82"/>
    <w:rsid w:val="6E2811E6"/>
    <w:rsid w:val="6F750617"/>
    <w:rsid w:val="6FF50918"/>
    <w:rsid w:val="70DF5C9B"/>
    <w:rsid w:val="714C1E47"/>
    <w:rsid w:val="724005A8"/>
    <w:rsid w:val="73087E5A"/>
    <w:rsid w:val="73796EA2"/>
    <w:rsid w:val="74780011"/>
    <w:rsid w:val="75134E79"/>
    <w:rsid w:val="75933303"/>
    <w:rsid w:val="75FF49CA"/>
    <w:rsid w:val="76924F16"/>
    <w:rsid w:val="7A7C3542"/>
    <w:rsid w:val="7AEE3AFA"/>
    <w:rsid w:val="7AFD43CE"/>
    <w:rsid w:val="7B733BF6"/>
    <w:rsid w:val="7C527B07"/>
    <w:rsid w:val="7D987857"/>
    <w:rsid w:val="7D9E5681"/>
    <w:rsid w:val="7F824E05"/>
    <w:rsid w:val="7FF97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spacing w:before="340" w:after="330" w:line="578" w:lineRule="auto"/>
      <w:outlineLvl w:val="0"/>
    </w:pPr>
    <w:rPr>
      <w:b/>
      <w:bCs/>
      <w:kern w:val="44"/>
      <w:sz w:val="44"/>
      <w:szCs w:val="44"/>
    </w:rPr>
  </w:style>
  <w:style w:type="paragraph" w:styleId="3">
    <w:name w:val="heading 2"/>
    <w:basedOn w:val="1"/>
    <w:next w:val="1"/>
    <w:link w:val="18"/>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uiPriority w:val="0"/>
    <w:pPr>
      <w:ind w:firstLine="200" w:firstLineChars="200"/>
    </w:pPr>
  </w:style>
  <w:style w:type="paragraph" w:customStyle="1" w:styleId="24">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1221.06</c:v>
                </c:pt>
                <c:pt idx="1">
                  <c:v>1409.63</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1164.77</c:v>
                </c:pt>
                <c:pt idx="1">
                  <c:v>1353.34</c:v>
                </c:pt>
              </c:numCache>
            </c:numRef>
          </c:val>
        </c:ser>
        <c:dLbls>
          <c:showLegendKey val="0"/>
          <c:showVal val="0"/>
          <c:showCatName val="0"/>
          <c:showSerName val="0"/>
          <c:showPercent val="0"/>
          <c:showBubbleSize val="0"/>
        </c:dLbls>
        <c:gapWidth val="219"/>
        <c:overlap val="-27"/>
        <c:axId val="122747904"/>
        <c:axId val="123556608"/>
      </c:barChart>
      <c:catAx>
        <c:axId val="12274790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123556608"/>
        <c:crosses val="autoZero"/>
        <c:auto val="1"/>
        <c:lblAlgn val="ctr"/>
        <c:lblOffset val="100"/>
        <c:noMultiLvlLbl val="0"/>
      </c:catAx>
      <c:valAx>
        <c:axId val="123556608"/>
        <c:scaling>
          <c:orientation val="minMax"/>
          <c:max val="2000"/>
          <c:min val="0"/>
        </c:scaling>
        <c:delete val="0"/>
        <c:axPos val="l"/>
        <c:majorGridlines/>
        <c:min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122747904"/>
        <c:crossesAt val="1"/>
        <c:crossBetween val="between"/>
        <c:majorUnit val="500"/>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1409.63</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446.53</c:v>
                </c:pt>
                <c:pt idx="1">
                  <c:v>906.81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2020年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1084.02</c:v>
                </c:pt>
                <c:pt idx="1">
                  <c:v>1409.63</c:v>
                </c:pt>
              </c:numCache>
            </c:numRef>
          </c:val>
        </c:ser>
        <c:dLbls>
          <c:showLegendKey val="0"/>
          <c:showVal val="1"/>
          <c:showCatName val="0"/>
          <c:showSerName val="0"/>
          <c:showPercent val="0"/>
          <c:showBubbleSize val="0"/>
        </c:dLbls>
        <c:gapWidth val="219"/>
        <c:overlap val="-27"/>
        <c:axId val="124318080"/>
        <c:axId val="124319616"/>
      </c:barChart>
      <c:catAx>
        <c:axId val="12431808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4319616"/>
        <c:crosses val="autoZero"/>
        <c:auto val="1"/>
        <c:lblAlgn val="ctr"/>
        <c:lblOffset val="100"/>
        <c:noMultiLvlLbl val="0"/>
      </c:catAx>
      <c:valAx>
        <c:axId val="124319616"/>
        <c:scaling>
          <c:orientation val="minMax"/>
          <c:max val="20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4318080"/>
        <c:crossesAt val="1"/>
        <c:crossBetween val="between"/>
      </c:valAx>
      <c:spPr>
        <a:noFill/>
        <a:ln>
          <a:noFill/>
        </a:ln>
      </c:spPr>
    </c:plotArea>
    <c:legend>
      <c:legendPos val="b"/>
      <c:layout>
        <c:manualLayout>
          <c:xMode val="edge"/>
          <c:yMode val="edge"/>
          <c:x val="0.257110778443114"/>
          <c:y val="0.886476026660933"/>
          <c:w val="0.551147704590818"/>
          <c:h val="0.0821328746506128"/>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1164.77</c:v>
                </c:pt>
                <c:pt idx="1">
                  <c:v>1353.35</c:v>
                </c:pt>
              </c:numCache>
            </c:numRef>
          </c:val>
        </c:ser>
        <c:dLbls>
          <c:showLegendKey val="0"/>
          <c:showVal val="1"/>
          <c:showCatName val="0"/>
          <c:showSerName val="0"/>
          <c:showPercent val="0"/>
          <c:showBubbleSize val="0"/>
        </c:dLbls>
        <c:gapWidth val="219"/>
        <c:overlap val="-27"/>
        <c:axId val="124643200"/>
        <c:axId val="124644736"/>
      </c:barChart>
      <c:catAx>
        <c:axId val="124643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4644736"/>
        <c:crosses val="autoZero"/>
        <c:auto val="1"/>
        <c:lblAlgn val="ctr"/>
        <c:lblOffset val="100"/>
        <c:noMultiLvlLbl val="0"/>
      </c:catAx>
      <c:valAx>
        <c:axId val="124644736"/>
        <c:scaling>
          <c:orientation val="minMax"/>
          <c:max val="20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4643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 (6)'!$B$1</c:f>
              <c:strCache>
                <c:ptCount val="1"/>
                <c:pt idx="0">
                  <c:v>一般公共预算财政拨款支出决算结构</c:v>
                </c:pt>
              </c:strCache>
            </c:strRef>
          </c:tx>
          <c:spPr/>
          <c:explosion val="0"/>
          <c:dPt>
            <c:idx val="0"/>
            <c:bubble3D val="0"/>
            <c:spPr>
              <a:solidFill>
                <a:schemeClr val="accent1">
                  <a:shade val="76667"/>
                </a:schemeClr>
              </a:solidFill>
              <a:ln w="19050">
                <a:solidFill>
                  <a:schemeClr val="lt1"/>
                </a:solidFill>
              </a:ln>
              <a:effectLst/>
            </c:spPr>
          </c:dPt>
          <c:dPt>
            <c:idx val="1"/>
            <c:bubble3D val="0"/>
            <c:spPr>
              <a:solidFill>
                <a:schemeClr val="accent2">
                  <a:shade val="76667"/>
                </a:schemeClr>
              </a:solidFill>
              <a:ln w="19050">
                <a:solidFill>
                  <a:schemeClr val="lt1"/>
                </a:solidFill>
              </a:ln>
              <a:effectLst/>
            </c:spPr>
          </c:dPt>
          <c:dPt>
            <c:idx val="2"/>
            <c:bubble3D val="0"/>
            <c:spPr>
              <a:solidFill>
                <a:schemeClr val="accent3">
                  <a:shade val="76667"/>
                </a:schemeClr>
              </a:solidFill>
              <a:ln w="19050">
                <a:solidFill>
                  <a:schemeClr val="lt1"/>
                </a:solidFill>
              </a:ln>
              <a:effectLst/>
            </c:spPr>
          </c:dPt>
          <c:dPt>
            <c:idx val="3"/>
            <c:bubble3D val="0"/>
            <c:spPr>
              <a:solidFill>
                <a:schemeClr val="accent4">
                  <a:shade val="76667"/>
                </a:schemeClr>
              </a:solidFill>
              <a:ln w="19050">
                <a:solidFill>
                  <a:schemeClr val="lt1"/>
                </a:solidFill>
              </a:ln>
              <a:effectLst/>
            </c:spPr>
          </c:dPt>
          <c:dPt>
            <c:idx val="4"/>
            <c:bubble3D val="0"/>
            <c:spPr>
              <a:solidFill>
                <a:schemeClr val="accent5">
                  <a:shade val="76667"/>
                </a:schemeClr>
              </a:solidFill>
              <a:ln w="19050">
                <a:solidFill>
                  <a:schemeClr val="lt1"/>
                </a:solidFill>
              </a:ln>
              <a:effectLst/>
            </c:spPr>
          </c:dPt>
          <c:dPt>
            <c:idx val="5"/>
            <c:bubble3D val="0"/>
            <c:spPr>
              <a:solidFill>
                <a:schemeClr val="accent6">
                  <a:shade val="76667"/>
                </a:schemeClr>
              </a:solidFill>
              <a:ln w="19050">
                <a:solidFill>
                  <a:schemeClr val="lt1"/>
                </a:solidFill>
              </a:ln>
              <a:effectLst/>
            </c:spPr>
          </c:dPt>
          <c:dPt>
            <c:idx val="6"/>
            <c:bubble3D val="0"/>
            <c:spPr>
              <a:solidFill>
                <a:schemeClr val="accent1">
                  <a:tint val="76667"/>
                </a:schemeClr>
              </a:solidFill>
              <a:ln w="19050">
                <a:solidFill>
                  <a:schemeClr val="lt1"/>
                </a:solidFill>
              </a:ln>
              <a:effectLst/>
            </c:spPr>
          </c:dPt>
          <c:dLbls>
            <c:dLbl>
              <c:idx val="1"/>
              <c:layout>
                <c:manualLayout>
                  <c:x val="0.0586096883333333"/>
                  <c:y val="-0.03012433737781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559433462222222"/>
                  <c:y val="0.02286644030268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75561128888889"/>
                  <c:y val="0.074935653184160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217246546909935"/>
                  <c:y val="-0.014857504709445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287339586019278"/>
                  <c:y val="-0.0074203614679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(6)'!$A$2:$A$8</c:f>
              <c:strCache>
                <c:ptCount val="7"/>
                <c:pt idx="0">
                  <c:v>一般公共服务</c:v>
                </c:pt>
                <c:pt idx="1">
                  <c:v>教育支出</c:v>
                </c:pt>
                <c:pt idx="2">
                  <c:v>社会保障和就业</c:v>
                </c:pt>
                <c:pt idx="3">
                  <c:v>卫生健康</c:v>
                </c:pt>
                <c:pt idx="4">
                  <c:v>农林水支出</c:v>
                </c:pt>
                <c:pt idx="5">
                  <c:v>住房保障支出</c:v>
                </c:pt>
                <c:pt idx="6">
                  <c:v>其他支出</c:v>
                </c:pt>
              </c:strCache>
            </c:strRef>
          </c:cat>
          <c:val>
            <c:numRef>
              <c:f>'Sheet1 (6)'!$B$2:$B$8</c:f>
              <c:numCache>
                <c:formatCode>General</c:formatCode>
                <c:ptCount val="7"/>
                <c:pt idx="0">
                  <c:v>371.92</c:v>
                </c:pt>
                <c:pt idx="1">
                  <c:v>61.46</c:v>
                </c:pt>
                <c:pt idx="2">
                  <c:v>50.33</c:v>
                </c:pt>
                <c:pt idx="3">
                  <c:v>20.63</c:v>
                </c:pt>
                <c:pt idx="4">
                  <c:v>720.13</c:v>
                </c:pt>
                <c:pt idx="5">
                  <c:v>28.87</c:v>
                </c:pt>
                <c:pt idx="6">
                  <c:v>100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 (6)'!$B$1</c:f>
              <c:strCache>
                <c:ptCount val="1"/>
                <c:pt idx="0">
                  <c:v>一般公共预算财政拨款支出决算结构</c:v>
                </c:pt>
              </c:strCache>
            </c:strRef>
          </c:tx>
          <c:spPr/>
          <c:explosion val="0"/>
          <c:dPt>
            <c:idx val="0"/>
            <c:bubble3D val="0"/>
            <c:spPr>
              <a:solidFill>
                <a:schemeClr val="accent1">
                  <a:shade val="76667"/>
                </a:schemeClr>
              </a:solidFill>
              <a:ln w="19050">
                <a:solidFill>
                  <a:schemeClr val="lt1"/>
                </a:solidFill>
              </a:ln>
              <a:effectLst/>
            </c:spPr>
          </c:dPt>
          <c:dPt>
            <c:idx val="1"/>
            <c:bubble3D val="0"/>
            <c:spPr>
              <a:solidFill>
                <a:schemeClr val="accent2">
                  <a:shade val="76667"/>
                </a:schemeClr>
              </a:solidFill>
              <a:ln w="19050">
                <a:solidFill>
                  <a:schemeClr val="lt1"/>
                </a:solidFill>
              </a:ln>
              <a:effectLst/>
            </c:spPr>
          </c:dPt>
          <c:dLbls>
            <c:dLbl>
              <c:idx val="1"/>
              <c:layout>
                <c:manualLayout>
                  <c:x val="0.0586096883333333"/>
                  <c:y val="-0.03012433737781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(6)'!$A$2:$A$3</c:f>
              <c:strCache>
                <c:ptCount val="2"/>
                <c:pt idx="0">
                  <c:v>公务用车购置及运行维护费</c:v>
                </c:pt>
                <c:pt idx="1">
                  <c:v>公务接待</c:v>
                </c:pt>
              </c:strCache>
            </c:strRef>
          </c:cat>
          <c:val>
            <c:numRef>
              <c:f>'Sheet1 (6)'!$B$2:$B$3</c:f>
              <c:numCache>
                <c:formatCode>General</c:formatCode>
                <c:ptCount val="2"/>
                <c:pt idx="0">
                  <c:v>6.3</c:v>
                </c:pt>
                <c:pt idx="1">
                  <c:v>0.34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2088</Words>
  <Characters>11904</Characters>
  <Lines>99</Lines>
  <Paragraphs>27</Paragraphs>
  <TotalTime>7</TotalTime>
  <ScaleCrop>false</ScaleCrop>
  <LinksUpToDate>false</LinksUpToDate>
  <CharactersWithSpaces>13965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2021-09-17T09:59:00Z</cp:lastPrinted>
  <dcterms:modified xsi:type="dcterms:W3CDTF">2021-09-27T03:42:57Z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1790A15C4AB44E90A1EAE1F7B84A9B45</vt:lpwstr>
  </property>
</Properties>
</file>