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sz w:val="72"/>
          <w:szCs w:val="72"/>
        </w:rPr>
      </w:pPr>
      <w:bookmarkStart w:id="0" w:name="_Toc15396475"/>
      <w:bookmarkStart w:id="1" w:name="_Toc15378441"/>
      <w:bookmarkStart w:id="2" w:name="_Toc15396597"/>
      <w:bookmarkStart w:id="3" w:name="_Toc15377425"/>
      <w:bookmarkStart w:id="4" w:name="_Toc15377193"/>
      <w:bookmarkStart w:id="5" w:name="_Toc15306267"/>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adjustRightInd w:val="0"/>
        <w:snapToGrid w:val="0"/>
        <w:spacing w:line="360" w:lineRule="auto"/>
        <w:jc w:val="center"/>
        <w:outlineLvl w:val="0"/>
        <w:rPr>
          <w:rFonts w:eastAsia="方正小标宋简体"/>
          <w:sz w:val="72"/>
          <w:szCs w:val="72"/>
        </w:rPr>
      </w:pPr>
      <w:bookmarkStart w:id="6" w:name="_Toc26843601"/>
      <w:r>
        <w:rPr>
          <w:rFonts w:eastAsia="方正小标宋简体"/>
          <w:sz w:val="72"/>
          <w:szCs w:val="72"/>
        </w:rPr>
        <w:t>202</w:t>
      </w:r>
      <w:r>
        <w:rPr>
          <w:rFonts w:hint="eastAsia" w:eastAsia="方正小标宋简体"/>
          <w:sz w:val="72"/>
          <w:szCs w:val="72"/>
        </w:rPr>
        <w:t>4</w:t>
      </w:r>
      <w:r>
        <w:rPr>
          <w:rFonts w:eastAsia="方正小标宋简体"/>
          <w:sz w:val="72"/>
          <w:szCs w:val="72"/>
        </w:rPr>
        <w:t>年度</w:t>
      </w:r>
      <w:bookmarkEnd w:id="0"/>
      <w:bookmarkEnd w:id="1"/>
      <w:bookmarkEnd w:id="2"/>
      <w:bookmarkEnd w:id="3"/>
      <w:bookmarkEnd w:id="4"/>
      <w:bookmarkEnd w:id="6"/>
    </w:p>
    <w:bookmarkEnd w:id="5"/>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中共金川县纪律检查委员会部门决算公开分析报告</w:t>
      </w:r>
    </w:p>
    <w:p>
      <w:pPr>
        <w:pStyle w:val="5"/>
        <w:spacing w:before="30" w:beforeLines="0"/>
        <w:rPr>
          <w:rFonts w:ascii="Times New Roman" w:hAnsi="Times New Roman" w:eastAsia="方正小标宋简体"/>
          <w:sz w:val="52"/>
          <w:szCs w:val="52"/>
        </w:rPr>
      </w:pPr>
    </w:p>
    <w:p>
      <w:pPr>
        <w:pStyle w:val="5"/>
        <w:spacing w:before="30" w:beforeLines="0"/>
        <w:rPr>
          <w:rFonts w:ascii="Times New Roman" w:hAnsi="Times New Roman"/>
        </w:rPr>
      </w:pPr>
    </w:p>
    <w:p>
      <w:pPr>
        <w:pStyle w:val="5"/>
        <w:spacing w:before="30" w:beforeLines="0"/>
        <w:rPr>
          <w:rFonts w:ascii="Times New Roman" w:hAnsi="Times New Roman"/>
        </w:rPr>
      </w:pPr>
    </w:p>
    <w:p>
      <w:pPr>
        <w:pStyle w:val="5"/>
        <w:spacing w:before="30" w:beforeLines="0"/>
        <w:rPr>
          <w:rFonts w:ascii="Times New Roman" w:hAnsi="Times New Roman"/>
        </w:rPr>
      </w:pPr>
    </w:p>
    <w:p>
      <w:pPr>
        <w:pStyle w:val="5"/>
        <w:spacing w:before="30" w:beforeLines="0"/>
        <w:rPr>
          <w:rFonts w:ascii="Times New Roman" w:hAnsi="Times New Roman"/>
        </w:rPr>
      </w:pPr>
    </w:p>
    <w:p>
      <w:pPr>
        <w:pStyle w:val="5"/>
        <w:spacing w:before="30" w:beforeLines="0"/>
        <w:rPr>
          <w:rFonts w:ascii="Times New Roman" w:hAnsi="Times New Roman"/>
        </w:rPr>
      </w:pPr>
    </w:p>
    <w:p>
      <w:pPr>
        <w:pStyle w:val="5"/>
        <w:spacing w:before="30" w:beforeLines="0"/>
        <w:rPr>
          <w:rFonts w:ascii="Times New Roman" w:hAnsi="Times New Roman"/>
        </w:rPr>
      </w:pPr>
    </w:p>
    <w:p>
      <w:pPr>
        <w:widowControl/>
        <w:jc w:val="center"/>
        <w:rPr>
          <w:rFonts w:eastAsia="黑体"/>
          <w:sz w:val="48"/>
          <w:szCs w:val="48"/>
        </w:rPr>
      </w:pPr>
      <w:r>
        <w:rPr>
          <w:rFonts w:eastAsia="仿宋_GB2312"/>
          <w:sz w:val="32"/>
          <w:szCs w:val="32"/>
        </w:rPr>
        <w:t>已经保密审查、内容审定，同意对外公开</w:t>
      </w:r>
      <w:r>
        <w:rPr>
          <w:rFonts w:eastAsia="方正小标宋简体"/>
          <w:sz w:val="36"/>
          <w:szCs w:val="36"/>
        </w:rPr>
        <w:br w:type="page"/>
      </w:r>
      <w:r>
        <w:rPr>
          <w:rFonts w:eastAsia="黑体"/>
          <w:sz w:val="48"/>
          <w:szCs w:val="48"/>
        </w:rPr>
        <w:t>目录</w:t>
      </w:r>
    </w:p>
    <w:p>
      <w:pPr>
        <w:widowControl/>
        <w:jc w:val="center"/>
        <w:rPr>
          <w:rFonts w:eastAsia="黑体"/>
          <w:sz w:val="28"/>
          <w:szCs w:val="28"/>
        </w:rPr>
      </w:pPr>
    </w:p>
    <w:p>
      <w:pPr>
        <w:pStyle w:val="10"/>
        <w:rPr>
          <w:rFonts w:ascii="Times New Roman" w:hAnsi="Times New Roman"/>
        </w:rPr>
      </w:pPr>
      <w:r>
        <w:rPr>
          <w:rFonts w:ascii="Times New Roman" w:hAnsi="Times New Roman"/>
        </w:rPr>
        <w:t>公开时间：202</w:t>
      </w:r>
      <w:r>
        <w:rPr>
          <w:rFonts w:hint="eastAsia" w:ascii="Times New Roman" w:hAnsi="Times New Roman"/>
        </w:rPr>
        <w:t>5</w:t>
      </w:r>
      <w:r>
        <w:rPr>
          <w:rFonts w:ascii="Times New Roman" w:hAnsi="Times New Roman"/>
        </w:rPr>
        <w:t>年8月</w:t>
      </w:r>
      <w:r>
        <w:rPr>
          <w:rFonts w:hint="eastAsia" w:ascii="Times New Roman" w:hAnsi="Times New Roman"/>
        </w:rPr>
        <w:t>26</w:t>
      </w:r>
      <w:r>
        <w:rPr>
          <w:rFonts w:ascii="Times New Roman" w:hAnsi="Times New Roman"/>
        </w:rPr>
        <w:t>日</w:t>
      </w:r>
    </w:p>
    <w:p>
      <w:pPr>
        <w:pStyle w:val="10"/>
        <w:rPr>
          <w:rFonts w:ascii="Times New Roman" w:hAnsi="Times New Roman"/>
        </w:rPr>
      </w:pPr>
      <w:r>
        <w:rPr>
          <w:rFonts w:ascii="Times New Roman" w:hAnsi="Times New Roman"/>
        </w:rPr>
        <w:fldChar w:fldCharType="begin"/>
      </w:r>
      <w:r>
        <w:rPr>
          <w:rFonts w:ascii="Times New Roman" w:hAnsi="Times New Roman"/>
        </w:rPr>
        <w:instrText xml:space="preserve"> TOC \o "1-2" \h \u </w:instrText>
      </w:r>
      <w:r>
        <w:rPr>
          <w:rFonts w:ascii="Times New Roman" w:hAnsi="Times New Roman"/>
        </w:rPr>
        <w:fldChar w:fldCharType="separate"/>
      </w:r>
      <w:r>
        <w:fldChar w:fldCharType="begin"/>
      </w:r>
      <w:r>
        <w:instrText xml:space="preserve">Hyperlink \l "_Toc26843604"</w:instrText>
      </w:r>
      <w:r>
        <w:fldChar w:fldCharType="separate"/>
      </w:r>
      <w:r>
        <w:rPr>
          <w:rFonts w:ascii="Times New Roman" w:hAnsi="Times New Roman"/>
          <w:sz w:val="24"/>
        </w:rPr>
        <w:t xml:space="preserve">第一部分 </w:t>
      </w:r>
      <w:r>
        <w:rPr>
          <w:rFonts w:ascii="Times New Roman" w:hAnsi="Times New Roman"/>
          <w:bCs/>
          <w:sz w:val="24"/>
        </w:rPr>
        <w:t>部门概况</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PageRef _Toc26843604 \h</w:instrText>
      </w:r>
      <w:r>
        <w:rPr>
          <w:rFonts w:ascii="Times New Roman" w:hAnsi="Times New Roman"/>
          <w:sz w:val="24"/>
        </w:rPr>
        <w:fldChar w:fldCharType="separate"/>
      </w:r>
      <w:r>
        <w:rPr>
          <w:rFonts w:ascii="Times New Roman" w:hAnsi="Times New Roman"/>
          <w:sz w:val="24"/>
        </w:rPr>
        <w:t>4</w:t>
      </w:r>
      <w:r>
        <w:rPr>
          <w:rFonts w:ascii="Times New Roman" w:hAnsi="Times New Roman"/>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"_Toc26843605"</w:instrText>
      </w:r>
      <w:r>
        <w:fldChar w:fldCharType="separate"/>
      </w:r>
      <w:r>
        <w:rPr>
          <w:sz w:val="24"/>
        </w:rPr>
        <w:t>一、基</w:t>
      </w:r>
      <w:r>
        <w:rPr>
          <w:bCs/>
          <w:sz w:val="24"/>
        </w:rPr>
        <w:t>本职能及主要工作</w:t>
      </w:r>
      <w:r>
        <w:rPr>
          <w:sz w:val="24"/>
        </w:rPr>
        <w:tab/>
      </w:r>
      <w:r>
        <w:rPr>
          <w:sz w:val="24"/>
        </w:rPr>
        <w:fldChar w:fldCharType="begin"/>
      </w:r>
      <w:r>
        <w:rPr>
          <w:sz w:val="24"/>
        </w:rPr>
        <w:instrText xml:space="preserve">PageRef _Toc26843605 \h</w:instrText>
      </w:r>
      <w:r>
        <w:rPr>
          <w:sz w:val="24"/>
        </w:rPr>
        <w:fldChar w:fldCharType="separate"/>
      </w:r>
      <w:r>
        <w:rPr>
          <w:sz w:val="24"/>
        </w:rPr>
        <w:t>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"_Toc26843606"</w:instrText>
      </w:r>
      <w:r>
        <w:fldChar w:fldCharType="separate"/>
      </w:r>
      <w:r>
        <w:rPr>
          <w:sz w:val="24"/>
        </w:rPr>
        <w:t>二、机</w:t>
      </w:r>
      <w:r>
        <w:rPr>
          <w:bCs/>
          <w:sz w:val="24"/>
        </w:rPr>
        <w:t>构设置</w:t>
      </w:r>
      <w:r>
        <w:rPr>
          <w:sz w:val="24"/>
        </w:rPr>
        <w:tab/>
      </w:r>
      <w:r>
        <w:rPr>
          <w:rFonts w:hint="eastAsia"/>
          <w:sz w:val="24"/>
        </w:rPr>
        <w:t>6</w:t>
      </w:r>
      <w:r>
        <w:fldChar w:fldCharType="end"/>
      </w:r>
    </w:p>
    <w:p>
      <w:pPr>
        <w:pStyle w:val="10"/>
        <w:adjustRightInd w:val="0"/>
        <w:snapToGrid w:val="0"/>
        <w:spacing w:before="0" w:line="440" w:lineRule="exact"/>
        <w:jc w:val="left"/>
        <w:rPr>
          <w:rFonts w:ascii="Times New Roman" w:hAnsi="Times New Roman"/>
          <w:sz w:val="24"/>
        </w:rPr>
      </w:pPr>
      <w:r>
        <w:fldChar w:fldCharType="begin"/>
      </w:r>
      <w:r>
        <w:instrText xml:space="preserve">Hyperlink \l "_Toc26843607"</w:instrText>
      </w:r>
      <w:r>
        <w:fldChar w:fldCharType="separate"/>
      </w:r>
      <w:r>
        <w:rPr>
          <w:rFonts w:ascii="Times New Roman" w:hAnsi="Times New Roman"/>
          <w:sz w:val="24"/>
        </w:rPr>
        <w:t>第二部分 2024年度</w:t>
      </w:r>
      <w:r>
        <w:rPr>
          <w:rFonts w:ascii="Times New Roman" w:hAnsi="Times New Roman"/>
          <w:bCs/>
          <w:sz w:val="24"/>
        </w:rPr>
        <w:t>部门决算情况说明</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PageRef _Toc26843607 \h</w:instrText>
      </w:r>
      <w:r>
        <w:rPr>
          <w:rFonts w:ascii="Times New Roman" w:hAnsi="Times New Roman"/>
          <w:sz w:val="24"/>
        </w:rPr>
        <w:fldChar w:fldCharType="separate"/>
      </w:r>
      <w:r>
        <w:rPr>
          <w:rFonts w:ascii="Times New Roman" w:hAnsi="Times New Roman"/>
          <w:sz w:val="24"/>
        </w:rPr>
        <w:t>5</w:t>
      </w:r>
      <w:r>
        <w:rPr>
          <w:rFonts w:ascii="Times New Roman" w:hAnsi="Times New Roman"/>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"_Toc26843608"</w:instrText>
      </w:r>
      <w:r>
        <w:fldChar w:fldCharType="separate"/>
      </w:r>
      <w:r>
        <w:rPr>
          <w:bCs/>
          <w:sz w:val="24"/>
        </w:rPr>
        <w:t>一、</w:t>
      </w:r>
      <w:r>
        <w:rPr>
          <w:sz w:val="24"/>
        </w:rPr>
        <w:t xml:space="preserve">  收</w:t>
      </w:r>
      <w:r>
        <w:rPr>
          <w:bCs/>
          <w:sz w:val="24"/>
        </w:rPr>
        <w:t>入支出决算总体情况说明</w:t>
      </w:r>
      <w:r>
        <w:rPr>
          <w:sz w:val="24"/>
        </w:rPr>
        <w:tab/>
      </w:r>
      <w:r>
        <w:rPr>
          <w:sz w:val="24"/>
        </w:rPr>
        <w:fldChar w:fldCharType="begin"/>
      </w:r>
      <w:r>
        <w:rPr>
          <w:sz w:val="24"/>
        </w:rPr>
        <w:instrText xml:space="preserve">PageRef _Toc26843608 \h</w:instrText>
      </w:r>
      <w:r>
        <w:rPr>
          <w:sz w:val="24"/>
        </w:rPr>
        <w:fldChar w:fldCharType="separate"/>
      </w:r>
      <w:r>
        <w:rPr>
          <w:sz w:val="24"/>
        </w:rPr>
        <w:t>5</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"_Toc26843609"</w:instrText>
      </w:r>
      <w:r>
        <w:fldChar w:fldCharType="separate"/>
      </w:r>
      <w:r>
        <w:rPr>
          <w:bCs/>
          <w:sz w:val="24"/>
        </w:rPr>
        <w:t>二、</w:t>
      </w:r>
      <w:r>
        <w:rPr>
          <w:sz w:val="24"/>
        </w:rPr>
        <w:t xml:space="preserve">  收</w:t>
      </w:r>
      <w:r>
        <w:rPr>
          <w:bCs/>
          <w:sz w:val="24"/>
        </w:rPr>
        <w:t>入决算情况说明</w:t>
      </w:r>
      <w:r>
        <w:rPr>
          <w:sz w:val="24"/>
        </w:rPr>
        <w:tab/>
      </w:r>
      <w:r>
        <w:rPr>
          <w:sz w:val="24"/>
        </w:rPr>
        <w:fldChar w:fldCharType="begin"/>
      </w:r>
      <w:r>
        <w:rPr>
          <w:sz w:val="24"/>
        </w:rPr>
        <w:instrText xml:space="preserve">PageRef _Toc26843609 \h</w:instrText>
      </w:r>
      <w:r>
        <w:rPr>
          <w:sz w:val="24"/>
        </w:rPr>
        <w:fldChar w:fldCharType="separate"/>
      </w:r>
      <w:r>
        <w:rPr>
          <w:sz w:val="24"/>
        </w:rPr>
        <w:t>6</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"_Toc26843612"</w:instrText>
      </w:r>
      <w:r>
        <w:fldChar w:fldCharType="separate"/>
      </w:r>
      <w:r>
        <w:rPr>
          <w:bCs/>
          <w:sz w:val="24"/>
        </w:rPr>
        <w:t>三、</w:t>
      </w:r>
      <w:r>
        <w:rPr>
          <w:sz w:val="24"/>
        </w:rPr>
        <w:t xml:space="preserve">  支</w:t>
      </w:r>
      <w:r>
        <w:rPr>
          <w:bCs/>
          <w:sz w:val="24"/>
        </w:rPr>
        <w:t>出决算情况说明</w:t>
      </w:r>
      <w:r>
        <w:rPr>
          <w:sz w:val="24"/>
        </w:rPr>
        <w:tab/>
      </w:r>
      <w:r>
        <w:rPr>
          <w:sz w:val="24"/>
        </w:rPr>
        <w:fldChar w:fldCharType="begin"/>
      </w:r>
      <w:r>
        <w:rPr>
          <w:sz w:val="24"/>
        </w:rPr>
        <w:instrText xml:space="preserve">PageRef _Toc26843612 \h</w:instrText>
      </w:r>
      <w:r>
        <w:rPr>
          <w:sz w:val="24"/>
        </w:rPr>
        <w:fldChar w:fldCharType="separate"/>
      </w:r>
      <w:r>
        <w:rPr>
          <w:sz w:val="24"/>
        </w:rPr>
        <w:t>6</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"_Toc26843615"</w:instrText>
      </w:r>
      <w:r>
        <w:fldChar w:fldCharType="separate"/>
      </w:r>
      <w:r>
        <w:rPr>
          <w:sz w:val="24"/>
        </w:rPr>
        <w:t>四、财</w:t>
      </w:r>
      <w:r>
        <w:rPr>
          <w:bCs/>
          <w:sz w:val="24"/>
        </w:rPr>
        <w:t>政拨款收入支出决算总体情况说明</w:t>
      </w:r>
      <w:r>
        <w:rPr>
          <w:sz w:val="24"/>
        </w:rPr>
        <w:tab/>
      </w:r>
      <w:r>
        <w:rPr>
          <w:sz w:val="24"/>
        </w:rPr>
        <w:fldChar w:fldCharType="begin"/>
      </w:r>
      <w:r>
        <w:rPr>
          <w:sz w:val="24"/>
        </w:rPr>
        <w:instrText xml:space="preserve">PageRef _Toc26843615 \h</w:instrText>
      </w:r>
      <w:r>
        <w:rPr>
          <w:sz w:val="24"/>
        </w:rPr>
        <w:fldChar w:fldCharType="separate"/>
      </w:r>
      <w:r>
        <w:rPr>
          <w:sz w:val="24"/>
        </w:rPr>
        <w:t>7</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"_Toc26843616"</w:instrText>
      </w:r>
      <w:r>
        <w:fldChar w:fldCharType="separate"/>
      </w:r>
      <w:r>
        <w:rPr>
          <w:sz w:val="24"/>
        </w:rPr>
        <w:t>五、一</w:t>
      </w:r>
      <w:r>
        <w:rPr>
          <w:bCs/>
          <w:sz w:val="24"/>
        </w:rPr>
        <w:t>般公共预算财政拨款支出决算情况说明</w:t>
      </w:r>
      <w:r>
        <w:rPr>
          <w:sz w:val="24"/>
        </w:rPr>
        <w:tab/>
      </w:r>
      <w:r>
        <w:rPr>
          <w:sz w:val="24"/>
        </w:rPr>
        <w:fldChar w:fldCharType="begin"/>
      </w:r>
      <w:r>
        <w:rPr>
          <w:sz w:val="24"/>
        </w:rPr>
        <w:instrText xml:space="preserve">PageRef _Toc26843616 \h</w:instrText>
      </w:r>
      <w:r>
        <w:rPr>
          <w:sz w:val="24"/>
        </w:rPr>
        <w:fldChar w:fldCharType="separate"/>
      </w:r>
      <w:r>
        <w:rPr>
          <w:sz w:val="24"/>
        </w:rPr>
        <w:t>7</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"_Toc26843617"</w:instrText>
      </w:r>
      <w:r>
        <w:fldChar w:fldCharType="separate"/>
      </w:r>
      <w:r>
        <w:rPr>
          <w:sz w:val="24"/>
        </w:rPr>
        <w:t>六、一</w:t>
      </w:r>
      <w:r>
        <w:rPr>
          <w:bCs/>
          <w:sz w:val="24"/>
        </w:rPr>
        <w:t>般公共预算财政拨款基本支出决算情况说明</w:t>
      </w:r>
      <w:r>
        <w:rPr>
          <w:sz w:val="24"/>
        </w:rPr>
        <w:tab/>
      </w:r>
      <w:r>
        <w:rPr>
          <w:sz w:val="24"/>
        </w:rPr>
        <w:fldChar w:fldCharType="begin"/>
      </w:r>
      <w:r>
        <w:rPr>
          <w:sz w:val="24"/>
        </w:rPr>
        <w:instrText xml:space="preserve">PageRef _Toc26843617 \h</w:instrText>
      </w:r>
      <w:r>
        <w:rPr>
          <w:sz w:val="24"/>
        </w:rPr>
        <w:fldChar w:fldCharType="separate"/>
      </w:r>
      <w:r>
        <w:rPr>
          <w:sz w:val="24"/>
        </w:rPr>
        <w:t>8</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"_Toc26843618"</w:instrText>
      </w:r>
      <w:r>
        <w:fldChar w:fldCharType="separate"/>
      </w:r>
      <w:r>
        <w:rPr>
          <w:sz w:val="24"/>
        </w:rPr>
        <w:t>七、</w:t>
      </w:r>
      <w:r>
        <w:rPr>
          <w:bCs/>
          <w:sz w:val="24"/>
        </w:rPr>
        <w:t>“三公”经费财政拨款支出决算情况说明</w:t>
      </w:r>
      <w:r>
        <w:rPr>
          <w:sz w:val="24"/>
        </w:rPr>
        <w:tab/>
      </w:r>
      <w:r>
        <w:rPr>
          <w:sz w:val="24"/>
        </w:rPr>
        <w:fldChar w:fldCharType="begin"/>
      </w:r>
      <w:r>
        <w:rPr>
          <w:sz w:val="24"/>
        </w:rPr>
        <w:instrText xml:space="preserve">PageRef _Toc26843618 \h</w:instrText>
      </w:r>
      <w:r>
        <w:rPr>
          <w:sz w:val="24"/>
        </w:rPr>
        <w:fldChar w:fldCharType="separate"/>
      </w:r>
      <w:r>
        <w:rPr>
          <w:sz w:val="24"/>
        </w:rPr>
        <w:t>10</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"_Toc26843619"</w:instrText>
      </w:r>
      <w:r>
        <w:fldChar w:fldCharType="separate"/>
      </w:r>
      <w:r>
        <w:rPr>
          <w:sz w:val="24"/>
        </w:rPr>
        <w:t>八、</w:t>
      </w:r>
      <w:r>
        <w:rPr>
          <w:bCs/>
          <w:sz w:val="24"/>
        </w:rPr>
        <w:t>政府性基金预算支出决算情况说明</w:t>
      </w:r>
      <w:r>
        <w:rPr>
          <w:sz w:val="24"/>
        </w:rPr>
        <w:tab/>
      </w:r>
      <w:r>
        <w:rPr>
          <w:sz w:val="24"/>
        </w:rPr>
        <w:fldChar w:fldCharType="begin"/>
      </w:r>
      <w:r>
        <w:rPr>
          <w:sz w:val="24"/>
        </w:rPr>
        <w:instrText xml:space="preserve">PageRef _Toc26843619 \h</w:instrText>
      </w:r>
      <w:r>
        <w:rPr>
          <w:sz w:val="24"/>
        </w:rPr>
        <w:fldChar w:fldCharType="separate"/>
      </w:r>
      <w:r>
        <w:rPr>
          <w:sz w:val="24"/>
        </w:rPr>
        <w:t>12</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"_Toc26843620"</w:instrText>
      </w:r>
      <w:r>
        <w:fldChar w:fldCharType="separate"/>
      </w:r>
      <w:r>
        <w:rPr>
          <w:bCs/>
          <w:sz w:val="24"/>
        </w:rPr>
        <w:t>九、</w:t>
      </w:r>
      <w:r>
        <w:rPr>
          <w:sz w:val="24"/>
        </w:rPr>
        <w:t xml:space="preserve">  </w:t>
      </w:r>
      <w:r>
        <w:rPr>
          <w:bCs/>
          <w:sz w:val="24"/>
        </w:rPr>
        <w:t>国有资本经营预算支出决算情况说明</w:t>
      </w:r>
      <w:r>
        <w:rPr>
          <w:sz w:val="24"/>
        </w:rPr>
        <w:tab/>
      </w:r>
      <w:r>
        <w:rPr>
          <w:sz w:val="24"/>
        </w:rPr>
        <w:fldChar w:fldCharType="begin"/>
      </w:r>
      <w:r>
        <w:rPr>
          <w:sz w:val="24"/>
        </w:rPr>
        <w:instrText xml:space="preserve">PageRef _Toc26843620 \h</w:instrText>
      </w:r>
      <w:r>
        <w:rPr>
          <w:sz w:val="24"/>
        </w:rPr>
        <w:fldChar w:fldCharType="separate"/>
      </w:r>
      <w:r>
        <w:rPr>
          <w:sz w:val="24"/>
        </w:rPr>
        <w:t>13</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"_Toc26843621"</w:instrText>
      </w:r>
      <w:r>
        <w:fldChar w:fldCharType="separate"/>
      </w:r>
      <w:r>
        <w:rPr>
          <w:bCs/>
          <w:sz w:val="24"/>
        </w:rPr>
        <w:t>十、</w:t>
      </w:r>
      <w:r>
        <w:rPr>
          <w:sz w:val="24"/>
        </w:rPr>
        <w:t xml:space="preserve">  </w:t>
      </w:r>
      <w:r>
        <w:rPr>
          <w:bCs/>
          <w:sz w:val="24"/>
        </w:rPr>
        <w:t>其他重要事项的情况说明</w:t>
      </w:r>
      <w:r>
        <w:rPr>
          <w:sz w:val="24"/>
        </w:rPr>
        <w:tab/>
      </w:r>
      <w:r>
        <w:rPr>
          <w:sz w:val="24"/>
        </w:rPr>
        <w:fldChar w:fldCharType="begin"/>
      </w:r>
      <w:r>
        <w:rPr>
          <w:sz w:val="24"/>
        </w:rPr>
        <w:instrText xml:space="preserve">PageRef _Toc26843621 \h</w:instrText>
      </w:r>
      <w:r>
        <w:rPr>
          <w:sz w:val="24"/>
        </w:rPr>
        <w:fldChar w:fldCharType="separate"/>
      </w:r>
      <w:r>
        <w:rPr>
          <w:sz w:val="24"/>
        </w:rPr>
        <w:t>13</w:t>
      </w:r>
      <w:r>
        <w:rPr>
          <w:sz w:val="24"/>
        </w:rPr>
        <w:fldChar w:fldCharType="end"/>
      </w:r>
      <w:r>
        <w:fldChar w:fldCharType="end"/>
      </w:r>
    </w:p>
    <w:p>
      <w:pPr>
        <w:pStyle w:val="10"/>
        <w:adjustRightInd w:val="0"/>
        <w:snapToGrid w:val="0"/>
        <w:spacing w:before="0" w:line="440" w:lineRule="exact"/>
        <w:jc w:val="left"/>
        <w:rPr>
          <w:rFonts w:ascii="Times New Roman" w:hAnsi="Times New Roman"/>
          <w:sz w:val="24"/>
        </w:rPr>
      </w:pPr>
      <w:r>
        <w:fldChar w:fldCharType="begin"/>
      </w:r>
      <w:r>
        <w:instrText xml:space="preserve">Hyperlink \l "_Toc26843622"</w:instrText>
      </w:r>
      <w:r>
        <w:fldChar w:fldCharType="separate"/>
      </w:r>
      <w:r>
        <w:rPr>
          <w:rFonts w:ascii="Times New Roman" w:hAnsi="Times New Roman"/>
          <w:bCs/>
          <w:sz w:val="24"/>
        </w:rPr>
        <w:t>第三部分</w:t>
      </w:r>
      <w:r>
        <w:rPr>
          <w:rFonts w:ascii="Times New Roman" w:hAnsi="Times New Roman"/>
          <w:sz w:val="24"/>
        </w:rPr>
        <w:t xml:space="preserve">  名</w:t>
      </w:r>
      <w:r>
        <w:rPr>
          <w:rFonts w:ascii="Times New Roman" w:hAnsi="Times New Roman"/>
          <w:bCs/>
          <w:sz w:val="24"/>
        </w:rPr>
        <w:t>词解释</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PageRef _Toc26843622 \h</w:instrText>
      </w:r>
      <w:r>
        <w:rPr>
          <w:rFonts w:ascii="Times New Roman" w:hAnsi="Times New Roman"/>
          <w:sz w:val="24"/>
        </w:rPr>
        <w:fldChar w:fldCharType="separate"/>
      </w:r>
      <w:r>
        <w:rPr>
          <w:rFonts w:ascii="Times New Roman" w:hAnsi="Times New Roman"/>
          <w:sz w:val="24"/>
        </w:rPr>
        <w:t>15</w:t>
      </w:r>
      <w:r>
        <w:rPr>
          <w:rFonts w:ascii="Times New Roman" w:hAnsi="Times New Roman"/>
          <w:sz w:val="24"/>
        </w:rPr>
        <w:fldChar w:fldCharType="end"/>
      </w:r>
      <w:r>
        <w:fldChar w:fldCharType="end"/>
      </w:r>
    </w:p>
    <w:p>
      <w:pPr>
        <w:pStyle w:val="10"/>
        <w:adjustRightInd w:val="0"/>
        <w:snapToGrid w:val="0"/>
        <w:spacing w:before="0" w:line="440" w:lineRule="exact"/>
        <w:jc w:val="left"/>
        <w:rPr>
          <w:rFonts w:ascii="Times New Roman" w:hAnsi="Times New Roman"/>
          <w:sz w:val="24"/>
        </w:rPr>
      </w:pPr>
      <w:r>
        <w:fldChar w:fldCharType="begin"/>
      </w:r>
      <w:r>
        <w:instrText xml:space="preserve">Hyperlink \l "_Toc26843623"</w:instrText>
      </w:r>
      <w:r>
        <w:fldChar w:fldCharType="separate"/>
      </w:r>
      <w:r>
        <w:rPr>
          <w:rFonts w:ascii="Times New Roman" w:hAnsi="Times New Roman"/>
          <w:sz w:val="24"/>
        </w:rPr>
        <w:t>第</w:t>
      </w:r>
      <w:r>
        <w:rPr>
          <w:rFonts w:ascii="Times New Roman" w:hAnsi="Times New Roman"/>
          <w:bCs/>
          <w:sz w:val="24"/>
        </w:rPr>
        <w:t>四部分 附件　部门整体支出绩效报告</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PageRef _Toc26843623 \h</w:instrText>
      </w:r>
      <w:r>
        <w:rPr>
          <w:rFonts w:ascii="Times New Roman" w:hAnsi="Times New Roman"/>
          <w:sz w:val="24"/>
        </w:rPr>
        <w:fldChar w:fldCharType="separate"/>
      </w:r>
      <w:r>
        <w:rPr>
          <w:rFonts w:ascii="Times New Roman" w:hAnsi="Times New Roman"/>
          <w:sz w:val="24"/>
        </w:rPr>
        <w:t>17</w:t>
      </w:r>
      <w:r>
        <w:rPr>
          <w:rFonts w:ascii="Times New Roman" w:hAnsi="Times New Roman"/>
          <w:sz w:val="24"/>
        </w:rPr>
        <w:fldChar w:fldCharType="end"/>
      </w:r>
      <w:r>
        <w:fldChar w:fldCharType="end"/>
      </w:r>
    </w:p>
    <w:p>
      <w:pPr>
        <w:pStyle w:val="10"/>
        <w:adjustRightInd w:val="0"/>
        <w:snapToGrid w:val="0"/>
        <w:spacing w:before="0" w:line="440" w:lineRule="exact"/>
        <w:jc w:val="left"/>
        <w:rPr>
          <w:rFonts w:ascii="Times New Roman" w:hAnsi="Times New Roman"/>
          <w:sz w:val="24"/>
        </w:rPr>
      </w:pPr>
      <w:r>
        <w:fldChar w:fldCharType="begin"/>
      </w:r>
      <w:r>
        <w:instrText xml:space="preserve">Hyperlink \l "_Toc26843625"</w:instrText>
      </w:r>
      <w:r>
        <w:fldChar w:fldCharType="separate"/>
      </w:r>
      <w:r>
        <w:rPr>
          <w:rFonts w:ascii="Times New Roman" w:hAnsi="Times New Roman"/>
          <w:sz w:val="24"/>
        </w:rPr>
        <w:t>第</w:t>
      </w:r>
      <w:r>
        <w:rPr>
          <w:rFonts w:ascii="Times New Roman" w:hAnsi="Times New Roman"/>
          <w:bCs/>
          <w:sz w:val="24"/>
        </w:rPr>
        <w:t>五部分 附表</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PageRef _Toc26843625 \h</w:instrText>
      </w:r>
      <w:r>
        <w:rPr>
          <w:rFonts w:ascii="Times New Roman" w:hAnsi="Times New Roman"/>
          <w:sz w:val="24"/>
        </w:rPr>
        <w:fldChar w:fldCharType="separate"/>
      </w:r>
      <w:r>
        <w:rPr>
          <w:rFonts w:ascii="Times New Roman" w:hAnsi="Times New Roman"/>
          <w:sz w:val="24"/>
        </w:rPr>
        <w:t>24</w:t>
      </w:r>
      <w:r>
        <w:rPr>
          <w:rFonts w:ascii="Times New Roman" w:hAnsi="Times New Roman"/>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"_Toc26843626"</w:instrText>
      </w:r>
      <w:r>
        <w:fldChar w:fldCharType="separate"/>
      </w:r>
      <w:r>
        <w:rPr>
          <w:sz w:val="24"/>
        </w:rPr>
        <w:t>一、收</w:t>
      </w:r>
      <w:r>
        <w:rPr>
          <w:bCs/>
          <w:sz w:val="24"/>
        </w:rPr>
        <w:t>入支出决算总表</w:t>
      </w:r>
      <w:r>
        <w:rPr>
          <w:sz w:val="24"/>
        </w:rPr>
        <w:tab/>
      </w:r>
      <w:r>
        <w:rPr>
          <w:sz w:val="24"/>
        </w:rPr>
        <w:fldChar w:fldCharType="begin"/>
      </w:r>
      <w:r>
        <w:rPr>
          <w:sz w:val="24"/>
        </w:rPr>
        <w:instrText xml:space="preserve">PageRef _Toc26843626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"_Toc26843627"</w:instrText>
      </w:r>
      <w:r>
        <w:fldChar w:fldCharType="separate"/>
      </w:r>
      <w:r>
        <w:rPr>
          <w:sz w:val="24"/>
        </w:rPr>
        <w:t>二、收</w:t>
      </w:r>
      <w:r>
        <w:rPr>
          <w:bCs/>
          <w:sz w:val="24"/>
        </w:rPr>
        <w:t>入决算表</w:t>
      </w:r>
      <w:r>
        <w:rPr>
          <w:sz w:val="24"/>
        </w:rPr>
        <w:tab/>
      </w:r>
      <w:r>
        <w:rPr>
          <w:sz w:val="24"/>
        </w:rPr>
        <w:fldChar w:fldCharType="begin"/>
      </w:r>
      <w:r>
        <w:rPr>
          <w:sz w:val="24"/>
        </w:rPr>
        <w:instrText xml:space="preserve">PageRef _Toc26843627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"_Toc26843628"</w:instrText>
      </w:r>
      <w:r>
        <w:fldChar w:fldCharType="separate"/>
      </w:r>
      <w:r>
        <w:rPr>
          <w:bCs/>
          <w:sz w:val="24"/>
        </w:rPr>
        <w:t>三、</w:t>
      </w:r>
      <w:r>
        <w:rPr>
          <w:sz w:val="24"/>
        </w:rPr>
        <w:t>支</w:t>
      </w:r>
      <w:r>
        <w:rPr>
          <w:bCs/>
          <w:sz w:val="24"/>
        </w:rPr>
        <w:t>出决算表</w:t>
      </w:r>
      <w:r>
        <w:rPr>
          <w:sz w:val="24"/>
        </w:rPr>
        <w:tab/>
      </w:r>
      <w:r>
        <w:rPr>
          <w:sz w:val="24"/>
        </w:rPr>
        <w:fldChar w:fldCharType="begin"/>
      </w:r>
      <w:r>
        <w:rPr>
          <w:sz w:val="24"/>
        </w:rPr>
        <w:instrText xml:space="preserve">PageRef _Toc26843628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"_Toc26843629"</w:instrText>
      </w:r>
      <w:r>
        <w:fldChar w:fldCharType="separate"/>
      </w:r>
      <w:r>
        <w:rPr>
          <w:bCs/>
          <w:sz w:val="24"/>
        </w:rPr>
        <w:t>四、</w:t>
      </w:r>
      <w:r>
        <w:rPr>
          <w:sz w:val="24"/>
        </w:rPr>
        <w:t>财</w:t>
      </w:r>
      <w:r>
        <w:rPr>
          <w:bCs/>
          <w:sz w:val="24"/>
        </w:rPr>
        <w:t>政拨款收入支出决算总表</w:t>
      </w:r>
      <w:r>
        <w:rPr>
          <w:sz w:val="24"/>
        </w:rPr>
        <w:tab/>
      </w:r>
      <w:r>
        <w:rPr>
          <w:sz w:val="24"/>
        </w:rPr>
        <w:fldChar w:fldCharType="begin"/>
      </w:r>
      <w:r>
        <w:rPr>
          <w:sz w:val="24"/>
        </w:rPr>
        <w:instrText xml:space="preserve">PageRef _Toc26843629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"_Toc26843630"</w:instrText>
      </w:r>
      <w:r>
        <w:fldChar w:fldCharType="separate"/>
      </w:r>
      <w:r>
        <w:rPr>
          <w:bCs/>
          <w:sz w:val="24"/>
        </w:rPr>
        <w:t>五、</w:t>
      </w:r>
      <w:r>
        <w:rPr>
          <w:sz w:val="24"/>
        </w:rPr>
        <w:t>财</w:t>
      </w:r>
      <w:r>
        <w:rPr>
          <w:bCs/>
          <w:sz w:val="24"/>
        </w:rPr>
        <w:t>政拨款支出决算明细表</w:t>
      </w:r>
      <w:r>
        <w:rPr>
          <w:sz w:val="24"/>
        </w:rPr>
        <w:tab/>
      </w:r>
      <w:r>
        <w:rPr>
          <w:sz w:val="24"/>
        </w:rPr>
        <w:fldChar w:fldCharType="begin"/>
      </w:r>
      <w:r>
        <w:rPr>
          <w:sz w:val="24"/>
        </w:rPr>
        <w:instrText xml:space="preserve">PageRef _Toc26843630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"_Toc26843631"</w:instrText>
      </w:r>
      <w:r>
        <w:fldChar w:fldCharType="separate"/>
      </w:r>
      <w:r>
        <w:rPr>
          <w:bCs/>
          <w:sz w:val="24"/>
        </w:rPr>
        <w:t>六、</w:t>
      </w:r>
      <w:r>
        <w:rPr>
          <w:sz w:val="24"/>
        </w:rPr>
        <w:t>一</w:t>
      </w:r>
      <w:r>
        <w:rPr>
          <w:bCs/>
          <w:sz w:val="24"/>
        </w:rPr>
        <w:t>般公共预算财政拨款支出决算表</w:t>
      </w:r>
      <w:r>
        <w:rPr>
          <w:sz w:val="24"/>
        </w:rPr>
        <w:tab/>
      </w:r>
      <w:r>
        <w:rPr>
          <w:sz w:val="24"/>
        </w:rPr>
        <w:fldChar w:fldCharType="begin"/>
      </w:r>
      <w:r>
        <w:rPr>
          <w:sz w:val="24"/>
        </w:rPr>
        <w:instrText xml:space="preserve">PageRef _Toc26843631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"_Toc26843632"</w:instrText>
      </w:r>
      <w:r>
        <w:fldChar w:fldCharType="separate"/>
      </w:r>
      <w:r>
        <w:rPr>
          <w:bCs/>
          <w:sz w:val="24"/>
        </w:rPr>
        <w:t>七、</w:t>
      </w:r>
      <w:r>
        <w:rPr>
          <w:sz w:val="24"/>
        </w:rPr>
        <w:t>一</w:t>
      </w:r>
      <w:r>
        <w:rPr>
          <w:bCs/>
          <w:sz w:val="24"/>
        </w:rPr>
        <w:t>般公共预算财政拨款支出决算明细表</w:t>
      </w:r>
      <w:r>
        <w:rPr>
          <w:sz w:val="24"/>
        </w:rPr>
        <w:tab/>
      </w:r>
      <w:r>
        <w:rPr>
          <w:sz w:val="24"/>
        </w:rPr>
        <w:fldChar w:fldCharType="begin"/>
      </w:r>
      <w:r>
        <w:rPr>
          <w:sz w:val="24"/>
        </w:rPr>
        <w:instrText xml:space="preserve">PageRef _Toc26843632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"_Toc26843633"</w:instrText>
      </w:r>
      <w:r>
        <w:fldChar w:fldCharType="separate"/>
      </w:r>
      <w:r>
        <w:rPr>
          <w:bCs/>
          <w:sz w:val="24"/>
        </w:rPr>
        <w:t>八、</w:t>
      </w:r>
      <w:r>
        <w:rPr>
          <w:sz w:val="24"/>
        </w:rPr>
        <w:t>一</w:t>
      </w:r>
      <w:r>
        <w:rPr>
          <w:bCs/>
          <w:sz w:val="24"/>
        </w:rPr>
        <w:t>般公共预算财政拨款基本支出决算表</w:t>
      </w:r>
      <w:r>
        <w:rPr>
          <w:sz w:val="24"/>
        </w:rPr>
        <w:tab/>
      </w:r>
      <w:r>
        <w:rPr>
          <w:sz w:val="24"/>
        </w:rPr>
        <w:fldChar w:fldCharType="begin"/>
      </w:r>
      <w:r>
        <w:rPr>
          <w:sz w:val="24"/>
        </w:rPr>
        <w:instrText xml:space="preserve">PageRef _Toc26843633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"_Toc26843634"</w:instrText>
      </w:r>
      <w:r>
        <w:fldChar w:fldCharType="separate"/>
      </w:r>
      <w:r>
        <w:rPr>
          <w:bCs/>
          <w:sz w:val="24"/>
        </w:rPr>
        <w:t>九、</w:t>
      </w:r>
      <w:r>
        <w:rPr>
          <w:sz w:val="24"/>
        </w:rPr>
        <w:t>一</w:t>
      </w:r>
      <w:r>
        <w:rPr>
          <w:bCs/>
          <w:sz w:val="24"/>
        </w:rPr>
        <w:t>般公共预算财政拨款项目支出决算表</w:t>
      </w:r>
      <w:r>
        <w:rPr>
          <w:sz w:val="24"/>
        </w:rPr>
        <w:tab/>
      </w:r>
      <w:r>
        <w:rPr>
          <w:sz w:val="24"/>
        </w:rPr>
        <w:fldChar w:fldCharType="begin"/>
      </w:r>
      <w:r>
        <w:rPr>
          <w:sz w:val="24"/>
        </w:rPr>
        <w:instrText xml:space="preserve">PageRef _Toc26843634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"_Toc26843635"</w:instrText>
      </w:r>
      <w:r>
        <w:fldChar w:fldCharType="separate"/>
      </w:r>
      <w:r>
        <w:rPr>
          <w:bCs/>
          <w:sz w:val="24"/>
        </w:rPr>
        <w:t>十、</w:t>
      </w:r>
      <w:r>
        <w:rPr>
          <w:sz w:val="24"/>
        </w:rPr>
        <w:t>一</w:t>
      </w:r>
      <w:r>
        <w:rPr>
          <w:bCs/>
          <w:sz w:val="24"/>
        </w:rPr>
        <w:t>般公共预算财政拨款“三公”经费支出决算表</w:t>
      </w:r>
      <w:r>
        <w:rPr>
          <w:sz w:val="24"/>
        </w:rPr>
        <w:tab/>
      </w:r>
      <w:r>
        <w:rPr>
          <w:sz w:val="24"/>
        </w:rPr>
        <w:fldChar w:fldCharType="begin"/>
      </w:r>
      <w:r>
        <w:rPr>
          <w:sz w:val="24"/>
        </w:rPr>
        <w:instrText xml:space="preserve">PageRef _Toc26843635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"_Toc26843636"</w:instrText>
      </w:r>
      <w:r>
        <w:fldChar w:fldCharType="separate"/>
      </w:r>
      <w:r>
        <w:rPr>
          <w:bCs/>
          <w:sz w:val="24"/>
        </w:rPr>
        <w:t>十一、</w:t>
      </w:r>
      <w:r>
        <w:rPr>
          <w:sz w:val="24"/>
        </w:rPr>
        <w:t>政</w:t>
      </w:r>
      <w:r>
        <w:rPr>
          <w:bCs/>
          <w:sz w:val="24"/>
        </w:rPr>
        <w:t>府性基金预算财政拨款收入支出决算表</w:t>
      </w:r>
      <w:r>
        <w:rPr>
          <w:sz w:val="24"/>
        </w:rPr>
        <w:tab/>
      </w:r>
      <w:r>
        <w:rPr>
          <w:sz w:val="24"/>
        </w:rPr>
        <w:fldChar w:fldCharType="begin"/>
      </w:r>
      <w:r>
        <w:rPr>
          <w:sz w:val="24"/>
        </w:rPr>
        <w:instrText xml:space="preserve">PageRef _Toc26843636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rPr>
          <w:sz w:val="24"/>
        </w:rPr>
      </w:pPr>
      <w:r>
        <w:fldChar w:fldCharType="begin"/>
      </w:r>
      <w:r>
        <w:instrText xml:space="preserve">Hyperlink \l "_Toc26843638"</w:instrText>
      </w:r>
      <w:r>
        <w:fldChar w:fldCharType="separate"/>
      </w:r>
      <w:r>
        <w:rPr>
          <w:bCs/>
          <w:sz w:val="24"/>
        </w:rPr>
        <w:t>十</w:t>
      </w:r>
      <w:r>
        <w:rPr>
          <w:rFonts w:hint="eastAsia"/>
          <w:bCs/>
          <w:sz w:val="24"/>
        </w:rPr>
        <w:t>二</w:t>
      </w:r>
      <w:r>
        <w:rPr>
          <w:bCs/>
          <w:sz w:val="24"/>
        </w:rPr>
        <w:t>、</w:t>
      </w:r>
      <w:r>
        <w:rPr>
          <w:sz w:val="24"/>
        </w:rPr>
        <w:t>国</w:t>
      </w:r>
      <w:r>
        <w:rPr>
          <w:bCs/>
          <w:sz w:val="24"/>
        </w:rPr>
        <w:t>有资本经营预算财政拨款收入支出决算表</w:t>
      </w:r>
      <w:r>
        <w:rPr>
          <w:sz w:val="24"/>
        </w:rPr>
        <w:tab/>
      </w:r>
      <w:r>
        <w:rPr>
          <w:sz w:val="24"/>
        </w:rPr>
        <w:fldChar w:fldCharType="begin"/>
      </w:r>
      <w:r>
        <w:rPr>
          <w:sz w:val="24"/>
        </w:rPr>
        <w:instrText xml:space="preserve">PageRef _Toc26843638 \h</w:instrText>
      </w:r>
      <w:r>
        <w:rPr>
          <w:sz w:val="24"/>
        </w:rPr>
        <w:fldChar w:fldCharType="separate"/>
      </w:r>
      <w:r>
        <w:rPr>
          <w:sz w:val="24"/>
        </w:rPr>
        <w:t>24</w:t>
      </w:r>
      <w:r>
        <w:rPr>
          <w:sz w:val="24"/>
        </w:rPr>
        <w:fldChar w:fldCharType="end"/>
      </w:r>
      <w:r>
        <w:fldChar w:fldCharType="end"/>
      </w:r>
    </w:p>
    <w:p>
      <w:pPr>
        <w:pStyle w:val="11"/>
        <w:adjustRightInd w:val="0"/>
        <w:snapToGrid w:val="0"/>
        <w:spacing w:line="440" w:lineRule="exact"/>
        <w:jc w:val="left"/>
      </w:pPr>
      <w:r>
        <w:fldChar w:fldCharType="begin"/>
      </w:r>
      <w:r>
        <w:instrText xml:space="preserve">Hyperlink \l "_Toc26843639"</w:instrText>
      </w:r>
      <w:r>
        <w:fldChar w:fldCharType="separate"/>
      </w:r>
      <w:r>
        <w:rPr>
          <w:sz w:val="24"/>
        </w:rPr>
        <w:t>十</w:t>
      </w:r>
      <w:r>
        <w:rPr>
          <w:rFonts w:hint="eastAsia"/>
          <w:sz w:val="24"/>
        </w:rPr>
        <w:t>三</w:t>
      </w:r>
      <w:r>
        <w:rPr>
          <w:sz w:val="24"/>
        </w:rPr>
        <w:t>、国有资本经营预算财政拨款支出决算表</w:t>
      </w:r>
      <w:r>
        <w:rPr>
          <w:sz w:val="24"/>
        </w:rPr>
        <w:tab/>
      </w:r>
      <w:r>
        <w:rPr>
          <w:sz w:val="24"/>
        </w:rPr>
        <w:fldChar w:fldCharType="begin"/>
      </w:r>
      <w:r>
        <w:rPr>
          <w:sz w:val="24"/>
        </w:rPr>
        <w:instrText xml:space="preserve">PageRef _Toc26843639 \h</w:instrText>
      </w:r>
      <w:r>
        <w:rPr>
          <w:sz w:val="24"/>
        </w:rPr>
        <w:fldChar w:fldCharType="separate"/>
      </w:r>
      <w:r>
        <w:rPr>
          <w:sz w:val="24"/>
        </w:rPr>
        <w:t>24</w:t>
      </w:r>
      <w:r>
        <w:rPr>
          <w:sz w:val="24"/>
        </w:rPr>
        <w:fldChar w:fldCharType="end"/>
      </w:r>
      <w:r>
        <w:fldChar w:fldCharType="end"/>
      </w:r>
      <w:r>
        <w:fldChar w:fldCharType="end"/>
      </w:r>
    </w:p>
    <w:p>
      <w:pPr>
        <w:widowControl/>
        <w:spacing w:line="440" w:lineRule="exact"/>
        <w:jc w:val="left"/>
        <w:rPr>
          <w:rFonts w:eastAsia="仿宋"/>
          <w:bCs/>
          <w:kern w:val="44"/>
          <w:sz w:val="24"/>
        </w:rPr>
      </w:pPr>
      <w:bookmarkStart w:id="7" w:name="_Toc15377196"/>
      <w:bookmarkStart w:id="8" w:name="_Toc15396599"/>
      <w:r>
        <w:rPr>
          <w:rFonts w:eastAsia="仿宋"/>
          <w:b/>
          <w:sz w:val="24"/>
        </w:rPr>
        <w:br w:type="page"/>
      </w:r>
    </w:p>
    <w:p>
      <w:pPr>
        <w:pStyle w:val="2"/>
        <w:spacing w:line="576" w:lineRule="exact"/>
        <w:jc w:val="center"/>
        <w:rPr>
          <w:rStyle w:val="20"/>
          <w:rFonts w:eastAsia="黑体"/>
          <w:b/>
          <w:bCs w:val="0"/>
        </w:rPr>
      </w:pPr>
      <w:bookmarkStart w:id="9" w:name="_Toc26843604"/>
      <w:r>
        <w:rPr>
          <w:rFonts w:eastAsia="黑体"/>
          <w:b w:val="0"/>
        </w:rPr>
        <w:t>第一部分 部门概况</w:t>
      </w:r>
      <w:bookmarkEnd w:id="7"/>
      <w:bookmarkEnd w:id="8"/>
      <w:bookmarkEnd w:id="9"/>
    </w:p>
    <w:p>
      <w:pPr>
        <w:widowControl/>
        <w:spacing w:line="576" w:lineRule="exact"/>
        <w:jc w:val="left"/>
        <w:rPr>
          <w:rFonts w:eastAsia="黑体"/>
          <w:sz w:val="32"/>
          <w:szCs w:val="32"/>
        </w:rPr>
      </w:pPr>
    </w:p>
    <w:p>
      <w:pPr>
        <w:pStyle w:val="3"/>
        <w:spacing w:after="0" w:line="576" w:lineRule="exact"/>
        <w:rPr>
          <w:rStyle w:val="21"/>
          <w:rFonts w:ascii="Times New Roman" w:hAnsi="Times New Roman" w:eastAsia="黑体"/>
          <w:b w:val="0"/>
          <w:bCs w:val="0"/>
        </w:rPr>
      </w:pPr>
      <w:bookmarkStart w:id="10" w:name="_Toc15377197"/>
      <w:bookmarkStart w:id="11" w:name="_Toc26843605"/>
      <w:bookmarkStart w:id="12" w:name="_Toc15396600"/>
      <w:r>
        <w:rPr>
          <w:rStyle w:val="21"/>
          <w:rFonts w:ascii="Times New Roman" w:hAnsi="Times New Roman" w:eastAsia="黑体"/>
          <w:b w:val="0"/>
          <w:bCs w:val="0"/>
        </w:rPr>
        <w:t>一、基本职能及主要工作</w:t>
      </w:r>
      <w:bookmarkEnd w:id="10"/>
      <w:bookmarkEnd w:id="11"/>
      <w:bookmarkEnd w:id="12"/>
    </w:p>
    <w:p>
      <w:pPr>
        <w:pStyle w:val="7"/>
        <w:adjustRightInd w:val="0"/>
        <w:snapToGrid w:val="0"/>
        <w:spacing w:before="93" w:line="576" w:lineRule="exact"/>
        <w:ind w:firstLine="668" w:firstLineChars="208"/>
        <w:outlineLvl w:val="2"/>
        <w:rPr>
          <w:rFonts w:eastAsia="楷体"/>
          <w:b/>
          <w:color w:val="000000"/>
          <w:kern w:val="0"/>
          <w:sz w:val="32"/>
          <w:szCs w:val="32"/>
        </w:rPr>
      </w:pPr>
      <w:bookmarkStart w:id="13" w:name="_Toc15377198"/>
      <w:bookmarkStart w:id="14" w:name="_Toc15378445"/>
      <w:r>
        <w:rPr>
          <w:rFonts w:eastAsia="楷体"/>
          <w:b/>
          <w:color w:val="000000"/>
          <w:kern w:val="0"/>
          <w:sz w:val="32"/>
          <w:szCs w:val="32"/>
        </w:rPr>
        <w:t>（一）主要职能。</w:t>
      </w:r>
      <w:bookmarkEnd w:id="13"/>
      <w:bookmarkEnd w:id="14"/>
    </w:p>
    <w:p>
      <w:pPr>
        <w:spacing w:line="578" w:lineRule="exact"/>
        <w:ind w:firstLine="640" w:firstLineChars="200"/>
        <w:rPr>
          <w:rFonts w:ascii="宋体" w:cs="宋体"/>
          <w:color w:val="000000"/>
          <w:sz w:val="32"/>
          <w:szCs w:val="32"/>
        </w:rPr>
      </w:pPr>
      <w:bookmarkStart w:id="15" w:name="_Toc15377199"/>
      <w:bookmarkStart w:id="16" w:name="_Toc15378446"/>
      <w:r>
        <w:rPr>
          <w:rFonts w:hint="eastAsia" w:ascii="宋体" w:cs="宋体"/>
          <w:color w:val="000000"/>
          <w:sz w:val="32"/>
          <w:szCs w:val="32"/>
        </w:rPr>
        <w:t>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pPr>
        <w:pStyle w:val="7"/>
        <w:adjustRightInd w:val="0"/>
        <w:snapToGrid w:val="0"/>
        <w:spacing w:before="93" w:line="576" w:lineRule="exact"/>
        <w:ind w:firstLine="668" w:firstLineChars="208"/>
        <w:outlineLvl w:val="2"/>
        <w:rPr>
          <w:rFonts w:eastAsia="方正楷体_GBK"/>
          <w:b/>
          <w:bCs/>
          <w:color w:val="000000"/>
          <w:kern w:val="0"/>
          <w:sz w:val="32"/>
          <w:szCs w:val="32"/>
        </w:rPr>
      </w:pPr>
      <w:r>
        <w:rPr>
          <w:rFonts w:eastAsia="方正楷体_GBK"/>
          <w:b/>
          <w:bCs/>
          <w:color w:val="000000"/>
          <w:kern w:val="0"/>
          <w:sz w:val="32"/>
          <w:szCs w:val="32"/>
        </w:rPr>
        <w:t>（二）202</w:t>
      </w:r>
      <w:r>
        <w:rPr>
          <w:rFonts w:hint="eastAsia" w:eastAsia="方正楷体_GBK"/>
          <w:b/>
          <w:bCs/>
          <w:color w:val="000000"/>
          <w:kern w:val="0"/>
          <w:sz w:val="32"/>
          <w:szCs w:val="32"/>
        </w:rPr>
        <w:t>4</w:t>
      </w:r>
      <w:r>
        <w:rPr>
          <w:rFonts w:eastAsia="方正楷体_GBK"/>
          <w:b/>
          <w:bCs/>
          <w:color w:val="000000"/>
          <w:kern w:val="0"/>
          <w:sz w:val="32"/>
          <w:szCs w:val="32"/>
        </w:rPr>
        <w:t>年重点工作完成情况。</w:t>
      </w:r>
      <w:bookmarkEnd w:id="15"/>
      <w:bookmarkEnd w:id="16"/>
    </w:p>
    <w:p>
      <w:pPr>
        <w:spacing w:line="578" w:lineRule="exact"/>
        <w:ind w:firstLine="640" w:firstLineChars="200"/>
        <w:rPr>
          <w:rFonts w:ascii="宋体" w:cs="宋体"/>
          <w:color w:val="000000"/>
          <w:sz w:val="32"/>
          <w:szCs w:val="32"/>
        </w:rPr>
      </w:pPr>
      <w:bookmarkStart w:id="17" w:name="_Toc79163605"/>
      <w:bookmarkStart w:id="18" w:name="_Toc79163855"/>
      <w:r>
        <w:rPr>
          <w:rFonts w:hint="eastAsia" w:ascii="宋体" w:cs="宋体"/>
          <w:color w:val="000000"/>
          <w:sz w:val="32"/>
          <w:szCs w:val="32"/>
        </w:rPr>
        <w:t>2024年委机关继续坚持积极稳妥，收入预算与经济发展相协调；坚持厉行节约，努力降低行政成本；坚持改革创新，着力提高财政绩效。全面完成2024年各项工作，取得了实效。认真、及时完成县委、州纪委交办的其它工作。</w:t>
      </w:r>
    </w:p>
    <w:p>
      <w:pPr>
        <w:pStyle w:val="3"/>
        <w:spacing w:after="0" w:line="576" w:lineRule="exact"/>
        <w:rPr>
          <w:rStyle w:val="21"/>
          <w:rFonts w:ascii="Times New Roman" w:hAnsi="Times New Roman" w:eastAsia="方正黑体_GBK"/>
          <w:b w:val="0"/>
          <w:bCs w:val="0"/>
        </w:rPr>
      </w:pPr>
      <w:r>
        <w:rPr>
          <w:rFonts w:ascii="Times New Roman" w:hAnsi="Times New Roman" w:eastAsia="黑体"/>
          <w:b w:val="0"/>
          <w:color w:val="000000"/>
        </w:rPr>
        <w:t xml:space="preserve">   </w:t>
      </w:r>
      <w:bookmarkEnd w:id="17"/>
      <w:bookmarkEnd w:id="18"/>
      <w:bookmarkStart w:id="19" w:name="_Toc15396601"/>
      <w:bookmarkStart w:id="20" w:name="_Toc15377200"/>
      <w:bookmarkStart w:id="21" w:name="_Toc26843606"/>
      <w:r>
        <w:rPr>
          <w:rStyle w:val="21"/>
          <w:rFonts w:ascii="Times New Roman" w:hAnsi="Times New Roman" w:eastAsia="黑体"/>
          <w:b w:val="0"/>
          <w:bCs w:val="0"/>
        </w:rPr>
        <w:t>二、机构设置</w:t>
      </w:r>
      <w:bookmarkEnd w:id="19"/>
      <w:bookmarkEnd w:id="20"/>
      <w:bookmarkEnd w:id="21"/>
    </w:p>
    <w:p>
      <w:pPr>
        <w:ind w:firstLine="480" w:firstLineChars="150"/>
        <w:rPr>
          <w:rFonts w:ascii="宋体" w:cs="宋体"/>
          <w:color w:val="000000"/>
          <w:sz w:val="32"/>
          <w:szCs w:val="32"/>
        </w:rPr>
      </w:pPr>
      <w:r>
        <w:rPr>
          <w:rFonts w:hint="eastAsia" w:ascii="宋体" w:cs="宋体"/>
          <w:color w:val="000000"/>
          <w:sz w:val="32"/>
          <w:szCs w:val="32"/>
        </w:rPr>
        <w:t>2024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pPr>
        <w:ind w:firstLine="800" w:firstLineChars="250"/>
      </w:pPr>
      <w:r>
        <w:rPr>
          <w:rFonts w:hint="eastAsia" w:ascii="宋体" w:cs="宋体"/>
          <w:color w:val="000000"/>
          <w:sz w:val="32"/>
          <w:szCs w:val="32"/>
        </w:rPr>
        <w:t>总编制51名,其中：行政编制51名（包括行政工勤3名）。年末实有在职人数49名，行政人员49名（包括行政工勤3名</w:t>
      </w:r>
      <w:r>
        <w:rPr>
          <w:rFonts w:ascii="宋体" w:cs="宋体"/>
          <w:color w:val="000000"/>
          <w:sz w:val="32"/>
          <w:szCs w:val="32"/>
        </w:rPr>
        <w:t>）</w:t>
      </w:r>
      <w:r>
        <w:rPr>
          <w:rFonts w:hint="eastAsia" w:ascii="宋体" w:cs="宋体"/>
          <w:color w:val="000000"/>
          <w:sz w:val="32"/>
          <w:szCs w:val="32"/>
        </w:rPr>
        <w:t>。年末实有在职人数比上年增加1人，主要原因为人员调动。</w:t>
      </w:r>
    </w:p>
    <w:p>
      <w:pPr>
        <w:pStyle w:val="2"/>
        <w:spacing w:line="576" w:lineRule="exact"/>
        <w:ind w:right="440"/>
        <w:jc w:val="center"/>
        <w:rPr>
          <w:rFonts w:eastAsia="黑体"/>
          <w:b w:val="0"/>
        </w:rPr>
      </w:pPr>
      <w:bookmarkStart w:id="22" w:name="_Toc26843607"/>
      <w:bookmarkStart w:id="23" w:name="_Toc15377204"/>
      <w:bookmarkStart w:id="24" w:name="_Toc15396602"/>
      <w:r>
        <w:rPr>
          <w:rFonts w:eastAsia="黑体"/>
          <w:b w:val="0"/>
        </w:rPr>
        <w:t>第二部分 2024年度部门决算情况说明</w:t>
      </w:r>
      <w:bookmarkEnd w:id="22"/>
      <w:bookmarkEnd w:id="23"/>
      <w:bookmarkEnd w:id="24"/>
    </w:p>
    <w:p>
      <w:pPr>
        <w:pStyle w:val="26"/>
        <w:numPr>
          <w:ilvl w:val="0"/>
          <w:numId w:val="1"/>
        </w:numPr>
        <w:spacing w:line="576" w:lineRule="exact"/>
        <w:ind w:firstLineChars="0"/>
        <w:outlineLvl w:val="1"/>
        <w:rPr>
          <w:rStyle w:val="21"/>
          <w:rFonts w:ascii="Times New Roman" w:hAnsi="Times New Roman" w:eastAsia="黑体"/>
          <w:b w:val="0"/>
        </w:rPr>
      </w:pPr>
      <w:bookmarkStart w:id="25" w:name="_Toc15377205"/>
      <w:bookmarkStart w:id="26" w:name="_Toc15396603"/>
      <w:bookmarkStart w:id="27" w:name="_Toc26843608"/>
      <w:r>
        <w:rPr>
          <w:rFonts w:eastAsia="黑体"/>
          <w:sz w:val="32"/>
          <w:szCs w:val="32"/>
        </w:rPr>
        <w:t>收</w:t>
      </w:r>
      <w:r>
        <w:rPr>
          <w:rStyle w:val="21"/>
          <w:rFonts w:ascii="Times New Roman" w:hAnsi="Times New Roman" w:eastAsia="黑体"/>
          <w:b w:val="0"/>
        </w:rPr>
        <w:t>入支出决算总体情况说明</w:t>
      </w:r>
      <w:bookmarkEnd w:id="25"/>
      <w:bookmarkEnd w:id="26"/>
      <w:bookmarkEnd w:id="27"/>
    </w:p>
    <w:p>
      <w:pPr>
        <w:widowControl/>
        <w:ind w:firstLine="632" w:firstLineChars="200"/>
        <w:jc w:val="left"/>
        <w:rPr>
          <w:rFonts w:ascii="仿宋" w:hAnsi="仿宋" w:eastAsia="仿宋_GB2312"/>
          <w:color w:val="000000"/>
          <w:kern w:val="0"/>
          <w:sz w:val="32"/>
          <w:szCs w:val="32"/>
        </w:rPr>
      </w:pPr>
      <w:r>
        <w:rPr>
          <w:rFonts w:hint="eastAsia" w:ascii="仿宋_GB2312" w:eastAsia="仿宋_GB2312"/>
          <w:color w:val="000000"/>
          <w:spacing w:val="-2"/>
          <w:sz w:val="32"/>
          <w:szCs w:val="32"/>
        </w:rPr>
        <w:t>2024年度总收入1373.57万元，较上年收入增加33.88万元，增长2.53%。增长的主要原因是2024年</w:t>
      </w:r>
      <w:r>
        <w:rPr>
          <w:rFonts w:hint="eastAsia" w:ascii="仿宋_GB2312" w:eastAsia="仿宋_GB2312"/>
          <w:sz w:val="32"/>
          <w:szCs w:val="32"/>
        </w:rPr>
        <w:t>人员增减变动。</w:t>
      </w:r>
    </w:p>
    <w:p>
      <w:pPr>
        <w:widowControl/>
        <w:ind w:firstLine="632" w:firstLineChars="200"/>
        <w:jc w:val="left"/>
        <w:rPr>
          <w:rFonts w:ascii="仿宋" w:hAnsi="仿宋" w:eastAsia="仿宋_GB2312"/>
          <w:color w:val="000000"/>
          <w:kern w:val="0"/>
          <w:sz w:val="32"/>
          <w:szCs w:val="32"/>
        </w:rPr>
      </w:pPr>
      <w:r>
        <w:rPr>
          <w:rFonts w:hint="eastAsia" w:ascii="仿宋_GB2312" w:eastAsia="仿宋_GB2312"/>
          <w:spacing w:val="-2"/>
          <w:sz w:val="32"/>
          <w:szCs w:val="32"/>
        </w:rPr>
        <w:t>2024年总支出</w:t>
      </w:r>
      <w:r>
        <w:rPr>
          <w:rFonts w:hint="eastAsia" w:ascii="仿宋_GB2312" w:eastAsia="仿宋_GB2312"/>
          <w:color w:val="000000"/>
          <w:spacing w:val="-2"/>
          <w:sz w:val="32"/>
          <w:szCs w:val="32"/>
        </w:rPr>
        <w:t>1373.57</w:t>
      </w:r>
      <w:r>
        <w:rPr>
          <w:rFonts w:hint="eastAsia" w:ascii="仿宋_GB2312" w:eastAsia="仿宋_GB2312"/>
          <w:spacing w:val="-2"/>
          <w:sz w:val="32"/>
          <w:szCs w:val="32"/>
        </w:rPr>
        <w:t>万元，</w:t>
      </w:r>
      <w:r>
        <w:rPr>
          <w:rFonts w:hint="eastAsia" w:ascii="仿宋_GB2312" w:eastAsia="仿宋_GB2312"/>
          <w:color w:val="000000"/>
          <w:spacing w:val="-2"/>
          <w:sz w:val="32"/>
          <w:szCs w:val="32"/>
        </w:rPr>
        <w:t>较上年收入增加33.88万元，增长2.53%。增长的主要原因是2024年</w:t>
      </w:r>
      <w:r>
        <w:rPr>
          <w:rFonts w:hint="eastAsia" w:ascii="仿宋_GB2312" w:eastAsia="仿宋_GB2312"/>
          <w:sz w:val="32"/>
          <w:szCs w:val="32"/>
        </w:rPr>
        <w:t>人员增减变动。</w:t>
      </w:r>
    </w:p>
    <w:p>
      <w:pPr>
        <w:widowControl/>
        <w:ind w:firstLine="2529" w:firstLineChars="700"/>
        <w:jc w:val="left"/>
        <w:rPr>
          <w:rFonts w:ascii="仿宋" w:hAnsi="仿宋" w:eastAsia="仿宋_GB2312"/>
          <w:b/>
          <w:color w:val="000000"/>
          <w:kern w:val="0"/>
          <w:sz w:val="36"/>
          <w:szCs w:val="36"/>
        </w:rPr>
      </w:pPr>
      <w:r>
        <w:rPr>
          <w:rFonts w:hint="eastAsia" w:ascii="仿宋_GB2312" w:eastAsia="仿宋_GB2312"/>
          <w:b/>
          <w:sz w:val="36"/>
          <w:szCs w:val="36"/>
        </w:rPr>
        <w:t>收入支出对比图</w:t>
      </w:r>
    </w:p>
    <w:p>
      <w:pPr>
        <w:pStyle w:val="30"/>
        <w:ind w:left="420" w:leftChars="0" w:hanging="420" w:firstLineChars="0"/>
      </w:pPr>
      <w:r>
        <w:drawing>
          <wp:inline distT="0" distB="0" distL="0" distR="0">
            <wp:extent cx="4572000" cy="2952750"/>
            <wp:effectExtent l="0" t="0" r="0" b="0"/>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
      <w:pPr>
        <w:pStyle w:val="26"/>
        <w:numPr>
          <w:ilvl w:val="0"/>
          <w:numId w:val="1"/>
        </w:numPr>
        <w:spacing w:line="576" w:lineRule="exact"/>
        <w:ind w:firstLineChars="0"/>
        <w:outlineLvl w:val="1"/>
        <w:rPr>
          <w:rStyle w:val="21"/>
          <w:rFonts w:ascii="Times New Roman" w:hAnsi="Times New Roman" w:eastAsia="黑体"/>
          <w:b w:val="0"/>
        </w:rPr>
      </w:pPr>
      <w:bookmarkStart w:id="28" w:name="_Toc15377206"/>
      <w:bookmarkStart w:id="29" w:name="_Toc26843609"/>
      <w:bookmarkStart w:id="30" w:name="_Toc15396604"/>
      <w:r>
        <w:rPr>
          <w:rFonts w:eastAsia="黑体"/>
          <w:sz w:val="32"/>
          <w:szCs w:val="32"/>
        </w:rPr>
        <w:t>收</w:t>
      </w:r>
      <w:r>
        <w:rPr>
          <w:rStyle w:val="21"/>
          <w:rFonts w:ascii="Times New Roman" w:hAnsi="Times New Roman" w:eastAsia="黑体"/>
          <w:b w:val="0"/>
        </w:rPr>
        <w:t>入决算情况说明</w:t>
      </w:r>
      <w:bookmarkEnd w:id="28"/>
      <w:bookmarkEnd w:id="29"/>
      <w:bookmarkEnd w:id="30"/>
    </w:p>
    <w:p>
      <w:pPr>
        <w:pStyle w:val="30"/>
        <w:spacing w:before="100" w:after="100"/>
        <w:ind w:left="265" w:leftChars="126" w:firstLine="480" w:firstLineChars="150"/>
      </w:pPr>
      <w:r>
        <w:rPr>
          <w:rFonts w:ascii="仿宋" w:eastAsia="仿宋"/>
          <w:color w:val="000000"/>
          <w:sz w:val="32"/>
          <w:szCs w:val="32"/>
        </w:rPr>
        <w:t>2024</w:t>
      </w:r>
      <w:r>
        <w:rPr>
          <w:rFonts w:hint="eastAsia" w:ascii="仿宋" w:eastAsia="仿宋"/>
          <w:color w:val="000000"/>
          <w:sz w:val="32"/>
          <w:szCs w:val="32"/>
        </w:rPr>
        <w:t>年总收入1373.57万元，其中：一般公共预算财政拨款收入1373.57万元，占100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31" w:name="_Toc15396605"/>
      <w:bookmarkStart w:id="32" w:name="_Toc26843612"/>
      <w:bookmarkStart w:id="33" w:name="_Toc15377207"/>
    </w:p>
    <w:p>
      <w:pPr>
        <w:widowControl/>
        <w:ind w:firstLine="2710" w:firstLineChars="750"/>
        <w:rPr>
          <w:rFonts w:ascii="仿宋_GB2312" w:eastAsia="仿宋_GB2312"/>
          <w:b/>
          <w:sz w:val="36"/>
          <w:szCs w:val="36"/>
        </w:rPr>
      </w:pPr>
      <w:r>
        <w:rPr>
          <w:rFonts w:hint="eastAsia" w:ascii="仿宋_GB2312" w:eastAsia="仿宋_GB2312"/>
          <w:b/>
          <w:sz w:val="36"/>
          <w:szCs w:val="36"/>
        </w:rPr>
        <w:t>2024年收入图</w:t>
      </w:r>
    </w:p>
    <w:p/>
    <w:p>
      <w:r>
        <w:drawing>
          <wp:inline distT="0" distB="0" distL="0" distR="0">
            <wp:extent cx="5086350" cy="2943225"/>
            <wp:effectExtent l="0" t="0" r="0" b="0"/>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
      <w:pPr>
        <w:pStyle w:val="26"/>
        <w:numPr>
          <w:ilvl w:val="0"/>
          <w:numId w:val="1"/>
        </w:numPr>
        <w:spacing w:line="576" w:lineRule="exact"/>
        <w:ind w:firstLineChars="0"/>
        <w:outlineLvl w:val="1"/>
        <w:rPr>
          <w:rStyle w:val="21"/>
          <w:rFonts w:ascii="Times New Roman" w:hAnsi="Times New Roman" w:eastAsia="黑体"/>
          <w:b w:val="0"/>
        </w:rPr>
      </w:pPr>
      <w:r>
        <w:rPr>
          <w:rFonts w:eastAsia="黑体"/>
          <w:sz w:val="32"/>
          <w:szCs w:val="32"/>
        </w:rPr>
        <w:t>支</w:t>
      </w:r>
      <w:r>
        <w:rPr>
          <w:rStyle w:val="21"/>
          <w:rFonts w:ascii="Times New Roman" w:hAnsi="Times New Roman" w:eastAsia="黑体"/>
          <w:b w:val="0"/>
        </w:rPr>
        <w:t>出决算情况说明</w:t>
      </w:r>
      <w:bookmarkEnd w:id="31"/>
      <w:bookmarkEnd w:id="32"/>
      <w:bookmarkEnd w:id="33"/>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2024年本年总支出1373.57万元，其中：基本支出1252.89万元，占91.22%；项目支出120.67万元，占8.78%；上缴上级支出0万元，占0%；经营支出0万元，占0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722" w:firstLineChars="200"/>
        <w:jc w:val="center"/>
        <w:rPr>
          <w:rFonts w:ascii="仿宋" w:eastAsia="仿宋"/>
          <w:b/>
          <w:color w:val="000000"/>
          <w:sz w:val="36"/>
          <w:szCs w:val="36"/>
          <w:shd w:val="pct10" w:color="auto" w:fill="FFFFFF"/>
        </w:rPr>
      </w:pPr>
      <w:r>
        <w:rPr>
          <w:rFonts w:hint="eastAsia" w:ascii="仿宋" w:eastAsia="仿宋"/>
          <w:b/>
          <w:color w:val="000000"/>
          <w:sz w:val="36"/>
          <w:szCs w:val="36"/>
        </w:rPr>
        <w:t>支出决算占比图</w:t>
      </w:r>
    </w:p>
    <w:p/>
    <w:p/>
    <w:p>
      <w:r>
        <w:drawing>
          <wp:inline distT="0" distB="0" distL="0" distR="0">
            <wp:extent cx="4572000" cy="3219450"/>
            <wp:effectExtent l="0" t="0" r="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
    <w:p>
      <w:pPr>
        <w:spacing w:line="576" w:lineRule="exact"/>
        <w:ind w:firstLine="480" w:firstLineChars="150"/>
        <w:outlineLvl w:val="1"/>
        <w:rPr>
          <w:rStyle w:val="21"/>
          <w:rFonts w:ascii="Times New Roman" w:hAnsi="Times New Roman" w:eastAsia="黑体"/>
          <w:b w:val="0"/>
        </w:rPr>
      </w:pPr>
      <w:bookmarkStart w:id="34" w:name="_Toc15396606"/>
      <w:bookmarkStart w:id="35" w:name="_Toc15377208"/>
      <w:bookmarkStart w:id="36" w:name="_Toc26843615"/>
      <w:r>
        <w:rPr>
          <w:rFonts w:eastAsia="黑体"/>
          <w:sz w:val="32"/>
          <w:szCs w:val="32"/>
        </w:rPr>
        <w:t>四、财</w:t>
      </w:r>
      <w:r>
        <w:rPr>
          <w:rStyle w:val="21"/>
          <w:rFonts w:ascii="Times New Roman" w:hAnsi="Times New Roman" w:eastAsia="黑体"/>
          <w:b w:val="0"/>
        </w:rPr>
        <w:t>政拨款收入支出决算总体情况说明</w:t>
      </w:r>
      <w:bookmarkEnd w:id="34"/>
      <w:bookmarkEnd w:id="35"/>
      <w:bookmarkEnd w:id="36"/>
    </w:p>
    <w:p>
      <w:pPr>
        <w:widowControl/>
        <w:ind w:firstLine="640" w:firstLineChars="200"/>
        <w:jc w:val="left"/>
        <w:rPr>
          <w:rFonts w:ascii="仿宋" w:hAnsi="仿宋" w:eastAsia="仿宋_GB2312"/>
          <w:color w:val="000000"/>
          <w:kern w:val="0"/>
          <w:sz w:val="32"/>
          <w:szCs w:val="32"/>
        </w:rPr>
      </w:pPr>
      <w:r>
        <w:rPr>
          <w:rFonts w:ascii="仿宋_GB2312" w:eastAsia="仿宋_GB2312"/>
          <w:sz w:val="32"/>
          <w:szCs w:val="32"/>
        </w:rPr>
        <w:t>2024年财政拨款收、支总计</w:t>
      </w:r>
      <w:r>
        <w:rPr>
          <w:rFonts w:hint="eastAsia" w:ascii="仿宋_GB2312" w:eastAsia="仿宋_GB2312"/>
          <w:sz w:val="32"/>
          <w:szCs w:val="32"/>
        </w:rPr>
        <w:t>1373.57</w:t>
      </w:r>
      <w:r>
        <w:rPr>
          <w:rFonts w:ascii="仿宋_GB2312" w:eastAsia="仿宋_GB2312"/>
          <w:sz w:val="32"/>
          <w:szCs w:val="32"/>
        </w:rPr>
        <w:t>万元。与202</w:t>
      </w:r>
      <w:r>
        <w:rPr>
          <w:rFonts w:hint="eastAsia" w:ascii="仿宋_GB2312" w:eastAsia="仿宋_GB2312"/>
          <w:sz w:val="32"/>
          <w:szCs w:val="32"/>
        </w:rPr>
        <w:t>3</w:t>
      </w:r>
      <w:r>
        <w:rPr>
          <w:rFonts w:ascii="仿宋_GB2312" w:eastAsia="仿宋_GB2312"/>
          <w:sz w:val="32"/>
          <w:szCs w:val="32"/>
        </w:rPr>
        <w:t>年相比，财政拨款收、支总计各</w:t>
      </w:r>
      <w:r>
        <w:rPr>
          <w:rFonts w:hint="eastAsia" w:ascii="仿宋_GB2312" w:eastAsia="仿宋_GB2312"/>
          <w:color w:val="000000"/>
          <w:spacing w:val="-2"/>
          <w:sz w:val="32"/>
          <w:szCs w:val="32"/>
        </w:rPr>
        <w:t>增加33.88</w:t>
      </w:r>
      <w:r>
        <w:rPr>
          <w:rFonts w:ascii="仿宋_GB2312" w:eastAsia="仿宋_GB2312"/>
          <w:sz w:val="32"/>
          <w:szCs w:val="32"/>
        </w:rPr>
        <w:t>万元，</w:t>
      </w:r>
      <w:bookmarkStart w:id="37" w:name="_Toc26843616"/>
      <w:bookmarkStart w:id="38" w:name="_Toc15377209"/>
      <w:bookmarkStart w:id="39" w:name="_Toc15396607"/>
      <w:r>
        <w:rPr>
          <w:rFonts w:hint="eastAsia" w:ascii="仿宋_GB2312" w:eastAsia="仿宋_GB2312"/>
          <w:color w:val="000000"/>
          <w:spacing w:val="-2"/>
          <w:sz w:val="32"/>
          <w:szCs w:val="32"/>
        </w:rPr>
        <w:t>增长2.53%</w:t>
      </w:r>
      <w:r>
        <w:rPr>
          <w:rFonts w:hint="eastAsia" w:ascii="仿宋_GB2312" w:eastAsia="仿宋_GB2312"/>
          <w:sz w:val="32"/>
          <w:szCs w:val="32"/>
        </w:rPr>
        <w:t>。</w:t>
      </w:r>
      <w:r>
        <w:rPr>
          <w:rFonts w:hint="eastAsia" w:ascii="仿宋_GB2312" w:eastAsia="仿宋_GB2312"/>
          <w:color w:val="000000"/>
          <w:spacing w:val="-2"/>
          <w:sz w:val="32"/>
          <w:szCs w:val="32"/>
        </w:rPr>
        <w:t>增长的主要原因是2024年</w:t>
      </w:r>
      <w:r>
        <w:rPr>
          <w:rFonts w:hint="eastAsia" w:ascii="仿宋_GB2312" w:eastAsia="仿宋_GB2312"/>
          <w:sz w:val="32"/>
          <w:szCs w:val="32"/>
        </w:rPr>
        <w:t>人员增减变动。</w:t>
      </w:r>
    </w:p>
    <w:p>
      <w:pPr>
        <w:widowControl/>
        <w:ind w:firstLine="480" w:firstLineChars="150"/>
        <w:jc w:val="left"/>
        <w:rPr>
          <w:rStyle w:val="21"/>
          <w:rFonts w:ascii="Times New Roman" w:hAnsi="Times New Roman" w:eastAsia="黑体"/>
          <w:b w:val="0"/>
        </w:rPr>
      </w:pPr>
      <w:r>
        <w:rPr>
          <w:rFonts w:eastAsia="黑体"/>
          <w:sz w:val="32"/>
          <w:szCs w:val="32"/>
        </w:rPr>
        <w:t>五、</w:t>
      </w:r>
      <w:r>
        <w:rPr>
          <w:rFonts w:eastAsia="黑体"/>
          <w:b/>
          <w:sz w:val="32"/>
          <w:szCs w:val="32"/>
        </w:rPr>
        <w:t>一</w:t>
      </w:r>
      <w:r>
        <w:rPr>
          <w:rStyle w:val="21"/>
          <w:rFonts w:ascii="Times New Roman" w:hAnsi="Times New Roman" w:eastAsia="黑体"/>
          <w:b w:val="0"/>
        </w:rPr>
        <w:t>般公共预算财政拨款支出决算情况说明</w:t>
      </w:r>
      <w:bookmarkEnd w:id="37"/>
      <w:bookmarkEnd w:id="38"/>
      <w:bookmarkEnd w:id="39"/>
    </w:p>
    <w:p>
      <w:pPr>
        <w:spacing w:line="600" w:lineRule="exact"/>
        <w:ind w:firstLine="481" w:firstLineChars="150"/>
        <w:outlineLvl w:val="2"/>
        <w:rPr>
          <w:rFonts w:ascii="仿宋" w:eastAsia="仿宋"/>
          <w:b/>
          <w:color w:val="000000"/>
          <w:sz w:val="32"/>
          <w:szCs w:val="32"/>
        </w:rPr>
      </w:pPr>
      <w:bookmarkStart w:id="40" w:name="_Toc15377210"/>
      <w:r>
        <w:rPr>
          <w:rFonts w:hint="eastAsia" w:ascii="仿宋" w:eastAsia="仿宋"/>
          <w:b/>
          <w:color w:val="000000"/>
          <w:sz w:val="32"/>
          <w:szCs w:val="32"/>
        </w:rPr>
        <w:t>（一）一般公共预算财政拨款支出决算总体情况</w:t>
      </w:r>
      <w:bookmarkEnd w:id="40"/>
    </w:p>
    <w:p>
      <w:pPr>
        <w:widowControl/>
        <w:ind w:firstLine="632" w:firstLineChars="200"/>
        <w:jc w:val="left"/>
        <w:rPr>
          <w:rFonts w:ascii="仿宋" w:hAnsi="仿宋" w:eastAsia="仿宋_GB2312"/>
          <w:color w:val="000000"/>
          <w:kern w:val="0"/>
          <w:sz w:val="32"/>
          <w:szCs w:val="32"/>
        </w:rPr>
      </w:pPr>
      <w:r>
        <w:rPr>
          <w:rFonts w:ascii="仿宋_GB2312" w:eastAsia="仿宋_GB2312"/>
          <w:spacing w:val="-2"/>
          <w:sz w:val="32"/>
          <w:szCs w:val="32"/>
        </w:rPr>
        <w:t>2024</w:t>
      </w:r>
      <w:r>
        <w:rPr>
          <w:rFonts w:hint="eastAsia" w:ascii="仿宋_GB2312" w:eastAsia="仿宋_GB2312"/>
          <w:spacing w:val="-2"/>
          <w:sz w:val="32"/>
          <w:szCs w:val="32"/>
        </w:rPr>
        <w:t>年一般公共预算财政拨款支出1373.57万元，</w:t>
      </w:r>
      <w:r>
        <w:rPr>
          <w:rFonts w:hint="eastAsia" w:ascii="仿宋_GB2312" w:eastAsia="仿宋_GB2312"/>
          <w:sz w:val="32"/>
          <w:szCs w:val="32"/>
        </w:rPr>
        <w:t>占本年总支出的100</w:t>
      </w:r>
      <w:r>
        <w:rPr>
          <w:rFonts w:ascii="仿宋_GB2312" w:eastAsia="仿宋_GB2312"/>
          <w:sz w:val="32"/>
          <w:szCs w:val="32"/>
        </w:rPr>
        <w:t>%</w:t>
      </w:r>
      <w:r>
        <w:rPr>
          <w:rFonts w:hint="eastAsia" w:ascii="仿宋_GB2312" w:eastAsia="仿宋_GB2312"/>
          <w:sz w:val="32"/>
          <w:szCs w:val="32"/>
        </w:rPr>
        <w:t>。与</w:t>
      </w:r>
      <w:r>
        <w:rPr>
          <w:rFonts w:ascii="仿宋_GB2312" w:eastAsia="仿宋_GB2312"/>
          <w:sz w:val="32"/>
          <w:szCs w:val="32"/>
        </w:rPr>
        <w:t>20</w:t>
      </w:r>
      <w:r>
        <w:rPr>
          <w:rFonts w:hint="eastAsia" w:ascii="仿宋_GB2312" w:eastAsia="仿宋_GB2312"/>
          <w:sz w:val="32"/>
          <w:szCs w:val="32"/>
        </w:rPr>
        <w:t>23年相比，一般公共预算财政拨款支出</w:t>
      </w:r>
      <w:bookmarkStart w:id="41" w:name="_Toc15377211"/>
      <w:r>
        <w:rPr>
          <w:rFonts w:hint="eastAsia" w:ascii="仿宋_GB2312" w:eastAsia="仿宋_GB2312"/>
          <w:color w:val="000000"/>
          <w:spacing w:val="-2"/>
          <w:sz w:val="32"/>
          <w:szCs w:val="32"/>
        </w:rPr>
        <w:t>增长2.53%</w:t>
      </w:r>
      <w:r>
        <w:rPr>
          <w:rFonts w:hint="eastAsia" w:ascii="仿宋_GB2312" w:eastAsia="仿宋_GB2312"/>
          <w:sz w:val="32"/>
          <w:szCs w:val="32"/>
        </w:rPr>
        <w:t>。</w:t>
      </w:r>
      <w:r>
        <w:rPr>
          <w:rFonts w:hint="eastAsia" w:ascii="仿宋_GB2312" w:eastAsia="仿宋_GB2312"/>
          <w:color w:val="000000"/>
          <w:spacing w:val="-2"/>
          <w:sz w:val="32"/>
          <w:szCs w:val="32"/>
        </w:rPr>
        <w:t>增长的主要原因是2024年</w:t>
      </w:r>
      <w:r>
        <w:rPr>
          <w:rFonts w:hint="eastAsia" w:ascii="仿宋_GB2312" w:eastAsia="仿宋_GB2312"/>
          <w:sz w:val="32"/>
          <w:szCs w:val="32"/>
        </w:rPr>
        <w:t>人员增减变动。</w:t>
      </w:r>
    </w:p>
    <w:p>
      <w:pPr>
        <w:widowControl/>
        <w:ind w:firstLine="481" w:firstLineChars="150"/>
        <w:jc w:val="left"/>
        <w:rPr>
          <w:rFonts w:ascii="仿宋" w:eastAsia="仿宋"/>
          <w:b/>
          <w:color w:val="000000"/>
          <w:sz w:val="32"/>
          <w:szCs w:val="32"/>
        </w:rPr>
      </w:pPr>
      <w:r>
        <w:rPr>
          <w:rFonts w:hint="eastAsia" w:ascii="仿宋" w:eastAsia="仿宋"/>
          <w:b/>
          <w:color w:val="000000"/>
          <w:sz w:val="32"/>
          <w:szCs w:val="32"/>
        </w:rPr>
        <w:t>（二）一般公共预算财政拨款支出决算结构况</w:t>
      </w:r>
      <w:bookmarkEnd w:id="41"/>
    </w:p>
    <w:p>
      <w:pPr>
        <w:spacing w:line="600" w:lineRule="exact"/>
        <w:ind w:firstLine="640"/>
        <w:rPr>
          <w:rFonts w:ascii="仿宋" w:eastAsia="仿宋"/>
          <w:color w:val="000000"/>
          <w:sz w:val="32"/>
          <w:szCs w:val="32"/>
        </w:rPr>
      </w:pPr>
      <w:r>
        <w:rPr>
          <w:rFonts w:ascii="仿宋_GB2312" w:eastAsia="仿宋_GB2312"/>
          <w:color w:val="000000"/>
          <w:sz w:val="32"/>
          <w:szCs w:val="32"/>
        </w:rPr>
        <w:t>2024</w:t>
      </w:r>
      <w:r>
        <w:rPr>
          <w:rFonts w:hint="eastAsia" w:ascii="仿宋_GB2312" w:eastAsia="仿宋_GB2312"/>
          <w:color w:val="000000"/>
          <w:sz w:val="32"/>
          <w:szCs w:val="32"/>
        </w:rPr>
        <w:t>年一般公共预算财政拨款支出1373.57万元，主要用于以下方面</w:t>
      </w:r>
      <w:r>
        <w:rPr>
          <w:rFonts w:ascii="仿宋_GB2312" w:eastAsia="仿宋_GB2312"/>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_GB2312" w:eastAsia="仿宋_GB2312"/>
          <w:color w:val="000000"/>
          <w:sz w:val="32"/>
          <w:szCs w:val="32"/>
        </w:rPr>
        <w:t>1009.49万元，占73.49%</w:t>
      </w:r>
      <w:r>
        <w:rPr>
          <w:rFonts w:hint="eastAsia" w:ascii="仿宋" w:eastAsia="仿宋"/>
          <w:color w:val="000000"/>
          <w:sz w:val="32"/>
          <w:szCs w:val="32"/>
        </w:rPr>
        <w:t>；</w:t>
      </w:r>
      <w:r>
        <w:rPr>
          <w:rFonts w:hint="eastAsia" w:ascii="仿宋" w:eastAsia="仿宋"/>
          <w:b/>
          <w:color w:val="000000"/>
          <w:sz w:val="32"/>
          <w:szCs w:val="32"/>
        </w:rPr>
        <w:t>公共安全支出（类）</w:t>
      </w:r>
      <w:r>
        <w:rPr>
          <w:rFonts w:hint="eastAsia" w:ascii="仿宋_GB2312" w:eastAsia="仿宋_GB2312"/>
          <w:color w:val="000000"/>
          <w:sz w:val="32"/>
          <w:szCs w:val="32"/>
        </w:rPr>
        <w:t>支出0万元，占0%；</w:t>
      </w:r>
      <w:r>
        <w:rPr>
          <w:rFonts w:hint="eastAsia" w:ascii="仿宋" w:eastAsia="仿宋"/>
          <w:b/>
          <w:color w:val="000000"/>
          <w:sz w:val="32"/>
          <w:szCs w:val="32"/>
        </w:rPr>
        <w:t>教育支出（类）</w:t>
      </w:r>
      <w:r>
        <w:rPr>
          <w:rFonts w:hint="eastAsia" w:ascii="仿宋_GB2312" w:eastAsia="仿宋_GB2312"/>
          <w:color w:val="000000"/>
          <w:sz w:val="32"/>
          <w:szCs w:val="32"/>
        </w:rPr>
        <w:t>支出1.8万元，占0.13%；</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_GB2312" w:eastAsia="仿宋_GB2312"/>
          <w:color w:val="000000"/>
          <w:sz w:val="32"/>
          <w:szCs w:val="32"/>
        </w:rPr>
        <w:t>202.95万元，占14.79%</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_GB2312" w:eastAsia="仿宋_GB2312"/>
          <w:color w:val="000000"/>
          <w:sz w:val="32"/>
          <w:szCs w:val="32"/>
        </w:rPr>
        <w:t>66.84万元，占4.86%</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_GB2312" w:eastAsia="仿宋_GB2312"/>
          <w:color w:val="000000"/>
          <w:sz w:val="32"/>
          <w:szCs w:val="32"/>
        </w:rPr>
        <w:t>92.49万元，占6.73%</w:t>
      </w:r>
      <w:r>
        <w:rPr>
          <w:rFonts w:hint="eastAsia" w:ascii="仿宋" w:eastAsia="仿宋"/>
          <w:color w:val="000000"/>
          <w:sz w:val="32"/>
          <w:szCs w:val="32"/>
        </w:rPr>
        <w:t>。</w:t>
      </w:r>
    </w:p>
    <w:p>
      <w:pPr>
        <w:spacing w:line="600" w:lineRule="exact"/>
        <w:ind w:firstLine="640"/>
        <w:rPr>
          <w:rFonts w:ascii="仿宋" w:eastAsia="仿宋"/>
          <w:b/>
          <w:color w:val="000000"/>
          <w:sz w:val="36"/>
          <w:szCs w:val="36"/>
        </w:rPr>
      </w:pPr>
      <w:r>
        <w:rPr>
          <w:rFonts w:hint="eastAsia" w:ascii="仿宋" w:eastAsia="仿宋"/>
          <w:b/>
          <w:color w:val="000000"/>
          <w:sz w:val="36"/>
          <w:szCs w:val="36"/>
        </w:rPr>
        <w:t>一般公共预算财政拨款支出决算结构占比图</w:t>
      </w:r>
    </w:p>
    <w:p>
      <w:pPr>
        <w:pStyle w:val="31"/>
        <w:ind w:left="226" w:leftChars="13" w:hanging="199" w:hangingChars="62"/>
        <w:rPr>
          <w:rFonts w:ascii="仿宋" w:eastAsia="仿宋"/>
          <w:b/>
          <w:color w:val="000000"/>
          <w:sz w:val="32"/>
          <w:szCs w:val="32"/>
        </w:rPr>
      </w:pPr>
      <w:bookmarkStart w:id="42" w:name="_Toc15396608"/>
      <w:bookmarkStart w:id="43" w:name="_Toc15377214"/>
      <w:bookmarkStart w:id="44" w:name="_Toc26843617"/>
      <w:r>
        <w:rPr>
          <w:rFonts w:ascii="仿宋" w:eastAsia="仿宋"/>
          <w:b/>
          <w:color w:val="000000"/>
          <w:sz w:val="32"/>
          <w:szCs w:val="32"/>
        </w:rPr>
        <w:drawing>
          <wp:inline distT="0" distB="0" distL="0" distR="0">
            <wp:extent cx="4572000" cy="2743200"/>
            <wp:effectExtent l="0" t="0" r="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1"/>
        <w:ind w:left="226" w:leftChars="13" w:hanging="199" w:hangingChars="62"/>
        <w:rPr>
          <w:rFonts w:ascii="仿宋" w:eastAsia="仿宋"/>
          <w:b/>
          <w:color w:val="000000"/>
          <w:sz w:val="32"/>
          <w:szCs w:val="32"/>
        </w:rPr>
      </w:pPr>
      <w:r>
        <w:rPr>
          <w:rFonts w:hint="eastAsia" w:ascii="仿宋" w:eastAsia="仿宋"/>
          <w:b/>
          <w:color w:val="000000"/>
          <w:sz w:val="32"/>
          <w:szCs w:val="32"/>
        </w:rPr>
        <w:t>（三）一般公共预算财政拨款支出决算具体情况</w:t>
      </w:r>
    </w:p>
    <w:p>
      <w:pPr>
        <w:pStyle w:val="31"/>
        <w:ind w:left="0" w:leftChars="0" w:firstLine="0" w:firstLineChars="0"/>
        <w:rPr>
          <w:rFonts w:ascii="仿宋_GB2312" w:eastAsia="仿宋_GB2312"/>
          <w:sz w:val="32"/>
          <w:szCs w:val="32"/>
        </w:rPr>
      </w:pPr>
      <w:r>
        <w:rPr>
          <w:rFonts w:hint="eastAsia" w:ascii="仿宋_GB2312" w:eastAsia="仿宋_GB2312"/>
          <w:sz w:val="32"/>
          <w:szCs w:val="32"/>
        </w:rPr>
        <w:t xml:space="preserve"> 2024年一般公共预算支出决算数为1373.57万元，完成预算100</w:t>
      </w:r>
      <w:r>
        <w:rPr>
          <w:rFonts w:ascii="仿宋_GB2312" w:eastAsia="仿宋_GB2312"/>
          <w:sz w:val="32"/>
          <w:szCs w:val="32"/>
        </w:rPr>
        <w:t>%</w:t>
      </w:r>
      <w:r>
        <w:rPr>
          <w:rFonts w:hint="eastAsia" w:ascii="仿宋_GB2312" w:eastAsia="仿宋_GB2312"/>
          <w:sz w:val="32"/>
          <w:szCs w:val="32"/>
        </w:rPr>
        <w:t>。其中：</w:t>
      </w:r>
    </w:p>
    <w:p>
      <w:pPr>
        <w:rPr>
          <w:rFonts w:ascii="仿宋_GB2312" w:eastAsia="仿宋_GB2312"/>
          <w:spacing w:val="-2"/>
          <w:sz w:val="32"/>
          <w:szCs w:val="32"/>
        </w:rPr>
      </w:pPr>
      <w:r>
        <w:rPr>
          <w:rFonts w:hint="eastAsia" w:ascii="仿宋_GB2312" w:eastAsia="仿宋_GB2312"/>
          <w:spacing w:val="-2"/>
          <w:sz w:val="32"/>
          <w:szCs w:val="32"/>
        </w:rPr>
        <w:t>1、一般公共服务：</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一般公共服务201（类）纪检监察事务11（款）行政运行01（项）：2024年决算数为928.49万元，完成预算100%。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一般公共服务201（类）纪检监察事务11（款）一般行政管理事务02（项）：2024年决算数为81万元，完成预算100%。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2、公共安全：</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公共安全（204）类检察04(款)检察监督10（项）：2024年决算数为0万元，完成预算100%。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3、社会保障和就业:</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社会保障和就业208（类）行政事业单位离退休05（款）机关事业单位基本养老保险缴费支出05（项）：2024年决算数为110.05万元，完成预算100%。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社会保障和就业208（类）行政事业单位离退休05（款）机关事业单位职业年金缴费支出06（项）：2024年决算数为55.03万元，完成预算100%。</w:t>
      </w:r>
    </w:p>
    <w:p>
      <w:pPr>
        <w:spacing w:line="600" w:lineRule="exact"/>
        <w:ind w:firstLine="640" w:firstLineChars="200"/>
        <w:rPr>
          <w:rStyle w:val="17"/>
          <w:rFonts w:ascii="仿宋_GB2312" w:eastAsia="仿宋_GB2312"/>
          <w:b w:val="0"/>
          <w:sz w:val="32"/>
          <w:szCs w:val="32"/>
        </w:rPr>
      </w:pPr>
      <w:r>
        <w:rPr>
          <w:rFonts w:hint="eastAsia" w:ascii="仿宋_GB2312" w:eastAsia="仿宋_GB2312"/>
          <w:sz w:val="32"/>
          <w:szCs w:val="32"/>
        </w:rPr>
        <w:t>社会保障和就业208（类）</w:t>
      </w:r>
      <w:r>
        <w:rPr>
          <w:rFonts w:ascii="仿宋_GB2312" w:eastAsia="仿宋_GB2312"/>
          <w:sz w:val="32"/>
          <w:szCs w:val="32"/>
        </w:rPr>
        <w:t>抚恤</w:t>
      </w:r>
      <w:r>
        <w:rPr>
          <w:rFonts w:hint="eastAsia" w:ascii="仿宋_GB2312" w:eastAsia="仿宋_GB2312"/>
          <w:sz w:val="32"/>
          <w:szCs w:val="32"/>
        </w:rPr>
        <w:t>08（款）</w:t>
      </w:r>
      <w:r>
        <w:rPr>
          <w:rFonts w:ascii="仿宋_GB2312" w:eastAsia="仿宋_GB2312"/>
          <w:sz w:val="32"/>
          <w:szCs w:val="32"/>
        </w:rPr>
        <w:t>死亡抚恤</w:t>
      </w:r>
      <w:r>
        <w:rPr>
          <w:rFonts w:hint="eastAsia" w:ascii="仿宋_GB2312" w:eastAsia="仿宋_GB2312"/>
          <w:sz w:val="32"/>
          <w:szCs w:val="32"/>
        </w:rPr>
        <w:t>01（项）：2024年决算数为37.88万元，完成预算100%。</w:t>
      </w:r>
      <w:r>
        <w:rPr>
          <w:rFonts w:hint="eastAsia" w:ascii="仿宋_GB2312" w:eastAsia="仿宋_GB2312"/>
          <w:sz w:val="32"/>
          <w:szCs w:val="32"/>
        </w:rPr>
        <w:br w:type="textWrapping"/>
      </w:r>
      <w:r>
        <w:rPr>
          <w:rFonts w:hint="eastAsia" w:ascii="仿宋_GB2312" w:eastAsia="仿宋_GB2312"/>
          <w:color w:val="FF0000"/>
          <w:sz w:val="32"/>
          <w:szCs w:val="32"/>
        </w:rPr>
        <w:t>　</w:t>
      </w:r>
      <w:r>
        <w:rPr>
          <w:rFonts w:hint="eastAsia" w:ascii="仿宋_GB2312" w:eastAsia="仿宋_GB2312"/>
          <w:sz w:val="32"/>
          <w:szCs w:val="32"/>
        </w:rPr>
        <w:t>　</w:t>
      </w:r>
      <w:r>
        <w:rPr>
          <w:rStyle w:val="17"/>
          <w:rFonts w:hint="eastAsia" w:ascii="仿宋_GB2312" w:eastAsia="仿宋_GB2312"/>
          <w:sz w:val="32"/>
          <w:szCs w:val="32"/>
        </w:rPr>
        <w:t>4、医疗卫生与计划生育:</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医疗卫生与计划生育支出210（类）医疗保障11（款）行政单位医疗01（项）：2024年决算数为54.05万元，完成预算100%。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医疗卫生与计划生育支出210（类）医疗保障11（款）公务员医疗补助03（项）：2024年决算数为:12.79万元，完成预算100%。</w:t>
      </w:r>
    </w:p>
    <w:p>
      <w:pPr>
        <w:pStyle w:val="26"/>
        <w:numPr>
          <w:ilvl w:val="0"/>
          <w:numId w:val="2"/>
        </w:numPr>
        <w:spacing w:line="600" w:lineRule="exact"/>
        <w:ind w:firstLineChars="0"/>
        <w:rPr>
          <w:rFonts w:ascii="仿宋_GB2312" w:eastAsia="仿宋_GB2312"/>
          <w:sz w:val="32"/>
          <w:szCs w:val="32"/>
        </w:rPr>
      </w:pPr>
      <w:r>
        <w:rPr>
          <w:rFonts w:hint="eastAsia" w:ascii="仿宋_GB2312" w:eastAsia="仿宋_GB2312"/>
          <w:sz w:val="32"/>
          <w:szCs w:val="32"/>
        </w:rPr>
        <w:t>教育支出：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教育支出205（类）进修及培训08（款）培训支出03（项）支出1.8万元，完成预算100%。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6、住房保障支出: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住房保障支出221（类）住房改革支出02（款）住房公积金01（项）：2024年决算数为92.49万元，完成预算100%。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住房保障支出221（类）住房改革支出02（款）</w:t>
      </w:r>
      <w:r>
        <w:rPr>
          <w:rFonts w:ascii="仿宋_GB2312" w:eastAsia="仿宋_GB2312"/>
          <w:sz w:val="32"/>
          <w:szCs w:val="32"/>
        </w:rPr>
        <w:t>购房补贴</w:t>
      </w:r>
      <w:r>
        <w:rPr>
          <w:rFonts w:hint="eastAsia" w:ascii="仿宋_GB2312" w:eastAsia="仿宋_GB2312"/>
          <w:sz w:val="32"/>
          <w:szCs w:val="32"/>
        </w:rPr>
        <w:t>03（项）：2024年决算数为2.2万元，完成预算100%。</w:t>
      </w:r>
    </w:p>
    <w:p>
      <w:pPr>
        <w:tabs>
          <w:tab w:val="right" w:pos="8306"/>
        </w:tabs>
        <w:spacing w:line="576" w:lineRule="exact"/>
        <w:ind w:firstLine="640"/>
        <w:outlineLvl w:val="1"/>
        <w:rPr>
          <w:rStyle w:val="21"/>
          <w:rFonts w:ascii="Times New Roman" w:hAnsi="Times New Roman"/>
        </w:rPr>
      </w:pPr>
      <w:r>
        <w:rPr>
          <w:rFonts w:eastAsia="黑体"/>
          <w:sz w:val="32"/>
          <w:szCs w:val="32"/>
        </w:rPr>
        <w:t>六</w:t>
      </w:r>
      <w:r>
        <w:rPr>
          <w:rFonts w:eastAsia="黑体"/>
          <w:b/>
          <w:sz w:val="32"/>
          <w:szCs w:val="32"/>
        </w:rPr>
        <w:t>、一</w:t>
      </w:r>
      <w:r>
        <w:rPr>
          <w:rStyle w:val="21"/>
          <w:rFonts w:ascii="Times New Roman" w:hAnsi="Times New Roman" w:eastAsia="黑体"/>
          <w:b w:val="0"/>
        </w:rPr>
        <w:t>般公共预算财政拨款基本支出决算情况说明</w:t>
      </w:r>
      <w:bookmarkEnd w:id="42"/>
      <w:bookmarkEnd w:id="43"/>
      <w:r>
        <w:rPr>
          <w:rStyle w:val="21"/>
          <w:rFonts w:ascii="Times New Roman" w:hAnsi="Times New Roman" w:eastAsia="黑体"/>
          <w:b w:val="0"/>
        </w:rPr>
        <w:tab/>
      </w:r>
      <w:bookmarkEnd w:id="44"/>
    </w:p>
    <w:p>
      <w:pPr>
        <w:spacing w:line="600" w:lineRule="exact"/>
        <w:ind w:firstLine="645"/>
        <w:rPr>
          <w:rFonts w:ascii="仿宋_GB2312" w:eastAsia="仿宋_GB2312"/>
          <w:sz w:val="32"/>
          <w:szCs w:val="32"/>
        </w:rPr>
      </w:pPr>
      <w:bookmarkStart w:id="45" w:name="_Toc15396609"/>
      <w:bookmarkStart w:id="46" w:name="_Toc26843618"/>
      <w:bookmarkStart w:id="47" w:name="_Toc15377215"/>
      <w:r>
        <w:rPr>
          <w:rFonts w:ascii="仿宋_GB2312" w:eastAsia="仿宋_GB2312"/>
          <w:sz w:val="32"/>
          <w:szCs w:val="32"/>
        </w:rPr>
        <w:t>2024</w:t>
      </w:r>
      <w:r>
        <w:rPr>
          <w:rFonts w:hint="eastAsia" w:ascii="仿宋_GB2312" w:eastAsia="仿宋_GB2312"/>
          <w:sz w:val="32"/>
          <w:szCs w:val="32"/>
        </w:rPr>
        <w:t>年一般公共预算财政拨款支出决算数1373.57万元，其中：</w:t>
      </w:r>
    </w:p>
    <w:p>
      <w:pPr>
        <w:spacing w:line="600" w:lineRule="exact"/>
        <w:ind w:firstLine="645"/>
        <w:rPr>
          <w:rFonts w:ascii="仿宋_GB2312" w:eastAsia="仿宋_GB2312"/>
          <w:sz w:val="32"/>
          <w:szCs w:val="32"/>
        </w:rPr>
      </w:pPr>
      <w:r>
        <w:rPr>
          <w:rFonts w:hint="eastAsia" w:ascii="仿宋_GB2312" w:eastAsia="仿宋_GB2312"/>
          <w:sz w:val="32"/>
          <w:szCs w:val="32"/>
        </w:rPr>
        <w:t>人员经费1145.12万元，主要包括：基本工资227.65万元、津贴补贴300.82万元、奖金272.74万元、机关事业单位基本养老保险缴费110.05万元、职业年金缴费55.03万元、职工基本医疗保险54.05万元、公务员医疗补助12.79万元、其他社会保障缴费11.45万元、住房公积金90.29万生活补助10.26万元、奖励金0.02万元等。</w:t>
      </w:r>
    </w:p>
    <w:p>
      <w:pPr>
        <w:spacing w:line="600" w:lineRule="exact"/>
        <w:ind w:firstLine="645"/>
        <w:rPr>
          <w:rFonts w:ascii="仿宋_GB2312" w:eastAsia="仿宋_GB2312"/>
          <w:sz w:val="32"/>
          <w:szCs w:val="32"/>
        </w:rPr>
      </w:pPr>
      <w:r>
        <w:rPr>
          <w:rFonts w:hint="eastAsia" w:ascii="仿宋_GB2312" w:eastAsia="仿宋_GB2312"/>
          <w:sz w:val="32"/>
          <w:szCs w:val="32"/>
        </w:rPr>
        <w:t>公用经费107.77万元，主要包括：办公费25.01万元、水费0.5万元、电费1.6万元、邮电费16.71万元、差旅费31万元、维修维护费1.5万元、会议费2万元、劳务费8.49万元、福利费4.97万元、公务用车运行维护费16万元。</w:t>
      </w:r>
    </w:p>
    <w:p>
      <w:pPr>
        <w:spacing w:line="600" w:lineRule="exact"/>
        <w:ind w:firstLine="645"/>
        <w:rPr>
          <w:rFonts w:ascii="仿宋_GB2312" w:eastAsia="仿宋_GB2312"/>
          <w:sz w:val="32"/>
          <w:szCs w:val="32"/>
        </w:rPr>
      </w:pPr>
      <w:r>
        <w:rPr>
          <w:rFonts w:hint="eastAsia" w:ascii="仿宋_GB2312" w:eastAsia="仿宋_GB2312"/>
          <w:sz w:val="32"/>
          <w:szCs w:val="32"/>
        </w:rPr>
        <w:t>项目支出120.67万元，主要包括办案专项经费82.7万元。元抚恤金37.88万元.</w:t>
      </w:r>
    </w:p>
    <w:p>
      <w:pPr>
        <w:spacing w:line="600" w:lineRule="exact"/>
        <w:ind w:firstLine="645"/>
        <w:rPr>
          <w:rFonts w:ascii="仿宋_GB2312" w:eastAsia="仿宋_GB2312"/>
          <w:sz w:val="32"/>
          <w:szCs w:val="32"/>
        </w:rPr>
      </w:pPr>
    </w:p>
    <w:p>
      <w:pPr>
        <w:rPr>
          <w:sz w:val="36"/>
          <w:szCs w:val="36"/>
        </w:rPr>
      </w:pPr>
      <w:r>
        <w:rPr>
          <w:rFonts w:eastAsia="黑体"/>
          <w:sz w:val="36"/>
          <w:szCs w:val="36"/>
        </w:rPr>
        <w:t>一</w:t>
      </w:r>
      <w:r>
        <w:rPr>
          <w:rStyle w:val="21"/>
          <w:rFonts w:ascii="Times New Roman" w:hAnsi="Times New Roman" w:eastAsia="黑体"/>
          <w:sz w:val="36"/>
          <w:szCs w:val="36"/>
        </w:rPr>
        <w:t>般公共预算财政拨款基本支出决算</w:t>
      </w:r>
      <w:r>
        <w:rPr>
          <w:rStyle w:val="21"/>
          <w:rFonts w:hint="eastAsia" w:ascii="Times New Roman" w:hAnsi="Times New Roman" w:eastAsia="黑体"/>
          <w:sz w:val="36"/>
          <w:szCs w:val="36"/>
        </w:rPr>
        <w:t>占比图（万元）</w:t>
      </w:r>
    </w:p>
    <w:p>
      <w:pPr>
        <w:pStyle w:val="30"/>
        <w:ind w:left="136" w:leftChars="65" w:firstLine="210" w:firstLineChars="100"/>
      </w:pPr>
      <w:r>
        <w:drawing>
          <wp:inline distT="0" distB="0" distL="0" distR="0">
            <wp:extent cx="4572000" cy="2743200"/>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exact"/>
        <w:outlineLvl w:val="1"/>
        <w:rPr>
          <w:rStyle w:val="21"/>
          <w:rFonts w:ascii="Times New Roman" w:hAnsi="Times New Roman" w:eastAsia="黑体"/>
          <w:b w:val="0"/>
        </w:rPr>
      </w:pPr>
      <w:r>
        <w:rPr>
          <w:rFonts w:eastAsia="黑体"/>
          <w:sz w:val="32"/>
          <w:szCs w:val="32"/>
        </w:rPr>
        <w:t>七、</w:t>
      </w:r>
      <w:r>
        <w:rPr>
          <w:rStyle w:val="21"/>
          <w:rFonts w:ascii="Times New Roman" w:hAnsi="Times New Roman" w:eastAsia="黑体"/>
        </w:rPr>
        <w:t>“</w:t>
      </w:r>
      <w:r>
        <w:rPr>
          <w:rStyle w:val="21"/>
          <w:rFonts w:ascii="Times New Roman" w:hAnsi="Times New Roman" w:eastAsia="黑体"/>
          <w:b w:val="0"/>
        </w:rPr>
        <w:t>三公”经费财政拨款支出决算情况说明</w:t>
      </w:r>
      <w:bookmarkEnd w:id="45"/>
      <w:bookmarkEnd w:id="46"/>
      <w:bookmarkEnd w:id="47"/>
    </w:p>
    <w:p>
      <w:pPr>
        <w:spacing w:line="600" w:lineRule="exact"/>
        <w:ind w:firstLine="640"/>
        <w:outlineLvl w:val="2"/>
        <w:rPr>
          <w:rFonts w:ascii="仿宋" w:eastAsia="仿宋"/>
          <w:b/>
          <w:color w:val="000000"/>
          <w:sz w:val="32"/>
          <w:szCs w:val="32"/>
        </w:rPr>
      </w:pPr>
      <w:bookmarkStart w:id="48" w:name="_Toc15377216"/>
      <w:r>
        <w:rPr>
          <w:rFonts w:hint="eastAsia" w:ascii="仿宋" w:eastAsia="仿宋"/>
          <w:b/>
          <w:color w:val="000000"/>
          <w:sz w:val="32"/>
          <w:szCs w:val="32"/>
        </w:rPr>
        <w:t>（一）“三公”经费财政拨款支出决算总体情况说明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年“三公”经费财政拨款支出决算为16万元，完成预算100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9" w:name="_Toc15377217"/>
      <w:r>
        <w:rPr>
          <w:rFonts w:hint="eastAsia" w:ascii="仿宋" w:eastAsia="仿宋"/>
          <w:b/>
          <w:color w:val="000000"/>
          <w:sz w:val="32"/>
          <w:szCs w:val="32"/>
        </w:rPr>
        <w:t>（二）“三公”经费财政拨款支出决算具体情况说明</w:t>
      </w:r>
      <w:bookmarkEnd w:id="49"/>
    </w:p>
    <w:p>
      <w:pPr>
        <w:spacing w:line="600" w:lineRule="exact"/>
        <w:ind w:firstLine="640"/>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年“三公”经费财政拨款支出</w:t>
      </w:r>
      <w:r>
        <w:rPr>
          <w:rFonts w:hint="eastAsia" w:ascii="仿宋" w:eastAsia="仿宋"/>
          <w:sz w:val="32"/>
          <w:szCs w:val="32"/>
        </w:rPr>
        <w:t>决算16万元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；公务用车购置及运行维护费支出决算16万元，占100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0"/>
        <w:jc w:val="center"/>
        <w:rPr>
          <w:rStyle w:val="21"/>
          <w:rFonts w:ascii="Times New Roman" w:hAnsi="Times New Roman" w:eastAsia="黑体"/>
          <w:sz w:val="36"/>
          <w:szCs w:val="36"/>
        </w:rPr>
      </w:pPr>
      <w:r>
        <w:rPr>
          <w:rStyle w:val="21"/>
          <w:rFonts w:hint="eastAsia" w:ascii="Times New Roman" w:hAnsi="Times New Roman" w:eastAsia="黑体"/>
          <w:sz w:val="36"/>
          <w:szCs w:val="36"/>
        </w:rPr>
        <w:t>三公经费占比图</w:t>
      </w:r>
    </w:p>
    <w:p>
      <w:pPr>
        <w:pStyle w:val="30"/>
        <w:ind w:left="214" w:leftChars="7" w:hanging="199" w:hangingChars="95"/>
      </w:pPr>
      <w:r>
        <w:drawing>
          <wp:inline distT="0" distB="0" distL="0" distR="0">
            <wp:extent cx="5314315" cy="3086100"/>
            <wp:effectExtent l="0" t="0" r="0" b="0"/>
            <wp:docPr id="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rPr>
          <w:rStyle w:val="17"/>
          <w:rFonts w:ascii="仿宋" w:eastAsia="仿宋"/>
          <w:b w:val="0"/>
          <w:bCs/>
          <w:color w:val="000000"/>
          <w:sz w:val="32"/>
          <w:szCs w:val="32"/>
        </w:rPr>
      </w:pPr>
      <w:bookmarkStart w:id="50" w:name="_Toc26843619"/>
      <w:bookmarkStart w:id="51" w:name="_Toc15396610"/>
      <w:bookmarkStart w:id="52" w:name="_Toc15377218"/>
      <w:r>
        <w:rPr>
          <w:rFonts w:hint="eastAsia" w:ascii="仿宋_GB2312" w:eastAsia="仿宋_GB2312"/>
          <w:b/>
          <w:color w:val="000000"/>
          <w:sz w:val="32"/>
          <w:szCs w:val="32"/>
        </w:rPr>
        <w:t>1.因公出国（境）经费支出：</w:t>
      </w:r>
      <w:r>
        <w:rPr>
          <w:rFonts w:ascii="仿宋_GB2312" w:eastAsia="仿宋_GB2312"/>
          <w:color w:val="000000"/>
          <w:sz w:val="30"/>
          <w:szCs w:val="30"/>
        </w:rPr>
        <w:t>2024</w:t>
      </w:r>
      <w:r>
        <w:rPr>
          <w:rFonts w:hint="eastAsia" w:ascii="仿宋_GB2312" w:eastAsia="仿宋_GB2312"/>
          <w:color w:val="000000"/>
          <w:sz w:val="30"/>
          <w:szCs w:val="30"/>
        </w:rPr>
        <w:t>年因公出国（境）费0万元。</w:t>
      </w:r>
    </w:p>
    <w:p>
      <w:pPr>
        <w:spacing w:line="600" w:lineRule="exact"/>
        <w:ind w:firstLine="642" w:firstLineChars="200"/>
        <w:rPr>
          <w:rFonts w:ascii="仿宋_GB2312" w:eastAsia="仿宋_GB2312"/>
          <w:color w:val="000000"/>
          <w:sz w:val="30"/>
          <w:szCs w:val="30"/>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0"/>
          <w:szCs w:val="30"/>
        </w:rPr>
        <w:t>2024年公务用车购置及运行维护费支出决算16万元，</w:t>
      </w:r>
      <w:r>
        <w:rPr>
          <w:rFonts w:hint="eastAsia" w:ascii="仿宋_GB2312" w:eastAsia="仿宋_GB2312"/>
          <w:b/>
          <w:sz w:val="30"/>
          <w:szCs w:val="30"/>
        </w:rPr>
        <w:t>完成预算100</w:t>
      </w:r>
      <w:r>
        <w:rPr>
          <w:rFonts w:ascii="仿宋_GB2312" w:eastAsia="仿宋_GB2312"/>
          <w:b/>
          <w:sz w:val="30"/>
          <w:szCs w:val="30"/>
        </w:rPr>
        <w:t>%</w:t>
      </w:r>
      <w:r>
        <w:rPr>
          <w:rFonts w:hint="eastAsia" w:ascii="仿宋_GB2312" w:eastAsia="仿宋_GB2312"/>
          <w:b/>
          <w:sz w:val="30"/>
          <w:szCs w:val="30"/>
        </w:rPr>
        <w:t>。</w:t>
      </w:r>
      <w:r>
        <w:rPr>
          <w:rFonts w:hint="eastAsia" w:ascii="仿宋_GB2312" w:eastAsia="仿宋_GB2312"/>
          <w:color w:val="000000"/>
          <w:sz w:val="30"/>
          <w:szCs w:val="30"/>
        </w:rPr>
        <w:t>公务用车购置及运行维护费支出决算比</w:t>
      </w:r>
      <w:r>
        <w:rPr>
          <w:rFonts w:ascii="仿宋_GB2312" w:eastAsia="仿宋_GB2312"/>
          <w:color w:val="000000"/>
          <w:sz w:val="30"/>
          <w:szCs w:val="30"/>
        </w:rPr>
        <w:t>20</w:t>
      </w:r>
      <w:r>
        <w:rPr>
          <w:rFonts w:hint="eastAsia" w:ascii="仿宋_GB2312" w:eastAsia="仿宋_GB2312"/>
          <w:color w:val="000000"/>
          <w:sz w:val="30"/>
          <w:szCs w:val="30"/>
        </w:rPr>
        <w:t>23年减少0万元，下降0</w:t>
      </w:r>
      <w:r>
        <w:rPr>
          <w:rFonts w:ascii="仿宋_GB2312" w:eastAsia="仿宋_GB2312"/>
          <w:color w:val="000000"/>
          <w:sz w:val="30"/>
          <w:szCs w:val="30"/>
        </w:rPr>
        <w:t>%</w:t>
      </w:r>
      <w:r>
        <w:rPr>
          <w:rFonts w:hint="eastAsia" w:ascii="仿宋_GB2312" w:eastAsia="仿宋_GB2312"/>
          <w:color w:val="000000"/>
          <w:sz w:val="30"/>
          <w:szCs w:val="30"/>
        </w:rPr>
        <w:t>。其中：公务用车购置支出0万元。全年按规定更新购置公务用车0辆。截至</w:t>
      </w:r>
      <w:r>
        <w:rPr>
          <w:rFonts w:ascii="仿宋_GB2312" w:eastAsia="仿宋_GB2312"/>
          <w:color w:val="000000"/>
          <w:sz w:val="30"/>
          <w:szCs w:val="30"/>
        </w:rPr>
        <w:t>2024</w:t>
      </w:r>
      <w:r>
        <w:rPr>
          <w:rFonts w:hint="eastAsia" w:ascii="仿宋_GB2312" w:eastAsia="仿宋_GB2312"/>
          <w:color w:val="000000"/>
          <w:sz w:val="30"/>
          <w:szCs w:val="30"/>
        </w:rPr>
        <w:t>年</w:t>
      </w:r>
      <w:r>
        <w:rPr>
          <w:rFonts w:ascii="仿宋_GB2312" w:eastAsia="仿宋_GB2312"/>
          <w:color w:val="000000"/>
          <w:sz w:val="30"/>
          <w:szCs w:val="30"/>
        </w:rPr>
        <w:t>12</w:t>
      </w:r>
      <w:r>
        <w:rPr>
          <w:rFonts w:hint="eastAsia" w:ascii="仿宋_GB2312" w:eastAsia="仿宋_GB2312"/>
          <w:color w:val="000000"/>
          <w:sz w:val="30"/>
          <w:szCs w:val="30"/>
        </w:rPr>
        <w:t>月</w:t>
      </w:r>
      <w:r>
        <w:rPr>
          <w:rFonts w:ascii="仿宋_GB2312" w:eastAsia="仿宋_GB2312"/>
          <w:color w:val="000000"/>
          <w:sz w:val="30"/>
          <w:szCs w:val="30"/>
        </w:rPr>
        <w:t>31</w:t>
      </w:r>
      <w:r>
        <w:rPr>
          <w:rFonts w:hint="eastAsia" w:ascii="仿宋_GB2312" w:eastAsia="仿宋_GB2312"/>
          <w:color w:val="000000"/>
          <w:sz w:val="30"/>
          <w:szCs w:val="30"/>
        </w:rPr>
        <w:t>日，共有车辆4辆，其中：部级领导干部用车0辆、主要领导干部用车0辆、机要通信用车0辆、应急保障用车1辆、执法执勤用车3辆、特种专业技术用车0辆、离退休干部用车0辆、其他用车0辆；</w:t>
      </w:r>
    </w:p>
    <w:p>
      <w:pPr>
        <w:spacing w:line="600" w:lineRule="atLeast"/>
        <w:ind w:firstLine="642"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公务用车运行维护费支出</w:t>
      </w:r>
      <w:r>
        <w:rPr>
          <w:rFonts w:hint="eastAsia" w:ascii="仿宋_GB2312" w:eastAsia="仿宋_GB2312"/>
          <w:sz w:val="32"/>
          <w:szCs w:val="32"/>
        </w:rPr>
        <w:t>16万元。</w:t>
      </w:r>
      <w:r>
        <w:rPr>
          <w:rFonts w:hint="eastAsia" w:ascii="仿宋_GB2312" w:eastAsia="仿宋_GB2312"/>
          <w:color w:val="000000"/>
          <w:sz w:val="32"/>
          <w:szCs w:val="32"/>
        </w:rPr>
        <w:t>主要用于</w:t>
      </w:r>
      <w:r>
        <w:rPr>
          <w:rFonts w:hint="eastAsia" w:ascii="仿宋_GB2312" w:eastAsia="仿宋_GB2312" w:cs="仿宋"/>
          <w:color w:val="000000"/>
          <w:kern w:val="0"/>
          <w:sz w:val="30"/>
          <w:szCs w:val="30"/>
        </w:rPr>
        <w:t>开展日常事务时车辆的燃料费、维修费、过路费、保险费等支出。</w:t>
      </w:r>
    </w:p>
    <w:p>
      <w:pPr>
        <w:spacing w:line="600" w:lineRule="atLeast"/>
        <w:ind w:firstLine="642"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3.公务接待费支出：</w:t>
      </w:r>
      <w:r>
        <w:rPr>
          <w:rFonts w:hint="eastAsia" w:ascii="仿宋_GB2312" w:eastAsia="仿宋_GB2312" w:cs="仿宋"/>
          <w:color w:val="000000"/>
          <w:kern w:val="0"/>
          <w:sz w:val="30"/>
          <w:szCs w:val="30"/>
        </w:rPr>
        <w:t>2024年公务接待费0万元。比2023年减少支出0万元。</w:t>
      </w:r>
    </w:p>
    <w:p>
      <w:pPr>
        <w:pStyle w:val="26"/>
        <w:numPr>
          <w:ilvl w:val="0"/>
          <w:numId w:val="3"/>
        </w:numPr>
        <w:spacing w:line="576" w:lineRule="exact"/>
        <w:ind w:firstLineChars="0"/>
        <w:outlineLvl w:val="1"/>
        <w:rPr>
          <w:rStyle w:val="21"/>
          <w:rFonts w:ascii="Times New Roman" w:hAnsi="Times New Roman" w:eastAsia="黑体"/>
        </w:rPr>
      </w:pPr>
      <w:r>
        <w:rPr>
          <w:rStyle w:val="21"/>
          <w:rFonts w:ascii="Times New Roman" w:hAnsi="Times New Roman" w:eastAsia="黑体"/>
          <w:b w:val="0"/>
        </w:rPr>
        <w:t>政府性基金预算支出决算情况说明</w:t>
      </w:r>
      <w:bookmarkEnd w:id="50"/>
      <w:bookmarkEnd w:id="51"/>
      <w:bookmarkEnd w:id="52"/>
    </w:p>
    <w:p>
      <w:pPr>
        <w:pStyle w:val="26"/>
        <w:spacing w:line="600" w:lineRule="exact"/>
        <w:ind w:left="320" w:firstLine="320" w:firstLineChars="100"/>
        <w:rPr>
          <w:rFonts w:ascii="仿宋_GB2312" w:eastAsia="仿宋_GB2312"/>
          <w:color w:val="000000"/>
          <w:sz w:val="32"/>
          <w:szCs w:val="32"/>
        </w:rPr>
      </w:pPr>
      <w:bookmarkStart w:id="53" w:name="_Toc26843620"/>
      <w:bookmarkStart w:id="54" w:name="_Toc15377219"/>
      <w:bookmarkStart w:id="55" w:name="_Toc15396611"/>
      <w:r>
        <w:rPr>
          <w:rFonts w:ascii="仿宋_GB2312" w:eastAsia="仿宋_GB2312"/>
          <w:color w:val="000000"/>
          <w:sz w:val="32"/>
          <w:szCs w:val="32"/>
        </w:rPr>
        <w:t>2024</w:t>
      </w:r>
      <w:r>
        <w:rPr>
          <w:rFonts w:hint="eastAsia" w:ascii="仿宋_GB2312" w:eastAsia="仿宋_GB2312"/>
          <w:color w:val="000000"/>
          <w:sz w:val="32"/>
          <w:szCs w:val="32"/>
        </w:rPr>
        <w:t>年政府性基金预算拨款支出0万元。</w:t>
      </w:r>
    </w:p>
    <w:p>
      <w:pPr>
        <w:pStyle w:val="26"/>
        <w:numPr>
          <w:ilvl w:val="0"/>
          <w:numId w:val="3"/>
        </w:numPr>
        <w:spacing w:line="576" w:lineRule="exact"/>
        <w:ind w:firstLineChars="0"/>
        <w:outlineLvl w:val="1"/>
        <w:rPr>
          <w:rStyle w:val="21"/>
          <w:rFonts w:ascii="Times New Roman" w:hAnsi="Times New Roman" w:eastAsia="黑体"/>
          <w:b w:val="0"/>
        </w:rPr>
      </w:pPr>
      <w:r>
        <w:rPr>
          <w:rStyle w:val="21"/>
          <w:rFonts w:hint="eastAsia" w:ascii="Times New Roman" w:hAnsi="Times New Roman" w:eastAsia="黑体"/>
          <w:b w:val="0"/>
        </w:rPr>
        <w:t>国有资本经营预算支出决算情况说明</w:t>
      </w:r>
    </w:p>
    <w:p>
      <w:pPr>
        <w:pStyle w:val="26"/>
        <w:spacing w:line="600" w:lineRule="exact"/>
        <w:rPr>
          <w:rFonts w:ascii="仿宋_GB2312" w:eastAsia="仿宋_GB2312"/>
          <w:color w:val="000000"/>
          <w:sz w:val="32"/>
          <w:szCs w:val="32"/>
        </w:rPr>
      </w:pPr>
      <w:r>
        <w:rPr>
          <w:rFonts w:ascii="仿宋_GB2312" w:eastAsia="仿宋_GB2312"/>
          <w:color w:val="000000"/>
          <w:sz w:val="32"/>
          <w:szCs w:val="32"/>
        </w:rPr>
        <w:t>2024</w:t>
      </w:r>
      <w:r>
        <w:rPr>
          <w:rFonts w:hint="eastAsia" w:ascii="仿宋_GB2312" w:eastAsia="仿宋_GB2312"/>
          <w:color w:val="000000"/>
          <w:sz w:val="32"/>
          <w:szCs w:val="32"/>
        </w:rPr>
        <w:t>年国有资本经营预算拨款支出0万元。</w:t>
      </w:r>
    </w:p>
    <w:bookmarkEnd w:id="53"/>
    <w:bookmarkEnd w:id="54"/>
    <w:bookmarkEnd w:id="55"/>
    <w:p>
      <w:pPr>
        <w:pStyle w:val="26"/>
        <w:numPr>
          <w:ilvl w:val="0"/>
          <w:numId w:val="3"/>
        </w:numPr>
        <w:spacing w:line="576" w:lineRule="exact"/>
        <w:ind w:firstLineChars="0"/>
        <w:outlineLvl w:val="1"/>
        <w:rPr>
          <w:rStyle w:val="21"/>
          <w:rFonts w:ascii="Times New Roman" w:hAnsi="Times New Roman" w:eastAsia="黑体"/>
          <w:b w:val="0"/>
        </w:rPr>
      </w:pPr>
      <w:bookmarkStart w:id="56" w:name="_Toc26843621"/>
      <w:bookmarkStart w:id="57" w:name="_Toc15377221"/>
      <w:bookmarkStart w:id="58" w:name="_Toc15396612"/>
      <w:r>
        <w:rPr>
          <w:rStyle w:val="21"/>
          <w:rFonts w:ascii="Times New Roman" w:hAnsi="Times New Roman" w:eastAsia="黑体"/>
          <w:b w:val="0"/>
        </w:rPr>
        <w:t>其他重要事项的情况说明</w:t>
      </w:r>
      <w:bookmarkEnd w:id="56"/>
      <w:bookmarkEnd w:id="57"/>
      <w:bookmarkEnd w:id="58"/>
    </w:p>
    <w:p>
      <w:pPr>
        <w:spacing w:line="576" w:lineRule="exact"/>
        <w:ind w:firstLine="642" w:firstLineChars="200"/>
        <w:outlineLvl w:val="2"/>
        <w:rPr>
          <w:rFonts w:eastAsia="仿宋"/>
          <w:sz w:val="32"/>
          <w:szCs w:val="32"/>
        </w:rPr>
      </w:pPr>
      <w:bookmarkStart w:id="59" w:name="_Toc15377222"/>
      <w:r>
        <w:rPr>
          <w:rFonts w:eastAsia="仿宋"/>
          <w:b/>
          <w:sz w:val="32"/>
          <w:szCs w:val="32"/>
        </w:rPr>
        <w:t>（一）机关运行经费支出情况</w:t>
      </w:r>
      <w:bookmarkEnd w:id="59"/>
    </w:p>
    <w:p>
      <w:pPr>
        <w:spacing w:line="600" w:lineRule="exact"/>
        <w:ind w:firstLine="640" w:firstLineChars="200"/>
        <w:rPr>
          <w:rFonts w:ascii="仿宋_GB2312" w:eastAsia="仿宋_GB2312"/>
          <w:sz w:val="32"/>
          <w:szCs w:val="32"/>
        </w:rPr>
      </w:pPr>
      <w:bookmarkStart w:id="60" w:name="_Toc15377223"/>
      <w:r>
        <w:rPr>
          <w:rFonts w:ascii="仿宋_GB2312" w:eastAsia="仿宋_GB2312"/>
          <w:color w:val="000000"/>
          <w:sz w:val="32"/>
          <w:szCs w:val="32"/>
        </w:rPr>
        <w:t>2024</w:t>
      </w:r>
      <w:r>
        <w:rPr>
          <w:rFonts w:hint="eastAsia" w:ascii="仿宋_GB2312" w:eastAsia="仿宋_GB2312"/>
          <w:color w:val="000000"/>
          <w:sz w:val="32"/>
          <w:szCs w:val="32"/>
        </w:rPr>
        <w:t>年，运行经费支出107.77万元，比</w:t>
      </w:r>
      <w:r>
        <w:rPr>
          <w:rFonts w:ascii="仿宋_GB2312" w:eastAsia="仿宋_GB2312"/>
          <w:color w:val="000000"/>
          <w:sz w:val="32"/>
          <w:szCs w:val="32"/>
        </w:rPr>
        <w:t>20</w:t>
      </w:r>
      <w:r>
        <w:rPr>
          <w:rFonts w:hint="eastAsia" w:ascii="仿宋_GB2312" w:eastAsia="仿宋_GB2312"/>
          <w:color w:val="000000"/>
          <w:sz w:val="32"/>
          <w:szCs w:val="32"/>
        </w:rPr>
        <w:t>23年增长4.06万元，增长3.92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主要原因为增加公用经费的支出。</w:t>
      </w:r>
    </w:p>
    <w:p>
      <w:pPr>
        <w:autoSpaceDE w:val="0"/>
        <w:autoSpaceDN w:val="0"/>
        <w:adjustRightInd w:val="0"/>
        <w:spacing w:line="576" w:lineRule="exact"/>
        <w:ind w:firstLine="642" w:firstLineChars="200"/>
        <w:jc w:val="left"/>
        <w:outlineLvl w:val="2"/>
        <w:rPr>
          <w:rFonts w:eastAsia="仿宋"/>
          <w:b/>
          <w:sz w:val="32"/>
          <w:szCs w:val="32"/>
        </w:rPr>
      </w:pPr>
      <w:r>
        <w:rPr>
          <w:rFonts w:eastAsia="仿宋"/>
          <w:b/>
          <w:sz w:val="32"/>
          <w:szCs w:val="32"/>
        </w:rPr>
        <w:t>（二）政府采购支出情况</w:t>
      </w:r>
      <w:bookmarkEnd w:id="60"/>
    </w:p>
    <w:p>
      <w:pPr>
        <w:autoSpaceDE w:val="0"/>
        <w:autoSpaceDN w:val="0"/>
        <w:adjustRightInd w:val="0"/>
        <w:spacing w:line="576" w:lineRule="exact"/>
        <w:ind w:firstLine="640" w:firstLineChars="200"/>
        <w:jc w:val="left"/>
        <w:rPr>
          <w:rFonts w:eastAsia="仿宋_GB2312"/>
          <w:sz w:val="32"/>
          <w:szCs w:val="32"/>
        </w:rPr>
      </w:pPr>
      <w:bookmarkStart w:id="61" w:name="_Toc15377224"/>
      <w:r>
        <w:rPr>
          <w:rFonts w:eastAsia="仿宋_GB2312"/>
          <w:sz w:val="32"/>
          <w:szCs w:val="32"/>
        </w:rPr>
        <w:t>2024</w:t>
      </w:r>
      <w:r>
        <w:rPr>
          <w:rFonts w:hint="eastAsia" w:eastAsia="仿宋_GB2312"/>
          <w:sz w:val="32"/>
          <w:szCs w:val="32"/>
        </w:rPr>
        <w:t>年，政府采购支出总额0万元，其中：政府采购货物支出0万元、政府采购服务支出0万元、政府采购工程支出0万元。</w:t>
      </w:r>
    </w:p>
    <w:p>
      <w:pPr>
        <w:autoSpaceDE w:val="0"/>
        <w:autoSpaceDN w:val="0"/>
        <w:adjustRightInd w:val="0"/>
        <w:spacing w:line="576" w:lineRule="exact"/>
        <w:ind w:firstLine="642" w:firstLineChars="200"/>
        <w:jc w:val="left"/>
        <w:outlineLvl w:val="2"/>
        <w:rPr>
          <w:rFonts w:eastAsia="仿宋"/>
          <w:b/>
          <w:sz w:val="32"/>
          <w:szCs w:val="32"/>
        </w:rPr>
      </w:pPr>
      <w:r>
        <w:rPr>
          <w:rFonts w:eastAsia="仿宋"/>
          <w:b/>
          <w:sz w:val="32"/>
          <w:szCs w:val="32"/>
        </w:rPr>
        <w:t>（三）国有资产占有使用情况</w:t>
      </w:r>
      <w:bookmarkEnd w:id="61"/>
    </w:p>
    <w:p>
      <w:pPr>
        <w:autoSpaceDE w:val="0"/>
        <w:autoSpaceDN w:val="0"/>
        <w:adjustRightInd w:val="0"/>
        <w:spacing w:line="576" w:lineRule="exact"/>
        <w:ind w:firstLine="640" w:firstLineChars="200"/>
        <w:jc w:val="left"/>
        <w:rPr>
          <w:rFonts w:eastAsia="仿宋_GB2312"/>
          <w:sz w:val="32"/>
          <w:szCs w:val="32"/>
        </w:rPr>
      </w:pPr>
      <w:r>
        <w:rPr>
          <w:rFonts w:eastAsia="仿宋_GB2312"/>
          <w:sz w:val="32"/>
          <w:szCs w:val="32"/>
        </w:rPr>
        <w:t>截至2024年12月31日，共有车辆</w:t>
      </w:r>
      <w:r>
        <w:rPr>
          <w:rFonts w:hint="eastAsia" w:eastAsia="仿宋_GB2312"/>
          <w:sz w:val="32"/>
          <w:szCs w:val="32"/>
        </w:rPr>
        <w:t>4</w:t>
      </w:r>
      <w:r>
        <w:rPr>
          <w:rFonts w:eastAsia="仿宋_GB2312"/>
          <w:sz w:val="32"/>
          <w:szCs w:val="32"/>
        </w:rPr>
        <w:t>辆，其中：主要领导干部用车0辆、机要通信用车0辆、应急保障用车</w:t>
      </w:r>
      <w:r>
        <w:rPr>
          <w:rFonts w:hint="eastAsia" w:eastAsia="仿宋_GB2312"/>
          <w:sz w:val="32"/>
          <w:szCs w:val="32"/>
        </w:rPr>
        <w:t>1</w:t>
      </w:r>
      <w:r>
        <w:rPr>
          <w:rFonts w:eastAsia="仿宋_GB2312"/>
          <w:sz w:val="32"/>
          <w:szCs w:val="32"/>
        </w:rPr>
        <w:t>辆、</w:t>
      </w:r>
      <w:r>
        <w:rPr>
          <w:rFonts w:hint="eastAsia" w:eastAsia="仿宋_GB2312"/>
          <w:sz w:val="32"/>
          <w:szCs w:val="32"/>
        </w:rPr>
        <w:t>执法执勤用车3辆、</w:t>
      </w:r>
      <w:r>
        <w:rPr>
          <w:rFonts w:eastAsia="仿宋_GB2312"/>
          <w:sz w:val="32"/>
          <w:szCs w:val="32"/>
        </w:rPr>
        <w:t>其他用车</w:t>
      </w:r>
      <w:r>
        <w:rPr>
          <w:rFonts w:hint="eastAsia" w:eastAsia="仿宋_GB2312"/>
          <w:sz w:val="32"/>
          <w:szCs w:val="32"/>
        </w:rPr>
        <w:t>0</w:t>
      </w:r>
      <w:r>
        <w:rPr>
          <w:rFonts w:eastAsia="仿宋_GB2312"/>
          <w:sz w:val="32"/>
          <w:szCs w:val="32"/>
        </w:rPr>
        <w:t>辆。单价50万元以上通用设备</w:t>
      </w:r>
      <w:r>
        <w:rPr>
          <w:rFonts w:hint="eastAsia" w:eastAsia="仿宋_GB2312"/>
          <w:sz w:val="32"/>
          <w:szCs w:val="32"/>
        </w:rPr>
        <w:t>0</w:t>
      </w:r>
      <w:r>
        <w:rPr>
          <w:rFonts w:eastAsia="仿宋_GB2312"/>
          <w:sz w:val="32"/>
          <w:szCs w:val="32"/>
        </w:rPr>
        <w:t>台（套），单价100万元以上专用设备0台（套）。</w:t>
      </w:r>
    </w:p>
    <w:p>
      <w:pPr>
        <w:autoSpaceDE w:val="0"/>
        <w:autoSpaceDN w:val="0"/>
        <w:adjustRightInd w:val="0"/>
        <w:spacing w:line="576" w:lineRule="exact"/>
        <w:ind w:firstLine="642" w:firstLineChars="200"/>
        <w:jc w:val="left"/>
        <w:outlineLvl w:val="2"/>
        <w:rPr>
          <w:rFonts w:eastAsia="仿宋"/>
          <w:b/>
          <w:sz w:val="32"/>
          <w:szCs w:val="32"/>
        </w:rPr>
      </w:pPr>
      <w:r>
        <w:rPr>
          <w:rFonts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根据预算绩效管理要求，我单位在年初预算编制阶段，组织对项目开展了预算事前绩效评估，本部门按要求对2024年部门整体支出开展绩效自评，</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pPr>
        <w:widowControl/>
        <w:spacing w:line="576" w:lineRule="exact"/>
        <w:jc w:val="left"/>
        <w:rPr>
          <w:rFonts w:eastAsia="仿宋_GB2312"/>
          <w:b/>
          <w:sz w:val="32"/>
          <w:szCs w:val="32"/>
        </w:rPr>
      </w:pPr>
      <w:r>
        <w:rPr>
          <w:rFonts w:eastAsia="仿宋_GB2312"/>
          <w:b/>
          <w:sz w:val="32"/>
          <w:szCs w:val="32"/>
        </w:rPr>
        <w:br w:type="page"/>
      </w:r>
    </w:p>
    <w:p>
      <w:pPr>
        <w:numPr>
          <w:ilvl w:val="0"/>
          <w:numId w:val="4"/>
        </w:numPr>
        <w:spacing w:line="576" w:lineRule="exact"/>
        <w:ind w:left="0" w:firstLine="660" w:firstLineChars="150"/>
        <w:jc w:val="center"/>
        <w:outlineLvl w:val="0"/>
        <w:rPr>
          <w:rStyle w:val="20"/>
          <w:rFonts w:eastAsia="黑体"/>
          <w:b w:val="0"/>
        </w:rPr>
      </w:pPr>
      <w:bookmarkStart w:id="62" w:name="_Toc15377225"/>
      <w:bookmarkStart w:id="63" w:name="_Toc26843622"/>
      <w:bookmarkStart w:id="64" w:name="_Toc15396613"/>
      <w:r>
        <w:rPr>
          <w:rFonts w:eastAsia="黑体"/>
          <w:sz w:val="44"/>
          <w:szCs w:val="44"/>
        </w:rPr>
        <w:t>名</w:t>
      </w:r>
      <w:r>
        <w:rPr>
          <w:rStyle w:val="20"/>
          <w:rFonts w:eastAsia="黑体"/>
          <w:b w:val="0"/>
        </w:rPr>
        <w:t>词解释</w:t>
      </w:r>
      <w:bookmarkEnd w:id="62"/>
      <w:bookmarkEnd w:id="63"/>
      <w:bookmarkEnd w:id="64"/>
    </w:p>
    <w:p>
      <w:pPr>
        <w:spacing w:line="576" w:lineRule="exact"/>
        <w:jc w:val="left"/>
        <w:rPr>
          <w:b/>
          <w:sz w:val="44"/>
          <w:szCs w:val="44"/>
        </w:rPr>
      </w:pP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pPr>
        <w:spacing w:line="576" w:lineRule="exact"/>
        <w:ind w:firstLine="640" w:firstLineChars="200"/>
        <w:rPr>
          <w:rFonts w:eastAsia="仿宋_GB2312"/>
          <w:sz w:val="32"/>
          <w:szCs w:val="32"/>
        </w:rPr>
      </w:pPr>
      <w:r>
        <w:rPr>
          <w:rFonts w:eastAsia="仿宋_GB2312"/>
          <w:sz w:val="32"/>
          <w:szCs w:val="32"/>
        </w:rPr>
        <w:t>9.</w:t>
      </w:r>
      <w:r>
        <w:rPr>
          <w:rFonts w:eastAsia="仿宋_GB2312"/>
          <w:bCs/>
          <w:kern w:val="0"/>
          <w:sz w:val="32"/>
          <w:szCs w:val="32"/>
        </w:rPr>
        <w:t>一般公共服务：行政运行，反映党委办公厅（室）及相关机构的支出；一般行政管理事务，反映行政单位（包括实行公务员管理的事业单位）未单独设置项级科目的其他项目支出。</w:t>
      </w:r>
    </w:p>
    <w:p>
      <w:pPr>
        <w:spacing w:line="576" w:lineRule="exact"/>
        <w:ind w:firstLine="640" w:firstLineChars="200"/>
        <w:rPr>
          <w:rFonts w:eastAsia="仿宋_GB2312"/>
          <w:sz w:val="32"/>
          <w:szCs w:val="32"/>
        </w:rPr>
      </w:pPr>
      <w:r>
        <w:rPr>
          <w:rFonts w:eastAsia="仿宋_GB2312"/>
          <w:sz w:val="32"/>
          <w:szCs w:val="32"/>
        </w:rPr>
        <w:t>10.</w:t>
      </w:r>
      <w:r>
        <w:rPr>
          <w:rFonts w:eastAsia="仿宋_GB2312"/>
          <w:bCs/>
          <w:kern w:val="0"/>
          <w:sz w:val="32"/>
          <w:szCs w:val="32"/>
        </w:rPr>
        <w:t>社会保障和就业：反映政府在社会保障与就业方面的支出。</w:t>
      </w:r>
    </w:p>
    <w:p>
      <w:pPr>
        <w:spacing w:line="576" w:lineRule="exact"/>
        <w:ind w:firstLine="640" w:firstLineChars="200"/>
        <w:rPr>
          <w:rFonts w:eastAsia="仿宋_GB2312"/>
          <w:sz w:val="32"/>
          <w:szCs w:val="32"/>
        </w:rPr>
      </w:pPr>
      <w:r>
        <w:rPr>
          <w:rFonts w:eastAsia="仿宋_GB2312"/>
          <w:sz w:val="32"/>
          <w:szCs w:val="32"/>
        </w:rPr>
        <w:t>11.</w:t>
      </w:r>
      <w:r>
        <w:rPr>
          <w:rFonts w:eastAsia="仿宋_GB2312"/>
          <w:bCs/>
          <w:sz w:val="32"/>
          <w:szCs w:val="32"/>
        </w:rPr>
        <w:t>医疗卫生与计划生育：反映政府医疗卫生计划生育管理方面的支出。</w:t>
      </w:r>
    </w:p>
    <w:p>
      <w:pPr>
        <w:spacing w:line="576" w:lineRule="exact"/>
        <w:ind w:firstLine="640" w:firstLineChars="200"/>
        <w:rPr>
          <w:rFonts w:eastAsia="仿宋_GB2312"/>
          <w:sz w:val="32"/>
          <w:szCs w:val="32"/>
        </w:rPr>
      </w:pPr>
      <w:r>
        <w:rPr>
          <w:rFonts w:eastAsia="仿宋_GB2312"/>
          <w:sz w:val="32"/>
          <w:szCs w:val="32"/>
        </w:rPr>
        <w:t>12.住房保障支出：集中反映政府用于住房方面的支出。</w:t>
      </w:r>
    </w:p>
    <w:p>
      <w:pPr>
        <w:spacing w:line="576" w:lineRule="exact"/>
        <w:ind w:firstLine="640" w:firstLineChars="200"/>
        <w:rPr>
          <w:rFonts w:eastAsia="仿宋_GB2312"/>
          <w:sz w:val="32"/>
          <w:szCs w:val="32"/>
        </w:rPr>
      </w:pPr>
      <w:r>
        <w:rPr>
          <w:rFonts w:eastAsia="仿宋_GB2312"/>
          <w:sz w:val="32"/>
          <w:szCs w:val="32"/>
        </w:rPr>
        <w:t>13.基本支出：指为保障机构正常运转、完成日常工作任务而发生的人员支出和公用支出。</w:t>
      </w:r>
    </w:p>
    <w:p>
      <w:pPr>
        <w:spacing w:line="576" w:lineRule="exact"/>
        <w:ind w:firstLine="640" w:firstLineChars="200"/>
        <w:rPr>
          <w:rFonts w:eastAsia="仿宋_GB2312"/>
          <w:sz w:val="32"/>
          <w:szCs w:val="32"/>
        </w:rPr>
      </w:pPr>
      <w:r>
        <w:rPr>
          <w:rFonts w:eastAsia="仿宋_GB2312"/>
          <w:sz w:val="32"/>
          <w:szCs w:val="32"/>
        </w:rPr>
        <w:t xml:space="preserve">14.项目支出：指在基本支出之外为完成特定行政任务和事业发展目标所发生的支出。 </w:t>
      </w:r>
    </w:p>
    <w:p>
      <w:pPr>
        <w:spacing w:line="576" w:lineRule="exact"/>
        <w:ind w:firstLine="640" w:firstLineChars="200"/>
        <w:rPr>
          <w:rFonts w:eastAsia="仿宋_GB2312"/>
          <w:sz w:val="32"/>
          <w:szCs w:val="32"/>
        </w:rPr>
      </w:pPr>
      <w:r>
        <w:rPr>
          <w:rFonts w:eastAsia="仿宋_GB2312"/>
          <w:sz w:val="32"/>
          <w:szCs w:val="32"/>
        </w:rPr>
        <w:t>15.经营支出：指事业单位在专业业务活动及其辅助活动之外开展非独立核算经营活动发生的支出。</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0"/>
          <w:rFonts w:eastAsia="黑体"/>
          <w:b w:val="0"/>
        </w:rPr>
      </w:pPr>
      <w:bookmarkStart w:id="65" w:name="_Toc15377226"/>
      <w:r>
        <w:rPr>
          <w:b/>
          <w:sz w:val="44"/>
          <w:szCs w:val="44"/>
        </w:rPr>
        <w:br w:type="page"/>
      </w:r>
      <w:bookmarkStart w:id="66" w:name="_Toc15396614"/>
      <w:bookmarkStart w:id="67" w:name="_Toc26843623"/>
      <w:r>
        <w:rPr>
          <w:rFonts w:eastAsia="黑体"/>
          <w:sz w:val="44"/>
          <w:szCs w:val="44"/>
        </w:rPr>
        <w:t>第</w:t>
      </w:r>
      <w:r>
        <w:rPr>
          <w:rStyle w:val="20"/>
          <w:rFonts w:eastAsia="黑体"/>
          <w:b w:val="0"/>
        </w:rPr>
        <w:t>四部分 附件</w:t>
      </w:r>
      <w:bookmarkEnd w:id="66"/>
      <w:bookmarkEnd w:id="67"/>
    </w:p>
    <w:p>
      <w:pPr>
        <w:spacing w:line="576" w:lineRule="exact"/>
        <w:jc w:val="left"/>
        <w:outlineLvl w:val="0"/>
        <w:rPr>
          <w:rFonts w:eastAsia="方正小标宋简体"/>
          <w:sz w:val="44"/>
          <w:szCs w:val="44"/>
        </w:rPr>
      </w:pPr>
      <w:bookmarkStart w:id="68" w:name="_Toc26843624"/>
      <w:r>
        <w:rPr>
          <w:rFonts w:eastAsia="黑体"/>
          <w:sz w:val="32"/>
          <w:szCs w:val="32"/>
        </w:rPr>
        <w:t>附件</w:t>
      </w:r>
      <w:bookmarkEnd w:id="68"/>
    </w:p>
    <w:p>
      <w:pPr>
        <w:widowControl/>
        <w:spacing w:line="560" w:lineRule="atLeast"/>
        <w:jc w:val="center"/>
        <w:rPr>
          <w:rFonts w:ascii="宋体" w:cs="宋体"/>
          <w:b/>
          <w:sz w:val="44"/>
          <w:szCs w:val="44"/>
        </w:rPr>
      </w:pPr>
      <w:r>
        <w:rPr>
          <w:rFonts w:hint="eastAsia" w:ascii="宋体" w:cs="宋体"/>
          <w:b/>
          <w:sz w:val="44"/>
          <w:szCs w:val="44"/>
        </w:rPr>
        <w:t>中共金川县纪律检查委员会</w:t>
      </w:r>
    </w:p>
    <w:p>
      <w:pPr>
        <w:widowControl/>
        <w:spacing w:line="560" w:lineRule="atLeast"/>
        <w:jc w:val="center"/>
        <w:rPr>
          <w:rFonts w:ascii="仿宋_GB2312" w:hAnsi="仿宋_GB2312"/>
          <w:color w:val="000000"/>
          <w:kern w:val="0"/>
          <w:shd w:val="clear" w:color="auto" w:fill="FFFFFF"/>
        </w:rPr>
      </w:pPr>
      <w:r>
        <w:rPr>
          <w:rFonts w:hint="eastAsia" w:ascii="宋体" w:cs="宋体"/>
          <w:b/>
          <w:sz w:val="44"/>
          <w:szCs w:val="44"/>
        </w:rPr>
        <w:t>2024年部门整体支出绩效评价报告</w:t>
      </w:r>
    </w:p>
    <w:p>
      <w:pPr>
        <w:widowControl/>
        <w:adjustRightInd w:val="0"/>
        <w:snapToGrid w:val="0"/>
        <w:spacing w:line="540" w:lineRule="exact"/>
        <w:ind w:firstLine="480" w:firstLineChars="150"/>
        <w:jc w:val="left"/>
        <w:rPr>
          <w:rFonts w:ascii="黑体" w:eastAsia="黑体" w:cs="宋体"/>
          <w:color w:val="000000"/>
          <w:kern w:val="0"/>
          <w:lang w:val="zh-CN"/>
        </w:rPr>
      </w:pPr>
      <w:r>
        <w:rPr>
          <w:rFonts w:hint="eastAsia" w:ascii="黑体" w:eastAsia="黑体" w:cs="宋体"/>
          <w:color w:val="000000"/>
          <w:kern w:val="0"/>
          <w:sz w:val="32"/>
        </w:rPr>
        <w:t>一、</w:t>
      </w:r>
      <w:r>
        <w:rPr>
          <w:rFonts w:hint="eastAsia" w:ascii="黑体" w:eastAsia="黑体" w:cs="宋体"/>
          <w:color w:val="000000"/>
          <w:kern w:val="0"/>
          <w:sz w:val="32"/>
          <w:lang w:val="zh-CN"/>
        </w:rPr>
        <w:t>部门（单位）概况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1、主要职能</w:t>
      </w:r>
    </w:p>
    <w:p>
      <w:pPr>
        <w:ind w:firstLine="480" w:firstLineChars="150"/>
        <w:rPr>
          <w:rFonts w:ascii="仿宋" w:eastAsia="仿宋" w:cs="宋体"/>
          <w:color w:val="000000"/>
          <w:sz w:val="32"/>
          <w:szCs w:val="32"/>
        </w:rPr>
      </w:pPr>
      <w:r>
        <w:rPr>
          <w:rFonts w:hint="eastAsia" w:ascii="仿宋" w:eastAsia="仿宋" w:cs="宋体"/>
          <w:color w:val="000000"/>
          <w:sz w:val="32"/>
          <w:szCs w:val="32"/>
        </w:rPr>
        <w:t>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pPr>
        <w:ind w:firstLine="480" w:firstLineChars="150"/>
        <w:rPr>
          <w:rFonts w:ascii="仿宋" w:eastAsia="仿宋" w:cs="宋体"/>
          <w:color w:val="000000"/>
          <w:sz w:val="32"/>
          <w:szCs w:val="32"/>
        </w:rPr>
      </w:pPr>
      <w:r>
        <w:rPr>
          <w:rFonts w:hint="eastAsia" w:ascii="仿宋" w:eastAsia="仿宋" w:cs="宋体"/>
          <w:color w:val="000000"/>
          <w:sz w:val="32"/>
          <w:szCs w:val="32"/>
        </w:rPr>
        <w:t>2.机构情况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 xml:space="preserve"> 2024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pPr>
        <w:ind w:firstLine="480" w:firstLineChars="150"/>
        <w:rPr>
          <w:rFonts w:ascii="仿宋" w:eastAsia="仿宋" w:cs="宋体"/>
          <w:color w:val="000000"/>
          <w:sz w:val="32"/>
          <w:szCs w:val="32"/>
        </w:rPr>
      </w:pPr>
      <w:r>
        <w:rPr>
          <w:rFonts w:hint="eastAsia" w:ascii="仿宋" w:eastAsia="仿宋" w:cs="宋体"/>
          <w:color w:val="000000"/>
          <w:sz w:val="32"/>
          <w:szCs w:val="32"/>
        </w:rPr>
        <w:t>3.人员情况</w:t>
      </w:r>
    </w:p>
    <w:p>
      <w:pPr>
        <w:ind w:firstLine="800" w:firstLineChars="250"/>
      </w:pPr>
      <w:r>
        <w:rPr>
          <w:rFonts w:hint="eastAsia" w:ascii="宋体" w:cs="宋体"/>
          <w:color w:val="000000"/>
          <w:sz w:val="32"/>
          <w:szCs w:val="32"/>
        </w:rPr>
        <w:t>总编制51名,其中：行政编制51名（包括行政工勤3名）。年末实有在职人数49名，行政人员49名（包括行政工勤3名</w:t>
      </w:r>
      <w:r>
        <w:rPr>
          <w:rFonts w:ascii="宋体" w:cs="宋体"/>
          <w:color w:val="000000"/>
          <w:sz w:val="32"/>
          <w:szCs w:val="32"/>
        </w:rPr>
        <w:t>）</w:t>
      </w:r>
      <w:r>
        <w:rPr>
          <w:rFonts w:hint="eastAsia" w:ascii="宋体" w:cs="宋体"/>
          <w:color w:val="000000"/>
          <w:sz w:val="32"/>
          <w:szCs w:val="32"/>
        </w:rPr>
        <w:t>。年末实有在职人数比上年增加1人，主要原因为人员调动。</w:t>
      </w:r>
    </w:p>
    <w:p>
      <w:pPr>
        <w:ind w:firstLine="480" w:firstLineChars="150"/>
        <w:rPr>
          <w:rFonts w:ascii="黑体" w:eastAsia="黑体" w:cs="宋体"/>
          <w:color w:val="000000"/>
          <w:kern w:val="0"/>
          <w:sz w:val="32"/>
        </w:rPr>
      </w:pPr>
      <w:r>
        <w:rPr>
          <w:rFonts w:hint="eastAsia" w:ascii="黑体" w:eastAsia="黑体" w:cs="宋体"/>
          <w:color w:val="000000"/>
          <w:kern w:val="0"/>
          <w:sz w:val="32"/>
        </w:rPr>
        <w:t>二、部门财政资金收支情况</w:t>
      </w:r>
    </w:p>
    <w:p>
      <w:pPr>
        <w:spacing w:line="54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（一）收入支出预算安排情况</w:t>
      </w:r>
    </w:p>
    <w:p>
      <w:pPr>
        <w:spacing w:line="600" w:lineRule="exact"/>
        <w:ind w:firstLine="640" w:firstLineChars="200"/>
        <w:rPr>
          <w:rFonts w:ascii="仿宋" w:eastAsia="仿宋"/>
          <w:color w:val="000000"/>
          <w:sz w:val="32"/>
          <w:szCs w:val="32"/>
        </w:rPr>
      </w:pPr>
      <w:r>
        <w:rPr>
          <w:rFonts w:hint="eastAsia" w:ascii="仿宋" w:eastAsia="仿宋" w:cs="宋体"/>
          <w:color w:val="000000"/>
          <w:sz w:val="32"/>
          <w:szCs w:val="32"/>
        </w:rPr>
        <w:t>2024年财政拨款年初预算收入1120.57万元，财政拨款收入1373.57万元；2024年财政拨款支出1373.57万元。</w:t>
      </w:r>
      <w:r>
        <w:rPr>
          <w:rFonts w:hint="eastAsia" w:ascii="仿宋" w:eastAsia="仿宋"/>
          <w:color w:val="000000"/>
          <w:sz w:val="32"/>
          <w:szCs w:val="32"/>
        </w:rPr>
        <w:t>其中：基本支出1252.89万元，占91.22%；项目支出120.67万元，占8.78%。</w:t>
      </w:r>
    </w:p>
    <w:p>
      <w:pPr>
        <w:spacing w:line="600" w:lineRule="exact"/>
        <w:ind w:firstLine="640"/>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年一般公共预算财政拨款支出1373.57万元，主要用于以下方面</w:t>
      </w:r>
      <w:r>
        <w:rPr>
          <w:rFonts w:ascii="仿宋" w:eastAsia="仿宋"/>
          <w:color w:val="000000"/>
          <w:sz w:val="32"/>
          <w:szCs w:val="32"/>
        </w:rPr>
        <w:t>:</w:t>
      </w:r>
      <w:r>
        <w:rPr>
          <w:rFonts w:hint="eastAsia" w:ascii="仿宋" w:eastAsia="仿宋"/>
          <w:color w:val="000000"/>
          <w:sz w:val="32"/>
          <w:szCs w:val="32"/>
        </w:rPr>
        <w:t>一般公共服务（类）支出1009.49万元，占73.49%；公共安全支出（类）支出0万元，占0%；教育支出（类）支出1.8万元，占0.13%；社会保障和就业（类）支出202.95万元，占14.79%；卫生健康支出66.84万元，占4.86%；住房保障支出92.49万元，占6.73%。</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1145.12万元，主要包括：基本工资227.65万元、津贴补贴300.82万元、奖金272.74万元、机关事业单位基本养老保险缴费110.05万元、职业年金缴费55.03万元、职工基本医疗保险54.05万元、公务员医疗补助12.79万元、其他社会保障缴费11.45万元、住房公积金90.29万生活补助10.26万元、奖励金0.02万元等。</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公用经费107.77万元，主要包括：办公费25.01万元、水费0.5万元、电费1.6万元、邮电费16.71万元、差旅费31万元、维修维护费1.5万元、会议费2万元、劳务费8.49万元、福利费4.97万元、公务用车运行维护费16万元。</w:t>
      </w:r>
    </w:p>
    <w:p>
      <w:pPr>
        <w:spacing w:line="600" w:lineRule="exact"/>
        <w:ind w:firstLine="645"/>
        <w:rPr>
          <w:rFonts w:ascii="仿宋" w:eastAsia="仿宋"/>
          <w:color w:val="000000"/>
          <w:sz w:val="32"/>
          <w:szCs w:val="32"/>
        </w:rPr>
      </w:pPr>
      <w:r>
        <w:rPr>
          <w:rFonts w:hint="eastAsia" w:ascii="仿宋" w:eastAsia="仿宋"/>
          <w:color w:val="000000"/>
          <w:sz w:val="32"/>
          <w:szCs w:val="32"/>
        </w:rPr>
        <w:t>项目支出120.67万元，主要包括办案专项经费82.7万元。元抚恤金37.88万元.</w:t>
      </w:r>
    </w:p>
    <w:p>
      <w:pPr>
        <w:widowControl/>
        <w:adjustRightInd w:val="0"/>
        <w:snapToGrid w:val="0"/>
        <w:spacing w:line="540" w:lineRule="exact"/>
        <w:ind w:firstLine="640" w:firstLineChars="200"/>
        <w:jc w:val="left"/>
        <w:rPr>
          <w:rFonts w:ascii="黑体" w:eastAsia="黑体" w:cs="宋体"/>
          <w:color w:val="000000"/>
          <w:kern w:val="0"/>
          <w:sz w:val="32"/>
        </w:rPr>
      </w:pPr>
      <w:r>
        <w:rPr>
          <w:rFonts w:hint="eastAsia" w:ascii="黑体" w:eastAsia="黑体" w:cs="宋体"/>
          <w:color w:val="000000"/>
          <w:kern w:val="0"/>
          <w:sz w:val="32"/>
        </w:rPr>
        <w:t>三、部门财政支出管理情况</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（一）预算编制情况。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(1)预算编制质量：</w:t>
      </w:r>
      <w:r>
        <w:rPr>
          <w:rFonts w:hint="eastAsia" w:ascii="仿宋" w:eastAsia="仿宋" w:cs="仿宋_GB2312"/>
          <w:sz w:val="32"/>
          <w:szCs w:val="32"/>
        </w:rPr>
        <w:t>2024年预算</w:t>
      </w:r>
      <w:r>
        <w:rPr>
          <w:rFonts w:hint="eastAsia" w:ascii="仿宋" w:eastAsia="仿宋" w:cs="宋体"/>
          <w:color w:val="000000"/>
          <w:sz w:val="32"/>
          <w:szCs w:val="32"/>
        </w:rPr>
        <w:t>1120.57</w:t>
      </w:r>
      <w:r>
        <w:rPr>
          <w:rFonts w:hint="eastAsia" w:ascii="仿宋" w:eastAsia="仿宋" w:cs="仿宋_GB2312"/>
          <w:sz w:val="32"/>
          <w:szCs w:val="32"/>
        </w:rPr>
        <w:t>万元，其中人员经费969.56万元，公用经费111.01万元，项目支出40万元。2024年部门收入预算总额为1120.57万元，较上年减少46.12万元，减少3.95%。其中：当年财政拨款收入1120.57万元，其他收入 0万元，上年结转收入0万元。相应安排支出预算1120.57万元，其中：基本支出预算1080.57万元，项目支出40万元。</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（2）绩效目标填报：</w:t>
      </w:r>
      <w:r>
        <w:rPr>
          <w:rFonts w:hint="eastAsia" w:ascii="仿宋" w:eastAsia="仿宋" w:cs="仿宋_GB2312"/>
          <w:color w:val="000000"/>
          <w:sz w:val="32"/>
          <w:szCs w:val="32"/>
        </w:rPr>
        <w:t>项目申报严格按照上级要求，明确绩效目标，控制支行成本，提高项目发挥作用。并</w:t>
      </w:r>
      <w:r>
        <w:rPr>
          <w:rFonts w:hint="eastAsia" w:ascii="仿宋" w:eastAsia="仿宋" w:cs="仿宋_GB2312"/>
          <w:color w:val="000000"/>
          <w:sz w:val="32"/>
          <w:szCs w:val="32"/>
          <w:lang w:val="zh-CN"/>
        </w:rPr>
        <w:t>根据财政局统一要求编制了我委整体绩效目标报告及项目整体绩效目标表，并报县财政局。</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（二）执行管理情况。</w:t>
      </w:r>
      <w:r>
        <w:rPr>
          <w:rFonts w:hint="eastAsia" w:ascii="仿宋_GB2312" w:eastAsia="仿宋_GB2312" w:cs="仿宋_GB2312"/>
          <w:color w:val="000000"/>
          <w:sz w:val="32"/>
          <w:szCs w:val="32"/>
          <w:lang w:val="zh-CN"/>
        </w:rPr>
        <w:tab/>
      </w:r>
    </w:p>
    <w:p>
      <w:pPr>
        <w:ind w:firstLine="709"/>
        <w:rPr>
          <w:rFonts w:ascii="仿宋" w:eastAsia="仿宋"/>
          <w:bCs/>
          <w:sz w:val="32"/>
          <w:szCs w:val="32"/>
        </w:rPr>
      </w:pP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2024年我单位“三公”经费支出总额为16万元。主要是公务用车运行维护费16万元。2024年我单位公务用车运行维护费年初预算数为16万元，决算数为16万元，上年决算数为16万元，与上年同期相比增减0万元。公务接待数2024年决算数为0万元，上年决算为0万元，与上年同期相比增减0万元。</w:t>
      </w:r>
    </w:p>
    <w:p>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（三）综合管理情况。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我委</w:t>
      </w:r>
      <w:r>
        <w:rPr>
          <w:rFonts w:hint="eastAsia" w:ascii="仿宋" w:eastAsia="仿宋" w:cs="仿宋_GB2312"/>
          <w:color w:val="000000"/>
          <w:sz w:val="32"/>
          <w:szCs w:val="32"/>
        </w:rPr>
        <w:t>2024年无预算、支出政府采购。所有国有资产纳入</w:t>
      </w:r>
      <w:r>
        <w:rPr>
          <w:rFonts w:hint="eastAsia" w:ascii="仿宋" w:eastAsia="仿宋" w:cs="仿宋_GB2312"/>
          <w:color w:val="000000"/>
          <w:sz w:val="32"/>
          <w:szCs w:val="32"/>
          <w:lang w:val="zh-CN"/>
        </w:rPr>
        <w:t>资产管理系统，及时准确上报并做好资产的管理工作。根据相关要求，单位使用预算资金基本符合相关的预算财务管理制度。我委在财政批复后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（四）整体绩效。</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hint="eastAsia" w:ascii="黑体" w:eastAsia="黑体" w:cs="宋体"/>
          <w:color w:val="000000"/>
          <w:kern w:val="0"/>
          <w:sz w:val="32"/>
        </w:rPr>
        <w:t>四、评价结论及建议</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（一）评价结论</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（二）存在问题</w:t>
      </w:r>
    </w:p>
    <w:p>
      <w:pPr>
        <w:spacing w:line="540" w:lineRule="exact"/>
        <w:ind w:firstLine="642" w:firstLineChars="200"/>
        <w:rPr>
          <w:rFonts w:ascii="仿宋" w:eastAsia="仿宋" w:cs="仿宋_GB2312"/>
          <w:color w:val="000000"/>
          <w:sz w:val="32"/>
          <w:szCs w:val="32"/>
          <w:shd w:val="clear" w:color="auto" w:fill="FFFFFF"/>
        </w:rPr>
      </w:pPr>
      <w:r>
        <w:rPr>
          <w:rFonts w:hint="eastAsia" w:ascii="仿宋" w:eastAsia="仿宋" w:cs="仿宋_GB2312"/>
          <w:b/>
          <w:bCs/>
          <w:color w:val="000000"/>
          <w:kern w:val="0"/>
          <w:sz w:val="32"/>
          <w:szCs w:val="32"/>
        </w:rPr>
        <w:t xml:space="preserve"> </w:t>
      </w:r>
      <w:r>
        <w:rPr>
          <w:rFonts w:hint="eastAsia" w:asci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（三）改进建议</w:t>
      </w:r>
    </w:p>
    <w:p>
      <w:pPr>
        <w:pStyle w:val="13"/>
        <w:widowControl/>
        <w:shd w:val="clear" w:color="auto" w:fill="FFFFFF"/>
        <w:spacing w:beforeAutospacing="0" w:afterAutospacing="0" w:line="576" w:lineRule="exact"/>
        <w:ind w:left="420" w:firstLine="640" w:firstLineChars="200"/>
        <w:rPr>
          <w:rFonts w:ascii="仿宋" w:eastAsia="仿宋" w:cs="仿宋_GB2312"/>
          <w:color w:val="000000"/>
          <w:sz w:val="32"/>
          <w:szCs w:val="32"/>
          <w:shd w:val="clear" w:color="auto" w:fill="FFFFFF"/>
        </w:rPr>
      </w:pPr>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30" w:beforeLines="0" w:line="576" w:lineRule="exact"/>
        <w:rPr>
          <w:rFonts w:ascii="Times New Roman" w:hAnsi="Times New Roman"/>
          <w:sz w:val="32"/>
          <w:szCs w:val="32"/>
          <w:shd w:val="clear" w:color="auto" w:fill="FFFFFF"/>
          <w:lang w:val="zh-CN"/>
        </w:rPr>
      </w:pPr>
    </w:p>
    <w:p>
      <w:pPr>
        <w:pStyle w:val="5"/>
        <w:spacing w:before="93" w:beforeLines="0"/>
        <w:rPr>
          <w:rFonts w:ascii="Times New Roman" w:hAnsi="Times New Roman"/>
          <w:color w:val="333333"/>
          <w:sz w:val="32"/>
          <w:szCs w:val="32"/>
          <w:shd w:val="clear" w:color="auto" w:fill="FFFFFF"/>
        </w:rPr>
      </w:pPr>
    </w:p>
    <w:p>
      <w:pPr>
        <w:pStyle w:val="5"/>
        <w:spacing w:before="93" w:beforeLines="0"/>
        <w:rPr>
          <w:rFonts w:ascii="Times New Roman" w:hAnsi="Times New Roman"/>
          <w:color w:val="333333"/>
          <w:sz w:val="32"/>
          <w:szCs w:val="32"/>
          <w:shd w:val="clear" w:color="auto" w:fill="FFFFFF"/>
          <w:lang w:val="zh-CN"/>
        </w:rPr>
      </w:pPr>
    </w:p>
    <w:tbl>
      <w:tblPr>
        <w:tblStyle w:val="15"/>
        <w:tblpPr w:leftFromText="180" w:rightFromText="180" w:vertAnchor="text" w:horzAnchor="page" w:tblpX="1281" w:tblpY="660"/>
        <w:tblOverlap w:val="never"/>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77"/>
        <w:gridCol w:w="1142"/>
        <w:gridCol w:w="1635"/>
        <w:gridCol w:w="1189"/>
        <w:gridCol w:w="1224"/>
        <w:gridCol w:w="2410"/>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spacing w:line="576" w:lineRule="exact"/>
              <w:textAlignment w:val="center"/>
              <w:rPr>
                <w:b/>
                <w:sz w:val="32"/>
                <w:szCs w:val="32"/>
              </w:rPr>
            </w:pPr>
            <w:r>
              <w:rPr>
                <w:b/>
                <w:sz w:val="32"/>
                <w:szCs w:val="32"/>
              </w:rPr>
              <w:t>2024年100万元以上（含）特定目标类部门预算项目绩效目标自评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spacing w:line="576" w:lineRule="exact"/>
              <w:jc w:val="center"/>
              <w:textAlignment w:val="center"/>
              <w:rPr>
                <w:b/>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299"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sz w:val="24"/>
              </w:rPr>
            </w:pPr>
            <w:r>
              <w:rPr>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textAlignment w:val="center"/>
              <w:rPr>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sz w:val="24"/>
              </w:rPr>
            </w:pPr>
            <w:r>
              <w:rPr>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kern w:val="0"/>
                <w:sz w:val="24"/>
              </w:rPr>
            </w:pPr>
            <w:r>
              <w:rPr>
                <w:kern w:val="0"/>
                <w:sz w:val="24"/>
              </w:rPr>
              <w:t>项目预算</w:t>
            </w:r>
          </w:p>
          <w:p>
            <w:pPr>
              <w:widowControl/>
              <w:spacing w:line="576" w:lineRule="exact"/>
              <w:jc w:val="center"/>
              <w:textAlignment w:val="center"/>
              <w:rPr>
                <w:kern w:val="0"/>
                <w:sz w:val="24"/>
              </w:rPr>
            </w:pPr>
            <w:r>
              <w:rPr>
                <w:kern w:val="0"/>
                <w:sz w:val="24"/>
              </w:rPr>
              <w:t>执行情况</w:t>
            </w:r>
          </w:p>
          <w:p>
            <w:pPr>
              <w:widowControl/>
              <w:spacing w:line="576" w:lineRule="exact"/>
              <w:jc w:val="center"/>
              <w:textAlignment w:val="center"/>
              <w:rPr>
                <w:sz w:val="24"/>
              </w:rPr>
            </w:pPr>
            <w:r>
              <w:rPr>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r>
              <w:rPr>
                <w:kern w:val="0"/>
                <w:sz w:val="24"/>
              </w:rPr>
              <w:t xml:space="preserve"> 预算数</w:t>
            </w:r>
            <w:bookmarkStart w:id="96" w:name="_GoBack"/>
            <w:bookmarkEnd w:id="96"/>
            <w:r>
              <w:rPr>
                <w:kern w:val="0"/>
                <w:sz w:val="24"/>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r>
              <w:rPr>
                <w:rFonts w:hint="eastAsia"/>
                <w:sz w:val="24"/>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r>
              <w:rPr>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r>
              <w:rPr>
                <w:rFonts w:hint="eastAsia"/>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kern w:val="0"/>
                <w:sz w:val="24"/>
              </w:rPr>
            </w:pPr>
            <w:r>
              <w:rPr>
                <w:kern w:val="0"/>
                <w:sz w:val="24"/>
              </w:rPr>
              <w:t>其中：</w:t>
            </w:r>
          </w:p>
          <w:p>
            <w:pPr>
              <w:widowControl/>
              <w:spacing w:line="576" w:lineRule="exact"/>
              <w:jc w:val="left"/>
              <w:textAlignment w:val="center"/>
              <w:rPr>
                <w:sz w:val="24"/>
              </w:rPr>
            </w:pPr>
            <w:r>
              <w:rPr>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r>
              <w:rPr>
                <w:rFonts w:hint="eastAsia"/>
                <w:sz w:val="24"/>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kern w:val="0"/>
                <w:sz w:val="24"/>
              </w:rPr>
            </w:pPr>
            <w:r>
              <w:rPr>
                <w:kern w:val="0"/>
                <w:sz w:val="24"/>
              </w:rPr>
              <w:t>其中：</w:t>
            </w:r>
          </w:p>
          <w:p>
            <w:pPr>
              <w:widowControl/>
              <w:spacing w:line="576" w:lineRule="exact"/>
              <w:jc w:val="left"/>
              <w:textAlignment w:val="center"/>
              <w:rPr>
                <w:sz w:val="24"/>
              </w:rPr>
            </w:pPr>
            <w:r>
              <w:rPr>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textAlignment w:val="center"/>
              <w:rPr>
                <w:sz w:val="24"/>
              </w:rPr>
            </w:pPr>
            <w:r>
              <w:rPr>
                <w:rFonts w:hint="eastAsia"/>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r>
              <w:rPr>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left"/>
              <w:textAlignment w:val="center"/>
              <w:rPr>
                <w:sz w:val="24"/>
              </w:rPr>
            </w:pPr>
            <w:r>
              <w:rPr>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kern w:val="0"/>
                <w:sz w:val="24"/>
              </w:rPr>
            </w:pPr>
            <w:r>
              <w:rPr>
                <w:kern w:val="0"/>
                <w:sz w:val="24"/>
              </w:rPr>
              <w:t>年度总体目标</w:t>
            </w:r>
          </w:p>
          <w:p>
            <w:pPr>
              <w:widowControl/>
              <w:spacing w:line="576" w:lineRule="exact"/>
              <w:jc w:val="center"/>
              <w:textAlignment w:val="center"/>
              <w:rPr>
                <w:sz w:val="24"/>
              </w:rPr>
            </w:pPr>
            <w:r>
              <w:rPr>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sz w:val="24"/>
              </w:rPr>
            </w:pPr>
            <w:r>
              <w:rPr>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sz w:val="24"/>
              </w:rPr>
            </w:pPr>
            <w:r>
              <w:rPr>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576" w:lineRule="exact"/>
              <w:jc w:val="left"/>
              <w:textAlignment w:val="top"/>
              <w:rPr>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576" w:lineRule="exact"/>
              <w:jc w:val="left"/>
              <w:textAlignment w:val="top"/>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576" w:lineRule="exact"/>
              <w:jc w:val="center"/>
              <w:textAlignment w:val="center"/>
              <w:rPr>
                <w:rFonts w:eastAsia="仿宋_GB2312"/>
                <w:sz w:val="28"/>
                <w:szCs w:val="28"/>
              </w:rPr>
            </w:pPr>
            <w:r>
              <w:rPr>
                <w:rFonts w:eastAsia="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576" w:lineRule="exact"/>
              <w:jc w:val="center"/>
              <w:textAlignment w:val="center"/>
              <w:rPr>
                <w:rFonts w:eastAsia="仿宋_GB2312"/>
                <w:kern w:val="0"/>
                <w:sz w:val="28"/>
                <w:szCs w:val="28"/>
              </w:rPr>
            </w:pPr>
            <w:r>
              <w:rPr>
                <w:rFonts w:eastAsia="仿宋_GB2312"/>
                <w:kern w:val="0"/>
                <w:sz w:val="28"/>
                <w:szCs w:val="28"/>
              </w:rPr>
              <w:t>一级</w:t>
            </w:r>
          </w:p>
          <w:p>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rFonts w:eastAsia="仿宋_GB2312"/>
                <w:kern w:val="0"/>
                <w:sz w:val="28"/>
                <w:szCs w:val="28"/>
              </w:rPr>
            </w:pPr>
            <w:r>
              <w:rPr>
                <w:rFonts w:eastAsia="仿宋_GB2312"/>
                <w:kern w:val="0"/>
                <w:sz w:val="28"/>
                <w:szCs w:val="28"/>
              </w:rPr>
              <w:t>二级</w:t>
            </w:r>
          </w:p>
          <w:p>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rFonts w:eastAsia="仿宋_GB2312"/>
                <w:kern w:val="0"/>
                <w:sz w:val="28"/>
                <w:szCs w:val="28"/>
              </w:rPr>
            </w:pPr>
            <w:r>
              <w:rPr>
                <w:rFonts w:eastAsia="仿宋_GB2312"/>
                <w:kern w:val="0"/>
                <w:sz w:val="28"/>
                <w:szCs w:val="28"/>
              </w:rPr>
              <w:t>三级</w:t>
            </w:r>
          </w:p>
          <w:p>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rFonts w:eastAsia="仿宋_GB2312"/>
                <w:sz w:val="28"/>
                <w:szCs w:val="28"/>
              </w:rPr>
            </w:pPr>
            <w:r>
              <w:rPr>
                <w:rFonts w:eastAsia="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center"/>
              <w:rPr>
                <w:rFonts w:eastAsia="仿宋_GB2312"/>
                <w:sz w:val="28"/>
                <w:szCs w:val="28"/>
              </w:rPr>
            </w:pPr>
            <w:r>
              <w:rPr>
                <w:rFonts w:eastAsia="仿宋_GB2312"/>
                <w:kern w:val="0"/>
                <w:sz w:val="28"/>
                <w:szCs w:val="28"/>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bottom"/>
              <w:rPr>
                <w:rFonts w:eastAsia="仿宋_GB2312"/>
                <w:kern w:val="0"/>
                <w:sz w:val="28"/>
                <w:szCs w:val="28"/>
              </w:rPr>
            </w:pPr>
            <w:r>
              <w:rPr>
                <w:rFonts w:eastAsia="仿宋_GB2312"/>
                <w:kern w:val="0"/>
                <w:sz w:val="28"/>
                <w:szCs w:val="28"/>
              </w:rPr>
              <w:t>完成</w:t>
            </w:r>
          </w:p>
          <w:p>
            <w:pPr>
              <w:widowControl/>
              <w:spacing w:line="576"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76" w:lineRule="exact"/>
              <w:jc w:val="center"/>
              <w:textAlignment w:val="bottom"/>
              <w:rPr>
                <w:rFonts w:eastAsia="仿宋_GB2312"/>
                <w:kern w:val="0"/>
                <w:sz w:val="28"/>
                <w:szCs w:val="28"/>
              </w:rPr>
            </w:pPr>
            <w:r>
              <w:rPr>
                <w:rFonts w:eastAsia="仿宋_GB2312"/>
                <w:kern w:val="0"/>
                <w:sz w:val="28"/>
                <w:szCs w:val="28"/>
              </w:rPr>
              <w:t>效益</w:t>
            </w:r>
          </w:p>
          <w:p>
            <w:pPr>
              <w:widowControl/>
              <w:spacing w:line="576"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ind w:left="463" w:leftChars="87" w:hanging="280" w:hangingChars="100"/>
              <w:jc w:val="left"/>
              <w:textAlignment w:val="bottom"/>
              <w:rPr>
                <w:rFonts w:eastAsia="仿宋_GB2312"/>
                <w:sz w:val="28"/>
                <w:szCs w:val="28"/>
              </w:rPr>
            </w:pPr>
            <w:r>
              <w:rPr>
                <w:rFonts w:eastAsia="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kern w:val="0"/>
                <w:sz w:val="28"/>
                <w:szCs w:val="28"/>
              </w:rPr>
            </w:pPr>
            <w:r>
              <w:rPr>
                <w:rFonts w:eastAsia="仿宋_GB2312"/>
                <w:kern w:val="0"/>
                <w:sz w:val="28"/>
                <w:szCs w:val="28"/>
              </w:rPr>
              <w:t>满意</w:t>
            </w:r>
          </w:p>
          <w:p>
            <w:pPr>
              <w:widowControl/>
              <w:spacing w:line="576" w:lineRule="exact"/>
              <w:jc w:val="center"/>
              <w:textAlignment w:val="bottom"/>
              <w:rPr>
                <w:rFonts w:eastAsia="仿宋_GB2312"/>
                <w:sz w:val="28"/>
                <w:szCs w:val="28"/>
              </w:rPr>
            </w:pPr>
            <w:r>
              <w:rPr>
                <w:rFonts w:eastAsia="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576" w:lineRule="exact"/>
              <w:jc w:val="center"/>
              <w:textAlignment w:val="bottom"/>
              <w:rPr>
                <w:rFonts w:eastAsia="仿宋_GB2312"/>
                <w:sz w:val="28"/>
                <w:szCs w:val="28"/>
              </w:rPr>
            </w:pPr>
          </w:p>
        </w:tc>
      </w:tr>
    </w:tbl>
    <w:p>
      <w:pPr>
        <w:widowControl/>
        <w:adjustRightInd w:val="0"/>
        <w:snapToGrid w:val="0"/>
        <w:spacing w:line="576" w:lineRule="exact"/>
        <w:ind w:firstLine="640" w:firstLineChars="20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附表：</w:t>
      </w:r>
    </w:p>
    <w:p>
      <w:pPr>
        <w:widowControl/>
        <w:adjustRightInd w:val="0"/>
        <w:snapToGrid w:val="0"/>
        <w:spacing w:line="576" w:lineRule="exact"/>
        <w:contextualSpacing/>
        <w:jc w:val="left"/>
        <w:rPr>
          <w:rFonts w:eastAsia="仿宋_GB2312"/>
          <w:kern w:val="0"/>
          <w:sz w:val="32"/>
          <w:szCs w:val="32"/>
          <w:shd w:val="clear" w:color="auto" w:fill="FFFFFF"/>
        </w:rPr>
      </w:pPr>
      <w:r>
        <w:rPr>
          <w:rFonts w:eastAsia="仿宋_GB2312"/>
          <w:kern w:val="0"/>
          <w:sz w:val="32"/>
          <w:szCs w:val="32"/>
          <w:shd w:val="clear" w:color="auto" w:fill="FFFFFF"/>
        </w:rPr>
        <w:t>（注：有两个及以上100万元以上（含）特定目标类部门预算项目的，需分别开展绩效目标自评并填写附表）</w:t>
      </w:r>
    </w:p>
    <w:tbl>
      <w:tblPr>
        <w:tblStyle w:val="15"/>
        <w:tblW w:w="9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7"/>
        <w:gridCol w:w="433"/>
        <w:gridCol w:w="816"/>
        <w:gridCol w:w="424"/>
        <w:gridCol w:w="750"/>
        <w:gridCol w:w="390"/>
        <w:gridCol w:w="1493"/>
        <w:gridCol w:w="520"/>
        <w:gridCol w:w="67"/>
        <w:gridCol w:w="869"/>
        <w:gridCol w:w="111"/>
        <w:gridCol w:w="341"/>
        <w:gridCol w:w="899"/>
        <w:gridCol w:w="54"/>
        <w:gridCol w:w="520"/>
        <w:gridCol w:w="486"/>
        <w:gridCol w:w="60"/>
        <w:gridCol w:w="680"/>
        <w:gridCol w:w="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904" w:hRule="atLeast"/>
        </w:trPr>
        <w:tc>
          <w:tcPr>
            <w:tcW w:w="9600" w:type="dxa"/>
            <w:gridSpan w:val="18"/>
            <w:tcBorders>
              <w:top w:val="nil"/>
              <w:left w:val="nil"/>
              <w:bottom w:val="nil"/>
              <w:right w:val="nil"/>
            </w:tcBorders>
            <w:shd w:val="clear" w:color="auto" w:fill="auto"/>
            <w:vAlign w:val="center"/>
          </w:tcPr>
          <w:p>
            <w:pPr>
              <w:jc w:val="center"/>
              <w:rPr>
                <w:rFonts w:ascii="黑体" w:eastAsia="黑体" w:cs="宋体"/>
                <w:color w:val="000000"/>
                <w:sz w:val="30"/>
                <w:szCs w:val="30"/>
              </w:rPr>
            </w:pPr>
            <w:r>
              <w:rPr>
                <w:rFonts w:hint="eastAsia" w:ascii="黑体" w:eastAsia="黑体"/>
                <w:color w:val="000000"/>
                <w:sz w:val="30"/>
                <w:szCs w:val="30"/>
              </w:rPr>
              <w:t>部门整体支出绩效目标表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9600" w:type="dxa"/>
            <w:gridSpan w:val="18"/>
            <w:tcBorders>
              <w:top w:val="nil"/>
              <w:left w:val="nil"/>
              <w:bottom w:val="nil"/>
              <w:right w:val="nil"/>
            </w:tcBorders>
            <w:shd w:val="clear" w:color="auto" w:fill="auto"/>
            <w:vAlign w:val="center"/>
          </w:tcPr>
          <w:p>
            <w:pPr>
              <w:jc w:val="center"/>
              <w:rPr>
                <w:rFonts w:ascii="宋体" w:cs="宋体"/>
                <w:color w:val="000000"/>
                <w:sz w:val="18"/>
                <w:szCs w:val="18"/>
              </w:rPr>
            </w:pPr>
            <w:r>
              <w:rPr>
                <w:rFonts w:hint="eastAsia"/>
                <w:color w:val="000000"/>
                <w:sz w:val="18"/>
                <w:szCs w:val="18"/>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9600" w:type="dxa"/>
            <w:gridSpan w:val="18"/>
            <w:tcBorders>
              <w:top w:val="nil"/>
              <w:left w:val="nil"/>
              <w:bottom w:val="single" w:color="000000" w:sz="4" w:space="0"/>
              <w:right w:val="nil"/>
            </w:tcBorders>
            <w:shd w:val="clear" w:color="auto" w:fill="auto"/>
            <w:vAlign w:val="center"/>
          </w:tcPr>
          <w:p>
            <w:pPr>
              <w:jc w:val="right"/>
              <w:rPr>
                <w:rFonts w:ascii="宋体" w:cs="宋体"/>
                <w:color w:val="000000"/>
                <w:sz w:val="18"/>
                <w:szCs w:val="18"/>
              </w:rPr>
            </w:pPr>
            <w:r>
              <w:rPr>
                <w:rFonts w:hint="eastAsia"/>
                <w:color w:val="000000"/>
                <w:sz w:val="18"/>
                <w:szCs w:val="18"/>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35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部门名称</w:t>
            </w:r>
          </w:p>
        </w:tc>
        <w:tc>
          <w:tcPr>
            <w:tcW w:w="6100" w:type="dxa"/>
            <w:gridSpan w:val="12"/>
            <w:tcBorders>
              <w:top w:val="single" w:color="000000" w:sz="4" w:space="0"/>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中共金川县纪委本级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398" w:hRule="atLeast"/>
        </w:trPr>
        <w:tc>
          <w:tcPr>
            <w:tcW w:w="112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年度部门整体支出预算</w:t>
            </w: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资金总额</w:t>
            </w:r>
          </w:p>
        </w:tc>
        <w:tc>
          <w:tcPr>
            <w:tcW w:w="3060" w:type="dxa"/>
            <w:gridSpan w:val="5"/>
            <w:tcBorders>
              <w:top w:val="single" w:color="000000" w:sz="4" w:space="0"/>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财政拨款</w:t>
            </w:r>
          </w:p>
        </w:tc>
        <w:tc>
          <w:tcPr>
            <w:tcW w:w="3040"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jc w:val="right"/>
              <w:rPr>
                <w:rFonts w:ascii="宋体" w:cs="宋体"/>
                <w:color w:val="000000"/>
                <w:sz w:val="18"/>
                <w:szCs w:val="18"/>
              </w:rPr>
            </w:pPr>
            <w:r>
              <w:rPr>
                <w:rFonts w:hint="eastAsia"/>
                <w:color w:val="000000"/>
                <w:sz w:val="18"/>
                <w:szCs w:val="18"/>
              </w:rPr>
              <w:t>1,120.57</w:t>
            </w:r>
          </w:p>
        </w:tc>
        <w:tc>
          <w:tcPr>
            <w:tcW w:w="3060" w:type="dxa"/>
            <w:gridSpan w:val="5"/>
            <w:tcBorders>
              <w:top w:val="single" w:color="000000" w:sz="4" w:space="0"/>
              <w:left w:val="nil"/>
              <w:bottom w:val="single" w:color="000000" w:sz="4" w:space="0"/>
              <w:right w:val="single" w:color="000000" w:sz="4" w:space="0"/>
            </w:tcBorders>
            <w:shd w:val="clear" w:color="auto" w:fill="auto"/>
            <w:vAlign w:val="center"/>
          </w:tcPr>
          <w:p>
            <w:pPr>
              <w:jc w:val="right"/>
              <w:rPr>
                <w:rFonts w:ascii="宋体" w:cs="宋体"/>
                <w:color w:val="000000"/>
                <w:sz w:val="18"/>
                <w:szCs w:val="18"/>
              </w:rPr>
            </w:pPr>
            <w:r>
              <w:rPr>
                <w:rFonts w:hint="eastAsia"/>
                <w:color w:val="000000"/>
                <w:sz w:val="18"/>
                <w:szCs w:val="18"/>
              </w:rPr>
              <w:t>1,120.57</w:t>
            </w:r>
          </w:p>
        </w:tc>
        <w:tc>
          <w:tcPr>
            <w:tcW w:w="3040" w:type="dxa"/>
            <w:gridSpan w:val="7"/>
            <w:tcBorders>
              <w:top w:val="single" w:color="000000" w:sz="4" w:space="0"/>
              <w:left w:val="nil"/>
              <w:bottom w:val="single" w:color="000000" w:sz="4" w:space="0"/>
              <w:right w:val="single" w:color="000000" w:sz="4" w:space="0"/>
            </w:tcBorders>
            <w:shd w:val="clear" w:color="auto" w:fill="auto"/>
            <w:vAlign w:val="center"/>
          </w:tcPr>
          <w:p>
            <w:pPr>
              <w:jc w:val="right"/>
              <w:rPr>
                <w:rFonts w:ascii="宋体" w:cs="宋体"/>
                <w:color w:val="000000"/>
                <w:sz w:val="18"/>
                <w:szCs w:val="18"/>
              </w:rPr>
            </w:pPr>
            <w:r>
              <w:rPr>
                <w:rFonts w:hint="eastAsia"/>
                <w:color w:val="00000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1144" w:hRule="atLeast"/>
        </w:trPr>
        <w:tc>
          <w:tcPr>
            <w:tcW w:w="1120"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年度总体目标</w:t>
            </w:r>
          </w:p>
        </w:tc>
        <w:tc>
          <w:tcPr>
            <w:tcW w:w="8480" w:type="dxa"/>
            <w:gridSpan w:val="16"/>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 xml:space="preserve">负责全县党的纪律检查工作。贯彻落实党中央、省委、州委和县委关于纪律检查工作的决定，维护党的章程和其他党内法规，检查党的路线方针政策和决议的执行情况，协助县委推进全面从严治党、加强党风廉政建设和组织协调反腐败工作。对违反党章和其他党内法规，不履行或者不正确履行职责的所监督单位党的组织和负有责任的党的领导干部，按照管理权限对其作出问责决定，或者向有权作出问责决定的党的组织提出问责建议。完成当年案件审理大于等于69件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年度主要任务</w:t>
            </w: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任务名称</w:t>
            </w:r>
          </w:p>
        </w:tc>
        <w:tc>
          <w:tcPr>
            <w:tcW w:w="6100" w:type="dxa"/>
            <w:gridSpan w:val="12"/>
            <w:tcBorders>
              <w:top w:val="single" w:color="000000" w:sz="4" w:space="0"/>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保障党员群众权益</w:t>
            </w:r>
          </w:p>
        </w:tc>
        <w:tc>
          <w:tcPr>
            <w:tcW w:w="6100" w:type="dxa"/>
            <w:gridSpan w:val="12"/>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问责或者提出责任追究的建议。受理党员的控告和申诉。保障党员的权利。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1129"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追责、问责</w:t>
            </w:r>
          </w:p>
        </w:tc>
        <w:tc>
          <w:tcPr>
            <w:tcW w:w="6100" w:type="dxa"/>
            <w:gridSpan w:val="12"/>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按照管理权限，对所监督单位违法的公职人员依法作出政务处分决定。对不履行或者不正确履行职责负有责任的领导人员，按照管理权限对其作出问责决定，或者向有权作出问责决定的机关提出问责建议。根据检查结果，对所监督单位廉政建设和履行职责存在的问题等提出监察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679"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开展廉政建设</w:t>
            </w:r>
          </w:p>
        </w:tc>
        <w:tc>
          <w:tcPr>
            <w:tcW w:w="6100" w:type="dxa"/>
            <w:gridSpan w:val="12"/>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负责全县监察工作。贯彻落实党中央、省委、州委和县委关于监察工作的决定，维护宪法法律，依法对县委管理的行使公权力的公职人员进行监察，调查职务违法和职务犯罪，开展廉政建设和反腐败工作。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1129"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 xml:space="preserve"> 全面监督检查 </w:t>
            </w:r>
          </w:p>
        </w:tc>
        <w:tc>
          <w:tcPr>
            <w:tcW w:w="6100" w:type="dxa"/>
            <w:gridSpan w:val="12"/>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监督促进所监督单位领导班子落实全面从严治党主体责任，监督促进所监督单位党政一把手当好第一责任人。监督检查所监督单位领导班子及其成员遵守党章党规党纪、执行党的路线方针政策和决议、推进党风廉政建设和反腐败斗争及廉洁自律等情况，经常、及时向县纪委报告上述情况及发现的重要问题。受理对所监督单位党的组织和党员的检举、控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2380" w:type="dxa"/>
            <w:gridSpan w:val="4"/>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　</w:t>
            </w:r>
          </w:p>
        </w:tc>
        <w:tc>
          <w:tcPr>
            <w:tcW w:w="6100" w:type="dxa"/>
            <w:gridSpan w:val="12"/>
            <w:tcBorders>
              <w:top w:val="single" w:color="000000" w:sz="4" w:space="0"/>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年度绩效指标</w:t>
            </w:r>
          </w:p>
        </w:tc>
        <w:tc>
          <w:tcPr>
            <w:tcW w:w="1240" w:type="dxa"/>
            <w:gridSpan w:val="2"/>
            <w:tcBorders>
              <w:top w:val="nil"/>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一级指标</w:t>
            </w:r>
          </w:p>
        </w:tc>
        <w:tc>
          <w:tcPr>
            <w:tcW w:w="1140" w:type="dxa"/>
            <w:gridSpan w:val="2"/>
            <w:tcBorders>
              <w:top w:val="nil"/>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二级指标</w:t>
            </w:r>
          </w:p>
        </w:tc>
        <w:tc>
          <w:tcPr>
            <w:tcW w:w="2080" w:type="dxa"/>
            <w:gridSpan w:val="3"/>
            <w:tcBorders>
              <w:top w:val="nil"/>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三级指标</w:t>
            </w:r>
          </w:p>
        </w:tc>
        <w:tc>
          <w:tcPr>
            <w:tcW w:w="980" w:type="dxa"/>
            <w:gridSpan w:val="2"/>
            <w:tcBorders>
              <w:top w:val="nil"/>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绩效指标性质</w:t>
            </w:r>
          </w:p>
        </w:tc>
        <w:tc>
          <w:tcPr>
            <w:tcW w:w="1240" w:type="dxa"/>
            <w:gridSpan w:val="2"/>
            <w:tcBorders>
              <w:top w:val="nil"/>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绩效指标值</w:t>
            </w:r>
          </w:p>
        </w:tc>
        <w:tc>
          <w:tcPr>
            <w:tcW w:w="1120" w:type="dxa"/>
            <w:gridSpan w:val="4"/>
            <w:tcBorders>
              <w:top w:val="nil"/>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绩效度量单位</w:t>
            </w:r>
          </w:p>
        </w:tc>
        <w:tc>
          <w:tcPr>
            <w:tcW w:w="680" w:type="dxa"/>
            <w:tcBorders>
              <w:top w:val="nil"/>
              <w:left w:val="nil"/>
              <w:bottom w:val="single" w:color="000000" w:sz="4" w:space="0"/>
              <w:right w:val="single" w:color="000000" w:sz="4" w:space="0"/>
            </w:tcBorders>
            <w:shd w:val="clear" w:color="auto" w:fill="auto"/>
            <w:vAlign w:val="center"/>
          </w:tcPr>
          <w:p>
            <w:pPr>
              <w:jc w:val="center"/>
              <w:rPr>
                <w:rFonts w:ascii="宋体" w:cs="宋体"/>
                <w:color w:val="000000"/>
                <w:sz w:val="18"/>
                <w:szCs w:val="18"/>
              </w:rPr>
            </w:pPr>
            <w:r>
              <w:rPr>
                <w:rFonts w:hint="eastAsia"/>
                <w:color w:val="000000"/>
                <w:sz w:val="18"/>
                <w:szCs w:val="18"/>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产出指标</w:t>
            </w:r>
          </w:p>
        </w:tc>
        <w:tc>
          <w:tcPr>
            <w:tcW w:w="114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数量指标</w:t>
            </w: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科目调整次数</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5</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次</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vMerge w:val="continue"/>
            <w:tcBorders>
              <w:top w:val="nil"/>
              <w:left w:val="single" w:color="000000" w:sz="4" w:space="0"/>
              <w:bottom w:val="single" w:color="000000" w:sz="4" w:space="0"/>
              <w:right w:val="single" w:color="000000" w:sz="4" w:space="0"/>
            </w:tcBorders>
            <w:vAlign w:val="center"/>
          </w:tcPr>
          <w:p/>
        </w:tc>
        <w:tc>
          <w:tcPr>
            <w:tcW w:w="1140" w:type="dxa"/>
            <w:gridSpan w:val="2"/>
            <w:vMerge w:val="continue"/>
            <w:tcBorders>
              <w:top w:val="nil"/>
              <w:left w:val="single" w:color="000000" w:sz="4" w:space="0"/>
              <w:bottom w:val="single" w:color="000000" w:sz="4" w:space="0"/>
              <w:right w:val="single" w:color="000000" w:sz="4" w:space="0"/>
            </w:tcBorders>
            <w:vAlign w:val="center"/>
          </w:tcP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人员经费足额保障率</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100</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vMerge w:val="continue"/>
            <w:tcBorders>
              <w:top w:val="nil"/>
              <w:left w:val="single" w:color="000000" w:sz="4" w:space="0"/>
              <w:bottom w:val="single" w:color="000000" w:sz="4" w:space="0"/>
              <w:right w:val="single" w:color="000000" w:sz="4" w:space="0"/>
            </w:tcBorders>
            <w:vAlign w:val="center"/>
          </w:tcPr>
          <w:p/>
        </w:tc>
        <w:tc>
          <w:tcPr>
            <w:tcW w:w="1140" w:type="dxa"/>
            <w:gridSpan w:val="2"/>
            <w:vMerge w:val="continue"/>
            <w:tcBorders>
              <w:top w:val="nil"/>
              <w:left w:val="single" w:color="000000" w:sz="4" w:space="0"/>
              <w:bottom w:val="single" w:color="000000" w:sz="4" w:space="0"/>
              <w:right w:val="single" w:color="000000" w:sz="4" w:space="0"/>
            </w:tcBorders>
            <w:vAlign w:val="center"/>
          </w:tcP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完成案件处理</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69</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人次</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vMerge w:val="continue"/>
            <w:tcBorders>
              <w:top w:val="nil"/>
              <w:left w:val="single" w:color="000000" w:sz="4" w:space="0"/>
              <w:bottom w:val="single" w:color="000000" w:sz="4" w:space="0"/>
              <w:right w:val="single" w:color="000000" w:sz="4" w:space="0"/>
            </w:tcBorders>
            <w:vAlign w:val="center"/>
          </w:tcPr>
          <w:p/>
        </w:tc>
        <w:tc>
          <w:tcPr>
            <w:tcW w:w="11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质量指标</w:t>
            </w: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预算编制准确率</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98</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vMerge w:val="continue"/>
            <w:tcBorders>
              <w:top w:val="nil"/>
              <w:left w:val="single" w:color="000000" w:sz="4" w:space="0"/>
              <w:bottom w:val="single" w:color="000000" w:sz="4" w:space="0"/>
              <w:right w:val="single" w:color="000000" w:sz="4" w:space="0"/>
            </w:tcBorders>
            <w:vAlign w:val="center"/>
          </w:tcPr>
          <w:p/>
        </w:tc>
        <w:tc>
          <w:tcPr>
            <w:tcW w:w="11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时效指标</w:t>
            </w: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按时发放率</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100</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效益指标</w:t>
            </w:r>
          </w:p>
        </w:tc>
        <w:tc>
          <w:tcPr>
            <w:tcW w:w="11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经济效益指标</w:t>
            </w: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运转保障率</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100</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vMerge w:val="continue"/>
            <w:tcBorders>
              <w:top w:val="nil"/>
              <w:left w:val="single" w:color="000000" w:sz="4" w:space="0"/>
              <w:bottom w:val="single" w:color="000000" w:sz="4" w:space="0"/>
              <w:right w:val="single" w:color="000000" w:sz="4" w:space="0"/>
            </w:tcBorders>
            <w:vAlign w:val="center"/>
          </w:tcPr>
          <w:p/>
        </w:tc>
        <w:tc>
          <w:tcPr>
            <w:tcW w:w="11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可持续发展指标</w:t>
            </w: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提高工作质量，保障人员经费</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定性</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　</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570" w:hRule="atLeast"/>
        </w:trPr>
        <w:tc>
          <w:tcPr>
            <w:tcW w:w="1120" w:type="dxa"/>
            <w:gridSpan w:val="2"/>
            <w:vMerge w:val="continue"/>
            <w:tcBorders>
              <w:top w:val="nil"/>
              <w:left w:val="single" w:color="000000" w:sz="4" w:space="0"/>
              <w:bottom w:val="single" w:color="000000" w:sz="4" w:space="0"/>
              <w:right w:val="single" w:color="000000" w:sz="4" w:space="0"/>
            </w:tcBorders>
            <w:vAlign w:val="center"/>
          </w:tcP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满意度指标</w:t>
            </w:r>
          </w:p>
        </w:tc>
        <w:tc>
          <w:tcPr>
            <w:tcW w:w="11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服务对象满意度指标</w:t>
            </w:r>
          </w:p>
        </w:tc>
        <w:tc>
          <w:tcPr>
            <w:tcW w:w="2080" w:type="dxa"/>
            <w:gridSpan w:val="3"/>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职工满意度</w:t>
            </w:r>
          </w:p>
        </w:tc>
        <w:tc>
          <w:tcPr>
            <w:tcW w:w="98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1240" w:type="dxa"/>
            <w:gridSpan w:val="2"/>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98</w:t>
            </w:r>
          </w:p>
        </w:tc>
        <w:tc>
          <w:tcPr>
            <w:tcW w:w="1120" w:type="dxa"/>
            <w:gridSpan w:val="4"/>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w:t>
            </w:r>
          </w:p>
        </w:tc>
        <w:tc>
          <w:tcPr>
            <w:tcW w:w="680" w:type="dxa"/>
            <w:tcBorders>
              <w:top w:val="nil"/>
              <w:left w:val="nil"/>
              <w:bottom w:val="single" w:color="000000" w:sz="4" w:space="0"/>
              <w:right w:val="single" w:color="000000" w:sz="4" w:space="0"/>
            </w:tcBorders>
            <w:shd w:val="clear" w:color="auto" w:fill="auto"/>
            <w:vAlign w:val="center"/>
          </w:tcPr>
          <w:p>
            <w:pPr>
              <w:rPr>
                <w:rFonts w:ascii="宋体" w:cs="宋体"/>
                <w:color w:val="000000"/>
                <w:sz w:val="18"/>
                <w:szCs w:val="18"/>
              </w:rPr>
            </w:pPr>
            <w:r>
              <w:rPr>
                <w:rFonts w:hint="eastAsia"/>
                <w:color w:val="000000"/>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2080" w:type="dxa"/>
            <w:gridSpan w:val="3"/>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98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20" w:type="dxa"/>
            <w:gridSpan w:val="4"/>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680" w:type="dxa"/>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2080" w:type="dxa"/>
            <w:gridSpan w:val="3"/>
            <w:tcBorders>
              <w:top w:val="nil"/>
              <w:left w:val="nil"/>
              <w:bottom w:val="nil"/>
              <w:right w:val="nil"/>
            </w:tcBorders>
            <w:shd w:val="clear" w:color="auto" w:fill="auto"/>
            <w:noWrap/>
            <w:vAlign w:val="center"/>
          </w:tcPr>
          <w:p>
            <w:pPr>
              <w:rPr>
                <w:rFonts w:ascii="宋体" w:cs="宋体"/>
                <w:color w:val="000000"/>
                <w:sz w:val="22"/>
                <w:szCs w:val="22"/>
              </w:rPr>
            </w:pPr>
          </w:p>
        </w:tc>
        <w:tc>
          <w:tcPr>
            <w:tcW w:w="98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2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120" w:type="dxa"/>
            <w:gridSpan w:val="4"/>
            <w:tcBorders>
              <w:top w:val="nil"/>
              <w:left w:val="nil"/>
              <w:bottom w:val="nil"/>
              <w:right w:val="nil"/>
            </w:tcBorders>
            <w:shd w:val="clear" w:color="auto" w:fill="auto"/>
            <w:noWrap/>
            <w:vAlign w:val="center"/>
          </w:tcPr>
          <w:p>
            <w:pPr>
              <w:rPr>
                <w:rFonts w:ascii="宋体" w:cs="宋体"/>
                <w:color w:val="000000"/>
                <w:sz w:val="22"/>
                <w:szCs w:val="22"/>
              </w:rPr>
            </w:pPr>
          </w:p>
        </w:tc>
        <w:tc>
          <w:tcPr>
            <w:tcW w:w="680" w:type="dxa"/>
            <w:tcBorders>
              <w:top w:val="nil"/>
              <w:left w:val="nil"/>
              <w:bottom w:val="nil"/>
              <w:right w:val="nil"/>
            </w:tcBorders>
            <w:shd w:val="clear" w:color="auto" w:fill="auto"/>
            <w:noWrap/>
            <w:vAlign w:val="center"/>
          </w:tcPr>
          <w:p>
            <w:pPr>
              <w:rPr>
                <w:rFonts w:ascii="宋体" w:cs="宋体"/>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1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2080" w:type="dxa"/>
            <w:gridSpan w:val="3"/>
            <w:tcBorders>
              <w:top w:val="nil"/>
              <w:left w:val="nil"/>
              <w:bottom w:val="nil"/>
              <w:right w:val="nil"/>
            </w:tcBorders>
            <w:shd w:val="clear" w:color="auto" w:fill="auto"/>
            <w:noWrap/>
            <w:vAlign w:val="center"/>
          </w:tcPr>
          <w:p>
            <w:pPr>
              <w:rPr>
                <w:rFonts w:ascii="宋体" w:cs="宋体"/>
                <w:color w:val="000000"/>
                <w:sz w:val="22"/>
                <w:szCs w:val="22"/>
              </w:rPr>
            </w:pPr>
          </w:p>
        </w:tc>
        <w:tc>
          <w:tcPr>
            <w:tcW w:w="98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2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120" w:type="dxa"/>
            <w:gridSpan w:val="4"/>
            <w:tcBorders>
              <w:top w:val="nil"/>
              <w:left w:val="nil"/>
              <w:bottom w:val="nil"/>
              <w:right w:val="nil"/>
            </w:tcBorders>
            <w:shd w:val="clear" w:color="auto" w:fill="auto"/>
            <w:noWrap/>
            <w:vAlign w:val="center"/>
          </w:tcPr>
          <w:p>
            <w:pPr>
              <w:rPr>
                <w:rFonts w:ascii="宋体" w:cs="宋体"/>
                <w:color w:val="000000"/>
                <w:sz w:val="22"/>
                <w:szCs w:val="22"/>
              </w:rPr>
            </w:pPr>
          </w:p>
        </w:tc>
        <w:tc>
          <w:tcPr>
            <w:tcW w:w="680" w:type="dxa"/>
            <w:tcBorders>
              <w:top w:val="nil"/>
              <w:left w:val="nil"/>
              <w:bottom w:val="nil"/>
              <w:right w:val="nil"/>
            </w:tcBorders>
            <w:shd w:val="clear" w:color="auto" w:fill="auto"/>
            <w:noWrap/>
            <w:vAlign w:val="center"/>
          </w:tcPr>
          <w:p>
            <w:pPr>
              <w:rPr>
                <w:rFonts w:ascii="宋体" w:cs="宋体"/>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1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2080" w:type="dxa"/>
            <w:gridSpan w:val="3"/>
            <w:tcBorders>
              <w:top w:val="nil"/>
              <w:left w:val="nil"/>
              <w:bottom w:val="nil"/>
              <w:right w:val="nil"/>
            </w:tcBorders>
            <w:shd w:val="clear" w:color="auto" w:fill="auto"/>
            <w:noWrap/>
            <w:vAlign w:val="center"/>
          </w:tcPr>
          <w:p>
            <w:pPr>
              <w:rPr>
                <w:rFonts w:ascii="宋体" w:cs="宋体"/>
                <w:color w:val="000000"/>
                <w:sz w:val="22"/>
                <w:szCs w:val="22"/>
              </w:rPr>
            </w:pPr>
          </w:p>
        </w:tc>
        <w:tc>
          <w:tcPr>
            <w:tcW w:w="98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2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120" w:type="dxa"/>
            <w:gridSpan w:val="4"/>
            <w:tcBorders>
              <w:top w:val="nil"/>
              <w:left w:val="nil"/>
              <w:bottom w:val="nil"/>
              <w:right w:val="nil"/>
            </w:tcBorders>
            <w:shd w:val="clear" w:color="auto" w:fill="auto"/>
            <w:noWrap/>
            <w:vAlign w:val="center"/>
          </w:tcPr>
          <w:p>
            <w:pPr>
              <w:rPr>
                <w:rFonts w:ascii="宋体" w:cs="宋体"/>
                <w:color w:val="000000"/>
                <w:sz w:val="22"/>
                <w:szCs w:val="22"/>
              </w:rPr>
            </w:pPr>
          </w:p>
        </w:tc>
        <w:tc>
          <w:tcPr>
            <w:tcW w:w="680" w:type="dxa"/>
            <w:tcBorders>
              <w:top w:val="nil"/>
              <w:left w:val="nil"/>
              <w:bottom w:val="nil"/>
              <w:right w:val="nil"/>
            </w:tcBorders>
            <w:shd w:val="clear" w:color="auto" w:fill="auto"/>
            <w:noWrap/>
            <w:vAlign w:val="center"/>
          </w:tcPr>
          <w:p>
            <w:pPr>
              <w:rPr>
                <w:rFonts w:ascii="宋体" w:cs="宋体"/>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1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2080" w:type="dxa"/>
            <w:gridSpan w:val="3"/>
            <w:tcBorders>
              <w:top w:val="nil"/>
              <w:left w:val="nil"/>
              <w:bottom w:val="nil"/>
              <w:right w:val="nil"/>
            </w:tcBorders>
            <w:shd w:val="clear" w:color="auto" w:fill="auto"/>
            <w:noWrap/>
            <w:vAlign w:val="center"/>
          </w:tcPr>
          <w:p>
            <w:pPr>
              <w:rPr>
                <w:rFonts w:ascii="宋体" w:cs="宋体"/>
                <w:color w:val="000000"/>
                <w:sz w:val="22"/>
                <w:szCs w:val="22"/>
              </w:rPr>
            </w:pPr>
          </w:p>
        </w:tc>
        <w:tc>
          <w:tcPr>
            <w:tcW w:w="98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240" w:type="dxa"/>
            <w:gridSpan w:val="2"/>
            <w:tcBorders>
              <w:top w:val="nil"/>
              <w:left w:val="nil"/>
              <w:bottom w:val="nil"/>
              <w:right w:val="nil"/>
            </w:tcBorders>
            <w:shd w:val="clear" w:color="auto" w:fill="auto"/>
            <w:noWrap/>
            <w:vAlign w:val="center"/>
          </w:tcPr>
          <w:p>
            <w:pPr>
              <w:rPr>
                <w:rFonts w:ascii="宋体" w:cs="宋体"/>
                <w:color w:val="000000"/>
                <w:sz w:val="22"/>
                <w:szCs w:val="22"/>
              </w:rPr>
            </w:pPr>
          </w:p>
        </w:tc>
        <w:tc>
          <w:tcPr>
            <w:tcW w:w="1120" w:type="dxa"/>
            <w:gridSpan w:val="4"/>
            <w:tcBorders>
              <w:top w:val="nil"/>
              <w:left w:val="nil"/>
              <w:bottom w:val="nil"/>
              <w:right w:val="nil"/>
            </w:tcBorders>
            <w:shd w:val="clear" w:color="auto" w:fill="auto"/>
            <w:noWrap/>
            <w:vAlign w:val="center"/>
          </w:tcPr>
          <w:p>
            <w:pPr>
              <w:rPr>
                <w:rFonts w:ascii="宋体" w:cs="宋体"/>
                <w:color w:val="000000"/>
                <w:sz w:val="22"/>
                <w:szCs w:val="22"/>
              </w:rPr>
            </w:pPr>
          </w:p>
        </w:tc>
        <w:tc>
          <w:tcPr>
            <w:tcW w:w="680" w:type="dxa"/>
            <w:tcBorders>
              <w:top w:val="nil"/>
              <w:left w:val="nil"/>
              <w:bottom w:val="nil"/>
              <w:right w:val="nil"/>
            </w:tcBorders>
            <w:shd w:val="clear" w:color="auto" w:fill="auto"/>
            <w:noWrap/>
            <w:vAlign w:val="center"/>
          </w:tcPr>
          <w:p>
            <w:pPr>
              <w:rPr>
                <w:rFonts w:ascii="宋体" w:cs="宋体"/>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2080" w:type="dxa"/>
            <w:gridSpan w:val="3"/>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98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20" w:type="dxa"/>
            <w:gridSpan w:val="4"/>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680" w:type="dxa"/>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2080" w:type="dxa"/>
            <w:gridSpan w:val="3"/>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98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20" w:type="dxa"/>
            <w:gridSpan w:val="4"/>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680" w:type="dxa"/>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2080" w:type="dxa"/>
            <w:gridSpan w:val="3"/>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98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20" w:type="dxa"/>
            <w:gridSpan w:val="4"/>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680" w:type="dxa"/>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 w:type="dxa"/>
          <w:trHeight w:val="285" w:hRule="atLeast"/>
        </w:trPr>
        <w:tc>
          <w:tcPr>
            <w:tcW w:w="112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2080" w:type="dxa"/>
            <w:gridSpan w:val="3"/>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98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240" w:type="dxa"/>
            <w:gridSpan w:val="2"/>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1120" w:type="dxa"/>
            <w:gridSpan w:val="4"/>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c>
          <w:tcPr>
            <w:tcW w:w="680" w:type="dxa"/>
            <w:tcBorders>
              <w:top w:val="nil"/>
              <w:left w:val="nil"/>
              <w:bottom w:val="nil"/>
              <w:right w:val="nil"/>
            </w:tcBorders>
            <w:shd w:val="clear" w:color="auto" w:fill="auto"/>
            <w:vAlign w:val="center"/>
          </w:tcPr>
          <w:p>
            <w:pPr>
              <w:rPr>
                <w:rFonts w:ascii="宋体" w:cs="宋体"/>
                <w:sz w:val="18"/>
                <w:szCs w:val="18"/>
              </w:rPr>
            </w:pPr>
            <w:r>
              <w:rPr>
                <w:rFonts w:hint="eastAsia"/>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993" w:type="dxa"/>
            <w:gridSpan w:val="7"/>
            <w:tcBorders>
              <w:top w:val="nil"/>
              <w:left w:val="nil"/>
              <w:bottom w:val="nil"/>
              <w:right w:val="nil"/>
            </w:tcBorders>
            <w:shd w:val="clear" w:color="auto" w:fill="auto"/>
            <w:vAlign w:val="center"/>
          </w:tcPr>
          <w:p>
            <w:pPr>
              <w:widowControl/>
              <w:jc w:val="left"/>
              <w:rPr>
                <w:rFonts w:ascii="宋体" w:cs="宋体"/>
                <w:color w:val="C0C0C0"/>
                <w:kern w:val="0"/>
                <w:sz w:val="20"/>
                <w:szCs w:val="20"/>
              </w:rPr>
            </w:pPr>
          </w:p>
        </w:tc>
        <w:tc>
          <w:tcPr>
            <w:tcW w:w="5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2341" w:type="dxa"/>
            <w:gridSpan w:val="6"/>
            <w:tcBorders>
              <w:top w:val="nil"/>
              <w:left w:val="nil"/>
              <w:bottom w:val="nil"/>
              <w:right w:val="nil"/>
            </w:tcBorders>
            <w:shd w:val="clear" w:color="auto" w:fill="auto"/>
            <w:vAlign w:val="center"/>
          </w:tcPr>
          <w:p>
            <w:pPr>
              <w:widowControl/>
              <w:jc w:val="left"/>
              <w:rPr>
                <w:rFonts w:ascii="宋体" w:cs="宋体"/>
                <w:color w:val="000000"/>
                <w:kern w:val="0"/>
                <w:sz w:val="20"/>
                <w:szCs w:val="20"/>
              </w:rPr>
            </w:pPr>
          </w:p>
        </w:tc>
        <w:tc>
          <w:tcPr>
            <w:tcW w:w="5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486"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880" w:type="dxa"/>
            <w:gridSpan w:val="3"/>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7"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249"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174"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88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36"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52"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5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86"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880" w:type="dxa"/>
            <w:gridSpan w:val="3"/>
            <w:tcBorders>
              <w:top w:val="nil"/>
              <w:left w:val="nil"/>
              <w:bottom w:val="nil"/>
              <w:right w:val="nil"/>
            </w:tcBorders>
            <w:shd w:val="clear" w:color="auto" w:fill="auto"/>
            <w:vAlign w:val="center"/>
          </w:tcPr>
          <w:p>
            <w:pPr>
              <w:widowControl/>
              <w:jc w:val="left"/>
              <w:rPr>
                <w:rFonts w:asci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7"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249"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174"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88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36"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52"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5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86"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880" w:type="dxa"/>
            <w:gridSpan w:val="3"/>
            <w:tcBorders>
              <w:top w:val="nil"/>
              <w:left w:val="nil"/>
              <w:bottom w:val="nil"/>
              <w:right w:val="nil"/>
            </w:tcBorders>
            <w:shd w:val="clear" w:color="auto" w:fill="auto"/>
            <w:vAlign w:val="center"/>
          </w:tcPr>
          <w:p>
            <w:pPr>
              <w:widowControl/>
              <w:jc w:val="left"/>
              <w:rPr>
                <w:rFonts w:asci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7"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249"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174"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88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36"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52"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5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86"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880" w:type="dxa"/>
            <w:gridSpan w:val="3"/>
            <w:tcBorders>
              <w:top w:val="nil"/>
              <w:left w:val="nil"/>
              <w:bottom w:val="nil"/>
              <w:right w:val="nil"/>
            </w:tcBorders>
            <w:shd w:val="clear" w:color="auto" w:fill="auto"/>
            <w:vAlign w:val="center"/>
          </w:tcPr>
          <w:p>
            <w:pPr>
              <w:widowControl/>
              <w:jc w:val="left"/>
              <w:rPr>
                <w:rFonts w:asci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7"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249"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174"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88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36"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52"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5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86"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880" w:type="dxa"/>
            <w:gridSpan w:val="3"/>
            <w:tcBorders>
              <w:top w:val="nil"/>
              <w:left w:val="nil"/>
              <w:bottom w:val="nil"/>
              <w:right w:val="nil"/>
            </w:tcBorders>
            <w:shd w:val="clear" w:color="auto" w:fill="auto"/>
            <w:vAlign w:val="center"/>
          </w:tcPr>
          <w:p>
            <w:pPr>
              <w:widowControl/>
              <w:jc w:val="left"/>
              <w:rPr>
                <w:rFonts w:asci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7"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249"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174"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188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36"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52"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953" w:type="dxa"/>
            <w:gridSpan w:val="2"/>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520"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486" w:type="dxa"/>
            <w:tcBorders>
              <w:top w:val="nil"/>
              <w:left w:val="nil"/>
              <w:bottom w:val="nil"/>
              <w:right w:val="nil"/>
            </w:tcBorders>
            <w:shd w:val="clear" w:color="auto" w:fill="auto"/>
            <w:vAlign w:val="center"/>
          </w:tcPr>
          <w:p>
            <w:pPr>
              <w:widowControl/>
              <w:jc w:val="left"/>
              <w:rPr>
                <w:rFonts w:ascii="宋体" w:cs="宋体"/>
                <w:kern w:val="0"/>
                <w:sz w:val="18"/>
                <w:szCs w:val="18"/>
              </w:rPr>
            </w:pPr>
          </w:p>
        </w:tc>
        <w:tc>
          <w:tcPr>
            <w:tcW w:w="880" w:type="dxa"/>
            <w:gridSpan w:val="3"/>
            <w:tcBorders>
              <w:top w:val="nil"/>
              <w:left w:val="nil"/>
              <w:bottom w:val="nil"/>
              <w:right w:val="nil"/>
            </w:tcBorders>
            <w:shd w:val="clear" w:color="auto" w:fill="auto"/>
            <w:vAlign w:val="center"/>
          </w:tcPr>
          <w:p>
            <w:pPr>
              <w:widowControl/>
              <w:jc w:val="left"/>
              <w:rPr>
                <w:rFonts w:ascii="宋体" w:cs="宋体"/>
                <w:kern w:val="0"/>
                <w:sz w:val="18"/>
                <w:szCs w:val="18"/>
              </w:rPr>
            </w:pPr>
          </w:p>
        </w:tc>
      </w:tr>
    </w:tbl>
    <w:p>
      <w:pPr>
        <w:pStyle w:val="5"/>
        <w:spacing w:before="93" w:beforeLines="0" w:line="576" w:lineRule="exact"/>
        <w:rPr>
          <w:rFonts w:ascii="Times New Roman" w:hAnsi="Times New Roman"/>
        </w:rPr>
      </w:pPr>
    </w:p>
    <w:p>
      <w:pPr>
        <w:spacing w:line="576" w:lineRule="exact"/>
        <w:rPr>
          <w:rStyle w:val="20"/>
          <w:rFonts w:eastAsia="黑体"/>
          <w:b w:val="0"/>
        </w:rPr>
      </w:pPr>
    </w:p>
    <w:p>
      <w:pPr>
        <w:widowControl/>
        <w:spacing w:line="576" w:lineRule="exact"/>
        <w:jc w:val="left"/>
        <w:rPr>
          <w:rStyle w:val="20"/>
          <w:rFonts w:eastAsia="黑体"/>
          <w:b w:val="0"/>
        </w:rPr>
      </w:pPr>
      <w:r>
        <w:rPr>
          <w:rStyle w:val="20"/>
          <w:rFonts w:eastAsia="黑体"/>
          <w:b w:val="0"/>
        </w:rPr>
        <w:br w:type="page"/>
      </w:r>
    </w:p>
    <w:p>
      <w:pPr>
        <w:spacing w:line="576" w:lineRule="exact"/>
        <w:jc w:val="center"/>
        <w:outlineLvl w:val="0"/>
        <w:rPr>
          <w:rFonts w:eastAsia="仿宋"/>
        </w:rPr>
      </w:pPr>
      <w:bookmarkStart w:id="69" w:name="_Toc26843625"/>
      <w:bookmarkStart w:id="70" w:name="_Toc15396618"/>
      <w:r>
        <w:rPr>
          <w:rFonts w:eastAsia="黑体"/>
          <w:sz w:val="44"/>
          <w:szCs w:val="44"/>
        </w:rPr>
        <w:t>第</w:t>
      </w:r>
      <w:r>
        <w:rPr>
          <w:rStyle w:val="20"/>
          <w:rFonts w:eastAsia="黑体"/>
          <w:b w:val="0"/>
        </w:rPr>
        <w:t>五部分 附表</w:t>
      </w:r>
      <w:bookmarkEnd w:id="65"/>
      <w:bookmarkEnd w:id="69"/>
      <w:bookmarkEnd w:id="70"/>
      <w:bookmarkStart w:id="71" w:name="_Toc15396619"/>
    </w:p>
    <w:p>
      <w:pPr>
        <w:pStyle w:val="3"/>
        <w:spacing w:line="576" w:lineRule="exact"/>
        <w:rPr>
          <w:rFonts w:ascii="Times New Roman" w:hAnsi="Times New Roman" w:eastAsia="仿宋"/>
        </w:rPr>
      </w:pPr>
      <w:bookmarkStart w:id="72" w:name="_Toc26843626"/>
      <w:r>
        <w:rPr>
          <w:rFonts w:ascii="Times New Roman" w:hAnsi="Times New Roman" w:eastAsia="仿宋"/>
          <w:b w:val="0"/>
        </w:rPr>
        <w:t>一、收</w:t>
      </w:r>
      <w:r>
        <w:rPr>
          <w:rStyle w:val="21"/>
          <w:rFonts w:ascii="Times New Roman" w:hAnsi="Times New Roman" w:eastAsia="仿宋"/>
          <w:b w:val="0"/>
          <w:bCs w:val="0"/>
        </w:rPr>
        <w:t>入支出决算总表</w:t>
      </w:r>
      <w:bookmarkEnd w:id="71"/>
      <w:bookmarkEnd w:id="72"/>
    </w:p>
    <w:p>
      <w:pPr>
        <w:pStyle w:val="3"/>
        <w:spacing w:line="576" w:lineRule="exact"/>
        <w:rPr>
          <w:rFonts w:ascii="Times New Roman" w:hAnsi="Times New Roman" w:eastAsia="仿宋"/>
        </w:rPr>
      </w:pPr>
      <w:bookmarkStart w:id="73" w:name="_Toc15396620"/>
      <w:bookmarkStart w:id="74" w:name="_Toc26843627"/>
      <w:r>
        <w:rPr>
          <w:rFonts w:ascii="Times New Roman" w:hAnsi="Times New Roman" w:eastAsia="仿宋"/>
          <w:b w:val="0"/>
        </w:rPr>
        <w:t>二、收</w:t>
      </w:r>
      <w:r>
        <w:rPr>
          <w:rStyle w:val="21"/>
          <w:rFonts w:ascii="Times New Roman" w:hAnsi="Times New Roman" w:eastAsia="仿宋"/>
          <w:b w:val="0"/>
          <w:bCs w:val="0"/>
        </w:rPr>
        <w:t>入决算表</w:t>
      </w:r>
      <w:bookmarkEnd w:id="73"/>
      <w:bookmarkEnd w:id="74"/>
    </w:p>
    <w:p>
      <w:pPr>
        <w:pStyle w:val="3"/>
        <w:spacing w:line="576" w:lineRule="exact"/>
        <w:rPr>
          <w:rFonts w:ascii="Times New Roman" w:hAnsi="Times New Roman" w:eastAsia="仿宋"/>
        </w:rPr>
      </w:pPr>
      <w:bookmarkStart w:id="75" w:name="_Toc26843628"/>
      <w:bookmarkStart w:id="76" w:name="_Toc15396621"/>
      <w:r>
        <w:rPr>
          <w:rStyle w:val="21"/>
          <w:rFonts w:ascii="Times New Roman" w:hAnsi="Times New Roman" w:eastAsia="仿宋"/>
          <w:b w:val="0"/>
          <w:bCs w:val="0"/>
        </w:rPr>
        <w:t>三、</w:t>
      </w:r>
      <w:r>
        <w:rPr>
          <w:rFonts w:ascii="Times New Roman" w:hAnsi="Times New Roman" w:eastAsia="仿宋"/>
          <w:b w:val="0"/>
        </w:rPr>
        <w:t>支</w:t>
      </w:r>
      <w:r>
        <w:rPr>
          <w:rStyle w:val="21"/>
          <w:rFonts w:ascii="Times New Roman" w:hAnsi="Times New Roman" w:eastAsia="仿宋"/>
          <w:b w:val="0"/>
          <w:bCs w:val="0"/>
        </w:rPr>
        <w:t>出决算表</w:t>
      </w:r>
      <w:bookmarkEnd w:id="75"/>
      <w:bookmarkEnd w:id="76"/>
    </w:p>
    <w:p>
      <w:pPr>
        <w:pStyle w:val="3"/>
        <w:spacing w:line="576" w:lineRule="exact"/>
        <w:rPr>
          <w:rFonts w:ascii="Times New Roman" w:hAnsi="Times New Roman" w:eastAsia="仿宋"/>
          <w:b w:val="0"/>
        </w:rPr>
      </w:pPr>
      <w:bookmarkStart w:id="77" w:name="_Toc26843629"/>
      <w:bookmarkStart w:id="78" w:name="_Toc15396622"/>
      <w:r>
        <w:rPr>
          <w:rStyle w:val="21"/>
          <w:rFonts w:ascii="Times New Roman" w:hAnsi="Times New Roman" w:eastAsia="仿宋"/>
          <w:b w:val="0"/>
          <w:bCs w:val="0"/>
        </w:rPr>
        <w:t>四、</w:t>
      </w:r>
      <w:r>
        <w:rPr>
          <w:rFonts w:ascii="Times New Roman" w:hAnsi="Times New Roman" w:eastAsia="仿宋"/>
          <w:b w:val="0"/>
        </w:rPr>
        <w:t>财</w:t>
      </w:r>
      <w:r>
        <w:rPr>
          <w:rStyle w:val="21"/>
          <w:rFonts w:ascii="Times New Roman" w:hAnsi="Times New Roman" w:eastAsia="仿宋"/>
          <w:b w:val="0"/>
          <w:bCs w:val="0"/>
        </w:rPr>
        <w:t>政拨款收入支出决算总表</w:t>
      </w:r>
      <w:bookmarkEnd w:id="77"/>
      <w:bookmarkEnd w:id="78"/>
    </w:p>
    <w:p>
      <w:pPr>
        <w:pStyle w:val="3"/>
        <w:spacing w:line="576" w:lineRule="exact"/>
        <w:rPr>
          <w:rStyle w:val="21"/>
          <w:rFonts w:ascii="Times New Roman" w:hAnsi="Times New Roman" w:eastAsia="仿宋"/>
          <w:b w:val="0"/>
          <w:bCs w:val="0"/>
        </w:rPr>
      </w:pPr>
      <w:bookmarkStart w:id="79" w:name="_Toc15396623"/>
      <w:bookmarkStart w:id="80" w:name="_Toc26843630"/>
      <w:r>
        <w:rPr>
          <w:rStyle w:val="21"/>
          <w:rFonts w:ascii="Times New Roman" w:hAnsi="Times New Roman" w:eastAsia="仿宋"/>
          <w:b w:val="0"/>
          <w:bCs w:val="0"/>
        </w:rPr>
        <w:t>五、</w:t>
      </w:r>
      <w:r>
        <w:rPr>
          <w:rFonts w:ascii="Times New Roman" w:hAnsi="Times New Roman" w:eastAsia="仿宋"/>
          <w:b w:val="0"/>
        </w:rPr>
        <w:t>财</w:t>
      </w:r>
      <w:r>
        <w:rPr>
          <w:rStyle w:val="21"/>
          <w:rFonts w:ascii="Times New Roman" w:hAnsi="Times New Roman" w:eastAsia="仿宋"/>
          <w:b w:val="0"/>
          <w:bCs w:val="0"/>
        </w:rPr>
        <w:t>政拨款支出决算明细表</w:t>
      </w:r>
      <w:bookmarkEnd w:id="79"/>
      <w:bookmarkEnd w:id="80"/>
      <w:bookmarkStart w:id="81" w:name="_Toc15396624"/>
    </w:p>
    <w:p>
      <w:pPr>
        <w:pStyle w:val="3"/>
        <w:spacing w:line="576" w:lineRule="exact"/>
        <w:rPr>
          <w:rFonts w:ascii="Times New Roman" w:hAnsi="Times New Roman" w:eastAsia="仿宋"/>
        </w:rPr>
      </w:pPr>
      <w:bookmarkStart w:id="82" w:name="_Toc26843631"/>
      <w:r>
        <w:rPr>
          <w:rStyle w:val="21"/>
          <w:rFonts w:ascii="Times New Roman" w:hAnsi="Times New Roman" w:eastAsia="仿宋"/>
          <w:b w:val="0"/>
          <w:bCs w:val="0"/>
        </w:rPr>
        <w:t>六、</w:t>
      </w:r>
      <w:r>
        <w:rPr>
          <w:rFonts w:ascii="Times New Roman" w:hAnsi="Times New Roman" w:eastAsia="仿宋"/>
          <w:b w:val="0"/>
        </w:rPr>
        <w:t>一</w:t>
      </w:r>
      <w:r>
        <w:rPr>
          <w:rStyle w:val="21"/>
          <w:rFonts w:ascii="Times New Roman" w:hAnsi="Times New Roman" w:eastAsia="仿宋"/>
          <w:b w:val="0"/>
          <w:bCs w:val="0"/>
        </w:rPr>
        <w:t>般公共预算财政拨款支出决算表</w:t>
      </w:r>
      <w:bookmarkEnd w:id="81"/>
      <w:bookmarkEnd w:id="82"/>
    </w:p>
    <w:p>
      <w:pPr>
        <w:pStyle w:val="3"/>
        <w:spacing w:line="576" w:lineRule="exact"/>
        <w:rPr>
          <w:rFonts w:ascii="Times New Roman" w:hAnsi="Times New Roman" w:eastAsia="仿宋"/>
        </w:rPr>
      </w:pPr>
      <w:bookmarkStart w:id="83" w:name="_Toc15396625"/>
      <w:bookmarkStart w:id="84" w:name="_Toc26843632"/>
      <w:r>
        <w:rPr>
          <w:rStyle w:val="21"/>
          <w:rFonts w:ascii="Times New Roman" w:hAnsi="Times New Roman" w:eastAsia="仿宋"/>
          <w:b w:val="0"/>
          <w:bCs w:val="0"/>
        </w:rPr>
        <w:t>七、</w:t>
      </w:r>
      <w:r>
        <w:rPr>
          <w:rFonts w:ascii="Times New Roman" w:hAnsi="Times New Roman" w:eastAsia="仿宋"/>
          <w:b w:val="0"/>
        </w:rPr>
        <w:t>一</w:t>
      </w:r>
      <w:r>
        <w:rPr>
          <w:rStyle w:val="21"/>
          <w:rFonts w:ascii="Times New Roman" w:hAnsi="Times New Roman" w:eastAsia="仿宋"/>
          <w:b w:val="0"/>
          <w:bCs w:val="0"/>
        </w:rPr>
        <w:t>般公共预算财政拨款支出决算明细表</w:t>
      </w:r>
      <w:bookmarkEnd w:id="83"/>
      <w:bookmarkEnd w:id="84"/>
    </w:p>
    <w:p>
      <w:pPr>
        <w:pStyle w:val="3"/>
        <w:spacing w:line="576" w:lineRule="exact"/>
        <w:rPr>
          <w:rFonts w:ascii="Times New Roman" w:hAnsi="Times New Roman" w:eastAsia="仿宋"/>
        </w:rPr>
      </w:pPr>
      <w:bookmarkStart w:id="85" w:name="_Toc26843633"/>
      <w:bookmarkStart w:id="86" w:name="_Toc15396626"/>
      <w:r>
        <w:rPr>
          <w:rStyle w:val="21"/>
          <w:rFonts w:ascii="Times New Roman" w:hAnsi="Times New Roman" w:eastAsia="仿宋"/>
          <w:b w:val="0"/>
          <w:bCs w:val="0"/>
        </w:rPr>
        <w:t>八、</w:t>
      </w:r>
      <w:r>
        <w:rPr>
          <w:rFonts w:ascii="Times New Roman" w:hAnsi="Times New Roman" w:eastAsia="仿宋"/>
          <w:b w:val="0"/>
        </w:rPr>
        <w:t>一</w:t>
      </w:r>
      <w:r>
        <w:rPr>
          <w:rStyle w:val="21"/>
          <w:rFonts w:ascii="Times New Roman" w:hAnsi="Times New Roman" w:eastAsia="仿宋"/>
          <w:b w:val="0"/>
          <w:bCs w:val="0"/>
        </w:rPr>
        <w:t>般公共预算财政拨款基本支出决算表</w:t>
      </w:r>
      <w:bookmarkEnd w:id="85"/>
      <w:bookmarkEnd w:id="86"/>
    </w:p>
    <w:p>
      <w:pPr>
        <w:pStyle w:val="3"/>
        <w:spacing w:line="576" w:lineRule="exact"/>
        <w:rPr>
          <w:rFonts w:ascii="Times New Roman" w:hAnsi="Times New Roman" w:eastAsia="仿宋"/>
        </w:rPr>
      </w:pPr>
      <w:bookmarkStart w:id="87" w:name="_Toc26843634"/>
      <w:bookmarkStart w:id="88" w:name="_Toc15396627"/>
      <w:r>
        <w:rPr>
          <w:rStyle w:val="21"/>
          <w:rFonts w:ascii="Times New Roman" w:hAnsi="Times New Roman" w:eastAsia="仿宋"/>
          <w:b w:val="0"/>
          <w:bCs w:val="0"/>
        </w:rPr>
        <w:t>九、</w:t>
      </w:r>
      <w:r>
        <w:rPr>
          <w:rFonts w:ascii="Times New Roman" w:hAnsi="Times New Roman" w:eastAsia="仿宋"/>
          <w:b w:val="0"/>
        </w:rPr>
        <w:t>一</w:t>
      </w:r>
      <w:r>
        <w:rPr>
          <w:rStyle w:val="21"/>
          <w:rFonts w:ascii="Times New Roman" w:hAnsi="Times New Roman" w:eastAsia="仿宋"/>
          <w:b w:val="0"/>
          <w:bCs w:val="0"/>
        </w:rPr>
        <w:t>般公共预算财政拨款项目支出决算表</w:t>
      </w:r>
      <w:bookmarkEnd w:id="87"/>
      <w:bookmarkEnd w:id="88"/>
    </w:p>
    <w:p>
      <w:pPr>
        <w:pStyle w:val="3"/>
        <w:spacing w:line="576" w:lineRule="exact"/>
        <w:rPr>
          <w:rFonts w:ascii="Times New Roman" w:hAnsi="Times New Roman" w:eastAsia="仿宋"/>
        </w:rPr>
      </w:pPr>
      <w:bookmarkStart w:id="89" w:name="_Toc15396629"/>
      <w:bookmarkStart w:id="90" w:name="_Toc26843636"/>
      <w:r>
        <w:rPr>
          <w:rStyle w:val="21"/>
          <w:rFonts w:ascii="Times New Roman" w:hAnsi="Times New Roman" w:eastAsia="仿宋"/>
          <w:b w:val="0"/>
          <w:bCs w:val="0"/>
        </w:rPr>
        <w:t>十、</w:t>
      </w:r>
      <w:r>
        <w:rPr>
          <w:rFonts w:ascii="Times New Roman" w:hAnsi="Times New Roman" w:eastAsia="仿宋"/>
          <w:b w:val="0"/>
        </w:rPr>
        <w:t>政</w:t>
      </w:r>
      <w:r>
        <w:rPr>
          <w:rStyle w:val="21"/>
          <w:rFonts w:ascii="Times New Roman" w:hAnsi="Times New Roman" w:eastAsia="仿宋"/>
          <w:b w:val="0"/>
          <w:bCs w:val="0"/>
        </w:rPr>
        <w:t>府性基金预算财政拨款收入支出决算表</w:t>
      </w:r>
      <w:bookmarkEnd w:id="89"/>
      <w:bookmarkEnd w:id="90"/>
    </w:p>
    <w:p>
      <w:pPr>
        <w:pStyle w:val="3"/>
        <w:spacing w:line="576" w:lineRule="exact"/>
        <w:rPr>
          <w:rStyle w:val="21"/>
          <w:rFonts w:ascii="Times New Roman" w:hAnsi="Times New Roman" w:eastAsia="仿宋"/>
          <w:b w:val="0"/>
          <w:bCs w:val="0"/>
        </w:rPr>
      </w:pPr>
      <w:bookmarkStart w:id="91" w:name="_Toc15396631"/>
      <w:bookmarkStart w:id="92" w:name="_Toc26843638"/>
      <w:r>
        <w:rPr>
          <w:rStyle w:val="21"/>
          <w:rFonts w:ascii="Times New Roman" w:hAnsi="Times New Roman" w:eastAsia="仿宋"/>
          <w:b w:val="0"/>
          <w:bCs w:val="0"/>
        </w:rPr>
        <w:t>十</w:t>
      </w:r>
      <w:r>
        <w:rPr>
          <w:rStyle w:val="21"/>
          <w:rFonts w:hint="eastAsia" w:ascii="Times New Roman" w:hAnsi="Times New Roman" w:eastAsia="仿宋"/>
          <w:b w:val="0"/>
          <w:bCs w:val="0"/>
        </w:rPr>
        <w:t>一</w:t>
      </w:r>
      <w:r>
        <w:rPr>
          <w:rStyle w:val="21"/>
          <w:rFonts w:ascii="Times New Roman" w:hAnsi="Times New Roman" w:eastAsia="仿宋"/>
          <w:b w:val="0"/>
          <w:bCs w:val="0"/>
        </w:rPr>
        <w:t>、</w:t>
      </w:r>
      <w:r>
        <w:rPr>
          <w:rFonts w:ascii="Times New Roman" w:hAnsi="Times New Roman" w:eastAsia="仿宋"/>
          <w:b w:val="0"/>
        </w:rPr>
        <w:t>国</w:t>
      </w:r>
      <w:r>
        <w:rPr>
          <w:rStyle w:val="21"/>
          <w:rFonts w:ascii="Times New Roman" w:hAnsi="Times New Roman" w:eastAsia="仿宋"/>
          <w:b w:val="0"/>
          <w:bCs w:val="0"/>
        </w:rPr>
        <w:t>有资本经营预算财政拨款收入支出决算表</w:t>
      </w:r>
      <w:bookmarkEnd w:id="91"/>
      <w:bookmarkEnd w:id="92"/>
    </w:p>
    <w:p>
      <w:pPr>
        <w:spacing w:line="576" w:lineRule="exact"/>
        <w:rPr>
          <w:rStyle w:val="21"/>
          <w:rFonts w:ascii="Times New Roman" w:hAnsi="Times New Roman" w:eastAsia="仿宋"/>
          <w:b w:val="0"/>
          <w:bCs w:val="0"/>
        </w:rPr>
      </w:pPr>
      <w:bookmarkStart w:id="93" w:name="_Toc26843639"/>
      <w:r>
        <w:rPr>
          <w:rStyle w:val="21"/>
          <w:rFonts w:ascii="Times New Roman" w:hAnsi="Times New Roman" w:eastAsia="仿宋"/>
          <w:b w:val="0"/>
          <w:bCs w:val="0"/>
        </w:rPr>
        <w:t>十</w:t>
      </w:r>
      <w:r>
        <w:rPr>
          <w:rStyle w:val="21"/>
          <w:rFonts w:hint="eastAsia" w:ascii="Times New Roman" w:hAnsi="Times New Roman" w:eastAsia="仿宋"/>
          <w:b w:val="0"/>
          <w:bCs w:val="0"/>
        </w:rPr>
        <w:t>二</w:t>
      </w:r>
      <w:r>
        <w:rPr>
          <w:rStyle w:val="21"/>
          <w:rFonts w:ascii="Times New Roman" w:hAnsi="Times New Roman" w:eastAsia="仿宋"/>
          <w:b w:val="0"/>
          <w:bCs w:val="0"/>
        </w:rPr>
        <w:t>、国有资本经营预算财政拨款支出决算表</w:t>
      </w:r>
      <w:bookmarkEnd w:id="93"/>
    </w:p>
    <w:p>
      <w:pPr>
        <w:pStyle w:val="3"/>
        <w:spacing w:line="576" w:lineRule="exact"/>
        <w:rPr>
          <w:rFonts w:ascii="Times New Roman" w:hAnsi="Times New Roman" w:eastAsia="仿宋"/>
        </w:rPr>
      </w:pPr>
      <w:bookmarkStart w:id="94" w:name="_Toc15396628"/>
      <w:bookmarkStart w:id="95" w:name="_Toc26843635"/>
      <w:r>
        <w:rPr>
          <w:rStyle w:val="21"/>
          <w:rFonts w:ascii="Times New Roman" w:hAnsi="Times New Roman" w:eastAsia="仿宋"/>
          <w:b w:val="0"/>
          <w:bCs w:val="0"/>
        </w:rPr>
        <w:t>十</w:t>
      </w:r>
      <w:r>
        <w:rPr>
          <w:rStyle w:val="21"/>
          <w:rFonts w:hint="eastAsia" w:ascii="Times New Roman" w:hAnsi="Times New Roman" w:eastAsia="仿宋"/>
          <w:b w:val="0"/>
          <w:bCs w:val="0"/>
        </w:rPr>
        <w:t>三</w:t>
      </w:r>
      <w:r>
        <w:rPr>
          <w:rStyle w:val="21"/>
          <w:rFonts w:ascii="Times New Roman" w:hAnsi="Times New Roman" w:eastAsia="仿宋"/>
          <w:b w:val="0"/>
          <w:bCs w:val="0"/>
        </w:rPr>
        <w:t>、</w:t>
      </w:r>
      <w:r>
        <w:rPr>
          <w:rFonts w:ascii="Times New Roman" w:hAnsi="Times New Roman" w:eastAsia="仿宋"/>
          <w:b w:val="0"/>
        </w:rPr>
        <w:t>一</w:t>
      </w:r>
      <w:r>
        <w:rPr>
          <w:rStyle w:val="21"/>
          <w:rFonts w:ascii="Times New Roman" w:hAnsi="Times New Roman" w:eastAsia="仿宋"/>
          <w:b w:val="0"/>
          <w:bCs w:val="0"/>
        </w:rPr>
        <w:t>般公共预算财政拨款“三公”经费支出决算表</w:t>
      </w:r>
      <w:bookmarkEnd w:id="94"/>
      <w:bookmarkEnd w:id="95"/>
    </w:p>
    <w:p>
      <w:pPr>
        <w:spacing w:line="576" w:lineRule="exact"/>
        <w:rPr>
          <w:rFonts w:eastAsia="仿宋"/>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DejaVu Sans"/>
    <w:panose1 w:val="02040503050406030204"/>
    <w:charset w:val="00"/>
    <w:family w:val="roman"/>
    <w:pitch w:val="default"/>
    <w:sig w:usb0="00000000" w:usb1="00000000" w:usb2="00000000" w:usb3="00000000" w:csb0="0000019F" w:csb1="0000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DejaVu Sans"/>
    <w:panose1 w:val="020B0604020202020204"/>
    <w:charset w:val="00"/>
    <w:family w:val="swiss"/>
    <w:pitch w:val="default"/>
    <w:sig w:usb0="00000000" w:usb1="00000000" w:usb2="00000009" w:usb3="00000000" w:csb0="000001FF" w:csb1="00000000"/>
  </w:font>
  <w:font w:name="Courier New">
    <w:altName w:val="DejaVu Sans"/>
    <w:panose1 w:val="02070309020205020404"/>
    <w:charset w:val="00"/>
    <w:family w:val="modern"/>
    <w:pitch w:val="default"/>
    <w:sig w:usb0="00000000" w:usb1="00000000" w:usb2="00000009" w:usb3="00000000" w:csb0="000001FF"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AR PL UKai CN">
    <w:altName w:val="华文中宋"/>
    <w:panose1 w:val="00000000000000000000"/>
    <w:charset w:val="01"/>
    <w:family w:val="auto"/>
    <w:pitch w:val="default"/>
    <w:sig w:usb0="00000000" w:usb1="00000000" w:usb2="00000000" w:usb3="00000000" w:csb0="00000000" w:csb1="00000000"/>
  </w:font>
  <w:font w:name="Lucida Sans">
    <w:altName w:val="华文中宋"/>
    <w:panose1 w:val="00000000000000000000"/>
    <w:charset w:val="01"/>
    <w:family w:val="auto"/>
    <w:pitch w:val="default"/>
    <w:sig w:usb0="00000000" w:usb1="00000000" w:usb2="00000000" w:usb3="00000000" w:csb0="00000000" w:csb1="00000000"/>
  </w:font>
  <w:font w:name="Noto Sans CJK JP Bold">
    <w:panose1 w:val="020B0800000000000000"/>
    <w:charset w:val="86"/>
    <w:family w:val="auto"/>
    <w:pitch w:val="default"/>
    <w:sig w:usb0="30000003" w:usb1="2BDF3C10" w:usb2="00000016" w:usb3="00000000" w:csb0="602E0107"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6729958"/>
    </w:sdtPr>
    <w:sdtContent>
      <w:p>
        <w:pPr>
          <w:pStyle w:val="8"/>
          <w:jc w:val="center"/>
        </w:pPr>
        <w:r>
          <w:fldChar w:fldCharType="begin"/>
        </w:r>
        <w:r>
          <w:instrText xml:space="preserve">PAGE   \* MERGEFORMAT</w:instrText>
        </w:r>
        <w:r>
          <w:fldChar w:fldCharType="separate"/>
        </w:r>
        <w:r>
          <w:rPr>
            <w:lang w:val="zh-CN"/>
          </w:rPr>
          <w:t>25</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23EC50A2"/>
    <w:multiLevelType w:val="multilevel"/>
    <w:tmpl w:val="23EC50A2"/>
    <w:lvl w:ilvl="0" w:tentative="0">
      <w:start w:val="8"/>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34D801CE"/>
    <w:multiLevelType w:val="multilevel"/>
    <w:tmpl w:val="34D801CE"/>
    <w:lvl w:ilvl="0" w:tentative="0">
      <w:start w:val="5"/>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jQ4NjBiODNlODk1YmE0ZjdmMjEwYmNhZjg0NTBkMzAifQ=="/>
  </w:docVars>
  <w:rsids>
    <w:rsidRoot w:val="00000000"/>
    <w:rsid w:val="FDD946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6">
    <w:name w:val="Default Paragraph Fon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13">
    <w:name w:val="Normal (Web)"/>
    <w:basedOn w:val="1"/>
    <w:uiPriority w:val="0"/>
    <w:pPr>
      <w:spacing w:before="100" w:beforeAutospacing="1" w:after="100" w:afterAutospacing="1"/>
      <w:jc w:val="left"/>
    </w:pPr>
    <w:rPr>
      <w:kern w:val="0"/>
      <w:sz w:val="24"/>
    </w:rPr>
  </w:style>
  <w:style w:type="paragraph" w:styleId="14">
    <w:name w:val="Body Text First Indent 2"/>
    <w:basedOn w:val="1"/>
    <w:next w:val="1"/>
    <w:qFormat/>
    <w:uiPriority w:val="0"/>
    <w:pPr>
      <w:ind w:firstLine="420"/>
    </w:pPr>
  </w:style>
  <w:style w:type="character" w:styleId="17">
    <w:name w:val="Strong"/>
    <w:basedOn w:val="16"/>
    <w:qFormat/>
    <w:uiPriority w:val="0"/>
    <w:rPr>
      <w:b/>
    </w:rPr>
  </w:style>
  <w:style w:type="character" w:styleId="18">
    <w:name w:val="FollowedHyperlink"/>
    <w:basedOn w:val="16"/>
    <w:uiPriority w:val="0"/>
    <w:rPr>
      <w:color w:val="800080"/>
      <w:u w:val="single"/>
    </w:rPr>
  </w:style>
  <w:style w:type="character" w:styleId="19">
    <w:name w:val="Hyperlink"/>
    <w:basedOn w:val="16"/>
    <w:qFormat/>
    <w:uiPriority w:val="0"/>
    <w:rPr>
      <w:color w:val="0000FF"/>
      <w:u w:val="single"/>
    </w:rPr>
  </w:style>
  <w:style w:type="character" w:customStyle="1" w:styleId="20">
    <w:name w:val="heading 1 Char"/>
    <w:basedOn w:val="16"/>
    <w:link w:val="2"/>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3"/>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2"/>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2"/>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9">
    <w:name w:val="文档正文"/>
    <w:qFormat/>
    <w:uiPriority w:val="0"/>
    <w:pPr>
      <w:adjustRightInd w:val="0"/>
      <w:spacing w:line="480" w:lineRule="atLeast"/>
      <w:textAlignment w:val="baseline"/>
    </w:pPr>
    <w:rPr>
      <w:rFonts w:ascii="Arial" w:hAnsi="Arial" w:eastAsia="宋体" w:cs="Times New Roman"/>
      <w:sz w:val="20"/>
      <w:szCs w:val="20"/>
      <w:lang w:val="en-US" w:eastAsia="zh-CN" w:bidi="ar-SA"/>
    </w:rPr>
  </w:style>
  <w:style w:type="paragraph" w:customStyle="1" w:styleId="30">
    <w:name w:val="图表目录1"/>
    <w:basedOn w:val="1"/>
    <w:next w:val="1"/>
    <w:uiPriority w:val="0"/>
    <w:pPr>
      <w:spacing w:beforeAutospacing="1" w:afterAutospacing="1"/>
      <w:ind w:left="400" w:leftChars="200" w:hanging="200" w:hangingChars="200"/>
    </w:pPr>
  </w:style>
  <w:style w:type="paragraph" w:customStyle="1" w:styleId="31">
    <w:name w:val="图表目录2"/>
    <w:basedOn w:val="1"/>
    <w:next w:val="1"/>
    <w:uiPriority w:val="0"/>
    <w:pPr>
      <w:spacing w:beforeAutospacing="1" w:afterAutospacing="1"/>
      <w:ind w:left="400" w:leftChars="200" w:hanging="200" w:hangingChars="200"/>
    </w:pPr>
  </w:style>
  <w:style w:type="paragraph" w:customStyle="1" w:styleId="32">
    <w:name w:val="font5"/>
    <w:basedOn w:val="1"/>
    <w:uiPriority w:val="0"/>
    <w:pPr>
      <w:widowControl/>
      <w:spacing w:before="100" w:beforeAutospacing="1" w:after="100" w:afterAutospacing="1"/>
      <w:jc w:val="left"/>
    </w:pPr>
    <w:rPr>
      <w:rFonts w:ascii="宋体" w:cs="宋体"/>
      <w:kern w:val="0"/>
      <w:sz w:val="18"/>
      <w:szCs w:val="18"/>
    </w:rPr>
  </w:style>
  <w:style w:type="paragraph" w:customStyle="1" w:styleId="33">
    <w:name w:val="xl75"/>
    <w:basedOn w:val="1"/>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34">
    <w:name w:val="xl7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5">
    <w:name w:val="xl7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6">
    <w:name w:val="xl7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7">
    <w:name w:val="xl7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eastAsia="微软雅黑" w:cs="宋体"/>
      <w:i/>
      <w:iCs/>
      <w:color w:val="000000"/>
      <w:kern w:val="0"/>
      <w:sz w:val="16"/>
      <w:szCs w:val="16"/>
    </w:rPr>
  </w:style>
  <w:style w:type="paragraph" w:customStyle="1" w:styleId="38">
    <w:name w:val="xl80"/>
    <w:basedOn w:val="1"/>
    <w:qFormat/>
    <w:uiPriority w:val="0"/>
    <w:pPr>
      <w:widowControl/>
      <w:spacing w:before="100" w:beforeAutospacing="1" w:after="100" w:afterAutospacing="1"/>
      <w:jc w:val="left"/>
    </w:pPr>
    <w:rPr>
      <w:rFonts w:ascii="宋体" w:cs="宋体"/>
      <w:kern w:val="0"/>
      <w:sz w:val="18"/>
      <w:szCs w:val="18"/>
    </w:rPr>
  </w:style>
  <w:style w:type="paragraph" w:customStyle="1" w:styleId="39">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40">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41">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eastAsia="黑体" w:cs="宋体"/>
      <w:b/>
      <w:bCs/>
      <w:color w:val="000000"/>
      <w:kern w:val="0"/>
      <w:sz w:val="30"/>
      <w:szCs w:val="30"/>
    </w:rPr>
  </w:style>
  <w:style w:type="paragraph" w:customStyle="1" w:styleId="42">
    <w:name w:val="xl8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43">
    <w:name w:val="xl8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44">
    <w:name w:val="xl8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eastAsia="微软雅黑" w:cs="宋体"/>
      <w:i/>
      <w:iCs/>
      <w:color w:val="000000"/>
      <w:kern w:val="0"/>
      <w:sz w:val="16"/>
      <w:szCs w:val="16"/>
    </w:rPr>
  </w:style>
  <w:style w:type="paragraph" w:customStyle="1" w:styleId="45">
    <w:name w:val="xl8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46">
    <w:name w:val="xl8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47">
    <w:name w:val="xl89"/>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48">
    <w:name w:val="xl9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49">
    <w:name w:val="xl9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0">
    <w:name w:val="xl9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1">
    <w:name w:val="xl9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2">
    <w:name w:val="xl94"/>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53">
    <w:name w:val="xl95"/>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54">
    <w:name w:val="xl9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{"2023年","2024年"}</c:f>
              <c:strCache>
                <c:ptCount val="2"/>
                <c:pt idx="0">
                  <c:v>2023年</c:v>
                </c:pt>
                <c:pt idx="1">
                  <c:v>2024年</c:v>
                </c:pt>
              </c:strCache>
            </c:strRef>
          </c:cat>
          <c:val>
            <c:numRef>
              <c:f>{1339.67,1373.57}</c:f>
              <c:numCache>
                <c:formatCode>General</c:formatCode>
                <c:ptCount val="2"/>
                <c:pt idx="0">
                  <c:v>1339.67</c:v>
                </c:pt>
                <c:pt idx="1">
                  <c:v>1373.57</c:v>
                </c:pt>
              </c:numCache>
            </c:numRef>
          </c:val>
        </c:ser>
        <c:ser>
          <c:idx val="1"/>
          <c:order val="1"/>
          <c:tx>
            <c:strRef>
              <c:f>支出</c:f>
              <c:strCache>
                <c:ptCount val="1"/>
                <c:pt idx="0">
                  <c:v>支出</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{"2023年","2024年"}</c:f>
              <c:strCache>
                <c:ptCount val="2"/>
                <c:pt idx="0">
                  <c:v>2023年</c:v>
                </c:pt>
                <c:pt idx="1">
                  <c:v>2024年</c:v>
                </c:pt>
              </c:strCache>
            </c:strRef>
          </c:cat>
          <c:val>
            <c:numRef>
              <c:f>{1339.67,1373.57}</c:f>
              <c:numCache>
                <c:formatCode>General</c:formatCode>
                <c:ptCount val="2"/>
                <c:pt idx="0">
                  <c:v>1339.67</c:v>
                </c:pt>
                <c:pt idx="1">
                  <c:v>1373.57</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explosion val="0"/>
          <c:dPt>
            <c:idx val="0"/>
            <c:bubble3D val="0"/>
            <c:spPr>
              <a:solidFill>
                <a:srgbClr val="4F81BD"/>
              </a:solidFill>
            </c:spPr>
          </c:dPt>
          <c:dPt>
            <c:idx val="1"/>
            <c:bubble3D val="0"/>
            <c:spPr>
              <a:solidFill>
                <a:srgbClr val="C0504D"/>
              </a:solidFill>
            </c:spPr>
          </c:dPt>
          <c:dLbls>
            <c:dLbl>
              <c:idx val="0"/>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{"一般公共预算财政拨款收入","其他收入"}</c:f>
              <c:strCache>
                <c:ptCount val="2"/>
                <c:pt idx="0">
                  <c:v>一般公共预算财政拨款收入</c:v>
                </c:pt>
                <c:pt idx="1">
                  <c:v>其他收入</c:v>
                </c:pt>
              </c:strCache>
            </c:strRef>
          </c:cat>
          <c:val>
            <c:numRef>
              <c:f>{1,0}</c:f>
              <c:numCache>
                <c:formatCode>General</c:formatCode>
                <c:ptCount val="2"/>
                <c:pt idx="0">
                  <c:v>1</c:v>
                </c:pt>
                <c:pt idx="1">
                  <c:v>0</c:v>
                </c:pt>
              </c:numCache>
            </c:numRef>
          </c:val>
        </c:ser>
        <c:dLbls>
          <c:showLegendKey val="0"/>
          <c:showVal val="0"/>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4743655"/>
          <c:y val="0.074074075"/>
          <c:w val="0.5388889"/>
          <c:h val="0.8981481"/>
        </c:manualLayout>
      </c:layout>
      <c:pieChart>
        <c:varyColors val="1"/>
        <c:ser>
          <c:idx val="0"/>
          <c:order val="0"/>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{"基本支出","项目支出","经营支出","对附属单位补助支出","上缴上级支出"}</c:f>
              <c:strCache>
                <c:ptCount val="5"/>
                <c:pt idx="0">
                  <c:v>基本支出</c:v>
                </c:pt>
                <c:pt idx="1">
                  <c:v>项目支出</c:v>
                </c:pt>
                <c:pt idx="2">
                  <c:v>经营支出</c:v>
                </c:pt>
                <c:pt idx="3">
                  <c:v>对附属单位补助支出</c:v>
                </c:pt>
                <c:pt idx="4">
                  <c:v>上缴上级支出</c:v>
                </c:pt>
              </c:strCache>
            </c:strRef>
          </c:cat>
          <c:val>
            <c:numRef>
              <c:f>{0.9122,0.0878,0,0,0}</c:f>
              <c:numCache>
                <c:formatCode>General</c:formatCode>
                <c:ptCount val="5"/>
                <c:pt idx="0">
                  <c:v>0.9122</c:v>
                </c:pt>
                <c:pt idx="1">
                  <c:v>0.0878</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Pt>
            <c:idx val="5"/>
            <c:bubble3D val="0"/>
            <c:spPr>
              <a:solidFill>
                <a:srgbClr val="F79646"/>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{"一般公共服务支出","公共安全支出支出","教育支出","社会保障和就业支出","卫生健康支出","住房保障支出"}</c:f>
              <c:strCache>
                <c:ptCount val="6"/>
                <c:pt idx="0">
                  <c:v>一般公共服务支出</c:v>
                </c:pt>
                <c:pt idx="1">
                  <c:v>公共安全支出支出</c:v>
                </c:pt>
                <c:pt idx="2">
                  <c:v>教育支出</c:v>
                </c:pt>
                <c:pt idx="3">
                  <c:v>社会保障和就业支出</c:v>
                </c:pt>
                <c:pt idx="4">
                  <c:v>卫生健康支出</c:v>
                </c:pt>
                <c:pt idx="5">
                  <c:v>住房保障支出</c:v>
                </c:pt>
              </c:strCache>
            </c:strRef>
          </c:cat>
          <c:val>
            <c:numRef>
              <c:f>{0.7349,0,0.0013,0.1479,0.0486,0.0673}</c:f>
              <c:numCache>
                <c:formatCode>General</c:formatCode>
                <c:ptCount val="6"/>
                <c:pt idx="0">
                  <c:v>0.7349</c:v>
                </c:pt>
                <c:pt idx="1">
                  <c:v>0</c:v>
                </c:pt>
                <c:pt idx="2">
                  <c:v>0.0013</c:v>
                </c:pt>
                <c:pt idx="3">
                  <c:v>0.1479</c:v>
                </c:pt>
                <c:pt idx="4">
                  <c:v>0.0486</c:v>
                </c:pt>
                <c:pt idx="5">
                  <c:v>0.0673</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{"人员经费","公用经费","项目支出"}</c:f>
              <c:strCache>
                <c:ptCount val="3"/>
                <c:pt idx="0">
                  <c:v>人员经费</c:v>
                </c:pt>
                <c:pt idx="1">
                  <c:v>公用经费</c:v>
                </c:pt>
                <c:pt idx="2">
                  <c:v>项目支出</c:v>
                </c:pt>
              </c:strCache>
            </c:strRef>
          </c:cat>
          <c:val>
            <c:numRef>
              <c:f>{1145.12,107.77,120.67}</c:f>
              <c:numCache>
                <c:formatCode>General</c:formatCode>
                <c:ptCount val="3"/>
                <c:pt idx="0">
                  <c:v>1145.12</c:v>
                </c:pt>
                <c:pt idx="1">
                  <c:v>107.77</c:v>
                </c:pt>
                <c:pt idx="2">
                  <c:v>120.67</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explosion val="0"/>
          <c:dPt>
            <c:idx val="0"/>
            <c:bubble3D val="0"/>
            <c:spPr>
              <a:solidFill>
                <a:srgbClr val="4F81BD"/>
              </a:solidFill>
            </c:spPr>
          </c:dPt>
          <c:dPt>
            <c:idx val="1"/>
            <c:bubble3D val="0"/>
            <c:spPr>
              <a:solidFill>
                <a:srgbClr val="C0504D"/>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{"公务用车运行维护费支出","公务接待"}</c:f>
              <c:strCache>
                <c:ptCount val="2"/>
                <c:pt idx="0">
                  <c:v>公务用车运行维护费支出</c:v>
                </c:pt>
                <c:pt idx="1">
                  <c:v>公务接待</c:v>
                </c:pt>
              </c:strCache>
            </c:strRef>
          </c:cat>
          <c:val>
            <c:numRef>
              <c:f>{1,0}</c:f>
              <c:numCache>
                <c:formatCode>General</c:formatCode>
                <c:ptCount val="2"/>
                <c:pt idx="0">
                  <c:v>1</c:v>
                </c:pt>
                <c:pt idx="1">
                  <c:v>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7902</Words>
  <Characters>8834</Characters>
  <Lines>745</Lines>
  <Paragraphs>305</Paragraphs>
  <TotalTime>13</TotalTime>
  <ScaleCrop>false</ScaleCrop>
  <LinksUpToDate>false</LinksUpToDate>
  <CharactersWithSpaces>8979</CharactersWithSpaces>
  <Application>WPS Office_11.8.2.12019_F1E327BC-269C-435d-A152-05C5408002CA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2025-08-25T09:47:00Z</dcterms:created>
  <dc:creator>曹颖</dc:creator>
  <cp:lastModifiedBy>user</cp:lastModifiedBy>
  <cp:lastPrinted>2024-05-09T18:05:00Z</cp:lastPrinted>
  <dcterms:modified xsi:type="dcterms:W3CDTF">2025-08-26T16:48:05Z</dcterms:modified>
  <dc:title>四川省***</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C603660946424FB29AF3B555E6FBAEE2_13</vt:lpwstr>
  </property>
</Properties>
</file>