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96597"/>
      <w:bookmarkStart w:id="3" w:name="_Toc15396475"/>
      <w:bookmarkStart w:id="4" w:name="_Toc15377425"/>
      <w:bookmarkStart w:id="5" w:name="_Toc15378441"/>
      <w:r>
        <w:rPr>
          <w:rFonts w:ascii="黑体" w:eastAsia="黑体"/>
          <w:color w:val="000000"/>
          <w:sz w:val="72"/>
          <w:szCs w:val="72"/>
        </w:rPr>
        <w:t>20</w:t>
      </w:r>
      <w:r>
        <w:rPr>
          <w:rFonts w:ascii="黑体" w:eastAsia="黑体" w:hint="eastAsia"/>
          <w:color w:val="000000"/>
          <w:sz w:val="72"/>
          <w:szCs w:val="72"/>
        </w:rPr>
        <w:t>21</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7194"/>
      <w:bookmarkStart w:id="7" w:name="_Toc15378442"/>
      <w:bookmarkStart w:id="8" w:name="_Toc15396598"/>
      <w:bookmarkStart w:id="9" w:name="_Toc15377426"/>
      <w:bookmarkStart w:id="10" w:name="_Toc15396476"/>
      <w:r>
        <w:rPr>
          <w:rFonts w:ascii="方正小标宋简体" w:eastAsia="方正小标宋简体" w:hint="eastAsia"/>
          <w:color w:val="000000"/>
          <w:sz w:val="72"/>
          <w:szCs w:val="72"/>
        </w:rPr>
        <w:t>四川省</w:t>
      </w:r>
      <w:bookmarkStart w:id="11" w:name="_Toc15306268"/>
      <w:bookmarkEnd w:id="0"/>
      <w:r>
        <w:rPr>
          <w:rFonts w:ascii="方正小标宋简体" w:eastAsia="方正小标宋简体" w:hint="eastAsia"/>
          <w:color w:val="000000"/>
          <w:sz w:val="72"/>
          <w:szCs w:val="72"/>
        </w:rPr>
        <w:t>阿坝州</w:t>
      </w:r>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中共金川县纪律检查委员会部门决算</w:t>
      </w:r>
      <w:bookmarkEnd w:id="6"/>
      <w:bookmarkEnd w:id="7"/>
      <w:bookmarkEnd w:id="8"/>
      <w:bookmarkEnd w:id="9"/>
      <w:bookmarkEnd w:id="10"/>
      <w:bookmarkEnd w:id="11"/>
      <w:r>
        <w:rPr>
          <w:rFonts w:ascii="方正小标宋简体" w:eastAsia="方正小标宋简体" w:hint="eastAsia"/>
          <w:color w:val="000000"/>
          <w:sz w:val="72"/>
          <w:szCs w:val="72"/>
        </w:rPr>
        <w:t>公开分析报告</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bookmarkStart w:id="12" w:name="_Toc15377196"/>
      <w:bookmarkStart w:id="13" w:name="_Toc15396599"/>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
    <w:p/>
    <w:p>
      <w:pPr>
        <w:pStyle w:val="21"/>
        <w:tabs>
          <w:tab w:val="right" w:leader="dot" w:pos="8296"/>
        </w:tabs>
        <w:rPr>
          <w:rFonts w:cs="Arial"/>
        </w:rPr>
      </w:pPr>
      <w:r>
        <w:fldChar w:fldCharType="begin"/>
      </w:r>
      <w:r>
        <w:instrText>Hyperlink \l "_Toc15396599"</w:instrText>
      </w:r>
      <w:r>
        <w:fldChar w:fldCharType="separate"/>
      </w:r>
      <w:r>
        <w:rPr>
          <w:rFonts w:hint="eastAsia"/>
        </w:rPr>
        <w:t>第一部分</w:t>
      </w:r>
      <w:r>
        <w:t xml:space="preserve"> </w:t>
      </w:r>
      <w:r>
        <w:rPr>
          <w:rFonts w:hint="eastAsia"/>
        </w:rPr>
        <w:t>部门概况</w:t>
      </w:r>
      <w:r>
        <w:tab/>
      </w:r>
      <w:r>
        <w:rPr>
          <w:rFonts w:hint="eastAsia"/>
        </w:rPr>
        <w:t>4</w:t>
      </w:r>
      <w:r>
        <w:fldChar w:fldCharType="end"/>
      </w:r>
    </w:p>
    <w:p>
      <w:pPr>
        <w:pStyle w:val="22"/>
        <w:tabs>
          <w:tab w:val="right" w:leader="dot" w:pos="8296"/>
        </w:tabs>
        <w:rPr>
          <w:rFonts w:ascii="仿宋" w:eastAsia="仿宋"/>
          <w:sz w:val="28"/>
          <w:szCs w:val="28"/>
        </w:rPr>
      </w:pPr>
      <w:r>
        <w:rPr>
          <w:rFonts w:ascii="仿宋" w:eastAsia="仿宋" w:hint="eastAsia"/>
          <w:sz w:val="28"/>
          <w:szCs w:val="28"/>
        </w:rPr>
        <w:t>一、基本职能及主要工作</w:t>
      </w:r>
      <w:r>
        <w:rPr>
          <w:rFonts w:ascii="仿宋" w:eastAsia="仿宋"/>
          <w:sz w:val="28"/>
          <w:szCs w:val="28"/>
        </w:rPr>
        <w:t>…………………………………………</w:t>
      </w:r>
      <w:r>
        <w:rPr>
          <w:rFonts w:ascii="仿宋" w:eastAsia="仿宋" w:hint="eastAsia"/>
          <w:sz w:val="28"/>
          <w:szCs w:val="28"/>
        </w:rPr>
        <w:t>..4</w:t>
      </w:r>
    </w:p>
    <w:p>
      <w:pPr>
        <w:pStyle w:val="17"/>
        <w:tabs>
          <w:tab w:val="right" w:leader="dot" w:pos="8296"/>
        </w:tabs>
        <w:rPr>
          <w:rFonts w:ascii="仿宋" w:eastAsia="仿宋"/>
          <w:sz w:val="28"/>
          <w:szCs w:val="28"/>
        </w:rPr>
      </w:pPr>
      <w:r>
        <w:rPr>
          <w:rFonts w:ascii="仿宋" w:eastAsia="仿宋" w:hint="eastAsia"/>
          <w:sz w:val="28"/>
          <w:szCs w:val="28"/>
        </w:rPr>
        <w:t>（一）主要职能</w:t>
      </w:r>
      <w:r>
        <w:rPr>
          <w:rFonts w:ascii="仿宋" w:eastAsia="仿宋"/>
          <w:sz w:val="28"/>
          <w:szCs w:val="28"/>
        </w:rPr>
        <w:t>………………………………………………</w:t>
      </w:r>
      <w:r>
        <w:rPr>
          <w:rFonts w:ascii="仿宋" w:eastAsia="仿宋" w:hint="eastAsia"/>
          <w:sz w:val="28"/>
          <w:szCs w:val="28"/>
        </w:rPr>
        <w:t>.</w:t>
      </w:r>
      <w:r>
        <w:rPr>
          <w:rFonts w:ascii="仿宋" w:eastAsia="仿宋"/>
          <w:sz w:val="28"/>
          <w:szCs w:val="28"/>
        </w:rPr>
        <w:t>…</w:t>
      </w:r>
      <w:r>
        <w:rPr>
          <w:rFonts w:ascii="仿宋" w:eastAsia="仿宋" w:hint="eastAsia"/>
          <w:sz w:val="28"/>
          <w:szCs w:val="28"/>
        </w:rPr>
        <w:t>4</w:t>
      </w:r>
    </w:p>
    <w:p>
      <w:pPr>
        <w:pStyle w:val="17"/>
        <w:tabs>
          <w:tab w:val="right" w:leader="dot" w:pos="8296"/>
        </w:tabs>
        <w:rPr>
          <w:rFonts w:ascii="仿宋" w:eastAsia="仿宋"/>
          <w:sz w:val="28"/>
          <w:szCs w:val="28"/>
        </w:rPr>
      </w:pPr>
      <w:r>
        <w:rPr>
          <w:rFonts w:ascii="仿宋" w:eastAsia="仿宋" w:hint="eastAsia"/>
          <w:sz w:val="28"/>
          <w:szCs w:val="28"/>
        </w:rPr>
        <w:t>（二）2020年重点工作完成情况</w:t>
      </w:r>
      <w:r>
        <w:rPr>
          <w:rFonts w:ascii="仿宋" w:eastAsia="仿宋"/>
          <w:sz w:val="28"/>
          <w:szCs w:val="28"/>
        </w:rPr>
        <w:t>……………………………</w:t>
      </w:r>
      <w:r>
        <w:rPr>
          <w:rFonts w:ascii="仿宋" w:eastAsia="仿宋" w:hint="eastAsia"/>
          <w:sz w:val="28"/>
          <w:szCs w:val="28"/>
        </w:rPr>
        <w:t>..4</w:t>
      </w:r>
      <w:r>
        <w:rPr>
          <w:rFonts w:ascii="仿宋" w:eastAsia="仿宋"/>
          <w:sz w:val="28"/>
          <w:szCs w:val="28"/>
        </w:rPr>
        <w:t xml:space="preserve"> </w:t>
      </w:r>
    </w:p>
    <w:p>
      <w:pPr>
        <w:pStyle w:val="22"/>
        <w:tabs>
          <w:tab w:val="right" w:leader="dot" w:pos="8296"/>
        </w:tabs>
        <w:rPr>
          <w:rFonts w:ascii="仿宋" w:eastAsia="仿宋" w:cs="Arial"/>
          <w:sz w:val="28"/>
          <w:szCs w:val="28"/>
        </w:rPr>
      </w:pPr>
      <w:r>
        <w:fldChar w:fldCharType="begin"/>
      </w:r>
      <w:r>
        <w:instrText>Hyperlink \l "_Toc15396601"</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5</w:t>
      </w:r>
      <w:r>
        <w:fldChar w:fldCharType="end"/>
      </w:r>
    </w:p>
    <w:p>
      <w:pPr>
        <w:pStyle w:val="21"/>
        <w:tabs>
          <w:tab w:val="right" w:leader="dot" w:pos="8296"/>
        </w:tabs>
      </w:pPr>
      <w:r>
        <w:fldChar w:fldCharType="begin"/>
      </w:r>
      <w:r>
        <w:instrText>Hyperlink \l "_Toc15396602"</w:instrText>
      </w:r>
      <w:r>
        <w:fldChar w:fldCharType="separate"/>
      </w:r>
      <w:r>
        <w:rPr>
          <w:rFonts w:hint="eastAsia"/>
        </w:rPr>
        <w:t>第二部分</w:t>
      </w:r>
      <w:r>
        <w:t xml:space="preserve"> </w:t>
      </w:r>
      <w:r>
        <w:rPr>
          <w:rFonts w:hint="eastAsia"/>
        </w:rPr>
        <w:t>部门决算情况说明</w:t>
      </w:r>
      <w:r>
        <w:tab/>
      </w:r>
      <w:r>
        <w:rPr>
          <w:rFonts w:hint="eastAsia"/>
        </w:rPr>
        <w:t>5</w:t>
      </w:r>
      <w:r>
        <w:fldChar w:fldCharType="end"/>
      </w:r>
    </w:p>
    <w:p>
      <w:pPr>
        <w:pStyle w:val="22"/>
        <w:tabs>
          <w:tab w:val="right" w:leader="dot" w:pos="8296"/>
        </w:tabs>
        <w:rPr>
          <w:rFonts w:ascii="仿宋" w:eastAsia="仿宋" w:cs="Arial"/>
          <w:sz w:val="28"/>
          <w:szCs w:val="28"/>
        </w:rPr>
      </w:pPr>
      <w:r>
        <w:fldChar w:fldCharType="begin"/>
      </w:r>
      <w:r>
        <w:instrText>Hyperlink \l "_Toc15396603"</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rPr>
        <w:t>6</w:t>
      </w:r>
      <w:r>
        <w:fldChar w:fldCharType="end"/>
      </w:r>
    </w:p>
    <w:p>
      <w:pPr>
        <w:pStyle w:val="22"/>
        <w:tabs>
          <w:tab w:val="right" w:leader="dot" w:pos="8296"/>
        </w:tabs>
        <w:rPr>
          <w:rFonts w:ascii="仿宋" w:eastAsia="仿宋" w:cs="Arial"/>
          <w:sz w:val="28"/>
          <w:szCs w:val="28"/>
        </w:rPr>
      </w:pPr>
      <w:r>
        <w:fldChar w:fldCharType="begin"/>
      </w:r>
      <w:r>
        <w:instrText>Hyperlink \l "_Toc15396604"</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t>6</w:t>
      </w:r>
      <w:r>
        <w:fldChar w:fldCharType="end"/>
      </w:r>
    </w:p>
    <w:p>
      <w:pPr>
        <w:pStyle w:val="22"/>
        <w:tabs>
          <w:tab w:val="right" w:leader="dot" w:pos="8296"/>
        </w:tabs>
      </w:pPr>
      <w:r>
        <w:fldChar w:fldCharType="begin"/>
      </w:r>
      <w:r>
        <w:instrText>Hyperlink \l "_Toc15396605"</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t>7</w:t>
      </w:r>
      <w:r>
        <w:fldChar w:fldCharType="end"/>
      </w:r>
    </w:p>
    <w:p>
      <w:pPr>
        <w:pStyle w:val="22"/>
        <w:tabs>
          <w:tab w:val="right" w:leader="dot" w:pos="8296"/>
        </w:tabs>
        <w:rPr>
          <w:rFonts w:ascii="仿宋" w:eastAsia="仿宋" w:cs="Arial"/>
          <w:sz w:val="28"/>
          <w:szCs w:val="28"/>
        </w:rPr>
      </w:pPr>
      <w:r>
        <w:fldChar w:fldCharType="begin"/>
      </w:r>
      <w:r>
        <w:instrText>Hyperlink \l "_Toc15396606"</w:instrText>
      </w:r>
      <w:r>
        <w:fldChar w:fldCharType="separate"/>
      </w:r>
      <w:r>
        <w:rPr>
          <w:rFonts w:ascii="仿宋" w:eastAsia="仿宋" w:hint="eastAsia"/>
          <w:sz w:val="28"/>
          <w:szCs w:val="28"/>
        </w:rPr>
        <w:t>四、财政拨款收入支出决算总体情况说明</w:t>
      </w:r>
      <w:r>
        <w:rPr>
          <w:rFonts w:ascii="仿宋" w:eastAsia="仿宋"/>
          <w:sz w:val="28"/>
          <w:szCs w:val="28"/>
        </w:rPr>
        <w:tab/>
      </w:r>
      <w:r>
        <w:rPr>
          <w:rFonts w:ascii="仿宋" w:eastAsia="仿宋" w:hint="eastAsia"/>
          <w:sz w:val="28"/>
          <w:szCs w:val="28"/>
        </w:rPr>
        <w:t>7</w:t>
      </w:r>
      <w:r>
        <w:fldChar w:fldCharType="end"/>
      </w:r>
    </w:p>
    <w:p>
      <w:pPr>
        <w:pStyle w:val="22"/>
        <w:tabs>
          <w:tab w:val="right" w:leader="dot" w:pos="8296"/>
        </w:tabs>
        <w:rPr>
          <w:rFonts w:ascii="仿宋" w:eastAsia="仿宋" w:cs="Arial"/>
          <w:sz w:val="28"/>
          <w:szCs w:val="28"/>
        </w:rPr>
      </w:pPr>
      <w:r>
        <w:fldChar w:fldCharType="begin"/>
      </w:r>
      <w:r>
        <w:instrText>Hyperlink \l "_Toc15396606"</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7</w:t>
      </w:r>
      <w:r>
        <w:fldChar w:fldCharType="end"/>
      </w:r>
    </w:p>
    <w:p>
      <w:pPr>
        <w:pStyle w:val="22"/>
        <w:tabs>
          <w:tab w:val="right" w:leader="dot" w:pos="8296"/>
        </w:tabs>
        <w:rPr>
          <w:rFonts w:ascii="仿宋" w:eastAsia="仿宋" w:cs="Arial"/>
          <w:sz w:val="28"/>
          <w:szCs w:val="28"/>
        </w:rPr>
      </w:pPr>
      <w:r>
        <w:fldChar w:fldCharType="begin"/>
      </w:r>
      <w:r>
        <w:instrText>Hyperlink \l "_Toc15396607"</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fldChar w:fldCharType="end"/>
      </w:r>
      <w:r>
        <w:rPr>
          <w:rFonts w:ascii="仿宋" w:eastAsia="仿宋" w:hint="eastAsia"/>
          <w:sz w:val="28"/>
          <w:szCs w:val="28"/>
        </w:rPr>
        <w:t>8</w:t>
      </w:r>
    </w:p>
    <w:p>
      <w:pPr>
        <w:pStyle w:val="22"/>
        <w:tabs>
          <w:tab w:val="right" w:leader="dot" w:pos="8296"/>
        </w:tabs>
        <w:rPr>
          <w:rFonts w:ascii="仿宋" w:eastAsia="仿宋" w:cs="Arial"/>
          <w:sz w:val="28"/>
          <w:szCs w:val="28"/>
        </w:rPr>
      </w:pPr>
      <w:r>
        <w:fldChar w:fldCharType="begin"/>
      </w:r>
      <w:r>
        <w:instrText>Hyperlink \l "_Toc15396608"</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9</w:t>
      </w:r>
      <w:r>
        <w:fldChar w:fldCharType="end"/>
      </w:r>
    </w:p>
    <w:p>
      <w:pPr>
        <w:pStyle w:val="22"/>
        <w:tabs>
          <w:tab w:val="right" w:leader="dot" w:pos="8296"/>
        </w:tabs>
        <w:rPr>
          <w:rFonts w:ascii="仿宋" w:eastAsia="仿宋" w:cs="Arial"/>
          <w:sz w:val="28"/>
          <w:szCs w:val="28"/>
        </w:rPr>
      </w:pPr>
      <w:r>
        <w:fldChar w:fldCharType="begin"/>
      </w:r>
      <w:r>
        <w:instrText>Hyperlink \l "_Toc15396609"</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1</w:t>
      </w:r>
    </w:p>
    <w:p>
      <w:pPr>
        <w:pStyle w:val="22"/>
        <w:tabs>
          <w:tab w:val="right" w:leader="dot" w:pos="8296"/>
        </w:tabs>
        <w:rPr>
          <w:rFonts w:ascii="仿宋" w:eastAsia="仿宋" w:cs="Arial"/>
          <w:sz w:val="28"/>
          <w:szCs w:val="28"/>
        </w:rPr>
      </w:pPr>
      <w:r>
        <w:fldChar w:fldCharType="begin"/>
      </w:r>
      <w:r>
        <w:instrText>Hyperlink \l "_Toc15396610"</w:instrText>
      </w:r>
      <w:r>
        <w:fldChar w:fldCharType="separate"/>
      </w:r>
      <w:r>
        <w:rPr>
          <w:rFonts w:ascii="仿宋" w:eastAsia="仿宋" w:hint="eastAsia"/>
          <w:sz w:val="28"/>
          <w:szCs w:val="28"/>
        </w:rPr>
        <w:t>九、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1</w:t>
      </w:r>
    </w:p>
    <w:p>
      <w:pPr>
        <w:pStyle w:val="22"/>
        <w:tabs>
          <w:tab w:val="right" w:leader="dot" w:pos="8296"/>
        </w:tabs>
        <w:rPr>
          <w:rFonts w:ascii="仿宋" w:eastAsia="仿宋"/>
          <w:bCs/>
          <w:sz w:val="28"/>
          <w:szCs w:val="28"/>
        </w:rPr>
      </w:pPr>
      <w:r>
        <w:rPr>
          <w:rFonts w:ascii="仿宋" w:eastAsia="仿宋" w:hint="eastAsia"/>
          <w:bCs/>
          <w:sz w:val="28"/>
          <w:szCs w:val="28"/>
        </w:rPr>
        <w:t>十、其他重要事项的情况说明</w:t>
      </w:r>
      <w:r>
        <w:rPr>
          <w:rFonts w:ascii="仿宋" w:eastAsia="仿宋"/>
          <w:bCs/>
          <w:sz w:val="28"/>
          <w:szCs w:val="28"/>
        </w:rPr>
        <w:tab/>
      </w:r>
      <w:r>
        <w:rPr>
          <w:rFonts w:ascii="仿宋" w:eastAsia="仿宋" w:hint="eastAsia"/>
          <w:bCs/>
          <w:sz w:val="28"/>
          <w:szCs w:val="28"/>
        </w:rPr>
        <w:t>11</w:t>
      </w:r>
    </w:p>
    <w:p>
      <w:pPr>
        <w:pStyle w:val="17"/>
        <w:tabs>
          <w:tab w:val="right" w:leader="dot" w:pos="8296"/>
        </w:tabs>
        <w:ind w:leftChars="190" w:left="399"/>
        <w:rPr>
          <w:rFonts w:ascii="仿宋" w:eastAsia="仿宋"/>
          <w:bCs/>
          <w:sz w:val="28"/>
          <w:szCs w:val="28"/>
        </w:rPr>
      </w:pPr>
      <w:r>
        <w:rPr>
          <w:rFonts w:ascii="仿宋" w:eastAsia="仿宋" w:hint="eastAsia"/>
          <w:bCs/>
          <w:sz w:val="28"/>
          <w:szCs w:val="28"/>
        </w:rPr>
        <w:t>（一）机关运行经费支出情况</w:t>
        <w:tab/>
        <w:t>11</w:t>
      </w:r>
    </w:p>
    <w:p>
      <w:pPr>
        <w:pStyle w:val="17"/>
        <w:tabs>
          <w:tab w:val="right" w:leader="dot" w:pos="8296"/>
        </w:tabs>
        <w:ind w:leftChars="190" w:left="399"/>
        <w:rPr>
          <w:rFonts w:ascii="仿宋" w:eastAsia="仿宋"/>
          <w:bCs/>
          <w:sz w:val="28"/>
          <w:szCs w:val="28"/>
        </w:rPr>
      </w:pPr>
      <w:r>
        <w:rPr>
          <w:rFonts w:ascii="仿宋" w:eastAsia="仿宋" w:hint="eastAsia"/>
          <w:bCs/>
          <w:sz w:val="28"/>
          <w:szCs w:val="28"/>
        </w:rPr>
        <w:t>（二）政府采购支出情况</w:t>
        <w:tab/>
        <w:t>11</w:t>
      </w:r>
    </w:p>
    <w:p>
      <w:pPr>
        <w:pStyle w:val="17"/>
        <w:tabs>
          <w:tab w:val="right" w:leader="dot" w:pos="8296"/>
        </w:tabs>
        <w:ind w:leftChars="190" w:left="399"/>
        <w:rPr>
          <w:rFonts w:ascii="仿宋" w:eastAsia="仿宋"/>
          <w:bCs/>
          <w:sz w:val="28"/>
          <w:szCs w:val="28"/>
        </w:rPr>
      </w:pPr>
    </w:p>
    <w:p>
      <w:pPr>
        <w:pStyle w:val="17"/>
        <w:tabs>
          <w:tab w:val="right" w:leader="dot" w:pos="8296"/>
        </w:tabs>
        <w:ind w:leftChars="190" w:left="399"/>
        <w:rPr>
          <w:rFonts w:ascii="仿宋" w:eastAsia="仿宋"/>
          <w:bCs/>
          <w:sz w:val="28"/>
          <w:szCs w:val="28"/>
        </w:rPr>
      </w:pPr>
      <w:r>
        <w:rPr>
          <w:rFonts w:ascii="仿宋" w:eastAsia="仿宋" w:hint="eastAsia"/>
          <w:bCs/>
          <w:sz w:val="28"/>
          <w:szCs w:val="28"/>
        </w:rPr>
        <w:t>（三）国有资产占有使用情况</w:t>
        <w:tab/>
        <w:t>11</w:t>
      </w:r>
    </w:p>
    <w:p>
      <w:pPr>
        <w:pStyle w:val="17"/>
        <w:tabs>
          <w:tab w:val="right" w:leader="dot" w:pos="8296"/>
        </w:tabs>
        <w:ind w:leftChars="190" w:left="399"/>
        <w:rPr>
          <w:rFonts w:ascii="仿宋" w:eastAsia="仿宋"/>
          <w:bCs/>
          <w:sz w:val="28"/>
          <w:szCs w:val="28"/>
        </w:rPr>
      </w:pPr>
      <w:r>
        <w:rPr>
          <w:rFonts w:ascii="仿宋" w:eastAsia="仿宋" w:hint="eastAsia"/>
          <w:bCs/>
          <w:sz w:val="28"/>
          <w:szCs w:val="28"/>
        </w:rPr>
        <w:t>（四）预算绩效管理情况。</w:t>
      </w:r>
      <w:r>
        <w:rPr>
          <w:rFonts w:ascii="仿宋" w:eastAsia="仿宋"/>
          <w:bCs/>
          <w:sz w:val="28"/>
          <w:szCs w:val="28"/>
        </w:rPr>
        <w:tab/>
      </w:r>
      <w:r>
        <w:rPr>
          <w:rFonts w:ascii="仿宋" w:eastAsia="仿宋" w:hint="eastAsia"/>
          <w:bCs/>
          <w:sz w:val="28"/>
          <w:szCs w:val="28"/>
        </w:rPr>
        <w:t>11</w:t>
      </w:r>
    </w:p>
    <w:p>
      <w:pPr>
        <w:pStyle w:val="22"/>
        <w:tabs>
          <w:tab w:val="right" w:leader="dot" w:pos="8296"/>
        </w:tabs>
        <w:rPr>
          <w:rFonts w:ascii="仿宋" w:eastAsia="仿宋"/>
          <w:bCs/>
          <w:sz w:val="28"/>
          <w:szCs w:val="28"/>
        </w:rPr>
      </w:pPr>
      <w:r>
        <w:fldChar w:fldCharType="begin"/>
      </w:r>
      <w:r>
        <w:instrText>Hyperlink \l "_Toc15396613"</w:instrText>
      </w:r>
      <w:r>
        <w:fldChar w:fldCharType="separate"/>
      </w:r>
      <w:r>
        <w:rPr>
          <w:rFonts w:ascii="仿宋" w:eastAsia="仿宋" w:hint="eastAsia"/>
          <w:bCs/>
          <w:sz w:val="28"/>
          <w:szCs w:val="28"/>
        </w:rPr>
        <w:t>第三部分 名词解释</w:t>
        <w:tab/>
      </w:r>
      <w:r>
        <w:fldChar w:fldCharType="end"/>
      </w:r>
      <w:r>
        <w:rPr>
          <w:rFonts w:ascii="仿宋" w:eastAsia="仿宋" w:hint="eastAsia"/>
          <w:bCs/>
          <w:sz w:val="28"/>
          <w:szCs w:val="28"/>
        </w:rPr>
        <w:t>13</w:t>
      </w:r>
    </w:p>
    <w:p>
      <w:pPr>
        <w:pStyle w:val="22"/>
        <w:tabs>
          <w:tab w:val="right" w:leader="dot" w:pos="8296"/>
        </w:tabs>
        <w:rPr>
          <w:rFonts w:eastAsia="仿宋" w:cs="Arial"/>
        </w:rPr>
      </w:pPr>
      <w:r>
        <w:fldChar w:fldCharType="begin"/>
      </w:r>
      <w:r>
        <w:instrText>Hyperlink \l "_Toc15396614"</w:instrText>
      </w:r>
      <w:r>
        <w:fldChar w:fldCharType="separate"/>
      </w:r>
      <w:r>
        <w:rPr>
          <w:rFonts w:ascii="仿宋" w:eastAsia="仿宋" w:hint="eastAsia"/>
          <w:bCs/>
          <w:sz w:val="28"/>
          <w:szCs w:val="28"/>
        </w:rPr>
        <w:t>第四部分 附件</w:t>
        <w:tab/>
      </w:r>
      <w:r>
        <w:fldChar w:fldCharType="end"/>
      </w:r>
      <w:r>
        <w:rPr>
          <w:rFonts w:hint="eastAsia"/>
        </w:rPr>
        <w:t>16</w:t>
      </w:r>
    </w:p>
    <w:p>
      <w:pPr>
        <w:pStyle w:val="22"/>
        <w:tabs>
          <w:tab w:val="right" w:leader="dot" w:pos="8296"/>
        </w:tabs>
        <w:rPr>
          <w:rFonts w:ascii="仿宋" w:eastAsia="仿宋"/>
          <w:sz w:val="28"/>
          <w:szCs w:val="28"/>
        </w:rPr>
      </w:pPr>
      <w:r>
        <w:fldChar w:fldCharType="begin"/>
      </w:r>
      <w:r>
        <w:instrText>Hyperlink \l "_Toc15396615"</w:instrText>
      </w:r>
      <w:r>
        <w:fldChar w:fldCharType="separate"/>
      </w:r>
      <w:r>
        <w:rPr>
          <w:rFonts w:ascii="仿宋" w:eastAsia="仿宋" w:hint="eastAsia"/>
          <w:kern w:val="44"/>
          <w:sz w:val="28"/>
          <w:szCs w:val="28"/>
        </w:rPr>
        <w:t>附件</w:t>
      </w:r>
      <w:r>
        <w:rPr>
          <w:rFonts w:ascii="仿宋" w:eastAsia="仿宋"/>
          <w:kern w:val="44"/>
          <w:sz w:val="28"/>
          <w:szCs w:val="28"/>
        </w:rPr>
        <w:t>1</w:t>
      </w:r>
      <w:r>
        <w:rPr>
          <w:rFonts w:ascii="仿宋" w:eastAsia="仿宋"/>
          <w:sz w:val="28"/>
          <w:szCs w:val="28"/>
        </w:rPr>
        <w:tab/>
      </w:r>
      <w:r>
        <w:fldChar w:fldCharType="end"/>
      </w:r>
      <w:r>
        <w:rPr>
          <w:rFonts w:ascii="仿宋" w:eastAsia="仿宋" w:hint="eastAsia"/>
          <w:sz w:val="28"/>
          <w:szCs w:val="28"/>
        </w:rPr>
        <w:t>16</w:t>
      </w:r>
    </w:p>
    <w:p>
      <w:pPr>
        <w:widowControl/>
        <w:spacing w:line="580" w:lineRule="exact"/>
        <w:ind w:firstLineChars="150" w:firstLine="420"/>
        <w:contextualSpacing/>
        <w:rPr>
          <w:rFonts w:ascii="仿宋" w:eastAsia="仿宋"/>
          <w:bCs/>
          <w:sz w:val="28"/>
          <w:szCs w:val="28"/>
        </w:rPr>
      </w:pPr>
      <w:r>
        <w:rPr>
          <w:rFonts w:ascii="仿宋" w:eastAsia="仿宋" w:hint="eastAsia"/>
          <w:bCs/>
          <w:sz w:val="28"/>
          <w:szCs w:val="28"/>
        </w:rPr>
        <w:t>2021年中共金川县委宣传部整体支出绩效评价报告</w:t>
      </w:r>
      <w:r>
        <w:rPr>
          <w:rFonts w:ascii="仿宋" w:eastAsia="仿宋"/>
          <w:bCs/>
          <w:sz w:val="28"/>
          <w:szCs w:val="28"/>
        </w:rPr>
        <w:t>……………</w:t>
      </w:r>
      <w:r>
        <w:rPr>
          <w:rFonts w:ascii="仿宋" w:eastAsia="仿宋" w:hint="eastAsia"/>
          <w:bCs/>
          <w:sz w:val="28"/>
          <w:szCs w:val="28"/>
        </w:rPr>
        <w:t>16</w:t>
      </w:r>
    </w:p>
    <w:p>
      <w:pPr>
        <w:pStyle w:val="21"/>
        <w:tabs>
          <w:tab w:val="right" w:leader="dot" w:pos="8296"/>
        </w:tabs>
        <w:rPr>
          <w:rFonts w:cs="Arial"/>
        </w:rPr>
      </w:pPr>
      <w:r>
        <w:rPr>
          <w:rFonts w:hint="eastAsia"/>
        </w:rPr>
        <w:t xml:space="preserve">   </w:t>
      </w:r>
      <w:r>
        <w:fldChar w:fldCharType="begin"/>
      </w:r>
      <w:r>
        <w:instrText>Hyperlink \l "_Toc15396618"</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fldChar w:fldCharType="end"/>
      </w:r>
      <w:r>
        <w:rPr>
          <w:rFonts w:hint="eastAsia"/>
        </w:rPr>
        <w:t>0</w:t>
      </w:r>
    </w:p>
    <w:p>
      <w:pPr>
        <w:pStyle w:val="22"/>
        <w:tabs>
          <w:tab w:val="right" w:leader="dot" w:pos="8296"/>
        </w:tabs>
        <w:rPr>
          <w:rFonts w:ascii="仿宋" w:eastAsia="仿宋" w:cs="Arial"/>
          <w:sz w:val="28"/>
          <w:szCs w:val="28"/>
        </w:rPr>
      </w:pPr>
      <w:r>
        <w:rPr>
          <w:rFonts w:ascii="仿宋" w:eastAsia="仿宋" w:hint="eastAsia"/>
          <w:sz w:val="28"/>
          <w:szCs w:val="28"/>
        </w:rPr>
        <w:t>一、</w:t>
      </w:r>
      <w:r>
        <w:fldChar w:fldCharType="begin"/>
      </w:r>
      <w:r>
        <w:instrText>Hyperlink \l "_Toc15396619"</w:instrText>
      </w:r>
      <w:r>
        <w:fldChar w:fldCharType="separate"/>
      </w:r>
      <w:r>
        <w:rPr>
          <w:rFonts w:ascii="仿宋" w:eastAsia="仿宋" w:hint="eastAsia"/>
          <w:sz w:val="28"/>
          <w:szCs w:val="28"/>
        </w:rPr>
        <w:t>收入支出决算总表</w:t>
      </w:r>
      <w:r>
        <w:rPr>
          <w:rFonts w:ascii="仿宋" w:eastAsia="仿宋"/>
          <w:sz w:val="28"/>
          <w:szCs w:val="28"/>
        </w:rPr>
        <w:tab/>
      </w:r>
      <w:r>
        <w:rPr>
          <w:rFonts w:ascii="仿宋" w:eastAsia="仿宋" w:hint="eastAsia"/>
          <w:sz w:val="28"/>
          <w:szCs w:val="28"/>
        </w:rPr>
        <w:t>2</w:t>
      </w:r>
      <w:r>
        <w:fldChar w:fldCharType="end"/>
      </w:r>
      <w:r>
        <w:rPr>
          <w:rFonts w:ascii="仿宋" w:eastAsia="仿宋" w:hint="eastAsia"/>
          <w:sz w:val="28"/>
          <w:szCs w:val="28"/>
        </w:rPr>
        <w:t>0</w:t>
      </w:r>
    </w:p>
    <w:p>
      <w:pPr>
        <w:pStyle w:val="22"/>
        <w:tabs>
          <w:tab w:val="right" w:leader="dot" w:pos="8296"/>
        </w:tabs>
        <w:rPr>
          <w:rFonts w:ascii="仿宋" w:eastAsia="仿宋" w:cs="Arial"/>
          <w:sz w:val="28"/>
          <w:szCs w:val="28"/>
        </w:rPr>
      </w:pPr>
      <w:r>
        <w:rPr>
          <w:rFonts w:ascii="仿宋" w:eastAsia="仿宋" w:hint="eastAsia"/>
          <w:sz w:val="28"/>
          <w:szCs w:val="28"/>
        </w:rPr>
        <w:t>二、</w:t>
      </w:r>
      <w:r>
        <w:fldChar w:fldCharType="begin"/>
      </w:r>
      <w:r>
        <w:instrText>Hyperlink \l "_Toc15396620"</w:instrText>
      </w:r>
      <w:r>
        <w:fldChar w:fldCharType="separate"/>
      </w:r>
      <w:r>
        <w:rPr>
          <w:rFonts w:ascii="仿宋" w:eastAsia="仿宋" w:hint="eastAsia"/>
          <w:sz w:val="28"/>
          <w:szCs w:val="28"/>
        </w:rPr>
        <w:t>收入总表</w:t>
      </w:r>
      <w:r>
        <w:rPr>
          <w:rFonts w:ascii="仿宋" w:eastAsia="仿宋"/>
          <w:sz w:val="28"/>
          <w:szCs w:val="28"/>
        </w:rPr>
        <w:tab/>
      </w:r>
      <w:r>
        <w:fldChar w:fldCharType="end"/>
      </w:r>
      <w:r>
        <w:rPr>
          <w:rFonts w:ascii="仿宋" w:eastAsia="仿宋" w:hint="eastAsia"/>
          <w:sz w:val="28"/>
          <w:szCs w:val="28"/>
        </w:rPr>
        <w:t>20</w:t>
      </w:r>
    </w:p>
    <w:p>
      <w:pPr>
        <w:pStyle w:val="22"/>
        <w:tabs>
          <w:tab w:val="right" w:leader="dot" w:pos="8296"/>
        </w:tabs>
        <w:rPr>
          <w:rFonts w:ascii="仿宋" w:eastAsia="仿宋" w:cs="Arial"/>
          <w:sz w:val="28"/>
          <w:szCs w:val="28"/>
        </w:rPr>
      </w:pPr>
      <w:r>
        <w:rPr>
          <w:rFonts w:ascii="仿宋" w:eastAsia="仿宋" w:hint="eastAsia"/>
          <w:sz w:val="28"/>
          <w:szCs w:val="28"/>
        </w:rPr>
        <w:t>三、</w:t>
      </w:r>
      <w:r>
        <w:fldChar w:fldCharType="begin"/>
      </w:r>
      <w:r>
        <w:instrText>Hyperlink \l "_Toc15396621"</w:instrText>
      </w:r>
      <w:r>
        <w:fldChar w:fldCharType="separate"/>
      </w:r>
      <w:r>
        <w:rPr>
          <w:rFonts w:ascii="仿宋" w:eastAsia="仿宋" w:hint="eastAsia"/>
          <w:sz w:val="28"/>
          <w:szCs w:val="28"/>
        </w:rPr>
        <w:t>支出总表</w:t>
      </w:r>
      <w:r>
        <w:rPr>
          <w:rFonts w:ascii="仿宋" w:eastAsia="仿宋"/>
          <w:sz w:val="28"/>
          <w:szCs w:val="28"/>
        </w:rPr>
        <w:tab/>
      </w:r>
      <w:r>
        <w:fldChar w:fldCharType="end"/>
      </w:r>
      <w:r>
        <w:rPr>
          <w:rFonts w:ascii="仿宋" w:eastAsia="仿宋" w:hint="eastAsia"/>
          <w:sz w:val="28"/>
          <w:szCs w:val="28"/>
        </w:rPr>
        <w:t>20</w:t>
      </w:r>
    </w:p>
    <w:p>
      <w:pPr>
        <w:pStyle w:val="22"/>
        <w:tabs>
          <w:tab w:val="right" w:leader="dot" w:pos="8296"/>
        </w:tabs>
        <w:rPr>
          <w:rFonts w:ascii="仿宋" w:eastAsia="仿宋" w:cs="Arial"/>
          <w:sz w:val="28"/>
          <w:szCs w:val="28"/>
        </w:rPr>
      </w:pPr>
      <w:r>
        <w:rPr>
          <w:rFonts w:ascii="仿宋" w:eastAsia="仿宋" w:hint="eastAsia"/>
          <w:sz w:val="28"/>
          <w:szCs w:val="28"/>
        </w:rPr>
        <w:t>四、</w:t>
      </w:r>
      <w:r>
        <w:fldChar w:fldCharType="begin"/>
      </w:r>
      <w:r>
        <w:instrText>Hyperlink \l "_Toc15396622"</w:instrText>
      </w:r>
      <w:r>
        <w:fldChar w:fldCharType="separate"/>
      </w:r>
      <w:r>
        <w:rPr>
          <w:rFonts w:ascii="仿宋" w:eastAsia="仿宋" w:hint="eastAsia"/>
          <w:sz w:val="28"/>
          <w:szCs w:val="28"/>
        </w:rPr>
        <w:t>财政拨款收入支出决算总表</w:t>
      </w:r>
      <w:r>
        <w:rPr>
          <w:rFonts w:ascii="仿宋" w:eastAsia="仿宋"/>
          <w:sz w:val="28"/>
          <w:szCs w:val="28"/>
        </w:rPr>
        <w:tab/>
      </w:r>
      <w:r>
        <w:fldChar w:fldCharType="end"/>
      </w:r>
      <w:r>
        <w:rPr>
          <w:rFonts w:ascii="仿宋" w:eastAsia="仿宋" w:hint="eastAsia"/>
          <w:sz w:val="28"/>
          <w:szCs w:val="28"/>
        </w:rPr>
        <w:t>20</w:t>
      </w:r>
    </w:p>
    <w:p>
      <w:pPr>
        <w:pStyle w:val="22"/>
        <w:tabs>
          <w:tab w:val="right" w:leader="dot" w:pos="8296"/>
        </w:tabs>
        <w:rPr>
          <w:rFonts w:ascii="仿宋" w:eastAsia="仿宋"/>
          <w:sz w:val="28"/>
          <w:szCs w:val="28"/>
        </w:rPr>
      </w:pPr>
      <w:r>
        <w:rPr>
          <w:rFonts w:ascii="仿宋" w:eastAsia="仿宋" w:hint="eastAsia"/>
          <w:sz w:val="28"/>
          <w:szCs w:val="28"/>
        </w:rPr>
        <w:t>五、</w:t>
      </w:r>
      <w:r>
        <w:fldChar w:fldCharType="begin"/>
      </w:r>
      <w:r>
        <w:instrText>Hyperlink \l "_Toc15396623"</w:instrText>
      </w:r>
      <w:r>
        <w:fldChar w:fldCharType="separate"/>
      </w:r>
      <w:r>
        <w:rPr>
          <w:rFonts w:ascii="仿宋" w:eastAsia="仿宋" w:hint="eastAsia"/>
          <w:sz w:val="28"/>
          <w:szCs w:val="28"/>
        </w:rPr>
        <w:t>财政拨款支出决算明细表（政府经济分类科目）</w:t>
      </w:r>
      <w:r>
        <w:rPr>
          <w:rFonts w:ascii="仿宋" w:eastAsia="仿宋"/>
          <w:sz w:val="28"/>
          <w:szCs w:val="28"/>
        </w:rPr>
        <w:tab/>
      </w:r>
      <w:r>
        <w:fldChar w:fldCharType="end"/>
      </w:r>
      <w:r>
        <w:rPr>
          <w:rFonts w:ascii="仿宋" w:eastAsia="仿宋" w:hint="eastAsia"/>
          <w:sz w:val="28"/>
          <w:szCs w:val="28"/>
        </w:rPr>
        <w:t>20</w:t>
      </w:r>
    </w:p>
    <w:p>
      <w:pPr>
        <w:pStyle w:val="22"/>
        <w:tabs>
          <w:tab w:val="right" w:leader="dot" w:pos="8296"/>
        </w:tabs>
        <w:rPr>
          <w:rFonts w:ascii="仿宋" w:eastAsia="仿宋" w:cs="Arial"/>
          <w:sz w:val="28"/>
          <w:szCs w:val="28"/>
        </w:rPr>
      </w:pPr>
      <w:r>
        <w:rPr>
          <w:rFonts w:ascii="仿宋" w:eastAsia="仿宋" w:hint="eastAsia"/>
          <w:sz w:val="28"/>
          <w:szCs w:val="28"/>
        </w:rPr>
        <w:t>六、</w:t>
      </w:r>
      <w:r>
        <w:fldChar w:fldCharType="begin"/>
      </w:r>
      <w:r>
        <w:instrText>Hyperlink \l "_Toc15396624"</w:instrText>
      </w:r>
      <w:r>
        <w:fldChar w:fldCharType="separate"/>
      </w:r>
      <w:r>
        <w:rPr>
          <w:rFonts w:ascii="仿宋" w:eastAsia="仿宋" w:hint="eastAsia"/>
          <w:sz w:val="28"/>
          <w:szCs w:val="28"/>
        </w:rPr>
        <w:t>一般公共预算财政拨款支出决算表</w:t>
      </w:r>
      <w:r>
        <w:rPr>
          <w:rFonts w:ascii="仿宋" w:eastAsia="仿宋"/>
          <w:sz w:val="28"/>
          <w:szCs w:val="28"/>
        </w:rPr>
        <w:tab/>
      </w:r>
      <w:r>
        <w:fldChar w:fldCharType="end"/>
      </w:r>
      <w:r>
        <w:rPr>
          <w:rFonts w:ascii="仿宋" w:eastAsia="仿宋" w:hint="eastAsia"/>
          <w:sz w:val="28"/>
          <w:szCs w:val="28"/>
        </w:rPr>
        <w:t>20</w:t>
      </w:r>
    </w:p>
    <w:p>
      <w:pPr>
        <w:pStyle w:val="22"/>
        <w:tabs>
          <w:tab w:val="right" w:leader="dot" w:pos="8296"/>
        </w:tabs>
        <w:rPr>
          <w:rFonts w:ascii="仿宋" w:eastAsia="仿宋" w:cs="Arial"/>
          <w:sz w:val="28"/>
          <w:szCs w:val="28"/>
        </w:rPr>
      </w:pPr>
      <w:r>
        <w:rPr>
          <w:rFonts w:ascii="仿宋" w:eastAsia="仿宋" w:hint="eastAsia"/>
          <w:sz w:val="28"/>
          <w:szCs w:val="28"/>
        </w:rPr>
        <w:t>七、</w:t>
      </w:r>
      <w:r>
        <w:fldChar w:fldCharType="begin"/>
      </w:r>
      <w:r>
        <w:instrText>Hyperlink \l "_Toc15396625"</w:instrText>
      </w:r>
      <w:r>
        <w:fldChar w:fldCharType="separate"/>
      </w:r>
      <w:r>
        <w:rPr>
          <w:rFonts w:ascii="仿宋" w:eastAsia="仿宋" w:hint="eastAsia"/>
          <w:sz w:val="28"/>
          <w:szCs w:val="28"/>
        </w:rPr>
        <w:t>一般公共预算财政拨款支出决算明细表</w:t>
      </w:r>
      <w:r>
        <w:rPr>
          <w:rFonts w:ascii="仿宋" w:eastAsia="仿宋"/>
          <w:sz w:val="28"/>
          <w:szCs w:val="28"/>
        </w:rPr>
        <w:tab/>
      </w:r>
      <w:r>
        <w:fldChar w:fldCharType="end"/>
      </w:r>
      <w:r>
        <w:rPr>
          <w:rFonts w:ascii="仿宋" w:eastAsia="仿宋" w:hint="eastAsia"/>
          <w:sz w:val="28"/>
          <w:szCs w:val="28"/>
        </w:rPr>
        <w:t>20</w:t>
      </w:r>
    </w:p>
    <w:p>
      <w:pPr>
        <w:pStyle w:val="22"/>
        <w:tabs>
          <w:tab w:val="right" w:leader="dot" w:pos="8296"/>
        </w:tabs>
        <w:rPr>
          <w:rFonts w:ascii="仿宋" w:eastAsia="仿宋" w:cs="Arial"/>
          <w:sz w:val="28"/>
          <w:szCs w:val="28"/>
        </w:rPr>
      </w:pPr>
      <w:r>
        <w:rPr>
          <w:rFonts w:ascii="仿宋" w:eastAsia="仿宋" w:hint="eastAsia"/>
          <w:sz w:val="28"/>
          <w:szCs w:val="28"/>
        </w:rPr>
        <w:t>八、</w:t>
      </w:r>
      <w:r>
        <w:fldChar w:fldCharType="begin"/>
      </w:r>
      <w:r>
        <w:instrText>Hyperlink \l "_Toc15396626"</w:instrText>
      </w:r>
      <w:r>
        <w:fldChar w:fldCharType="separate"/>
      </w:r>
      <w:r>
        <w:rPr>
          <w:rFonts w:ascii="仿宋" w:eastAsia="仿宋" w:hint="eastAsia"/>
          <w:sz w:val="28"/>
          <w:szCs w:val="28"/>
        </w:rPr>
        <w:t>一般公共预算财政拨款基本支出决算表</w:t>
      </w:r>
      <w:r>
        <w:rPr>
          <w:rFonts w:ascii="仿宋" w:eastAsia="仿宋"/>
          <w:sz w:val="28"/>
          <w:szCs w:val="28"/>
        </w:rPr>
        <w:tab/>
      </w:r>
      <w:r>
        <w:fldChar w:fldCharType="end"/>
      </w:r>
      <w:r>
        <w:rPr>
          <w:rFonts w:ascii="仿宋" w:eastAsia="仿宋" w:hint="eastAsia"/>
          <w:sz w:val="28"/>
          <w:szCs w:val="28"/>
        </w:rPr>
        <w:t>20</w:t>
      </w:r>
    </w:p>
    <w:p>
      <w:pPr>
        <w:pStyle w:val="22"/>
        <w:tabs>
          <w:tab w:val="right" w:leader="dot" w:pos="8296"/>
        </w:tabs>
        <w:rPr>
          <w:rFonts w:ascii="仿宋" w:eastAsia="仿宋"/>
          <w:sz w:val="28"/>
          <w:szCs w:val="28"/>
        </w:rPr>
      </w:pPr>
      <w:r>
        <w:rPr>
          <w:rFonts w:ascii="仿宋" w:eastAsia="仿宋" w:hint="eastAsia"/>
          <w:sz w:val="28"/>
          <w:szCs w:val="28"/>
        </w:rPr>
        <w:t>九、</w:t>
      </w:r>
      <w:r>
        <w:fldChar w:fldCharType="begin"/>
      </w:r>
      <w:r>
        <w:instrText>Hyperlink \l "_Toc15396627"</w:instrText>
      </w:r>
      <w:r>
        <w:fldChar w:fldCharType="separate"/>
      </w:r>
      <w:r>
        <w:rPr>
          <w:rFonts w:ascii="仿宋" w:eastAsia="仿宋" w:hint="eastAsia"/>
          <w:sz w:val="28"/>
          <w:szCs w:val="28"/>
        </w:rPr>
        <w:t>一般公共预算财政拨款项目支出决算表</w:t>
      </w:r>
      <w:r>
        <w:rPr>
          <w:rFonts w:ascii="仿宋" w:eastAsia="仿宋"/>
          <w:sz w:val="28"/>
          <w:szCs w:val="28"/>
        </w:rPr>
        <w:tab/>
      </w:r>
      <w:r>
        <w:fldChar w:fldCharType="end"/>
      </w:r>
      <w:r>
        <w:rPr>
          <w:rFonts w:ascii="仿宋" w:eastAsia="仿宋" w:hint="eastAsia"/>
          <w:sz w:val="28"/>
          <w:szCs w:val="28"/>
        </w:rPr>
        <w:t>20</w:t>
      </w:r>
    </w:p>
    <w:p>
      <w:pPr>
        <w:pStyle w:val="22"/>
        <w:tabs>
          <w:tab w:val="right" w:leader="dot" w:pos="8296"/>
        </w:tabs>
        <w:spacing w:line="500" w:lineRule="exact"/>
        <w:rPr>
          <w:sz w:val="28"/>
          <w:szCs w:val="28"/>
        </w:rPr>
      </w:pPr>
      <w:r>
        <w:rPr>
          <w:rFonts w:ascii="仿宋" w:eastAsia="仿宋" w:hint="eastAsia"/>
          <w:bCs/>
          <w:sz w:val="28"/>
          <w:szCs w:val="28"/>
        </w:rPr>
        <w:t>十、一</w:t>
      </w:r>
      <w:r>
        <w:rPr>
          <w:rFonts w:hint="eastAsia"/>
          <w:sz w:val="28"/>
          <w:szCs w:val="28"/>
        </w:rPr>
        <w:t>般公共预算财政拨款“三公”经费支出决算表</w:t>
      </w:r>
      <w:r>
        <w:rPr>
          <w:sz w:val="28"/>
          <w:szCs w:val="28"/>
        </w:rPr>
        <w:t>………</w:t>
      </w:r>
      <w:r>
        <w:rPr>
          <w:rFonts w:hint="eastAsia"/>
          <w:sz w:val="28"/>
          <w:szCs w:val="28"/>
        </w:rPr>
        <w:t>.</w:t>
      </w:r>
      <w:r>
        <w:rPr>
          <w:sz w:val="28"/>
          <w:szCs w:val="28"/>
        </w:rPr>
        <w:t>…</w:t>
      </w:r>
      <w:r>
        <w:rPr>
          <w:rFonts w:hint="eastAsia"/>
          <w:sz w:val="28"/>
          <w:szCs w:val="28"/>
        </w:rPr>
        <w:t>.20</w:t>
      </w:r>
    </w:p>
    <w:p>
      <w:pPr>
        <w:pStyle w:val="22"/>
        <w:tabs>
          <w:tab w:val="right" w:leader="dot" w:pos="8296"/>
        </w:tabs>
        <w:spacing w:line="500" w:lineRule="exact"/>
        <w:rPr>
          <w:rFonts w:ascii="仿宋" w:eastAsia="仿宋" w:cs="Arial"/>
          <w:sz w:val="28"/>
          <w:szCs w:val="28"/>
        </w:rPr>
      </w:pPr>
      <w:r>
        <w:rPr>
          <w:rFonts w:hint="eastAsia"/>
          <w:sz w:val="28"/>
          <w:szCs w:val="28"/>
        </w:rPr>
        <w:t>十一、</w:t>
      </w:r>
      <w:r>
        <w:rPr>
          <w:rFonts w:ascii="仿宋" w:eastAsia="仿宋" w:hint="eastAsia"/>
          <w:bCs/>
          <w:sz w:val="28"/>
          <w:szCs w:val="28"/>
        </w:rPr>
        <w:t>政</w:t>
      </w:r>
      <w:r>
        <w:rPr>
          <w:rFonts w:hint="eastAsia"/>
          <w:sz w:val="28"/>
          <w:szCs w:val="28"/>
        </w:rPr>
        <w:t>府性基金预算财政拨款收入支出决算表</w:t>
      </w:r>
      <w:r>
        <w:rPr>
          <w:sz w:val="28"/>
          <w:szCs w:val="28"/>
        </w:rPr>
        <w:t>………………</w:t>
      </w:r>
      <w:r>
        <w:rPr>
          <w:rFonts w:hint="eastAsia"/>
          <w:sz w:val="28"/>
          <w:szCs w:val="28"/>
        </w:rPr>
        <w:t>..20</w:t>
      </w:r>
    </w:p>
    <w:p>
      <w:pPr>
        <w:pStyle w:val="2"/>
        <w:spacing w:line="500" w:lineRule="exact"/>
        <w:ind w:firstLineChars="150" w:firstLine="420"/>
        <w:rPr>
          <w:rFonts w:ascii="仿宋" w:eastAsia="仿宋"/>
          <w:b w:val="0"/>
          <w:bCs w:val="0"/>
          <w:sz w:val="28"/>
          <w:szCs w:val="28"/>
        </w:rPr>
      </w:pPr>
      <w:r>
        <w:rPr>
          <w:rFonts w:hint="eastAsia"/>
          <w:b w:val="0"/>
          <w:sz w:val="28"/>
          <w:szCs w:val="28"/>
        </w:rPr>
        <w:t>十二、</w:t>
      </w:r>
      <w:r>
        <w:rPr>
          <w:rFonts w:ascii="仿宋" w:eastAsia="仿宋" w:hint="eastAsia"/>
          <w:b w:val="0"/>
          <w:bCs w:val="0"/>
          <w:sz w:val="28"/>
          <w:szCs w:val="28"/>
        </w:rPr>
        <w:t>政</w:t>
      </w:r>
      <w:r>
        <w:rPr>
          <w:rFonts w:hint="eastAsia"/>
          <w:b w:val="0"/>
          <w:sz w:val="28"/>
          <w:szCs w:val="28"/>
        </w:rPr>
        <w:t>府性基金预算财政拨款“三公”经费支出决算表</w:t>
      </w:r>
      <w:r>
        <w:rPr>
          <w:b w:val="0"/>
          <w:sz w:val="28"/>
          <w:szCs w:val="28"/>
        </w:rPr>
        <w:t>……</w:t>
      </w:r>
      <w:r>
        <w:rPr>
          <w:rFonts w:hint="eastAsia"/>
          <w:b w:val="0"/>
          <w:sz w:val="28"/>
          <w:szCs w:val="28"/>
        </w:rPr>
        <w:t>.20</w:t>
      </w:r>
    </w:p>
    <w:p>
      <w:pPr>
        <w:pStyle w:val="2"/>
        <w:spacing w:line="500" w:lineRule="exact"/>
        <w:ind w:firstLineChars="150" w:firstLine="420"/>
        <w:rPr>
          <w:b w:val="0"/>
          <w:sz w:val="28"/>
          <w:szCs w:val="28"/>
        </w:rPr>
      </w:pPr>
      <w:r>
        <w:rPr>
          <w:rFonts w:hint="eastAsia"/>
          <w:b w:val="0"/>
          <w:sz w:val="28"/>
          <w:szCs w:val="28"/>
        </w:rPr>
        <w:t>十三、</w:t>
      </w:r>
      <w:r>
        <w:rPr>
          <w:rFonts w:ascii="仿宋" w:eastAsia="仿宋" w:hint="eastAsia"/>
          <w:b w:val="0"/>
          <w:bCs w:val="0"/>
          <w:sz w:val="28"/>
          <w:szCs w:val="28"/>
        </w:rPr>
        <w:t>国</w:t>
      </w:r>
      <w:r>
        <w:rPr>
          <w:rFonts w:hint="eastAsia"/>
          <w:b w:val="0"/>
          <w:sz w:val="28"/>
          <w:szCs w:val="28"/>
        </w:rPr>
        <w:t>有资本经营预算支出决算表</w:t>
      </w:r>
      <w:r>
        <w:rPr>
          <w:b w:val="0"/>
          <w:sz w:val="28"/>
          <w:szCs w:val="28"/>
        </w:rPr>
        <w:t>……………………………</w:t>
      </w:r>
      <w:r>
        <w:rPr>
          <w:rFonts w:hint="eastAsia"/>
          <w:b w:val="0"/>
          <w:sz w:val="28"/>
          <w:szCs w:val="28"/>
        </w:rPr>
        <w:t>.20</w:t>
      </w:r>
    </w:p>
    <w:p>
      <w:pPr>
        <w:spacing w:line="500" w:lineRule="exact"/>
        <w:ind w:firstLineChars="150" w:firstLine="420"/>
        <w:rPr>
          <w:rFonts w:ascii="Cambria" w:hAnsi="Cambria"/>
          <w:bCs/>
          <w:sz w:val="28"/>
          <w:szCs w:val="28"/>
        </w:rPr>
      </w:pPr>
      <w:r>
        <w:rPr>
          <w:rFonts w:ascii="Cambria" w:hAnsi="Cambria" w:hint="eastAsia"/>
          <w:sz w:val="28"/>
          <w:szCs w:val="28"/>
        </w:rPr>
        <w:t>十四、国有资本经营预算财政拨款支出决算表</w:t>
      </w:r>
      <w:r>
        <w:rPr>
          <w:rFonts w:ascii="Cambria" w:hAnsi="Cambria"/>
          <w:sz w:val="28"/>
          <w:szCs w:val="28"/>
        </w:rPr>
        <w:t>…………………</w:t>
      </w:r>
      <w:r>
        <w:rPr>
          <w:rFonts w:ascii="Cambria" w:hAnsi="Cambria" w:hint="eastAsia"/>
          <w:sz w:val="28"/>
          <w:szCs w:val="28"/>
        </w:rPr>
        <w:t>..20</w:t>
      </w:r>
    </w:p>
    <w:p>
      <w:pPr>
        <w:pStyle w:val="1"/>
        <w:jc w:val="center"/>
        <w:rPr>
          <w:rFonts w:ascii="仿宋" w:eastAsia="仿宋"/>
          <w:color w:val="000000"/>
          <w:sz w:val="24"/>
        </w:rPr>
      </w:pPr>
      <w:r>
        <w:rPr>
          <w:rFonts w:ascii="仿宋" w:eastAsia="仿宋"/>
          <w:color w:val="000000"/>
          <w:sz w:val="24"/>
        </w:rPr>
        <w:fldChar w:fldCharType="end"/>
      </w:r>
    </w:p>
    <w:p/>
    <w:p>
      <w:pPr>
        <w:pStyle w:val="15"/>
      </w:pPr>
    </w:p>
    <w:p/>
    <w:p>
      <w:pPr>
        <w:pStyle w:val="1"/>
        <w:ind w:firstLineChars="400" w:firstLine="1760"/>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rPr>
        <w:t>部门概况</w:t>
      </w:r>
      <w:bookmarkEnd w:id="12"/>
      <w:bookmarkEnd w:id="13"/>
    </w:p>
    <w:p>
      <w:pPr>
        <w:pStyle w:val="2"/>
        <w:spacing w:before="0" w:after="0" w:line="240" w:lineRule="auto"/>
        <w:ind w:left="640" w:hangingChars="200" w:hanging="640"/>
        <w:rPr>
          <w:rStyle w:val="2Char"/>
          <w:rFonts w:ascii="黑体" w:eastAsia="黑体"/>
        </w:rPr>
      </w:pPr>
      <w:bookmarkStart w:id="14" w:name="_Toc15396600"/>
      <w:bookmarkStart w:id="15" w:name="_Toc15377197"/>
      <w:r>
        <w:rPr>
          <w:rFonts w:ascii="黑体" w:eastAsia="黑体" w:hint="eastAsia"/>
          <w:b w:val="0"/>
          <w:color w:val="000000"/>
        </w:rPr>
        <w:t>一、基</w:t>
      </w:r>
      <w:r>
        <w:rPr>
          <w:rStyle w:val="2Char"/>
          <w:rFonts w:ascii="黑体" w:eastAsia="黑体" w:hint="eastAsia"/>
        </w:rPr>
        <w:t>本职能及主要工作</w:t>
      </w:r>
      <w:bookmarkStart w:id="16" w:name="_Toc15377198"/>
      <w:bookmarkStart w:id="17" w:name="_Toc15378445"/>
      <w:bookmarkEnd w:id="14"/>
      <w:bookmarkEnd w:id="15"/>
    </w:p>
    <w:p>
      <w:pPr>
        <w:pStyle w:val="2"/>
        <w:spacing w:before="0" w:after="0" w:line="240" w:lineRule="auto"/>
        <w:ind w:leftChars="153" w:left="641" w:hangingChars="100" w:hanging="320"/>
        <w:rPr>
          <w:rFonts w:ascii="楷体" w:eastAsia="楷体" w:cs="楷体"/>
          <w:color w:val="000000"/>
        </w:rPr>
      </w:pPr>
      <w:r>
        <w:rPr>
          <w:rFonts w:ascii="楷体" w:eastAsia="楷体" w:cs="楷体" w:hint="eastAsia"/>
          <w:color w:val="000000"/>
        </w:rPr>
        <w:t>（一）主要职能</w:t>
      </w:r>
      <w:bookmarkStart w:id="18" w:name="_Toc15378446"/>
      <w:bookmarkStart w:id="19" w:name="_Toc15377199"/>
      <w:bookmarkEnd w:id="16"/>
      <w:bookmarkEnd w:id="17"/>
    </w:p>
    <w:p>
      <w:pPr>
        <w:pStyle w:val="2"/>
        <w:spacing w:before="0" w:after="0" w:line="240" w:lineRule="auto"/>
        <w:ind w:firstLineChars="100" w:firstLine="320"/>
        <w:rPr>
          <w:rFonts w:ascii="宋体" w:cs="宋体"/>
          <w:b w:val="0"/>
          <w:bCs w:val="0"/>
          <w:color w:val="000000"/>
        </w:rPr>
      </w:pPr>
      <w:r>
        <w:rPr>
          <w:rFonts w:ascii="宋体" w:cs="宋体" w:hint="eastAsia"/>
          <w:b w:val="0"/>
          <w:bCs w:val="0"/>
          <w:color w:val="000000"/>
        </w:rPr>
        <w:t>我委主要职责是：主管全县党的纪律检查工作；负责全县行政监察工作；维护党的章程和其他党内法规，检查党的路线、方针、政策和决议的执行情况，协助县委加强党风廉政建设和组织协调反腐败工作。县监委的主要职责是：维护宪法和法律法规；依法监察公职人员行使公权力的情况，调查职务违法和职务犯罪；开展廉政建设和反腐败工作。完成县委、县政府、州纪委交办的其他工作。</w:t>
      </w:r>
    </w:p>
    <w:p>
      <w:pPr>
        <w:pStyle w:val="2"/>
        <w:spacing w:before="0" w:after="0" w:line="240" w:lineRule="auto"/>
        <w:ind w:firstLineChars="100" w:firstLine="320"/>
        <w:rPr>
          <w:rFonts w:ascii="楷体" w:eastAsia="楷体" w:cs="楷体"/>
          <w:color w:val="000000"/>
        </w:rPr>
      </w:pPr>
      <w:r>
        <w:rPr>
          <w:rFonts w:ascii="楷体" w:eastAsia="楷体" w:cs="楷体" w:hint="eastAsia"/>
          <w:color w:val="000000"/>
        </w:rPr>
        <w:t>（二）2021年重点工作完成情况</w:t>
      </w:r>
      <w:bookmarkEnd w:id="18"/>
      <w:bookmarkEnd w:id="19"/>
    </w:p>
    <w:p>
      <w:pPr>
        <w:spacing w:line="578" w:lineRule="exact"/>
        <w:ind w:firstLineChars="200" w:firstLine="640"/>
        <w:rPr>
          <w:rFonts w:ascii="宋体" w:cs="宋体"/>
          <w:color w:val="000000"/>
          <w:sz w:val="32"/>
          <w:szCs w:val="32"/>
        </w:rPr>
      </w:pPr>
      <w:bookmarkStart w:id="20" w:name="_Toc15396601"/>
      <w:bookmarkStart w:id="21" w:name="_Toc15377200"/>
      <w:r>
        <w:rPr>
          <w:rFonts w:ascii="宋体" w:cs="宋体" w:hint="eastAsia"/>
          <w:color w:val="000000"/>
          <w:sz w:val="32"/>
          <w:szCs w:val="32"/>
        </w:rPr>
        <w:t>2021年委机关继续坚持积极稳妥，收入预算与经济发展相协调；坚持厉行节约，努力降低行政成本；坚持改革创新，着力提高财政绩效。全面完成2021年各项工作，取得了实效。认真、及时完成县委、州纪委交办的其它工作。</w:t>
      </w:r>
    </w:p>
    <w:p>
      <w:pPr>
        <w:spacing w:line="578" w:lineRule="exact"/>
        <w:ind w:firstLineChars="200" w:firstLine="640"/>
        <w:rPr>
          <w:rStyle w:val="2Char"/>
          <w:b w:val="0"/>
          <w:bCs w:val="0"/>
        </w:rPr>
      </w:pPr>
      <w:r>
        <w:rPr>
          <w:rStyle w:val="2Char"/>
          <w:rFonts w:ascii="黑体" w:eastAsia="黑体" w:hint="eastAsia"/>
          <w:b w:val="0"/>
          <w:bCs w:val="0"/>
        </w:rPr>
        <w:t>二、机构设置</w:t>
      </w:r>
      <w:bookmarkEnd w:id="20"/>
      <w:bookmarkEnd w:id="21"/>
    </w:p>
    <w:p>
      <w:pPr>
        <w:ind w:firstLineChars="150" w:firstLine="480"/>
        <w:rPr>
          <w:rFonts w:ascii="宋体" w:cs="宋体"/>
          <w:color w:val="000000"/>
          <w:sz w:val="32"/>
          <w:szCs w:val="32"/>
        </w:rPr>
      </w:pPr>
      <w:bookmarkStart w:id="22" w:name="_Toc15377204"/>
      <w:bookmarkStart w:id="23" w:name="_Toc15396602"/>
      <w:r>
        <w:rPr>
          <w:rFonts w:ascii="宋体" w:cs="宋体" w:hint="eastAsia"/>
          <w:color w:val="000000"/>
          <w:sz w:val="32"/>
          <w:szCs w:val="32"/>
        </w:rPr>
        <w:t xml:space="preserve"> 2021年末共有机构数1个，其中全额预算单位1个，单位内设机构10个，共同设立办公室、信访室、案件审理室、党风政风监督室、纪检监察干部监督室、第一纪检监察室、第二纪检监察室、第三纪检监察室、第四纪检监察室和案件监督管理室。</w:t>
      </w:r>
    </w:p>
    <w:p>
      <w:pPr>
        <w:ind w:firstLineChars="250" w:firstLine="800"/>
      </w:pPr>
      <w:r>
        <w:rPr>
          <w:rFonts w:ascii="宋体" w:cs="宋体" w:hint="eastAsia"/>
          <w:color w:val="000000"/>
          <w:sz w:val="32"/>
          <w:szCs w:val="32"/>
        </w:rPr>
        <w:t>总编制59名,其中：行政编制57名（包括行政工勤3名），事业编制2名。年末实有在职人数50名，行政人员49名（包括行政工勤3名），事业人员1名。年末实有在职人数比上年减少了1人，主要原因为本县人员调动。</w:t>
      </w:r>
    </w:p>
    <w:p>
      <w:pPr>
        <w:pStyle w:val="1"/>
        <w:ind w:right="440"/>
        <w:jc w:val="right"/>
      </w:pPr>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rPr>
        <w:t>2021年度部门决算情况说明</w:t>
      </w:r>
      <w:bookmarkEnd w:id="22"/>
      <w:bookmarkEnd w:id="23"/>
    </w:p>
    <w:p>
      <w:pPr>
        <w:pStyle w:val="31"/>
        <w:numPr>
          <w:ilvl w:val="0"/>
          <w:numId w:val="1"/>
        </w:numPr>
        <w:ind w:left="0" w:firstLineChars="0" w:firstLine="0"/>
        <w:outlineLvl w:val="1"/>
        <w:rPr>
          <w:rStyle w:val="2Char"/>
          <w:rFonts w:ascii="黑体" w:eastAsia="黑体"/>
          <w:b w:val="0"/>
        </w:rPr>
      </w:pPr>
      <w:bookmarkStart w:id="24" w:name="_Toc15396603"/>
      <w:bookmarkStart w:id="25"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24"/>
      <w:bookmarkEnd w:id="25"/>
    </w:p>
    <w:p>
      <w:pPr>
        <w:widowControl/>
        <w:ind w:firstLineChars="200" w:firstLine="640"/>
        <w:jc w:val="left"/>
        <w:rPr>
          <w:rFonts w:ascii="仿宋" w:eastAsia="仿宋"/>
          <w:color w:val="000000"/>
          <w:sz w:val="32"/>
          <w:szCs w:val="32"/>
        </w:rPr>
      </w:pPr>
      <w:r>
        <w:rPr>
          <w:rFonts w:ascii="仿宋" w:eastAsia="仿宋" w:hint="eastAsia"/>
          <w:color w:val="000000"/>
          <w:sz w:val="32"/>
          <w:szCs w:val="32"/>
        </w:rPr>
        <w:t>2021年度总收入1253.66万元，较上年收入增加218.86万元，增加21.15%。增加的主要原因是2020年目标奖列入收入。</w:t>
      </w:r>
    </w:p>
    <w:p>
      <w:pPr>
        <w:snapToGrid w:val="0"/>
        <w:spacing w:line="520" w:lineRule="exact"/>
        <w:ind w:firstLineChars="200" w:firstLine="640"/>
        <w:rPr>
          <w:rFonts w:ascii="仿宋" w:eastAsia="仿宋"/>
          <w:color w:val="000000"/>
          <w:sz w:val="32"/>
          <w:szCs w:val="32"/>
        </w:rPr>
      </w:pPr>
      <w:r>
        <w:rPr>
          <w:rFonts w:ascii="仿宋" w:eastAsia="仿宋" w:hint="eastAsia"/>
          <w:color w:val="000000"/>
          <w:sz w:val="32"/>
          <w:szCs w:val="32"/>
        </w:rPr>
        <w:t>2021年总支出1255.22万元，较上年支出增加2.95万元，增加0.24%。主要原因2020年财返支出增加。</w:t>
      </w:r>
    </w:p>
    <w:p>
      <w:pPr>
        <w:rPr>
          <w:rFonts w:ascii="仿宋" w:eastAsia="仿宋"/>
          <w:color w:val="000000"/>
          <w:sz w:val="32"/>
          <w:szCs w:val="32"/>
        </w:rPr>
      </w:pPr>
    </w:p>
    <w:p>
      <w:pPr>
        <w:pStyle w:val="15"/>
      </w:pPr>
      <w:r>
        <w:drawing>
          <wp:inline distT="0" distB="0" distL="0" distR="0">
            <wp:extent cx="4657725" cy="27432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
      <w:pPr>
        <w:spacing w:line="600" w:lineRule="exact"/>
        <w:ind w:firstLineChars="200" w:firstLine="640"/>
        <w:rPr>
          <w:rStyle w:val="2Char"/>
          <w:rFonts w:ascii="黑体" w:eastAsia="黑体"/>
          <w:b w:val="0"/>
        </w:rPr>
      </w:pPr>
      <w:bookmarkStart w:id="26" w:name="_Toc15396604"/>
      <w:bookmarkStart w:id="27" w:name="_Toc15377206"/>
      <w:r>
        <w:rPr>
          <w:rFonts w:ascii="黑体" w:eastAsia="黑体" w:hint="eastAsia"/>
          <w:color w:val="000000"/>
          <w:sz w:val="32"/>
          <w:szCs w:val="32"/>
        </w:rPr>
        <w:t>二、收入决</w:t>
      </w:r>
      <w:r>
        <w:rPr>
          <w:rStyle w:val="2Char"/>
          <w:rFonts w:ascii="黑体" w:eastAsia="黑体" w:hint="eastAsia"/>
          <w:b w:val="0"/>
        </w:rPr>
        <w:t>算情况说明</w:t>
      </w:r>
      <w:bookmarkEnd w:id="26"/>
      <w:bookmarkEnd w:id="27"/>
    </w:p>
    <w:p>
      <w:pPr>
        <w:spacing w:line="600" w:lineRule="exact"/>
        <w:ind w:firstLineChars="200" w:firstLine="640"/>
        <w:outlineLvl w:val="1"/>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21年总收入1253.66万元，其中：一般公共预算财政拨款收入1253.66万元，占100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Start w:id="28" w:name="_Toc15396605"/>
      <w:bookmarkStart w:id="29" w:name="_Toc15377207"/>
    </w:p>
    <w:p>
      <w:pPr>
        <w:spacing w:line="600" w:lineRule="exact"/>
        <w:ind w:firstLineChars="250" w:firstLine="525"/>
        <w:outlineLvl w:val="1"/>
        <w:rPr>
          <w:rStyle w:val="2Char"/>
          <w:rFonts w:ascii="黑体" w:eastAsia="黑体"/>
          <w:b w:val="0"/>
        </w:rPr>
      </w:pPr>
      <w:r>
        <w:rPr>
          <w:rFonts w:hint="eastAsia"/>
        </w:rPr>
        <w:t xml:space="preserve"> </w:t>
      </w:r>
      <w:r>
        <w:rPr>
          <w:rFonts w:ascii="黑体" w:eastAsia="黑体" w:hint="eastAsia"/>
          <w:color w:val="000000"/>
          <w:sz w:val="32"/>
          <w:szCs w:val="32"/>
        </w:rPr>
        <w:t>三、支出决</w:t>
      </w:r>
      <w:r>
        <w:rPr>
          <w:rStyle w:val="2Char"/>
          <w:rFonts w:ascii="黑体" w:eastAsia="黑体" w:hint="eastAsia"/>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2021年本年总支出1255.22万元，其中：基本支出1205.82万元，占96.06%；项目支出49.4万元，占3.94%；上缴上级支出0万元，占0%；经营支出0万元，占0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420"/>
      </w:pPr>
    </w:p>
    <w:p>
      <w:pPr>
        <w:pStyle w:val="15"/>
      </w:pPr>
      <w:r>
        <w:drawing>
          <wp:inline distT="0" distB="0" distL="0" distR="0">
            <wp:extent cx="4572000" cy="2743200"/>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
      <w:pPr>
        <w:spacing w:line="600" w:lineRule="exact"/>
        <w:ind w:firstLineChars="100" w:firstLine="320"/>
        <w:rPr>
          <w:rStyle w:val="2Char"/>
          <w:rFonts w:ascii="黑体" w:eastAsia="黑体"/>
          <w:b w:val="0"/>
        </w:rPr>
      </w:pPr>
      <w:bookmarkStart w:id="30" w:name="_Toc15377208"/>
      <w:bookmarkStart w:id="31" w:name="_Toc15396606"/>
      <w:r>
        <w:rPr>
          <w:rFonts w:ascii="黑体" w:eastAsia="黑体" w:hint="eastAsia"/>
          <w:color w:val="000000"/>
          <w:sz w:val="32"/>
          <w:szCs w:val="32"/>
        </w:rPr>
        <w:t>四、</w:t>
      </w:r>
      <w:bookmarkStart w:id="32" w:name="_Toc15377209"/>
      <w:bookmarkStart w:id="33" w:name="_Toc15396607"/>
      <w:bookmarkEnd w:id="30"/>
      <w:bookmarkEnd w:id="31"/>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2"/>
      <w:bookmarkEnd w:id="33"/>
    </w:p>
    <w:p>
      <w:pPr>
        <w:spacing w:line="600" w:lineRule="exact"/>
        <w:ind w:firstLineChars="200" w:firstLine="640"/>
        <w:outlineLvl w:val="2"/>
        <w:rPr>
          <w:rFonts w:ascii="仿宋" w:eastAsia="仿宋"/>
          <w:b/>
          <w:color w:val="000000"/>
          <w:sz w:val="32"/>
          <w:szCs w:val="32"/>
        </w:rPr>
      </w:pPr>
      <w:bookmarkStart w:id="34" w:name="_Toc15377210"/>
      <w:r>
        <w:rPr>
          <w:rFonts w:ascii="仿宋" w:eastAsia="仿宋" w:hint="eastAsia"/>
          <w:b/>
          <w:color w:val="000000"/>
          <w:sz w:val="32"/>
          <w:szCs w:val="32"/>
        </w:rPr>
        <w:t>（一）一般公共预算财政拨款支出决算总体情况</w:t>
      </w:r>
      <w:bookmarkEnd w:id="34"/>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21年一般公共预算财政拨款支出1255.22万元，占本年总支出的100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rPr>
        <w:t>20年相比，一般公共预算财政拨款支出增加2.95万元，增加0.24%。主要原因2020年财返支出增加。</w:t>
      </w:r>
    </w:p>
    <w:p/>
    <w:p>
      <w:pPr>
        <w:pStyle w:val="15"/>
      </w:pPr>
      <w:r>
        <w:drawing>
          <wp:inline distT="0" distB="0" distL="0" distR="0">
            <wp:extent cx="5274310" cy="2920365"/>
            <wp:effectExtent l="0" t="0" r="0" b="0"/>
            <wp:docPr id="3" name="图表 3"/>
            <wp:cNvGraphicFramePr>
              <a:graphicFrameLocks noChangeAspect="0"/>
            </wp:cNvGraphicFramePr>
            <a:graphic>
              <a:graphicData uri="http://schemas.openxmlformats.org/drawingml/2006/chart">
                <c:chart xmlns:c="http://schemas.openxmlformats.org/drawingml/2006/chart" r:id="rId6"/>
              </a:graphicData>
            </a:graphic>
          </wp:inline>
        </w:drawing>
      </w:r>
    </w:p>
    <w:p/>
    <w:p>
      <w:pPr>
        <w:pStyle w:val="15"/>
        <w:ind w:leftChars="0" w:left="199" w:hangingChars="95" w:hanging="199"/>
      </w:pPr>
    </w:p>
    <w:p>
      <w:pPr>
        <w:snapToGrid w:val="0"/>
        <w:spacing w:line="520" w:lineRule="exact"/>
        <w:ind w:firstLineChars="200" w:firstLine="640"/>
        <w:rPr>
          <w:rFonts w:ascii="仿宋" w:eastAsia="仿宋"/>
          <w:b/>
          <w:color w:val="000000"/>
          <w:sz w:val="32"/>
          <w:szCs w:val="32"/>
        </w:rPr>
      </w:pPr>
      <w:bookmarkStart w:id="35" w:name="_Toc15377211"/>
      <w:r>
        <w:rPr>
          <w:rFonts w:ascii="仿宋" w:eastAsia="仿宋" w:hint="eastAsia"/>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21年一般公共预算财政拨款支出1255.22万元，主要用于以下方面</w:t>
      </w:r>
      <w:r>
        <w:rPr>
          <w:rFonts w:ascii="仿宋" w:eastAsia="仿宋"/>
          <w:color w:val="000000"/>
          <w:sz w:val="32"/>
          <w:szCs w:val="32"/>
        </w:rPr>
        <w:t>:</w:t>
      </w:r>
      <w:r>
        <w:rPr>
          <w:rFonts w:ascii="仿宋" w:eastAsia="仿宋" w:hint="eastAsia"/>
          <w:color w:val="000000"/>
          <w:sz w:val="32"/>
          <w:szCs w:val="32"/>
        </w:rPr>
        <w:t>一般公共服务（类）支出1012.59万元，占80.67%；教育支出（类）支出1.58万元，占0.13%；社会保障和就业（类）支出113.92万元，占9.08%；卫生健康支出45.23万元，占3.6%；住房保障支出81.89万元，占6.52%。</w:t>
      </w:r>
      <w:bookmarkStart w:id="36" w:name="_Toc15378460"/>
      <w:bookmarkStart w:id="37" w:name="_Toc15377444"/>
      <w:bookmarkStart w:id="38" w:name="_Toc15377213"/>
    </w:p>
    <w:p>
      <w:pPr>
        <w:pStyle w:val="26"/>
        <w:ind w:leftChars="13" w:left="225" w:hangingChars="62" w:hanging="198"/>
        <w:rPr>
          <w:rFonts w:ascii="仿宋" w:eastAsia="仿宋"/>
          <w:b/>
          <w:color w:val="000000"/>
          <w:sz w:val="32"/>
          <w:szCs w:val="32"/>
        </w:rPr>
      </w:pPr>
      <w:r>
        <w:rPr>
          <w:rFonts w:ascii="仿宋" w:eastAsia="仿宋"/>
          <w:b/>
          <w:color w:val="000000"/>
          <w:sz w:val="32"/>
          <w:szCs w:val="32"/>
        </w:rPr>
        <w:drawing>
          <wp:inline distT="0" distB="0" distL="0" distR="0">
            <wp:extent cx="4572000" cy="3257550"/>
            <wp:effectExtent l="0" t="0" r="0" b="0"/>
            <wp:docPr id="4" name="图表 4"/>
            <wp:cNvGraphicFramePr>
              <a:graphicFrameLocks noChangeAspect="0"/>
            </wp:cNvGraphicFramePr>
            <a:graphic>
              <a:graphicData uri="http://schemas.openxmlformats.org/drawingml/2006/chart">
                <c:chart xmlns:c="http://schemas.openxmlformats.org/drawingml/2006/chart" r:id="rId7"/>
              </a:graphicData>
            </a:graphic>
          </wp:inline>
        </w:drawing>
      </w:r>
    </w:p>
    <w:p/>
    <w:p>
      <w:pPr>
        <w:pStyle w:val="26"/>
        <w:ind w:leftChars="0" w:left="0" w:firstLineChars="0" w:firstLine="0"/>
        <w:rPr>
          <w:rFonts w:ascii="仿宋" w:eastAsia="仿宋"/>
          <w:b/>
          <w:color w:val="000000"/>
          <w:sz w:val="32"/>
          <w:szCs w:val="32"/>
        </w:rPr>
      </w:pPr>
      <w:bookmarkStart w:id="39" w:name="_Toc15377212"/>
      <w:r>
        <w:rPr>
          <w:rFonts w:hint="eastAsia"/>
        </w:rPr>
        <w:t xml:space="preserve"> </w:t>
      </w:r>
      <w:r>
        <w:rPr>
          <w:rFonts w:ascii="仿宋" w:eastAsia="仿宋" w:hint="eastAsia"/>
          <w:b/>
          <w:color w:val="000000"/>
          <w:sz w:val="32"/>
          <w:szCs w:val="32"/>
        </w:rPr>
        <w:t>（三）一般公共预算财政拨款支出决算具体情况</w:t>
      </w:r>
      <w:bookmarkEnd w:id="39"/>
    </w:p>
    <w:p>
      <w:pPr>
        <w:pStyle w:val="26"/>
        <w:ind w:leftChars="0" w:left="0" w:firstLineChars="0" w:firstLine="0"/>
        <w:rPr>
          <w:rFonts w:ascii="仿宋" w:eastAsia="仿宋"/>
          <w:b/>
          <w:color w:val="000000"/>
          <w:sz w:val="32"/>
          <w:szCs w:val="32"/>
        </w:rPr>
      </w:pPr>
      <w:r>
        <w:rPr>
          <w:rFonts w:ascii="仿宋" w:eastAsia="仿宋" w:hint="eastAsia"/>
          <w:bCs/>
          <w:color w:val="000000"/>
          <w:sz w:val="32"/>
          <w:szCs w:val="32"/>
        </w:rPr>
        <w:t xml:space="preserve"> 2021年一般公共预算数为936.29万元，支出决算数为1255.22万元，完</w:t>
      </w:r>
      <w:r>
        <w:rPr>
          <w:rStyle w:val="24"/>
          <w:rFonts w:ascii="仿宋" w:eastAsia="仿宋" w:hint="eastAsia"/>
          <w:b w:val="0"/>
          <w:bCs/>
          <w:color w:val="000000"/>
          <w:sz w:val="32"/>
          <w:szCs w:val="32"/>
        </w:rPr>
        <w:t>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。其中：</w:t>
      </w:r>
      <w:bookmarkEnd w:id="36"/>
      <w:bookmarkEnd w:id="37"/>
      <w:bookmarkEnd w:id="38"/>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rPr>
        <w:t>1.一般公共服务（类）</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支出决算为1012.59万元，完成预算100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rPr>
        <w:t>2.</w:t>
      </w:r>
      <w:r>
        <w:rPr>
          <w:rFonts w:ascii="仿宋" w:eastAsia="仿宋" w:hint="eastAsia"/>
          <w:b/>
          <w:color w:val="000000"/>
          <w:sz w:val="32"/>
          <w:szCs w:val="32"/>
        </w:rPr>
        <w:t xml:space="preserve"> 教育支出（类）</w:t>
      </w:r>
      <w:r>
        <w:rPr>
          <w:rStyle w:val="24"/>
          <w:rFonts w:ascii="仿宋" w:eastAsia="仿宋"/>
          <w:bCs/>
          <w:color w:val="000000"/>
          <w:sz w:val="32"/>
          <w:szCs w:val="32"/>
        </w:rPr>
        <w:t>:</w:t>
      </w:r>
      <w:r>
        <w:rPr>
          <w:rStyle w:val="24"/>
          <w:rFonts w:ascii="仿宋" w:eastAsia="仿宋" w:hint="eastAsia"/>
          <w:b w:val="0"/>
          <w:bCs/>
          <w:color w:val="000000"/>
          <w:sz w:val="32"/>
          <w:szCs w:val="32"/>
        </w:rPr>
        <w:t>支出1.58万元，完成预算100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rPr>
        <w:t>3</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Cs/>
          <w:color w:val="000000"/>
          <w:sz w:val="32"/>
          <w:szCs w:val="32"/>
        </w:rPr>
        <w:t>社会保障和就业（类）</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支出决算为113.92万元，完成预算100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rPr>
        <w:t>4.卫生健康支出（类）</w:t>
      </w:r>
      <w:r>
        <w:rPr>
          <w:rStyle w:val="24"/>
          <w:rFonts w:ascii="仿宋" w:eastAsia="仿宋"/>
          <w:bCs/>
          <w:color w:val="000000"/>
          <w:sz w:val="32"/>
          <w:szCs w:val="32"/>
        </w:rPr>
        <w:t>:</w:t>
      </w:r>
      <w:r>
        <w:rPr>
          <w:rStyle w:val="24"/>
          <w:rFonts w:ascii="仿宋" w:eastAsia="仿宋" w:hint="eastAsia"/>
          <w:b w:val="0"/>
          <w:bCs/>
          <w:color w:val="000000"/>
          <w:sz w:val="32"/>
          <w:szCs w:val="32"/>
        </w:rPr>
        <w:t>支出决算为45.23万元，完成预算100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rPr>
        <w:t>5.农林水支出（类）</w:t>
      </w:r>
      <w:r>
        <w:rPr>
          <w:rStyle w:val="24"/>
          <w:rFonts w:ascii="仿宋" w:eastAsia="仿宋"/>
          <w:bCs/>
          <w:color w:val="000000"/>
          <w:sz w:val="32"/>
          <w:szCs w:val="32"/>
        </w:rPr>
        <w:t>:</w:t>
      </w:r>
      <w:r>
        <w:rPr>
          <w:rStyle w:val="24"/>
          <w:rFonts w:ascii="仿宋" w:eastAsia="仿宋" w:hint="eastAsia"/>
          <w:b w:val="0"/>
          <w:bCs/>
          <w:color w:val="000000"/>
          <w:sz w:val="32"/>
          <w:szCs w:val="32"/>
        </w:rPr>
        <w:t>支出决算为0万元，完成预算100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b w:val="0"/>
          <w:bCs/>
          <w:color w:val="000000"/>
          <w:sz w:val="32"/>
          <w:szCs w:val="32"/>
        </w:rPr>
      </w:pPr>
      <w:bookmarkStart w:id="40" w:name="_Toc15377214"/>
      <w:bookmarkStart w:id="41" w:name="_Toc15396608"/>
      <w:r>
        <w:rPr>
          <w:rStyle w:val="24"/>
          <w:rFonts w:ascii="仿宋" w:eastAsia="仿宋" w:hint="eastAsia"/>
          <w:bCs/>
          <w:color w:val="000000"/>
          <w:sz w:val="32"/>
          <w:szCs w:val="32"/>
        </w:rPr>
        <w:t>6.住房保障（类）：</w:t>
      </w:r>
      <w:r>
        <w:rPr>
          <w:rStyle w:val="24"/>
          <w:rFonts w:ascii="仿宋" w:eastAsia="仿宋" w:hint="eastAsia"/>
          <w:b w:val="0"/>
          <w:bCs/>
          <w:color w:val="000000"/>
          <w:sz w:val="32"/>
          <w:szCs w:val="32"/>
        </w:rPr>
        <w:t>支出决算为81.89万元，完成预算100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bCs/>
          <w:color w:val="000000"/>
          <w:sz w:val="32"/>
          <w:szCs w:val="32"/>
        </w:rPr>
      </w:pPr>
      <w:r>
        <w:rPr>
          <w:rStyle w:val="24"/>
          <w:rFonts w:ascii="仿宋" w:eastAsia="仿宋" w:hint="eastAsia"/>
          <w:bCs/>
          <w:color w:val="000000"/>
          <w:sz w:val="32"/>
          <w:szCs w:val="32"/>
        </w:rPr>
        <w:t xml:space="preserve"> 7.其他支出（类）：</w:t>
      </w:r>
      <w:r>
        <w:rPr>
          <w:rStyle w:val="24"/>
          <w:rFonts w:ascii="仿宋" w:eastAsia="仿宋" w:hint="eastAsia"/>
          <w:b w:val="0"/>
          <w:bCs/>
          <w:color w:val="000000"/>
          <w:sz w:val="32"/>
          <w:szCs w:val="32"/>
        </w:rPr>
        <w:t>支出决算为0万元，完成预算100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640"/>
        <w:rPr>
          <w:rStyle w:val="2Char"/>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0"/>
      <w:bookmarkEnd w:id="41"/>
      <w:r>
        <w:rPr>
          <w:rStyle w:val="2Char"/>
          <w:rFonts w:ascii="黑体" w:eastAsia="黑体"/>
          <w:b w:val="0"/>
        </w:rPr>
        <w:tab/>
      </w:r>
    </w:p>
    <w:p>
      <w:pPr>
        <w:spacing w:line="600" w:lineRule="exact"/>
        <w:ind w:firstLine="645"/>
        <w:rPr>
          <w:rStyle w:val="24"/>
          <w:rFonts w:ascii="仿宋" w:eastAsia="仿宋"/>
          <w:b w:val="0"/>
          <w:bCs/>
          <w:color w:val="000000"/>
          <w:sz w:val="32"/>
          <w:szCs w:val="32"/>
        </w:rPr>
      </w:pPr>
      <w:r>
        <w:rPr>
          <w:rStyle w:val="24"/>
          <w:rFonts w:ascii="仿宋" w:eastAsia="仿宋"/>
          <w:b w:val="0"/>
          <w:bCs/>
          <w:color w:val="000000"/>
          <w:sz w:val="32"/>
          <w:szCs w:val="32"/>
        </w:rPr>
        <w:t>20</w:t>
      </w:r>
      <w:r>
        <w:rPr>
          <w:rStyle w:val="24"/>
          <w:rFonts w:ascii="仿宋" w:eastAsia="仿宋" w:hint="eastAsia"/>
          <w:b w:val="0"/>
          <w:bCs/>
          <w:color w:val="000000"/>
          <w:sz w:val="32"/>
          <w:szCs w:val="32"/>
        </w:rPr>
        <w:t>21年一般公共预算财政拨款基本支出1205.82万元，其中：</w:t>
      </w:r>
    </w:p>
    <w:p>
      <w:pPr>
        <w:snapToGrid w:val="0"/>
        <w:spacing w:line="520" w:lineRule="exact"/>
        <w:ind w:firstLineChars="200" w:firstLine="640"/>
        <w:rPr>
          <w:rStyle w:val="24"/>
          <w:rFonts w:ascii="仿宋" w:eastAsia="仿宋"/>
          <w:b w:val="0"/>
          <w:bCs/>
          <w:color w:val="000000"/>
          <w:sz w:val="32"/>
          <w:szCs w:val="32"/>
        </w:rPr>
      </w:pPr>
      <w:r>
        <w:rPr>
          <w:rStyle w:val="24"/>
          <w:rFonts w:ascii="仿宋" w:eastAsia="仿宋" w:hint="eastAsia"/>
          <w:b w:val="0"/>
          <w:bCs/>
          <w:color w:val="000000"/>
          <w:sz w:val="32"/>
          <w:szCs w:val="32"/>
        </w:rPr>
        <w:t>人员经费1079.75万元，主要包括：基本工资208.45万元、津贴补贴279.42万元、奖金17.32万元、机关事业单位基本养老保险缴费75.93万元、职业年金缴费38万元、其他社会保障缴费5.61万元、住房公积金80.86万元、职工基本医疗保险缴费34.36万元、公务员医疗补助10.87万元、生活补助18.82万元、奖励金278.07万元、抚恤金32.05万元等。</w:t>
      </w:r>
    </w:p>
    <w:p>
      <w:pPr>
        <w:spacing w:line="600" w:lineRule="exact"/>
        <w:ind w:firstLine="645"/>
        <w:rPr>
          <w:rStyle w:val="24"/>
          <w:rFonts w:ascii="仿宋" w:eastAsia="仿宋"/>
          <w:b w:val="0"/>
          <w:bCs/>
          <w:color w:val="000000"/>
          <w:sz w:val="32"/>
          <w:szCs w:val="32"/>
        </w:rPr>
      </w:pPr>
      <w:r>
        <w:rPr>
          <w:rStyle w:val="24"/>
          <w:rFonts w:ascii="仿宋" w:eastAsia="仿宋" w:hint="eastAsia"/>
          <w:b w:val="0"/>
          <w:bCs/>
          <w:color w:val="000000"/>
          <w:sz w:val="32"/>
          <w:szCs w:val="32"/>
        </w:rPr>
        <w:t>公用经费126.07万元，主要包括：办公费31.5万元、水费0.51万元、电费8万元、邮电费19.45万元、差旅费31.27万元、维修维护费1.52万元、公务接待0.17万元、劳务费10.59万元、福利费4.46万元、公务用车运行维护费18.6万元。</w:t>
      </w:r>
    </w:p>
    <w:p>
      <w:pPr>
        <w:spacing w:line="600" w:lineRule="exact"/>
        <w:ind w:firstLineChars="200" w:firstLine="640"/>
        <w:outlineLvl w:val="1"/>
        <w:rPr>
          <w:rStyle w:val="2Char"/>
          <w:rFonts w:ascii="黑体" w:eastAsia="黑体"/>
          <w:b w:val="0"/>
        </w:rPr>
      </w:pPr>
      <w:bookmarkStart w:id="42" w:name="_Toc15396609"/>
      <w:bookmarkStart w:id="43" w:name="_Toc15377215"/>
      <w:r>
        <w:rPr>
          <w:rFonts w:ascii="黑体" w:eastAsia="黑体" w:hint="eastAsia"/>
          <w:color w:val="000000"/>
          <w:sz w:val="32"/>
          <w:szCs w:val="32"/>
        </w:rPr>
        <w:t>六、</w:t>
      </w:r>
      <w:r>
        <w:rPr>
          <w:rStyle w:val="2Char"/>
          <w:rFonts w:ascii="黑体" w:eastAsia="黑体" w:hint="eastAsia"/>
        </w:rPr>
        <w:t>“</w:t>
      </w:r>
      <w:r>
        <w:rPr>
          <w:rStyle w:val="2Char"/>
          <w:rFonts w:ascii="黑体" w:eastAsia="黑体" w:hint="eastAsia"/>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ascii="仿宋" w:eastAsia="仿宋" w:hint="eastAsia"/>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21年“三公”经费财政拨款支出决算为18.77万元，完成预算100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outlineLvl w:val="2"/>
        <w:rPr>
          <w:rFonts w:ascii="仿宋" w:eastAsia="仿宋"/>
          <w:b/>
          <w:color w:val="000000"/>
          <w:sz w:val="32"/>
          <w:szCs w:val="32"/>
        </w:rPr>
      </w:pPr>
      <w:bookmarkStart w:id="45" w:name="_Toc15377217"/>
      <w:r>
        <w:rPr>
          <w:rFonts w:ascii="仿宋" w:eastAsia="仿宋" w:hint="eastAsia"/>
          <w:b/>
          <w:color w:val="000000"/>
          <w:sz w:val="32"/>
          <w:szCs w:val="32"/>
        </w:rPr>
        <w:t>（二）“三公”经费财政拨款支出决算具体情况说明</w:t>
      </w:r>
      <w:bookmarkEnd w:id="45"/>
    </w:p>
    <w:p>
      <w:pPr>
        <w:spacing w:line="600" w:lineRule="exact"/>
        <w:ind w:firstLineChars="250" w:firstLine="80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21年“三公”经费财政拨款支出</w:t>
      </w:r>
      <w:r>
        <w:rPr>
          <w:rFonts w:ascii="仿宋" w:eastAsia="仿宋" w:hint="eastAsia"/>
          <w:sz w:val="32"/>
          <w:szCs w:val="32"/>
        </w:rPr>
        <w:t>决算18.77万元</w:t>
      </w:r>
      <w:r>
        <w:rPr>
          <w:rFonts w:ascii="仿宋" w:eastAsia="仿宋" w:hint="eastAsia"/>
          <w:color w:val="000000"/>
          <w:sz w:val="32"/>
          <w:szCs w:val="32"/>
        </w:rPr>
        <w:t>，其中：因公出国（境）费支出决算0万元，占0</w:t>
      </w:r>
      <w:r>
        <w:rPr>
          <w:rFonts w:ascii="仿宋" w:eastAsia="仿宋"/>
          <w:color w:val="000000"/>
          <w:sz w:val="32"/>
          <w:szCs w:val="32"/>
        </w:rPr>
        <w:t>%</w:t>
      </w:r>
      <w:r>
        <w:rPr>
          <w:rFonts w:ascii="仿宋" w:eastAsia="仿宋" w:hint="eastAsia"/>
          <w:color w:val="000000"/>
          <w:sz w:val="32"/>
          <w:szCs w:val="32"/>
        </w:rPr>
        <w:t>；公务用车购置及运行维护费支出决算18.6万元，占99.09</w:t>
      </w:r>
      <w:r>
        <w:rPr>
          <w:rFonts w:ascii="仿宋" w:eastAsia="仿宋"/>
          <w:color w:val="000000"/>
          <w:sz w:val="32"/>
          <w:szCs w:val="32"/>
        </w:rPr>
        <w:t>%</w:t>
      </w:r>
      <w:r>
        <w:rPr>
          <w:rFonts w:ascii="仿宋" w:eastAsia="仿宋" w:hint="eastAsia"/>
          <w:color w:val="000000"/>
          <w:sz w:val="32"/>
          <w:szCs w:val="32"/>
        </w:rPr>
        <w:t>；公务接待费支出决算0.17万元，占0.91</w:t>
      </w:r>
      <w:r>
        <w:rPr>
          <w:rFonts w:ascii="仿宋" w:eastAsia="仿宋"/>
          <w:color w:val="000000"/>
          <w:sz w:val="32"/>
          <w:szCs w:val="32"/>
        </w:rPr>
        <w:t>%</w:t>
      </w:r>
      <w:r>
        <w:rPr>
          <w:rFonts w:ascii="仿宋" w:eastAsia="仿宋" w:hint="eastAsia"/>
          <w:color w:val="000000"/>
          <w:sz w:val="32"/>
          <w:szCs w:val="32"/>
        </w:rPr>
        <w:t>。具体情况如下：</w:t>
      </w:r>
    </w:p>
    <w:p>
      <w:pPr>
        <w:pStyle w:val="15"/>
        <w:ind w:leftChars="23" w:left="247" w:hangingChars="95" w:hanging="199"/>
      </w:pPr>
    </w:p>
    <w:p>
      <w:r>
        <w:drawing>
          <wp:inline distT="0" distB="0" distL="0" distR="0">
            <wp:extent cx="4657725" cy="2743200"/>
            <wp:effectExtent l="0" t="0" r="0" b="0"/>
            <wp:docPr id="5" name="图表 5"/>
            <wp:cNvGraphicFramePr>
              <a:graphicFrameLocks noChangeAspect="0"/>
            </wp:cNvGraphicFramePr>
            <a:graphic>
              <a:graphicData uri="http://schemas.openxmlformats.org/drawingml/2006/chart">
                <c:chart xmlns:c="http://schemas.openxmlformats.org/drawingml/2006/chart" r:id="rId8"/>
              </a:graphicData>
            </a:graphic>
          </wp:inline>
        </w:drawing>
      </w:r>
      <w:r>
        <w:t xml:space="preserve"> </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rPr>
        <w:t>1.因公出国（境）经费支出：</w:t>
      </w:r>
      <w:r>
        <w:rPr>
          <w:rStyle w:val="24"/>
          <w:rFonts w:ascii="仿宋" w:eastAsia="仿宋"/>
          <w:b w:val="0"/>
          <w:bCs/>
          <w:color w:val="000000"/>
          <w:sz w:val="32"/>
          <w:szCs w:val="32"/>
        </w:rPr>
        <w:t>20</w:t>
      </w:r>
      <w:r>
        <w:rPr>
          <w:rStyle w:val="24"/>
          <w:rFonts w:ascii="仿宋" w:eastAsia="仿宋" w:hint="eastAsia"/>
          <w:b w:val="0"/>
          <w:bCs/>
          <w:color w:val="000000"/>
          <w:sz w:val="32"/>
          <w:szCs w:val="32"/>
        </w:rPr>
        <w:t>21年因公出国（境）费0万元。</w:t>
      </w:r>
    </w:p>
    <w:p>
      <w:pPr>
        <w:spacing w:line="600" w:lineRule="exact"/>
        <w:ind w:firstLineChars="200" w:firstLine="640"/>
        <w:rPr>
          <w:rStyle w:val="24"/>
          <w:rFonts w:ascii="仿宋" w:eastAsia="仿宋"/>
          <w:b w:val="0"/>
          <w:bCs/>
          <w:color w:val="000000"/>
          <w:sz w:val="32"/>
          <w:szCs w:val="32"/>
        </w:rPr>
      </w:pPr>
      <w:r>
        <w:rPr>
          <w:rStyle w:val="24"/>
          <w:rFonts w:ascii="仿宋" w:eastAsia="仿宋"/>
          <w:bCs/>
          <w:color w:val="000000"/>
          <w:sz w:val="32"/>
          <w:szCs w:val="32"/>
        </w:rPr>
        <w:t>2.</w:t>
      </w:r>
      <w:r>
        <w:rPr>
          <w:rStyle w:val="24"/>
          <w:rFonts w:ascii="仿宋" w:eastAsia="仿宋" w:hint="eastAsia"/>
          <w:bCs/>
          <w:color w:val="000000"/>
          <w:sz w:val="32"/>
          <w:szCs w:val="32"/>
        </w:rPr>
        <w:t>公务用车购置及运行维护费支出：</w:t>
      </w:r>
      <w:r>
        <w:rPr>
          <w:rStyle w:val="24"/>
          <w:rFonts w:ascii="仿宋" w:eastAsia="仿宋" w:hint="eastAsia"/>
          <w:b w:val="0"/>
          <w:bCs/>
          <w:color w:val="000000"/>
          <w:sz w:val="32"/>
          <w:szCs w:val="32"/>
        </w:rPr>
        <w:t>18.6万元,完成预算93.85%。公务用车购置及运行维护费支出决算比</w:t>
      </w:r>
      <w:r>
        <w:rPr>
          <w:rStyle w:val="24"/>
          <w:rFonts w:ascii="仿宋" w:eastAsia="仿宋"/>
          <w:b w:val="0"/>
          <w:bCs/>
          <w:color w:val="000000"/>
          <w:sz w:val="32"/>
          <w:szCs w:val="32"/>
        </w:rPr>
        <w:t>20</w:t>
      </w:r>
      <w:r>
        <w:rPr>
          <w:rStyle w:val="24"/>
          <w:rFonts w:ascii="仿宋" w:eastAsia="仿宋" w:hint="eastAsia"/>
          <w:b w:val="0"/>
          <w:bCs/>
          <w:color w:val="000000"/>
          <w:sz w:val="32"/>
          <w:szCs w:val="32"/>
        </w:rPr>
        <w:t>20年减少1.4万元，下降7.00</w:t>
      </w:r>
      <w:r>
        <w:rPr>
          <w:rStyle w:val="24"/>
          <w:rFonts w:ascii="仿宋" w:eastAsia="仿宋"/>
          <w:b w:val="0"/>
          <w:bCs/>
          <w:color w:val="000000"/>
          <w:sz w:val="32"/>
          <w:szCs w:val="32"/>
        </w:rPr>
        <w:t>%</w:t>
      </w:r>
      <w:r>
        <w:rPr>
          <w:rStyle w:val="24"/>
          <w:rFonts w:ascii="仿宋" w:eastAsia="仿宋" w:hint="eastAsia"/>
          <w:b w:val="0"/>
          <w:bCs/>
          <w:color w:val="000000"/>
          <w:sz w:val="32"/>
          <w:szCs w:val="32"/>
        </w:rPr>
        <w:t>。原因是减少车辆维修支出。</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 w:val="0"/>
          <w:bCs/>
          <w:color w:val="000000"/>
          <w:sz w:val="32"/>
          <w:szCs w:val="32"/>
        </w:rPr>
        <w:t>其中：公务用车购置支出0万元。全年按规定更新购置公务用车0辆。截至</w:t>
      </w:r>
      <w:r>
        <w:rPr>
          <w:rStyle w:val="24"/>
          <w:rFonts w:ascii="仿宋" w:eastAsia="仿宋"/>
          <w:b w:val="0"/>
          <w:bCs/>
          <w:color w:val="000000"/>
          <w:sz w:val="32"/>
          <w:szCs w:val="32"/>
        </w:rPr>
        <w:t>20</w:t>
      </w:r>
      <w:r>
        <w:rPr>
          <w:rStyle w:val="24"/>
          <w:rFonts w:ascii="仿宋" w:eastAsia="仿宋" w:hint="eastAsia"/>
          <w:b w:val="0"/>
          <w:bCs/>
          <w:color w:val="000000"/>
          <w:sz w:val="32"/>
          <w:szCs w:val="32"/>
        </w:rPr>
        <w:t>21年</w:t>
      </w:r>
      <w:r>
        <w:rPr>
          <w:rStyle w:val="24"/>
          <w:rFonts w:ascii="仿宋" w:eastAsia="仿宋"/>
          <w:b w:val="0"/>
          <w:bCs/>
          <w:color w:val="000000"/>
          <w:sz w:val="32"/>
          <w:szCs w:val="32"/>
        </w:rPr>
        <w:t>12</w:t>
      </w:r>
      <w:r>
        <w:rPr>
          <w:rStyle w:val="24"/>
          <w:rFonts w:ascii="仿宋" w:eastAsia="仿宋" w:hint="eastAsia"/>
          <w:b w:val="0"/>
          <w:bCs/>
          <w:color w:val="000000"/>
          <w:sz w:val="32"/>
          <w:szCs w:val="32"/>
        </w:rPr>
        <w:t>月</w:t>
      </w:r>
      <w:r>
        <w:rPr>
          <w:rStyle w:val="24"/>
          <w:rFonts w:ascii="仿宋" w:eastAsia="仿宋"/>
          <w:b w:val="0"/>
          <w:bCs/>
          <w:color w:val="000000"/>
          <w:sz w:val="32"/>
          <w:szCs w:val="32"/>
        </w:rPr>
        <w:t>31</w:t>
      </w:r>
      <w:r>
        <w:rPr>
          <w:rStyle w:val="24"/>
          <w:rFonts w:ascii="仿宋" w:eastAsia="仿宋" w:hint="eastAsia"/>
          <w:b w:val="0"/>
          <w:bCs/>
          <w:color w:val="000000"/>
          <w:sz w:val="32"/>
          <w:szCs w:val="32"/>
        </w:rPr>
        <w:t>日，共有车辆3辆，其中：部级领导干部用车0辆、主要领导干部用车0辆、机要通信用车0辆、应急保障用车1辆、执法执勤用车2辆、特种专业技术用车0辆、离退休干部用车0辆、其他用车0辆；</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 w:val="0"/>
          <w:bCs/>
          <w:color w:val="000000"/>
          <w:sz w:val="32"/>
          <w:szCs w:val="32"/>
        </w:rPr>
        <w:t>公务用车运行维护费支出18.6万元。主要用于开展日常事务时车辆的燃料费、维修费、过路费、保险费等支出。</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 w:val="0"/>
          <w:bCs/>
          <w:color w:val="000000"/>
          <w:sz w:val="32"/>
          <w:szCs w:val="32"/>
        </w:rPr>
        <w:t>3.</w:t>
      </w:r>
      <w:r>
        <w:rPr>
          <w:rStyle w:val="24"/>
          <w:rFonts w:ascii="仿宋" w:eastAsia="仿宋" w:hint="eastAsia"/>
          <w:bCs/>
          <w:color w:val="000000"/>
          <w:sz w:val="32"/>
          <w:szCs w:val="32"/>
        </w:rPr>
        <w:t>公务接待费支出：</w:t>
      </w:r>
      <w:r>
        <w:rPr>
          <w:rStyle w:val="24"/>
          <w:rFonts w:ascii="仿宋" w:eastAsia="仿宋" w:hint="eastAsia"/>
          <w:b w:val="0"/>
          <w:bCs/>
          <w:color w:val="000000"/>
          <w:sz w:val="32"/>
          <w:szCs w:val="32"/>
        </w:rPr>
        <w:t>2021年公务接待费0.17万元。完成预算15.46%,公务接待费支出决算比</w:t>
      </w:r>
      <w:r>
        <w:rPr>
          <w:rStyle w:val="24"/>
          <w:rFonts w:ascii="仿宋" w:eastAsia="仿宋"/>
          <w:b w:val="0"/>
          <w:bCs/>
          <w:color w:val="000000"/>
          <w:sz w:val="32"/>
          <w:szCs w:val="32"/>
        </w:rPr>
        <w:t>20</w:t>
      </w:r>
      <w:r>
        <w:rPr>
          <w:rStyle w:val="24"/>
          <w:rFonts w:ascii="仿宋" w:eastAsia="仿宋" w:hint="eastAsia"/>
          <w:b w:val="0"/>
          <w:bCs/>
          <w:color w:val="000000"/>
          <w:sz w:val="32"/>
          <w:szCs w:val="32"/>
        </w:rPr>
        <w:t>20年减少0.21万元,下降23.53%。原因是减少接待人员。</w:t>
      </w:r>
    </w:p>
    <w:p>
      <w:pPr>
        <w:spacing w:line="600" w:lineRule="exact"/>
        <w:ind w:firstLineChars="200" w:firstLine="640"/>
        <w:rPr>
          <w:rStyle w:val="24"/>
          <w:rFonts w:ascii="仿宋" w:eastAsia="仿宋"/>
          <w:b w:val="0"/>
          <w:bCs/>
          <w:color w:val="000000"/>
          <w:sz w:val="32"/>
          <w:szCs w:val="32"/>
        </w:rPr>
      </w:pPr>
      <w:r>
        <w:rPr>
          <w:rStyle w:val="24"/>
          <w:rFonts w:ascii="仿宋" w:eastAsia="仿宋"/>
          <w:b w:val="0"/>
          <w:bCs/>
          <w:color w:val="000000"/>
          <w:sz w:val="32"/>
          <w:szCs w:val="32"/>
        </w:rPr>
        <w:t>国内公务接待支出0.17万元，主要用于执行公务、开展业务活动开支的住宿费、用餐费等。国内公务接待5批次，24人次，共计支出0.17万元</w:t>
      </w:r>
      <w:r>
        <w:rPr>
          <w:rStyle w:val="24"/>
          <w:rFonts w:ascii="仿宋" w:eastAsia="仿宋" w:hint="eastAsia"/>
          <w:b w:val="0"/>
          <w:bCs/>
          <w:color w:val="000000"/>
          <w:sz w:val="32"/>
          <w:szCs w:val="32"/>
        </w:rPr>
        <w:t>。</w:t>
      </w:r>
      <w:r>
        <w:rPr>
          <w:rStyle w:val="24"/>
          <w:rFonts w:ascii="仿宋" w:eastAsia="仿宋"/>
          <w:b w:val="0"/>
          <w:bCs/>
          <w:color w:val="000000"/>
          <w:sz w:val="32"/>
          <w:szCs w:val="32"/>
        </w:rPr>
        <w:t>比202</w:t>
      </w:r>
      <w:r>
        <w:rPr>
          <w:rStyle w:val="24"/>
          <w:rFonts w:ascii="仿宋" w:eastAsia="仿宋" w:hint="eastAsia"/>
          <w:b w:val="0"/>
          <w:bCs/>
          <w:color w:val="000000"/>
          <w:sz w:val="32"/>
          <w:szCs w:val="32"/>
        </w:rPr>
        <w:t>0</w:t>
      </w:r>
      <w:r>
        <w:rPr>
          <w:rStyle w:val="24"/>
          <w:rFonts w:ascii="仿宋" w:eastAsia="仿宋"/>
          <w:b w:val="0"/>
          <w:bCs/>
          <w:color w:val="000000"/>
          <w:sz w:val="32"/>
          <w:szCs w:val="32"/>
        </w:rPr>
        <w:t>年减少支出</w:t>
      </w:r>
      <w:r>
        <w:rPr>
          <w:rStyle w:val="24"/>
          <w:rFonts w:ascii="仿宋" w:eastAsia="仿宋" w:hint="eastAsia"/>
          <w:b w:val="0"/>
          <w:bCs/>
          <w:color w:val="000000"/>
          <w:sz w:val="32"/>
          <w:szCs w:val="32"/>
        </w:rPr>
        <w:t>0.21</w:t>
      </w:r>
      <w:r>
        <w:rPr>
          <w:rStyle w:val="24"/>
          <w:rFonts w:ascii="仿宋" w:eastAsia="仿宋"/>
          <w:b w:val="0"/>
          <w:bCs/>
          <w:color w:val="000000"/>
          <w:sz w:val="32"/>
          <w:szCs w:val="32"/>
        </w:rPr>
        <w:t>万元，主要原因为减少接待人数。</w:t>
      </w:r>
    </w:p>
    <w:p>
      <w:pPr>
        <w:pStyle w:val="23"/>
        <w:ind w:firstLineChars="250" w:firstLine="800"/>
        <w:rPr>
          <w:rStyle w:val="24"/>
          <w:rFonts w:ascii="仿宋" w:eastAsia="仿宋"/>
          <w:bCs/>
          <w:color w:val="000000"/>
          <w:kern w:val="2"/>
          <w:sz w:val="32"/>
          <w:szCs w:val="32"/>
        </w:rPr>
      </w:pPr>
      <w:r>
        <w:rPr>
          <w:rStyle w:val="24"/>
          <w:rFonts w:ascii="仿宋" w:eastAsia="仿宋"/>
          <w:b w:val="0"/>
          <w:bCs/>
          <w:color w:val="000000"/>
          <w:kern w:val="2"/>
          <w:sz w:val="32"/>
          <w:szCs w:val="32"/>
        </w:rPr>
        <w:t>外事接待支出0.00万元，外事接待0批次，0人，共计支出0.00万元</w:t>
      </w:r>
      <w:r>
        <w:rPr>
          <w:rStyle w:val="24"/>
          <w:rFonts w:ascii="仿宋" w:eastAsia="仿宋" w:hint="eastAsia"/>
          <w:b w:val="0"/>
          <w:bCs/>
          <w:color w:val="000000"/>
          <w:kern w:val="2"/>
          <w:sz w:val="32"/>
          <w:szCs w:val="32"/>
        </w:rPr>
        <w:t>。</w:t>
      </w:r>
    </w:p>
    <w:p>
      <w:pPr>
        <w:pStyle w:val="15"/>
        <w:ind w:leftChars="0" w:left="0" w:firstLineChars="200" w:firstLine="640"/>
        <w:rPr>
          <w:rFonts w:ascii="仿宋" w:eastAsia="仿宋"/>
          <w:b/>
          <w:color w:val="000000"/>
          <w:sz w:val="32"/>
          <w:szCs w:val="32"/>
        </w:rPr>
      </w:pPr>
      <w:r>
        <w:rPr>
          <w:rFonts w:ascii="仿宋" w:eastAsia="仿宋" w:hint="eastAsia"/>
          <w:b/>
          <w:color w:val="000000"/>
          <w:sz w:val="32"/>
          <w:szCs w:val="32"/>
        </w:rPr>
        <w:t>（三）“三公”经费年初预算与支出决算情况说明</w:t>
      </w:r>
    </w:p>
    <w:p>
      <w:pPr>
        <w:ind w:firstLineChars="300" w:firstLine="960"/>
        <w:rPr>
          <w:rFonts w:ascii="仿宋_GB2312" w:eastAsia="仿宋_GB2312" w:cs="仿宋"/>
          <w:color w:val="000000"/>
          <w:kern w:val="0"/>
          <w:sz w:val="30"/>
          <w:szCs w:val="30"/>
        </w:rPr>
      </w:pPr>
      <w:r>
        <w:rPr>
          <w:rFonts w:ascii="仿宋" w:eastAsia="仿宋" w:hint="eastAsia"/>
          <w:color w:val="000000"/>
          <w:sz w:val="32"/>
          <w:szCs w:val="32"/>
        </w:rPr>
        <w:t>2021年年初预算公务用车购置及运行维护费20万元，财政拨款支出</w:t>
      </w:r>
      <w:r>
        <w:rPr>
          <w:rFonts w:ascii="仿宋" w:eastAsia="仿宋" w:hint="eastAsia"/>
          <w:sz w:val="32"/>
          <w:szCs w:val="32"/>
        </w:rPr>
        <w:t>决算18.77万元，完成预算93.85%;</w:t>
      </w:r>
      <w:r>
        <w:rPr>
          <w:rFonts w:ascii="仿宋" w:eastAsia="仿宋" w:hint="eastAsia"/>
          <w:color w:val="000000"/>
          <w:sz w:val="32"/>
          <w:szCs w:val="32"/>
        </w:rPr>
        <w:t>公务接待费年初预算1.1万元，公务接待费支出决算0.17万元,</w:t>
      </w:r>
      <w:r>
        <w:rPr>
          <w:rFonts w:ascii="仿宋" w:eastAsia="仿宋" w:hint="eastAsia"/>
          <w:sz w:val="32"/>
          <w:szCs w:val="32"/>
        </w:rPr>
        <w:t xml:space="preserve"> 完成预算15.46%</w:t>
      </w:r>
      <w:r>
        <w:rPr>
          <w:rFonts w:ascii="仿宋_GB2312" w:eastAsia="仿宋_GB2312" w:cs="仿宋" w:hint="eastAsia"/>
          <w:color w:val="000000"/>
          <w:kern w:val="0"/>
          <w:sz w:val="30"/>
          <w:szCs w:val="30"/>
        </w:rPr>
        <w:t>。</w:t>
      </w:r>
    </w:p>
    <w:p>
      <w:pPr>
        <w:pStyle w:val="15"/>
      </w:pPr>
      <w:r>
        <w:drawing>
          <wp:inline distT="0" distB="0" distL="0" distR="0">
            <wp:extent cx="4381500" cy="2733675"/>
            <wp:effectExtent l="0" t="0" r="0" b="0"/>
            <wp:docPr id="6" name="图表 2"/>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640"/>
        <w:outlineLvl w:val="1"/>
        <w:rPr>
          <w:rFonts w:ascii="黑体" w:eastAsia="黑体"/>
          <w:color w:val="000000"/>
          <w:sz w:val="32"/>
          <w:szCs w:val="32"/>
        </w:rPr>
      </w:pPr>
      <w:bookmarkStart w:id="46" w:name="_Toc15396610"/>
      <w:bookmarkStart w:id="47" w:name="_Toc15377218"/>
    </w:p>
    <w:p>
      <w:pPr>
        <w:spacing w:line="600" w:lineRule="exact"/>
        <w:ind w:firstLine="640"/>
        <w:outlineLvl w:val="1"/>
        <w:rPr>
          <w:rStyle w:val="2Char"/>
          <w:rFonts w:ascii="黑体" w:eastAsia="黑体"/>
        </w:rPr>
      </w:pPr>
      <w:r>
        <w:rPr>
          <w:rFonts w:ascii="黑体" w:eastAsia="黑体" w:hint="eastAsia"/>
          <w:color w:val="000000"/>
          <w:sz w:val="32"/>
          <w:szCs w:val="32"/>
        </w:rPr>
        <w:t>七、</w:t>
      </w:r>
      <w:r>
        <w:rPr>
          <w:rStyle w:val="2Char"/>
          <w:rFonts w:ascii="黑体" w:eastAsia="黑体" w:hint="eastAsia"/>
          <w:b w:val="0"/>
        </w:rPr>
        <w:t>政府性基金预算支出决算情况说明</w:t>
      </w:r>
      <w:bookmarkEnd w:id="46"/>
      <w:bookmarkEnd w:id="47"/>
    </w:p>
    <w:p>
      <w:pPr>
        <w:pStyle w:val="23"/>
        <w:ind w:firstLineChars="250" w:firstLine="800"/>
        <w:rPr>
          <w:rStyle w:val="24"/>
          <w:rFonts w:ascii="仿宋" w:eastAsia="仿宋"/>
          <w:bCs/>
          <w:kern w:val="2"/>
        </w:rPr>
      </w:pPr>
      <w:r>
        <w:rPr>
          <w:rStyle w:val="24"/>
          <w:rFonts w:ascii="仿宋" w:eastAsia="仿宋"/>
          <w:b w:val="0"/>
          <w:bCs/>
          <w:color w:val="000000"/>
          <w:kern w:val="2"/>
          <w:sz w:val="32"/>
          <w:szCs w:val="32"/>
        </w:rPr>
        <w:t>20</w:t>
      </w:r>
      <w:r>
        <w:rPr>
          <w:rStyle w:val="24"/>
          <w:rFonts w:ascii="仿宋" w:eastAsia="仿宋" w:hint="eastAsia"/>
          <w:b w:val="0"/>
          <w:bCs/>
          <w:color w:val="000000"/>
          <w:kern w:val="2"/>
          <w:sz w:val="32"/>
          <w:szCs w:val="32"/>
        </w:rPr>
        <w:t>21年政府性基金预算拨款支出0万元。</w:t>
      </w:r>
    </w:p>
    <w:p>
      <w:pPr>
        <w:tabs>
          <w:tab w:val="left" w:pos="0"/>
        </w:tabs>
        <w:spacing w:line="600" w:lineRule="exact"/>
        <w:ind w:left="640"/>
        <w:outlineLvl w:val="1"/>
        <w:rPr>
          <w:rStyle w:val="2Char"/>
          <w:rFonts w:ascii="黑体" w:eastAsia="黑体"/>
          <w:b w:val="0"/>
        </w:rPr>
      </w:pPr>
      <w:bookmarkStart w:id="48" w:name="_Toc15396611"/>
      <w:bookmarkStart w:id="49" w:name="_Toc15377219"/>
      <w:r>
        <w:rPr>
          <w:rStyle w:val="2Char"/>
          <w:rFonts w:ascii="黑体" w:eastAsia="黑体" w:hint="eastAsia"/>
          <w:b w:val="0"/>
        </w:rPr>
        <w:t>八、国有资本经营预算支出决算情况说明</w:t>
      </w:r>
      <w:bookmarkEnd w:id="48"/>
      <w:bookmarkEnd w:id="49"/>
    </w:p>
    <w:p>
      <w:pPr>
        <w:pStyle w:val="23"/>
        <w:ind w:firstLineChars="250" w:firstLine="800"/>
        <w:rPr>
          <w:rStyle w:val="24"/>
          <w:rFonts w:ascii="仿宋" w:eastAsia="仿宋"/>
          <w:b w:val="0"/>
          <w:bCs/>
          <w:color w:val="000000"/>
          <w:kern w:val="2"/>
          <w:sz w:val="32"/>
          <w:szCs w:val="32"/>
        </w:rPr>
      </w:pPr>
      <w:r>
        <w:rPr>
          <w:rStyle w:val="24"/>
          <w:rFonts w:ascii="仿宋" w:eastAsia="仿宋"/>
          <w:b w:val="0"/>
          <w:bCs/>
          <w:color w:val="000000"/>
          <w:kern w:val="2"/>
          <w:sz w:val="32"/>
          <w:szCs w:val="32"/>
        </w:rPr>
        <w:t>20</w:t>
      </w:r>
      <w:r>
        <w:rPr>
          <w:rStyle w:val="24"/>
          <w:rFonts w:ascii="仿宋" w:eastAsia="仿宋" w:hint="eastAsia"/>
          <w:b w:val="0"/>
          <w:bCs/>
          <w:color w:val="000000"/>
          <w:kern w:val="2"/>
          <w:sz w:val="32"/>
          <w:szCs w:val="32"/>
        </w:rPr>
        <w:t>21年国有资本经营预算拨款支出0万元。</w:t>
      </w:r>
    </w:p>
    <w:p>
      <w:pPr>
        <w:pStyle w:val="31"/>
        <w:spacing w:line="580" w:lineRule="exact"/>
        <w:ind w:left="709" w:firstLineChars="0" w:firstLine="0"/>
        <w:rPr>
          <w:rStyle w:val="2Char"/>
          <w:rFonts w:ascii="黑体" w:eastAsia="黑体"/>
          <w:b w:val="0"/>
        </w:rPr>
      </w:pPr>
      <w:r>
        <w:rPr>
          <w:rStyle w:val="2Char"/>
          <w:rFonts w:ascii="黑体" w:eastAsia="黑体" w:hint="eastAsia"/>
          <w:b w:val="0"/>
        </w:rPr>
        <w:t>九、预算绩效情况说明</w:t>
      </w:r>
    </w:p>
    <w:p>
      <w:pPr>
        <w:numPr>
          <w:ilvl w:val="0"/>
          <w:numId w:val="2"/>
        </w:numPr>
        <w:spacing w:line="580" w:lineRule="exact"/>
        <w:ind w:left="0" w:firstLineChars="200" w:firstLine="640"/>
        <w:rPr>
          <w:rFonts w:ascii="仿宋" w:eastAsia="仿宋" w:cs="楷体_GB2312"/>
          <w:b/>
          <w:bCs/>
          <w:sz w:val="32"/>
          <w:szCs w:val="32"/>
        </w:rPr>
      </w:pPr>
      <w:r>
        <w:rPr>
          <w:rFonts w:ascii="仿宋" w:eastAsia="仿宋" w:cs="楷体_GB2312" w:hint="eastAsia"/>
          <w:b/>
          <w:bCs/>
          <w:sz w:val="32"/>
          <w:szCs w:val="32"/>
        </w:rPr>
        <w:t>预算绩效管理工作开展情况。</w:t>
      </w:r>
    </w:p>
    <w:p>
      <w:pPr>
        <w:pStyle w:val="23"/>
        <w:ind w:firstLineChars="250" w:firstLine="800"/>
        <w:rPr>
          <w:rStyle w:val="24"/>
          <w:rFonts w:ascii="仿宋" w:eastAsia="仿宋"/>
          <w:b w:val="0"/>
          <w:bCs/>
          <w:color w:val="000000"/>
          <w:kern w:val="2"/>
          <w:sz w:val="32"/>
          <w:szCs w:val="32"/>
        </w:rPr>
      </w:pPr>
      <w:r>
        <w:rPr>
          <w:rStyle w:val="24"/>
          <w:rFonts w:ascii="仿宋" w:eastAsia="仿宋" w:hint="eastAsia"/>
          <w:b w:val="0"/>
          <w:bCs/>
          <w:color w:val="000000"/>
          <w:kern w:val="2"/>
          <w:sz w:val="32"/>
          <w:szCs w:val="32"/>
        </w:rPr>
        <w:t>根据预算绩效管理要求，我单位在年初预算编制阶段，组织对项目开展了预算事前绩效评估，本部门按要求对2021年部门整体支出开展绩效自评，努力提升本单位绩效预算管理业务水平。主动公开绩效结果，加大资金使用效率，提升政府管理水平。及时告知各部门（科室）部门预算及项目支出进度。</w:t>
      </w:r>
    </w:p>
    <w:p>
      <w:pPr>
        <w:tabs>
          <w:tab w:val="left" w:pos="1493"/>
        </w:tabs>
        <w:snapToGrid w:val="0"/>
        <w:spacing w:line="520" w:lineRule="exact"/>
        <w:ind w:firstLineChars="200" w:firstLine="640"/>
        <w:rPr>
          <w:rFonts w:ascii="仿宋" w:eastAsia="仿宋" w:cs="楷体_GB2312"/>
          <w:b/>
          <w:bCs/>
          <w:sz w:val="32"/>
          <w:szCs w:val="32"/>
        </w:rPr>
      </w:pPr>
      <w:r>
        <w:rPr>
          <w:rFonts w:ascii="仿宋" w:eastAsia="仿宋" w:cs="楷体_GB2312" w:hint="eastAsia"/>
          <w:b/>
          <w:bCs/>
          <w:sz w:val="32"/>
          <w:szCs w:val="32"/>
        </w:rPr>
        <w:t>（二）项目绩效目标完成情况。</w:t>
      </w:r>
    </w:p>
    <w:p>
      <w:pPr>
        <w:tabs>
          <w:tab w:val="left" w:pos="1493"/>
        </w:tabs>
        <w:snapToGrid w:val="0"/>
        <w:spacing w:line="520" w:lineRule="exact"/>
        <w:ind w:firstLineChars="200" w:firstLine="640"/>
        <w:rPr>
          <w:rStyle w:val="24"/>
          <w:rFonts w:ascii="仿宋" w:eastAsia="仿宋"/>
          <w:bCs/>
          <w:color w:val="000000"/>
          <w:sz w:val="32"/>
          <w:szCs w:val="32"/>
        </w:rPr>
      </w:pPr>
      <w:r>
        <w:rPr>
          <w:rFonts w:ascii="仿宋_GB2312" w:eastAsia="仿宋_GB2312" w:cs="仿宋_GB2312" w:hint="eastAsia"/>
          <w:sz w:val="32"/>
          <w:szCs w:val="32"/>
        </w:rPr>
        <w:t xml:space="preserve"> </w:t>
      </w:r>
      <w:r>
        <w:rPr>
          <w:rStyle w:val="24"/>
          <w:rFonts w:ascii="仿宋" w:eastAsia="仿宋" w:hint="eastAsia"/>
          <w:b w:val="0"/>
          <w:bCs/>
          <w:color w:val="000000"/>
          <w:sz w:val="32"/>
          <w:szCs w:val="32"/>
        </w:rPr>
        <w:t>2021年度整体项目支出共49.4万元，其中基本建设类项目支出0万元，占整体项目支出的0%。</w:t>
      </w:r>
    </w:p>
    <w:p>
      <w:pPr>
        <w:tabs>
          <w:tab w:val="left" w:pos="0"/>
        </w:tabs>
        <w:spacing w:line="580" w:lineRule="exact"/>
        <w:ind w:leftChars="200" w:left="420"/>
        <w:rPr>
          <w:rFonts w:ascii="仿宋" w:eastAsia="仿宋" w:cs="仿宋_GB2312"/>
          <w:sz w:val="32"/>
          <w:szCs w:val="32"/>
        </w:rPr>
      </w:pPr>
      <w:r>
        <w:rPr>
          <w:rFonts w:ascii="仿宋" w:eastAsia="仿宋" w:cs="楷体_GB2312" w:hint="eastAsia"/>
          <w:b/>
          <w:bCs/>
          <w:sz w:val="32"/>
          <w:szCs w:val="32"/>
        </w:rPr>
        <w:t>（三）部门开展绩效评价结果。</w:t>
      </w:r>
    </w:p>
    <w:p>
      <w:pPr>
        <w:spacing w:line="580" w:lineRule="exact"/>
        <w:ind w:firstLineChars="200" w:firstLine="640"/>
        <w:rPr>
          <w:rStyle w:val="24"/>
          <w:rFonts w:ascii="仿宋" w:eastAsia="仿宋"/>
          <w:b w:val="0"/>
          <w:bCs/>
          <w:color w:val="000000"/>
          <w:sz w:val="32"/>
          <w:szCs w:val="32"/>
        </w:rPr>
      </w:pPr>
      <w:r>
        <w:rPr>
          <w:rStyle w:val="24"/>
          <w:rFonts w:ascii="仿宋" w:eastAsia="仿宋" w:hint="eastAsia"/>
          <w:b w:val="0"/>
          <w:bCs/>
          <w:color w:val="000000"/>
          <w:sz w:val="32"/>
          <w:szCs w:val="32"/>
        </w:rPr>
        <w:t>本部门按要求对2021年部门整体支出绩效评价情况开展自评，《中共金川县纪律检查委员会2021年部门预算整体支出绩效评价报告》见附件。</w:t>
      </w:r>
    </w:p>
    <w:p>
      <w:pPr>
        <w:spacing w:line="600" w:lineRule="exact"/>
        <w:ind w:firstLineChars="200" w:firstLine="640"/>
        <w:outlineLvl w:val="1"/>
        <w:rPr>
          <w:rStyle w:val="2Char"/>
          <w:rFonts w:ascii="黑体" w:eastAsia="黑体"/>
        </w:rPr>
      </w:pPr>
      <w:bookmarkStart w:id="50" w:name="_Toc15377221"/>
      <w:bookmarkStart w:id="51" w:name="_Toc15396612"/>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50"/>
      <w:bookmarkEnd w:id="51"/>
    </w:p>
    <w:p>
      <w:pPr>
        <w:spacing w:line="600" w:lineRule="exact"/>
        <w:ind w:firstLineChars="200" w:firstLine="640"/>
        <w:outlineLvl w:val="2"/>
        <w:rPr>
          <w:rFonts w:ascii="仿宋" w:eastAsia="仿宋"/>
          <w:color w:val="000000"/>
          <w:sz w:val="32"/>
          <w:szCs w:val="32"/>
        </w:rPr>
      </w:pPr>
      <w:bookmarkStart w:id="52" w:name="_Toc15377222"/>
      <w:r>
        <w:rPr>
          <w:rFonts w:ascii="仿宋" w:eastAsia="仿宋" w:hint="eastAsia"/>
          <w:b/>
          <w:color w:val="000000"/>
          <w:sz w:val="32"/>
          <w:szCs w:val="32"/>
        </w:rPr>
        <w:t>（一）机关运行经费支出情况</w:t>
      </w:r>
      <w:bookmarkEnd w:id="52"/>
    </w:p>
    <w:p>
      <w:pPr>
        <w:spacing w:line="580" w:lineRule="exact"/>
        <w:ind w:firstLineChars="200" w:firstLine="640"/>
        <w:rPr>
          <w:rStyle w:val="24"/>
          <w:rFonts w:ascii="仿宋" w:eastAsia="仿宋"/>
          <w:b w:val="0"/>
          <w:bCs/>
          <w:color w:val="000000"/>
          <w:sz w:val="32"/>
          <w:szCs w:val="32"/>
        </w:rPr>
      </w:pPr>
      <w:r>
        <w:rPr>
          <w:rStyle w:val="24"/>
          <w:rFonts w:ascii="仿宋" w:eastAsia="仿宋"/>
          <w:b w:val="0"/>
          <w:bCs/>
          <w:color w:val="000000"/>
          <w:sz w:val="32"/>
          <w:szCs w:val="32"/>
        </w:rPr>
        <w:t>20</w:t>
      </w:r>
      <w:r>
        <w:rPr>
          <w:rStyle w:val="24"/>
          <w:rFonts w:ascii="仿宋" w:eastAsia="仿宋" w:hint="eastAsia"/>
          <w:b w:val="0"/>
          <w:bCs/>
          <w:color w:val="000000"/>
          <w:sz w:val="32"/>
          <w:szCs w:val="32"/>
        </w:rPr>
        <w:t>21年，运行经费支出126.07万元，比</w:t>
      </w:r>
      <w:r>
        <w:rPr>
          <w:rStyle w:val="24"/>
          <w:rFonts w:ascii="仿宋" w:eastAsia="仿宋"/>
          <w:b w:val="0"/>
          <w:bCs/>
          <w:color w:val="000000"/>
          <w:sz w:val="32"/>
          <w:szCs w:val="32"/>
        </w:rPr>
        <w:t>20</w:t>
      </w:r>
      <w:r>
        <w:rPr>
          <w:rStyle w:val="24"/>
          <w:rFonts w:ascii="仿宋" w:eastAsia="仿宋" w:hint="eastAsia"/>
          <w:b w:val="0"/>
          <w:bCs/>
          <w:color w:val="000000"/>
          <w:sz w:val="32"/>
          <w:szCs w:val="32"/>
        </w:rPr>
        <w:t>20年增加20.87万元，上升19.83</w:t>
      </w:r>
      <w:r>
        <w:rPr>
          <w:rStyle w:val="24"/>
          <w:rFonts w:ascii="仿宋" w:eastAsia="仿宋"/>
          <w:b w:val="0"/>
          <w:bCs/>
          <w:color w:val="000000"/>
          <w:sz w:val="32"/>
          <w:szCs w:val="32"/>
        </w:rPr>
        <w:t>%</w:t>
      </w:r>
      <w:r>
        <w:rPr>
          <w:rStyle w:val="24"/>
          <w:rFonts w:ascii="仿宋" w:eastAsia="仿宋" w:hint="eastAsia"/>
          <w:b w:val="0"/>
          <w:bCs/>
          <w:color w:val="000000"/>
          <w:sz w:val="32"/>
          <w:szCs w:val="32"/>
        </w:rPr>
        <w:t>。主要原因为差旅费、公务用车运行维护费及人员增加。</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3" w:name="_Toc15377223"/>
      <w:r>
        <w:rPr>
          <w:rFonts w:ascii="仿宋" w:eastAsia="仿宋" w:hint="eastAsia"/>
          <w:b/>
          <w:color w:val="000000"/>
          <w:sz w:val="32"/>
          <w:szCs w:val="32"/>
        </w:rPr>
        <w:t>（二）政府采购支出情况</w:t>
      </w:r>
      <w:bookmarkEnd w:id="53"/>
    </w:p>
    <w:p>
      <w:pPr>
        <w:pStyle w:val="23"/>
        <w:ind w:firstLineChars="250" w:firstLine="800"/>
        <w:rPr>
          <w:rStyle w:val="24"/>
          <w:rFonts w:ascii="仿宋" w:eastAsia="仿宋"/>
          <w:b w:val="0"/>
          <w:bCs/>
          <w:color w:val="000000"/>
          <w:kern w:val="2"/>
          <w:sz w:val="32"/>
          <w:szCs w:val="32"/>
        </w:rPr>
      </w:pPr>
      <w:bookmarkStart w:id="54" w:name="_Toc15377224"/>
      <w:r>
        <w:rPr>
          <w:rStyle w:val="24"/>
          <w:rFonts w:ascii="仿宋" w:eastAsia="仿宋"/>
          <w:b w:val="0"/>
          <w:bCs/>
          <w:color w:val="000000"/>
          <w:kern w:val="2"/>
          <w:sz w:val="32"/>
          <w:szCs w:val="32"/>
        </w:rPr>
        <w:t>2021年，中共金川县纪律检查委员会政府采购支出总额1.55万元，其中：政府采购货物支出1.55万元、政府采购工程支出0.00万元、政府采购服务支出0.00万元。主要用于</w:t>
      </w:r>
      <w:r>
        <w:rPr>
          <w:rStyle w:val="24"/>
          <w:rFonts w:ascii="仿宋" w:eastAsia="仿宋" w:hint="eastAsia"/>
          <w:b w:val="0"/>
          <w:bCs/>
          <w:color w:val="000000"/>
          <w:kern w:val="2"/>
          <w:sz w:val="32"/>
          <w:szCs w:val="32"/>
        </w:rPr>
        <w:t>办案设备购置</w:t>
      </w:r>
      <w:r>
        <w:rPr>
          <w:rStyle w:val="24"/>
          <w:rFonts w:ascii="仿宋" w:eastAsia="仿宋"/>
          <w:b w:val="0"/>
          <w:bCs/>
          <w:color w:val="000000"/>
          <w:kern w:val="2"/>
          <w:sz w:val="32"/>
          <w:szCs w:val="32"/>
        </w:rPr>
        <w:t>。授予中小企业合同金额1.55万元，占政府采购支出总额的100.00%，其中：授予小微企业合同金额1.55万元，占政府采购支出总额的100.00%。</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（三）国有资产占有使用情况</w:t>
      </w:r>
      <w:bookmarkEnd w:id="54"/>
    </w:p>
    <w:p>
      <w:pPr>
        <w:pStyle w:val="23"/>
        <w:ind w:firstLineChars="200" w:firstLine="640"/>
        <w:rPr>
          <w:rStyle w:val="24"/>
          <w:rFonts w:ascii="仿宋" w:eastAsia="仿宋"/>
          <w:bCs/>
          <w:color w:val="000000"/>
          <w:kern w:val="2"/>
          <w:sz w:val="32"/>
          <w:szCs w:val="32"/>
        </w:rPr>
      </w:pPr>
      <w:r>
        <w:rPr>
          <w:rStyle w:val="24"/>
          <w:rFonts w:ascii="仿宋" w:eastAsia="仿宋"/>
          <w:b w:val="0"/>
          <w:bCs/>
          <w:color w:val="000000"/>
          <w:kern w:val="2"/>
          <w:sz w:val="32"/>
          <w:szCs w:val="32"/>
        </w:rPr>
        <w:t>截至2021年12月31日，中共金川县纪律检查委员会共有车辆3辆，其中：</w:t>
      </w:r>
      <w:bookmarkStart w:id="55" w:name="_GoBack"/>
      <w:bookmarkEnd w:id="55"/>
      <w:r>
        <w:rPr>
          <w:rStyle w:val="24"/>
          <w:rFonts w:ascii="仿宋" w:eastAsia="仿宋"/>
          <w:b w:val="0"/>
          <w:bCs/>
          <w:color w:val="000000"/>
          <w:kern w:val="2"/>
          <w:sz w:val="32"/>
          <w:szCs w:val="32"/>
        </w:rPr>
        <w:t>主要领导干部用车0辆、机要通信用车0辆、应急保障用车</w:t>
      </w:r>
      <w:r>
        <w:rPr>
          <w:rStyle w:val="24"/>
          <w:rFonts w:ascii="仿宋" w:eastAsia="仿宋" w:hint="eastAsia"/>
          <w:b w:val="0"/>
          <w:bCs/>
          <w:color w:val="000000"/>
          <w:kern w:val="2"/>
          <w:sz w:val="32"/>
          <w:szCs w:val="32"/>
        </w:rPr>
        <w:t>1</w:t>
      </w:r>
      <w:r>
        <w:rPr>
          <w:rStyle w:val="24"/>
          <w:rFonts w:ascii="仿宋" w:eastAsia="仿宋"/>
          <w:b w:val="0"/>
          <w:bCs/>
          <w:color w:val="000000"/>
          <w:kern w:val="2"/>
          <w:sz w:val="32"/>
          <w:szCs w:val="32"/>
        </w:rPr>
        <w:t>辆、</w:t>
      </w:r>
      <w:r>
        <w:rPr>
          <w:rStyle w:val="24"/>
          <w:rFonts w:ascii="仿宋" w:eastAsia="仿宋" w:hint="eastAsia"/>
          <w:b w:val="0"/>
          <w:bCs/>
          <w:color w:val="000000"/>
          <w:sz w:val="32"/>
          <w:szCs w:val="32"/>
        </w:rPr>
        <w:t>执法执勤用车2辆、</w:t>
      </w:r>
      <w:r>
        <w:rPr>
          <w:rStyle w:val="24"/>
          <w:rFonts w:ascii="仿宋" w:eastAsia="仿宋"/>
          <w:b w:val="0"/>
          <w:bCs/>
          <w:color w:val="000000"/>
          <w:kern w:val="2"/>
          <w:sz w:val="32"/>
          <w:szCs w:val="32"/>
        </w:rPr>
        <w:t>其他用车0辆</w:t>
      </w:r>
      <w:r>
        <w:rPr>
          <w:rStyle w:val="24"/>
          <w:rFonts w:ascii="仿宋" w:eastAsia="仿宋" w:hint="eastAsia"/>
          <w:b w:val="0"/>
          <w:bCs/>
          <w:color w:val="000000"/>
          <w:kern w:val="2"/>
          <w:sz w:val="32"/>
          <w:szCs w:val="32"/>
        </w:rPr>
        <w:t>，</w:t>
      </w:r>
      <w:r>
        <w:rPr>
          <w:rStyle w:val="24"/>
          <w:rFonts w:ascii="仿宋" w:eastAsia="仿宋"/>
          <w:b w:val="0"/>
          <w:bCs/>
          <w:color w:val="000000"/>
          <w:kern w:val="2"/>
          <w:sz w:val="32"/>
          <w:szCs w:val="32"/>
        </w:rPr>
        <w:t>单价50万元以上通用设备0台（套），单价100万元以上专用设备0台（套）</w:t>
      </w:r>
      <w:r>
        <w:rPr>
          <w:rStyle w:val="24"/>
          <w:rFonts w:ascii="仿宋" w:eastAsia="仿宋"/>
          <w:bCs/>
          <w:color w:val="000000"/>
          <w:kern w:val="2"/>
          <w:sz w:val="32"/>
          <w:szCs w:val="32"/>
        </w:rPr>
        <w:t>。</w:t>
      </w:r>
    </w:p>
    <w:p>
      <w:pPr>
        <w:widowControl/>
        <w:jc w:val="left"/>
        <w:rPr>
          <w:rFonts w:ascii="仿宋_GB2312" w:eastAsia="仿宋_GB2312"/>
          <w:b/>
          <w:color w:val="000000"/>
          <w:sz w:val="32"/>
          <w:szCs w:val="32"/>
        </w:rPr>
      </w:pPr>
    </w:p>
    <w:p>
      <w:pPr>
        <w:numPr>
          <w:ilvl w:val="0"/>
          <w:numId w:val="3"/>
        </w:numPr>
        <w:spacing w:line="600" w:lineRule="exact"/>
        <w:ind w:left="0" w:firstLineChars="150" w:firstLine="660"/>
        <w:jc w:val="center"/>
        <w:outlineLvl w:val="0"/>
        <w:rPr>
          <w:rStyle w:val="1Char"/>
          <w:rFonts w:ascii="黑体" w:eastAsia="黑体"/>
          <w:b w:val="0"/>
        </w:rPr>
      </w:pPr>
      <w:bookmarkStart w:id="56" w:name="_Toc15396613"/>
      <w:bookmarkStart w:id="57" w:name="_Toc15377225"/>
      <w:r>
        <w:rPr>
          <w:rFonts w:ascii="黑体" w:eastAsia="黑体" w:hint="eastAsia"/>
          <w:b/>
          <w:color w:val="000000"/>
          <w:sz w:val="44"/>
          <w:szCs w:val="44"/>
        </w:rPr>
        <w:t>名</w:t>
      </w:r>
      <w:r>
        <w:rPr>
          <w:rStyle w:val="1Char"/>
          <w:rFonts w:ascii="黑体" w:eastAsia="黑体" w:hint="eastAsia"/>
          <w:b w:val="0"/>
        </w:rPr>
        <w:t>词解释</w:t>
      </w:r>
      <w:bookmarkEnd w:id="56"/>
      <w:bookmarkEnd w:id="57"/>
    </w:p>
    <w:p>
      <w:pPr>
        <w:pStyle w:val="30"/>
        <w:spacing w:line="560" w:lineRule="exact"/>
        <w:ind w:firstLineChars="200" w:firstLine="480"/>
        <w:rPr>
          <w:rStyle w:val="24"/>
          <w:rFonts w:cs="Times New Roman"/>
          <w:b w:val="0"/>
          <w:bCs/>
          <w:kern w:val="2"/>
          <w:sz w:val="32"/>
          <w:szCs w:val="32"/>
        </w:rPr>
      </w:pPr>
      <w:r>
        <w:rPr>
          <w:rStyle w:val="24"/>
          <w:rFonts w:cs="Times New Roman"/>
          <w:bCs/>
          <w:kern w:val="2"/>
        </w:rPr>
        <w:t>1</w:t>
      </w:r>
      <w:r>
        <w:rPr>
          <w:rStyle w:val="24"/>
          <w:rFonts w:cs="Times New Roman"/>
          <w:b w:val="0"/>
          <w:bCs/>
          <w:kern w:val="2"/>
          <w:sz w:val="32"/>
          <w:szCs w:val="32"/>
        </w:rPr>
        <w:t>.</w:t>
      </w:r>
      <w:r>
        <w:rPr>
          <w:rStyle w:val="24"/>
          <w:rFonts w:cs="Times New Roman" w:hint="eastAsia"/>
          <w:b w:val="0"/>
          <w:bCs/>
          <w:kern w:val="2"/>
          <w:sz w:val="32"/>
          <w:szCs w:val="32"/>
        </w:rPr>
        <w:t>财政拨款收入：指单位从同级财政部门取得的财政预算资金。</w:t>
      </w:r>
    </w:p>
    <w:p>
      <w:pPr>
        <w:pStyle w:val="30"/>
        <w:spacing w:line="560" w:lineRule="exact"/>
        <w:ind w:firstLineChars="200" w:firstLine="640"/>
        <w:rPr>
          <w:rStyle w:val="24"/>
          <w:rFonts w:cs="Times New Roman"/>
          <w:b w:val="0"/>
          <w:bCs/>
          <w:kern w:val="2"/>
          <w:sz w:val="32"/>
          <w:szCs w:val="32"/>
        </w:rPr>
      </w:pPr>
      <w:r>
        <w:rPr>
          <w:rStyle w:val="24"/>
          <w:rFonts w:cs="Times New Roman"/>
          <w:b w:val="0"/>
          <w:bCs/>
          <w:kern w:val="2"/>
          <w:sz w:val="32"/>
          <w:szCs w:val="32"/>
        </w:rPr>
        <w:t>2.</w:t>
      </w:r>
      <w:r>
        <w:rPr>
          <w:rStyle w:val="24"/>
          <w:rFonts w:cs="Times New Roman" w:hint="eastAsia"/>
          <w:b w:val="0"/>
          <w:bCs/>
          <w:kern w:val="2"/>
          <w:sz w:val="32"/>
          <w:szCs w:val="32"/>
        </w:rPr>
        <w:t>事业收入：指事业单位开展专业业务活动及辅助活动取得的收入。</w:t>
      </w:r>
    </w:p>
    <w:p>
      <w:pPr>
        <w:pStyle w:val="30"/>
        <w:spacing w:line="560" w:lineRule="exact"/>
        <w:ind w:firstLineChars="200" w:firstLine="640"/>
        <w:rPr>
          <w:rStyle w:val="24"/>
          <w:rFonts w:cs="Times New Roman"/>
          <w:b w:val="0"/>
          <w:bCs/>
          <w:kern w:val="2"/>
          <w:sz w:val="32"/>
          <w:szCs w:val="32"/>
        </w:rPr>
      </w:pPr>
      <w:r>
        <w:rPr>
          <w:rStyle w:val="24"/>
          <w:rFonts w:cs="Times New Roman"/>
          <w:b w:val="0"/>
          <w:bCs/>
          <w:kern w:val="2"/>
          <w:sz w:val="32"/>
          <w:szCs w:val="32"/>
        </w:rPr>
        <w:t>3.</w:t>
      </w:r>
      <w:r>
        <w:rPr>
          <w:rStyle w:val="24"/>
          <w:rFonts w:cs="Times New Roman" w:hint="eastAsia"/>
          <w:b w:val="0"/>
          <w:bCs/>
          <w:kern w:val="2"/>
          <w:sz w:val="32"/>
          <w:szCs w:val="32"/>
        </w:rPr>
        <w:t>经营收入：指事业单位在专业业务活动及其辅助活动之外开展非独立核算经营活动取得的收入。</w:t>
      </w:r>
    </w:p>
    <w:p>
      <w:pPr>
        <w:pStyle w:val="30"/>
        <w:spacing w:line="560" w:lineRule="exact"/>
        <w:ind w:firstLineChars="200" w:firstLine="640"/>
        <w:rPr>
          <w:rStyle w:val="24"/>
          <w:rFonts w:cs="Times New Roman"/>
          <w:b w:val="0"/>
          <w:bCs/>
          <w:kern w:val="2"/>
          <w:sz w:val="32"/>
          <w:szCs w:val="32"/>
        </w:rPr>
      </w:pPr>
      <w:r>
        <w:rPr>
          <w:rStyle w:val="24"/>
          <w:rFonts w:cs="Times New Roman"/>
          <w:b w:val="0"/>
          <w:bCs/>
          <w:kern w:val="2"/>
          <w:sz w:val="32"/>
          <w:szCs w:val="32"/>
        </w:rPr>
        <w:t>4.</w:t>
      </w:r>
      <w:r>
        <w:rPr>
          <w:rStyle w:val="24"/>
          <w:rFonts w:cs="Times New Roman" w:hint="eastAsia"/>
          <w:b w:val="0"/>
          <w:bCs/>
          <w:kern w:val="2"/>
          <w:sz w:val="32"/>
          <w:szCs w:val="32"/>
        </w:rPr>
        <w:t>其他收入：指单位取得的除上述收入以外的各项收入。主要是银行存款利息和伙食团缴费等。</w:t>
      </w:r>
      <w:r>
        <w:rPr>
          <w:rStyle w:val="24"/>
          <w:rFonts w:cs="Times New Roman"/>
          <w:b w:val="0"/>
          <w:bCs/>
          <w:kern w:val="2"/>
          <w:sz w:val="32"/>
          <w:szCs w:val="32"/>
        </w:rPr>
        <w:t xml:space="preserve"> </w:t>
      </w:r>
    </w:p>
    <w:p>
      <w:pPr>
        <w:pStyle w:val="30"/>
        <w:spacing w:line="560" w:lineRule="exact"/>
        <w:ind w:firstLineChars="200" w:firstLine="640"/>
        <w:rPr>
          <w:rStyle w:val="24"/>
          <w:rFonts w:cs="Times New Roman"/>
          <w:b w:val="0"/>
          <w:bCs/>
          <w:kern w:val="2"/>
          <w:sz w:val="32"/>
          <w:szCs w:val="32"/>
        </w:rPr>
      </w:pPr>
      <w:r>
        <w:rPr>
          <w:rStyle w:val="24"/>
          <w:rFonts w:cs="Times New Roman"/>
          <w:b w:val="0"/>
          <w:bCs/>
          <w:kern w:val="2"/>
          <w:sz w:val="32"/>
          <w:szCs w:val="32"/>
        </w:rPr>
        <w:t xml:space="preserve">5. </w:t>
      </w:r>
      <w:r>
        <w:rPr>
          <w:rStyle w:val="24"/>
          <w:rFonts w:cs="Times New Roman" w:hint="eastAsia"/>
          <w:b w:val="0"/>
          <w:bCs/>
          <w:kern w:val="2"/>
          <w:sz w:val="32"/>
          <w:szCs w:val="32"/>
        </w:rPr>
        <w:t>年初结转和结余：指以前年度尚未完成、结转到本年按有关规定继续使用的资金。</w:t>
      </w:r>
      <w:r>
        <w:rPr>
          <w:rStyle w:val="24"/>
          <w:rFonts w:cs="Times New Roman"/>
          <w:b w:val="0"/>
          <w:bCs/>
          <w:kern w:val="2"/>
          <w:sz w:val="32"/>
          <w:szCs w:val="32"/>
        </w:rPr>
        <w:t xml:space="preserve"> </w:t>
      </w:r>
    </w:p>
    <w:p>
      <w:pPr>
        <w:pStyle w:val="30"/>
        <w:spacing w:line="560" w:lineRule="exact"/>
        <w:ind w:firstLineChars="200" w:firstLine="640"/>
        <w:rPr>
          <w:rStyle w:val="24"/>
          <w:rFonts w:cs="Times New Roman"/>
          <w:b w:val="0"/>
          <w:bCs/>
          <w:kern w:val="2"/>
          <w:sz w:val="32"/>
          <w:szCs w:val="32"/>
        </w:rPr>
      </w:pPr>
      <w:r>
        <w:rPr>
          <w:rStyle w:val="24"/>
          <w:rFonts w:cs="Times New Roman" w:hint="eastAsia"/>
          <w:b w:val="0"/>
          <w:bCs/>
          <w:kern w:val="2"/>
          <w:sz w:val="32"/>
          <w:szCs w:val="32"/>
        </w:rPr>
        <w:t>6</w:t>
      </w:r>
      <w:r>
        <w:rPr>
          <w:rStyle w:val="24"/>
          <w:rFonts w:cs="Times New Roman"/>
          <w:b w:val="0"/>
          <w:bCs/>
          <w:kern w:val="2"/>
          <w:sz w:val="32"/>
          <w:szCs w:val="32"/>
        </w:rPr>
        <w:t>.</w:t>
      </w:r>
      <w:r>
        <w:rPr>
          <w:rStyle w:val="24"/>
          <w:rFonts w:cs="Times New Roman" w:hint="eastAsia"/>
          <w:b w:val="0"/>
          <w:bCs/>
          <w:kern w:val="2"/>
          <w:sz w:val="32"/>
          <w:szCs w:val="32"/>
        </w:rPr>
        <w:t>结余分配：指事业单位按照事业单位会计制度的规定从非财政补助结余中分配的事业基金和职工福利基金等。</w:t>
      </w:r>
    </w:p>
    <w:p>
      <w:pPr>
        <w:pStyle w:val="30"/>
        <w:spacing w:line="560" w:lineRule="exact"/>
        <w:ind w:firstLineChars="200" w:firstLine="640"/>
        <w:rPr>
          <w:rStyle w:val="24"/>
          <w:rFonts w:cs="Times New Roman"/>
          <w:b w:val="0"/>
          <w:bCs/>
          <w:kern w:val="2"/>
          <w:sz w:val="32"/>
          <w:szCs w:val="32"/>
        </w:rPr>
      </w:pPr>
      <w:r>
        <w:rPr>
          <w:rStyle w:val="24"/>
          <w:rFonts w:cs="Times New Roman" w:hint="eastAsia"/>
          <w:b w:val="0"/>
          <w:bCs/>
          <w:kern w:val="2"/>
          <w:sz w:val="32"/>
          <w:szCs w:val="32"/>
        </w:rPr>
        <w:t>7、年末结转和结余：指单位按有关规定结转到下年或以后年度继续使用的资金。</w:t>
      </w:r>
    </w:p>
    <w:p>
      <w:pPr>
        <w:ind w:firstLineChars="200" w:firstLine="640"/>
        <w:rPr>
          <w:rStyle w:val="24"/>
          <w:rFonts w:ascii="仿宋" w:eastAsia="仿宋"/>
          <w:b w:val="0"/>
          <w:bCs/>
          <w:color w:val="000000"/>
          <w:sz w:val="32"/>
          <w:szCs w:val="32"/>
        </w:rPr>
      </w:pPr>
      <w:r>
        <w:rPr>
          <w:rStyle w:val="24"/>
          <w:rFonts w:ascii="仿宋" w:eastAsia="仿宋" w:hint="eastAsia"/>
          <w:b w:val="0"/>
          <w:bCs/>
          <w:color w:val="000000"/>
          <w:sz w:val="32"/>
          <w:szCs w:val="32"/>
        </w:rPr>
        <w:t>8</w:t>
      </w:r>
      <w:r>
        <w:rPr>
          <w:rStyle w:val="24"/>
          <w:rFonts w:ascii="仿宋" w:eastAsia="仿宋"/>
          <w:b w:val="0"/>
          <w:bCs/>
          <w:color w:val="000000"/>
          <w:sz w:val="32"/>
          <w:szCs w:val="32"/>
        </w:rPr>
        <w:t>.</w:t>
      </w:r>
      <w:r>
        <w:rPr>
          <w:rStyle w:val="24"/>
          <w:rFonts w:ascii="仿宋" w:eastAsia="仿宋" w:hint="eastAsia"/>
          <w:b w:val="0"/>
          <w:bCs/>
          <w:color w:val="000000"/>
          <w:sz w:val="32"/>
          <w:szCs w:val="32"/>
        </w:rPr>
        <w:t>一般公共服务（类）政府办公厅（室）及相关机构事务（款）行政运行（项）：指行政单位的基本支出。</w:t>
      </w:r>
    </w:p>
    <w:p>
      <w:pPr>
        <w:ind w:firstLineChars="200" w:firstLine="640"/>
        <w:rPr>
          <w:rStyle w:val="24"/>
          <w:rFonts w:ascii="仿宋" w:eastAsia="仿宋"/>
          <w:b w:val="0"/>
          <w:bCs/>
          <w:color w:val="000000"/>
          <w:sz w:val="32"/>
          <w:szCs w:val="32"/>
        </w:rPr>
      </w:pPr>
      <w:r>
        <w:rPr>
          <w:rStyle w:val="24"/>
          <w:rFonts w:ascii="仿宋" w:eastAsia="仿宋" w:hint="eastAsia"/>
          <w:b w:val="0"/>
          <w:bCs/>
          <w:color w:val="000000"/>
          <w:sz w:val="32"/>
          <w:szCs w:val="32"/>
        </w:rPr>
        <w:t>9</w:t>
      </w:r>
      <w:r>
        <w:rPr>
          <w:rStyle w:val="24"/>
          <w:rFonts w:ascii="仿宋" w:eastAsia="仿宋"/>
          <w:b w:val="0"/>
          <w:bCs/>
          <w:color w:val="000000"/>
          <w:sz w:val="32"/>
          <w:szCs w:val="32"/>
        </w:rPr>
        <w:t>.</w:t>
      </w:r>
      <w:r>
        <w:rPr>
          <w:rStyle w:val="24"/>
          <w:rFonts w:ascii="仿宋" w:eastAsia="仿宋" w:hint="eastAsia"/>
          <w:b w:val="0"/>
          <w:bCs/>
          <w:color w:val="000000"/>
          <w:sz w:val="32"/>
          <w:szCs w:val="32"/>
        </w:rPr>
        <w:t>一般公共服务（类）政府办公厅（室）及相关机构事务（款）一般行政管理事务（项）：指反映行政单位未单独设置顶级科目的其他项目支出。</w:t>
      </w:r>
    </w:p>
    <w:p>
      <w:pPr>
        <w:ind w:firstLineChars="200" w:firstLine="640"/>
        <w:rPr>
          <w:rStyle w:val="24"/>
          <w:rFonts w:ascii="仿宋" w:eastAsia="仿宋"/>
          <w:b w:val="0"/>
          <w:bCs/>
          <w:color w:val="000000"/>
          <w:sz w:val="32"/>
          <w:szCs w:val="32"/>
        </w:rPr>
      </w:pPr>
      <w:r>
        <w:rPr>
          <w:rStyle w:val="24"/>
          <w:rFonts w:ascii="仿宋" w:eastAsia="仿宋" w:hint="eastAsia"/>
          <w:b w:val="0"/>
          <w:bCs/>
          <w:color w:val="000000"/>
          <w:sz w:val="32"/>
          <w:szCs w:val="32"/>
        </w:rPr>
        <w:t>10</w:t>
      </w:r>
      <w:r>
        <w:rPr>
          <w:rStyle w:val="24"/>
          <w:rFonts w:ascii="仿宋" w:eastAsia="仿宋"/>
          <w:b w:val="0"/>
          <w:bCs/>
          <w:color w:val="000000"/>
          <w:sz w:val="32"/>
          <w:szCs w:val="32"/>
        </w:rPr>
        <w:t>.</w:t>
      </w:r>
      <w:r>
        <w:rPr>
          <w:rStyle w:val="24"/>
          <w:rFonts w:ascii="仿宋" w:eastAsia="仿宋" w:hint="eastAsia"/>
          <w:b w:val="0"/>
          <w:bCs/>
          <w:color w:val="000000"/>
          <w:sz w:val="32"/>
          <w:szCs w:val="32"/>
        </w:rPr>
        <w:t>教育（类）其他教育支出（款）其他教育支出（项）：除上诉项目以外用于教育管理事务方面的支出。</w:t>
      </w:r>
    </w:p>
    <w:p>
      <w:pPr>
        <w:ind w:firstLineChars="200" w:firstLine="640"/>
        <w:rPr>
          <w:rStyle w:val="24"/>
          <w:rFonts w:ascii="仿宋" w:eastAsia="仿宋"/>
          <w:b w:val="0"/>
          <w:bCs/>
          <w:color w:val="000000"/>
          <w:sz w:val="32"/>
          <w:szCs w:val="32"/>
        </w:rPr>
      </w:pPr>
      <w:r>
        <w:rPr>
          <w:rStyle w:val="24"/>
          <w:rFonts w:ascii="仿宋" w:eastAsia="仿宋" w:hint="eastAsia"/>
          <w:b w:val="0"/>
          <w:bCs/>
          <w:color w:val="000000"/>
          <w:sz w:val="32"/>
          <w:szCs w:val="32"/>
        </w:rPr>
        <w:t>11</w:t>
      </w:r>
      <w:r>
        <w:rPr>
          <w:rStyle w:val="24"/>
          <w:rFonts w:ascii="仿宋" w:eastAsia="仿宋"/>
          <w:b w:val="0"/>
          <w:bCs/>
          <w:color w:val="000000"/>
          <w:sz w:val="32"/>
          <w:szCs w:val="32"/>
        </w:rPr>
        <w:t>.</w:t>
      </w:r>
      <w:r>
        <w:rPr>
          <w:rStyle w:val="24"/>
          <w:rFonts w:ascii="仿宋" w:eastAsia="仿宋" w:hint="eastAsia"/>
          <w:b w:val="0"/>
          <w:bCs/>
          <w:color w:val="000000"/>
          <w:sz w:val="32"/>
          <w:szCs w:val="32"/>
        </w:rPr>
        <w:t>社会保障和就业（类）行政事业单位离退休（款）机关事业单位基本养老保险缴费支出（项）：指单位为职工缴纳的基本养老保险费。</w:t>
      </w:r>
    </w:p>
    <w:p>
      <w:pPr>
        <w:pStyle w:val="30"/>
        <w:spacing w:line="560" w:lineRule="exact"/>
        <w:ind w:firstLineChars="200" w:firstLine="640"/>
        <w:rPr>
          <w:rStyle w:val="24"/>
          <w:rFonts w:cs="Times New Roman"/>
          <w:b w:val="0"/>
          <w:bCs/>
          <w:kern w:val="2"/>
          <w:sz w:val="32"/>
          <w:szCs w:val="32"/>
        </w:rPr>
      </w:pPr>
      <w:r>
        <w:rPr>
          <w:rStyle w:val="24"/>
          <w:rFonts w:hint="eastAsia"/>
          <w:b w:val="0"/>
          <w:bCs/>
          <w:sz w:val="32"/>
          <w:szCs w:val="32"/>
        </w:rPr>
        <w:t>12</w:t>
      </w:r>
      <w:r>
        <w:rPr>
          <w:rStyle w:val="24"/>
          <w:b w:val="0"/>
          <w:bCs/>
          <w:sz w:val="32"/>
          <w:szCs w:val="32"/>
        </w:rPr>
        <w:t>.</w:t>
      </w:r>
      <w:r>
        <w:rPr>
          <w:rStyle w:val="24"/>
          <w:rFonts w:cs="Times New Roman" w:hint="eastAsia"/>
          <w:b w:val="0"/>
          <w:bCs/>
          <w:kern w:val="2"/>
          <w:sz w:val="32"/>
          <w:szCs w:val="32"/>
        </w:rPr>
        <w:t>社会保障和就业（类）行政事业单位离退休（款）机关事业单位基本职业年金缴费支出（项）：指单位为职工实际缴纳的职业年金。</w:t>
      </w:r>
    </w:p>
    <w:p>
      <w:pPr>
        <w:pStyle w:val="30"/>
        <w:spacing w:line="560" w:lineRule="exact"/>
        <w:ind w:firstLineChars="200" w:firstLine="640"/>
        <w:rPr>
          <w:rStyle w:val="24"/>
          <w:rFonts w:cs="Times New Roman"/>
          <w:b w:val="0"/>
          <w:bCs/>
          <w:kern w:val="2"/>
          <w:sz w:val="32"/>
          <w:szCs w:val="32"/>
        </w:rPr>
      </w:pPr>
      <w:r>
        <w:rPr>
          <w:rStyle w:val="24"/>
          <w:rFonts w:cs="Times New Roman" w:hint="eastAsia"/>
          <w:b w:val="0"/>
          <w:bCs/>
          <w:kern w:val="2"/>
          <w:sz w:val="32"/>
          <w:szCs w:val="32"/>
        </w:rPr>
        <w:t>13</w:t>
      </w:r>
      <w:r>
        <w:rPr>
          <w:rStyle w:val="24"/>
          <w:rFonts w:cs="Times New Roman"/>
          <w:b w:val="0"/>
          <w:bCs/>
          <w:kern w:val="2"/>
          <w:sz w:val="32"/>
          <w:szCs w:val="32"/>
        </w:rPr>
        <w:t>.</w:t>
      </w:r>
      <w:r>
        <w:rPr>
          <w:rStyle w:val="24"/>
          <w:rFonts w:cs="Times New Roman" w:hint="eastAsia"/>
          <w:b w:val="0"/>
          <w:bCs/>
          <w:kern w:val="2"/>
          <w:sz w:val="32"/>
          <w:szCs w:val="32"/>
        </w:rPr>
        <w:t>医疗卫生与计划生育（类）行政事业单位医疗（款）行政单位医疗（项）：指反映职工缴纳的基本医疗保险费。</w:t>
      </w:r>
    </w:p>
    <w:p>
      <w:pPr>
        <w:pStyle w:val="30"/>
        <w:spacing w:line="560" w:lineRule="exact"/>
        <w:ind w:firstLineChars="200" w:firstLine="640"/>
        <w:rPr>
          <w:rStyle w:val="24"/>
          <w:rFonts w:cs="Times New Roman"/>
          <w:b w:val="0"/>
          <w:bCs/>
          <w:kern w:val="2"/>
          <w:sz w:val="32"/>
          <w:szCs w:val="32"/>
        </w:rPr>
      </w:pPr>
      <w:r>
        <w:rPr>
          <w:rStyle w:val="24"/>
          <w:rFonts w:cs="Times New Roman" w:hint="eastAsia"/>
          <w:b w:val="0"/>
          <w:bCs/>
          <w:kern w:val="2"/>
          <w:sz w:val="32"/>
          <w:szCs w:val="32"/>
        </w:rPr>
        <w:t>14</w:t>
      </w:r>
      <w:r>
        <w:rPr>
          <w:rStyle w:val="24"/>
          <w:rFonts w:cs="Times New Roman"/>
          <w:b w:val="0"/>
          <w:bCs/>
          <w:kern w:val="2"/>
          <w:sz w:val="32"/>
          <w:szCs w:val="32"/>
        </w:rPr>
        <w:t>.</w:t>
      </w:r>
      <w:r>
        <w:rPr>
          <w:rStyle w:val="24"/>
          <w:rFonts w:cs="Times New Roman" w:hint="eastAsia"/>
          <w:b w:val="0"/>
          <w:bCs/>
          <w:kern w:val="2"/>
          <w:sz w:val="32"/>
          <w:szCs w:val="32"/>
        </w:rPr>
        <w:t>医疗卫生与计划生育（类）行政事业单位医疗（款）公务员医疗补助（项）：指按规定可享受公务员医疗补助单位为职工缴纳的公务员医疗补助费。</w:t>
      </w:r>
    </w:p>
    <w:p>
      <w:pPr>
        <w:pStyle w:val="30"/>
        <w:spacing w:line="560" w:lineRule="exact"/>
        <w:ind w:firstLineChars="200" w:firstLine="640"/>
        <w:rPr>
          <w:rStyle w:val="24"/>
          <w:rFonts w:cs="Times New Roman"/>
          <w:b w:val="0"/>
          <w:bCs/>
          <w:kern w:val="2"/>
          <w:sz w:val="32"/>
          <w:szCs w:val="32"/>
        </w:rPr>
      </w:pPr>
      <w:r>
        <w:rPr>
          <w:rStyle w:val="24"/>
          <w:rFonts w:cs="Times New Roman" w:hint="eastAsia"/>
          <w:b w:val="0"/>
          <w:bCs/>
          <w:kern w:val="2"/>
          <w:sz w:val="32"/>
          <w:szCs w:val="32"/>
        </w:rPr>
        <w:t>15</w:t>
      </w:r>
      <w:r>
        <w:rPr>
          <w:rStyle w:val="24"/>
          <w:rFonts w:cs="Times New Roman"/>
          <w:b w:val="0"/>
          <w:bCs/>
          <w:kern w:val="2"/>
          <w:sz w:val="32"/>
          <w:szCs w:val="32"/>
        </w:rPr>
        <w:t>.</w:t>
      </w:r>
      <w:r>
        <w:rPr>
          <w:rStyle w:val="24"/>
          <w:rFonts w:cs="Times New Roman" w:hint="eastAsia"/>
          <w:b w:val="0"/>
          <w:bCs/>
          <w:kern w:val="2"/>
          <w:sz w:val="32"/>
          <w:szCs w:val="32"/>
        </w:rPr>
        <w:t>住房保障（类）住房改革支出（款）住房公积金（项）：指单位按规定为职工缴纳的住房公积金。</w:t>
      </w:r>
    </w:p>
    <w:p>
      <w:pPr>
        <w:pStyle w:val="30"/>
        <w:spacing w:line="560" w:lineRule="exact"/>
        <w:ind w:firstLineChars="200" w:firstLine="640"/>
        <w:rPr>
          <w:rStyle w:val="24"/>
          <w:rFonts w:cs="Times New Roman"/>
          <w:b w:val="0"/>
          <w:bCs/>
          <w:kern w:val="2"/>
          <w:sz w:val="32"/>
          <w:szCs w:val="32"/>
        </w:rPr>
      </w:pPr>
      <w:r>
        <w:rPr>
          <w:rStyle w:val="24"/>
          <w:rFonts w:cs="Times New Roman" w:hint="eastAsia"/>
          <w:b w:val="0"/>
          <w:bCs/>
          <w:kern w:val="2"/>
          <w:sz w:val="32"/>
          <w:szCs w:val="32"/>
        </w:rPr>
        <w:t>16</w:t>
      </w:r>
      <w:r>
        <w:rPr>
          <w:rStyle w:val="24"/>
          <w:rFonts w:cs="Times New Roman"/>
          <w:b w:val="0"/>
          <w:bCs/>
          <w:kern w:val="2"/>
          <w:sz w:val="32"/>
          <w:szCs w:val="32"/>
        </w:rPr>
        <w:t>.</w:t>
      </w:r>
      <w:r>
        <w:rPr>
          <w:rStyle w:val="24"/>
          <w:rFonts w:cs="Times New Roman" w:hint="eastAsia"/>
          <w:b w:val="0"/>
          <w:bCs/>
          <w:kern w:val="2"/>
          <w:sz w:val="32"/>
          <w:szCs w:val="32"/>
        </w:rPr>
        <w:t>基本支出：指为保障机构正常运转、完成日常工作任务而发生的人员支出和公用支出。</w:t>
      </w:r>
    </w:p>
    <w:p>
      <w:pPr>
        <w:pStyle w:val="30"/>
        <w:spacing w:line="560" w:lineRule="exact"/>
        <w:ind w:firstLineChars="200" w:firstLine="640"/>
        <w:rPr>
          <w:rStyle w:val="24"/>
          <w:rFonts w:cs="Times New Roman"/>
          <w:b w:val="0"/>
          <w:bCs/>
          <w:kern w:val="2"/>
          <w:sz w:val="32"/>
          <w:szCs w:val="32"/>
        </w:rPr>
      </w:pPr>
      <w:r>
        <w:rPr>
          <w:rStyle w:val="24"/>
          <w:rFonts w:cs="Times New Roman" w:hint="eastAsia"/>
          <w:b w:val="0"/>
          <w:bCs/>
          <w:kern w:val="2"/>
          <w:sz w:val="32"/>
          <w:szCs w:val="32"/>
        </w:rPr>
        <w:t>17</w:t>
      </w:r>
      <w:r>
        <w:rPr>
          <w:rStyle w:val="24"/>
          <w:rFonts w:cs="Times New Roman"/>
          <w:b w:val="0"/>
          <w:bCs/>
          <w:kern w:val="2"/>
          <w:sz w:val="32"/>
          <w:szCs w:val="32"/>
        </w:rPr>
        <w:t>.</w:t>
      </w:r>
      <w:r>
        <w:rPr>
          <w:rStyle w:val="24"/>
          <w:rFonts w:cs="Times New Roman" w:hint="eastAsia"/>
          <w:b w:val="0"/>
          <w:bCs/>
          <w:kern w:val="2"/>
          <w:sz w:val="32"/>
          <w:szCs w:val="32"/>
        </w:rPr>
        <w:t>项目支出：指在基本支出之外为完成特定行政任务和事业发展目标所发生的支出。</w:t>
      </w:r>
      <w:r>
        <w:rPr>
          <w:rStyle w:val="24"/>
          <w:rFonts w:cs="Times New Roman"/>
          <w:b w:val="0"/>
          <w:bCs/>
          <w:kern w:val="2"/>
          <w:sz w:val="32"/>
          <w:szCs w:val="32"/>
        </w:rPr>
        <w:t xml:space="preserve"> </w:t>
      </w:r>
    </w:p>
    <w:p>
      <w:pPr>
        <w:pStyle w:val="30"/>
        <w:spacing w:line="560" w:lineRule="exact"/>
        <w:ind w:firstLineChars="200" w:firstLine="640"/>
        <w:rPr>
          <w:rStyle w:val="24"/>
          <w:rFonts w:cs="Times New Roman"/>
          <w:b w:val="0"/>
          <w:bCs/>
          <w:kern w:val="2"/>
          <w:sz w:val="32"/>
          <w:szCs w:val="32"/>
        </w:rPr>
      </w:pPr>
      <w:r>
        <w:rPr>
          <w:rStyle w:val="24"/>
          <w:rFonts w:cs="Times New Roman" w:hint="eastAsia"/>
          <w:b w:val="0"/>
          <w:bCs/>
          <w:kern w:val="2"/>
          <w:sz w:val="32"/>
          <w:szCs w:val="32"/>
        </w:rPr>
        <w:t>18</w:t>
      </w:r>
      <w:r>
        <w:rPr>
          <w:rStyle w:val="24"/>
          <w:rFonts w:cs="Times New Roman"/>
          <w:b w:val="0"/>
          <w:bCs/>
          <w:kern w:val="2"/>
          <w:sz w:val="32"/>
          <w:szCs w:val="32"/>
        </w:rPr>
        <w:t>.</w:t>
      </w:r>
      <w:r>
        <w:rPr>
          <w:rStyle w:val="24"/>
          <w:rFonts w:cs="Times New Roman" w:hint="eastAsia"/>
          <w:b w:val="0"/>
          <w:bCs/>
          <w:kern w:val="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Style w:val="24"/>
          <w:rFonts w:cs="Times New Roman"/>
          <w:b w:val="0"/>
          <w:bCs/>
          <w:kern w:val="2"/>
          <w:sz w:val="32"/>
          <w:szCs w:val="32"/>
        </w:rPr>
      </w:pPr>
      <w:r>
        <w:rPr>
          <w:rStyle w:val="24"/>
          <w:rFonts w:cs="Times New Roman" w:hint="eastAsia"/>
          <w:b w:val="0"/>
          <w:bCs/>
          <w:kern w:val="2"/>
          <w:sz w:val="32"/>
          <w:szCs w:val="32"/>
        </w:rPr>
        <w:t>19</w:t>
      </w:r>
      <w:r>
        <w:rPr>
          <w:rStyle w:val="24"/>
          <w:rFonts w:cs="Times New Roman"/>
          <w:b w:val="0"/>
          <w:bCs/>
          <w:kern w:val="2"/>
          <w:sz w:val="32"/>
          <w:szCs w:val="32"/>
        </w:rPr>
        <w:t>.</w:t>
      </w:r>
      <w:r>
        <w:rPr>
          <w:rStyle w:val="24"/>
          <w:rFonts w:cs="Times New Roman" w:hint="eastAsia"/>
          <w:b w:val="0"/>
          <w:bCs/>
          <w:kern w:val="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8" w:name="_Toc15396614"/>
      <w:bookmarkStart w:id="59" w:name="_Toc15377226"/>
      <w:bookmarkStart w:id="60" w:name="_Toc15396615"/>
    </w:p>
    <w:p>
      <w:pPr>
        <w:pStyle w:val="30"/>
        <w:spacing w:line="560" w:lineRule="exact"/>
        <w:ind w:firstLineChars="200" w:firstLine="640"/>
        <w:rPr>
          <w:rStyle w:val="24"/>
          <w:rFonts w:cs="Times New Roman"/>
          <w:b w:val="0"/>
          <w:bCs/>
          <w:kern w:val="2"/>
          <w:sz w:val="32"/>
          <w:szCs w:val="32"/>
        </w:rPr>
      </w:pPr>
    </w:p>
    <w:p>
      <w:pPr>
        <w:pStyle w:val="2"/>
        <w:rPr>
          <w:rFonts w:ascii="仿宋" w:eastAsia="仿宋"/>
          <w:b w:val="0"/>
          <w:bCs w:val="0"/>
          <w:kern w:val="44"/>
        </w:rPr>
      </w:pPr>
      <w:r>
        <w:rPr>
          <w:rStyle w:val="1Char"/>
          <w:rFonts w:ascii="仿宋" w:eastAsia="仿宋" w:hint="eastAsia"/>
          <w:sz w:val="32"/>
          <w:szCs w:val="32"/>
        </w:rPr>
        <w:t>附件1</w:t>
      </w:r>
    </w:p>
    <w:p>
      <w:pPr>
        <w:numPr>
          <w:ilvl w:val="0"/>
          <w:numId w:val="3"/>
        </w:numPr>
        <w:spacing w:line="600" w:lineRule="exact"/>
        <w:ind w:left="0" w:firstLineChars="150" w:firstLine="660"/>
        <w:jc w:val="center"/>
        <w:outlineLvl w:val="0"/>
        <w:rPr>
          <w:rStyle w:val="1Char"/>
          <w:rFonts w:ascii="黑体" w:eastAsia="黑体"/>
          <w:b w:val="0"/>
        </w:rPr>
      </w:pPr>
      <w:r>
        <w:rPr>
          <w:rStyle w:val="1Char"/>
          <w:rFonts w:ascii="黑体" w:eastAsia="黑体" w:hint="eastAsia"/>
          <w:b w:val="0"/>
        </w:rPr>
        <w:t>附件</w:t>
      </w:r>
    </w:p>
    <w:p>
      <w:pPr>
        <w:widowControl/>
        <w:spacing w:line="560" w:lineRule="atLeast"/>
        <w:jc w:val="center"/>
        <w:rPr>
          <w:rFonts w:ascii="宋体" w:cs="宋体"/>
          <w:b/>
          <w:sz w:val="44"/>
          <w:szCs w:val="44"/>
        </w:rPr>
      </w:pPr>
      <w:r>
        <w:rPr>
          <w:rFonts w:ascii="宋体" w:cs="宋体" w:hint="eastAsia"/>
          <w:b/>
          <w:sz w:val="44"/>
          <w:szCs w:val="44"/>
        </w:rPr>
        <w:t>中共金川县纪律检查委员会</w:t>
      </w:r>
    </w:p>
    <w:p>
      <w:pPr>
        <w:widowControl/>
        <w:spacing w:line="560" w:lineRule="atLeast"/>
        <w:jc w:val="center"/>
        <w:rPr>
          <w:rFonts w:ascii="仿宋_GB2312" w:hAnsi="仿宋_GB2312"/>
          <w:color w:val="000000"/>
          <w:kern w:val="0"/>
          <w:shd w:val="clear" w:color="auto" w:fill="FFFFFF"/>
        </w:rPr>
      </w:pPr>
      <w:r>
        <w:rPr>
          <w:rFonts w:ascii="宋体" w:cs="宋体" w:hint="eastAsia"/>
          <w:b/>
          <w:sz w:val="44"/>
          <w:szCs w:val="44"/>
        </w:rPr>
        <w:t>2021年部门整体支出绩效评价报告</w:t>
      </w:r>
    </w:p>
    <w:p>
      <w:pPr>
        <w:widowControl/>
        <w:adjustRightInd w:val="0"/>
        <w:snapToGrid w:val="0"/>
        <w:spacing w:line="540" w:lineRule="exact"/>
        <w:ind w:firstLineChars="150" w:firstLine="480"/>
        <w:jc w:val="left"/>
        <w:rPr>
          <w:rFonts w:ascii="黑体" w:eastAsia="黑体" w:cs="宋体"/>
          <w:color w:val="000000"/>
          <w:kern w:val="0"/>
          <w:lang w:val="zh-CN"/>
        </w:rPr>
      </w:pPr>
      <w:r>
        <w:rPr>
          <w:rFonts w:ascii="黑体" w:eastAsia="黑体" w:cs="宋体" w:hint="eastAsia"/>
          <w:color w:val="000000"/>
          <w:kern w:val="0"/>
          <w:sz w:val="32"/>
        </w:rPr>
        <w:t>一、</w:t>
      </w:r>
      <w:r>
        <w:rPr>
          <w:rFonts w:ascii="黑体" w:eastAsia="黑体" w:cs="宋体" w:hint="eastAsia"/>
          <w:color w:val="000000"/>
          <w:kern w:val="0"/>
          <w:sz w:val="32"/>
          <w:lang w:val="zh-CN"/>
        </w:rPr>
        <w:t>部门（单位）概况</w:t>
      </w:r>
    </w:p>
    <w:p>
      <w:pPr>
        <w:ind w:firstLineChars="150" w:firstLine="480"/>
        <w:rPr>
          <w:rFonts w:ascii="仿宋" w:eastAsia="仿宋" w:cs="宋体"/>
          <w:color w:val="000000"/>
          <w:sz w:val="32"/>
          <w:szCs w:val="32"/>
        </w:rPr>
      </w:pPr>
      <w:r>
        <w:rPr>
          <w:rFonts w:ascii="仿宋" w:eastAsia="仿宋" w:cs="宋体" w:hint="eastAsia"/>
          <w:color w:val="000000"/>
          <w:sz w:val="32"/>
          <w:szCs w:val="32"/>
        </w:rPr>
        <w:t>1、主要职能</w:t>
      </w:r>
    </w:p>
    <w:p>
      <w:pPr>
        <w:ind w:firstLineChars="150" w:firstLine="480"/>
        <w:rPr>
          <w:rFonts w:ascii="仿宋" w:eastAsia="仿宋" w:cs="宋体"/>
          <w:color w:val="000000"/>
          <w:sz w:val="32"/>
          <w:szCs w:val="32"/>
        </w:rPr>
      </w:pPr>
      <w:r>
        <w:rPr>
          <w:rFonts w:ascii="仿宋" w:eastAsia="仿宋" w:cs="宋体" w:hint="eastAsia"/>
          <w:color w:val="000000"/>
          <w:sz w:val="32"/>
          <w:szCs w:val="32"/>
        </w:rPr>
        <w:t>我委主要职责是：主管全县党的纪律检查工作；负责全县行政监察工作；维护党的章程和其他党内法规，检查党的路线、方针、政策和决议的执行情况，协助县委加强党风廉政建设和组织协调反腐败工作。县监委的主要职责是：维护宪法和法律法规；依法监察公职人员行使公权力的情况，调查职务违法和职务犯罪；开展廉政建设和反腐败工作。完成县委、县政府、州纪委交办的其他工作。</w:t>
      </w:r>
    </w:p>
    <w:p>
      <w:pPr>
        <w:ind w:firstLineChars="150" w:firstLine="480"/>
        <w:rPr>
          <w:rFonts w:ascii="仿宋" w:eastAsia="仿宋" w:cs="宋体"/>
          <w:color w:val="000000"/>
          <w:sz w:val="32"/>
          <w:szCs w:val="32"/>
        </w:rPr>
      </w:pPr>
      <w:r>
        <w:rPr>
          <w:rFonts w:ascii="仿宋" w:eastAsia="仿宋" w:cs="宋体" w:hint="eastAsia"/>
          <w:color w:val="000000"/>
          <w:sz w:val="32"/>
          <w:szCs w:val="32"/>
        </w:rPr>
        <w:t>2.机构情况</w:t>
      </w:r>
    </w:p>
    <w:p>
      <w:pPr>
        <w:ind w:firstLineChars="150" w:firstLine="480"/>
        <w:rPr>
          <w:rFonts w:ascii="仿宋" w:eastAsia="仿宋" w:cs="宋体"/>
          <w:color w:val="000000"/>
          <w:sz w:val="32"/>
          <w:szCs w:val="32"/>
        </w:rPr>
      </w:pPr>
      <w:r>
        <w:rPr>
          <w:rFonts w:ascii="仿宋" w:eastAsia="仿宋" w:cs="宋体" w:hint="eastAsia"/>
          <w:color w:val="000000"/>
          <w:sz w:val="32"/>
          <w:szCs w:val="32"/>
        </w:rPr>
        <w:t xml:space="preserve"> 2021年末共有机构数1个，其中全额预算单位1个，单位内设机构10个，共同设立办公室、信访室、案件审理室、党风政风监督室、纪检监察干部监督室、第一纪检监察室、第二纪检监察室、第三纪检监察室、第四纪检监察室和案件监督管理室。</w:t>
      </w:r>
    </w:p>
    <w:p>
      <w:pPr>
        <w:ind w:firstLineChars="150" w:firstLine="480"/>
        <w:rPr>
          <w:rFonts w:ascii="仿宋" w:eastAsia="仿宋" w:cs="宋体"/>
          <w:color w:val="000000"/>
          <w:sz w:val="32"/>
          <w:szCs w:val="32"/>
        </w:rPr>
      </w:pPr>
      <w:r>
        <w:rPr>
          <w:rFonts w:ascii="仿宋" w:eastAsia="仿宋" w:cs="宋体" w:hint="eastAsia"/>
          <w:color w:val="000000"/>
          <w:sz w:val="32"/>
          <w:szCs w:val="32"/>
        </w:rPr>
        <w:t>3.人员情况</w:t>
      </w:r>
    </w:p>
    <w:p>
      <w:pPr>
        <w:ind w:firstLineChars="150" w:firstLine="480"/>
        <w:rPr>
          <w:rFonts w:ascii="仿宋" w:eastAsia="仿宋" w:cs="宋体"/>
          <w:color w:val="000000"/>
          <w:sz w:val="32"/>
          <w:szCs w:val="32"/>
        </w:rPr>
      </w:pPr>
      <w:r>
        <w:rPr>
          <w:rFonts w:ascii="仿宋" w:eastAsia="仿宋" w:cs="宋体" w:hint="eastAsia"/>
          <w:color w:val="000000"/>
          <w:sz w:val="32"/>
          <w:szCs w:val="32"/>
        </w:rPr>
        <w:t xml:space="preserve"> 总编制59名,其中：行政编制57名（包括行政工勤3名），事业编制2名，总编制和行政编制比上年增加2名。年末实有在职人数50名，行政人员49名（包括行政工勤3名），事业人员1名。年末实有在职人数比上年减少了1人。</w:t>
      </w:r>
    </w:p>
    <w:p>
      <w:pPr>
        <w:widowControl/>
        <w:adjustRightInd w:val="0"/>
        <w:snapToGrid w:val="0"/>
        <w:spacing w:line="540" w:lineRule="exact"/>
        <w:ind w:firstLineChars="150" w:firstLine="480"/>
        <w:jc w:val="left"/>
        <w:rPr>
          <w:rFonts w:ascii="黑体" w:eastAsia="黑体" w:cs="宋体"/>
          <w:color w:val="000000"/>
          <w:kern w:val="0"/>
          <w:sz w:val="32"/>
        </w:rPr>
      </w:pPr>
      <w:r>
        <w:rPr>
          <w:rFonts w:ascii="黑体" w:eastAsia="黑体" w:cs="宋体" w:hint="eastAsia"/>
          <w:color w:val="000000"/>
          <w:kern w:val="0"/>
          <w:sz w:val="32"/>
        </w:rPr>
        <w:t>二、部门财政资金收支情况</w:t>
      </w:r>
    </w:p>
    <w:p>
      <w:pPr>
        <w:spacing w:line="54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（一）收入支出预算安排情况</w:t>
      </w:r>
    </w:p>
    <w:p>
      <w:pPr>
        <w:ind w:firstLineChars="150" w:firstLine="480"/>
        <w:rPr>
          <w:rFonts w:ascii="仿宋" w:eastAsia="仿宋" w:cs="宋体"/>
          <w:color w:val="000000"/>
          <w:sz w:val="32"/>
          <w:szCs w:val="32"/>
        </w:rPr>
      </w:pPr>
      <w:r>
        <w:rPr>
          <w:rFonts w:ascii="仿宋" w:eastAsia="仿宋" w:cs="宋体" w:hint="eastAsia"/>
          <w:color w:val="000000"/>
          <w:sz w:val="32"/>
          <w:szCs w:val="32"/>
        </w:rPr>
        <w:t>2021年财政拨款年初预算收入936.29万元，财政拨款收入1253.66万元；2021年财政拨款支出1255.22万元，其中：</w:t>
      </w:r>
      <w:r>
        <w:rPr>
          <w:rFonts w:ascii="仿宋" w:eastAsia="仿宋" w:hint="eastAsia"/>
          <w:color w:val="000000"/>
          <w:sz w:val="32"/>
          <w:szCs w:val="32"/>
        </w:rPr>
        <w:t>其中：基本支出1205.82万元，占96.06%；项目支出49.4万元，占3.94%。</w:t>
      </w:r>
    </w:p>
    <w:p>
      <w:pPr>
        <w:spacing w:line="600" w:lineRule="exact"/>
        <w:ind w:firstLine="640"/>
        <w:rPr>
          <w:rFonts w:ascii="仿宋" w:eastAsia="仿宋"/>
          <w:color w:val="000000"/>
          <w:sz w:val="32"/>
          <w:szCs w:val="32"/>
        </w:rPr>
      </w:pPr>
      <w:r>
        <w:rPr>
          <w:rFonts w:ascii="仿宋" w:eastAsia="仿宋" w:cs="仿宋_GB2312" w:hint="eastAsia"/>
          <w:color w:val="000000"/>
          <w:sz w:val="32"/>
          <w:szCs w:val="32"/>
          <w:lang w:val="zh-CN"/>
        </w:rPr>
        <w:t>（二）</w:t>
      </w:r>
      <w:r>
        <w:rPr>
          <w:rFonts w:ascii="仿宋" w:eastAsia="仿宋"/>
          <w:color w:val="000000"/>
          <w:sz w:val="32"/>
          <w:szCs w:val="32"/>
        </w:rPr>
        <w:t>20</w:t>
      </w:r>
      <w:r>
        <w:rPr>
          <w:rFonts w:ascii="仿宋" w:eastAsia="仿宋" w:hint="eastAsia"/>
          <w:color w:val="000000"/>
          <w:sz w:val="32"/>
          <w:szCs w:val="32"/>
        </w:rPr>
        <w:t>21年一般公共预算财政拨款支出1255.22万元，主要用于以下方面</w:t>
      </w:r>
      <w:r>
        <w:rPr>
          <w:rFonts w:ascii="仿宋" w:eastAsia="仿宋"/>
          <w:color w:val="000000"/>
          <w:sz w:val="32"/>
          <w:szCs w:val="32"/>
        </w:rPr>
        <w:t>:</w:t>
      </w:r>
      <w:r>
        <w:rPr>
          <w:rFonts w:ascii="仿宋" w:eastAsia="仿宋" w:hint="eastAsia"/>
          <w:color w:val="000000"/>
          <w:sz w:val="32"/>
          <w:szCs w:val="32"/>
        </w:rPr>
        <w:t>一般公共服务（类）支出1012.59万元，占80.67%；教育支出（类）支出1.58万元，占0.13%；社会保障和就业（类）支出113.92万元，占9.08%；卫生健康支出45.23万元，占3.6%；住房保障支出81.89万元，占6.52%。</w:t>
      </w:r>
    </w:p>
    <w:p>
      <w:pPr>
        <w:snapToGrid w:val="0"/>
        <w:spacing w:line="520" w:lineRule="exact"/>
        <w:ind w:firstLineChars="200" w:firstLine="640"/>
        <w:rPr>
          <w:rFonts w:ascii="仿宋" w:eastAsia="仿宋" w:cs="宋体"/>
          <w:color w:val="000000"/>
          <w:sz w:val="32"/>
          <w:szCs w:val="32"/>
        </w:rPr>
      </w:pPr>
      <w:r>
        <w:rPr>
          <w:rFonts w:ascii="仿宋" w:eastAsia="仿宋" w:cs="宋体" w:hint="eastAsia"/>
          <w:color w:val="000000"/>
          <w:sz w:val="32"/>
          <w:szCs w:val="32"/>
        </w:rPr>
        <w:t>人员经费1079.75万元，主要包括：基本工资208.45万元、津贴补贴279.42万元、奖金17.32万元、机关事业单位基本养老保险缴费75.93万元、职业年金缴费38万元、其他社会保障缴费5.61万元、住房公积金80.86万元、职工基本医疗保险缴费34.36万元、公务员医疗补助10.87万元、生活补助18.82万元、奖励金278.07万元、抚恤金32.05万元等。</w:t>
      </w:r>
    </w:p>
    <w:p>
      <w:pPr>
        <w:snapToGrid w:val="0"/>
        <w:spacing w:line="520" w:lineRule="exact"/>
        <w:ind w:firstLineChars="200" w:firstLine="640"/>
        <w:rPr>
          <w:rFonts w:ascii="仿宋" w:eastAsia="仿宋" w:cs="宋体"/>
          <w:color w:val="000000"/>
          <w:sz w:val="32"/>
          <w:szCs w:val="32"/>
        </w:rPr>
      </w:pPr>
      <w:r>
        <w:rPr>
          <w:rFonts w:ascii="仿宋" w:eastAsia="仿宋" w:hint="eastAsia"/>
          <w:color w:val="000000"/>
          <w:sz w:val="32"/>
          <w:szCs w:val="32"/>
        </w:rPr>
        <w:t>　　</w:t>
      </w:r>
      <w:r>
        <w:rPr>
          <w:rFonts w:ascii="仿宋" w:eastAsia="仿宋" w:cs="宋体" w:hint="eastAsia"/>
          <w:color w:val="000000"/>
          <w:sz w:val="32"/>
          <w:szCs w:val="32"/>
        </w:rPr>
        <w:t>公用经费126.07万元，主要包括：办公费31.5万元、水费0.51万元、电费8万元、邮电费19.45万元、差旅费31.27万元、维修维护费1.52万元、公务接待0.17万元、劳务费10.59万元、福利费4.46万元、公务用车运行维护费18.6万元。</w:t>
      </w:r>
    </w:p>
    <w:p>
      <w:pPr>
        <w:snapToGrid w:val="0"/>
        <w:spacing w:line="520" w:lineRule="exact"/>
        <w:ind w:firstLineChars="200" w:firstLine="640"/>
        <w:rPr>
          <w:rFonts w:ascii="仿宋" w:eastAsia="仿宋"/>
          <w:color w:val="000000"/>
          <w:sz w:val="32"/>
          <w:szCs w:val="32"/>
        </w:rPr>
      </w:pPr>
      <w:r>
        <w:rPr>
          <w:rFonts w:ascii="仿宋" w:eastAsia="仿宋" w:hint="eastAsia"/>
          <w:color w:val="000000"/>
          <w:sz w:val="32"/>
          <w:szCs w:val="32"/>
        </w:rPr>
        <w:t>项目支出49.4万元。</w:t>
      </w:r>
    </w:p>
    <w:p>
      <w:pPr>
        <w:widowControl/>
        <w:adjustRightInd w:val="0"/>
        <w:snapToGrid w:val="0"/>
        <w:spacing w:line="540" w:lineRule="exact"/>
        <w:ind w:firstLineChars="150" w:firstLine="480"/>
        <w:jc w:val="left"/>
        <w:rPr>
          <w:rFonts w:ascii="黑体" w:eastAsia="黑体" w:cs="宋体"/>
          <w:color w:val="000000"/>
          <w:kern w:val="0"/>
          <w:sz w:val="32"/>
        </w:rPr>
      </w:pPr>
      <w:r>
        <w:rPr>
          <w:rFonts w:ascii="黑体" w:eastAsia="黑体" w:cs="宋体" w:hint="eastAsia"/>
          <w:color w:val="000000"/>
          <w:kern w:val="0"/>
          <w:sz w:val="32"/>
        </w:rPr>
        <w:t>三、部门财政支出管理情况</w:t>
      </w:r>
    </w:p>
    <w:p>
      <w:pPr>
        <w:spacing w:line="54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（一）预算编制情况。</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(1)预算编制质量：</w:t>
      </w:r>
      <w:r>
        <w:rPr>
          <w:rFonts w:ascii="仿宋" w:eastAsia="仿宋" w:cs="仿宋_GB2312" w:hint="eastAsia"/>
          <w:sz w:val="32"/>
          <w:szCs w:val="32"/>
        </w:rPr>
        <w:t>2021年预算</w:t>
      </w:r>
      <w:r>
        <w:rPr>
          <w:rFonts w:ascii="仿宋" w:eastAsia="仿宋" w:cs="宋体" w:hint="eastAsia"/>
          <w:color w:val="000000"/>
          <w:sz w:val="32"/>
          <w:szCs w:val="32"/>
        </w:rPr>
        <w:t>936.29</w:t>
      </w:r>
      <w:r>
        <w:rPr>
          <w:rFonts w:ascii="仿宋" w:eastAsia="仿宋" w:cs="仿宋_GB2312" w:hint="eastAsia"/>
          <w:sz w:val="32"/>
          <w:szCs w:val="32"/>
        </w:rPr>
        <w:t>万元，其中人员经费750.49万元，公用经费135.8万元，项目支出54万元。2021年部门收入预算总额为936.29元，较上年增加152.76万元，增加19.5%。其中：当年财政拨款收入936.29万元，其他收入 0万元，上年结转收入0万元。相应安排支出预算936.29万元，其中：基本支出预算882.29万元，项目支出54万元。</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（2）绩效目标填报：</w:t>
      </w:r>
      <w:r>
        <w:rPr>
          <w:rFonts w:ascii="仿宋" w:eastAsia="仿宋" w:cs="仿宋_GB2312" w:hint="eastAsia"/>
          <w:color w:val="000000"/>
          <w:sz w:val="32"/>
          <w:szCs w:val="32"/>
        </w:rPr>
        <w:t>项目申报严格按照上级要求，明确绩效目标，控制支行成本，提高项目发挥作用。并</w:t>
      </w:r>
      <w:r>
        <w:rPr>
          <w:rFonts w:ascii="仿宋" w:eastAsia="仿宋" w:cs="仿宋_GB2312" w:hint="eastAsia"/>
          <w:color w:val="000000"/>
          <w:sz w:val="32"/>
          <w:szCs w:val="32"/>
          <w:lang w:val="zh-CN"/>
        </w:rPr>
        <w:t>根据财政局统一要求编制了我委整体绩效目标报告及项目整体绩效目标表，并报县财政局。</w:t>
      </w:r>
    </w:p>
    <w:p>
      <w:pPr>
        <w:spacing w:line="54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（二）执行管理情况。</w:t>
        <w:tab/>
      </w:r>
    </w:p>
    <w:p>
      <w:pPr>
        <w:ind w:firstLine="709"/>
        <w:rPr>
          <w:rFonts w:ascii="仿宋" w:eastAsia="仿宋"/>
          <w:bCs/>
          <w:sz w:val="32"/>
          <w:szCs w:val="32"/>
        </w:rPr>
      </w:pPr>
      <w:r>
        <w:rPr>
          <w:rFonts w:ascii="仿宋" w:eastAsia="仿宋" w:cs="仿宋_GB2312" w:hint="eastAsia"/>
          <w:color w:val="000000"/>
          <w:sz w:val="32"/>
          <w:szCs w:val="32"/>
          <w:lang w:val="zh-CN"/>
        </w:rPr>
        <w:t>部门预算执行情况良好，但基本集中在下半年。支出情况中期评估不足，</w:t>
      </w:r>
      <w:r>
        <w:rPr>
          <w:rFonts w:ascii="仿宋" w:eastAsia="仿宋" w:hint="eastAsia"/>
          <w:bCs/>
          <w:sz w:val="32"/>
          <w:szCs w:val="32"/>
        </w:rPr>
        <w:t>2021年我单位“三公”经费支出总额为18.77万元。主要是公务用车运行维护费18.6万元。2021年我单位公务用车运行维护费年初预算数为20万元，决算数为18.6万元，上年决算数为20万元，与上年同期相比减少1.4万元。公务接待数2020年决算数为0.17万元，上年决算为0.38万元，与上年同期相比减少0.21万元。</w:t>
      </w:r>
    </w:p>
    <w:p>
      <w:pPr>
        <w:spacing w:line="54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（三）综合管理情况。</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我委</w:t>
      </w:r>
      <w:r>
        <w:rPr>
          <w:rFonts w:ascii="仿宋" w:eastAsia="仿宋" w:cs="仿宋_GB2312" w:hint="eastAsia"/>
          <w:color w:val="000000"/>
          <w:sz w:val="32"/>
          <w:szCs w:val="32"/>
        </w:rPr>
        <w:t>2021年无预算、支出政府采购。所有国有资产纳入</w:t>
      </w:r>
      <w:r>
        <w:rPr>
          <w:rFonts w:ascii="仿宋" w:eastAsia="仿宋" w:cs="仿宋_GB2312" w:hint="eastAsia"/>
          <w:color w:val="000000"/>
          <w:sz w:val="32"/>
          <w:szCs w:val="32"/>
          <w:lang w:val="zh-CN"/>
        </w:rPr>
        <w:t>资产管理系统，及时准确上报并做好资产的管理工作。根据相关要求，单位使用预算资金基本符合相关的预算财务管理制度。我委在财政批复后</w:t>
      </w:r>
      <w:r>
        <w:rPr>
          <w:rFonts w:ascii="仿宋" w:eastAsia="仿宋" w:cs="仿宋_GB2312" w:hint="eastAsia"/>
          <w:color w:val="000000"/>
          <w:sz w:val="32"/>
          <w:szCs w:val="32"/>
        </w:rPr>
        <w:t>20日内在指定网站公开预决算信息。按照相关要求进行绩效自我评价，按要求及时上报，对发现的问题提出整改措施，并整改落实到位。</w:t>
      </w:r>
      <w:r>
        <w:rPr>
          <w:rFonts w:ascii="仿宋" w:eastAsia="仿宋" w:cs="仿宋_GB2312" w:hint="eastAsia"/>
          <w:color w:val="000000"/>
          <w:sz w:val="32"/>
          <w:szCs w:val="32"/>
          <w:lang w:val="zh-CN"/>
        </w:rPr>
        <w:t>绩效评价及依法接受财政监督情况等。</w:t>
      </w:r>
    </w:p>
    <w:p>
      <w:pPr>
        <w:spacing w:line="54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（四）整体绩效。</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adjustRightInd w:val="0"/>
        <w:snapToGrid w:val="0"/>
        <w:spacing w:line="540" w:lineRule="exact"/>
        <w:jc w:val="left"/>
        <w:rPr>
          <w:rFonts w:ascii="黑体" w:eastAsia="黑体" w:cs="宋体"/>
          <w:color w:val="000000"/>
          <w:kern w:val="0"/>
          <w:sz w:val="32"/>
        </w:rPr>
      </w:pPr>
      <w:r>
        <w:rPr>
          <w:rFonts w:ascii="黑体" w:eastAsia="黑体" w:cs="宋体" w:hint="eastAsia"/>
          <w:color w:val="000000"/>
          <w:kern w:val="0"/>
          <w:sz w:val="32"/>
        </w:rPr>
        <w:t>四、评价结论及建议</w:t>
      </w:r>
    </w:p>
    <w:p>
      <w:pPr>
        <w:spacing w:line="520" w:lineRule="exact"/>
        <w:ind w:firstLineChars="200" w:firstLine="576"/>
        <w:rPr>
          <w:rFonts w:ascii="仿宋_GB2312" w:eastAsia="仿宋_GB2312" w:cs="仿宋_GB2312"/>
          <w:b/>
          <w:bCs/>
          <w:w w:val="90"/>
          <w:sz w:val="32"/>
          <w:szCs w:val="32"/>
        </w:rPr>
      </w:pPr>
      <w:bookmarkStart w:id="61" w:name="_Toc15396618"/>
      <w:bookmarkStart w:id="62" w:name="_Toc15396619"/>
      <w:r>
        <w:rPr>
          <w:rFonts w:ascii="仿宋_GB2312" w:eastAsia="仿宋_GB2312" w:cs="仿宋_GB2312" w:hint="eastAsia"/>
          <w:b/>
          <w:bCs/>
          <w:w w:val="90"/>
          <w:sz w:val="32"/>
          <w:szCs w:val="32"/>
        </w:rPr>
        <w:t>（一）评价结论</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kern w:val="0"/>
          <w:sz w:val="32"/>
          <w:szCs w:val="32"/>
          <w:shd w:val="clear" w:color="auto" w:fill="FFFFFF"/>
          <w:lang w:val="zh-CN"/>
        </w:rPr>
        <w:t>在自评过程发现问题，查找原因，及时纠正偏差，为下一步工作夯实基础。</w:t>
      </w:r>
      <w:r>
        <w:rPr>
          <w:rFonts w:ascii="仿宋" w:eastAsia="仿宋" w:cs="仿宋_GB2312" w:hint="eastAsia"/>
          <w:color w:val="000000"/>
          <w:sz w:val="32"/>
          <w:szCs w:val="32"/>
        </w:rPr>
        <w:t>整体评价良好，预算支出和决算支出情况相符。</w:t>
      </w:r>
    </w:p>
    <w:p>
      <w:pPr>
        <w:spacing w:line="52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（二）存在问题</w:t>
      </w:r>
    </w:p>
    <w:p>
      <w:pPr>
        <w:spacing w:line="540" w:lineRule="exact"/>
        <w:ind w:firstLineChars="200" w:firstLine="640"/>
        <w:rPr>
          <w:rFonts w:ascii="仿宋" w:eastAsia="仿宋" w:cs="仿宋_GB2312"/>
          <w:color w:val="000000"/>
          <w:sz w:val="32"/>
          <w:szCs w:val="32"/>
          <w:shd w:val="clear" w:color="auto" w:fill="FFFFFF"/>
        </w:rPr>
      </w:pPr>
      <w:r>
        <w:rPr>
          <w:rFonts w:ascii="仿宋" w:eastAsia="仿宋" w:cs="仿宋_GB2312" w:hint="eastAsia"/>
          <w:b/>
          <w:bCs/>
          <w:color w:val="000000"/>
          <w:kern w:val="0"/>
          <w:sz w:val="32"/>
          <w:szCs w:val="32"/>
        </w:rPr>
        <w:t xml:space="preserve"> </w:t>
      </w:r>
      <w:r>
        <w:rPr>
          <w:rFonts w:ascii="仿宋" w:eastAsia="仿宋" w:cs="仿宋_GB2312" w:hint="eastAsia"/>
          <w:color w:val="000000"/>
          <w:sz w:val="32"/>
          <w:szCs w:val="32"/>
          <w:shd w:val="clear" w:color="auto" w:fill="FFFFFF"/>
        </w:rPr>
        <w:t xml:space="preserve">一是资金使用效益有待进一步提高。二是绩效目标设立不够明确、细化和量化。虽然设立了项目资金绩效目标，但目标不够明确、细化和量化。        </w:t>
      </w:r>
    </w:p>
    <w:p>
      <w:pPr>
        <w:spacing w:line="52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（三）改进建议</w:t>
      </w:r>
    </w:p>
    <w:p>
      <w:pPr>
        <w:pStyle w:val="23"/>
        <w:widowControl/>
        <w:shd w:val="clear" w:color="auto" w:fill="FFFFFF"/>
        <w:spacing w:beforeAutospacing="0" w:afterAutospacing="0" w:line="576" w:lineRule="exact"/>
        <w:ind w:firstLineChars="200" w:firstLine="640"/>
        <w:rPr>
          <w:rFonts w:ascii="仿宋" w:eastAsia="仿宋" w:cs="仿宋_GB2312"/>
          <w:color w:val="000000"/>
          <w:sz w:val="32"/>
          <w:szCs w:val="32"/>
          <w:shd w:val="clear" w:color="auto" w:fill="FFFFFF"/>
        </w:rPr>
      </w:pPr>
      <w:r>
        <w:rPr>
          <w:rFonts w:ascii="仿宋" w:eastAsia="仿宋" w:cs="仿宋_GB2312" w:hint="eastAsia"/>
          <w:color w:val="000000"/>
          <w:sz w:val="32"/>
          <w:szCs w:val="32"/>
        </w:rPr>
        <w:t>一是合理规范使用财政预算资金。二是</w:t>
      </w:r>
      <w:r>
        <w:rPr>
          <w:rFonts w:ascii="仿宋" w:eastAsia="仿宋" w:cs="仿宋_GB2312" w:hint="eastAsia"/>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pStyle w:val="2"/>
        <w:rPr>
          <w:rFonts w:ascii="仿宋" w:eastAsia="仿宋"/>
          <w:b w:val="0"/>
          <w:color w:val="000000"/>
        </w:rPr>
      </w:pPr>
      <w:bookmarkEnd w:id="58"/>
      <w:bookmarkEnd w:id="59"/>
      <w:bookmarkEnd w:id="60"/>
      <w:bookmarkEnd w:id="61"/>
      <w:bookmarkEnd w:id="62"/>
    </w:p>
    <w:p>
      <w:pPr>
        <w:spacing w:line="600" w:lineRule="exact"/>
        <w:ind w:firstLineChars="400" w:firstLine="1760"/>
        <w:outlineLvl w:val="0"/>
        <w:rPr>
          <w:rFonts w:ascii="黑体" w:eastAsia="黑体"/>
          <w:color w:val="000000"/>
          <w:sz w:val="44"/>
          <w:szCs w:val="44"/>
        </w:rPr>
      </w:pPr>
    </w:p>
    <w:p>
      <w:pPr>
        <w:spacing w:line="600" w:lineRule="exact"/>
        <w:ind w:firstLineChars="400" w:firstLine="1760"/>
        <w:outlineLvl w:val="0"/>
        <w:rPr>
          <w:rFonts w:ascii="黑体" w:eastAsia="黑体"/>
          <w:color w:val="000000"/>
          <w:sz w:val="44"/>
          <w:szCs w:val="44"/>
        </w:rPr>
      </w:pPr>
    </w:p>
    <w:p>
      <w:pPr>
        <w:spacing w:line="600" w:lineRule="exact"/>
        <w:ind w:firstLineChars="400" w:firstLine="1760"/>
        <w:outlineLvl w:val="0"/>
        <w:rPr>
          <w:rFonts w:ascii="黑体" w:eastAsia="黑体"/>
          <w:color w:val="000000"/>
          <w:sz w:val="44"/>
          <w:szCs w:val="44"/>
        </w:rPr>
      </w:pPr>
    </w:p>
    <w:p>
      <w:pPr>
        <w:spacing w:line="600" w:lineRule="exact"/>
        <w:ind w:firstLineChars="400" w:firstLine="1760"/>
        <w:outlineLvl w:val="0"/>
        <w:rPr>
          <w:rFonts w:ascii="黑体" w:eastAsia="黑体"/>
          <w:color w:val="000000"/>
          <w:sz w:val="44"/>
          <w:szCs w:val="44"/>
        </w:rPr>
      </w:pPr>
    </w:p>
    <w:p>
      <w:pPr>
        <w:spacing w:line="600" w:lineRule="exact"/>
        <w:ind w:firstLineChars="400" w:firstLine="1760"/>
        <w:outlineLvl w:val="0"/>
        <w:rPr>
          <w:rFonts w:ascii="黑体" w:eastAsia="黑体"/>
          <w:color w:val="000000"/>
          <w:sz w:val="44"/>
          <w:szCs w:val="44"/>
        </w:rPr>
      </w:pPr>
    </w:p>
    <w:p>
      <w:pPr>
        <w:spacing w:line="600" w:lineRule="exact"/>
        <w:ind w:firstLineChars="400" w:firstLine="1760"/>
        <w:outlineLvl w:val="0"/>
        <w:rPr>
          <w:rFonts w:ascii="黑体" w:eastAsia="黑体"/>
          <w:color w:val="000000"/>
          <w:sz w:val="44"/>
          <w:szCs w:val="44"/>
        </w:rPr>
      </w:pPr>
    </w:p>
    <w:p>
      <w:pPr>
        <w:spacing w:line="600" w:lineRule="exact"/>
        <w:ind w:firstLineChars="400" w:firstLine="1760"/>
        <w:outlineLvl w:val="0"/>
        <w:rPr>
          <w:rFonts w:ascii="黑体" w:eastAsia="黑体"/>
          <w:color w:val="000000"/>
          <w:sz w:val="44"/>
          <w:szCs w:val="44"/>
        </w:rPr>
      </w:pPr>
    </w:p>
    <w:p>
      <w:pPr>
        <w:spacing w:line="600" w:lineRule="exact"/>
        <w:ind w:firstLineChars="400" w:firstLine="1760"/>
        <w:outlineLvl w:val="0"/>
        <w:rPr>
          <w:rFonts w:ascii="黑体" w:eastAsia="黑体"/>
          <w:color w:val="000000"/>
          <w:sz w:val="44"/>
          <w:szCs w:val="44"/>
        </w:rPr>
      </w:pPr>
    </w:p>
    <w:p>
      <w:pPr>
        <w:spacing w:line="600" w:lineRule="exact"/>
        <w:ind w:firstLineChars="400" w:firstLine="1760"/>
        <w:outlineLvl w:val="0"/>
        <w:rPr>
          <w:rFonts w:ascii="黑体" w:eastAsia="黑体"/>
          <w:color w:val="000000"/>
          <w:sz w:val="44"/>
          <w:szCs w:val="44"/>
        </w:rPr>
      </w:pPr>
    </w:p>
    <w:p>
      <w:pPr>
        <w:spacing w:line="600" w:lineRule="exact"/>
        <w:ind w:firstLineChars="600" w:firstLine="2640"/>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 附表</w:t>
      </w:r>
    </w:p>
    <w:p>
      <w:pPr>
        <w:pStyle w:val="2"/>
        <w:rPr>
          <w:rFonts w:ascii="仿宋" w:eastAsia="仿宋"/>
          <w:b w:val="0"/>
          <w:color w:val="000000"/>
        </w:rPr>
      </w:pPr>
    </w:p>
    <w:p>
      <w:pPr>
        <w:pStyle w:val="2"/>
        <w:rPr>
          <w:rFonts w:ascii="仿宋" w:eastAsia="仿宋"/>
          <w:color w:val="000000"/>
        </w:rPr>
      </w:pPr>
      <w:r>
        <w:rPr>
          <w:rFonts w:ascii="仿宋" w:eastAsia="仿宋" w:hint="eastAsia"/>
          <w:b w:val="0"/>
          <w:color w:val="000000"/>
        </w:rPr>
        <w:t>一、收</w:t>
      </w:r>
      <w:r>
        <w:rPr>
          <w:rStyle w:val="2Char"/>
          <w:rFonts w:ascii="仿宋" w:eastAsia="仿宋" w:hint="eastAsia"/>
        </w:rPr>
        <w:t>入支出决算总表</w:t>
      </w:r>
    </w:p>
    <w:p>
      <w:pPr>
        <w:pStyle w:val="2"/>
        <w:rPr>
          <w:rFonts w:ascii="仿宋" w:eastAsia="仿宋"/>
          <w:color w:val="000000"/>
        </w:rPr>
      </w:pPr>
      <w:bookmarkStart w:id="63" w:name="_Toc15396620"/>
      <w:r>
        <w:rPr>
          <w:rFonts w:ascii="仿宋" w:eastAsia="仿宋" w:hint="eastAsia"/>
          <w:b w:val="0"/>
          <w:color w:val="000000"/>
        </w:rPr>
        <w:t>二、收</w:t>
      </w:r>
      <w:r>
        <w:rPr>
          <w:rStyle w:val="2Char"/>
          <w:rFonts w:ascii="仿宋" w:eastAsia="仿宋" w:hint="eastAsia"/>
        </w:rPr>
        <w:t>入总表</w:t>
      </w:r>
      <w:bookmarkEnd w:id="63"/>
    </w:p>
    <w:p>
      <w:pPr>
        <w:pStyle w:val="2"/>
        <w:rPr>
          <w:rFonts w:ascii="仿宋" w:eastAsia="仿宋"/>
          <w:color w:val="000000"/>
        </w:rPr>
      </w:pPr>
      <w:bookmarkStart w:id="64" w:name="_Toc15396621"/>
      <w:r>
        <w:rPr>
          <w:rStyle w:val="2Char"/>
          <w:rFonts w:ascii="仿宋" w:eastAsia="仿宋" w:hint="eastAsia"/>
        </w:rPr>
        <w:t>三、</w:t>
      </w:r>
      <w:r>
        <w:rPr>
          <w:rFonts w:ascii="仿宋" w:eastAsia="仿宋" w:hint="eastAsia"/>
          <w:b w:val="0"/>
          <w:color w:val="000000"/>
        </w:rPr>
        <w:t>支</w:t>
      </w:r>
      <w:r>
        <w:rPr>
          <w:rStyle w:val="2Char"/>
          <w:rFonts w:ascii="仿宋" w:eastAsia="仿宋" w:hint="eastAsia"/>
        </w:rPr>
        <w:t>出总表</w:t>
      </w:r>
      <w:bookmarkEnd w:id="64"/>
    </w:p>
    <w:p>
      <w:pPr>
        <w:pStyle w:val="2"/>
        <w:rPr>
          <w:rFonts w:ascii="仿宋" w:eastAsia="仿宋"/>
          <w:b w:val="0"/>
          <w:color w:val="000000"/>
        </w:rPr>
      </w:pPr>
      <w:bookmarkStart w:id="65" w:name="_Toc15396622"/>
      <w:r>
        <w:rPr>
          <w:rStyle w:val="2Char"/>
          <w:rFonts w:ascii="仿宋" w:eastAsia="仿宋" w:hint="eastAsia"/>
        </w:rPr>
        <w:t>四、</w:t>
      </w:r>
      <w:r>
        <w:rPr>
          <w:rFonts w:ascii="仿宋" w:eastAsia="仿宋" w:hint="eastAsia"/>
          <w:b w:val="0"/>
          <w:color w:val="000000"/>
        </w:rPr>
        <w:t>财</w:t>
      </w:r>
      <w:r>
        <w:rPr>
          <w:rStyle w:val="2Char"/>
          <w:rFonts w:ascii="仿宋" w:eastAsia="仿宋" w:hint="eastAsia"/>
        </w:rPr>
        <w:t>政拨款收入支出决算总表</w:t>
      </w:r>
      <w:bookmarkEnd w:id="65"/>
    </w:p>
    <w:p>
      <w:pPr>
        <w:pStyle w:val="2"/>
        <w:rPr>
          <w:rFonts w:ascii="仿宋" w:eastAsia="仿宋"/>
          <w:color w:val="000000"/>
        </w:rPr>
      </w:pPr>
      <w:bookmarkStart w:id="66" w:name="_Toc15396623"/>
      <w:r>
        <w:rPr>
          <w:rStyle w:val="2Char"/>
          <w:rFonts w:ascii="仿宋" w:eastAsia="仿宋" w:hint="eastAsia"/>
        </w:rPr>
        <w:t>五、</w:t>
      </w:r>
      <w:r>
        <w:rPr>
          <w:rFonts w:ascii="仿宋" w:eastAsia="仿宋" w:hint="eastAsia"/>
          <w:b w:val="0"/>
          <w:color w:val="000000"/>
        </w:rPr>
        <w:t>财</w:t>
      </w:r>
      <w:r>
        <w:rPr>
          <w:rStyle w:val="2Char"/>
          <w:rFonts w:ascii="仿宋" w:eastAsia="仿宋" w:hint="eastAsia"/>
        </w:rPr>
        <w:t>政拨款支出决算明细表（政府经济分类科目）</w:t>
      </w:r>
      <w:bookmarkEnd w:id="66"/>
    </w:p>
    <w:p>
      <w:pPr>
        <w:pStyle w:val="2"/>
        <w:rPr>
          <w:rFonts w:ascii="仿宋" w:eastAsia="仿宋"/>
          <w:color w:val="000000"/>
        </w:rPr>
      </w:pPr>
      <w:bookmarkStart w:id="67" w:name="_Toc15396624"/>
      <w:r>
        <w:rPr>
          <w:rStyle w:val="2Char"/>
          <w:rFonts w:ascii="仿宋" w:eastAsia="仿宋" w:hint="eastAsia"/>
        </w:rPr>
        <w:t>六、</w:t>
      </w:r>
      <w:r>
        <w:rPr>
          <w:rFonts w:ascii="仿宋" w:eastAsia="仿宋" w:hint="eastAsia"/>
          <w:b w:val="0"/>
          <w:color w:val="000000"/>
        </w:rPr>
        <w:t>一</w:t>
      </w:r>
      <w:r>
        <w:rPr>
          <w:rStyle w:val="2Char"/>
          <w:rFonts w:ascii="仿宋" w:eastAsia="仿宋" w:hint="eastAsia"/>
        </w:rPr>
        <w:t>般公共预算财政拨款支出决算表</w:t>
      </w:r>
      <w:bookmarkEnd w:id="67"/>
    </w:p>
    <w:p>
      <w:pPr>
        <w:pStyle w:val="2"/>
        <w:rPr>
          <w:rFonts w:ascii="仿宋" w:eastAsia="仿宋"/>
          <w:color w:val="000000"/>
        </w:rPr>
      </w:pPr>
      <w:bookmarkStart w:id="68" w:name="_Toc15396625"/>
      <w:r>
        <w:rPr>
          <w:rStyle w:val="2Char"/>
          <w:rFonts w:ascii="仿宋" w:eastAsia="仿宋" w:hint="eastAsia"/>
        </w:rPr>
        <w:t>七、</w:t>
      </w:r>
      <w:r>
        <w:rPr>
          <w:rFonts w:ascii="仿宋" w:eastAsia="仿宋" w:hint="eastAsia"/>
          <w:b w:val="0"/>
          <w:color w:val="000000"/>
        </w:rPr>
        <w:t>一</w:t>
      </w:r>
      <w:r>
        <w:rPr>
          <w:rStyle w:val="2Char"/>
          <w:rFonts w:ascii="仿宋" w:eastAsia="仿宋" w:hint="eastAsia"/>
        </w:rPr>
        <w:t>般公共预算财政拨款支出决算明细表</w:t>
      </w:r>
      <w:bookmarkEnd w:id="68"/>
    </w:p>
    <w:p>
      <w:pPr>
        <w:pStyle w:val="2"/>
        <w:rPr>
          <w:rFonts w:ascii="仿宋" w:eastAsia="仿宋"/>
          <w:color w:val="000000"/>
        </w:rPr>
      </w:pPr>
      <w:bookmarkStart w:id="69" w:name="_Toc15396626"/>
      <w:r>
        <w:rPr>
          <w:rStyle w:val="2Char"/>
          <w:rFonts w:ascii="仿宋" w:eastAsia="仿宋" w:hint="eastAsia"/>
        </w:rPr>
        <w:t>八、</w:t>
      </w:r>
      <w:r>
        <w:rPr>
          <w:rFonts w:ascii="仿宋" w:eastAsia="仿宋" w:hint="eastAsia"/>
          <w:b w:val="0"/>
          <w:color w:val="000000"/>
        </w:rPr>
        <w:t>一</w:t>
      </w:r>
      <w:r>
        <w:rPr>
          <w:rStyle w:val="2Char"/>
          <w:rFonts w:ascii="仿宋" w:eastAsia="仿宋" w:hint="eastAsia"/>
        </w:rPr>
        <w:t>般公共预算财政拨款基本支出决算表</w:t>
      </w:r>
      <w:bookmarkEnd w:id="69"/>
    </w:p>
    <w:p>
      <w:pPr>
        <w:pStyle w:val="2"/>
        <w:rPr>
          <w:rFonts w:ascii="仿宋" w:eastAsia="仿宋"/>
          <w:color w:val="000000"/>
        </w:rPr>
      </w:pPr>
      <w:bookmarkStart w:id="70" w:name="_Toc15396627"/>
      <w:r>
        <w:rPr>
          <w:rStyle w:val="2Char"/>
          <w:rFonts w:ascii="仿宋" w:eastAsia="仿宋" w:hint="eastAsia"/>
        </w:rPr>
        <w:t>九、</w:t>
      </w:r>
      <w:r>
        <w:rPr>
          <w:rFonts w:ascii="仿宋" w:eastAsia="仿宋" w:hint="eastAsia"/>
          <w:b w:val="0"/>
          <w:color w:val="000000"/>
        </w:rPr>
        <w:t>一</w:t>
      </w:r>
      <w:r>
        <w:rPr>
          <w:rStyle w:val="2Char"/>
          <w:rFonts w:ascii="仿宋" w:eastAsia="仿宋" w:hint="eastAsia"/>
        </w:rPr>
        <w:t>般公共预算财政拨款项目支出决算表</w:t>
      </w:r>
      <w:bookmarkEnd w:id="70"/>
    </w:p>
    <w:p>
      <w:pPr>
        <w:pStyle w:val="2"/>
        <w:rPr>
          <w:rFonts w:ascii="仿宋" w:eastAsia="仿宋"/>
          <w:color w:val="000000"/>
        </w:rPr>
      </w:pPr>
      <w:bookmarkStart w:id="71" w:name="_Toc15396628"/>
      <w:r>
        <w:rPr>
          <w:rStyle w:val="2Char"/>
          <w:rFonts w:ascii="仿宋" w:eastAsia="仿宋" w:hint="eastAsia"/>
        </w:rPr>
        <w:t>十、</w:t>
      </w:r>
      <w:r>
        <w:rPr>
          <w:rFonts w:ascii="仿宋" w:eastAsia="仿宋" w:hint="eastAsia"/>
          <w:b w:val="0"/>
          <w:color w:val="000000"/>
        </w:rPr>
        <w:t>一</w:t>
      </w:r>
      <w:r>
        <w:rPr>
          <w:rStyle w:val="2Char"/>
          <w:rFonts w:ascii="仿宋" w:eastAsia="仿宋" w:hint="eastAsia"/>
        </w:rPr>
        <w:t>般公共预算财政拨款“三公”经费支出决算表</w:t>
      </w:r>
      <w:bookmarkEnd w:id="71"/>
    </w:p>
    <w:p>
      <w:pPr>
        <w:pStyle w:val="2"/>
        <w:rPr>
          <w:rFonts w:ascii="仿宋" w:eastAsia="仿宋"/>
          <w:color w:val="000000"/>
        </w:rPr>
      </w:pPr>
      <w:bookmarkStart w:id="72" w:name="_Toc15396629"/>
      <w:r>
        <w:rPr>
          <w:rStyle w:val="2Char"/>
          <w:rFonts w:ascii="仿宋" w:eastAsia="仿宋" w:hint="eastAsia"/>
        </w:rPr>
        <w:t>十一、</w:t>
      </w:r>
      <w:r>
        <w:rPr>
          <w:rFonts w:ascii="仿宋" w:eastAsia="仿宋" w:hint="eastAsia"/>
          <w:b w:val="0"/>
          <w:color w:val="000000"/>
        </w:rPr>
        <w:t>政</w:t>
      </w:r>
      <w:r>
        <w:rPr>
          <w:rStyle w:val="2Char"/>
          <w:rFonts w:ascii="仿宋" w:eastAsia="仿宋" w:hint="eastAsia"/>
        </w:rPr>
        <w:t>府性基金预算财政拨款收入支出决算表</w:t>
      </w:r>
      <w:bookmarkEnd w:id="72"/>
    </w:p>
    <w:p>
      <w:pPr>
        <w:pStyle w:val="2"/>
        <w:rPr>
          <w:rFonts w:ascii="仿宋" w:eastAsia="仿宋"/>
          <w:color w:val="000000"/>
        </w:rPr>
      </w:pPr>
      <w:bookmarkStart w:id="73" w:name="_Toc15396630"/>
      <w:r>
        <w:rPr>
          <w:rStyle w:val="2Char"/>
          <w:rFonts w:ascii="仿宋" w:eastAsia="仿宋" w:hint="eastAsia"/>
        </w:rPr>
        <w:t>十二、</w:t>
      </w:r>
      <w:r>
        <w:rPr>
          <w:rFonts w:ascii="仿宋" w:eastAsia="仿宋" w:hint="eastAsia"/>
          <w:b w:val="0"/>
          <w:color w:val="000000"/>
        </w:rPr>
        <w:t>政</w:t>
      </w:r>
      <w:r>
        <w:rPr>
          <w:rStyle w:val="2Char"/>
          <w:rFonts w:ascii="仿宋" w:eastAsia="仿宋" w:hint="eastAsia"/>
        </w:rPr>
        <w:t>府性基金预算财政拨款“三公”经费支出决算表</w:t>
      </w:r>
      <w:bookmarkEnd w:id="73"/>
    </w:p>
    <w:p>
      <w:pPr>
        <w:pStyle w:val="2"/>
        <w:rPr>
          <w:rFonts w:ascii="仿宋" w:eastAsia="仿宋"/>
          <w:color w:val="000000"/>
        </w:rPr>
      </w:pPr>
      <w:bookmarkStart w:id="74" w:name="_Toc15396631"/>
      <w:r>
        <w:rPr>
          <w:rStyle w:val="2Char"/>
          <w:rFonts w:ascii="仿宋" w:eastAsia="仿宋" w:hint="eastAsia"/>
        </w:rPr>
        <w:t>十三、</w:t>
      </w:r>
      <w:r>
        <w:rPr>
          <w:rFonts w:ascii="仿宋" w:eastAsia="仿宋" w:hint="eastAsia"/>
          <w:b w:val="0"/>
          <w:color w:val="000000"/>
        </w:rPr>
        <w:t>国</w:t>
      </w:r>
      <w:r>
        <w:rPr>
          <w:rStyle w:val="2Char"/>
          <w:rFonts w:ascii="仿宋" w:eastAsia="仿宋" w:hint="eastAsia"/>
        </w:rPr>
        <w:t>有资本经营预算支出决算表</w:t>
      </w:r>
      <w:bookmarkEnd w:id="74"/>
    </w:p>
    <w:p>
      <w:pPr>
        <w:pStyle w:val="2"/>
        <w:rPr>
          <w:rFonts w:ascii="仿宋" w:eastAsia="仿宋"/>
          <w:b w:val="0"/>
          <w:bCs w:val="0"/>
        </w:rPr>
      </w:pPr>
      <w:r>
        <w:rPr>
          <w:rStyle w:val="2Char"/>
          <w:rFonts w:ascii="仿宋" w:eastAsia="仿宋" w:hint="eastAsia"/>
        </w:rPr>
        <w:t>十四、国有资本经营预算财政拨款支出决算表</w:t>
      </w: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0000000000000000000"/>
    <w:charset w:val="86"/>
    <w:family w:val="auto"/>
    <w:pitch w:val="variable"/>
    <w:sig w:usb0="00000000" w:usb1="080E0000" w:usb2="00000010" w:usb3="00000000" w:csb0="00040000" w:csb1="00000000"/>
  </w:font>
  <w:font w:name="黑体">
    <w:altName w:val="AR PL UKai CN"/>
    <w:panose1 w:val="02010609060101010101"/>
    <w:charset w:val="86"/>
    <w:family w:val="modern"/>
    <w:pitch w:val="variable"/>
    <w:sig w:usb0="800002BF" w:usb1="38CF7CFA" w:usb2="00000016" w:usb3="00000000" w:csb0="00040001" w:csb1="00000000"/>
  </w:font>
  <w:font w:name="Arial">
    <w:altName w:val="DejaVu Sans"/>
    <w:panose1 w:val="020B0604020202020204"/>
    <w:charset w:val="00"/>
    <w:family w:val="swiss"/>
    <w:pitch w:val="variable"/>
    <w:sig w:usb0="E0002AFF" w:usb1="C0007843" w:usb2="00000009" w:usb3="00000000" w:csb0="000001FF" w:csb1="00000000"/>
  </w:font>
  <w:font w:name="仿宋">
    <w:altName w:val="仿宋_GB2312"/>
    <w:panose1 w:val="02010609060101010101"/>
    <w:charset w:val="86"/>
    <w:family w:val="modern"/>
    <w:pitch w:val="variable"/>
    <w:sig w:usb0="800002BF" w:usb1="38CF7CFA" w:usb2="00000016" w:usb3="00000000" w:csb0="00040001" w:csb1="00000000"/>
  </w:font>
  <w:font w:name="Cambria">
    <w:altName w:val="DejaVu Sans"/>
    <w:panose1 w:val="02040503050406030204"/>
    <w:charset w:val="00"/>
    <w:family w:val="roman"/>
    <w:pitch w:val="variable"/>
    <w:sig w:usb0="E00002FF" w:usb1="400004FF" w:usb2="00000000" w:usb3="00000000" w:csb0="0000019F" w:csb1="00000000"/>
  </w:font>
  <w:font w:name="楷体">
    <w:altName w:val="楷体_GB2312"/>
    <w:panose1 w:val="02010609060101010101"/>
    <w:charset w:val="86"/>
    <w:family w:val="modern"/>
    <w:pitch w:val="variable"/>
    <w:sig w:usb0="800002BF" w:usb1="38CF7CFA" w:usb2="00000016" w:usb3="00000000" w:csb0="00040001" w:csb1="00000000"/>
  </w:font>
  <w:font w:name="宋体">
    <w:altName w:val="AR PL UKai CN"/>
    <w:panose1 w:val="02010600030101010101"/>
    <w:charset w:val="86"/>
    <w:family w:val="auto"/>
    <w:pitch w:val="variable"/>
    <w:sig w:usb0="00000003" w:usb1="288F0000" w:usb2="00000016" w:usb3="00000000" w:csb0="00040001" w:csb1="00000000"/>
  </w:font>
  <w:font w:name="仿宋_GB2312">
    <w:altName w:val="微软雅黑"/>
    <w:panose1 w:val="00000000000000000000"/>
    <w:charset w:val="86"/>
    <w:family w:val="modern"/>
    <w:pitch w:val="variable"/>
    <w:sig w:usb0="00000000" w:usb1="080E0000" w:usb2="00000010" w:usb3="00000000" w:csb0="00040000" w:csb1="00000000"/>
  </w:font>
  <w:font w:name="楷体_GB2312">
    <w:altName w:val="微软雅黑"/>
    <w:panose1 w:val="00000000000000000000"/>
    <w:charset w:val="86"/>
    <w:family w:val="modern"/>
    <w:pitch w:val="variable"/>
    <w:sig w:usb0="00000000" w:usb1="080E0000" w:usb2="00000010" w:usb3="00000000" w:csb0="00040000" w:csb1="00000000"/>
  </w:font>
  <w:font w:name="Times New Roman">
    <w:altName w:val="DejaVu Sans"/>
    <w:panose1 w:val="02020603050405020304"/>
    <w:charset w:val="00"/>
    <w:family w:val="roman"/>
    <w:pitch w:val="variable"/>
    <w:sig w:usb0="E0002AFF" w:usb1="C0007841" w:usb2="00000009" w:usb3="00000000" w:csb0="000001FF" w:csb1="00000000"/>
  </w:font>
  <w:font w:name="Calibri">
    <w:altName w:val="DejaVu Sans"/>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711047437"/>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12</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2">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N2NhYzJlZDU5ZDRkNTYxMjliODhhMmZiNWI3OWY5Nz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图表目录1"/>
    <w:basedOn w:val="0"/>
    <w:next w:val="0"/>
    <w:pPr>
      <w:spacing w:beforeAutospacing="1"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spacing w:before="100" w:beforeAutospacing="1" w:after="100" w:afterAutospacing="1"/>
      <w:jc w:val="left"/>
    </w:pPr>
    <w:rPr>
      <w:kern w:val="0"/>
      <w:sz w:val="24"/>
    </w:rPr>
  </w:style>
  <w:style w:type="character" w:styleId="24">
    <w:name w:val="Strong"/>
    <w:basedOn w:val="10"/>
    <w:rPr>
      <w:b/>
    </w:rPr>
  </w:style>
  <w:style w:type="character" w:styleId="25">
    <w:name w:val="Hyperlink"/>
    <w:basedOn w:val="10"/>
    <w:rPr>
      <w:color w:val="0000FF"/>
      <w:u w:val="single"/>
    </w:rPr>
  </w:style>
  <w:style w:type="paragraph" w:customStyle="1" w:styleId="26">
    <w:name w:val="图表目录2"/>
    <w:basedOn w:val="0"/>
    <w:next w:val="0"/>
    <w:pPr>
      <w:spacing w:beforeAutospacing="1" w:afterAutospacing="1"/>
      <w:ind w:leftChars="200" w:left="400" w:hangingChars="200" w:hanging="200"/>
    </w:p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 PL UKai CN"/>
                <a:ea typeface="AR PL UKai CN"/>
                <a:cs typeface="Lucida Sans"/>
              </a:defRPr>
            </a:pPr>
            <a:r>
              <a:rPr lang="zh-CN"/>
              <a:t>收入支出对比图</a:t>
            </a:r>
          </a:p>
        </c:rich>
      </c:tx>
      <c:layout/>
      <c:overlay val="0"/>
      <c:spPr>
        <a:ln>
          <a:noFill/>
        </a:ln>
      </c:spPr>
    </c:title>
    <c:autoTitleDeleted val="0"/>
    <c:plotArea>
      <c:layout/>
      <c:barChart>
        <c:barDir val="col"/>
        <c:grouping val="stacked"/>
        <c:varyColors val="0"/>
        <c:ser>
          <c:idx val="0"/>
          <c:order val="0"/>
          <c:tx>
            <c:v>收入支出对比图</c:v>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
              <c:idx val="0"/>
              <c:layout>
                <c:manualLayout>
                  <c:x val="0.0"/>
                  <c:y val="-0.22222222"/>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ctr"/>
              <c:showLegendKey val="0"/>
              <c:showVal val="1"/>
              <c:showCatName val="0"/>
              <c:showSerName val="0"/>
              <c:showPercent val="0"/>
              <c:showBubbleSize val="0"/>
            </c:dLbl>
            <c:dLbl>
              <c:idx val="1"/>
              <c:layout>
                <c:manualLayout>
                  <c:x val="-0.0055555557"/>
                  <c:y val="-0.2175926"/>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ctr"/>
              <c:showLegendKey val="0"/>
              <c:showVal val="1"/>
              <c:showCatName val="0"/>
              <c:showSerName val="0"/>
              <c:showPercent val="0"/>
              <c:showBubbleSize val="0"/>
            </c:dLbl>
            <c:dLbl>
              <c:idx val="2"/>
              <c:layout>
                <c:manualLayout>
                  <c:x val="0.0"/>
                  <c:y val="-0.097222224"/>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ctr"/>
              <c:showLegendKey val="0"/>
              <c:showVal val="1"/>
              <c:showCatName val="0"/>
              <c:showSerName val="0"/>
              <c:showPercent val="0"/>
              <c:showBubbleSize val="0"/>
            </c:dLbl>
            <c:dLblPos val="ctr"/>
            <c:showLegendKey val="0"/>
            <c:showVal val="1"/>
            <c:showCatName val="0"/>
            <c:showSerName val="0"/>
            <c:showPercent val="0"/>
            <c:showBubbleSize val="0"/>
            <c:showLeaderLines val="0"/>
          </c:dLbls>
          <c:cat>
            <c:strLit>
              <c:ptCount val="4"/>
              <c:pt idx="0">
                <c:v>2020年收入</c:v>
              </c:pt>
              <c:pt idx="1">
                <c:v>2021年收入</c:v>
              </c:pt>
              <c:pt idx="2">
                <c:v>2020年支出</c:v>
              </c:pt>
              <c:pt idx="3">
                <c:v>2021年支出</c:v>
              </c:pt>
            </c:strLit>
          </c:cat>
          <c:val>
            <c:numRef>
              <c:f/>
              <c:numCache>
                <c:formatCode>General</c:formatCode>
                <c:ptCount val="4"/>
                <c:pt idx="0">
                  <c:v>1034.8</c:v>
                </c:pt>
                <c:pt idx="1">
                  <c:v>1253.6599999999999</c:v>
                </c:pt>
                <c:pt idx="2">
                  <c:v>1252.26</c:v>
                </c:pt>
                <c:pt idx="3">
                  <c:v>1255.22</c:v>
                </c:pt>
              </c:numCache>
            </c:numRef>
          </c:val>
        </c:ser>
        <c:overlap val="100"/>
        <c:gapWidth val="150"/>
        <c:axId val="0"/>
        <c:axId val="1"/>
      </c:barChart>
      <c:catAx>
        <c:axId val="0"/>
        <c:scaling>
          <c:orientation val="minMax"/>
        </c:scaling>
        <c:delete val="0"/>
        <c:axPos val="b"/>
        <c:numFmt formatCode="General" sourceLinked="0"/>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 PL UKai CN"/>
                <a:ea typeface="AR PL UKai CN"/>
                <a:cs typeface="Lucida Sans"/>
              </a:defRPr>
            </a:pPr>
            <a:r>
              <a:rPr lang="zh-CN"/>
              <a:t>收入决算图</a:t>
            </a:r>
          </a:p>
        </c:rich>
      </c:tx>
      <c:layout/>
      <c:overlay val="0"/>
      <c:spPr>
        <a:ln>
          <a:noFill/>
        </a:ln>
      </c:spPr>
    </c:title>
    <c:autoTitleDeleted val="0"/>
    <c:plotArea>
      <c:layout/>
      <c:pieChart>
        <c:varyColors val="1"/>
        <c:ser>
          <c:idx val="0"/>
          <c:order val="0"/>
          <c:tx>
            <c:v>收入决算图</c:v>
          </c:tx>
          <c:spPr>
            <a:solidFill>
              <a:srgbClr val="4F81BD"/>
            </a:solidFill>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1"/>
            <c:showCatName val="0"/>
            <c:showSerName val="0"/>
            <c:showPercent val="0"/>
            <c:showBubbleSize val="0"/>
            <c:showLeaderLines val="1"/>
          </c:dLbls>
          <c:cat>
            <c:strLit>
              <c:ptCount val="2"/>
              <c:pt idx="0">
                <c:v>基本支出</c:v>
              </c:pt>
              <c:pt idx="1">
                <c:v>项目支出</c:v>
              </c:pt>
            </c:strLit>
          </c:cat>
          <c:val>
            <c:numRef>
              <c:f/>
              <c:numCache>
                <c:formatCode>General</c:formatCode>
                <c:ptCount val="5"/>
                <c:pt idx="0">
                  <c:v>1205.82</c:v>
                </c:pt>
                <c:pt idx="1">
                  <c:v>49.4</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 PL UKai CN"/>
                <a:ea typeface="AR PL UKai CN"/>
                <a:cs typeface="Lucida Sans"/>
              </a:defRPr>
            </a:pPr>
            <a:r>
              <a:rPr lang="zh-CN"/>
              <a:t>一般公共预算财政拨款支出决算变动情况表</a:t>
            </a:r>
          </a:p>
        </c:rich>
      </c:tx>
      <c:layout/>
      <c:overlay val="0"/>
      <c:spPr>
        <a:ln>
          <a:noFill/>
        </a:ln>
      </c:spPr>
    </c:title>
    <c:autoTitleDeleted val="0"/>
    <c:plotArea>
      <c:layout/>
      <c:barChart>
        <c:barDir val="col"/>
        <c:grouping val="clustered"/>
        <c:varyColors val="0"/>
        <c:ser>
          <c:idx val="0"/>
          <c:order val="0"/>
          <c:tx>
            <c:v>一般公共预算财政拨款支出决算变动情况表</c:v>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4"/>
              <c:pt idx="0">
                <c:v>2021年支出</c:v>
              </c:pt>
              <c:pt idx="3">
                <c:v>2020支出</c:v>
              </c:pt>
            </c:strLit>
          </c:cat>
          <c:val>
            <c:numRef>
              <c:f/>
              <c:numCache>
                <c:formatCode>General</c:formatCode>
                <c:ptCount val="7"/>
                <c:pt idx="0">
                  <c:v>1255.22</c:v>
                </c:pt>
                <c:pt idx="3">
                  <c:v>1252.26</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solidFill>
          <a:srgbClr val="FFFFFF"/>
        </a:solidFill>
        <a:ln>
          <a:noFill/>
        </a:ln>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 PL UKai CN"/>
                <a:ea typeface="AR PL UKai CN"/>
                <a:cs typeface="Lucida Sans"/>
              </a:defRPr>
            </a:pPr>
            <a:r>
              <a:rPr lang="zh-CN"/>
              <a:t>一般公共预算财政拨款支出决算结构情况</a:t>
            </a:r>
          </a:p>
        </c:rich>
      </c:tx>
      <c:layout/>
      <c:overlay val="0"/>
      <c:spPr>
        <a:ln>
          <a:noFill/>
        </a:ln>
      </c:spPr>
    </c:title>
    <c:autoTitleDeleted val="0"/>
    <c:plotArea>
      <c:layout/>
      <c:pieChart>
        <c:varyColors val="1"/>
        <c:ser>
          <c:idx val="0"/>
          <c:order val="0"/>
          <c:tx>
            <c:v>一般公共预算财政拨款支出决算结构情况</c:v>
          </c:tx>
          <c:spPr>
            <a:solidFill>
              <a:srgbClr val="4F81BD"/>
            </a:solidFill>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0.00%" sourceLinked="0"/>
            <c:dLbl>
              <c:idx val="0"/>
              <c:numFmt formatCode="0.00%"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80.67%</a:t>
                    </a:r>
                  </a:p>
                </c:rich>
              </c:tx>
              <c:showLegendKey val="0"/>
              <c:showVal val="1"/>
              <c:showCatName val="0"/>
              <c:showSerName val="0"/>
              <c:showPercent val="0"/>
              <c:showBubbleSize val="0"/>
            </c:dLbl>
            <c:dLbl>
              <c:idx val="1"/>
              <c:numFmt formatCode="0.00%"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6.52%</a:t>
                    </a:r>
                  </a:p>
                </c:rich>
              </c:tx>
              <c:showLegendKey val="0"/>
              <c:showVal val="1"/>
              <c:showCatName val="0"/>
              <c:showSerName val="0"/>
              <c:showPercent val="0"/>
              <c:showBubbleSize val="0"/>
            </c:dLbl>
            <c:dLbl>
              <c:idx val="3"/>
              <c:numFmt formatCode="0.00%"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0.13%</a:t>
                    </a:r>
                  </a:p>
                </c:rich>
              </c:tx>
              <c:showLegendKey val="0"/>
              <c:showVal val="1"/>
              <c:showCatName val="0"/>
              <c:showSerName val="0"/>
              <c:showPercent val="0"/>
              <c:showBubbleSize val="0"/>
            </c:dLbl>
            <c:dLbl>
              <c:idx val="4"/>
              <c:numFmt formatCode="0.00%"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9.08%</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Lit>
              <c:ptCount val="5"/>
              <c:pt idx="0">
                <c:v>一般公共服务</c:v>
              </c:pt>
              <c:pt idx="1">
                <c:v>住房保障支出</c:v>
              </c:pt>
              <c:pt idx="2">
                <c:v>卫生健康支出</c:v>
              </c:pt>
              <c:pt idx="3">
                <c:v>教育支出</c:v>
              </c:pt>
              <c:pt idx="4">
                <c:v>社会保障和就业</c:v>
              </c:pt>
            </c:strLit>
          </c:cat>
          <c:val>
            <c:numRef>
              <c:f/>
              <c:numCache>
                <c:formatCode>General</c:formatCode>
                <c:ptCount val="5"/>
                <c:pt idx="0">
                  <c:v>0.8068000000000004</c:v>
                </c:pt>
                <c:pt idx="1">
                  <c:v>0.065</c:v>
                </c:pt>
                <c:pt idx="2">
                  <c:v>0.03600000000000001</c:v>
                </c:pt>
                <c:pt idx="3">
                  <c:v>0.001500000000000001</c:v>
                </c:pt>
                <c:pt idx="4">
                  <c:v>0.09070000000000004</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 PL UKai CN"/>
                <a:ea typeface="AR PL UKai CN"/>
                <a:cs typeface="Lucida Sans"/>
              </a:defRPr>
            </a:pPr>
            <a:r>
              <a:rPr lang="zh-CN"/>
              <a:t>“三公”经费财政拨款支出结构</a:t>
            </a:r>
          </a:p>
        </c:rich>
      </c:tx>
      <c:layout/>
      <c:overlay val="0"/>
      <c:spPr>
        <a:ln>
          <a:noFill/>
        </a:ln>
      </c:spPr>
    </c:title>
    <c:autoTitleDeleted val="0"/>
    <c:plotArea>
      <c:layout/>
      <c:pieChart>
        <c:varyColors val="1"/>
        <c:ser>
          <c:idx val="0"/>
          <c:order val="0"/>
          <c:tx>
            <c:v>“三公”经费财政拨款支出结构</c:v>
          </c:tx>
          <c:spPr>
            <a:solidFill>
              <a:srgbClr val="4F81BD"/>
            </a:solidFill>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0.00_);[Red](0.00)" sourceLinked="0"/>
            <c:showLegendKey val="0"/>
            <c:showVal val="1"/>
            <c:showCatName val="0"/>
            <c:showSerName val="0"/>
            <c:showPercent val="0"/>
            <c:showBubbleSize val="0"/>
            <c:showLeaderLines val="1"/>
          </c:dLbls>
          <c:cat>
            <c:strLit>
              <c:ptCount val="2"/>
              <c:pt idx="0">
                <c:v>公务用车购置及运行维护费</c:v>
              </c:pt>
              <c:pt idx="1">
                <c:v>公务接待费</c:v>
              </c:pt>
            </c:strLit>
          </c:cat>
          <c:val>
            <c:numRef>
              <c:f/>
              <c:numCache>
                <c:formatCode>General</c:formatCode>
                <c:ptCount val="3"/>
                <c:pt idx="0">
                  <c:v>18.6</c:v>
                </c:pt>
                <c:pt idx="1">
                  <c:v>0.17</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宋体"/>
                <a:ea typeface="宋体"/>
                <a:cs typeface="Lucida Sans"/>
              </a:defRPr>
            </a:pPr>
            <a:r>
              <a:rPr lang="zh-CN"/>
              <a:t>三公经费收入支出对比图（万元）</a:t>
            </a:r>
          </a:p>
        </c:rich>
      </c:tx>
      <c:layout/>
      <c:overlay val="1"/>
      <c:spPr>
        <a:ln>
          <a:noFill/>
        </a:ln>
      </c:spPr>
    </c:title>
    <c:autoTitleDeleted val="1"/>
    <c:plotArea>
      <c:layout>
        <c:manualLayout>
          <c:layoutTarget val="inner"/>
          <c:xMode val="edge"/>
          <c:yMode val="edge"/>
          <c:x val="0.11827957"/>
          <c:y val="0.15533426"/>
          <c:w val="0.68819356"/>
          <c:h val="0.7363466"/>
        </c:manualLayout>
      </c:layout>
      <c:barChart>
        <c:barDir val="col"/>
        <c:grouping val="clustered"/>
        <c:varyColors val="0"/>
        <c:ser>
          <c:idx val="0"/>
          <c:order val="0"/>
          <c:tx>
            <c:v>2021预算</c:v>
          </c:tx>
          <c:spPr>
            <a:solidFill>
              <a:srgbClr val="4F81BD"/>
            </a:solidFill>
            <a:ln>
              <a:noFill/>
            </a:ln>
          </c:spPr>
          <c:invertIfNegative val="0"/>
          <c:dLbls>
            <c:txPr>
              <a:bodyPr/>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3"/>
              <c:pt idx="0">
                <c:v>公务用车</c:v>
              </c:pt>
              <c:pt idx="2">
                <c:v>公务接待</c:v>
              </c:pt>
            </c:strLit>
          </c:cat>
          <c:val>
            <c:numRef>
              <c:f/>
              <c:numCache>
                <c:formatCode>General</c:formatCode>
                <c:ptCount val="3"/>
                <c:pt idx="0">
                  <c:v>20.0</c:v>
                </c:pt>
                <c:pt idx="2">
                  <c:v>1.1</c:v>
                </c:pt>
              </c:numCache>
            </c:numRef>
          </c:val>
        </c:ser>
        <c:ser>
          <c:idx val="1"/>
          <c:order val="1"/>
          <c:tx>
            <c:v>2021决算</c:v>
          </c:tx>
          <c:spPr>
            <a:solidFill>
              <a:srgbClr val="C0504D"/>
            </a:solidFill>
            <a:ln>
              <a:noFill/>
            </a:ln>
          </c:spPr>
          <c:invertIfNegative val="0"/>
          <c:dLbls>
            <c:txPr>
              <a:bodyPr/>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3"/>
              <c:pt idx="0">
                <c:v>公务用车</c:v>
              </c:pt>
              <c:pt idx="2">
                <c:v>公务接待</c:v>
              </c:pt>
            </c:strLit>
          </c:cat>
          <c:val>
            <c:numRef>
              <c:f/>
              <c:numCache>
                <c:formatCode>General</c:formatCode>
                <c:ptCount val="3"/>
                <c:pt idx="0">
                  <c:v>18.6</c:v>
                </c:pt>
                <c:pt idx="2">
                  <c:v>0.17</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At val="1.0"/>
        <c:crossBetween val="between"/>
        <c:crossAx val="0"/>
      </c:valAx>
      <c:spPr>
        <a:noFill/>
        <a:ln>
          <a:noFill/>
        </a:ln>
      </c:spPr>
    </c:plotArea>
    <c:legend>
      <c:legendPos val="r"/>
      <c:layout>
        <c:manualLayout>
          <c:xMode val="edge"/>
          <c:yMode val="edge"/>
          <c:x val="0.8521748"/>
          <c:y val="0.48083624"/>
          <c:w val="0.128261"/>
          <c:h val="0.12891985"/>
        </c:manualLayout>
      </c:layout>
      <c:overlay val="0"/>
      <c:spPr>
        <a:noFill/>
        <a:ln>
          <a:noFill/>
        </a:ln>
      </c:spPr>
      <c:txPr>
        <a:bodyPr/>
        <a:lstStyle/>
        <a:p>
          <a:pPr>
            <a:defRPr sz="850" b="0" i="0" u="none" strike="noStrike" baseline="0">
              <a:solidFill>
                <a:srgbClr val="000000"/>
              </a:solidFill>
              <a:latin typeface="宋体"/>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61</TotalTime>
  <Application>Yozo_Office27021597764231179</Application>
  <Pages>22</Pages>
  <Words>6936</Words>
  <Characters>7946</Characters>
  <Lines>420</Lines>
  <Paragraphs>180</Paragraphs>
  <CharactersWithSpaces>8024</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52</cp:revision>
  <cp:lastPrinted>2022-08-26T10:12:00Z</cp:lastPrinted>
  <dcterms:created xsi:type="dcterms:W3CDTF">2022-08-26T09:59:00Z</dcterms:created>
  <dcterms:modified xsi:type="dcterms:W3CDTF">2023-09-21T09:16:31Z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2052-11.1.0.12313</vt:lpwstr>
  </property>
  <property fmtid="{D5CDD505-2E9C-101B-9397-08002B2CF9AE}" pid="3" name="ICV">
    <vt:lpwstr>5E52A80FB935456E8C8FC6D23EB51AC9</vt:lpwstr>
  </property>
</Properties>
</file>