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193"/>
      <w:bookmarkStart w:id="4" w:name="_Toc15396475"/>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77194"/>
      <w:bookmarkStart w:id="8" w:name="_Toc15396598"/>
      <w:bookmarkStart w:id="9" w:name="_Toc15377426"/>
      <w:bookmarkStart w:id="10" w:name="_Toc15396476"/>
      <w:r>
        <w:rPr>
          <w:rFonts w:hint="eastAsia" w:ascii="方正小标宋简体" w:eastAsia="方正小标宋简体"/>
          <w:color w:val="000000"/>
          <w:sz w:val="72"/>
          <w:szCs w:val="72"/>
        </w:rPr>
        <w:t>四川省</w:t>
      </w:r>
      <w:bookmarkEnd w:id="0"/>
      <w:bookmarkStart w:id="11" w:name="_Toc15306268"/>
      <w:r>
        <w:rPr>
          <w:rFonts w:hint="eastAsia" w:ascii="方正小标宋简体" w:eastAsia="方正小标宋简体"/>
          <w:color w:val="000000"/>
          <w:sz w:val="72"/>
          <w:szCs w:val="72"/>
        </w:rPr>
        <w:t>阿坝州</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中共金川县纪律检查委员会部门决算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lang w:val="en-US" w:eastAsia="zh-CN"/>
        </w:rPr>
        <w:t>7</w:t>
      </w:r>
      <w:r>
        <w:rPr>
          <w:rFonts w:hint="eastAsia" w:ascii="仿宋" w:eastAsia="仿宋"/>
          <w:sz w:val="28"/>
          <w:szCs w:val="28"/>
        </w:rPr>
        <w:fldChar w:fldCharType="end"/>
      </w:r>
    </w:p>
    <w:p>
      <w:pPr>
        <w:pStyle w:val="12"/>
        <w:ind w:left="420"/>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7</w:t>
      </w:r>
      <w:r>
        <w:rPr>
          <w:rFonts w:hint="eastAsia" w:ascii="仿宋" w:eastAsia="仿宋"/>
          <w:sz w:val="28"/>
          <w:szCs w:val="28"/>
        </w:rPr>
        <w:fldChar w:fldCharType="end"/>
      </w:r>
    </w:p>
    <w:p>
      <w:pPr>
        <w:pStyle w:val="12"/>
        <w:ind w:left="420"/>
        <w:rPr>
          <w:rFonts w:hint="eastAsia" w:ascii="仿宋" w:eastAsia="仿宋" w:cs="Arial"/>
          <w:sz w:val="28"/>
          <w:szCs w:val="28"/>
          <w:lang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lang w:val="en-US" w:eastAsia="zh-CN"/>
        </w:rPr>
        <w:t>8</w:t>
      </w:r>
    </w:p>
    <w:p>
      <w:pPr>
        <w:pStyle w:val="12"/>
        <w:ind w:left="420"/>
        <w:rPr>
          <w:rFonts w:hint="eastAsia" w:ascii="仿宋" w:eastAsia="仿宋" w:cs="Arial"/>
          <w:sz w:val="28"/>
          <w:szCs w:val="28"/>
          <w:lang w:eastAsia="zh-CN"/>
        </w:rPr>
      </w:pPr>
      <w:r>
        <w:fldChar w:fldCharType="begin"/>
      </w:r>
      <w:r>
        <w:instrText xml:space="preserve"> HYPERLINK \l "_Toc15396608" </w:instrText>
      </w:r>
      <w:r>
        <w:fldChar w:fldCharType="separate"/>
      </w:r>
      <w:r>
        <w:rPr>
          <w:rFonts w:hint="eastAsia" w:ascii="仿宋" w:eastAsia="仿宋"/>
          <w:sz w:val="28"/>
          <w:szCs w:val="28"/>
        </w:rPr>
        <w:t>六、</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9</w:t>
      </w:r>
      <w:r>
        <w:rPr>
          <w:rFonts w:hint="eastAsia" w:ascii="仿宋" w:eastAsia="仿宋"/>
          <w:sz w:val="28"/>
          <w:szCs w:val="28"/>
        </w:rPr>
        <w:fldChar w:fldCharType="end"/>
      </w:r>
    </w:p>
    <w:p>
      <w:pPr>
        <w:pStyle w:val="12"/>
        <w:ind w:left="420"/>
        <w:rPr>
          <w:rFonts w:hint="eastAsia" w:ascii="仿宋" w:eastAsia="仿宋" w:cs="Arial"/>
          <w:sz w:val="28"/>
          <w:szCs w:val="28"/>
          <w:lang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0</w:t>
      </w:r>
    </w:p>
    <w:p>
      <w:pPr>
        <w:pStyle w:val="12"/>
        <w:ind w:left="420"/>
        <w:rPr>
          <w:rFonts w:hint="eastAsia" w:ascii="仿宋" w:eastAsia="仿宋" w:cs="Arial"/>
          <w:sz w:val="28"/>
          <w:szCs w:val="28"/>
          <w:lang w:eastAsia="zh-CN"/>
        </w:rPr>
      </w:pPr>
      <w:r>
        <w:fldChar w:fldCharType="begin"/>
      </w:r>
      <w:r>
        <w:instrText xml:space="preserve"> HYPERLINK \l "_Toc15396610" </w:instrText>
      </w:r>
      <w:r>
        <w:fldChar w:fldCharType="separate"/>
      </w:r>
      <w:r>
        <w:rPr>
          <w:rFonts w:hint="eastAsia" w:ascii="仿宋" w:eastAsia="仿宋"/>
          <w:sz w:val="28"/>
          <w:szCs w:val="28"/>
        </w:rPr>
        <w:t>八、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0</w:t>
      </w:r>
    </w:p>
    <w:p>
      <w:pPr>
        <w:pStyle w:val="12"/>
        <w:ind w:left="420"/>
        <w:rPr>
          <w:rFonts w:hint="eastAsia" w:ascii="仿宋" w:eastAsia="仿宋"/>
          <w:sz w:val="28"/>
          <w:szCs w:val="28"/>
          <w:lang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w:t>
      </w:r>
      <w:r>
        <w:rPr>
          <w:rStyle w:val="17"/>
          <w:rFonts w:hint="eastAsia" w:ascii="仿宋" w:eastAsia="仿宋"/>
          <w:bCs/>
          <w:sz w:val="28"/>
          <w:szCs w:val="28"/>
        </w:rPr>
        <w:t>预算绩效情况说明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1</w:t>
      </w:r>
    </w:p>
    <w:p>
      <w:pPr>
        <w:pStyle w:val="12"/>
        <w:ind w:left="420"/>
        <w:rPr>
          <w:rStyle w:val="17"/>
          <w:rFonts w:hint="eastAsia" w:ascii="仿宋" w:eastAsia="仿宋"/>
          <w:bCs/>
          <w:sz w:val="28"/>
          <w:szCs w:val="28"/>
          <w:lang w:eastAsia="zh-CN"/>
        </w:rPr>
      </w:pPr>
      <w:r>
        <w:rPr>
          <w:rStyle w:val="17"/>
          <w:rFonts w:hint="eastAsia" w:ascii="仿宋" w:eastAsia="仿宋"/>
          <w:bCs/>
          <w:sz w:val="28"/>
          <w:szCs w:val="28"/>
        </w:rPr>
        <w:t xml:space="preserve"> 十、</w:t>
      </w:r>
      <w:r>
        <w:rPr>
          <w:rFonts w:hint="eastAsia" w:ascii="仿宋" w:eastAsia="仿宋"/>
          <w:bCs/>
          <w:sz w:val="28"/>
          <w:szCs w:val="28"/>
        </w:rPr>
        <w:t>其他重要事项的情况说明</w:t>
      </w:r>
      <w:r>
        <w:rPr>
          <w:rStyle w:val="17"/>
          <w:rFonts w:hint="eastAsia" w:ascii="仿宋" w:eastAsia="仿宋"/>
          <w:bCs/>
          <w:sz w:val="28"/>
          <w:szCs w:val="28"/>
        </w:rPr>
        <w:t>..........................1</w:t>
      </w:r>
      <w:r>
        <w:rPr>
          <w:rStyle w:val="17"/>
          <w:rFonts w:hint="eastAsia" w:ascii="仿宋" w:eastAsia="仿宋"/>
          <w:bCs/>
          <w:sz w:val="28"/>
          <w:szCs w:val="28"/>
          <w:lang w:val="en-US" w:eastAsia="zh-CN"/>
        </w:rPr>
        <w:t>2</w:t>
      </w:r>
    </w:p>
    <w:p>
      <w:pPr>
        <w:pStyle w:val="12"/>
        <w:ind w:left="420"/>
        <w:rPr>
          <w:rFonts w:hint="eastAsia" w:ascii="仿宋" w:eastAsia="仿宋"/>
          <w:bCs/>
          <w:sz w:val="28"/>
          <w:szCs w:val="28"/>
          <w:lang w:val="en-US" w:eastAsia="zh-CN"/>
        </w:rPr>
      </w:pPr>
      <w:r>
        <w:rPr>
          <w:rFonts w:hint="eastAsia" w:ascii="仿宋" w:eastAsia="仿宋"/>
          <w:bCs/>
          <w:sz w:val="28"/>
          <w:szCs w:val="28"/>
        </w:rPr>
        <w:fldChar w:fldCharType="begin"/>
      </w:r>
      <w:r>
        <w:rPr>
          <w:rFonts w:hint="eastAsia" w:ascii="仿宋" w:eastAsia="仿宋"/>
          <w:bCs/>
          <w:sz w:val="28"/>
          <w:szCs w:val="28"/>
        </w:rPr>
        <w:instrText xml:space="preserve"> HYPERLINK \l "_Toc15396613" </w:instrText>
      </w:r>
      <w:r>
        <w:rPr>
          <w:rFonts w:hint="eastAsia" w:ascii="仿宋" w:eastAsia="仿宋"/>
          <w:bCs/>
          <w:sz w:val="28"/>
          <w:szCs w:val="28"/>
        </w:rPr>
        <w:fldChar w:fldCharType="separate"/>
      </w:r>
      <w:r>
        <w:rPr>
          <w:rFonts w:hint="eastAsia" w:ascii="仿宋" w:eastAsia="仿宋"/>
          <w:bCs/>
          <w:sz w:val="28"/>
          <w:szCs w:val="28"/>
        </w:rPr>
        <w:t>第三部分 名词解释</w:t>
      </w:r>
      <w:r>
        <w:rPr>
          <w:rFonts w:hint="eastAsia" w:ascii="仿宋" w:eastAsia="仿宋"/>
          <w:bCs/>
          <w:sz w:val="28"/>
          <w:szCs w:val="28"/>
        </w:rPr>
        <w:tab/>
      </w:r>
      <w:r>
        <w:rPr>
          <w:rFonts w:hint="eastAsia" w:ascii="仿宋" w:eastAsia="仿宋"/>
          <w:bCs/>
          <w:sz w:val="28"/>
          <w:szCs w:val="28"/>
        </w:rPr>
        <w:fldChar w:fldCharType="end"/>
      </w:r>
      <w:r>
        <w:rPr>
          <w:rFonts w:hint="eastAsia" w:ascii="仿宋" w:eastAsia="仿宋"/>
          <w:bCs/>
          <w:sz w:val="28"/>
          <w:szCs w:val="28"/>
        </w:rPr>
        <w:t>1</w:t>
      </w:r>
      <w:r>
        <w:rPr>
          <w:rFonts w:hint="eastAsia" w:ascii="仿宋" w:eastAsia="仿宋"/>
          <w:bCs/>
          <w:sz w:val="28"/>
          <w:szCs w:val="28"/>
          <w:lang w:val="en-US" w:eastAsia="zh-CN"/>
        </w:rPr>
        <w:t>3</w:t>
      </w:r>
    </w:p>
    <w:p>
      <w:pPr>
        <w:pStyle w:val="12"/>
        <w:ind w:left="420"/>
        <w:rPr>
          <w:rFonts w:hint="eastAsia" w:eastAsia="仿宋" w:cs="Arial"/>
          <w:lang w:eastAsia="zh-CN"/>
        </w:rPr>
      </w:pPr>
      <w:r>
        <w:rPr>
          <w:rFonts w:hint="eastAsia" w:ascii="仿宋" w:eastAsia="仿宋"/>
          <w:bCs/>
          <w:sz w:val="28"/>
          <w:szCs w:val="28"/>
        </w:rPr>
        <w:fldChar w:fldCharType="begin"/>
      </w:r>
      <w:r>
        <w:rPr>
          <w:rFonts w:hint="eastAsia" w:ascii="仿宋" w:eastAsia="仿宋"/>
          <w:bCs/>
          <w:sz w:val="28"/>
          <w:szCs w:val="28"/>
        </w:rPr>
        <w:instrText xml:space="preserve"> HYPERLINK \l "_Toc15396614" </w:instrText>
      </w:r>
      <w:r>
        <w:rPr>
          <w:rFonts w:hint="eastAsia" w:ascii="仿宋" w:eastAsia="仿宋"/>
          <w:bCs/>
          <w:sz w:val="28"/>
          <w:szCs w:val="28"/>
        </w:rPr>
        <w:fldChar w:fldCharType="separate"/>
      </w:r>
      <w:r>
        <w:rPr>
          <w:rFonts w:hint="eastAsia" w:ascii="仿宋" w:eastAsia="仿宋"/>
          <w:bCs/>
          <w:sz w:val="28"/>
          <w:szCs w:val="28"/>
        </w:rPr>
        <w:t>第四部分 附件</w:t>
      </w:r>
      <w:r>
        <w:rPr>
          <w:rFonts w:hint="eastAsia" w:ascii="仿宋" w:eastAsia="仿宋"/>
          <w:bCs/>
          <w:sz w:val="28"/>
          <w:szCs w:val="28"/>
        </w:rPr>
        <w:tab/>
      </w:r>
      <w:r>
        <w:rPr>
          <w:rFonts w:hint="eastAsia" w:ascii="仿宋" w:eastAsia="仿宋"/>
          <w:bCs/>
          <w:sz w:val="28"/>
          <w:szCs w:val="28"/>
        </w:rPr>
        <w:fldChar w:fldCharType="end"/>
      </w:r>
      <w:r>
        <w:rPr>
          <w:rFonts w:hint="eastAsia"/>
        </w:rPr>
        <w:t>1</w:t>
      </w:r>
      <w:r>
        <w:rPr>
          <w:rFonts w:hint="eastAsia"/>
          <w:lang w:val="en-US" w:eastAsia="zh-CN"/>
        </w:rPr>
        <w:t>3</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1"/>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lang w:val="en-US" w:eastAsia="zh-CN"/>
        </w:rPr>
        <w:t>0</w:t>
      </w:r>
    </w:p>
    <w:p>
      <w:pPr>
        <w:pStyle w:val="12"/>
        <w:ind w:left="420"/>
        <w:rPr>
          <w:rFonts w:hint="eastAsia" w:ascii="仿宋" w:eastAsia="仿宋" w:cs="Arial"/>
          <w:sz w:val="28"/>
          <w:szCs w:val="28"/>
          <w:lang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sz w:val="28"/>
          <w:szCs w:val="28"/>
          <w:lang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pStyle w:val="12"/>
        <w:ind w:left="420"/>
        <w:rPr>
          <w:rFonts w:hint="eastAsia" w:ascii="仿宋" w:eastAsia="仿宋" w:cs="Arial"/>
          <w:sz w:val="28"/>
          <w:szCs w:val="28"/>
          <w:lang w:eastAsia="zh-CN"/>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w:t>
      </w:r>
      <w:r>
        <w:rPr>
          <w:rFonts w:hint="eastAsia" w:ascii="仿宋" w:eastAsia="仿宋"/>
          <w:sz w:val="28"/>
          <w:szCs w:val="28"/>
          <w:lang w:val="en-US" w:eastAsia="zh-CN"/>
        </w:rPr>
        <w:t>1</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9"/>
          <w:rFonts w:hint="eastAsia" w:ascii="黑体" w:eastAsia="黑体"/>
          <w:b w:val="0"/>
          <w:bCs w:val="0"/>
        </w:rPr>
        <w:t>部门概况</w:t>
      </w:r>
      <w:bookmarkEnd w:id="12"/>
      <w:bookmarkEnd w:id="13"/>
    </w:p>
    <w:p>
      <w:pPr>
        <w:pStyle w:val="4"/>
        <w:spacing w:before="0" w:after="0" w:line="240" w:lineRule="auto"/>
        <w:ind w:left="640" w:hanging="640" w:hangingChars="200"/>
        <w:rPr>
          <w:rStyle w:val="20"/>
          <w:rFonts w:ascii="黑体" w:eastAsia="黑体"/>
          <w:b w:val="0"/>
          <w:bCs w:val="0"/>
        </w:rPr>
      </w:pPr>
      <w:bookmarkStart w:id="14" w:name="_Toc15377197"/>
      <w:bookmarkStart w:id="15" w:name="_Toc15396600"/>
      <w:r>
        <w:rPr>
          <w:rFonts w:hint="eastAsia" w:ascii="黑体" w:eastAsia="黑体"/>
          <w:b w:val="0"/>
          <w:color w:val="000000"/>
        </w:rPr>
        <w:t>一、基</w:t>
      </w:r>
      <w:r>
        <w:rPr>
          <w:rStyle w:val="20"/>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pStyle w:val="4"/>
        <w:spacing w:before="0" w:after="0" w:line="240" w:lineRule="auto"/>
        <w:ind w:firstLine="321" w:firstLineChars="100"/>
        <w:rPr>
          <w:rFonts w:ascii="宋体" w:hAnsi="宋体" w:cs="宋体"/>
          <w:color w:val="000000"/>
        </w:rPr>
      </w:pPr>
      <w:r>
        <w:rPr>
          <w:rFonts w:hint="eastAsia" w:ascii="宋体" w:hAnsi="宋体" w:cs="宋体"/>
          <w:color w:val="000000"/>
        </w:rPr>
        <w:t>根据中共金川县委、县人民政府关于《金川县县乡机构改革方案的实施意见》（金委发【2001】55文件规定，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78" w:lineRule="exact"/>
        <w:ind w:firstLine="640" w:firstLineChars="200"/>
        <w:rPr>
          <w:rFonts w:ascii="宋体" w:hAnsi="宋体" w:cs="宋体"/>
          <w:color w:val="000000"/>
          <w:sz w:val="32"/>
          <w:szCs w:val="32"/>
        </w:rPr>
      </w:pPr>
      <w:bookmarkStart w:id="20" w:name="_Toc15377200"/>
      <w:bookmarkStart w:id="21" w:name="_Toc15396601"/>
      <w:r>
        <w:rPr>
          <w:rFonts w:hint="eastAsia" w:ascii="宋体" w:hAnsi="宋体" w:cs="宋体"/>
          <w:color w:val="000000"/>
          <w:sz w:val="32"/>
          <w:szCs w:val="32"/>
        </w:rPr>
        <w:t>2020年委局继续坚持积极稳妥，收入预算与经济发展相协调；坚持厉行节约，努力降低行政成本；坚持改革创新，着力提高财政绩效。全面完成2020年各项工作，取得了实效。认真、及时完成县委、州委组织部交办的其它工作。</w:t>
      </w:r>
    </w:p>
    <w:p>
      <w:pPr>
        <w:spacing w:line="578" w:lineRule="exact"/>
        <w:ind w:firstLine="640" w:firstLineChars="200"/>
        <w:rPr>
          <w:rStyle w:val="20"/>
          <w:b w:val="0"/>
          <w:bCs w:val="0"/>
        </w:rPr>
      </w:pPr>
      <w:r>
        <w:rPr>
          <w:rStyle w:val="20"/>
          <w:rFonts w:hint="eastAsia" w:ascii="黑体" w:eastAsia="黑体"/>
          <w:b w:val="0"/>
          <w:bCs w:val="0"/>
        </w:rPr>
        <w:t>二、机构设置</w:t>
      </w:r>
      <w:bookmarkEnd w:id="20"/>
      <w:bookmarkEnd w:id="21"/>
    </w:p>
    <w:p>
      <w:pPr>
        <w:ind w:firstLine="480" w:firstLineChars="150"/>
        <w:rPr>
          <w:rFonts w:ascii="宋体" w:hAnsi="宋体" w:cs="宋体"/>
          <w:color w:val="000000"/>
          <w:sz w:val="32"/>
          <w:szCs w:val="32"/>
        </w:rPr>
      </w:pPr>
      <w:bookmarkStart w:id="22" w:name="_Toc15396602"/>
      <w:bookmarkStart w:id="23" w:name="_Toc15377204"/>
      <w:r>
        <w:rPr>
          <w:rFonts w:hint="eastAsia" w:ascii="宋体" w:hAnsi="宋体" w:cs="宋体"/>
          <w:color w:val="000000"/>
          <w:sz w:val="32"/>
          <w:szCs w:val="32"/>
        </w:rPr>
        <w:t xml:space="preserve"> 2020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pPr>
        <w:ind w:firstLine="800" w:firstLineChars="250"/>
      </w:pPr>
      <w:r>
        <w:rPr>
          <w:rFonts w:hint="eastAsia" w:ascii="宋体" w:hAnsi="宋体" w:cs="宋体"/>
          <w:color w:val="000000"/>
          <w:sz w:val="32"/>
          <w:szCs w:val="32"/>
        </w:rPr>
        <w:t>总编制59名,其中：行政编制57名（包括行政工勤3名），事业编制2名，总编制和行政编制比上年增加2名。年末实有在职人数51名，行政人员51名（包括行政工勤2名）。年末实有在职人数比上年增加了6人，主要原因为本县调进人员和外县调进工作人员增加。</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9"/>
          <w:rFonts w:hint="eastAsia" w:ascii="黑体" w:eastAsia="黑体"/>
          <w:b w:val="0"/>
          <w:bCs w:val="0"/>
        </w:rPr>
        <w:t>2020年度部门决算情况说明</w:t>
      </w:r>
      <w:bookmarkEnd w:id="22"/>
      <w:bookmarkEnd w:id="23"/>
    </w:p>
    <w:p>
      <w:pPr>
        <w:pStyle w:val="25"/>
        <w:numPr>
          <w:ilvl w:val="0"/>
          <w:numId w:val="1"/>
        </w:numPr>
        <w:ind w:left="0" w:firstLine="0" w:firstLineChars="0"/>
        <w:outlineLvl w:val="1"/>
        <w:rPr>
          <w:rStyle w:val="20"/>
          <w:rFonts w:ascii="黑体" w:eastAsia="黑体"/>
          <w:b w:val="0"/>
        </w:rPr>
      </w:pPr>
      <w:bookmarkStart w:id="24" w:name="_Toc15396603"/>
      <w:bookmarkStart w:id="25" w:name="_Toc15377205"/>
      <w:r>
        <w:rPr>
          <w:rFonts w:hint="eastAsia" w:ascii="黑体" w:eastAsia="黑体"/>
          <w:color w:val="000000"/>
          <w:sz w:val="32"/>
          <w:szCs w:val="32"/>
        </w:rPr>
        <w:t>收</w:t>
      </w:r>
      <w:r>
        <w:rPr>
          <w:rStyle w:val="20"/>
          <w:rFonts w:hint="eastAsia" w:ascii="黑体" w:eastAsia="黑体"/>
          <w:b w:val="0"/>
        </w:rPr>
        <w:t>入支出决算总体情况说明</w:t>
      </w:r>
      <w:bookmarkEnd w:id="24"/>
      <w:bookmarkEnd w:id="25"/>
    </w:p>
    <w:p>
      <w:pPr>
        <w:widowControl/>
        <w:ind w:firstLine="632" w:firstLineChars="200"/>
        <w:jc w:val="left"/>
        <w:rPr>
          <w:rFonts w:ascii="仿宋" w:hAnsi="仿宋" w:eastAsia="仿宋_GB2312"/>
          <w:color w:val="000000"/>
          <w:kern w:val="0"/>
          <w:sz w:val="32"/>
          <w:szCs w:val="32"/>
        </w:rPr>
      </w:pPr>
      <w:r>
        <w:rPr>
          <w:rFonts w:hint="eastAsia" w:ascii="仿宋_GB2312" w:eastAsia="仿宋_GB2312"/>
          <w:color w:val="000000"/>
          <w:spacing w:val="-2"/>
          <w:sz w:val="32"/>
          <w:szCs w:val="32"/>
        </w:rPr>
        <w:t>2020年度总收入1034.8万元，较上年收入增加7.05万元，增加0.69%。增加的主要原因是2020年</w:t>
      </w:r>
      <w:r>
        <w:rPr>
          <w:rFonts w:hint="eastAsia" w:ascii="仿宋_GB2312" w:hAnsi="仿宋" w:eastAsia="仿宋_GB2312"/>
          <w:sz w:val="32"/>
          <w:szCs w:val="32"/>
        </w:rPr>
        <w:t>人员增加。</w:t>
      </w:r>
    </w:p>
    <w:p>
      <w:pPr>
        <w:snapToGrid w:val="0"/>
        <w:spacing w:line="52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rPr>
        <w:t>2020年总支出1252.26万元，较上年支出增加301.79万元，增加31.75%。主要原因2020年财返支出增加。</w:t>
      </w:r>
    </w:p>
    <w:p>
      <w:pPr>
        <w:rPr>
          <w:rFonts w:hint="eastAsia"/>
        </w:rPr>
      </w:pPr>
    </w:p>
    <w:p>
      <w:pPr>
        <w:pStyle w:val="2"/>
        <w:ind w:left="840" w:hanging="420"/>
        <w:rPr>
          <w:rFonts w:hint="eastAsia"/>
        </w:rPr>
      </w:pPr>
      <w:r>
        <w:drawing>
          <wp:inline distT="0" distB="0" distL="0" distR="0">
            <wp:extent cx="4572000" cy="2743200"/>
            <wp:effectExtent l="19050" t="0" r="1905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Fonts w:hint="eastAsia"/>
        </w:rPr>
      </w:pPr>
    </w:p>
    <w:p>
      <w:pPr>
        <w:pStyle w:val="2"/>
        <w:ind w:left="840" w:hanging="420"/>
        <w:rPr>
          <w:rFonts w:hint="eastAsia"/>
        </w:rPr>
      </w:pPr>
    </w:p>
    <w:p/>
    <w:p>
      <w:pPr>
        <w:spacing w:line="600" w:lineRule="exact"/>
        <w:ind w:firstLine="640" w:firstLineChars="200"/>
        <w:rPr>
          <w:rStyle w:val="20"/>
          <w:rFonts w:ascii="黑体" w:eastAsia="黑体"/>
          <w:b w:val="0"/>
        </w:rPr>
      </w:pPr>
      <w:bookmarkStart w:id="26" w:name="_Toc15377206"/>
      <w:bookmarkStart w:id="27" w:name="_Toc15396604"/>
      <w:r>
        <w:rPr>
          <w:rFonts w:hint="eastAsia" w:ascii="黑体" w:eastAsia="黑体"/>
          <w:color w:val="000000"/>
          <w:sz w:val="32"/>
          <w:szCs w:val="32"/>
        </w:rPr>
        <w:t>二、收入决</w:t>
      </w:r>
      <w:r>
        <w:rPr>
          <w:rStyle w:val="20"/>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20年总收入1034.8万元，其中：一般公共预算财政拨款收入1034.8万元，占100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28" w:name="_Toc15377207"/>
      <w:bookmarkStart w:id="29" w:name="_Toc15396605"/>
    </w:p>
    <w:p>
      <w:pPr>
        <w:pStyle w:val="2"/>
        <w:ind w:left="840" w:hanging="420"/>
        <w:rPr>
          <w:rFonts w:hint="eastAsia"/>
        </w:rPr>
      </w:pPr>
      <w:r>
        <w:drawing>
          <wp:inline distT="0" distB="0" distL="0" distR="0">
            <wp:extent cx="4572000" cy="2743200"/>
            <wp:effectExtent l="19050" t="0" r="19050" b="0"/>
            <wp:docPr id="1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outlineLvl w:val="1"/>
        <w:rPr>
          <w:rStyle w:val="20"/>
          <w:rFonts w:ascii="黑体" w:eastAsia="黑体"/>
          <w:b w:val="0"/>
        </w:rPr>
      </w:pPr>
      <w:r>
        <w:rPr>
          <w:rFonts w:hint="eastAsia"/>
        </w:rPr>
        <w:t xml:space="preserve">     </w:t>
      </w:r>
      <w:r>
        <w:rPr>
          <w:rFonts w:hint="eastAsia" w:ascii="黑体" w:eastAsia="黑体"/>
          <w:color w:val="000000"/>
          <w:sz w:val="32"/>
          <w:szCs w:val="32"/>
        </w:rPr>
        <w:t>三、支出决</w:t>
      </w:r>
      <w:r>
        <w:rPr>
          <w:rStyle w:val="20"/>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2020年本年总支出1252.26万元，其中：基本支出975.2万元，占77.87%；项目支出277.07万元，占22.13%；上缴上级支出0万元，占0%；经营支出0万元，占0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hint="eastAsia"/>
        </w:rPr>
      </w:pPr>
    </w:p>
    <w:p>
      <w:pPr>
        <w:pStyle w:val="2"/>
        <w:ind w:left="840" w:hanging="420"/>
        <w:rPr>
          <w:rFonts w:hint="eastAsia"/>
        </w:rPr>
      </w:pPr>
      <w:r>
        <w:drawing>
          <wp:inline distT="0" distB="0" distL="0" distR="0">
            <wp:extent cx="4572000" cy="2743200"/>
            <wp:effectExtent l="19050" t="0" r="19050" b="0"/>
            <wp:docPr id="1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rPr>
          <w:rFonts w:hint="eastAsia"/>
        </w:rPr>
      </w:pPr>
    </w:p>
    <w:p>
      <w:pPr>
        <w:spacing w:line="600" w:lineRule="exact"/>
        <w:ind w:firstLine="320" w:firstLineChars="100"/>
        <w:rPr>
          <w:rStyle w:val="20"/>
          <w:rFonts w:ascii="黑体" w:eastAsia="黑体"/>
          <w:b w:val="0"/>
        </w:rPr>
      </w:pPr>
      <w:bookmarkStart w:id="30" w:name="_Toc15396606"/>
      <w:bookmarkStart w:id="31" w:name="_Toc15377208"/>
      <w:r>
        <w:rPr>
          <w:rFonts w:hint="eastAsia" w:ascii="黑体" w:eastAsia="黑体"/>
          <w:color w:val="000000"/>
          <w:sz w:val="32"/>
          <w:szCs w:val="32"/>
        </w:rPr>
        <w:t>四、</w:t>
      </w:r>
      <w:bookmarkEnd w:id="30"/>
      <w:bookmarkEnd w:id="31"/>
      <w:bookmarkStart w:id="32" w:name="_Toc15396607"/>
      <w:bookmarkStart w:id="33" w:name="_Toc15377209"/>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一般公共预算财政拨款支出1252.26万元，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支出增加301.79万元，增加31.75%。主要原因2020年财返支出增加。</w:t>
      </w:r>
    </w:p>
    <w:p>
      <w:pPr>
        <w:rPr>
          <w:rFonts w:hint="eastAsia"/>
        </w:rPr>
      </w:pPr>
    </w:p>
    <w:p>
      <w:pPr>
        <w:pStyle w:val="2"/>
        <w:ind w:left="840" w:hanging="420"/>
        <w:rPr>
          <w:rFonts w:hint="eastAsia"/>
        </w:rPr>
      </w:pPr>
      <w:r>
        <w:drawing>
          <wp:inline distT="0" distB="0" distL="0" distR="0">
            <wp:extent cx="5274310" cy="2920365"/>
            <wp:effectExtent l="19050" t="0" r="21590" b="0"/>
            <wp:docPr id="1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rPr>
          <w:rFonts w:hint="eastAsia"/>
        </w:rPr>
      </w:pPr>
    </w:p>
    <w:p>
      <w:pPr>
        <w:pStyle w:val="2"/>
        <w:ind w:left="840" w:hanging="420"/>
      </w:pP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20年一般公共预算财政拨款支出1252.26万元，主要用于以下方面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_GB2312" w:hAnsi="仿宋" w:eastAsia="仿宋_GB2312"/>
          <w:color w:val="000000"/>
          <w:sz w:val="32"/>
          <w:szCs w:val="32"/>
        </w:rPr>
        <w:t>1016.46万元，占81.17%</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_GB2312" w:hAnsi="仿宋" w:eastAsia="仿宋_GB2312"/>
          <w:color w:val="000000"/>
          <w:sz w:val="32"/>
          <w:szCs w:val="32"/>
        </w:rPr>
        <w:t>109.24万元，占8.73%</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_GB2312" w:hAnsi="仿宋" w:eastAsia="仿宋_GB2312"/>
          <w:color w:val="000000"/>
          <w:sz w:val="32"/>
          <w:szCs w:val="32"/>
        </w:rPr>
        <w:t>51.21万元，占4.08%</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_GB2312" w:hAnsi="仿宋" w:eastAsia="仿宋_GB2312"/>
          <w:color w:val="000000"/>
          <w:sz w:val="32"/>
          <w:szCs w:val="32"/>
        </w:rPr>
        <w:t>75.35万元，占6.02%</w:t>
      </w:r>
      <w:r>
        <w:rPr>
          <w:rFonts w:hint="eastAsia" w:ascii="仿宋" w:eastAsia="仿宋"/>
          <w:color w:val="000000"/>
          <w:sz w:val="32"/>
          <w:szCs w:val="32"/>
        </w:rPr>
        <w:t>。</w:t>
      </w:r>
      <w:bookmarkStart w:id="36" w:name="_Toc15377444"/>
      <w:bookmarkStart w:id="37" w:name="_Toc15378460"/>
      <w:bookmarkStart w:id="38" w:name="_Toc15377213"/>
    </w:p>
    <w:p>
      <w:pPr>
        <w:pStyle w:val="18"/>
        <w:ind w:left="226" w:leftChars="13" w:hanging="199" w:hangingChars="62"/>
        <w:rPr>
          <w:rFonts w:hint="eastAsia" w:ascii="仿宋" w:eastAsia="仿宋"/>
          <w:b/>
          <w:color w:val="000000"/>
          <w:sz w:val="32"/>
          <w:szCs w:val="32"/>
        </w:rPr>
      </w:pPr>
    </w:p>
    <w:p>
      <w:pPr>
        <w:rPr>
          <w:rFonts w:hint="eastAsia"/>
        </w:rPr>
      </w:pPr>
      <w:r>
        <w:drawing>
          <wp:inline distT="0" distB="0" distL="0" distR="0">
            <wp:extent cx="4657725" cy="2743200"/>
            <wp:effectExtent l="19050" t="0" r="9525" b="0"/>
            <wp:docPr id="1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8"/>
        <w:ind w:left="0" w:leftChars="0" w:firstLine="0" w:firstLineChars="0"/>
        <w:rPr>
          <w:rFonts w:hint="eastAsia" w:ascii="仿宋" w:eastAsia="仿宋"/>
          <w:b/>
          <w:color w:val="000000"/>
          <w:sz w:val="32"/>
          <w:szCs w:val="32"/>
        </w:rPr>
      </w:pPr>
      <w:bookmarkStart w:id="39" w:name="_Toc15377212"/>
      <w:r>
        <w:rPr>
          <w:rFonts w:hint="eastAsia"/>
        </w:rPr>
        <w:t xml:space="preserve"> </w:t>
      </w:r>
      <w:r>
        <w:rPr>
          <w:rFonts w:hint="eastAsia" w:ascii="仿宋" w:eastAsia="仿宋"/>
          <w:b/>
          <w:color w:val="000000"/>
          <w:sz w:val="32"/>
          <w:szCs w:val="32"/>
        </w:rPr>
        <w:t>（三）一般公共预算财政拨款支出决算具体情况</w:t>
      </w:r>
      <w:bookmarkEnd w:id="39"/>
    </w:p>
    <w:p>
      <w:pPr>
        <w:pStyle w:val="18"/>
        <w:ind w:left="0" w:leftChars="0" w:firstLine="0" w:firstLineChars="0"/>
        <w:rPr>
          <w:rFonts w:ascii="仿宋" w:eastAsia="仿宋"/>
          <w:b/>
          <w:color w:val="000000"/>
          <w:sz w:val="32"/>
          <w:szCs w:val="32"/>
        </w:rPr>
      </w:pPr>
      <w:r>
        <w:rPr>
          <w:rFonts w:hint="eastAsia" w:ascii="仿宋" w:eastAsia="仿宋"/>
          <w:bCs/>
          <w:color w:val="000000"/>
          <w:sz w:val="32"/>
          <w:szCs w:val="32"/>
        </w:rPr>
        <w:t xml:space="preserve"> 2020年一般公共预算数为783.52万元，支出决算数为1252.26万元，完</w:t>
      </w:r>
      <w:r>
        <w:rPr>
          <w:rStyle w:val="16"/>
          <w:rFonts w:hint="eastAsia" w:ascii="仿宋" w:eastAsia="仿宋"/>
          <w:b w:val="0"/>
          <w:bCs/>
          <w:color w:val="000000"/>
          <w:sz w:val="32"/>
          <w:szCs w:val="32"/>
        </w:rPr>
        <w:t>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支出决算为1016.46万元，完成预算100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6"/>
          <w:rFonts w:ascii="仿宋" w:eastAsia="仿宋"/>
          <w:bCs/>
          <w:color w:val="000000"/>
          <w:sz w:val="32"/>
          <w:szCs w:val="32"/>
        </w:rPr>
        <w:t>2.</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支出决算为109.24万元，完成预算84.45</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3.卫生健康支出（类）</w:t>
      </w:r>
      <w:r>
        <w:rPr>
          <w:rStyle w:val="16"/>
          <w:rFonts w:ascii="仿宋" w:eastAsia="仿宋"/>
          <w:bCs/>
          <w:color w:val="000000"/>
          <w:sz w:val="32"/>
          <w:szCs w:val="32"/>
        </w:rPr>
        <w:t>:</w:t>
      </w:r>
      <w:r>
        <w:rPr>
          <w:rStyle w:val="16"/>
          <w:rFonts w:hint="eastAsia" w:ascii="仿宋" w:eastAsia="仿宋"/>
          <w:b w:val="0"/>
          <w:bCs/>
          <w:color w:val="000000"/>
          <w:sz w:val="32"/>
          <w:szCs w:val="32"/>
        </w:rPr>
        <w:t>支出决算为51.21万元，完成预算100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4.农林水支出（类）</w:t>
      </w:r>
      <w:r>
        <w:rPr>
          <w:rStyle w:val="16"/>
          <w:rFonts w:ascii="仿宋" w:eastAsia="仿宋"/>
          <w:bCs/>
          <w:color w:val="000000"/>
          <w:sz w:val="32"/>
          <w:szCs w:val="32"/>
        </w:rPr>
        <w:t>:</w:t>
      </w:r>
      <w:r>
        <w:rPr>
          <w:rStyle w:val="16"/>
          <w:rFonts w:hint="eastAsia" w:ascii="仿宋" w:eastAsia="仿宋"/>
          <w:b w:val="0"/>
          <w:bCs/>
          <w:color w:val="000000"/>
          <w:sz w:val="32"/>
          <w:szCs w:val="32"/>
        </w:rPr>
        <w:t>支出决算为0万元，完成预算100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bookmarkStart w:id="40" w:name="_Toc15377214"/>
      <w:bookmarkStart w:id="41" w:name="_Toc15396608"/>
      <w:r>
        <w:rPr>
          <w:rStyle w:val="16"/>
          <w:rFonts w:hint="eastAsia" w:ascii="仿宋" w:eastAsia="仿宋"/>
          <w:bCs/>
          <w:color w:val="000000"/>
          <w:sz w:val="32"/>
          <w:szCs w:val="32"/>
        </w:rPr>
        <w:t>5.住房保障（类）：</w:t>
      </w:r>
      <w:r>
        <w:rPr>
          <w:rStyle w:val="16"/>
          <w:rFonts w:hint="eastAsia" w:ascii="仿宋" w:eastAsia="仿宋"/>
          <w:b w:val="0"/>
          <w:bCs/>
          <w:color w:val="000000"/>
          <w:sz w:val="32"/>
          <w:szCs w:val="32"/>
        </w:rPr>
        <w:t>支出决算为75.35万元，完成预算100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Cs/>
          <w:color w:val="000000"/>
          <w:sz w:val="32"/>
          <w:szCs w:val="32"/>
        </w:rPr>
      </w:pPr>
      <w:r>
        <w:rPr>
          <w:rStyle w:val="16"/>
          <w:rFonts w:hint="eastAsia" w:ascii="仿宋" w:eastAsia="仿宋"/>
          <w:bCs/>
          <w:color w:val="000000"/>
          <w:sz w:val="32"/>
          <w:szCs w:val="32"/>
        </w:rPr>
        <w:t xml:space="preserve"> 6.其他支出（类）：</w:t>
      </w:r>
      <w:r>
        <w:rPr>
          <w:rStyle w:val="16"/>
          <w:rFonts w:hint="eastAsia" w:ascii="仿宋" w:eastAsia="仿宋"/>
          <w:b w:val="0"/>
          <w:bCs/>
          <w:color w:val="000000"/>
          <w:sz w:val="32"/>
          <w:szCs w:val="32"/>
        </w:rPr>
        <w:t>支出决算为0万元，完成预算100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0"/>
        <w:rPr>
          <w:rStyle w:val="20"/>
        </w:rPr>
      </w:pPr>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0"/>
      <w:bookmarkEnd w:id="41"/>
      <w:r>
        <w:rPr>
          <w:rStyle w:val="20"/>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w:t>
      </w:r>
      <w:r>
        <w:rPr>
          <w:rFonts w:hint="eastAsia" w:ascii="仿宋_GB2312" w:hAnsi="仿宋" w:eastAsia="仿宋_GB2312"/>
          <w:color w:val="000000"/>
          <w:sz w:val="32"/>
          <w:szCs w:val="32"/>
        </w:rPr>
        <w:t>975.2</w:t>
      </w:r>
      <w:r>
        <w:rPr>
          <w:rFonts w:hint="eastAsia" w:ascii="仿宋" w:eastAsia="仿宋"/>
          <w:color w:val="000000"/>
          <w:sz w:val="32"/>
          <w:szCs w:val="32"/>
        </w:rPr>
        <w:t>万元，其中：</w:t>
      </w:r>
    </w:p>
    <w:p>
      <w:pPr>
        <w:snapToGrid w:val="0"/>
        <w:spacing w:line="520" w:lineRule="exact"/>
        <w:ind w:firstLine="640" w:firstLineChars="200"/>
        <w:rPr>
          <w:rFonts w:hint="eastAsia" w:ascii="仿宋_GB2312" w:eastAsia="仿宋_GB2312"/>
          <w:color w:val="000000"/>
          <w:sz w:val="32"/>
          <w:szCs w:val="32"/>
          <w:lang w:eastAsia="zh-CN"/>
        </w:rPr>
      </w:pPr>
      <w:r>
        <w:rPr>
          <w:rFonts w:hint="eastAsia" w:ascii="仿宋" w:eastAsia="仿宋"/>
          <w:color w:val="000000"/>
          <w:sz w:val="32"/>
          <w:szCs w:val="32"/>
        </w:rPr>
        <w:t>人员经费</w:t>
      </w:r>
      <w:r>
        <w:rPr>
          <w:rFonts w:hint="eastAsia" w:ascii="仿宋_GB2312" w:hAnsi="仿宋" w:eastAsia="仿宋_GB2312"/>
          <w:color w:val="000000"/>
          <w:sz w:val="32"/>
          <w:szCs w:val="32"/>
        </w:rPr>
        <w:t>869.99</w:t>
      </w:r>
      <w:r>
        <w:rPr>
          <w:rFonts w:hint="eastAsia" w:ascii="仿宋" w:eastAsia="仿宋"/>
          <w:color w:val="000000"/>
          <w:sz w:val="32"/>
          <w:szCs w:val="32"/>
        </w:rPr>
        <w:t>万元，主要包括：</w:t>
      </w:r>
      <w:r>
        <w:rPr>
          <w:rFonts w:hint="eastAsia" w:ascii="仿宋_GB2312" w:eastAsia="仿宋_GB2312"/>
          <w:color w:val="000000"/>
          <w:sz w:val="32"/>
          <w:szCs w:val="32"/>
        </w:rPr>
        <w:t>基本工资202.57万元、津贴补贴273.79万元、奖金17.8万元、机关事业单位基本养老保险缴费73.44万元、职业年金缴费35.8万元、其他社会保障缴费5.53万元、住房公积金74.32万元、职工基本医疗保险缴费37.26万元、公务员医疗补助12.79万元、生活补助1.91万元、奖励金134.77万元等。</w:t>
      </w:r>
    </w:p>
    <w:p>
      <w:pPr>
        <w:snapToGrid w:val="0"/>
        <w:spacing w:line="520" w:lineRule="exact"/>
        <w:ind w:firstLine="640" w:firstLineChars="200"/>
        <w:rPr>
          <w:rFonts w:hint="eastAsia" w:ascii="仿宋_GB2312" w:eastAsia="仿宋_GB2312"/>
          <w:color w:val="000000"/>
          <w:sz w:val="32"/>
          <w:szCs w:val="32"/>
        </w:rPr>
      </w:pPr>
      <w:r>
        <w:rPr>
          <w:rFonts w:hint="eastAsia" w:ascii="仿宋" w:eastAsia="仿宋"/>
          <w:color w:val="000000"/>
          <w:sz w:val="32"/>
          <w:szCs w:val="32"/>
        </w:rPr>
        <w:t>　　公用经费</w:t>
      </w:r>
      <w:r>
        <w:rPr>
          <w:rFonts w:hint="eastAsia" w:ascii="仿宋_GB2312" w:hAnsi="仿宋" w:eastAsia="仿宋_GB2312"/>
          <w:color w:val="000000"/>
          <w:sz w:val="32"/>
          <w:szCs w:val="32"/>
        </w:rPr>
        <w:t>105.2</w:t>
      </w:r>
      <w:r>
        <w:rPr>
          <w:rFonts w:hint="eastAsia" w:ascii="仿宋" w:eastAsia="仿宋"/>
          <w:color w:val="000000"/>
          <w:sz w:val="32"/>
          <w:szCs w:val="32"/>
        </w:rPr>
        <w:t>万元，主要包括：</w:t>
      </w:r>
      <w:r>
        <w:rPr>
          <w:rFonts w:hint="eastAsia" w:ascii="仿宋_GB2312" w:eastAsia="仿宋_GB2312"/>
          <w:color w:val="000000"/>
          <w:sz w:val="32"/>
          <w:szCs w:val="32"/>
        </w:rPr>
        <w:t>办公费26.68万元、电费4.4万元、邮电费15.8万元、差旅费27.04万元、维修维护费1.5万元、公务接待0.38万元、劳务费7.4万元、福利费2万元、公务用车运行维护费20万元。</w:t>
      </w:r>
    </w:p>
    <w:p>
      <w:pPr>
        <w:spacing w:line="600" w:lineRule="exact"/>
        <w:ind w:firstLine="640" w:firstLineChars="200"/>
        <w:outlineLvl w:val="1"/>
        <w:rPr>
          <w:rStyle w:val="20"/>
          <w:rFonts w:ascii="黑体" w:eastAsia="黑体"/>
          <w:b w:val="0"/>
        </w:rPr>
      </w:pPr>
      <w:bookmarkStart w:id="42" w:name="_Toc15377215"/>
      <w:bookmarkStart w:id="43" w:name="_Toc15396609"/>
      <w:r>
        <w:rPr>
          <w:rFonts w:hint="eastAsia" w:ascii="黑体" w:eastAsia="黑体"/>
          <w:color w:val="000000"/>
          <w:sz w:val="32"/>
          <w:szCs w:val="32"/>
        </w:rPr>
        <w:t>六、</w:t>
      </w:r>
      <w:r>
        <w:rPr>
          <w:rStyle w:val="20"/>
          <w:rFonts w:hint="eastAsia" w:ascii="黑体" w:eastAsia="黑体"/>
        </w:rPr>
        <w:t>“</w:t>
      </w:r>
      <w:r>
        <w:rPr>
          <w:rStyle w:val="20"/>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20年“三公”经费财政拨款支出决算为20.38万元，完成预算100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决算20.38万元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；公务用车购置及运行维护费支出决算20万元，占98.14</w:t>
      </w:r>
      <w:r>
        <w:rPr>
          <w:rFonts w:ascii="仿宋" w:eastAsia="仿宋"/>
          <w:color w:val="000000"/>
          <w:sz w:val="32"/>
          <w:szCs w:val="32"/>
        </w:rPr>
        <w:t>%</w:t>
      </w:r>
      <w:r>
        <w:rPr>
          <w:rFonts w:hint="eastAsia" w:ascii="仿宋" w:eastAsia="仿宋"/>
          <w:color w:val="000000"/>
          <w:sz w:val="32"/>
          <w:szCs w:val="32"/>
        </w:rPr>
        <w:t>；公务接待费支出决算0.38万元，占1.86</w:t>
      </w:r>
      <w:r>
        <w:rPr>
          <w:rFonts w:ascii="仿宋" w:eastAsia="仿宋"/>
          <w:color w:val="000000"/>
          <w:sz w:val="32"/>
          <w:szCs w:val="32"/>
        </w:rPr>
        <w:t>%</w:t>
      </w:r>
      <w:r>
        <w:rPr>
          <w:rFonts w:hint="eastAsia" w:ascii="仿宋" w:eastAsia="仿宋"/>
          <w:color w:val="000000"/>
          <w:sz w:val="32"/>
          <w:szCs w:val="32"/>
        </w:rPr>
        <w:t>。具体情况如下：</w:t>
      </w:r>
    </w:p>
    <w:p>
      <w:pPr>
        <w:pStyle w:val="2"/>
        <w:ind w:left="247" w:leftChars="23" w:hanging="199" w:hangingChars="95"/>
        <w:rPr>
          <w:rFonts w:hint="eastAsia"/>
        </w:rPr>
      </w:pPr>
    </w:p>
    <w:p>
      <w:pPr>
        <w:rPr>
          <w:rFonts w:hint="eastAsia"/>
        </w:rPr>
      </w:pPr>
      <w:r>
        <w:drawing>
          <wp:inline distT="0" distB="0" distL="0" distR="0">
            <wp:extent cx="4657725" cy="2743200"/>
            <wp:effectExtent l="19050" t="0" r="9525" b="0"/>
            <wp:docPr id="20"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rPr>
          <w:rStyle w:val="16"/>
          <w:rFonts w:ascii="仿宋" w:eastAsia="仿宋"/>
          <w:b w:val="0"/>
          <w:bCs/>
          <w:color w:val="000000"/>
          <w:sz w:val="32"/>
          <w:szCs w:val="32"/>
        </w:rPr>
      </w:pPr>
      <w:r>
        <w:rPr>
          <w:rFonts w:hint="eastAsia" w:ascii="仿宋_GB2312" w:eastAsia="仿宋_GB2312"/>
          <w:b/>
          <w:color w:val="000000"/>
          <w:sz w:val="32"/>
          <w:szCs w:val="32"/>
        </w:rPr>
        <w:t>1.因公出国（境）经费支出：</w:t>
      </w:r>
      <w:r>
        <w:rPr>
          <w:rFonts w:ascii="仿宋_GB2312" w:eastAsia="仿宋_GB2312"/>
          <w:color w:val="000000"/>
          <w:sz w:val="30"/>
          <w:szCs w:val="30"/>
        </w:rPr>
        <w:t>20</w:t>
      </w:r>
      <w:r>
        <w:rPr>
          <w:rFonts w:hint="eastAsia" w:ascii="仿宋_GB2312" w:eastAsia="仿宋_GB2312"/>
          <w:color w:val="000000"/>
          <w:sz w:val="30"/>
          <w:szCs w:val="30"/>
        </w:rPr>
        <w:t>20年因公出国（境）费0万元。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20万元,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9年增加4.53万元，</w:t>
      </w:r>
      <w:r>
        <w:rPr>
          <w:rFonts w:hint="eastAsia" w:ascii="仿宋_GB2312" w:eastAsia="仿宋_GB2312"/>
          <w:sz w:val="32"/>
          <w:szCs w:val="32"/>
        </w:rPr>
        <w:t>上升29.3</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原因是</w:t>
      </w:r>
      <w:r>
        <w:rPr>
          <w:rFonts w:hint="eastAsia" w:ascii="仿宋_GB2312" w:hAnsi="黑体" w:eastAsia="仿宋_GB2312" w:cs="黑体"/>
          <w:sz w:val="32"/>
          <w:szCs w:val="32"/>
        </w:rPr>
        <w:t>增加办案下乡用车支出及车辆维修支出。</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日，共有车辆3辆，其中：部级领导干部用车0辆、主要领导干部用车0辆、机要通信用车0辆、应急保障用车2辆、执法执勤用车0辆、特种专业技术用车0辆、离退休干部用车0辆、其他用车0辆；</w:t>
      </w:r>
    </w:p>
    <w:p>
      <w:pPr>
        <w:spacing w:line="600" w:lineRule="atLeast"/>
        <w:ind w:firstLine="643"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公务用车运行维护费支出</w:t>
      </w:r>
      <w:r>
        <w:rPr>
          <w:rFonts w:hint="eastAsia" w:ascii="仿宋_GB2312" w:eastAsia="仿宋_GB2312"/>
          <w:sz w:val="32"/>
          <w:szCs w:val="32"/>
        </w:rPr>
        <w:t>20万元。</w:t>
      </w:r>
      <w:r>
        <w:rPr>
          <w:rFonts w:hint="eastAsia" w:ascii="仿宋_GB2312" w:eastAsia="仿宋_GB2312"/>
          <w:color w:val="000000"/>
          <w:sz w:val="32"/>
          <w:szCs w:val="32"/>
        </w:rPr>
        <w:t>主要用于</w:t>
      </w:r>
      <w:r>
        <w:rPr>
          <w:rFonts w:hint="eastAsia" w:ascii="仿宋_GB2312" w:eastAsia="仿宋_GB2312" w:cs="仿宋"/>
          <w:color w:val="000000"/>
          <w:kern w:val="0"/>
          <w:sz w:val="30"/>
          <w:szCs w:val="30"/>
        </w:rPr>
        <w:t>开展日常事务时车辆的燃料费、维修费、过路过桥费、保险费等支出。</w:t>
      </w:r>
    </w:p>
    <w:p>
      <w:pPr>
        <w:spacing w:line="600" w:lineRule="atLeast"/>
        <w:ind w:firstLine="643"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3.公务接待费支出：</w:t>
      </w:r>
      <w:r>
        <w:rPr>
          <w:rFonts w:hint="eastAsia" w:ascii="仿宋_GB2312" w:eastAsia="仿宋_GB2312" w:cs="仿宋"/>
          <w:color w:val="000000"/>
          <w:kern w:val="0"/>
          <w:sz w:val="30"/>
          <w:szCs w:val="30"/>
        </w:rPr>
        <w:t>2020年公务接待费0.38万元。</w:t>
      </w:r>
    </w:p>
    <w:p>
      <w:pPr>
        <w:spacing w:line="600" w:lineRule="exact"/>
        <w:ind w:firstLine="640"/>
        <w:outlineLvl w:val="1"/>
        <w:rPr>
          <w:rStyle w:val="20"/>
          <w:rFonts w:ascii="黑体" w:eastAsia="黑体"/>
        </w:rPr>
      </w:pPr>
      <w:bookmarkStart w:id="46" w:name="_Toc15377218"/>
      <w:bookmarkStart w:id="47" w:name="_Toc15396610"/>
      <w:r>
        <w:rPr>
          <w:rFonts w:hint="eastAsia" w:ascii="黑体" w:eastAsia="黑体"/>
          <w:color w:val="000000"/>
          <w:sz w:val="32"/>
          <w:szCs w:val="32"/>
        </w:rPr>
        <w:t>七、</w:t>
      </w:r>
      <w:r>
        <w:rPr>
          <w:rStyle w:val="20"/>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tabs>
          <w:tab w:val="left" w:pos="0"/>
        </w:tabs>
        <w:spacing w:line="600" w:lineRule="exact"/>
        <w:ind w:left="640"/>
        <w:outlineLvl w:val="1"/>
        <w:rPr>
          <w:rStyle w:val="20"/>
          <w:rFonts w:ascii="黑体" w:eastAsia="黑体"/>
          <w:b w:val="0"/>
        </w:rPr>
      </w:pPr>
      <w:bookmarkStart w:id="48" w:name="_Toc15396611"/>
      <w:bookmarkStart w:id="49" w:name="_Toc15377219"/>
      <w:r>
        <w:rPr>
          <w:rStyle w:val="20"/>
          <w:rFonts w:hint="eastAsia" w:ascii="黑体" w:eastAsia="黑体"/>
          <w:b w:val="0"/>
        </w:rPr>
        <w:t>八、国有资本经营预算支出决算情况说明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5"/>
        <w:spacing w:line="580" w:lineRule="exact"/>
        <w:ind w:left="709" w:firstLine="0" w:firstLineChars="0"/>
        <w:rPr>
          <w:rStyle w:val="20"/>
          <w:rFonts w:ascii="黑体" w:eastAsia="黑体"/>
          <w:b w:val="0"/>
        </w:rPr>
      </w:pPr>
      <w:r>
        <w:rPr>
          <w:rStyle w:val="20"/>
          <w:rFonts w:hint="eastAsia" w:ascii="黑体" w:eastAsia="黑体"/>
          <w:b w:val="0"/>
        </w:rPr>
        <w:t>九、预算绩效情况说明</w:t>
      </w:r>
    </w:p>
    <w:p>
      <w:pPr>
        <w:numPr>
          <w:ilvl w:val="0"/>
          <w:numId w:val="2"/>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根据预算绩效管理要求，我单位在年初预算编制阶段，组织对项目开展了预算事前绩效评估，本部门按要求对2020年部门整体支出开展绩效自评，</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pPr>
        <w:tabs>
          <w:tab w:val="left" w:pos="1493"/>
        </w:tabs>
        <w:snapToGrid w:val="0"/>
        <w:spacing w:line="520" w:lineRule="exact"/>
        <w:ind w:firstLine="643" w:firstLineChars="200"/>
        <w:rPr>
          <w:rFonts w:hint="eastAsia" w:ascii="仿宋" w:eastAsia="仿宋" w:cs="楷体_GB2312"/>
          <w:b/>
          <w:bCs/>
          <w:sz w:val="32"/>
          <w:szCs w:val="32"/>
          <w:lang w:eastAsia="zh-CN"/>
        </w:rPr>
      </w:pPr>
      <w:r>
        <w:rPr>
          <w:rFonts w:hint="eastAsia" w:ascii="仿宋" w:eastAsia="仿宋" w:cs="楷体_GB2312"/>
          <w:b/>
          <w:bCs/>
          <w:sz w:val="32"/>
          <w:szCs w:val="32"/>
        </w:rPr>
        <w:t>（二）项目绩效目标完成情况。</w:t>
      </w:r>
    </w:p>
    <w:p>
      <w:pPr>
        <w:tabs>
          <w:tab w:val="left" w:pos="1493"/>
        </w:tabs>
        <w:snapToGrid w:val="0"/>
        <w:spacing w:line="520" w:lineRule="exact"/>
        <w:ind w:firstLine="640" w:firstLineChars="200"/>
        <w:rPr>
          <w:rFonts w:ascii="Calibri" w:hAnsi="Calibri"/>
        </w:rPr>
      </w:pPr>
      <w:r>
        <w:rPr>
          <w:rFonts w:hint="eastAsia" w:ascii="仿宋_GB2312" w:eastAsia="仿宋_GB2312" w:cs="仿宋_GB2312"/>
          <w:sz w:val="32"/>
          <w:szCs w:val="32"/>
        </w:rPr>
        <w:t xml:space="preserve">    </w:t>
      </w:r>
      <w:r>
        <w:rPr>
          <w:rFonts w:hint="eastAsia" w:ascii="仿宋_GB2312" w:hAnsi="仿宋" w:eastAsia="仿宋_GB2312"/>
          <w:color w:val="000000"/>
          <w:sz w:val="32"/>
          <w:szCs w:val="32"/>
        </w:rPr>
        <w:t>2020年度整体项目支出共277.07万元，其中基本建设类项目支出277.07万元，占整体项目支出的100%。</w:t>
      </w:r>
    </w:p>
    <w:p>
      <w:pPr>
        <w:tabs>
          <w:tab w:val="left" w:pos="0"/>
        </w:tabs>
        <w:spacing w:line="580" w:lineRule="exact"/>
        <w:ind w:left="420" w:leftChars="200"/>
        <w:rPr>
          <w:rFonts w:ascii="仿宋" w:eastAsia="仿宋" w:cs="仿宋_GB2312"/>
          <w:sz w:val="32"/>
          <w:szCs w:val="32"/>
        </w:rPr>
      </w:pPr>
      <w:r>
        <w:rPr>
          <w:rFonts w:hint="eastAsia" w:ascii="仿宋" w:eastAsia="仿宋" w:cs="楷体_GB2312"/>
          <w:b/>
          <w:bCs/>
          <w:sz w:val="32"/>
          <w:szCs w:val="32"/>
        </w:rPr>
        <w:t>（三）部门开展绩效评价结果。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《中共金川县纪律检查委员会2020年部门预算整体支出绩效评价报告》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20"/>
          <w:rFonts w:ascii="黑体" w:eastAsia="黑体"/>
        </w:rPr>
      </w:pPr>
      <w:bookmarkStart w:id="50" w:name="_Toc15396612"/>
      <w:bookmarkStart w:id="51" w:name="_Toc15377221"/>
      <w:r>
        <w:rPr>
          <w:rFonts w:hint="eastAsia" w:ascii="黑体" w:eastAsia="黑体"/>
          <w:color w:val="000000"/>
          <w:sz w:val="32"/>
          <w:szCs w:val="32"/>
        </w:rPr>
        <w:t>十</w:t>
      </w:r>
      <w:r>
        <w:rPr>
          <w:rStyle w:val="20"/>
          <w:rFonts w:hint="eastAsia" w:ascii="黑体" w:eastAsia="黑体"/>
        </w:rPr>
        <w:t>、</w:t>
      </w:r>
      <w:r>
        <w:rPr>
          <w:rStyle w:val="20"/>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20年，运行经费支出105.2万元，比</w:t>
      </w:r>
      <w:r>
        <w:rPr>
          <w:rFonts w:ascii="仿宋_GB2312" w:eastAsia="仿宋_GB2312"/>
          <w:color w:val="000000"/>
          <w:sz w:val="32"/>
          <w:szCs w:val="32"/>
        </w:rPr>
        <w:t>201</w:t>
      </w:r>
      <w:r>
        <w:rPr>
          <w:rFonts w:hint="eastAsia" w:ascii="仿宋_GB2312" w:eastAsia="仿宋_GB2312"/>
          <w:color w:val="000000"/>
          <w:sz w:val="32"/>
          <w:szCs w:val="32"/>
        </w:rPr>
        <w:t>9年增加7.81万元，上升8.02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主要原因为差旅费、公务用车运行维护费及人员增加。</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20年，政府采购支出总额193.41万元，其中：政府采购货物支出70万元、政府采购服务支出45.68万元、政府采购工程支出77.73万元。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日，共有车辆3辆，为日常工作及应急保障用车。</w:t>
      </w:r>
      <w:r>
        <w:rPr>
          <w:rFonts w:hint="eastAsia" w:ascii="仿宋_GB2312" w:eastAsia="仿宋_GB2312"/>
          <w:b/>
          <w:color w:val="000000"/>
          <w:sz w:val="32"/>
          <w:szCs w:val="32"/>
        </w:rPr>
        <w:t xml:space="preserve">    </w:t>
      </w:r>
    </w:p>
    <w:p>
      <w:pPr>
        <w:numPr>
          <w:ilvl w:val="0"/>
          <w:numId w:val="3"/>
        </w:numPr>
        <w:spacing w:line="600" w:lineRule="exact"/>
        <w:ind w:firstLine="663" w:firstLineChars="150"/>
        <w:jc w:val="center"/>
        <w:outlineLvl w:val="0"/>
        <w:rPr>
          <w:rStyle w:val="19"/>
          <w:rFonts w:ascii="黑体" w:eastAsia="黑体"/>
          <w:b w:val="0"/>
        </w:rPr>
      </w:pPr>
      <w:bookmarkStart w:id="55" w:name="_Toc15377225"/>
      <w:bookmarkStart w:id="56" w:name="_Toc15396613"/>
      <w:r>
        <w:rPr>
          <w:rFonts w:hint="eastAsia" w:ascii="黑体" w:eastAsia="黑体"/>
          <w:b/>
          <w:color w:val="000000"/>
          <w:sz w:val="44"/>
          <w:szCs w:val="44"/>
        </w:rPr>
        <w:t>名</w:t>
      </w:r>
      <w:r>
        <w:rPr>
          <w:rStyle w:val="19"/>
          <w:rFonts w:hint="eastAsia" w:ascii="黑体" w:eastAsia="黑体"/>
          <w:b w:val="0"/>
        </w:rPr>
        <w:t>词解释</w:t>
      </w:r>
      <w:bookmarkEnd w:id="55"/>
      <w:bookmarkEnd w:id="56"/>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pStyle w:val="4"/>
        <w:rPr>
          <w:rStyle w:val="19"/>
          <w:rFonts w:ascii="仿宋" w:eastAsia="仿宋"/>
          <w:b w:val="0"/>
          <w:bCs w:val="0"/>
          <w:sz w:val="32"/>
          <w:szCs w:val="32"/>
        </w:rPr>
      </w:pPr>
      <w:bookmarkStart w:id="59" w:name="_Toc15396615"/>
      <w:r>
        <w:rPr>
          <w:rStyle w:val="19"/>
          <w:rFonts w:hint="eastAsia" w:ascii="仿宋" w:eastAsia="仿宋"/>
          <w:b w:val="0"/>
          <w:bCs w:val="0"/>
          <w:sz w:val="32"/>
          <w:szCs w:val="32"/>
        </w:rPr>
        <w:t>附件1</w:t>
      </w:r>
      <w:bookmarkEnd w:id="59"/>
    </w:p>
    <w:p>
      <w:pPr>
        <w:pStyle w:val="18"/>
        <w:ind w:left="1300" w:hanging="880"/>
        <w:rPr>
          <w:rFonts w:ascii="黑体" w:eastAsia="黑体"/>
          <w:color w:val="000000"/>
          <w:sz w:val="44"/>
          <w:szCs w:val="44"/>
        </w:rPr>
      </w:pPr>
    </w:p>
    <w:p/>
    <w:p>
      <w:pPr>
        <w:numPr>
          <w:ilvl w:val="0"/>
          <w:numId w:val="3"/>
        </w:numPr>
        <w:spacing w:line="600" w:lineRule="exact"/>
        <w:ind w:firstLine="660" w:firstLineChars="150"/>
        <w:jc w:val="center"/>
        <w:outlineLvl w:val="0"/>
        <w:rPr>
          <w:rStyle w:val="19"/>
          <w:rFonts w:ascii="黑体" w:eastAsia="黑体"/>
          <w:b w:val="0"/>
        </w:rPr>
      </w:pPr>
      <w:r>
        <w:rPr>
          <w:rStyle w:val="19"/>
          <w:rFonts w:hint="eastAsia" w:ascii="黑体" w:eastAsia="黑体"/>
          <w:b w:val="0"/>
        </w:rPr>
        <w:t>附件</w:t>
      </w:r>
    </w:p>
    <w:p>
      <w:pPr>
        <w:widowControl/>
        <w:spacing w:line="560" w:lineRule="atLeast"/>
        <w:jc w:val="center"/>
        <w:rPr>
          <w:rFonts w:ascii="宋体" w:hAnsi="宋体" w:cs="宋体"/>
          <w:b/>
          <w:sz w:val="44"/>
          <w:szCs w:val="44"/>
        </w:rPr>
      </w:pPr>
      <w:r>
        <w:rPr>
          <w:rFonts w:hint="eastAsia" w:ascii="宋体" w:hAnsi="宋体" w:cs="宋体"/>
          <w:b/>
          <w:sz w:val="44"/>
          <w:szCs w:val="44"/>
        </w:rPr>
        <w:t>中共金川县纪律检查委员会</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2020年部门整体支出绩效评价报告</w:t>
      </w:r>
    </w:p>
    <w:p>
      <w:pPr>
        <w:widowControl/>
        <w:adjustRightInd w:val="0"/>
        <w:snapToGrid w:val="0"/>
        <w:spacing w:line="540" w:lineRule="exact"/>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1、主要职能</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我委主要职责是：主管全县党的纪律检查工作；负责全县行政监察工作；维护党的章程和其他党内法规，检查党的路线、方针、政策和决议的执行情况，协助县委加强党风廉政建设和组织协调反腐败工作。县监委的主要职责是：维护宪法和法律法规；依法监察公职人员行使公权力的情况，调查职务违法和职务犯罪；开展廉政建设和反腐败工作。完成县委、县政府、州纪委交办的其他工作。</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2.机构情况</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 xml:space="preserve"> 2020年末共有机构数1个，其中全额预算单位1个，单位内设机构10个，共同设立办公室、信访室、案件审理室、党风政风监督室、纪检监察干部监督室、第一纪检监察室、第二纪检监察室、第三纪检监察室、第四纪检监察室和案件监督管理室。</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3.人员情况</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 xml:space="preserve"> 总编制59名,其中：行政编制57名（包括行政工勤3名），事业编制2名，总编制和行政编制比上年增加2名。年末实有在职人数51名，行政人员51名（包括行政工勤2名）。年末实有在职人数比上年增加了6人。</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spacing w:line="540" w:lineRule="exact"/>
        <w:ind w:firstLine="579" w:firstLineChars="200"/>
        <w:rPr>
          <w:rFonts w:ascii="仿宋_GB2312" w:hAnsi="仿宋_GB2312" w:eastAsia="仿宋_GB2312" w:cs="仿宋_GB2312"/>
          <w:b/>
          <w:bCs/>
          <w:w w:val="90"/>
          <w:sz w:val="32"/>
          <w:szCs w:val="32"/>
        </w:rPr>
      </w:pPr>
      <w:r>
        <w:rPr>
          <w:rFonts w:hint="eastAsia" w:ascii="仿宋_GB2312" w:hAnsi="仿宋_GB2312" w:eastAsia="仿宋_GB2312" w:cs="仿宋_GB2312"/>
          <w:b/>
          <w:bCs/>
          <w:w w:val="90"/>
          <w:sz w:val="32"/>
          <w:szCs w:val="32"/>
        </w:rPr>
        <w:t>（一）收入支出预算安排情况</w:t>
      </w:r>
    </w:p>
    <w:p>
      <w:pPr>
        <w:ind w:firstLine="480" w:firstLineChars="150"/>
        <w:rPr>
          <w:rFonts w:ascii="仿宋" w:hAnsi="仿宋" w:eastAsia="仿宋" w:cs="宋体"/>
          <w:color w:val="000000"/>
          <w:sz w:val="32"/>
          <w:szCs w:val="32"/>
        </w:rPr>
      </w:pPr>
      <w:r>
        <w:rPr>
          <w:rFonts w:hint="eastAsia" w:ascii="仿宋" w:hAnsi="仿宋" w:eastAsia="仿宋" w:cs="宋体"/>
          <w:color w:val="000000"/>
          <w:sz w:val="32"/>
          <w:szCs w:val="32"/>
        </w:rPr>
        <w:t>2020年财政拨款年初预算收入783.52万元，财政拨款收入1034.80万元；2020年财政拨款支出1252.26万元，其中：基本支出975.20元，占77.87%；项目支出277.07万元，占22.13%；预算支出增加率62.57%。</w:t>
      </w:r>
    </w:p>
    <w:p>
      <w:pPr>
        <w:snapToGrid w:val="0"/>
        <w:spacing w:line="540" w:lineRule="exact"/>
        <w:ind w:firstLine="640" w:firstLineChars="200"/>
        <w:rPr>
          <w:rFonts w:ascii="仿宋" w:hAnsi="仿宋" w:eastAsia="仿宋"/>
          <w:sz w:val="32"/>
          <w:szCs w:val="32"/>
        </w:rPr>
      </w:pPr>
      <w:r>
        <w:rPr>
          <w:rFonts w:hint="eastAsia" w:ascii="仿宋" w:hAnsi="仿宋" w:eastAsia="仿宋" w:cs="仿宋_GB2312"/>
          <w:sz w:val="32"/>
          <w:szCs w:val="32"/>
        </w:rPr>
        <w:t>2021年1-6月收入合计</w:t>
      </w:r>
      <w:r>
        <w:rPr>
          <w:rFonts w:hint="eastAsia" w:ascii="仿宋" w:hAnsi="仿宋" w:eastAsia="仿宋" w:cs="仿宋_GB2312"/>
          <w:bCs/>
          <w:sz w:val="32"/>
          <w:szCs w:val="32"/>
        </w:rPr>
        <w:t>702.4万元，其中：一般公共预算财政拨款收入702.4万元。</w:t>
      </w:r>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s="仿宋_GB2312"/>
          <w:color w:val="000000"/>
          <w:sz w:val="32"/>
          <w:szCs w:val="32"/>
          <w:lang w:val="zh-CN"/>
        </w:rPr>
        <w:t>（二）</w:t>
      </w:r>
      <w:r>
        <w:rPr>
          <w:rFonts w:hint="eastAsia" w:ascii="仿宋" w:hAnsi="仿宋" w:eastAsia="仿宋" w:cs="仿宋_GB2312"/>
          <w:bCs/>
          <w:sz w:val="32"/>
          <w:szCs w:val="32"/>
        </w:rPr>
        <w:t>2020年一般公共预算财政拨款支出</w:t>
      </w:r>
      <w:r>
        <w:rPr>
          <w:rFonts w:hint="eastAsia" w:ascii="仿宋" w:hAnsi="仿宋" w:eastAsia="仿宋" w:cs="仿宋_GB2312"/>
          <w:color w:val="000000"/>
          <w:sz w:val="32"/>
          <w:szCs w:val="32"/>
        </w:rPr>
        <w:t>1252.26</w:t>
      </w:r>
      <w:r>
        <w:rPr>
          <w:rFonts w:hint="eastAsia" w:ascii="仿宋" w:hAnsi="仿宋" w:eastAsia="仿宋" w:cs="仿宋_GB2312"/>
          <w:bCs/>
          <w:sz w:val="32"/>
          <w:szCs w:val="32"/>
        </w:rPr>
        <w:t>万元，主要用于以下方面:</w:t>
      </w:r>
      <w:r>
        <w:rPr>
          <w:rFonts w:hint="eastAsia" w:ascii="仿宋" w:hAnsi="仿宋" w:eastAsia="仿宋" w:cs="仿宋_GB2312"/>
          <w:color w:val="000000"/>
          <w:sz w:val="32"/>
          <w:szCs w:val="32"/>
        </w:rPr>
        <w:t xml:space="preserve"> 其中</w:t>
      </w:r>
      <w:r>
        <w:rPr>
          <w:rFonts w:hint="eastAsia" w:ascii="仿宋" w:hAnsi="仿宋" w:eastAsia="仿宋"/>
          <w:color w:val="000000"/>
          <w:sz w:val="32"/>
          <w:szCs w:val="32"/>
        </w:rPr>
        <w:t>一般公共服务支出为1016.46万元，占81.17%；社会保障和就业支出为109.24万元，占8.72%；医疗卫生与计划生育支出为51.21万元，占4.09%；住房保障支出75.35万元，占6.02%。</w:t>
      </w:r>
    </w:p>
    <w:p>
      <w:pPr>
        <w:snapToGrid w:val="0"/>
        <w:spacing w:line="520" w:lineRule="exact"/>
        <w:ind w:firstLine="640" w:firstLineChars="200"/>
        <w:rPr>
          <w:rFonts w:ascii="仿宋" w:hAnsi="仿宋" w:eastAsia="仿宋" w:cs="仿宋_GB2312"/>
          <w:bCs/>
          <w:sz w:val="32"/>
          <w:szCs w:val="32"/>
        </w:rPr>
      </w:pPr>
      <w:r>
        <w:rPr>
          <w:rFonts w:hint="eastAsia" w:ascii="仿宋" w:hAnsi="仿宋" w:eastAsia="仿宋" w:cs="仿宋_GB2312"/>
          <w:color w:val="000000"/>
          <w:sz w:val="32"/>
          <w:szCs w:val="32"/>
        </w:rPr>
        <w:t>其中：</w:t>
      </w:r>
      <w:r>
        <w:rPr>
          <w:rFonts w:hint="eastAsia" w:ascii="仿宋" w:hAnsi="仿宋" w:eastAsia="仿宋"/>
          <w:color w:val="000000"/>
          <w:sz w:val="32"/>
          <w:szCs w:val="32"/>
        </w:rPr>
        <w:t>人员经费支出869.99万元，主要包括：基本工资202.57万元、津贴补贴273.79万元、奖金17.8万元、机关事业单位基本养老保险缴费73.44万元、职业年金缴费35.8万元、其他社会保障缴费5.53万元、住房公积金74.32万元、职工基本医疗保险缴费37.26万元、公务员医疗补助12.79万元、生活补助1.92万元、奖励金134.77万元。</w:t>
      </w:r>
    </w:p>
    <w:p>
      <w:pPr>
        <w:spacing w:line="600" w:lineRule="exact"/>
        <w:ind w:firstLine="645"/>
        <w:rPr>
          <w:rFonts w:ascii="仿宋" w:hAnsi="仿宋" w:eastAsia="仿宋" w:cs="仿宋_GB2312"/>
          <w:color w:val="000000"/>
          <w:sz w:val="32"/>
          <w:szCs w:val="32"/>
        </w:rPr>
      </w:pPr>
      <w:r>
        <w:rPr>
          <w:rFonts w:hint="eastAsia" w:ascii="仿宋" w:hAnsi="仿宋" w:eastAsia="仿宋"/>
          <w:color w:val="000000"/>
          <w:sz w:val="32"/>
          <w:szCs w:val="32"/>
        </w:rPr>
        <w:t>日常公用经费支出105.2万元，主要包括：办公费26.68万元、电费4.4万元、邮电费15.8万元、差旅费27.04万元、维修（护）费1.5万元、公务接待费0.38万元、劳务费7.4万元、福利费2万元、公务用车运行维护费20万元。</w:t>
      </w:r>
    </w:p>
    <w:p>
      <w:pPr>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项目支出277.07万元，主要包括：防疫经费1.17万元、办案专项经费49.7万元、</w:t>
      </w:r>
      <w:r>
        <w:rPr>
          <w:rFonts w:hint="eastAsia" w:ascii="仿宋" w:hAnsi="仿宋" w:eastAsia="仿宋" w:cs="仿宋_GB2312"/>
          <w:bCs/>
          <w:sz w:val="32"/>
          <w:szCs w:val="32"/>
        </w:rPr>
        <w:t>纪委监委办案点门卫室改造资金226.2万元</w:t>
      </w:r>
      <w:r>
        <w:rPr>
          <w:rFonts w:hint="eastAsia" w:ascii="仿宋" w:hAnsi="仿宋" w:eastAsia="仿宋"/>
          <w:color w:val="000000"/>
          <w:sz w:val="32"/>
          <w:szCs w:val="32"/>
        </w:rPr>
        <w:t>。</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2021年1-6月财政总支出为702.4万元，其中：</w:t>
      </w:r>
    </w:p>
    <w:p>
      <w:pPr>
        <w:spacing w:line="54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rPr>
        <w:t>人员经费617.9万元，主要包括：基本工资104.79万元、津贴补贴141.50万元、机关事业单位基本养老保险缴费57.51万元、职业年金缴费19.12万元、职工基本医疗保险缴费17.35万元、公务员医疗补助缴费5.48万元、其他社会保障缴费0.54万元、住房公积金38.03万元、奖励金233.58万元。</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color w:val="FF0000"/>
          <w:sz w:val="32"/>
          <w:szCs w:val="32"/>
        </w:rPr>
        <w:t>　　</w:t>
      </w:r>
      <w:r>
        <w:rPr>
          <w:rFonts w:hint="eastAsia" w:ascii="仿宋" w:hAnsi="仿宋" w:eastAsia="仿宋" w:cs="仿宋_GB2312"/>
          <w:sz w:val="32"/>
          <w:szCs w:val="32"/>
        </w:rPr>
        <w:t>公用经费33.39万元，主要包括：办公费6.92万元、差旅费14.56万元、劳务费2.93万元、福利费0.45万元、公务用车运行维护费8.53万元。</w:t>
      </w:r>
    </w:p>
    <w:p>
      <w:pPr>
        <w:spacing w:line="540" w:lineRule="exact"/>
        <w:ind w:firstLine="640" w:firstLineChars="200"/>
        <w:rPr>
          <w:rFonts w:ascii="仿宋" w:hAnsi="仿宋" w:eastAsia="仿宋"/>
          <w:sz w:val="32"/>
          <w:szCs w:val="32"/>
        </w:rPr>
      </w:pPr>
      <w:r>
        <w:rPr>
          <w:rFonts w:hint="eastAsia" w:ascii="仿宋" w:hAnsi="仿宋" w:eastAsia="仿宋" w:cs="仿宋_GB2312"/>
          <w:sz w:val="32"/>
          <w:szCs w:val="32"/>
        </w:rPr>
        <w:t>2021年1-6月项目支出51.11万元，主要包括:公务用车购置27.21万元、办案专项经费23.9万元。</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(1)预算编制质量：</w:t>
      </w:r>
      <w:r>
        <w:rPr>
          <w:rFonts w:hint="eastAsia" w:ascii="仿宋" w:hAnsi="仿宋" w:eastAsia="仿宋" w:cs="仿宋_GB2312"/>
          <w:sz w:val="32"/>
          <w:szCs w:val="32"/>
        </w:rPr>
        <w:t>2020年预算783.52万元，其中人员经费632.68万元，公用经费100.84万元，项目支出50万元。2021年部门收入预算总额为936.29元，较上年增加152.77万元，增加19.5%。其中：当年财政拨款收入936.29万元，其他收入 0万元，上年结转收入0万元。相应安排支出预算936.29万元，其中：基本支出预算886.29万元，项目支出50万元。</w:t>
      </w:r>
    </w:p>
    <w:p>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（2）绩效目标填报：</w:t>
      </w:r>
      <w:r>
        <w:rPr>
          <w:rFonts w:hint="eastAsia" w:ascii="仿宋" w:hAnsi="仿宋" w:eastAsia="仿宋" w:cs="仿宋_GB2312"/>
          <w:color w:val="000000"/>
          <w:sz w:val="32"/>
          <w:szCs w:val="32"/>
        </w:rPr>
        <w:t>项目申报严格按照上级要求，明确绩效目标，控制</w:t>
      </w:r>
      <w:r>
        <w:rPr>
          <w:rFonts w:hint="eastAsia" w:ascii="仿宋" w:hAnsi="仿宋" w:eastAsia="仿宋" w:cs="仿宋_GB2312"/>
          <w:color w:val="000000"/>
          <w:sz w:val="32"/>
          <w:szCs w:val="32"/>
          <w:lang w:eastAsia="zh-CN"/>
        </w:rPr>
        <w:t>执行</w:t>
      </w:r>
      <w:r>
        <w:rPr>
          <w:rFonts w:hint="eastAsia" w:ascii="仿宋" w:hAnsi="仿宋" w:eastAsia="仿宋" w:cs="仿宋_GB2312"/>
          <w:color w:val="000000"/>
          <w:sz w:val="32"/>
          <w:szCs w:val="32"/>
        </w:rPr>
        <w:t>成本，提高项目发挥作用。并</w:t>
      </w:r>
      <w:r>
        <w:rPr>
          <w:rFonts w:hint="eastAsia" w:ascii="仿宋" w:hAnsi="仿宋" w:eastAsia="仿宋" w:cs="仿宋_GB2312"/>
          <w:color w:val="000000"/>
          <w:sz w:val="32"/>
          <w:szCs w:val="32"/>
          <w:lang w:val="zh-CN"/>
        </w:rPr>
        <w:t>根据财政局统一要求编制了我委整体绩效目标报告及项目整体绩效目标表，并报县财政局。</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ind w:firstLine="709"/>
        <w:rPr>
          <w:rFonts w:ascii="仿宋" w:hAnsi="仿宋" w:eastAsia="仿宋"/>
          <w:bCs/>
          <w:sz w:val="32"/>
          <w:szCs w:val="32"/>
        </w:rPr>
      </w:pPr>
      <w:r>
        <w:rPr>
          <w:rFonts w:hint="eastAsia" w:ascii="仿宋" w:hAnsi="仿宋" w:eastAsia="仿宋" w:cs="仿宋_GB2312"/>
          <w:color w:val="000000"/>
          <w:sz w:val="32"/>
          <w:szCs w:val="32"/>
          <w:lang w:val="zh-CN"/>
        </w:rPr>
        <w:t>部门预算执行情况良好，但基本集中在下半年。支出情况中期评估不足，</w:t>
      </w:r>
      <w:r>
        <w:rPr>
          <w:rFonts w:hint="eastAsia" w:ascii="仿宋" w:hAnsi="仿宋" w:eastAsia="仿宋"/>
          <w:bCs/>
          <w:sz w:val="32"/>
          <w:szCs w:val="32"/>
        </w:rPr>
        <w:t>2020年我单位“三公”经费支出总额为20.38万元。主要是公务用车运行维护费20万元。2020年我单位公务用车运行维护费年初预算数为20万元，决算数为20万元，与上年同期相比无变化。公务接待数2020年决算数为0.38万元，上年决算为0.72万元，与上年同期相比减少0.34万元。</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2021年</w:t>
      </w:r>
      <w:r>
        <w:rPr>
          <w:rFonts w:hint="eastAsia" w:ascii="仿宋" w:hAnsi="仿宋" w:eastAsia="仿宋" w:cs="仿宋_GB2312"/>
          <w:sz w:val="32"/>
          <w:szCs w:val="32"/>
          <w:lang w:val="zh-CN"/>
        </w:rPr>
        <w:t>“三公”经费预21.2</w:t>
      </w:r>
      <w:r>
        <w:rPr>
          <w:rFonts w:hint="eastAsia" w:ascii="仿宋" w:hAnsi="仿宋" w:eastAsia="仿宋" w:cs="仿宋_GB2312"/>
          <w:sz w:val="32"/>
          <w:szCs w:val="32"/>
        </w:rPr>
        <w:t>万元，其中公务接待费1.2万元，严格执行厉行节约的要求，认真贯彻落实中央八项规定及省委省政府十项规定要求，严格控制接待规模及接待标准。</w:t>
      </w:r>
    </w:p>
    <w:p>
      <w:pPr>
        <w:spacing w:line="54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公务用车运行维护费20万元，1-6月实际支出公务接待费0万元，公务用车运行维护费8.53万元。</w:t>
      </w:r>
    </w:p>
    <w:p>
      <w:pPr>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（三）综合管理情况。</w:t>
      </w:r>
    </w:p>
    <w:p>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我委</w:t>
      </w:r>
      <w:r>
        <w:rPr>
          <w:rFonts w:hint="eastAsia" w:ascii="仿宋" w:hAnsi="仿宋" w:eastAsia="仿宋" w:cs="仿宋_GB2312"/>
          <w:color w:val="000000"/>
          <w:sz w:val="32"/>
          <w:szCs w:val="32"/>
        </w:rPr>
        <w:t>2020年无预算、支出政府采购。所有国有资产纳入</w:t>
      </w:r>
      <w:r>
        <w:rPr>
          <w:rFonts w:hint="eastAsia" w:ascii="仿宋" w:hAnsi="仿宋" w:eastAsia="仿宋" w:cs="仿宋_GB2312"/>
          <w:color w:val="000000"/>
          <w:sz w:val="32"/>
          <w:szCs w:val="32"/>
          <w:lang w:val="zh-CN"/>
        </w:rPr>
        <w:t>资产管理系统，及时准确上报并做好资产的管理工作。根据相关要求，单位使用预算资金基本符合相关的预算财务管理制度。我委在财政批复后</w:t>
      </w:r>
      <w:r>
        <w:rPr>
          <w:rFonts w:hint="eastAsia" w:ascii="仿宋" w:hAns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hAnsi="仿宋" w:eastAsia="仿宋" w:cs="仿宋_GB2312"/>
          <w:color w:val="000000"/>
          <w:sz w:val="32"/>
          <w:szCs w:val="32"/>
          <w:lang w:val="zh-CN"/>
        </w:rPr>
        <w:t>绩效评价及依法接受财政监督情况等。</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四、评价结论及建议</w:t>
      </w:r>
    </w:p>
    <w:p>
      <w:pPr>
        <w:spacing w:line="520" w:lineRule="exact"/>
        <w:ind w:firstLine="579" w:firstLineChars="200"/>
        <w:rPr>
          <w:rFonts w:ascii="仿宋_GB2312" w:hAnsi="仿宋_GB2312" w:eastAsia="仿宋_GB2312" w:cs="仿宋_GB2312"/>
          <w:b/>
          <w:bCs/>
          <w:w w:val="90"/>
          <w:sz w:val="32"/>
          <w:szCs w:val="32"/>
        </w:rPr>
      </w:pPr>
      <w:bookmarkStart w:id="60" w:name="_Toc15396618"/>
      <w:bookmarkStart w:id="61" w:name="_Toc15396619"/>
      <w:r>
        <w:rPr>
          <w:rFonts w:hint="eastAsia" w:ascii="仿宋_GB2312" w:hAnsi="仿宋_GB2312" w:eastAsia="仿宋_GB2312" w:cs="仿宋_GB2312"/>
          <w:b/>
          <w:bCs/>
          <w:w w:val="90"/>
          <w:sz w:val="32"/>
          <w:szCs w:val="32"/>
        </w:rPr>
        <w:t>（一）评价结论</w:t>
      </w:r>
    </w:p>
    <w:p>
      <w:pPr>
        <w:spacing w:line="540" w:lineRule="exact"/>
        <w:ind w:firstLine="640" w:firstLineChars="200"/>
        <w:rPr>
          <w:rFonts w:ascii="仿宋" w:hAnsi="仿宋" w:eastAsia="仿宋" w:cs="仿宋_GB2312"/>
          <w:color w:val="000000"/>
          <w:sz w:val="32"/>
          <w:szCs w:val="32"/>
          <w:lang w:val="zh-CN"/>
        </w:rPr>
      </w:pPr>
      <w:r>
        <w:rPr>
          <w:rFonts w:hint="eastAsia" w:ascii="仿宋" w:hAns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hAnsi="仿宋" w:eastAsia="仿宋" w:cs="仿宋_GB2312"/>
          <w:color w:val="000000"/>
          <w:sz w:val="32"/>
          <w:szCs w:val="32"/>
        </w:rPr>
        <w:t>整体评价良好，预算支出和决算支出情况相符。</w:t>
      </w:r>
    </w:p>
    <w:p>
      <w:pPr>
        <w:spacing w:line="520" w:lineRule="exact"/>
        <w:ind w:firstLine="579" w:firstLineChars="200"/>
        <w:rPr>
          <w:rFonts w:ascii="仿宋_GB2312" w:hAnsi="仿宋_GB2312" w:eastAsia="仿宋_GB2312" w:cs="仿宋_GB2312"/>
          <w:b/>
          <w:bCs/>
          <w:w w:val="90"/>
          <w:sz w:val="32"/>
          <w:szCs w:val="32"/>
        </w:rPr>
      </w:pPr>
      <w:r>
        <w:rPr>
          <w:rFonts w:hint="eastAsia" w:ascii="仿宋_GB2312" w:hAnsi="仿宋_GB2312" w:eastAsia="仿宋_GB2312" w:cs="仿宋_GB2312"/>
          <w:b/>
          <w:bCs/>
          <w:w w:val="90"/>
          <w:sz w:val="32"/>
          <w:szCs w:val="32"/>
        </w:rPr>
        <w:t>（二）存在问题</w:t>
      </w:r>
    </w:p>
    <w:p>
      <w:pPr>
        <w:spacing w:line="540" w:lineRule="exact"/>
        <w:ind w:firstLine="643" w:firstLineChars="200"/>
        <w:rPr>
          <w:rFonts w:ascii="仿宋" w:hAnsi="仿宋" w:eastAsia="仿宋" w:cs="仿宋_GB2312"/>
          <w:color w:val="000000"/>
          <w:sz w:val="32"/>
          <w:szCs w:val="32"/>
          <w:shd w:val="clear" w:color="auto" w:fill="FFFFFF"/>
        </w:rPr>
      </w:pPr>
      <w:r>
        <w:rPr>
          <w:rFonts w:hint="eastAsia" w:ascii="仿宋" w:hAnsi="仿宋" w:eastAsia="仿宋" w:cs="仿宋_GB2312"/>
          <w:b/>
          <w:bCs/>
          <w:color w:val="000000"/>
          <w:kern w:val="0"/>
          <w:sz w:val="32"/>
          <w:szCs w:val="32"/>
        </w:rPr>
        <w:t xml:space="preserve"> </w:t>
      </w:r>
      <w:r>
        <w:rPr>
          <w:rFonts w:hint="eastAsia" w:ascii="仿宋" w:hAnsi="仿宋" w:eastAsia="仿宋" w:cs="仿宋_GB2312"/>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579" w:firstLineChars="200"/>
        <w:rPr>
          <w:rFonts w:ascii="仿宋_GB2312" w:hAnsi="仿宋_GB2312" w:eastAsia="仿宋_GB2312" w:cs="仿宋_GB2312"/>
          <w:b/>
          <w:bCs/>
          <w:w w:val="90"/>
          <w:sz w:val="32"/>
          <w:szCs w:val="32"/>
        </w:rPr>
      </w:pPr>
      <w:r>
        <w:rPr>
          <w:rFonts w:hint="eastAsia" w:ascii="仿宋_GB2312" w:hAnsi="仿宋_GB2312" w:eastAsia="仿宋_GB2312" w:cs="仿宋_GB2312"/>
          <w:b/>
          <w:bCs/>
          <w:w w:val="90"/>
          <w:sz w:val="32"/>
          <w:szCs w:val="32"/>
        </w:rPr>
        <w:t>（三）改进建议</w:t>
      </w:r>
    </w:p>
    <w:p>
      <w:pPr>
        <w:pStyle w:val="13"/>
        <w:widowControl/>
        <w:shd w:val="clear" w:color="auto" w:fill="FFFFFF"/>
        <w:spacing w:beforeAutospacing="0" w:afterAutospacing="0" w:line="576" w:lineRule="exact"/>
        <w:ind w:firstLine="640" w:firstLineChars="200"/>
        <w:rPr>
          <w:rFonts w:ascii="仿宋" w:hAnsi="仿宋" w:eastAsia="仿宋" w:cs="仿宋_GB2312"/>
          <w:color w:val="000000"/>
          <w:sz w:val="32"/>
          <w:szCs w:val="32"/>
          <w:shd w:val="clear" w:color="auto" w:fill="FFFFFF"/>
        </w:rPr>
      </w:pPr>
      <w:r>
        <w:rPr>
          <w:rFonts w:hint="eastAsia" w:ascii="仿宋" w:hAnsi="仿宋" w:eastAsia="仿宋" w:cs="仿宋_GB2312"/>
          <w:color w:val="000000"/>
          <w:sz w:val="32"/>
          <w:szCs w:val="32"/>
        </w:rPr>
        <w:t>一是合理规范使用财政预算资金。二是</w:t>
      </w:r>
      <w:r>
        <w:rPr>
          <w:rFonts w:hint="eastAsia" w:ascii="仿宋" w:hAnsi="仿宋" w:eastAsia="仿宋" w:cs="仿宋_GB2312"/>
          <w:color w:val="000000"/>
          <w:sz w:val="32"/>
          <w:szCs w:val="32"/>
          <w:shd w:val="clear" w:color="auto" w:fill="FFFFFF"/>
        </w:rPr>
        <w:t>进一步规范绩效目标编制。在编制项目资金绩效目标时要求指向明确、细化量化、合理可行、相应匹配。三是不断加强新《</w:t>
      </w:r>
      <w:bookmarkStart w:id="74" w:name="_GoBack"/>
      <w:bookmarkEnd w:id="74"/>
      <w:r>
        <w:rPr>
          <w:rFonts w:hint="eastAsia" w:ascii="仿宋" w:hAnsi="仿宋" w:eastAsia="仿宋" w:cs="仿宋_GB2312"/>
          <w:color w:val="000000"/>
          <w:sz w:val="32"/>
          <w:szCs w:val="32"/>
          <w:shd w:val="clear" w:color="auto" w:fill="FFFFFF"/>
          <w:lang w:eastAsia="zh-CN"/>
        </w:rPr>
        <w:t>中华人民共和国预算法</w:t>
      </w:r>
      <w:r>
        <w:rPr>
          <w:rFonts w:hint="eastAsia" w:ascii="仿宋" w:hAnsi="仿宋" w:eastAsia="仿宋" w:cs="仿宋_GB2312"/>
          <w:color w:val="000000"/>
          <w:sz w:val="32"/>
          <w:szCs w:val="32"/>
          <w:shd w:val="clear" w:color="auto" w:fill="FFFFFF"/>
        </w:rPr>
        <w:t>》、《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ind w:firstLine="1760" w:firstLineChars="400"/>
        <w:jc w:val="both"/>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20"/>
          <w:rFonts w:hint="eastAsia" w:ascii="仿宋" w:eastAsia="仿宋"/>
          <w:b w:val="0"/>
          <w:bCs w:val="0"/>
        </w:rPr>
        <w:t>入总表</w:t>
      </w:r>
      <w:bookmarkEnd w:id="62"/>
    </w:p>
    <w:p>
      <w:pPr>
        <w:pStyle w:val="4"/>
        <w:rPr>
          <w:rFonts w:ascii="仿宋" w:eastAsia="仿宋"/>
          <w:color w:val="000000"/>
        </w:rPr>
      </w:pPr>
      <w:bookmarkStart w:id="63"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63"/>
    </w:p>
    <w:p>
      <w:pPr>
        <w:pStyle w:val="4"/>
        <w:rPr>
          <w:rFonts w:ascii="仿宋" w:eastAsia="仿宋"/>
          <w:b w:val="0"/>
          <w:color w:val="000000"/>
        </w:rPr>
      </w:pPr>
      <w:bookmarkStart w:id="64"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73"/>
    </w:p>
    <w:bookmarkEnd w:id="57"/>
    <w:bookmarkEnd w:id="58"/>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8</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826CA0"/>
    <w:rsid w:val="00001B50"/>
    <w:rsid w:val="00006C73"/>
    <w:rsid w:val="00013022"/>
    <w:rsid w:val="000D64D6"/>
    <w:rsid w:val="00165183"/>
    <w:rsid w:val="001A1704"/>
    <w:rsid w:val="00257843"/>
    <w:rsid w:val="002C382C"/>
    <w:rsid w:val="003D43AA"/>
    <w:rsid w:val="00491501"/>
    <w:rsid w:val="00513787"/>
    <w:rsid w:val="00556B11"/>
    <w:rsid w:val="005F2722"/>
    <w:rsid w:val="0064598F"/>
    <w:rsid w:val="00706AF9"/>
    <w:rsid w:val="0072247B"/>
    <w:rsid w:val="00770047"/>
    <w:rsid w:val="007F7B20"/>
    <w:rsid w:val="00826CA0"/>
    <w:rsid w:val="008943C0"/>
    <w:rsid w:val="008A09F1"/>
    <w:rsid w:val="00934209"/>
    <w:rsid w:val="00947D59"/>
    <w:rsid w:val="00977540"/>
    <w:rsid w:val="00A73111"/>
    <w:rsid w:val="00B56C80"/>
    <w:rsid w:val="00BF2BB1"/>
    <w:rsid w:val="00C66299"/>
    <w:rsid w:val="00C949A4"/>
    <w:rsid w:val="00CC79E0"/>
    <w:rsid w:val="00CE54D6"/>
    <w:rsid w:val="00D5530F"/>
    <w:rsid w:val="00D72BC6"/>
    <w:rsid w:val="00DE4AA2"/>
    <w:rsid w:val="00DF0314"/>
    <w:rsid w:val="00EB679C"/>
    <w:rsid w:val="00F82C90"/>
    <w:rsid w:val="0107193D"/>
    <w:rsid w:val="01C06500"/>
    <w:rsid w:val="0F8E702E"/>
    <w:rsid w:val="12AF7B41"/>
    <w:rsid w:val="1A8031E0"/>
    <w:rsid w:val="1E4C7F6C"/>
    <w:rsid w:val="1F383B4A"/>
    <w:rsid w:val="294E6A7A"/>
    <w:rsid w:val="2B153D77"/>
    <w:rsid w:val="2CBE2F9E"/>
    <w:rsid w:val="2F5763E8"/>
    <w:rsid w:val="31045158"/>
    <w:rsid w:val="31E13F3E"/>
    <w:rsid w:val="362474B0"/>
    <w:rsid w:val="3B457D35"/>
    <w:rsid w:val="4006371A"/>
    <w:rsid w:val="434F59D6"/>
    <w:rsid w:val="4A847F62"/>
    <w:rsid w:val="4AF017D1"/>
    <w:rsid w:val="5D541983"/>
    <w:rsid w:val="5E5A7FEF"/>
    <w:rsid w:val="63A55EFE"/>
    <w:rsid w:val="66EC38E3"/>
    <w:rsid w:val="6CFC2B5B"/>
    <w:rsid w:val="7D780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0"/>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paragraph" w:customStyle="1" w:styleId="18">
    <w:name w:val="图表目录2"/>
    <w:basedOn w:val="1"/>
    <w:next w:val="1"/>
    <w:qFormat/>
    <w:uiPriority w:val="0"/>
    <w:pPr>
      <w:spacing w:beforeAutospacing="1" w:afterAutospacing="1"/>
      <w:ind w:left="200" w:leftChars="200" w:hanging="200" w:hangingChars="200"/>
    </w:pPr>
  </w:style>
  <w:style w:type="character" w:customStyle="1" w:styleId="19">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5"/>
    <w:qFormat/>
    <w:uiPriority w:val="0"/>
    <w:rPr>
      <w:rFonts w:ascii="Times New Roman" w:hAnsi="Times New Roman"/>
      <w:sz w:val="18"/>
      <w:szCs w:val="18"/>
    </w:rPr>
  </w:style>
  <w:style w:type="character" w:customStyle="1" w:styleId="22">
    <w:name w:val="Footer Char"/>
    <w:basedOn w:val="15"/>
    <w:qFormat/>
    <w:uiPriority w:val="0"/>
    <w:rPr>
      <w:rFonts w:ascii="Times New Roman" w:hAnsi="Times New Roman"/>
      <w:sz w:val="18"/>
      <w:szCs w:val="18"/>
    </w:rPr>
  </w:style>
  <w:style w:type="character" w:customStyle="1" w:styleId="23">
    <w:name w:val="Body Text Char"/>
    <w:basedOn w:val="15"/>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H:\2021&#24180;&#36130;&#21153;\2021&#24180;&#39044;&#31639;&#32534;&#21046;\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2021&#24180;&#36130;&#21153;\2021&#24180;&#39044;&#31639;&#32534;&#21046;\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2021&#24180;&#36130;&#21153;\2021&#24180;&#39044;&#31639;&#32534;&#21046;\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2021&#24180;&#36130;&#21153;\2021&#24180;&#39044;&#31639;&#32534;&#21046;\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2021&#24180;&#36130;&#21153;\2021&#24180;&#39044;&#31639;&#32534;&#21046;\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2021&#24180;&#36130;&#21153;\2021&#24180;&#39044;&#31639;&#32534;&#21046;\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stacked"/>
        <c:varyColors val="0"/>
        <c:ser>
          <c:idx val="0"/>
          <c:order val="0"/>
          <c:tx>
            <c:strRef>
              <c:f>Sheet1!$A$3</c:f>
              <c:strCache>
                <c:ptCount val="1"/>
                <c:pt idx="0">
                  <c:v>收入支出对比图</c:v>
                </c:pt>
              </c:strCache>
            </c:strRef>
          </c:tx>
          <c:invertIfNegative val="0"/>
          <c:dLbls>
            <c:dLbl>
              <c:idx val="0"/>
              <c:layout>
                <c:manualLayout>
                  <c:x val="0"/>
                  <c:y val="-0.2222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55555555555556"/>
                  <c:y val="-0.21759259259259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09722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Sheet1!$B$2:$E$2</c:f>
              <c:strCache>
                <c:ptCount val="4"/>
                <c:pt idx="0">
                  <c:v>2019年收入</c:v>
                </c:pt>
                <c:pt idx="1">
                  <c:v>2020年收入</c:v>
                </c:pt>
                <c:pt idx="2">
                  <c:v>2019年支出</c:v>
                </c:pt>
                <c:pt idx="3">
                  <c:v>2020年支出</c:v>
                </c:pt>
              </c:strCache>
            </c:strRef>
          </c:cat>
          <c:val>
            <c:numRef>
              <c:f>Sheet1!$B$3:$E$3</c:f>
              <c:numCache>
                <c:formatCode>General</c:formatCode>
                <c:ptCount val="4"/>
                <c:pt idx="0">
                  <c:v>1027.75</c:v>
                </c:pt>
                <c:pt idx="1">
                  <c:v>1034.8</c:v>
                </c:pt>
                <c:pt idx="2">
                  <c:v>950.47</c:v>
                </c:pt>
                <c:pt idx="3">
                  <c:v>1252.26</c:v>
                </c:pt>
              </c:numCache>
            </c:numRef>
          </c:val>
        </c:ser>
        <c:dLbls>
          <c:showLegendKey val="0"/>
          <c:showVal val="1"/>
          <c:showCatName val="0"/>
          <c:showSerName val="0"/>
          <c:showPercent val="0"/>
          <c:showBubbleSize val="0"/>
        </c:dLbls>
        <c:gapWidth val="150"/>
        <c:overlap val="100"/>
        <c:axId val="119376512"/>
        <c:axId val="119406976"/>
      </c:barChart>
      <c:catAx>
        <c:axId val="1193765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406976"/>
        <c:crosses val="autoZero"/>
        <c:auto val="1"/>
        <c:lblAlgn val="ctr"/>
        <c:lblOffset val="100"/>
        <c:noMultiLvlLbl val="0"/>
      </c:catAx>
      <c:valAx>
        <c:axId val="1194069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3765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Sheet1!$A$120</c:f>
              <c:strCache>
                <c:ptCount val="1"/>
                <c:pt idx="0">
                  <c:v>收入决算图</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Sheet1!$B$119:$D$119</c:f>
              <c:strCache>
                <c:ptCount val="2"/>
                <c:pt idx="0">
                  <c:v>基本支出</c:v>
                </c:pt>
                <c:pt idx="1">
                  <c:v>项目支出</c:v>
                </c:pt>
              </c:strCache>
            </c:strRef>
          </c:cat>
          <c:val>
            <c:numRef>
              <c:f>Sheet1!$B$120:$D$120</c:f>
              <c:numCache>
                <c:formatCode>General</c:formatCode>
                <c:ptCount val="3"/>
                <c:pt idx="0">
                  <c:v>975.2</c:v>
                </c:pt>
                <c:pt idx="1">
                  <c:v>277.07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Sheet1!$A$120</c:f>
              <c:strCache>
                <c:ptCount val="1"/>
                <c:pt idx="0">
                  <c:v>收入决算图</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Sheet1!$B$119:$D$119</c:f>
              <c:strCache>
                <c:ptCount val="2"/>
                <c:pt idx="0">
                  <c:v>基本支出</c:v>
                </c:pt>
                <c:pt idx="1">
                  <c:v>项目支出</c:v>
                </c:pt>
              </c:strCache>
            </c:strRef>
          </c:cat>
          <c:val>
            <c:numRef>
              <c:f>Sheet1!$B$120:$D$120</c:f>
              <c:numCache>
                <c:formatCode>General</c:formatCode>
                <c:ptCount val="3"/>
                <c:pt idx="0">
                  <c:v>975.2</c:v>
                </c:pt>
                <c:pt idx="1">
                  <c:v>277.07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Sheet1!$A$47</c:f>
              <c:strCache>
                <c:ptCount val="1"/>
                <c:pt idx="0">
                  <c:v>一般公共预算财政拨款支出决算变动情况表</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Sheet1!$B$46:$F$46</c:f>
              <c:strCache>
                <c:ptCount val="2"/>
                <c:pt idx="0">
                  <c:v>2020年支出</c:v>
                </c:pt>
                <c:pt idx="1">
                  <c:v>2019支出</c:v>
                </c:pt>
              </c:strCache>
            </c:strRef>
          </c:cat>
          <c:val>
            <c:numRef>
              <c:f>Sheet1!$B$47:$F$47</c:f>
              <c:numCache>
                <c:formatCode>General</c:formatCode>
                <c:ptCount val="5"/>
                <c:pt idx="0">
                  <c:v>1252.26</c:v>
                </c:pt>
                <c:pt idx="1">
                  <c:v>950.47</c:v>
                </c:pt>
              </c:numCache>
            </c:numRef>
          </c:val>
        </c:ser>
        <c:dLbls>
          <c:showLegendKey val="0"/>
          <c:showVal val="1"/>
          <c:showCatName val="0"/>
          <c:showSerName val="0"/>
          <c:showPercent val="0"/>
          <c:showBubbleSize val="0"/>
        </c:dLbls>
        <c:gapWidth val="150"/>
        <c:axId val="119315456"/>
        <c:axId val="119409664"/>
      </c:barChart>
      <c:catAx>
        <c:axId val="11931545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409664"/>
        <c:crosses val="autoZero"/>
        <c:auto val="1"/>
        <c:lblAlgn val="ctr"/>
        <c:lblOffset val="100"/>
        <c:noMultiLvlLbl val="0"/>
      </c:catAx>
      <c:valAx>
        <c:axId val="1194096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931545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Sheet1!$A$97</c:f>
              <c:strCache>
                <c:ptCount val="1"/>
                <c:pt idx="0">
                  <c:v>“三公”经费财政拨款支出结构</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Sheet1!$B$96:$C$96</c:f>
              <c:strCache>
                <c:ptCount val="2"/>
                <c:pt idx="0">
                  <c:v>公务用车购置及运行维护费</c:v>
                </c:pt>
                <c:pt idx="1">
                  <c:v>公务接待费</c:v>
                </c:pt>
              </c:strCache>
            </c:strRef>
          </c:cat>
          <c:val>
            <c:numRef>
              <c:f>Sheet1!$B$97:$C$97</c:f>
              <c:numCache>
                <c:formatCode>0.00_);[Red]\(0.00\)</c:formatCode>
                <c:ptCount val="2"/>
                <c:pt idx="0">
                  <c:v>20</c:v>
                </c:pt>
                <c:pt idx="1">
                  <c:v>0.38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Sheet1!$A$97</c:f>
              <c:strCache>
                <c:ptCount val="1"/>
                <c:pt idx="0">
                  <c:v>“三公”经费财政拨款支出结构</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Sheet1!$B$96:$C$96</c:f>
              <c:strCache>
                <c:ptCount val="2"/>
                <c:pt idx="0">
                  <c:v>公务用车购置及运行维护费</c:v>
                </c:pt>
                <c:pt idx="1">
                  <c:v>公务接待费</c:v>
                </c:pt>
              </c:strCache>
            </c:strRef>
          </c:cat>
          <c:val>
            <c:numRef>
              <c:f>Sheet1!$B$97:$C$97</c:f>
              <c:numCache>
                <c:formatCode>0.00_);[Red]\(0.00\)</c:formatCode>
                <c:ptCount val="2"/>
                <c:pt idx="0">
                  <c:v>20</c:v>
                </c:pt>
                <c:pt idx="1">
                  <c:v>0.38</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6767</Words>
  <Characters>7701</Characters>
  <Lines>17</Lines>
  <Paragraphs>17</Paragraphs>
  <TotalTime>9</TotalTime>
  <ScaleCrop>false</ScaleCrop>
  <LinksUpToDate>false</LinksUpToDate>
  <CharactersWithSpaces>7783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2020-09-29T10:36:00Z</cp:lastPrinted>
  <dcterms:modified xsi:type="dcterms:W3CDTF">2023-07-14T08:59:04Z</dcterms:modified>
  <dc:title>四川省***</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7446358C982B43FBBF5486ACE152A102</vt:lpwstr>
  </property>
</Properties>
</file>