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120" w:lineRule="auto"/>
                                      <w:rPr>
                                        <w:rFonts w:cs="宋体" w:asciiTheme="minorEastAsia" w:hAnsiTheme="minorEastAsia"/>
                                        <w:b/>
                                        <w:sz w:val="28"/>
                                        <w:szCs w:val="28"/>
                                      </w:rPr>
                                    </w:pPr>
                                    <w:bookmarkStart w:id="0" w:name="_GoBack"/>
                                    <w:bookmarkEnd w:id="0"/>
                                    <w:r>
                                      <w:rPr>
                                        <w:rFonts w:hint="eastAsia" w:cs="宋体" w:asciiTheme="minorEastAsia" w:hAnsiTheme="minorEastAsia"/>
                                        <w:b/>
                                        <w:color w:val="333333"/>
                                        <w:kern w:val="0"/>
                                        <w:sz w:val="28"/>
                                        <w:szCs w:val="28"/>
                                      </w:rPr>
                                      <w:t xml:space="preserve">　            </w:t>
                                    </w:r>
                                    <w:r>
                                      <w:rPr>
                                        <w:rFonts w:hint="eastAsia" w:cs="宋体" w:asciiTheme="minorEastAsia" w:hAnsiTheme="minorEastAsia"/>
                                        <w:b/>
                                        <w:kern w:val="0"/>
                                        <w:sz w:val="36"/>
                                        <w:szCs w:val="36"/>
                                      </w:rPr>
                                      <w:t>金川县纪委2020年部门预算编制说明</w:t>
                                    </w:r>
                                    <w:r>
                                      <w:rPr>
                                        <w:rFonts w:hint="eastAsia" w:cs="宋体" w:asciiTheme="minorEastAsia" w:hAnsiTheme="minorEastAsia"/>
                                        <w:b/>
                                        <w:kern w:val="0"/>
                                        <w:sz w:val="36"/>
                                        <w:szCs w:val="36"/>
                                      </w:rPr>
                                      <w:br w:type="textWrapping"/>
                                    </w:r>
                                    <w:r>
                                      <w:rPr>
                                        <w:rFonts w:hint="eastAsia" w:cs="宋体" w:asciiTheme="minorEastAsia" w:hAnsiTheme="minorEastAsia"/>
                                        <w:b/>
                                        <w:color w:val="333333"/>
                                        <w:kern w:val="0"/>
                                        <w:sz w:val="28"/>
                                        <w:szCs w:val="28"/>
                                      </w:rPr>
                                      <w:t>　　一、基本职能及主要工作</w:t>
                                    </w:r>
                                    <w:r>
                                      <w:rPr>
                                        <w:rFonts w:hint="eastAsia" w:cs="宋体" w:asciiTheme="minorEastAsia" w:hAnsiTheme="minorEastAsia"/>
                                        <w:b/>
                                        <w:color w:val="333333"/>
                                        <w:kern w:val="0"/>
                                        <w:sz w:val="28"/>
                                        <w:szCs w:val="28"/>
                                      </w:rPr>
                                      <w:br w:type="textWrapping"/>
                                    </w:r>
                                    <w:r>
                                      <w:rPr>
                                        <w:rFonts w:hint="eastAsia" w:cs="宋体" w:asciiTheme="minorEastAsia" w:hAnsiTheme="minorEastAsia"/>
                                        <w:b/>
                                        <w:bCs/>
                                        <w:color w:val="333333"/>
                                        <w:kern w:val="0"/>
                                        <w:sz w:val="28"/>
                                        <w:szCs w:val="28"/>
                                      </w:rPr>
                                      <w:t xml:space="preserve">　   </w:t>
                                    </w:r>
                                    <w:r>
                                      <w:rPr>
                                        <w:rFonts w:hint="eastAsia" w:cs="宋体" w:asciiTheme="minorEastAsia" w:hAnsiTheme="minorEastAsia"/>
                                        <w:b/>
                                        <w:sz w:val="28"/>
                                        <w:szCs w:val="28"/>
                                      </w:rPr>
                                      <w:t>（一）职能简介和主要职责</w:t>
                                    </w:r>
                                  </w:p>
                                  <w:p>
                                    <w:pPr>
                                      <w:spacing w:line="120" w:lineRule="auto"/>
                                      <w:ind w:firstLine="759" w:firstLineChars="300"/>
                                      <w:rPr>
                                        <w:rFonts w:cs="宋体" w:asciiTheme="minorEastAsia" w:hAnsiTheme="minorEastAsia"/>
                                        <w:b/>
                                        <w:color w:val="333333"/>
                                        <w:sz w:val="28"/>
                                        <w:szCs w:val="28"/>
                                      </w:rPr>
                                    </w:pPr>
                                    <w:r>
                                      <w:rPr>
                                        <w:rFonts w:hint="eastAsia" w:cs="宋体" w:asciiTheme="minorEastAsia" w:hAnsiTheme="minorEastAsia"/>
                                        <w:b/>
                                        <w:color w:val="000000"/>
                                        <w:spacing w:val="-14"/>
                                        <w:kern w:val="0"/>
                                        <w:sz w:val="28"/>
                                        <w:szCs w:val="28"/>
                                      </w:rPr>
                                      <w:t>主要职能：</w:t>
                                    </w:r>
                                    <w:r>
                                      <w:rPr>
                                        <w:rFonts w:hint="eastAsia" w:cs="宋体" w:asciiTheme="minorEastAsia" w:hAnsiTheme="minorEastAsia"/>
                                        <w:b/>
                                        <w:snapToGrid w:val="0"/>
                                        <w:kern w:val="0"/>
                                        <w:sz w:val="28"/>
                                        <w:szCs w:val="28"/>
                                      </w:rPr>
                                      <w:t>县纪委和县监委实行合署办公，履行纪检、监察两项职能，实行一套工作机构、两个机关名称。</w:t>
                                    </w:r>
                                    <w:r>
                                      <w:rPr>
                                        <w:rFonts w:hint="eastAsia" w:cs="宋体" w:asciiTheme="minorEastAsia" w:hAnsiTheme="minorEastAsia"/>
                                        <w:b/>
                                        <w:color w:val="333333"/>
                                        <w:sz w:val="28"/>
                                        <w:szCs w:val="28"/>
                                        <w:shd w:val="clear" w:color="auto" w:fill="FFFFFF"/>
                                      </w:rPr>
                                      <w:t xml:space="preserve">  </w:t>
                                    </w:r>
                                  </w:p>
                                  <w:p>
                                    <w:pPr>
                                      <w:spacing w:line="120" w:lineRule="auto"/>
                                      <w:rPr>
                                        <w:rFonts w:cs="宋体" w:asciiTheme="minorEastAsia" w:hAnsiTheme="minorEastAsia"/>
                                        <w:b/>
                                        <w:sz w:val="28"/>
                                        <w:szCs w:val="28"/>
                                      </w:rPr>
                                    </w:pPr>
                                    <w:r>
                                      <w:rPr>
                                        <w:rFonts w:hint="eastAsia" w:cs="宋体" w:asciiTheme="minorEastAsia" w:hAnsiTheme="minorEastAsia"/>
                                        <w:b/>
                                        <w:color w:val="333333"/>
                                        <w:kern w:val="0"/>
                                        <w:sz w:val="28"/>
                                        <w:szCs w:val="28"/>
                                      </w:rPr>
                                      <w:t>　　　</w:t>
                                    </w:r>
                                    <w:r>
                                      <w:rPr>
                                        <w:rFonts w:hint="eastAsia" w:cs="宋体" w:asciiTheme="minorEastAsia" w:hAnsiTheme="minorEastAsia"/>
                                        <w:b/>
                                        <w:sz w:val="28"/>
                                        <w:szCs w:val="28"/>
                                      </w:rPr>
                                      <w:t>（二）2020年重点工作</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sz w:val="28"/>
                                        <w:szCs w:val="28"/>
                                      </w:rPr>
                                      <w:t>1.</w:t>
                                    </w:r>
                                    <w:r>
                                      <w:rPr>
                                        <w:rFonts w:hint="eastAsia" w:cs="宋体" w:asciiTheme="minorEastAsia" w:hAnsiTheme="minorEastAsia"/>
                                        <w:b/>
                                        <w:bCs/>
                                        <w:sz w:val="28"/>
                                        <w:szCs w:val="28"/>
                                      </w:rPr>
                                      <w:t>全面贯彻十九大精神，强化监督检查，确保重大决策部署落实。</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bCs/>
                                        <w:sz w:val="28"/>
                                        <w:szCs w:val="28"/>
                                      </w:rPr>
                                      <w:t>2</w:t>
                                    </w:r>
                                    <w:r>
                                      <w:rPr>
                                        <w:rFonts w:hint="eastAsia" w:cs="宋体" w:asciiTheme="minorEastAsia" w:hAnsiTheme="minorEastAsia"/>
                                        <w:b/>
                                        <w:sz w:val="28"/>
                                        <w:szCs w:val="28"/>
                                      </w:rPr>
                                      <w:t>.</w:t>
                                    </w:r>
                                    <w:r>
                                      <w:rPr>
                                        <w:rFonts w:hint="eastAsia" w:cs="宋体" w:asciiTheme="minorEastAsia" w:hAnsiTheme="minorEastAsia"/>
                                        <w:b/>
                                        <w:bCs/>
                                        <w:sz w:val="28"/>
                                        <w:szCs w:val="28"/>
                                      </w:rPr>
                                      <w:t>坚持思想建党和制度治党相结合，提高管党治党能力和水平</w:t>
                                    </w:r>
                                    <w:r>
                                      <w:rPr>
                                        <w:rFonts w:hint="eastAsia" w:cs="宋体" w:asciiTheme="minorEastAsia" w:hAnsiTheme="minorEastAsia"/>
                                        <w:b/>
                                        <w:sz w:val="28"/>
                                        <w:szCs w:val="28"/>
                                      </w:rPr>
                                      <w:t>。</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bCs/>
                                        <w:sz w:val="28"/>
                                        <w:szCs w:val="28"/>
                                      </w:rPr>
                                      <w:t>3</w:t>
                                    </w:r>
                                    <w:r>
                                      <w:rPr>
                                        <w:rFonts w:hint="eastAsia" w:cs="宋体" w:asciiTheme="minorEastAsia" w:hAnsiTheme="minorEastAsia"/>
                                        <w:b/>
                                        <w:sz w:val="28"/>
                                        <w:szCs w:val="28"/>
                                      </w:rPr>
                                      <w:t>.</w:t>
                                    </w:r>
                                    <w:r>
                                      <w:rPr>
                                        <w:rFonts w:hint="eastAsia" w:cs="宋体" w:asciiTheme="minorEastAsia" w:hAnsiTheme="minorEastAsia"/>
                                        <w:b/>
                                        <w:bCs/>
                                        <w:sz w:val="28"/>
                                        <w:szCs w:val="28"/>
                                      </w:rPr>
                                      <w:t>认真贯彻落实中央八项规定精神，坚持不懈改进作风。</w:t>
                                    </w:r>
                                  </w:p>
                                  <w:p>
                                    <w:pPr>
                                      <w:spacing w:line="120" w:lineRule="auto"/>
                                      <w:ind w:firstLine="562" w:firstLineChars="200"/>
                                      <w:rPr>
                                        <w:rFonts w:cs="宋体" w:asciiTheme="minorEastAsia" w:hAnsiTheme="minorEastAsia"/>
                                        <w:b/>
                                        <w:bCs/>
                                        <w:sz w:val="28"/>
                                        <w:szCs w:val="28"/>
                                      </w:rPr>
                                    </w:pPr>
                                    <w:r>
                                      <w:rPr>
                                        <w:rFonts w:hint="eastAsia" w:cs="宋体" w:asciiTheme="minorEastAsia" w:hAnsiTheme="minorEastAsia"/>
                                        <w:b/>
                                        <w:bCs/>
                                        <w:sz w:val="28"/>
                                        <w:szCs w:val="28"/>
                                      </w:rPr>
                                      <w:t>4</w:t>
                                    </w:r>
                                    <w:r>
                                      <w:rPr>
                                        <w:rFonts w:hint="eastAsia" w:cs="宋体" w:asciiTheme="minorEastAsia" w:hAnsiTheme="minorEastAsia"/>
                                        <w:b/>
                                        <w:sz w:val="28"/>
                                        <w:szCs w:val="28"/>
                                      </w:rPr>
                                      <w:t>.</w:t>
                                    </w:r>
                                    <w:r>
                                      <w:rPr>
                                        <w:rFonts w:hint="eastAsia" w:cs="宋体" w:asciiTheme="minorEastAsia" w:hAnsiTheme="minorEastAsia"/>
                                        <w:b/>
                                        <w:bCs/>
                                        <w:sz w:val="28"/>
                                        <w:szCs w:val="28"/>
                                      </w:rPr>
                                      <w:t>完善党内监督体制机制，全面落实国家监察体制改革部署。</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bCs/>
                                        <w:sz w:val="28"/>
                                        <w:szCs w:val="28"/>
                                      </w:rPr>
                                      <w:t>5</w:t>
                                    </w:r>
                                    <w:r>
                                      <w:rPr>
                                        <w:rFonts w:hint="eastAsia" w:cs="宋体" w:asciiTheme="minorEastAsia" w:hAnsiTheme="minorEastAsia"/>
                                        <w:b/>
                                        <w:sz w:val="28"/>
                                        <w:szCs w:val="28"/>
                                      </w:rPr>
                                      <w:t>.</w:t>
                                    </w:r>
                                    <w:r>
                                      <w:rPr>
                                        <w:rFonts w:hint="eastAsia" w:cs="宋体" w:asciiTheme="minorEastAsia" w:hAnsiTheme="minorEastAsia"/>
                                        <w:b/>
                                        <w:bCs/>
                                        <w:sz w:val="28"/>
                                        <w:szCs w:val="28"/>
                                      </w:rPr>
                                      <w:t>强化不敢腐的震慑，扎牢不能腐的笼子，增强不想腐的自觉，营造风清气正的政治环境。</w:t>
                                    </w:r>
                                  </w:p>
                                  <w:p>
                                    <w:pPr>
                                      <w:pStyle w:val="15"/>
                                      <w:spacing w:line="12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bCs/>
                                        <w:sz w:val="28"/>
                                        <w:szCs w:val="28"/>
                                      </w:rPr>
                                      <w:t>6</w:t>
                                    </w:r>
                                    <w:r>
                                      <w:rPr>
                                        <w:rFonts w:hint="eastAsia" w:cs="宋体" w:asciiTheme="minorEastAsia" w:hAnsiTheme="minorEastAsia" w:eastAsiaTheme="minorEastAsia"/>
                                        <w:b/>
                                        <w:sz w:val="28"/>
                                        <w:szCs w:val="28"/>
                                      </w:rPr>
                                      <w:t>.</w:t>
                                    </w:r>
                                    <w:r>
                                      <w:rPr>
                                        <w:rFonts w:hint="eastAsia" w:cs="宋体" w:asciiTheme="minorEastAsia" w:hAnsiTheme="minorEastAsia" w:eastAsiaTheme="minorEastAsia"/>
                                        <w:b/>
                                        <w:bCs/>
                                        <w:sz w:val="28"/>
                                        <w:szCs w:val="28"/>
                                      </w:rPr>
                                      <w:t>建设让党放心、人民信赖的纪检监察队伍。</w:t>
                                    </w:r>
                                    <w:r>
                                      <w:rPr>
                                        <w:rFonts w:hint="eastAsia" w:cs="宋体" w:asciiTheme="minorEastAsia" w:hAnsiTheme="minorEastAsia" w:eastAsiaTheme="minorEastAsia"/>
                                        <w:b/>
                                        <w:sz w:val="28"/>
                                        <w:szCs w:val="28"/>
                                      </w:rPr>
                                      <w:t>扎实开展以学习实践习近平新时代中国特色社会主义思想为重点的“不忘初心、牢记使命”主题教育。</w:t>
                                    </w:r>
                                  </w:p>
                                  <w:p>
                                    <w:pPr>
                                      <w:spacing w:line="120" w:lineRule="auto"/>
                                      <w:rPr>
                                        <w:rFonts w:cs="宋体" w:asciiTheme="minorEastAsia" w:hAnsiTheme="minorEastAsia"/>
                                        <w:b/>
                                        <w:sz w:val="28"/>
                                        <w:szCs w:val="28"/>
                                      </w:rPr>
                                    </w:pPr>
                                    <w:r>
                                      <w:rPr>
                                        <w:rFonts w:hint="eastAsia" w:cs="宋体" w:asciiTheme="minorEastAsia" w:hAnsiTheme="minorEastAsia"/>
                                        <w:b/>
                                        <w:color w:val="333333"/>
                                        <w:kern w:val="0"/>
                                        <w:sz w:val="28"/>
                                        <w:szCs w:val="28"/>
                                      </w:rPr>
                                      <w:t>　</w:t>
                                    </w:r>
                                    <w:r>
                                      <w:rPr>
                                        <w:rFonts w:hint="eastAsia" w:cs="宋体" w:asciiTheme="minorEastAsia" w:hAnsiTheme="minorEastAsia"/>
                                        <w:b/>
                                        <w:sz w:val="28"/>
                                        <w:szCs w:val="28"/>
                                      </w:rPr>
                                      <w:t>　二、部门预算单位构成</w:t>
                                    </w:r>
                                  </w:p>
                                  <w:p>
                                    <w:pPr>
                                      <w:spacing w:line="120" w:lineRule="auto"/>
                                      <w:ind w:firstLine="281" w:firstLineChars="100"/>
                                      <w:rPr>
                                        <w:rFonts w:cs="宋体" w:asciiTheme="minorEastAsia" w:hAnsiTheme="minorEastAsia"/>
                                        <w:b/>
                                        <w:color w:val="000000"/>
                                        <w:spacing w:val="-14"/>
                                        <w:kern w:val="0"/>
                                        <w:sz w:val="28"/>
                                        <w:szCs w:val="28"/>
                                      </w:rPr>
                                    </w:pPr>
                                    <w:r>
                                      <w:rPr>
                                        <w:rFonts w:hint="eastAsia" w:cs="宋体" w:asciiTheme="minorEastAsia" w:hAnsiTheme="minorEastAsia"/>
                                        <w:b/>
                                        <w:sz w:val="28"/>
                                        <w:szCs w:val="28"/>
                                      </w:rPr>
                                      <w:t>　</w:t>
                                    </w:r>
                                    <w:r>
                                      <w:rPr>
                                        <w:rFonts w:hint="eastAsia" w:cs="宋体" w:asciiTheme="minorEastAsia" w:hAnsiTheme="minorEastAsia"/>
                                        <w:b/>
                                        <w:color w:val="000000"/>
                                        <w:spacing w:val="-14"/>
                                        <w:sz w:val="28"/>
                                        <w:szCs w:val="28"/>
                                      </w:rPr>
                                      <w:t>2020年独立编制单位机构数为 1个，财政供养人员编制为 50名，其中行政编制 47名，行政工勤编制 3名，事业编制   名（其中参照公务员法管理人员编制 人）；2020年实际财政供养人员 44人，较上年增加14人（不含退休人员），其中：行政3人，行政工勤  人，</w:t>
                                    </w:r>
                                    <w:r>
                                      <w:rPr>
                                        <w:rStyle w:val="14"/>
                                        <w:rFonts w:hint="eastAsia" w:cs="宋体" w:asciiTheme="minorEastAsia" w:hAnsiTheme="minorEastAsia"/>
                                        <w:b/>
                                        <w:color w:val="000000"/>
                                        <w:spacing w:val="-14"/>
                                        <w:sz w:val="28"/>
                                        <w:szCs w:val="28"/>
                                      </w:rPr>
                                      <w:t> </w:t>
                                    </w:r>
                                    <w:r>
                                      <w:rPr>
                                        <w:rFonts w:hint="eastAsia" w:cs="宋体" w:asciiTheme="minorEastAsia" w:hAnsiTheme="minorEastAsia"/>
                                        <w:b/>
                                        <w:color w:val="000000"/>
                                        <w:spacing w:val="-14"/>
                                        <w:sz w:val="28"/>
                                        <w:szCs w:val="28"/>
                                      </w:rPr>
                                      <w:t>事业   人。</w:t>
                                    </w:r>
                                    <w:r>
                                      <w:rPr>
                                        <w:rFonts w:hint="eastAsia" w:cs="宋体" w:asciiTheme="minorEastAsia" w:hAnsiTheme="minorEastAsia"/>
                                        <w:b/>
                                        <w:spacing w:val="-14"/>
                                        <w:sz w:val="28"/>
                                        <w:szCs w:val="28"/>
                                      </w:rPr>
                                      <w:t xml:space="preserve"> </w:t>
                                    </w:r>
                                  </w:p>
                                  <w:p>
                                    <w:pPr>
                                      <w:widowControl/>
                                      <w:spacing w:line="480" w:lineRule="atLeast"/>
                                      <w:ind w:firstLine="6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三、收支预算情况说明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按照综合预算的原则，我委所有收入和支出均纳入部门预算管理。收入包括：一般公共预算拨款收入、项目收入；支出包括：工资性支出、社会保障缴费支出、日常公用经费支出、独子费支出、其他补助支出，住房保障支出，项办案专项经费支出，部门纪检组长公务经费支出，22个乡镇纪委书记及部门纪检组长津贴补贴支出。2020年收支总预算783.52万元,比2019年收支预算总数增加250.1万元，主要是因为部门纪检组长和转隶工作人员增加及办案专项经费需求增加。</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（一）收入预算情况。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2020年收入预算783.52万元，其中：一般公共预算拨款收入783.52万元，占100%。</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（二）支出预算情况。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2020年支出预算783.52万元，其中：基本支出733.52万元，占93.61%；项目支出50万元，占6.38%。</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四、财政拨款收支预算情况说明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xml:space="preserve">   2020年财政拨款收支总预算783.52万元,比2019年财政拨款收支总预算增加250.1万元，主要是因为部门纪检组长和转隶工作人员增加及办案专项经费需求增加。</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cs="宋体" w:asciiTheme="minorEastAsia" w:hAnsiTheme="minorEastAsia"/>
                                        <w:b/>
                                        <w:color w:val="333333"/>
                                        <w:kern w:val="0"/>
                                        <w:sz w:val="28"/>
                                        <w:szCs w:val="28"/>
                                      </w:rPr>
                                      <w:t>　收入包括：本年一般公共预算拨款收入</w:t>
                                    </w:r>
                                    <w:r>
                                      <w:rPr>
                                        <w:rFonts w:hint="eastAsia" w:cs="宋体" w:asciiTheme="minorEastAsia" w:hAnsiTheme="minorEastAsia"/>
                                        <w:b/>
                                        <w:color w:val="333333"/>
                                        <w:kern w:val="0"/>
                                        <w:sz w:val="28"/>
                                        <w:szCs w:val="28"/>
                                      </w:rPr>
                                      <w:t>783.52</w:t>
                                    </w:r>
                                    <w:r>
                                      <w:rPr>
                                        <w:rFonts w:cs="宋体" w:asciiTheme="minorEastAsia" w:hAnsiTheme="minorEastAsia"/>
                                        <w:b/>
                                        <w:color w:val="333333"/>
                                        <w:kern w:val="0"/>
                                        <w:sz w:val="28"/>
                                        <w:szCs w:val="28"/>
                                      </w:rPr>
                                      <w:t>万元、支出包括：一般公共服务支出</w:t>
                                    </w:r>
                                    <w:r>
                                      <w:rPr>
                                        <w:rFonts w:hint="eastAsia" w:cs="宋体" w:asciiTheme="minorEastAsia" w:hAnsiTheme="minorEastAsia"/>
                                        <w:b/>
                                        <w:color w:val="333333"/>
                                        <w:kern w:val="0"/>
                                        <w:sz w:val="28"/>
                                        <w:szCs w:val="28"/>
                                      </w:rPr>
                                      <w:t>579.42</w:t>
                                    </w:r>
                                    <w:r>
                                      <w:rPr>
                                        <w:rFonts w:cs="宋体" w:asciiTheme="minorEastAsia" w:hAnsiTheme="minorEastAsia"/>
                                        <w:b/>
                                        <w:color w:val="333333"/>
                                        <w:kern w:val="0"/>
                                        <w:sz w:val="28"/>
                                        <w:szCs w:val="28"/>
                                      </w:rPr>
                                      <w:t>万元，社会保障和就业支出</w:t>
                                    </w:r>
                                    <w:r>
                                      <w:rPr>
                                        <w:rFonts w:hint="eastAsia" w:cs="宋体" w:asciiTheme="minorEastAsia" w:hAnsiTheme="minorEastAsia"/>
                                        <w:b/>
                                        <w:color w:val="333333"/>
                                        <w:kern w:val="0"/>
                                        <w:sz w:val="28"/>
                                        <w:szCs w:val="28"/>
                                      </w:rPr>
                                      <w:t>103.37</w:t>
                                    </w:r>
                                    <w:r>
                                      <w:rPr>
                                        <w:rFonts w:cs="宋体" w:asciiTheme="minorEastAsia" w:hAnsiTheme="minorEastAsia"/>
                                        <w:b/>
                                        <w:color w:val="333333"/>
                                        <w:kern w:val="0"/>
                                        <w:sz w:val="28"/>
                                        <w:szCs w:val="28"/>
                                      </w:rPr>
                                      <w:t>万元、医疗卫生与计划生育支出</w:t>
                                    </w:r>
                                    <w:r>
                                      <w:rPr>
                                        <w:rFonts w:hint="eastAsia" w:cs="宋体" w:asciiTheme="minorEastAsia" w:hAnsiTheme="minorEastAsia"/>
                                        <w:b/>
                                        <w:color w:val="333333"/>
                                        <w:kern w:val="0"/>
                                        <w:sz w:val="28"/>
                                        <w:szCs w:val="28"/>
                                      </w:rPr>
                                      <w:t>39.03</w:t>
                                    </w:r>
                                    <w:r>
                                      <w:rPr>
                                        <w:rFonts w:cs="宋体" w:asciiTheme="minorEastAsia" w:hAnsiTheme="minorEastAsia"/>
                                        <w:b/>
                                        <w:color w:val="333333"/>
                                        <w:kern w:val="0"/>
                                        <w:sz w:val="28"/>
                                        <w:szCs w:val="28"/>
                                      </w:rPr>
                                      <w:t>万元、住房保障支出</w:t>
                                    </w:r>
                                    <w:r>
                                      <w:rPr>
                                        <w:rFonts w:hint="eastAsia" w:cs="宋体" w:asciiTheme="minorEastAsia" w:hAnsiTheme="minorEastAsia"/>
                                        <w:b/>
                                        <w:color w:val="333333"/>
                                        <w:kern w:val="0"/>
                                        <w:sz w:val="28"/>
                                        <w:szCs w:val="28"/>
                                      </w:rPr>
                                      <w:t>51.70</w:t>
                                    </w:r>
                                    <w:r>
                                      <w:rPr>
                                        <w:rFonts w:cs="宋体" w:asciiTheme="minorEastAsia" w:hAnsiTheme="minorEastAsia"/>
                                        <w:b/>
                                        <w:color w:val="333333"/>
                                        <w:kern w:val="0"/>
                                        <w:sz w:val="28"/>
                                        <w:szCs w:val="28"/>
                                      </w:rPr>
                                      <w:t>万元</w:t>
                                    </w:r>
                                    <w:r>
                                      <w:rPr>
                                        <w:rFonts w:hint="eastAsia" w:cs="宋体" w:asciiTheme="minorEastAsia" w:hAnsiTheme="minorEastAsia"/>
                                        <w:b/>
                                        <w:color w:val="333333"/>
                                        <w:kern w:val="0"/>
                                        <w:sz w:val="28"/>
                                        <w:szCs w:val="28"/>
                                      </w:rPr>
                                      <w:t>、办案专项经费及巡察办工作经费50万元</w:t>
                                    </w:r>
                                    <w:r>
                                      <w:rPr>
                                        <w:rFonts w:cs="宋体" w:asciiTheme="minorEastAsia" w:hAnsiTheme="minorEastAsia"/>
                                        <w:b/>
                                        <w:color w:val="333333"/>
                                        <w:kern w:val="0"/>
                                        <w:sz w:val="28"/>
                                        <w:szCs w:val="28"/>
                                      </w:rPr>
                                      <w:t>。</w:t>
                                    </w:r>
                                  </w:p>
                                  <w:p>
                                    <w:pPr>
                                      <w:widowControl/>
                                      <w:spacing w:line="480" w:lineRule="atLeast"/>
                                      <w:ind w:firstLine="6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　　五、一般公共预算当年拨款情况说明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（一）一般公共预算当年拨款规模变化情况。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2020年一般公共预算当年拨款783.52万元，比2019年财政拨款收支总预算增加250.1万元，主要是因为部门纪检组长和转隶工作人员增加及办案专项经费需求增加。</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（二）一般公共预算当年拨款结构情况。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一般公共服务支出579.42万元，占70.35%；社会保障和就业支出103.37万元，占12.55%，医疗卫生与计划生育支出39.03万元，占4.73%；住房保障支出51.70万元，占6.27%。</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（三）一般公共预算当年拨款具体使用情况。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1.一般公共服务（类）纪检事务（款）行政运行（项）</w:t>
                                    </w:r>
                                    <w:r>
                                      <w:rPr>
                                        <w:rFonts w:hint="eastAsia" w:cs="宋体" w:asciiTheme="minorEastAsia" w:hAnsiTheme="minorEastAsia"/>
                                        <w:b/>
                                        <w:color w:val="333333"/>
                                        <w:kern w:val="0"/>
                                        <w:sz w:val="28"/>
                                        <w:szCs w:val="28"/>
                                      </w:rPr>
                                      <w:t>2020年预算数为579.42万元，主要用于：单位正常运转的基本支出，包括基本工资、津贴补贴等人员经费以及办公费、印刷费、水电费等日常公用经费。</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2.社会保障和就业（类）行政事业单位离退休（款）机关事业单位基本养老保险缴费支出（项）</w:t>
                                    </w:r>
                                    <w:r>
                                      <w:rPr>
                                        <w:rFonts w:hint="eastAsia" w:cs="宋体" w:asciiTheme="minorEastAsia" w:hAnsiTheme="minorEastAsia"/>
                                        <w:b/>
                                        <w:color w:val="333333"/>
                                        <w:kern w:val="0"/>
                                        <w:sz w:val="28"/>
                                        <w:szCs w:val="28"/>
                                      </w:rPr>
                                      <w:t>2019年预算数为68.92万元，主要用于：实施养老保险制度后，部门按规定由单位缴纳的基本养老保险费支出。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color w:val="333333"/>
                                        <w:kern w:val="0"/>
                                        <w:sz w:val="28"/>
                                        <w:szCs w:val="28"/>
                                      </w:rPr>
                                      <w:t xml:space="preserve">　 </w:t>
                                    </w:r>
                                    <w:r>
                                      <w:rPr>
                                        <w:rFonts w:hint="eastAsia" w:cs="宋体" w:asciiTheme="minorEastAsia" w:hAnsiTheme="minorEastAsia"/>
                                        <w:b/>
                                        <w:bCs/>
                                        <w:color w:val="333333"/>
                                        <w:kern w:val="0"/>
                                        <w:sz w:val="28"/>
                                        <w:szCs w:val="28"/>
                                      </w:rPr>
                                      <w:t>3.社会保障和就业（类）行政事业单位离退休（款）机关事业单位职业年金缴费支出（项）</w:t>
                                    </w:r>
                                    <w:r>
                                      <w:rPr>
                                        <w:rFonts w:hint="eastAsia" w:cs="宋体" w:asciiTheme="minorEastAsia" w:hAnsiTheme="minorEastAsia"/>
                                        <w:b/>
                                        <w:color w:val="333333"/>
                                        <w:kern w:val="0"/>
                                        <w:sz w:val="28"/>
                                        <w:szCs w:val="28"/>
                                      </w:rPr>
                                      <w:t>2019年预算数为34.46万元，主要用于：实施养老保险制度后，部门按规定由单位缴纳的职业年金支出。</w:t>
                                    </w:r>
                                  </w:p>
                                  <w:p>
                                    <w:pPr>
                                      <w:widowControl/>
                                      <w:spacing w:line="480" w:lineRule="atLeast"/>
                                      <w:ind w:firstLine="422" w:firstLineChars="150"/>
                                      <w:rPr>
                                        <w:rFonts w:cs="宋体" w:asciiTheme="minorEastAsia" w:hAnsiTheme="minorEastAsia"/>
                                        <w:b/>
                                        <w:color w:val="333333"/>
                                        <w:kern w:val="0"/>
                                        <w:sz w:val="28"/>
                                        <w:szCs w:val="28"/>
                                      </w:rPr>
                                    </w:pPr>
                                    <w:r>
                                      <w:rPr>
                                        <w:rFonts w:hint="eastAsia" w:cs="宋体" w:asciiTheme="minorEastAsia" w:hAnsiTheme="minorEastAsia"/>
                                        <w:b/>
                                        <w:bCs/>
                                        <w:color w:val="333333"/>
                                        <w:kern w:val="0"/>
                                        <w:sz w:val="28"/>
                                        <w:szCs w:val="28"/>
                                      </w:rPr>
                                      <w:t>4.医疗卫生与计划生育（类）行政事业单位医疗（款）行政单位医疗（项）</w:t>
                                    </w:r>
                                    <w:r>
                                      <w:rPr>
                                        <w:rFonts w:hint="eastAsia" w:cs="宋体" w:asciiTheme="minorEastAsia" w:hAnsiTheme="minorEastAsia"/>
                                        <w:b/>
                                        <w:color w:val="333333"/>
                                        <w:kern w:val="0"/>
                                        <w:sz w:val="28"/>
                                        <w:szCs w:val="28"/>
                                      </w:rPr>
                                      <w:t>2020年预算数为30.15万元，主要用于：单位基本医疗保险缴费支出。</w:t>
                                    </w:r>
                                    <w:r>
                                      <w:rPr>
                                        <w:rFonts w:hint="eastAsia" w:cs="宋体" w:asciiTheme="minorEastAsia" w:hAnsiTheme="minorEastAsia"/>
                                        <w:color w:val="333333"/>
                                        <w:kern w:val="0"/>
                                        <w:sz w:val="28"/>
                                        <w:szCs w:val="28"/>
                                      </w:rPr>
                                      <w:br w:type="textWrapping"/>
                                    </w:r>
                                    <w:r>
                                      <w:rPr>
                                        <w:rFonts w:hint="eastAsia" w:cs="宋体" w:asciiTheme="minorEastAsia" w:hAnsiTheme="minorEastAsia"/>
                                        <w:color w:val="333333"/>
                                        <w:kern w:val="0"/>
                                        <w:sz w:val="28"/>
                                        <w:szCs w:val="28"/>
                                      </w:rPr>
                                      <w:t xml:space="preserve">　 </w:t>
                                    </w:r>
                                    <w:r>
                                      <w:rPr>
                                        <w:rFonts w:hint="eastAsia" w:cs="宋体" w:asciiTheme="minorEastAsia" w:hAnsiTheme="minorEastAsia"/>
                                        <w:b/>
                                        <w:bCs/>
                                        <w:color w:val="333333"/>
                                        <w:kern w:val="0"/>
                                        <w:sz w:val="28"/>
                                        <w:szCs w:val="28"/>
                                      </w:rPr>
                                      <w:t>5.医疗卫生与计划生育（类）行政事业单位医疗（款）公务员医疗补助（项）</w:t>
                                    </w:r>
                                    <w:r>
                                      <w:rPr>
                                        <w:rFonts w:hint="eastAsia" w:cs="宋体" w:asciiTheme="minorEastAsia" w:hAnsiTheme="minorEastAsia"/>
                                        <w:b/>
                                        <w:color w:val="333333"/>
                                        <w:kern w:val="0"/>
                                        <w:sz w:val="28"/>
                                        <w:szCs w:val="28"/>
                                      </w:rPr>
                                      <w:t>2020年预算数为8.88万元，主要用于：单位集中缴纳公务员医疗补助支出。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bCs/>
                                        <w:color w:val="333333"/>
                                        <w:kern w:val="0"/>
                                        <w:sz w:val="28"/>
                                        <w:szCs w:val="28"/>
                                      </w:rPr>
                                      <w:t xml:space="preserve">   6.住房保障（类）住房改革支出（款）住房公积金（项）</w:t>
                                    </w:r>
                                    <w:r>
                                      <w:rPr>
                                        <w:rFonts w:hint="eastAsia" w:cs="宋体" w:asciiTheme="minorEastAsia" w:hAnsiTheme="minorEastAsia"/>
                                        <w:b/>
                                        <w:color w:val="333333"/>
                                        <w:kern w:val="0"/>
                                        <w:sz w:val="28"/>
                                        <w:szCs w:val="28"/>
                                      </w:rPr>
                                      <w:t>2020年预算数为51.70万元，主要用于：单位按人力资源和社会保障部、财政部规定的基本工资和津贴补贴以及规定比例为职工缴纳的住房公积金支出。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bCs/>
                                        <w:color w:val="333333"/>
                                        <w:kern w:val="0"/>
                                        <w:sz w:val="28"/>
                                        <w:szCs w:val="28"/>
                                      </w:rPr>
                                      <w:t xml:space="preserve">   7.一般公共服务（类）纪检事务（款）一般行政管理事务（项）</w:t>
                                    </w:r>
                                    <w:r>
                                      <w:rPr>
                                        <w:rFonts w:hint="eastAsia" w:cs="宋体" w:asciiTheme="minorEastAsia" w:hAnsiTheme="minorEastAsia"/>
                                        <w:b/>
                                        <w:color w:val="333333"/>
                                        <w:kern w:val="0"/>
                                        <w:sz w:val="28"/>
                                        <w:szCs w:val="28"/>
                                      </w:rPr>
                                      <w:t>2020年预算数为50万元，主要用于：单位正常运转的办案产生的办公费、差旅费，其他交通费用等日常公用经费。　</w:t>
                                    </w:r>
                                  </w:p>
                                  <w:p>
                                    <w:pPr>
                                      <w:widowControl/>
                                      <w:spacing w:line="480" w:lineRule="atLeast"/>
                                      <w:ind w:firstLine="562" w:firstLineChars="200"/>
                                      <w:rPr>
                                        <w:rFonts w:hint="eastAsia" w:cs="宋体" w:asciiTheme="minorEastAsia" w:hAnsiTheme="minorEastAsia"/>
                                        <w:b/>
                                        <w:color w:val="333333"/>
                                        <w:kern w:val="0"/>
                                        <w:sz w:val="28"/>
                                        <w:szCs w:val="28"/>
                                      </w:rPr>
                                    </w:pPr>
                                    <w:r>
                                      <w:rPr>
                                        <w:rFonts w:hint="eastAsia" w:cs="宋体" w:asciiTheme="minorEastAsia" w:hAnsiTheme="minorEastAsia"/>
                                        <w:b/>
                                        <w:bCs/>
                                        <w:color w:val="333333"/>
                                        <w:kern w:val="0"/>
                                        <w:sz w:val="28"/>
                                        <w:szCs w:val="28"/>
                                      </w:rPr>
                                      <w:t>8. 教育（类）进修及培训（款）培训支出（项）</w:t>
                                    </w:r>
                                    <w:r>
                                      <w:rPr>
                                        <w:rFonts w:hint="eastAsia" w:cs="宋体" w:asciiTheme="minorEastAsia" w:hAnsiTheme="minorEastAsia"/>
                                        <w:b/>
                                        <w:color w:val="333333"/>
                                        <w:kern w:val="0"/>
                                        <w:sz w:val="28"/>
                                        <w:szCs w:val="28"/>
                                      </w:rPr>
                                      <w:t>2020年预算数为2万元，主要用于：单位干部系统内培训及在职人员参加外部培训等经费支出。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六、一般公共预算基本支出情况说明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2020年一般公共预算基本支出783.52万元，其中：</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人员经费630.87万元，主要包括：基本工资、津贴补贴、奖金、社会保险缴费等支出。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公用经费100.84万元，主要包括：办公费、水费、电费、邮电费、印刷费、差旅费、维修（护）费、劳务费等支出。</w:t>
                                    </w:r>
                                  </w:p>
                                  <w:p>
                                    <w:pPr>
                                      <w:widowControl/>
                                      <w:spacing w:line="480" w:lineRule="atLeast"/>
                                      <w:ind w:firstLine="562" w:firstLineChars="20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对个人和家庭的补助1.81万元，主要包括遗属生活补贴和退休职工春慰费。</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color w:val="333333"/>
                                        <w:kern w:val="0"/>
                                        <w:sz w:val="28"/>
                                        <w:szCs w:val="28"/>
                                      </w:rPr>
                                      <w:t>项目一般公共预算支出50万元，主要包括</w:t>
                                    </w:r>
                                    <w:r>
                                      <w:rPr>
                                        <w:rFonts w:hint="eastAsia" w:cs="宋体" w:asciiTheme="minorEastAsia" w:hAnsiTheme="minorEastAsia"/>
                                        <w:b/>
                                        <w:bCs/>
                                        <w:color w:val="333333"/>
                                        <w:kern w:val="0"/>
                                        <w:sz w:val="28"/>
                                        <w:szCs w:val="28"/>
                                      </w:rPr>
                                      <w:t>部门纪检组长公务经费，乡镇纪委书记及纪检组长津贴补贴，办案专项经费等支出。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七、“三公”经费财政拨款预算安排情况说明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xml:space="preserve">  　2020年“三公”经费财政拨款预算数17.27万元，其中：因公出国（境）经费0万元，公务接待费2.02万元，公务用车购置及运行维护费20万元。</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（一）因公出国（境）经费与2020年预算持平。</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根据省外侨办批准的2020年因公临时出国（境）安排，拟安排出国（境）0人。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（二）公务接待费较2019年预算增加12.37%。</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2020年公务接待费计划用于执行公务、考察调研、检查指导等公务活动开支的交通费、住宿费、用餐费等。</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（三）公务用车购置及运行维护费与2019年预算增加22.5%。</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单位现有公务用车5辆，其中：轿车1辆、越野车4辆、多功能乘用车0辆。</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2020年未安排公务用车购置费。</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2020年安排公务用车运行维护费20万元，用于5辆公务用车燃油、过路（桥）、维修、保险等方面支出，主要保障单位财政改革工作调研、脱贫攻坚、财政监督检查及周转金清理、财政支出绩效评价等工作开展。</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八、政府性基金预算支出情况说明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2019年没有使用政府性基金预算拨款安排的支出。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九、国有资本经营预算支出情况说明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2019年没有使用国有资本经营预算拨款安排的支出。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十、其他重要事项的情况说明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（一）机关运行经费。</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2020年，机关运行经费财政拨款预算为783.52万元，比2019年预算增长250.1万元，增长68%。</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（二）政府采购情况。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2020年，安排政府采购预算 0万元。</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（三）国有资产占有使用情况。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截至2019年底，所属各预算单位共有车辆5辆，其中，省部级领导干部用车0辆、定向保障用车4辆、执法执勤用车0辆。单位价值200万元以上大型设备0台（套）。</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2020年部门预算未安排购置车辆及单位价值200万元以上大型设备。</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（四）绩效目标设置情况。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绩效目标是预算编制的前提和基础，按照“费随事定”的原则，2020年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十一、名词解释</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1.一般公共预算拨款收入：指财政当年拨付的资金。</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2.上年结转：指以前年度尚未完成，结转到本年仍按原规定用途继续使用的资金。</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3.</w:t>
                                    </w:r>
                                    <w:r>
                                      <w:rPr>
                                        <w:rFonts w:hint="eastAsia" w:cs="宋体" w:asciiTheme="minorEastAsia" w:hAnsiTheme="minorEastAsia"/>
                                        <w:b/>
                                        <w:sz w:val="28"/>
                                        <w:szCs w:val="28"/>
                                      </w:rPr>
                                      <w:t xml:space="preserve"> 3.一般公共服务（类）</w:t>
                                    </w:r>
                                    <w:r>
                                      <w:rPr>
                                        <w:rFonts w:hint="eastAsia" w:cs="宋体" w:asciiTheme="minorEastAsia" w:hAnsiTheme="minorEastAsia"/>
                                        <w:b/>
                                        <w:sz w:val="28"/>
                                        <w:szCs w:val="28"/>
                                        <w:lang w:eastAsia="zh-CN"/>
                                      </w:rPr>
                                      <w:t>纪检监察</w:t>
                                    </w:r>
                                    <w:r>
                                      <w:rPr>
                                        <w:rFonts w:hint="eastAsia" w:cs="宋体" w:asciiTheme="minorEastAsia" w:hAnsiTheme="minorEastAsia"/>
                                        <w:b/>
                                        <w:sz w:val="28"/>
                                        <w:szCs w:val="28"/>
                                      </w:rPr>
                                      <w:t>事务（款）行政运行（项）：指机关单位用于保障机构正常运行、开展日常工作的基本支出。　　　</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4.社会保障和就业（类）行政事业单位离退休（款）事业单位离退休（项）：指离退休人员的支出。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5.社会保障和就业（类）行政事业单位离退休（款）机关事业单位基本养老保险缴费支出（项）：指部门实施养老保险制度由单位缴纳的养老保险费的支出。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6.社会保障和就业（类）行政事业单位离退休（款）机关事业单位职业年金缴费支出（项）：指部门实施养老保险制度由单位缴纳的职业年金的支出。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7.医疗卫生与计划生育（类）行政事业单位医疗（款）行政单位医疗（项）：指单位用于缴纳单位基本医疗保险支出。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8.医疗卫生与计划生育（类）行政事业单位医疗（款）公务员医疗补助（项）：指单位用于集中缴纳公务员医疗补助支出。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9.住房保障（类）住房改革支出（款）住房公积金（项）：指按照《住房公积金管理条例》的规定，由单位及其在职职工缴存的长期住房储金。</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10.基本支出：指为保证机构正常运转，完成日常工作任务而发生的人员支出和公用支出。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11.“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12.机关运行经费：为保障行政单位（包含参照公务员法管理的事业单位）运行用于购买货物和服务的各项资金。包括办公及印刷费、邮电费、差旅费、会议费一般设备购置费等费用开支。</w:t>
                                    </w:r>
                                  </w:p>
                                  <w:p>
                                    <w:pPr>
                                      <w:widowControl/>
                                      <w:spacing w:line="480" w:lineRule="atLeast"/>
                                      <w:ind w:firstLine="703" w:firstLineChars="25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　</w:t>
                                    </w:r>
                                  </w:p>
                                </w:tc>
                              </w:tr>
                            </w:tbl>
                            <w:p>
                              <w:pPr>
                                <w:widowControl/>
                                <w:spacing w:after="240"/>
                                <w:jc w:val="center"/>
                                <w:rPr>
                                  <w:rFonts w:cs="宋体" w:asciiTheme="minorEastAsia" w:hAnsiTheme="minorEastAsia"/>
                                  <w:b/>
                                  <w:kern w:val="0"/>
                                  <w:sz w:val="28"/>
                                  <w:szCs w:val="28"/>
                                </w:rPr>
                              </w:pPr>
                            </w:p>
                          </w:tc>
                        </w:tr>
                        <w:tr>
                          <w:tblPrEx>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cs="宋体" w:asciiTheme="minorEastAsia" w:hAnsiTheme="minorEastAsia"/>
                                  <w:b/>
                                  <w:kern w:val="0"/>
                                  <w:sz w:val="28"/>
                                  <w:szCs w:val="28"/>
                                </w:rPr>
                              </w:pPr>
                            </w:p>
                          </w:tc>
                        </w:tr>
                      </w:tbl>
                      <w:p>
                        <w:pPr>
                          <w:widowControl/>
                          <w:jc w:val="left"/>
                          <w:rPr>
                            <w:rFonts w:cs="宋体" w:asciiTheme="minorEastAsia" w:hAnsiTheme="minorEastAsia"/>
                            <w:b/>
                            <w:kern w:val="0"/>
                            <w:sz w:val="28"/>
                            <w:szCs w:val="28"/>
                          </w:rPr>
                        </w:pPr>
                      </w:p>
                    </w:tc>
                    <w:tc>
                      <w:tcPr>
                        <w:tcW w:w="1350" w:type="dxa"/>
                        <w:vAlign w:val="center"/>
                      </w:tcPr>
                      <w:p>
                        <w:pPr>
                          <w:widowControl/>
                          <w:jc w:val="left"/>
                          <w:rPr>
                            <w:rFonts w:cs="宋体" w:asciiTheme="minorEastAsia" w:hAnsiTheme="minorEastAsia"/>
                            <w:b/>
                            <w:kern w:val="0"/>
                            <w:sz w:val="28"/>
                            <w:szCs w:val="28"/>
                          </w:rPr>
                        </w:pPr>
                        <w:r>
                          <w:rPr>
                            <w:rFonts w:cs="宋体" w:asciiTheme="minorEastAsia" w:hAnsiTheme="minorEastAsia"/>
                            <w:b/>
                            <w:kern w:val="0"/>
                            <w:sz w:val="28"/>
                            <w:szCs w:val="28"/>
                          </w:rPr>
                          <w:t> </w:t>
                        </w:r>
                      </w:p>
                    </w:tc>
                  </w:tr>
                  <w:tr>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cs="宋体" w:asciiTheme="minorEastAsia" w:hAnsiTheme="minorEastAsia"/>
                            <w:b/>
                            <w:kern w:val="0"/>
                            <w:sz w:val="28"/>
                            <w:szCs w:val="28"/>
                          </w:rPr>
                        </w:pPr>
                      </w:p>
                    </w:tc>
                  </w:tr>
                </w:tbl>
                <w:p>
                  <w:pPr>
                    <w:widowControl/>
                    <w:jc w:val="left"/>
                    <w:rPr>
                      <w:rFonts w:cs="宋体" w:asciiTheme="minorEastAsia" w:hAnsiTheme="minorEastAsia"/>
                      <w:kern w:val="0"/>
                      <w:sz w:val="28"/>
                      <w:szCs w:val="28"/>
                    </w:rPr>
                  </w:pPr>
                </w:p>
              </w:tc>
            </w:tr>
          </w:tbl>
          <w:p>
            <w:pPr>
              <w:widowControl/>
              <w:jc w:val="left"/>
              <w:rPr>
                <w:rFonts w:cs="宋体" w:asciiTheme="minorEastAsia" w:hAnsiTheme="minorEastAsia"/>
                <w:kern w:val="0"/>
                <w:sz w:val="28"/>
                <w:szCs w:val="28"/>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cs="宋体" w:asciiTheme="minorEastAsia" w:hAnsiTheme="minorEastAsia"/>
                <w:kern w:val="0"/>
                <w:sz w:val="28"/>
                <w:szCs w:val="28"/>
              </w:rPr>
            </w:pPr>
          </w:p>
        </w:tc>
      </w:tr>
    </w:tbl>
    <w:p>
      <w:pPr>
        <w:rPr>
          <w:rFonts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0671D"/>
    <w:rsid w:val="00094FCA"/>
    <w:rsid w:val="000953F1"/>
    <w:rsid w:val="000A6C50"/>
    <w:rsid w:val="00170BC9"/>
    <w:rsid w:val="00201261"/>
    <w:rsid w:val="0020660E"/>
    <w:rsid w:val="00243787"/>
    <w:rsid w:val="00293C24"/>
    <w:rsid w:val="002D26C3"/>
    <w:rsid w:val="00302927"/>
    <w:rsid w:val="00307D4B"/>
    <w:rsid w:val="003122D4"/>
    <w:rsid w:val="00324739"/>
    <w:rsid w:val="0033600C"/>
    <w:rsid w:val="00344643"/>
    <w:rsid w:val="0038456A"/>
    <w:rsid w:val="00421CDB"/>
    <w:rsid w:val="00491254"/>
    <w:rsid w:val="004D4BC7"/>
    <w:rsid w:val="004D68FD"/>
    <w:rsid w:val="004F14F4"/>
    <w:rsid w:val="00510ACA"/>
    <w:rsid w:val="00521B36"/>
    <w:rsid w:val="005357BE"/>
    <w:rsid w:val="005C5667"/>
    <w:rsid w:val="006309CD"/>
    <w:rsid w:val="006403D3"/>
    <w:rsid w:val="0065733F"/>
    <w:rsid w:val="00692725"/>
    <w:rsid w:val="006C0C53"/>
    <w:rsid w:val="006E7200"/>
    <w:rsid w:val="0071185C"/>
    <w:rsid w:val="0079144A"/>
    <w:rsid w:val="007B2D0E"/>
    <w:rsid w:val="00882ED9"/>
    <w:rsid w:val="008B4D84"/>
    <w:rsid w:val="009157A3"/>
    <w:rsid w:val="00943BD8"/>
    <w:rsid w:val="009816BD"/>
    <w:rsid w:val="0099666A"/>
    <w:rsid w:val="009A1CC4"/>
    <w:rsid w:val="009C45A1"/>
    <w:rsid w:val="009E235F"/>
    <w:rsid w:val="009F3E1C"/>
    <w:rsid w:val="00A45A60"/>
    <w:rsid w:val="00A644BE"/>
    <w:rsid w:val="00AA5279"/>
    <w:rsid w:val="00AE187D"/>
    <w:rsid w:val="00B7769E"/>
    <w:rsid w:val="00BA6735"/>
    <w:rsid w:val="00C50BE8"/>
    <w:rsid w:val="00C63C68"/>
    <w:rsid w:val="00C81864"/>
    <w:rsid w:val="00C81C1D"/>
    <w:rsid w:val="00C87E1C"/>
    <w:rsid w:val="00CF4AA6"/>
    <w:rsid w:val="00D04CCC"/>
    <w:rsid w:val="00DC3864"/>
    <w:rsid w:val="00DD39C8"/>
    <w:rsid w:val="00E2323A"/>
    <w:rsid w:val="00E6317F"/>
    <w:rsid w:val="00EB4A5A"/>
    <w:rsid w:val="00ED49DD"/>
    <w:rsid w:val="00EE01B5"/>
    <w:rsid w:val="00EF5B55"/>
    <w:rsid w:val="00F63586"/>
    <w:rsid w:val="00F70060"/>
    <w:rsid w:val="00F77612"/>
    <w:rsid w:val="00FD6D64"/>
    <w:rsid w:val="1DD502FD"/>
    <w:rsid w:val="26D96422"/>
    <w:rsid w:val="2A507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endnote reference"/>
    <w:basedOn w:val="6"/>
    <w:unhideWhenUsed/>
    <w:uiPriority w:val="99"/>
    <w:rPr>
      <w:vertAlign w:val="superscript"/>
    </w:rPr>
  </w:style>
  <w:style w:type="character" w:customStyle="1" w:styleId="9">
    <w:name w:val="pagetext0031"/>
    <w:basedOn w:val="6"/>
    <w:uiPriority w:val="0"/>
    <w:rPr>
      <w:rFonts w:hint="eastAsia" w:ascii="宋体" w:hAnsi="宋体" w:eastAsia="宋体"/>
      <w:color w:val="555555"/>
      <w:sz w:val="21"/>
      <w:szCs w:val="21"/>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uiPriority w:val="99"/>
    <w:rPr>
      <w:sz w:val="18"/>
      <w:szCs w:val="18"/>
    </w:rPr>
  </w:style>
  <w:style w:type="paragraph" w:customStyle="1" w:styleId="12">
    <w:name w:val="Char Char Char Char"/>
    <w:basedOn w:val="1"/>
    <w:qFormat/>
    <w:uiPriority w:val="0"/>
    <w:rPr>
      <w:rFonts w:ascii="Times New Roman" w:hAnsi="Times New Roman" w:eastAsia="宋体" w:cs="Times New Roman"/>
      <w:szCs w:val="21"/>
    </w:rPr>
  </w:style>
  <w:style w:type="character" w:customStyle="1" w:styleId="13">
    <w:name w:val="尾注文本 Char"/>
    <w:basedOn w:val="6"/>
    <w:link w:val="2"/>
    <w:semiHidden/>
    <w:uiPriority w:val="99"/>
  </w:style>
  <w:style w:type="character" w:customStyle="1" w:styleId="14">
    <w:name w:val="apple-converted-space"/>
    <w:basedOn w:val="6"/>
    <w:uiPriority w:val="0"/>
  </w:style>
  <w:style w:type="paragraph" w:customStyle="1" w:styleId="15">
    <w:name w:val="Char Char Char Char1"/>
    <w:basedOn w:val="1"/>
    <w:uiPriority w:val="0"/>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DE338B-B3D3-4836-90C7-A592A0A4D879}">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615</Words>
  <Characters>3510</Characters>
  <Lines>29</Lines>
  <Paragraphs>8</Paragraphs>
  <TotalTime>82</TotalTime>
  <ScaleCrop>false</ScaleCrop>
  <LinksUpToDate>false</LinksUpToDate>
  <CharactersWithSpaces>4117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2019-01-04T02:56:00Z</dcterms:created>
  <dc:creator>Lenovo User</dc:creator>
  <cp:lastModifiedBy>Administrator</cp:lastModifiedBy>
  <dcterms:modified xsi:type="dcterms:W3CDTF">2025-04-14T08:45:00Z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6016F93D394B40A0AAE9DC395B5977A4</vt:lpwstr>
  </property>
</Properties>
</file>