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06267"/>
      <w:bookmarkStart w:id="2" w:name="_Toc15378441"/>
      <w:bookmarkStart w:id="3" w:name="_Toc15377193"/>
      <w:bookmarkStart w:id="4" w:name="_Toc15377425"/>
      <w:bookmarkStart w:id="5" w:name="_Toc15396475"/>
    </w:p>
    <w:p>
      <w:pPr>
        <w:rPr>
          <w:rFonts w:ascii="Times New Roman" w:hAnsi="Times New Roman"/>
        </w:rPr>
      </w:pPr>
      <w:bookmarkStart w:id="65" w:name="_GoBack"/>
      <w:bookmarkEnd w:id="65"/>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bookmarkStart w:id="6" w:name="_Toc15306268"/>
      <w:bookmarkStart w:id="7" w:name="_Toc15396598"/>
      <w:bookmarkStart w:id="8" w:name="_Toc15396476"/>
      <w:bookmarkStart w:id="9" w:name="_Toc15377426"/>
      <w:bookmarkStart w:id="10" w:name="_Toc15377194"/>
      <w:bookmarkStart w:id="11" w:name="_Toc15378442"/>
      <w:r>
        <w:rPr>
          <w:rFonts w:hint="eastAsia" w:ascii="方正小标宋简体" w:hAnsi="方正小标宋简体" w:eastAsia="方正小标宋简体" w:cs="方正小标宋简体"/>
          <w:sz w:val="44"/>
          <w:szCs w:val="44"/>
          <w:lang w:val="en-US" w:eastAsia="zh-CN"/>
        </w:rPr>
        <w:t>2024年度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中国人民政治协商会议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四川省金川县委员会办公室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16</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............................................................4</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..............13</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................................15</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........................................................16</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................................................................20</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................................................................29</w:t>
      </w:r>
    </w:p>
    <w:p>
      <w:pPr>
        <w:pStyle w:val="15"/>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收入支出决算总表</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96599"/>
      <w:bookmarkStart w:id="13" w:name="_Toc15377196"/>
      <w:r>
        <w:rPr>
          <w:rFonts w:hint="eastAsia" w:ascii="Times New Roman" w:hAnsi="Times New Roman" w:eastAsia="仿宋_GB2312" w:cs="仿宋_GB2312"/>
          <w:b/>
          <w:color w:val="auto"/>
          <w:sz w:val="32"/>
          <w:szCs w:val="32"/>
          <w:highlight w:val="none"/>
        </w:rPr>
        <w:br w:type="page"/>
      </w:r>
    </w:p>
    <w:p>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pStyle w:val="4"/>
        <w:numPr>
          <w:ilvl w:val="0"/>
          <w:numId w:val="3"/>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84" w:firstLineChars="200"/>
        <w:jc w:val="both"/>
        <w:textAlignment w:val="auto"/>
        <w:rPr>
          <w:rFonts w:hint="eastAsia"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numPr>
          <w:ilvl w:val="0"/>
          <w:numId w:val="0"/>
        </w:numPr>
        <w:rPr>
          <w:rFonts w:hint="eastAsia"/>
          <w:lang w:eastAsia="zh-CN"/>
        </w:rPr>
      </w:pPr>
    </w:p>
    <w:p>
      <w:pPr>
        <w:pStyle w:val="4"/>
        <w:rPr>
          <w:rStyle w:val="31"/>
          <w:rFonts w:ascii="Times New Roman" w:hAnsi="Times New Roman"/>
          <w:b w:val="0"/>
          <w:bCs w:val="0"/>
          <w:color w:val="auto"/>
          <w:highlight w:val="none"/>
        </w:rPr>
      </w:pPr>
      <w:bookmarkStart w:id="14" w:name="_Toc15396601"/>
      <w:bookmarkStart w:id="15" w:name="_Toc15377200"/>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4"/>
      <w:bookmarkEnd w:id="15"/>
    </w:p>
    <w:p>
      <w:pPr>
        <w:pStyle w:val="6"/>
        <w:ind w:firstLine="584" w:firstLineChars="200"/>
        <w:rPr>
          <w:rFonts w:hint="eastAsia" w:ascii="宋体" w:hAnsi="宋体" w:eastAsia="仿宋_GB2312" w:cs="宋体"/>
          <w:b w:val="0"/>
          <w:bCs w:val="0"/>
          <w:color w:val="000000"/>
          <w:spacing w:val="-14"/>
          <w:kern w:val="0"/>
          <w:sz w:val="32"/>
          <w:szCs w:val="32"/>
          <w:lang w:val="en-US" w:eastAsia="zh-CN" w:bidi="ar-SA"/>
        </w:rPr>
      </w:pPr>
      <w:r>
        <w:rPr>
          <w:rFonts w:hint="eastAsia" w:ascii="宋体" w:hAnsi="宋体" w:eastAsia="仿宋_GB2312" w:cs="宋体"/>
          <w:b w:val="0"/>
          <w:bCs w:val="0"/>
          <w:color w:val="000000"/>
          <w:spacing w:val="-14"/>
          <w:kern w:val="0"/>
          <w:sz w:val="32"/>
          <w:szCs w:val="32"/>
          <w:lang w:val="en-US" w:eastAsia="zh-CN" w:bidi="ar-SA"/>
        </w:rPr>
        <w:t>202</w:t>
      </w:r>
      <w:r>
        <w:rPr>
          <w:rFonts w:hint="eastAsia" w:ascii="宋体" w:hAnsi="宋体" w:cs="宋体"/>
          <w:b w:val="0"/>
          <w:bCs w:val="0"/>
          <w:color w:val="000000"/>
          <w:spacing w:val="-14"/>
          <w:kern w:val="0"/>
          <w:sz w:val="32"/>
          <w:szCs w:val="32"/>
          <w:lang w:val="en-US" w:eastAsia="zh-CN" w:bidi="ar-SA"/>
        </w:rPr>
        <w:t>4</w:t>
      </w:r>
      <w:r>
        <w:rPr>
          <w:rFonts w:hint="eastAsia" w:ascii="宋体" w:hAnsi="宋体" w:eastAsia="仿宋_GB2312" w:cs="宋体"/>
          <w:b w:val="0"/>
          <w:bCs w:val="0"/>
          <w:color w:val="000000"/>
          <w:spacing w:val="-14"/>
          <w:kern w:val="0"/>
          <w:sz w:val="32"/>
          <w:szCs w:val="32"/>
          <w:lang w:val="en-US" w:eastAsia="zh-CN" w:bidi="ar-SA"/>
        </w:rPr>
        <w:t>年政协金川县委员会办公室独立编制单位机构数为1个。财政供养人员编制为</w:t>
      </w:r>
      <w:r>
        <w:rPr>
          <w:rFonts w:hint="eastAsia" w:ascii="宋体" w:hAnsi="宋体" w:cs="宋体"/>
          <w:b w:val="0"/>
          <w:bCs w:val="0"/>
          <w:color w:val="000000"/>
          <w:spacing w:val="-14"/>
          <w:kern w:val="0"/>
          <w:sz w:val="32"/>
          <w:szCs w:val="32"/>
          <w:lang w:val="en-US" w:eastAsia="zh-CN" w:bidi="ar-SA"/>
        </w:rPr>
        <w:t>17</w:t>
      </w:r>
      <w:r>
        <w:rPr>
          <w:rFonts w:hint="eastAsia" w:ascii="宋体" w:hAnsi="宋体" w:eastAsia="仿宋_GB2312" w:cs="宋体"/>
          <w:b w:val="0"/>
          <w:bCs w:val="0"/>
          <w:color w:val="000000"/>
          <w:spacing w:val="-14"/>
          <w:kern w:val="0"/>
          <w:sz w:val="32"/>
          <w:szCs w:val="32"/>
          <w:lang w:val="en-US" w:eastAsia="zh-CN" w:bidi="ar-SA"/>
        </w:rPr>
        <w:t>名，其中行政编制</w:t>
      </w:r>
      <w:r>
        <w:rPr>
          <w:rFonts w:hint="eastAsia" w:ascii="宋体" w:hAnsi="宋体" w:cs="宋体"/>
          <w:b w:val="0"/>
          <w:bCs w:val="0"/>
          <w:color w:val="000000"/>
          <w:spacing w:val="-14"/>
          <w:kern w:val="0"/>
          <w:sz w:val="32"/>
          <w:szCs w:val="32"/>
          <w:lang w:val="en-US" w:eastAsia="zh-CN" w:bidi="ar-SA"/>
        </w:rPr>
        <w:t>17</w:t>
      </w:r>
      <w:r>
        <w:rPr>
          <w:rFonts w:hint="eastAsia" w:ascii="宋体" w:hAnsi="宋体" w:eastAsia="仿宋_GB2312" w:cs="宋体"/>
          <w:b w:val="0"/>
          <w:bCs w:val="0"/>
          <w:color w:val="000000"/>
          <w:spacing w:val="-14"/>
          <w:kern w:val="0"/>
          <w:sz w:val="32"/>
          <w:szCs w:val="32"/>
          <w:lang w:val="en-US" w:eastAsia="zh-CN" w:bidi="ar-SA"/>
        </w:rPr>
        <w:t>名，行政工勤编制3</w:t>
      </w:r>
      <w:r>
        <w:rPr>
          <w:rFonts w:hint="eastAsia" w:ascii="宋体" w:hAnsi="宋体" w:cs="宋体"/>
          <w:b w:val="0"/>
          <w:bCs w:val="0"/>
          <w:color w:val="000000"/>
          <w:spacing w:val="-14"/>
          <w:kern w:val="0"/>
          <w:sz w:val="32"/>
          <w:szCs w:val="32"/>
          <w:lang w:val="en-US" w:eastAsia="zh-CN" w:bidi="ar-SA"/>
        </w:rPr>
        <w:t>名。</w:t>
      </w:r>
      <w:r>
        <w:rPr>
          <w:rFonts w:hint="eastAsia" w:ascii="宋体" w:hAnsi="宋体" w:eastAsia="仿宋_GB2312" w:cs="宋体"/>
          <w:b w:val="0"/>
          <w:bCs w:val="0"/>
          <w:color w:val="000000"/>
          <w:spacing w:val="-14"/>
          <w:kern w:val="0"/>
          <w:sz w:val="32"/>
          <w:szCs w:val="32"/>
          <w:lang w:val="en-US" w:eastAsia="zh-CN" w:bidi="ar-SA"/>
        </w:rPr>
        <w:t>202</w:t>
      </w:r>
      <w:r>
        <w:rPr>
          <w:rFonts w:hint="eastAsia" w:ascii="宋体" w:hAnsi="宋体" w:cs="宋体"/>
          <w:b w:val="0"/>
          <w:bCs w:val="0"/>
          <w:color w:val="000000"/>
          <w:spacing w:val="-14"/>
          <w:kern w:val="0"/>
          <w:sz w:val="32"/>
          <w:szCs w:val="32"/>
          <w:lang w:val="en-US" w:eastAsia="zh-CN" w:bidi="ar-SA"/>
        </w:rPr>
        <w:t>4</w:t>
      </w:r>
      <w:r>
        <w:rPr>
          <w:rFonts w:hint="eastAsia" w:ascii="宋体" w:hAnsi="宋体" w:eastAsia="仿宋_GB2312" w:cs="宋体"/>
          <w:b w:val="0"/>
          <w:bCs w:val="0"/>
          <w:color w:val="000000"/>
          <w:spacing w:val="-14"/>
          <w:kern w:val="0"/>
          <w:sz w:val="32"/>
          <w:szCs w:val="32"/>
          <w:lang w:val="en-US" w:eastAsia="zh-CN" w:bidi="ar-SA"/>
        </w:rPr>
        <w:t>年实际财政供养人员</w:t>
      </w:r>
      <w:r>
        <w:rPr>
          <w:rFonts w:hint="eastAsia" w:ascii="宋体" w:hAnsi="宋体" w:cs="宋体"/>
          <w:b w:val="0"/>
          <w:bCs w:val="0"/>
          <w:color w:val="000000"/>
          <w:spacing w:val="-14"/>
          <w:kern w:val="0"/>
          <w:sz w:val="32"/>
          <w:szCs w:val="32"/>
          <w:lang w:val="en-US" w:eastAsia="zh-CN" w:bidi="ar-SA"/>
        </w:rPr>
        <w:t>17</w:t>
      </w:r>
      <w:r>
        <w:rPr>
          <w:rFonts w:hint="eastAsia" w:ascii="宋体" w:hAnsi="宋体" w:eastAsia="仿宋_GB2312" w:cs="宋体"/>
          <w:b w:val="0"/>
          <w:bCs w:val="0"/>
          <w:color w:val="000000"/>
          <w:spacing w:val="-14"/>
          <w:kern w:val="0"/>
          <w:sz w:val="32"/>
          <w:szCs w:val="32"/>
          <w:lang w:val="en-US" w:eastAsia="zh-CN" w:bidi="ar-SA"/>
        </w:rPr>
        <w:t>人，其中：行政</w:t>
      </w:r>
      <w:r>
        <w:rPr>
          <w:rFonts w:hint="eastAsia" w:ascii="宋体" w:hAnsi="宋体" w:cs="宋体"/>
          <w:b w:val="0"/>
          <w:bCs w:val="0"/>
          <w:color w:val="000000"/>
          <w:spacing w:val="-14"/>
          <w:kern w:val="0"/>
          <w:sz w:val="32"/>
          <w:szCs w:val="32"/>
          <w:lang w:val="en-US" w:eastAsia="zh-CN" w:bidi="ar-SA"/>
        </w:rPr>
        <w:t>17</w:t>
      </w:r>
      <w:r>
        <w:rPr>
          <w:rFonts w:hint="eastAsia" w:ascii="宋体" w:hAnsi="宋体" w:eastAsia="仿宋_GB2312" w:cs="宋体"/>
          <w:b w:val="0"/>
          <w:bCs w:val="0"/>
          <w:color w:val="000000"/>
          <w:spacing w:val="-14"/>
          <w:kern w:val="0"/>
          <w:sz w:val="32"/>
          <w:szCs w:val="32"/>
          <w:lang w:val="en-US" w:eastAsia="zh-CN" w:bidi="ar-SA"/>
        </w:rPr>
        <w:t xml:space="preserve">人，行政工勤4人。 </w:t>
      </w:r>
    </w:p>
    <w:p>
      <w:pPr>
        <w:pStyle w:val="6"/>
        <w:ind w:firstLine="584" w:firstLineChars="200"/>
        <w:rPr>
          <w:rFonts w:hint="eastAsia" w:ascii="宋体" w:hAnsi="宋体" w:eastAsia="仿宋_GB2312" w:cs="宋体"/>
          <w:b w:val="0"/>
          <w:bCs w:val="0"/>
          <w:color w:val="000000"/>
          <w:spacing w:val="-14"/>
          <w:kern w:val="0"/>
          <w:sz w:val="32"/>
          <w:szCs w:val="32"/>
          <w:lang w:val="en-US" w:eastAsia="zh-CN" w:bidi="ar-SA"/>
        </w:rPr>
      </w:pPr>
      <w:r>
        <w:rPr>
          <w:rFonts w:hint="eastAsia" w:ascii="宋体" w:hAnsi="宋体" w:cs="宋体"/>
          <w:b w:val="0"/>
          <w:bCs w:val="0"/>
          <w:color w:val="000000"/>
          <w:spacing w:val="-14"/>
          <w:kern w:val="0"/>
          <w:sz w:val="32"/>
          <w:szCs w:val="32"/>
          <w:lang w:val="en-US" w:eastAsia="zh-CN" w:bidi="ar-SA"/>
        </w:rPr>
        <w:t>2024年</w:t>
      </w:r>
      <w:r>
        <w:rPr>
          <w:rFonts w:hint="eastAsia" w:ascii="宋体" w:hAnsi="宋体" w:eastAsia="仿宋_GB2312" w:cs="宋体"/>
          <w:b w:val="0"/>
          <w:bCs w:val="0"/>
          <w:color w:val="000000"/>
          <w:spacing w:val="-14"/>
          <w:kern w:val="0"/>
          <w:sz w:val="32"/>
          <w:szCs w:val="32"/>
          <w:lang w:val="en-US" w:eastAsia="zh-CN" w:bidi="ar-SA"/>
        </w:rPr>
        <w:t>政协金川县委员会</w:t>
      </w:r>
      <w:r>
        <w:rPr>
          <w:rFonts w:hint="eastAsia" w:ascii="宋体" w:hAnsi="宋体" w:cs="宋体"/>
          <w:b w:val="0"/>
          <w:bCs w:val="0"/>
          <w:color w:val="000000"/>
          <w:spacing w:val="-14"/>
          <w:kern w:val="0"/>
          <w:sz w:val="32"/>
          <w:szCs w:val="32"/>
          <w:lang w:val="en-US" w:eastAsia="zh-CN" w:bidi="ar-SA"/>
        </w:rPr>
        <w:t>信息中心</w:t>
      </w:r>
      <w:r>
        <w:rPr>
          <w:rFonts w:hint="eastAsia" w:ascii="宋体" w:hAnsi="宋体" w:eastAsia="仿宋_GB2312" w:cs="宋体"/>
          <w:b w:val="0"/>
          <w:bCs w:val="0"/>
          <w:color w:val="000000"/>
          <w:spacing w:val="-14"/>
          <w:kern w:val="0"/>
          <w:sz w:val="32"/>
          <w:szCs w:val="32"/>
          <w:lang w:val="en-US" w:eastAsia="zh-CN" w:bidi="ar-SA"/>
        </w:rPr>
        <w:t>编制单位机构数为1个</w:t>
      </w:r>
      <w:r>
        <w:rPr>
          <w:rFonts w:hint="eastAsia" w:ascii="宋体" w:hAnsi="宋体" w:cs="宋体"/>
          <w:b w:val="0"/>
          <w:bCs w:val="0"/>
          <w:color w:val="000000"/>
          <w:spacing w:val="-14"/>
          <w:kern w:val="0"/>
          <w:sz w:val="32"/>
          <w:szCs w:val="32"/>
          <w:lang w:val="en-US" w:eastAsia="zh-CN" w:bidi="ar-SA"/>
        </w:rPr>
        <w:t>。财政供养人员编制为2名，其中事业编制2名。2024年实际财政供养人员1名。</w:t>
      </w:r>
      <w:r>
        <w:rPr>
          <w:rFonts w:hint="eastAsia" w:ascii="宋体" w:hAnsi="宋体" w:eastAsia="仿宋_GB2312" w:cs="宋体"/>
          <w:b w:val="0"/>
          <w:bCs w:val="0"/>
          <w:color w:val="000000"/>
          <w:spacing w:val="-14"/>
          <w:kern w:val="0"/>
          <w:sz w:val="32"/>
          <w:szCs w:val="32"/>
          <w:lang w:val="en-US" w:eastAsia="zh-CN" w:bidi="ar-SA"/>
        </w:rPr>
        <w:t xml:space="preserve">   </w:t>
      </w:r>
    </w:p>
    <w:p>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中国人民政治协商会议四川省金川县委员会办公室</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pPr>
        <w:pStyle w:val="6"/>
        <w:numPr>
          <w:ilvl w:val="0"/>
          <w:numId w:val="4"/>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eastAsia="zh-CN"/>
        </w:rPr>
        <w:t>政协金川县委员会办公室信息中心</w:t>
      </w:r>
    </w:p>
    <w:p>
      <w:pPr>
        <w:pStyle w:val="6"/>
        <w:adjustRightInd w:val="0"/>
        <w:snapToGrid w:val="0"/>
        <w:spacing w:before="93" w:line="600" w:lineRule="exact"/>
        <w:ind w:firstLine="1120" w:firstLineChars="35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16" w:name="_Toc15377204"/>
      <w:bookmarkStart w:id="17"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pPr>
        <w:rPr>
          <w:rFonts w:ascii="Times New Roman" w:hAnsi="Times New Roman"/>
          <w:color w:val="auto"/>
          <w:highlight w:val="none"/>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18"/>
      <w:bookmarkEnd w:id="19"/>
    </w:p>
    <w:p>
      <w:pPr>
        <w:pStyle w:val="6"/>
        <w:ind w:firstLine="584" w:firstLineChars="200"/>
        <w:rPr>
          <w:rFonts w:hint="eastAsia" w:ascii="宋体" w:hAnsi="宋体" w:eastAsia="仿宋_GB2312" w:cs="宋体"/>
          <w:color w:val="000000"/>
          <w:spacing w:val="-14"/>
          <w:kern w:val="0"/>
          <w:sz w:val="32"/>
          <w:szCs w:val="32"/>
          <w:lang w:val="en-US" w:eastAsia="zh-CN" w:bidi="ar-SA"/>
        </w:rPr>
      </w:pPr>
      <w:r>
        <w:rPr>
          <w:rFonts w:hint="eastAsia" w:ascii="宋体" w:hAnsi="宋体" w:eastAsia="仿宋_GB2312" w:cs="宋体"/>
          <w:color w:val="000000"/>
          <w:spacing w:val="-14"/>
          <w:kern w:val="0"/>
          <w:sz w:val="32"/>
          <w:szCs w:val="32"/>
          <w:lang w:val="en-US" w:eastAsia="zh-CN" w:bidi="ar-SA"/>
        </w:rPr>
        <w:t>202</w:t>
      </w:r>
      <w:r>
        <w:rPr>
          <w:rFonts w:hint="eastAsia" w:ascii="宋体" w:hAnsi="宋体" w:cs="宋体"/>
          <w:color w:val="000000"/>
          <w:spacing w:val="-14"/>
          <w:kern w:val="0"/>
          <w:sz w:val="32"/>
          <w:szCs w:val="32"/>
          <w:lang w:val="en-US" w:eastAsia="zh-CN" w:bidi="ar-SA"/>
        </w:rPr>
        <w:t>4</w:t>
      </w:r>
      <w:r>
        <w:rPr>
          <w:rFonts w:hint="eastAsia" w:ascii="宋体" w:hAnsi="宋体" w:eastAsia="仿宋_GB2312" w:cs="宋体"/>
          <w:color w:val="000000"/>
          <w:spacing w:val="-14"/>
          <w:kern w:val="0"/>
          <w:sz w:val="32"/>
          <w:szCs w:val="32"/>
          <w:lang w:val="en-US" w:eastAsia="zh-CN" w:bidi="ar-SA"/>
        </w:rPr>
        <w:t>年</w:t>
      </w:r>
      <w:r>
        <w:rPr>
          <w:rFonts w:hint="eastAsia" w:ascii="宋体" w:hAnsi="宋体" w:cs="宋体"/>
          <w:color w:val="000000"/>
          <w:spacing w:val="-14"/>
          <w:kern w:val="0"/>
          <w:sz w:val="32"/>
          <w:szCs w:val="32"/>
          <w:lang w:val="en-US" w:eastAsia="zh-CN" w:bidi="ar-SA"/>
        </w:rPr>
        <w:t>县政协总收入1074.70万元，较2023年</w:t>
      </w:r>
      <w:r>
        <w:rPr>
          <w:rFonts w:hint="eastAsia" w:ascii="宋体" w:hAnsi="宋体" w:eastAsia="仿宋_GB2312" w:cs="宋体"/>
          <w:color w:val="000000"/>
          <w:spacing w:val="-14"/>
          <w:kern w:val="0"/>
          <w:sz w:val="32"/>
          <w:szCs w:val="32"/>
          <w:lang w:val="en-US" w:eastAsia="zh-CN" w:bidi="ar-SA"/>
        </w:rPr>
        <w:t>政协</w:t>
      </w:r>
      <w:r>
        <w:rPr>
          <w:rFonts w:hint="eastAsia" w:ascii="宋体" w:hAnsi="宋体" w:cs="宋体"/>
          <w:color w:val="000000"/>
          <w:spacing w:val="-14"/>
          <w:kern w:val="0"/>
          <w:sz w:val="32"/>
          <w:szCs w:val="32"/>
          <w:lang w:val="en-US" w:eastAsia="zh-CN" w:bidi="ar-SA"/>
        </w:rPr>
        <w:t>金川县委员会</w:t>
      </w:r>
      <w:r>
        <w:rPr>
          <w:rFonts w:hint="eastAsia" w:ascii="宋体" w:hAnsi="宋体" w:eastAsia="仿宋_GB2312" w:cs="宋体"/>
          <w:color w:val="000000"/>
          <w:spacing w:val="-14"/>
          <w:kern w:val="0"/>
          <w:sz w:val="32"/>
          <w:szCs w:val="32"/>
          <w:lang w:val="en-US" w:eastAsia="zh-CN" w:bidi="ar-SA"/>
        </w:rPr>
        <w:t>办公室</w:t>
      </w:r>
      <w:r>
        <w:rPr>
          <w:rFonts w:hint="eastAsia" w:ascii="宋体" w:hAnsi="宋体" w:cs="宋体"/>
          <w:color w:val="000000"/>
          <w:spacing w:val="-14"/>
          <w:kern w:val="0"/>
          <w:sz w:val="32"/>
          <w:szCs w:val="32"/>
          <w:lang w:val="en-US" w:eastAsia="zh-CN" w:bidi="ar-SA"/>
        </w:rPr>
        <w:t>总收入1262.57万元，减少187.87万元，减少14.88，主要是原因：人员减少，故导致办公室总收入减少。</w:t>
      </w:r>
    </w:p>
    <w:p>
      <w:pPr>
        <w:pStyle w:val="6"/>
        <w:ind w:firstLine="584" w:firstLineChars="200"/>
        <w:rPr>
          <w:rFonts w:hint="eastAsia" w:ascii="宋体" w:hAnsi="宋体" w:cs="宋体"/>
          <w:color w:val="000000"/>
          <w:spacing w:val="-14"/>
          <w:kern w:val="0"/>
          <w:sz w:val="32"/>
          <w:szCs w:val="32"/>
          <w:lang w:val="en-US" w:eastAsia="zh-CN" w:bidi="ar-SA"/>
        </w:rPr>
      </w:pPr>
      <w:r>
        <w:rPr>
          <w:rFonts w:hint="eastAsia" w:ascii="宋体" w:hAnsi="宋体" w:eastAsia="仿宋_GB2312" w:cs="宋体"/>
          <w:color w:val="000000"/>
          <w:spacing w:val="-14"/>
          <w:kern w:val="0"/>
          <w:sz w:val="32"/>
          <w:szCs w:val="32"/>
          <w:lang w:val="en-US" w:eastAsia="zh-CN" w:bidi="ar-SA"/>
        </w:rPr>
        <w:t>202</w:t>
      </w:r>
      <w:r>
        <w:rPr>
          <w:rFonts w:hint="eastAsia" w:ascii="宋体" w:hAnsi="宋体" w:cs="宋体"/>
          <w:color w:val="000000"/>
          <w:spacing w:val="-14"/>
          <w:kern w:val="0"/>
          <w:sz w:val="32"/>
          <w:szCs w:val="32"/>
          <w:lang w:val="en-US" w:eastAsia="zh-CN" w:bidi="ar-SA"/>
        </w:rPr>
        <w:t>4</w:t>
      </w:r>
      <w:r>
        <w:rPr>
          <w:rFonts w:hint="eastAsia" w:ascii="宋体" w:hAnsi="宋体" w:eastAsia="仿宋_GB2312" w:cs="宋体"/>
          <w:color w:val="000000"/>
          <w:spacing w:val="-14"/>
          <w:kern w:val="0"/>
          <w:sz w:val="32"/>
          <w:szCs w:val="32"/>
          <w:lang w:val="en-US" w:eastAsia="zh-CN" w:bidi="ar-SA"/>
        </w:rPr>
        <w:t>年</w:t>
      </w:r>
      <w:r>
        <w:rPr>
          <w:rFonts w:hint="eastAsia" w:ascii="宋体" w:hAnsi="宋体" w:cs="宋体"/>
          <w:color w:val="000000"/>
          <w:spacing w:val="-14"/>
          <w:kern w:val="0"/>
          <w:sz w:val="32"/>
          <w:szCs w:val="32"/>
          <w:lang w:val="en-US" w:eastAsia="zh-CN" w:bidi="ar-SA"/>
        </w:rPr>
        <w:t>县政协</w:t>
      </w:r>
      <w:r>
        <w:rPr>
          <w:rFonts w:hint="eastAsia" w:ascii="宋体" w:hAnsi="宋体" w:eastAsia="仿宋_GB2312" w:cs="宋体"/>
          <w:color w:val="000000"/>
          <w:spacing w:val="-14"/>
          <w:kern w:val="0"/>
          <w:sz w:val="32"/>
          <w:szCs w:val="32"/>
          <w:lang w:val="en-US" w:eastAsia="zh-CN" w:bidi="ar-SA"/>
        </w:rPr>
        <w:t>总支出</w:t>
      </w:r>
      <w:r>
        <w:rPr>
          <w:rFonts w:hint="eastAsia" w:ascii="宋体" w:hAnsi="宋体" w:cs="宋体"/>
          <w:color w:val="000000"/>
          <w:spacing w:val="-14"/>
          <w:kern w:val="0"/>
          <w:sz w:val="32"/>
          <w:szCs w:val="32"/>
          <w:lang w:val="en-US" w:eastAsia="zh-CN" w:bidi="ar-SA"/>
        </w:rPr>
        <w:t>1074.70</w:t>
      </w:r>
      <w:r>
        <w:rPr>
          <w:rFonts w:hint="eastAsia" w:ascii="宋体" w:hAnsi="宋体" w:eastAsia="仿宋_GB2312" w:cs="宋体"/>
          <w:color w:val="000000"/>
          <w:spacing w:val="-14"/>
          <w:kern w:val="0"/>
          <w:sz w:val="32"/>
          <w:szCs w:val="32"/>
          <w:lang w:val="en-US" w:eastAsia="zh-CN" w:bidi="ar-SA"/>
        </w:rPr>
        <w:t>万元，较202</w:t>
      </w:r>
      <w:r>
        <w:rPr>
          <w:rFonts w:hint="eastAsia" w:ascii="宋体" w:hAnsi="宋体" w:cs="宋体"/>
          <w:color w:val="000000"/>
          <w:spacing w:val="-14"/>
          <w:kern w:val="0"/>
          <w:sz w:val="32"/>
          <w:szCs w:val="32"/>
          <w:lang w:val="en-US" w:eastAsia="zh-CN" w:bidi="ar-SA"/>
        </w:rPr>
        <w:t>3</w:t>
      </w:r>
      <w:r>
        <w:rPr>
          <w:rFonts w:hint="eastAsia" w:ascii="宋体" w:hAnsi="宋体" w:eastAsia="仿宋_GB2312" w:cs="宋体"/>
          <w:color w:val="000000"/>
          <w:spacing w:val="-14"/>
          <w:kern w:val="0"/>
          <w:sz w:val="32"/>
          <w:szCs w:val="32"/>
          <w:lang w:val="en-US" w:eastAsia="zh-CN" w:bidi="ar-SA"/>
        </w:rPr>
        <w:t>年</w:t>
      </w:r>
      <w:r>
        <w:rPr>
          <w:rFonts w:hint="eastAsia" w:ascii="宋体" w:hAnsi="宋体" w:cs="宋体"/>
          <w:color w:val="000000"/>
          <w:spacing w:val="-14"/>
          <w:kern w:val="0"/>
          <w:sz w:val="32"/>
          <w:szCs w:val="32"/>
          <w:lang w:val="en-US" w:eastAsia="zh-CN" w:bidi="ar-SA"/>
        </w:rPr>
        <w:t>县政协</w:t>
      </w:r>
      <w:r>
        <w:rPr>
          <w:rFonts w:hint="eastAsia" w:ascii="宋体" w:hAnsi="宋体" w:eastAsia="仿宋_GB2312" w:cs="宋体"/>
          <w:color w:val="000000"/>
          <w:spacing w:val="-14"/>
          <w:kern w:val="0"/>
          <w:sz w:val="32"/>
          <w:szCs w:val="32"/>
          <w:lang w:val="en-US" w:eastAsia="zh-CN" w:bidi="ar-SA"/>
        </w:rPr>
        <w:t>总支出</w:t>
      </w:r>
      <w:r>
        <w:rPr>
          <w:rFonts w:hint="eastAsia" w:ascii="宋体" w:hAnsi="宋体" w:cs="宋体"/>
          <w:color w:val="000000"/>
          <w:spacing w:val="-14"/>
          <w:kern w:val="0"/>
          <w:sz w:val="32"/>
          <w:szCs w:val="32"/>
          <w:lang w:val="en-US" w:eastAsia="zh-CN" w:bidi="ar-SA"/>
        </w:rPr>
        <w:t>1262.57万元，减少187.87万元，减少14.88%，主要是原因：单位人员减少，故导致总支出减少。</w:t>
      </w:r>
    </w:p>
    <w:p>
      <w:pPr>
        <w:pStyle w:val="6"/>
        <w:jc w:val="center"/>
      </w:pPr>
    </w:p>
    <w:p>
      <w:pPr>
        <w:pStyle w:val="6"/>
        <w:jc w:val="center"/>
      </w:pPr>
    </w:p>
    <w:p>
      <w:pPr>
        <w:pStyle w:val="6"/>
        <w:jc w:val="center"/>
      </w:pPr>
    </w:p>
    <w:p>
      <w:pPr>
        <w:pStyle w:val="6"/>
        <w:jc w:val="cente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jc w:val="center"/>
      </w:pPr>
    </w:p>
    <w:p>
      <w:pPr>
        <w:pStyle w:val="6"/>
        <w:jc w:val="cente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5396604"/>
      <w:r>
        <w:rPr>
          <w:rFonts w:hint="eastAsia" w:ascii="Times New Roman" w:hAnsi="Times New Roman" w:eastAsia="黑体"/>
          <w:color w:val="auto"/>
          <w:sz w:val="32"/>
          <w:szCs w:val="32"/>
          <w:highlight w:val="none"/>
          <w:lang w:eastAsia="zh-CN"/>
        </w:rPr>
        <w:t>二、收入决算情况说明</w:t>
      </w:r>
      <w:bookmarkEnd w:id="20"/>
      <w:bookmarkEnd w:id="21"/>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1"/>
        <w:rPr>
          <w:rFonts w:hint="eastAsia" w:ascii="Times New Roman" w:hAnsi="Times New Roman" w:eastAsia="黑体"/>
          <w:color w:val="auto"/>
          <w:sz w:val="32"/>
          <w:szCs w:val="32"/>
          <w:highlight w:val="none"/>
          <w:lang w:val="en-US" w:eastAsia="zh-CN"/>
        </w:rPr>
      </w:pPr>
      <w:bookmarkStart w:id="22" w:name="_Toc15396605"/>
      <w:bookmarkStart w:id="23" w:name="_Toc15377207"/>
      <w:r>
        <w:rPr>
          <w:rFonts w:hint="eastAsia" w:ascii="Times New Roman" w:hAnsi="Times New Roman" w:eastAsia="黑体"/>
          <w:color w:val="auto"/>
          <w:sz w:val="32"/>
          <w:szCs w:val="32"/>
          <w:highlight w:val="none"/>
          <w:lang w:val="en-US" w:eastAsia="zh-CN"/>
        </w:rPr>
        <w:t>2024年县政协总收入1074.70万元，其中：一般公共预算财政拨款收入1074.70万元，占100%；政府性基金预算财政拨款收入0万元，占0%；国有资本经营预算财政拨款收入0万元，占0%；事业收入0万元，占0%；经营收入0万元，占0%；附属单位上缴收入0万元，占0%；其他收入0万元，占0%。</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1"/>
        <w:rPr>
          <w:rFonts w:hint="eastAsia" w:ascii="Times New Roman" w:hAnsi="Times New Roman" w:eastAsia="黑体"/>
          <w:color w:val="auto"/>
          <w:sz w:val="32"/>
          <w:szCs w:val="32"/>
          <w:highlight w:val="none"/>
          <w:lang w:val="en-US" w:eastAsia="zh-CN"/>
        </w:rPr>
      </w:pPr>
      <w:r>
        <w:rPr>
          <w:rFonts w:hint="eastAsia" w:ascii="Times New Roman" w:hAnsi="Times New Roman" w:eastAsia="黑体"/>
          <w:color w:val="auto"/>
          <w:sz w:val="32"/>
          <w:szCs w:val="32"/>
          <w:highlight w:val="none"/>
          <w:lang w:val="en-US" w:eastAsia="zh-CN"/>
        </w:rPr>
        <w:t xml:space="preserve">        </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1"/>
        <w:rPr>
          <w:rFonts w:hint="eastAsia" w:ascii="Times New Roman" w:hAnsi="Times New Roman" w:eastAsia="黑体"/>
          <w:color w:val="auto"/>
          <w:sz w:val="32"/>
          <w:szCs w:val="32"/>
          <w:highlight w:val="none"/>
          <w:lang w:val="en-US"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1"/>
        <w:rPr>
          <w:rStyle w:val="31"/>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drawing>
          <wp:inline distT="0" distB="0" distL="114300" distR="114300">
            <wp:extent cx="4826000" cy="2743200"/>
            <wp:effectExtent l="4445" t="4445" r="8255" b="14605"/>
            <wp:docPr id="5" name="图表 4"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2"/>
      <w:bookmarkEnd w:id="23"/>
    </w:p>
    <w:p>
      <w:pPr>
        <w:spacing w:line="600" w:lineRule="exact"/>
        <w:ind w:firstLine="640"/>
        <w:rPr>
          <w:rFonts w:hint="eastAsia" w:ascii="宋体" w:hAnsi="宋体" w:eastAsia="仿宋_GB2312" w:cs="宋体"/>
          <w:color w:val="000000"/>
          <w:spacing w:val="-14"/>
          <w:kern w:val="0"/>
          <w:sz w:val="32"/>
          <w:szCs w:val="32"/>
          <w:lang w:val="en-US" w:eastAsia="zh-CN" w:bidi="ar-SA"/>
        </w:rPr>
      </w:pPr>
      <w:r>
        <w:rPr>
          <w:rFonts w:hint="eastAsia" w:ascii="宋体" w:hAnsi="宋体" w:eastAsia="仿宋_GB2312" w:cs="宋体"/>
          <w:color w:val="000000"/>
          <w:spacing w:val="-14"/>
          <w:kern w:val="0"/>
          <w:sz w:val="32"/>
          <w:szCs w:val="32"/>
          <w:lang w:val="en-US" w:eastAsia="zh-CN" w:bidi="ar-SA"/>
        </w:rPr>
        <w:t>2024年县政协本年总支出1074.70万元，其中：基本支出863.49万元，占80.35%；项目支出211.21万元，占19.65%；上缴上级支出0万元，占0%；经营支出0万元，占0%；对附属单位补助支出0万元，占0%。</w:t>
      </w:r>
    </w:p>
    <w:p>
      <w:pPr>
        <w:pStyle w:val="6"/>
        <w:rPr>
          <w:rFonts w:hint="eastAsia"/>
          <w:lang w:val="en-US" w:eastAsia="zh-CN"/>
        </w:rPr>
      </w:pPr>
    </w:p>
    <w:p>
      <w:pPr>
        <w:ind w:firstLine="800"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826000" cy="2743200"/>
            <wp:effectExtent l="4445" t="4445" r="825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bookmarkStart w:id="26" w:name="_Toc15377209"/>
      <w:bookmarkStart w:id="27" w:name="_Toc15396607"/>
      <w:r>
        <w:rPr>
          <w:rFonts w:hint="eastAsia" w:ascii="宋体" w:hAnsi="宋体" w:eastAsia="仿宋_GB2312" w:cs="宋体"/>
          <w:color w:val="000000"/>
          <w:spacing w:val="-14"/>
          <w:kern w:val="0"/>
          <w:sz w:val="32"/>
          <w:szCs w:val="32"/>
          <w:lang w:val="en-US" w:eastAsia="zh-CN" w:bidi="ar-SA"/>
        </w:rPr>
        <w:t>2024年县政协财政拨款收入1074.70万元。与2023年县政协政拨款收入</w:t>
      </w:r>
      <w:r>
        <w:rPr>
          <w:rFonts w:hint="eastAsia" w:ascii="宋体" w:hAnsi="宋体" w:cs="宋体"/>
          <w:color w:val="000000"/>
          <w:spacing w:val="-14"/>
          <w:kern w:val="0"/>
          <w:sz w:val="32"/>
          <w:szCs w:val="32"/>
          <w:lang w:val="en-US" w:eastAsia="zh-CN" w:bidi="ar-SA"/>
        </w:rPr>
        <w:t>1262.57万元</w:t>
      </w:r>
      <w:r>
        <w:rPr>
          <w:rFonts w:hint="eastAsia" w:ascii="宋体" w:hAnsi="宋体" w:eastAsia="仿宋_GB2312" w:cs="宋体"/>
          <w:color w:val="000000"/>
          <w:spacing w:val="-14"/>
          <w:kern w:val="0"/>
          <w:sz w:val="32"/>
          <w:szCs w:val="32"/>
          <w:lang w:val="en-US" w:eastAsia="zh-CN" w:bidi="ar-SA"/>
        </w:rPr>
        <w:t>相比，减少187.87万元，减少14.88 %。主要原因是单位人员减少。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r>
        <w:rPr>
          <w:rFonts w:hint="eastAsia" w:ascii="宋体" w:hAnsi="宋体" w:eastAsia="仿宋_GB2312" w:cs="宋体"/>
          <w:color w:val="000000"/>
          <w:spacing w:val="-14"/>
          <w:kern w:val="0"/>
          <w:sz w:val="32"/>
          <w:szCs w:val="32"/>
          <w:lang w:val="en-US" w:eastAsia="zh-CN" w:bidi="ar-SA"/>
        </w:rPr>
        <w:t>2024年县政协财政拨款支出1074.70万元，与2023年县政协政拨款支</w:t>
      </w:r>
      <w:r>
        <w:rPr>
          <w:rFonts w:hint="eastAsia" w:ascii="宋体" w:hAnsi="宋体" w:cs="宋体"/>
          <w:color w:val="000000"/>
          <w:spacing w:val="-14"/>
          <w:kern w:val="0"/>
          <w:sz w:val="32"/>
          <w:szCs w:val="32"/>
          <w:lang w:val="en-US" w:eastAsia="zh-CN" w:bidi="ar-SA"/>
        </w:rPr>
        <w:t>1262.57万元</w:t>
      </w:r>
      <w:r>
        <w:rPr>
          <w:rFonts w:hint="eastAsia" w:ascii="宋体" w:hAnsi="宋体" w:eastAsia="仿宋_GB2312" w:cs="宋体"/>
          <w:color w:val="000000"/>
          <w:spacing w:val="-14"/>
          <w:kern w:val="0"/>
          <w:sz w:val="32"/>
          <w:szCs w:val="32"/>
          <w:lang w:val="en-US" w:eastAsia="zh-CN" w:bidi="ar-SA"/>
        </w:rPr>
        <w:t>相比，减少187.87万元，减少14.88 %。主要原因是单位人员减少。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1"/>
      </w:pPr>
      <w:r>
        <w:drawing>
          <wp:inline distT="0" distB="0" distL="114300" distR="114300">
            <wp:extent cx="4572000" cy="2743200"/>
            <wp:effectExtent l="4445" t="4445" r="14605" b="1460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1"/>
        <w:rPr>
          <w:rStyle w:val="3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6"/>
      <w:bookmarkEnd w:id="2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hint="eastAsia" w:ascii="宋体" w:hAnsi="宋体" w:eastAsia="仿宋_GB2312" w:cs="宋体"/>
          <w:color w:val="000000"/>
          <w:spacing w:val="-14"/>
          <w:kern w:val="0"/>
          <w:sz w:val="32"/>
          <w:szCs w:val="32"/>
          <w:lang w:val="en-US" w:eastAsia="zh-CN" w:bidi="ar-SA"/>
        </w:rPr>
      </w:pPr>
      <w:r>
        <w:rPr>
          <w:rFonts w:hint="eastAsia" w:ascii="宋体" w:hAnsi="宋体" w:eastAsia="仿宋_GB2312" w:cs="宋体"/>
          <w:color w:val="000000"/>
          <w:spacing w:val="-14"/>
          <w:kern w:val="0"/>
          <w:sz w:val="32"/>
          <w:szCs w:val="32"/>
          <w:lang w:val="en-US" w:eastAsia="zh-CN" w:bidi="ar-SA"/>
        </w:rPr>
        <w:t>2024年县政协一般公共预算财政拨款支出1074.70万元，占本年总支出的100%。与2023年县政协一般公共预算财政拨款支出1262.57万元相比，减少187.87万元，减少14.88%。主要原因是单位人员减少。</w:t>
      </w:r>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仿宋_GB2312" w:cs="宋体"/>
          <w:color w:val="000000"/>
          <w:spacing w:val="-14"/>
          <w:kern w:val="0"/>
          <w:sz w:val="32"/>
          <w:szCs w:val="32"/>
          <w:lang w:val="en-US" w:eastAsia="zh-CN" w:bidi="ar-SA"/>
        </w:rPr>
      </w:pPr>
      <w:r>
        <w:drawing>
          <wp:inline distT="0" distB="0" distL="114300" distR="114300">
            <wp:extent cx="4572000" cy="2743200"/>
            <wp:effectExtent l="4445" t="4445" r="14605" b="14605"/>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41"/>
        <w:textAlignment w:val="auto"/>
        <w:rPr>
          <w:rFonts w:hint="eastAsia" w:ascii="宋体" w:hAnsi="宋体" w:eastAsia="仿宋_GB2312" w:cs="宋体"/>
          <w:color w:val="000000"/>
          <w:spacing w:val="-14"/>
          <w:kern w:val="0"/>
          <w:sz w:val="32"/>
          <w:szCs w:val="32"/>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bookmarkStart w:id="30" w:name="_Toc15377212"/>
      <w:r>
        <w:rPr>
          <w:rFonts w:hint="eastAsia" w:ascii="宋体" w:hAnsi="宋体" w:eastAsia="仿宋_GB2312" w:cs="宋体"/>
          <w:color w:val="000000"/>
          <w:spacing w:val="-14"/>
          <w:kern w:val="0"/>
          <w:sz w:val="32"/>
          <w:szCs w:val="32"/>
          <w:lang w:val="en-US" w:eastAsia="zh-CN" w:bidi="ar-SA"/>
        </w:rPr>
        <w:t>2024年县政协一般公共预算财政拨款支出1074.70万元，主要用于以下方面:一般公共服务（类）支出825.17万元，占76.78%；社会保障和就业（类）支出141.33万元，占13.15%；卫生健康支出46.70万元，占4.35%；住房保障支出61.49万元，占5.72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rPr>
          <w:rFonts w:hint="eastAsia" w:ascii="宋体" w:hAnsi="宋体" w:eastAsia="仿宋_GB2312" w:cs="宋体"/>
          <w:color w:val="000000"/>
          <w:spacing w:val="-14"/>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2"/>
      </w:pPr>
      <w:r>
        <w:drawing>
          <wp:inline distT="0" distB="0" distL="114300" distR="114300">
            <wp:extent cx="4572000" cy="2743200"/>
            <wp:effectExtent l="4445" t="4445" r="14605" b="14605"/>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0"/>
    </w:p>
    <w:p>
      <w:pPr>
        <w:spacing w:line="600" w:lineRule="exact"/>
        <w:ind w:firstLine="640"/>
        <w:rPr>
          <w:rFonts w:hint="default" w:ascii="宋体" w:hAnsi="宋体" w:eastAsia="仿宋_GB2312" w:cs="宋体"/>
          <w:color w:val="000000"/>
          <w:spacing w:val="-14"/>
          <w:kern w:val="0"/>
          <w:sz w:val="32"/>
          <w:szCs w:val="32"/>
          <w:lang w:val="en-US" w:eastAsia="zh-CN" w:bidi="ar-SA"/>
        </w:rPr>
      </w:pPr>
      <w:bookmarkStart w:id="31" w:name="_Toc15377214"/>
      <w:bookmarkStart w:id="32" w:name="_Toc15396608"/>
      <w:r>
        <w:rPr>
          <w:rFonts w:hint="eastAsia" w:ascii="宋体" w:hAnsi="宋体" w:eastAsia="仿宋_GB2312" w:cs="宋体"/>
          <w:color w:val="000000"/>
          <w:spacing w:val="-14"/>
          <w:kern w:val="0"/>
          <w:sz w:val="32"/>
          <w:szCs w:val="32"/>
          <w:lang w:val="en-US" w:eastAsia="zh-CN" w:bidi="ar-SA"/>
        </w:rPr>
        <w:t>2024年县政协一般公共预算数为1074.70万元，支出决算数为1074.70万元，完成预算100%。结转下年0万元。其中:</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1.一般公共服务（类）政协事务（款）行政运行（项）: 支出决算635.11万元，完成预算100%。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2.一般公共服务（类）政协事务（款）一般行政管理事务（项）: 支出决算为72.59万元，完成预算100%。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3.一般公共服务（类）政协事务（款）政协会议支出（项）: 支出决算为36.50万元，完成预算100%。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4.一般公共服务（类）政协事务（款）委员视察（项）: 支出决算为5.44万元，完成预算100%。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5..一般公共服务（类）政协事务（款）参政议政（项）: 支出决算为2万元，完成预算100%。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6.教育支出(类)进修及培训（款）培训支出(项): 支出决算为17.38万元，完成预算100%。</w:t>
      </w:r>
    </w:p>
    <w:p>
      <w:pPr>
        <w:spacing w:line="600" w:lineRule="exact"/>
        <w:ind w:firstLine="640"/>
        <w:rPr>
          <w:rFonts w:hint="default"/>
          <w:lang w:val="en-US" w:eastAsia="zh-CN"/>
        </w:rPr>
      </w:pPr>
      <w:r>
        <w:rPr>
          <w:rFonts w:hint="eastAsia" w:ascii="宋体" w:hAnsi="宋体" w:eastAsia="仿宋_GB2312" w:cs="宋体"/>
          <w:color w:val="auto"/>
          <w:spacing w:val="-14"/>
          <w:kern w:val="0"/>
          <w:sz w:val="32"/>
          <w:szCs w:val="32"/>
          <w:lang w:val="en-US" w:eastAsia="zh-CN" w:bidi="ar-SA"/>
        </w:rPr>
        <w:t>7.一般公共服务（类）政协事务（款）事业运行（项）: 支出决算42.11万元，完成预算100%。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8. 社会保障和就业（类）行政事业单位离退休（款）机关事业单位基本养老保险缴费支出（项）: 支出决算为67.72万元，完成预算100%。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8.社会保障和就业（类）行政事业单位离退休（款）机关事业单位基本职业年金缴费支出（项）:支出决算为33.862万元，完成预算100%。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9.卫生健康支出（类）行政事业单位医疗（款）行政单位医疗（项）:支出决算为31.10万元，完成预算100%。</w:t>
      </w:r>
    </w:p>
    <w:p>
      <w:pPr>
        <w:pStyle w:val="6"/>
        <w:ind w:firstLine="584" w:firstLineChars="200"/>
        <w:rPr>
          <w:rFonts w:hint="default"/>
          <w:lang w:val="en-US" w:eastAsia="zh-CN"/>
        </w:rPr>
      </w:pPr>
      <w:r>
        <w:rPr>
          <w:rFonts w:hint="eastAsia" w:ascii="宋体" w:hAnsi="宋体" w:cs="宋体"/>
          <w:color w:val="auto"/>
          <w:spacing w:val="-14"/>
          <w:kern w:val="0"/>
          <w:sz w:val="32"/>
          <w:szCs w:val="32"/>
          <w:lang w:val="en-US" w:eastAsia="zh-CN" w:bidi="ar-SA"/>
        </w:rPr>
        <w:t>10.</w:t>
      </w:r>
      <w:r>
        <w:rPr>
          <w:rFonts w:hint="eastAsia" w:ascii="宋体" w:hAnsi="宋体" w:eastAsia="仿宋_GB2312" w:cs="宋体"/>
          <w:color w:val="auto"/>
          <w:spacing w:val="-14"/>
          <w:kern w:val="0"/>
          <w:sz w:val="32"/>
          <w:szCs w:val="32"/>
          <w:lang w:val="en-US" w:eastAsia="zh-CN" w:bidi="ar-SA"/>
        </w:rPr>
        <w:t>卫生健康支出（类）</w:t>
      </w:r>
      <w:r>
        <w:rPr>
          <w:rFonts w:hint="eastAsia" w:ascii="宋体" w:hAnsi="宋体" w:cs="宋体"/>
          <w:color w:val="auto"/>
          <w:spacing w:val="-14"/>
          <w:kern w:val="0"/>
          <w:sz w:val="32"/>
          <w:szCs w:val="32"/>
          <w:lang w:val="en-US" w:eastAsia="zh-CN" w:bidi="ar-SA"/>
        </w:rPr>
        <w:t>行政</w:t>
      </w:r>
      <w:r>
        <w:rPr>
          <w:rFonts w:hint="eastAsia" w:ascii="宋体" w:hAnsi="宋体" w:eastAsia="仿宋_GB2312" w:cs="宋体"/>
          <w:color w:val="auto"/>
          <w:spacing w:val="-14"/>
          <w:kern w:val="0"/>
          <w:sz w:val="32"/>
          <w:szCs w:val="32"/>
          <w:lang w:val="en-US" w:eastAsia="zh-CN" w:bidi="ar-SA"/>
        </w:rPr>
        <w:t>事业单位医疗（款）</w:t>
      </w:r>
      <w:r>
        <w:rPr>
          <w:rFonts w:hint="eastAsia" w:ascii="宋体" w:hAnsi="宋体" w:cs="宋体"/>
          <w:color w:val="auto"/>
          <w:spacing w:val="-14"/>
          <w:kern w:val="0"/>
          <w:sz w:val="32"/>
          <w:szCs w:val="32"/>
          <w:lang w:val="en-US" w:eastAsia="zh-CN" w:bidi="ar-SA"/>
        </w:rPr>
        <w:t>事业</w:t>
      </w:r>
      <w:r>
        <w:rPr>
          <w:rFonts w:hint="eastAsia" w:ascii="宋体" w:hAnsi="宋体" w:eastAsia="仿宋_GB2312" w:cs="宋体"/>
          <w:color w:val="auto"/>
          <w:spacing w:val="-14"/>
          <w:kern w:val="0"/>
          <w:sz w:val="32"/>
          <w:szCs w:val="32"/>
          <w:lang w:val="en-US" w:eastAsia="zh-CN" w:bidi="ar-SA"/>
        </w:rPr>
        <w:t>单位医疗（项）:支出决算为</w:t>
      </w:r>
      <w:r>
        <w:rPr>
          <w:rFonts w:hint="eastAsia" w:ascii="宋体" w:hAnsi="宋体" w:cs="宋体"/>
          <w:color w:val="auto"/>
          <w:spacing w:val="-14"/>
          <w:kern w:val="0"/>
          <w:sz w:val="32"/>
          <w:szCs w:val="32"/>
          <w:lang w:val="en-US" w:eastAsia="zh-CN" w:bidi="ar-SA"/>
        </w:rPr>
        <w:t>1.21</w:t>
      </w:r>
      <w:r>
        <w:rPr>
          <w:rFonts w:hint="eastAsia" w:ascii="宋体" w:hAnsi="宋体" w:eastAsia="仿宋_GB2312" w:cs="宋体"/>
          <w:color w:val="auto"/>
          <w:spacing w:val="-14"/>
          <w:kern w:val="0"/>
          <w:sz w:val="32"/>
          <w:szCs w:val="32"/>
          <w:lang w:val="en-US" w:eastAsia="zh-CN" w:bidi="ar-SA"/>
        </w:rPr>
        <w:t>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11.卫生健康支出（类）行政事业单位医疗（款）公务员医疗补助（项）:支出决算为14.08万元，完成预算100%。</w:t>
      </w:r>
    </w:p>
    <w:p>
      <w:pPr>
        <w:pStyle w:val="6"/>
        <w:rPr>
          <w:rFonts w:hint="default"/>
          <w:lang w:val="en-US" w:eastAsia="zh-CN"/>
        </w:rPr>
      </w:pPr>
      <w:r>
        <w:rPr>
          <w:rFonts w:hint="eastAsia" w:ascii="宋体" w:hAnsi="宋体" w:cs="宋体"/>
          <w:color w:val="auto"/>
          <w:spacing w:val="-14"/>
          <w:kern w:val="0"/>
          <w:sz w:val="32"/>
          <w:szCs w:val="32"/>
          <w:lang w:val="en-US" w:eastAsia="zh-CN" w:bidi="ar-SA"/>
        </w:rPr>
        <w:t xml:space="preserve">     12.</w:t>
      </w:r>
      <w:r>
        <w:rPr>
          <w:rFonts w:hint="eastAsia" w:ascii="宋体" w:hAnsi="宋体" w:eastAsia="仿宋_GB2312" w:cs="宋体"/>
          <w:color w:val="auto"/>
          <w:spacing w:val="-14"/>
          <w:kern w:val="0"/>
          <w:sz w:val="32"/>
          <w:szCs w:val="32"/>
          <w:lang w:val="en-US" w:eastAsia="zh-CN" w:bidi="ar-SA"/>
        </w:rPr>
        <w:t>卫生健康支出（类）行政事业单位医疗（款）</w:t>
      </w:r>
      <w:r>
        <w:rPr>
          <w:rFonts w:hint="eastAsia" w:ascii="宋体" w:hAnsi="宋体" w:cs="宋体"/>
          <w:color w:val="auto"/>
          <w:spacing w:val="-14"/>
          <w:kern w:val="0"/>
          <w:sz w:val="32"/>
          <w:szCs w:val="32"/>
          <w:lang w:val="en-US" w:eastAsia="zh-CN" w:bidi="ar-SA"/>
        </w:rPr>
        <w:t>其他行政事业单位医疗支出</w:t>
      </w:r>
      <w:r>
        <w:rPr>
          <w:rFonts w:hint="eastAsia" w:ascii="宋体" w:hAnsi="宋体" w:eastAsia="仿宋_GB2312" w:cs="宋体"/>
          <w:color w:val="auto"/>
          <w:spacing w:val="-14"/>
          <w:kern w:val="0"/>
          <w:sz w:val="32"/>
          <w:szCs w:val="32"/>
          <w:lang w:val="en-US" w:eastAsia="zh-CN" w:bidi="ar-SA"/>
        </w:rPr>
        <w:t>（项）:支出决算为</w:t>
      </w:r>
      <w:r>
        <w:rPr>
          <w:rFonts w:hint="eastAsia" w:ascii="宋体" w:hAnsi="宋体" w:cs="宋体"/>
          <w:color w:val="auto"/>
          <w:spacing w:val="-14"/>
          <w:kern w:val="0"/>
          <w:sz w:val="32"/>
          <w:szCs w:val="32"/>
          <w:lang w:val="en-US" w:eastAsia="zh-CN" w:bidi="ar-SA"/>
        </w:rPr>
        <w:t>0.31</w:t>
      </w:r>
      <w:r>
        <w:rPr>
          <w:rFonts w:hint="eastAsia" w:ascii="宋体" w:hAnsi="宋体" w:eastAsia="仿宋_GB2312" w:cs="宋体"/>
          <w:color w:val="auto"/>
          <w:spacing w:val="-14"/>
          <w:kern w:val="0"/>
          <w:sz w:val="32"/>
          <w:szCs w:val="32"/>
          <w:lang w:val="en-US" w:eastAsia="zh-CN" w:bidi="ar-SA"/>
        </w:rPr>
        <w:t>万元，完成预算100%。</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13.住房保障（类）住房改革支出（款）住房公积金（项）：支出决算为53.10万元，完成预算100%。</w:t>
      </w:r>
    </w:p>
    <w:p>
      <w:pPr>
        <w:tabs>
          <w:tab w:val="right" w:pos="8306"/>
        </w:tabs>
        <w:spacing w:line="600" w:lineRule="exact"/>
        <w:ind w:firstLine="640"/>
        <w:outlineLvl w:val="1"/>
        <w:rPr>
          <w:rStyle w:val="31"/>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1"/>
      <w:bookmarkEnd w:id="32"/>
      <w:r>
        <w:rPr>
          <w:rStyle w:val="31"/>
          <w:rFonts w:ascii="Times New Roman" w:hAnsi="Times New Roman" w:eastAsia="黑体"/>
          <w:b w:val="0"/>
          <w:color w:val="auto"/>
          <w:highlight w:val="none"/>
        </w:rPr>
        <w:tab/>
      </w:r>
    </w:p>
    <w:p>
      <w:pPr>
        <w:spacing w:line="600" w:lineRule="exact"/>
        <w:ind w:firstLine="640"/>
        <w:rPr>
          <w:rFonts w:hint="eastAsia" w:ascii="宋体" w:hAnsi="宋体" w:eastAsia="仿宋_GB2312" w:cs="宋体"/>
          <w:color w:val="000000"/>
          <w:spacing w:val="-14"/>
          <w:kern w:val="0"/>
          <w:sz w:val="32"/>
          <w:szCs w:val="32"/>
          <w:lang w:val="en-US" w:eastAsia="zh-CN" w:bidi="ar-SA"/>
        </w:rPr>
      </w:pPr>
      <w:r>
        <w:rPr>
          <w:rFonts w:hint="eastAsia" w:ascii="宋体" w:hAnsi="宋体" w:eastAsia="仿宋_GB2312" w:cs="宋体"/>
          <w:color w:val="000000"/>
          <w:spacing w:val="-14"/>
          <w:kern w:val="0"/>
          <w:sz w:val="32"/>
          <w:szCs w:val="32"/>
          <w:lang w:val="en-US" w:eastAsia="zh-CN" w:bidi="ar-SA"/>
        </w:rPr>
        <w:t>2024年县政协一般公共预算财政拨款基本支出1074.70万元，其中：</w:t>
      </w:r>
    </w:p>
    <w:p>
      <w:pPr>
        <w:spacing w:line="600" w:lineRule="exact"/>
        <w:ind w:firstLine="640"/>
        <w:rPr>
          <w:rFonts w:hint="eastAsia" w:ascii="宋体" w:hAnsi="宋体" w:eastAsia="仿宋_GB2312" w:cs="宋体"/>
          <w:color w:val="auto"/>
          <w:spacing w:val="-14"/>
          <w:kern w:val="0"/>
          <w:sz w:val="32"/>
          <w:szCs w:val="32"/>
          <w:lang w:val="en-US" w:eastAsia="zh-CN" w:bidi="ar-SA"/>
        </w:rPr>
      </w:pPr>
      <w:r>
        <w:rPr>
          <w:rFonts w:hint="eastAsia" w:ascii="宋体" w:hAnsi="宋体" w:eastAsia="仿宋_GB2312" w:cs="宋体"/>
          <w:color w:val="auto"/>
          <w:spacing w:val="-14"/>
          <w:kern w:val="0"/>
          <w:sz w:val="32"/>
          <w:szCs w:val="32"/>
          <w:lang w:val="en-US" w:eastAsia="zh-CN" w:bidi="ar-SA"/>
        </w:rPr>
        <w:t>人员经费767.15万元，主要包括：基本工资145.08万元；津贴补贴162.09万元；奖金179.64万元；绩效工资4.28万元；机关事业单位基本养老保险缴费67.72万元；职业年金缴费33.86万元；职工基本医疗保险缴费32.31万元；公务员医疗补助缴费14.08万元；其他社会保障缴费10.34万元；住房公积金53.10万元；生活补助64.64万元；抚恤金39.75万元。</w:t>
      </w:r>
    </w:p>
    <w:p>
      <w:pPr>
        <w:spacing w:line="600" w:lineRule="exact"/>
        <w:ind w:firstLine="645"/>
        <w:rPr>
          <w:rFonts w:hint="default"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auto"/>
          <w:spacing w:val="-14"/>
          <w:kern w:val="0"/>
          <w:sz w:val="32"/>
          <w:szCs w:val="32"/>
          <w:lang w:val="en-US" w:eastAsia="zh-CN" w:bidi="ar-SA"/>
        </w:rPr>
        <w:t>公用经费96.34万元，主要包括：</w:t>
      </w:r>
      <w:r>
        <w:rPr>
          <w:rFonts w:hint="eastAsia" w:ascii="仿宋" w:eastAsia="仿宋"/>
          <w:color w:val="auto"/>
          <w:sz w:val="32"/>
          <w:szCs w:val="32"/>
        </w:rPr>
        <w:t>：办</w:t>
      </w:r>
      <w:r>
        <w:rPr>
          <w:rFonts w:hint="eastAsia" w:ascii="宋体" w:hAnsi="宋体" w:eastAsia="仿宋_GB2312" w:cs="宋体"/>
          <w:color w:val="auto"/>
          <w:spacing w:val="-14"/>
          <w:kern w:val="0"/>
          <w:sz w:val="32"/>
          <w:szCs w:val="32"/>
          <w:lang w:val="en-US" w:eastAsia="zh-CN" w:bidi="ar-SA"/>
        </w:rPr>
        <w:t>公费12.47万元；印刷费11.78万元、电费2万元；邮电2.88万元；差旅费24.06万元、劳务费2.42万元，公务用车运行维护费30.41万元。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31"/>
          <w:rFonts w:ascii="Times New Roman" w:hAnsi="Times New Roman" w:eastAsia="黑体"/>
          <w:b w:val="0"/>
          <w:color w:val="auto"/>
          <w:highlight w:val="none"/>
        </w:rPr>
      </w:pPr>
      <w:bookmarkStart w:id="33" w:name="_Toc15396609"/>
      <w:bookmarkStart w:id="34" w:name="_Toc15377215"/>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33"/>
      <w:bookmarkEnd w:id="34"/>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5"/>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bookmarkStart w:id="36" w:name="_Toc15377217"/>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2024年县政协“三公”经费财政拨款支出决算为30.41万元，完成预算100%。</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（二）“三公”经费财政拨款支出决算具体情况说明</w:t>
      </w:r>
      <w:bookmarkEnd w:id="36"/>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outlineLvl w:val="9"/>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2024年县政协“三公”经费财政拨款支出决算30.41万元，其中：因公出国（境）费支出决算0万元，占0%；公务用车购置及运行维护费支出决算30.41万元，占100%；公务接待费支出决算0万元，占0%。具体情况如下：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1"/>
        <w:jc w:val="both"/>
        <w:textAlignment w:val="auto"/>
        <w:outlineLvl w:val="9"/>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826000" cy="2673350"/>
            <wp:effectExtent l="4445" t="4445" r="8255" b="825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bookmarkStart w:id="37" w:name="_Toc15377218"/>
      <w:bookmarkStart w:id="38" w:name="_Toc15396610"/>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1.因公出国（境）经费支出0万元，完成预算0。全年安排因公出国（境）团组0次，出国（境）0人。因公出国（境）支出决算比2023年增加0万元。</w:t>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2.公务用车购置及运行维护费支出30.41万元,完成预算100%。2023年公务用车购置及运行维护费支出30.56万元，减少0.15万元，减少0.49%，主要原因是2024年单位人数减少。</w:t>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其中：公务用车购置支出0万元。全年按规定更新购置公务用车0辆。截至2024年12月31日，共有车辆5辆，其中：部级领导干部用车0辆、主要领导干部用车0辆、机要通信用车0辆、应急保障用车0辆、执法执勤用车0辆、特种专业技术用车0辆、离退休干部用车0辆、其他用车5辆；</w:t>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公务用车运行维护费支出30.41万元。</w:t>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3.公务接待费支出0万元，完成预算0。公务接待费0万元。</w:t>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主要用于执行公务、开展业务活动开支的交通费、住宿费、用餐费等。国内公务接待0批次，0人次，共计支出0万元。</w:t>
      </w:r>
    </w:p>
    <w:p>
      <w:pPr>
        <w:spacing w:line="600" w:lineRule="exact"/>
        <w:ind w:firstLine="64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外事接待支出0万元，外事接待0批次，0人，共计支出0万元。</w:t>
      </w:r>
    </w:p>
    <w:p>
      <w:pPr>
        <w:spacing w:line="600" w:lineRule="exact"/>
        <w:ind w:firstLine="64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37"/>
      <w:bookmarkEnd w:id="3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2024年政府性基金预算拨款支出0万元。</w:t>
      </w:r>
    </w:p>
    <w:p>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39" w:name="_Toc15396611"/>
      <w:bookmarkStart w:id="40" w:name="_Toc15377219"/>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39"/>
      <w:bookmarkEnd w:id="40"/>
    </w:p>
    <w:p>
      <w:pPr>
        <w:spacing w:line="600" w:lineRule="exact"/>
        <w:ind w:firstLine="640"/>
        <w:rPr>
          <w:rStyle w:val="37"/>
          <w:rFonts w:ascii="黑体" w:eastAsia="黑体"/>
          <w:b w:val="0"/>
        </w:rPr>
      </w:pPr>
      <w:bookmarkStart w:id="41" w:name="_Toc15396612"/>
      <w:bookmarkStart w:id="42" w:name="_Toc15377221"/>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2024年国有资本经营预算拨款支出0万元。</w:t>
      </w:r>
    </w:p>
    <w:p>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41"/>
      <w:bookmarkEnd w:id="42"/>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22"/>
      <w:r>
        <w:rPr>
          <w:rFonts w:hint="eastAsia" w:ascii="Times New Roman" w:hAnsi="Times New Roman" w:eastAsia="楷体_GB2312" w:cs="楷体_GB2312"/>
          <w:b/>
          <w:color w:val="auto"/>
          <w:sz w:val="32"/>
          <w:szCs w:val="32"/>
          <w:highlight w:val="none"/>
        </w:rPr>
        <w:t>（一）机关运行经费支出情况</w:t>
      </w:r>
      <w:bookmarkEnd w:id="43"/>
    </w:p>
    <w:p>
      <w:pPr>
        <w:spacing w:line="600" w:lineRule="exact"/>
        <w:ind w:firstLine="584" w:firstLineChars="200"/>
        <w:rPr>
          <w:rFonts w:hint="default" w:ascii="仿宋_GB2312" w:eastAsia="仿宋_GB2312"/>
          <w:color w:val="000000" w:themeColor="text1"/>
          <w:sz w:val="32"/>
          <w:szCs w:val="32"/>
          <w:lang w:val="en-US"/>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2024年，县政协办运行经费支出95.59万元，比2023年政协办运行经费33.74万元，增加61.85万元，增加183.31%，主要是因为：单位车辆老化，油价上调，县委中心工作任务重，单位调研、外出考察学习、脱贫巩固工作，乡村振兴等工作追加了日常公用经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23"/>
      <w:r>
        <w:rPr>
          <w:rFonts w:hint="eastAsia" w:ascii="Times New Roman" w:hAnsi="Times New Roman" w:eastAsia="楷体_GB2312" w:cs="楷体_GB2312"/>
          <w:b/>
          <w:color w:val="auto"/>
          <w:sz w:val="32"/>
          <w:szCs w:val="32"/>
          <w:highlight w:val="none"/>
        </w:rPr>
        <w:t>（二）政府采购支出情况</w:t>
      </w:r>
      <w:bookmarkEnd w:id="44"/>
    </w:p>
    <w:p>
      <w:pPr>
        <w:spacing w:line="60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2024年，政府采购支出总额8.41万元，其中：政府采购货物支出0万元、政府采购服务支出0万元。</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24"/>
      <w:r>
        <w:rPr>
          <w:rFonts w:hint="eastAsia" w:ascii="Times New Roman" w:hAnsi="Times New Roman" w:eastAsia="楷体_GB2312" w:cs="楷体_GB2312"/>
          <w:b/>
          <w:color w:val="auto"/>
          <w:sz w:val="32"/>
          <w:szCs w:val="32"/>
          <w:highlight w:val="none"/>
        </w:rPr>
        <w:t>（三）国有资产占有使用情况</w:t>
      </w:r>
      <w:bookmarkEnd w:id="4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截至2024年12月31日，共有车辆5辆。</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widowControl/>
        <w:ind w:firstLine="584" w:firstLineChars="200"/>
        <w:jc w:val="left"/>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bookmarkStart w:id="46" w:name="_Toc15377225"/>
      <w:bookmarkStart w:id="47" w:name="_Toc15396613"/>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1.概述项目绩效目标完成情况。</w:t>
      </w:r>
    </w:p>
    <w:p>
      <w:pPr>
        <w:spacing w:line="600" w:lineRule="exact"/>
        <w:ind w:firstLine="584" w:firstLineChars="200"/>
        <w:rPr>
          <w:rFonts w:hint="default"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按照预算绩效管理要求，本部门对2024年一般公共预算项目支出开展了绩效目标管理，共编制绩效目标12个，涉及财政资金211.21万元。本单位的12个项目均为非基建项目，项目类别均为特定目标类。到2024年12月31日，12个项目均已完成。其中：一般行政管理事务支出171.46万元；政协会议支出36.50万元；委员视察支出5.44万元；参政议政支出2万元；教育培训支出42.11万元。</w:t>
      </w:r>
    </w:p>
    <w:p>
      <w:pPr>
        <w:widowControl/>
        <w:ind w:firstLine="584" w:firstLineChars="200"/>
        <w:jc w:val="left"/>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2.部门整体支出绩效自评开展情况。</w:t>
      </w:r>
    </w:p>
    <w:p>
      <w:pPr>
        <w:spacing w:line="60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按照预算绩效管理要求，本部门对2024年整体支出开展绩效自评，自评得分89分，存在问题：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widowControl/>
        <w:ind w:firstLine="584" w:firstLineChars="200"/>
        <w:jc w:val="left"/>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p>
    <w:p>
      <w:pPr>
        <w:widowControl/>
        <w:ind w:firstLine="584" w:firstLineChars="200"/>
        <w:jc w:val="left"/>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6"/>
      <w:bookmarkEnd w:id="47"/>
    </w:p>
    <w:p>
      <w:pPr>
        <w:spacing w:line="600" w:lineRule="exact"/>
        <w:jc w:val="left"/>
        <w:rPr>
          <w:rFonts w:ascii="Times New Roman" w:hAnsi="Times New Roman"/>
          <w:b/>
          <w:color w:val="auto"/>
          <w:sz w:val="44"/>
          <w:szCs w:val="44"/>
          <w:highlight w:val="none"/>
        </w:rPr>
      </w:pP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bookmarkStart w:id="48" w:name="_Toc15377226"/>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1.财政拨款收入：指单位从同级财政部门取得的财政预算资金。</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2.事业收入：指事业单位开展专业业务活动及辅助活动取得的收入。</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3.经营收入：指事业单位在专业业务活动及其辅助活动之外开展非独立核算经营活动取得的收入。</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 xml:space="preserve">4.其他收入：指单位取得的除上述收入以外的各项收入。主要是银行存款利息和伙食团缴费等。 </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 xml:space="preserve">5. 年初结转和结余：指以前年度尚未完成、结转到本年按有关规定继续使用的资金。 </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6.结余分配：指事业单位按照事业单位会计制度的规定从非财政补助结余中分配的事业基金和职工福利基金等。</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7、年末结转和结余：指单位按有关规定结转到下年或以后年度继续使用的资金。</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8.一般公共服务支出（类）政协事务（款）行政运行（项）：指行政单位的基本支出。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9.一般公共服务支出（类）政协事务（款）政协会议（项）：反映各级政协召开政治协商等专门会议的支出。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10.一般公共服务支出（类）政协事务（款）委员视察（项）：反映政协委员开展各类视察的支出。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11.社会保障和就业（类）行政事业单位离退休（款）机关事业单位基本养老保险缴费支出（项）：指单位为职工缴纳的基本养老保险费。</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12.社会保障和就业（类）行政事业单位离退休（款）机关事业单位基本职业年金缴费支出（项）：指单位为职工实际缴纳的职业年金。</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13.卫生健康支出（类）公共卫生（款）突发公共卫生事件应急处理（项）：反映用于突发公共卫生事件应急处理的支出。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14.卫生健康支出（类）行政事业单位医疗（款）行政单位医疗（项）：指反映职工缴纳的基本医疗保险费。</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15.卫生健康支出（类）行政事业单位医疗（款）公务员医疗补助（项）：指按规定可享受公务员医疗补助单位为职工缴纳的公务员医疗补助费。</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16.住房保障（类）住房改革支出（款）住房公积金（项）：指单位按规定为职工缴纳的住房公积金。</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17.教育支出（类）进修及培训（款）培训支出（项）：指单位安排的用于培训的支出。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18.基本支出：指为保障机构正常运转、完成日常工作任务而发生的人员支出和公用支出。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19.项目支出：指在基本支出之外为完成特定行政任务和事业发展目标所发生的支出。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20.一般公共服务支出（类）政协事务（款）事业运行（项）：指事业单位的基本支出。</w:t>
      </w:r>
    </w:p>
    <w:p>
      <w:pPr>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21.卫生健康支出（类）行政事业单位医疗（款）其他行政事业单位医疗支出（项）：指除上述项目经外的其他用于行政事业单位医疗方面的支出。</w:t>
      </w:r>
    </w:p>
    <w:p>
      <w:pPr>
        <w:pStyle w:val="28"/>
        <w:spacing w:line="560" w:lineRule="exact"/>
        <w:ind w:firstLine="584" w:firstLineChars="200"/>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rPr>
          <w:rStyle w:val="30"/>
          <w:rFonts w:hint="eastAsia" w:ascii="Times New Roman" w:hAnsi="Times New Roman" w:eastAsia="黑体"/>
          <w:b w:val="0"/>
          <w:color w:val="auto"/>
          <w:highlight w:val="none"/>
          <w:lang w:eastAsia="zh-CN"/>
        </w:rPr>
      </w:pPr>
      <w:r>
        <w:rPr>
          <w:rFonts w:hint="eastAsia" w:ascii="宋体" w:hAnsi="宋体" w:eastAsia="仿宋_GB2312" w:cs="宋体"/>
          <w:color w:val="000000" w:themeColor="text1"/>
          <w:spacing w:val="-14"/>
          <w:kern w:val="0"/>
          <w:sz w:val="32"/>
          <w:szCs w:val="32"/>
          <w:lang w:val="en-US" w:eastAsia="zh-CN" w:bidi="ar-SA"/>
          <w14:textFill>
            <w14:solidFill>
              <w14:schemeClr w14:val="tx1"/>
            </w14:solidFill>
          </w14:textFill>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仿宋_GB2312"/>
          <w:color w:val="auto"/>
          <w:kern w:val="2"/>
          <w:sz w:val="32"/>
          <w:szCs w:val="32"/>
          <w:highlight w:val="none"/>
          <w:lang w:val="en-US" w:eastAsia="zh-CN" w:bidi="ar-SA"/>
        </w:rPr>
        <w:br w:type="page"/>
      </w:r>
      <w:bookmarkStart w:id="49"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9"/>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spacing w:line="560" w:lineRule="exact"/>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58240" behindDoc="1" locked="0" layoutInCell="1" allowOverlap="1">
            <wp:simplePos x="0" y="0"/>
            <wp:positionH relativeFrom="column">
              <wp:posOffset>-271145</wp:posOffset>
            </wp:positionH>
            <wp:positionV relativeFrom="paragraph">
              <wp:posOffset>-80645</wp:posOffset>
            </wp:positionV>
            <wp:extent cx="5943600" cy="2674620"/>
            <wp:effectExtent l="0" t="0" r="0" b="11430"/>
            <wp:wrapNone/>
            <wp:docPr id="1" name="图片 2" descr="办公室会文头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办公室会文头 004"/>
                    <pic:cNvPicPr>
                      <a:picLocks noChangeAspect="1"/>
                    </pic:cNvPicPr>
                  </pic:nvPicPr>
                  <pic:blipFill>
                    <a:blip r:embed="rId14">
                      <a:lum contrast="35999"/>
                    </a:blip>
                    <a:srcRect l="12788" t="29929" r="11459" b="4671"/>
                    <a:stretch>
                      <a:fillRect/>
                    </a:stretch>
                  </pic:blipFill>
                  <pic:spPr>
                    <a:xfrm>
                      <a:off x="0" y="0"/>
                      <a:ext cx="5943600" cy="2674620"/>
                    </a:xfrm>
                    <a:prstGeom prst="rect">
                      <a:avLst/>
                    </a:prstGeom>
                    <a:noFill/>
                    <a:ln w="9525">
                      <a:noFill/>
                    </a:ln>
                  </pic:spPr>
                </pic:pic>
              </a:graphicData>
            </a:graphic>
          </wp:anchor>
        </w:drawing>
      </w:r>
    </w:p>
    <w:p>
      <w:pPr>
        <w:spacing w:line="560" w:lineRule="exact"/>
        <w:jc w:val="center"/>
        <w:rPr>
          <w:rFonts w:hint="default" w:ascii="Times New Roman" w:hAnsi="Times New Roman" w:cs="Times New Roman"/>
        </w:rPr>
      </w:pPr>
    </w:p>
    <w:p>
      <w:pPr>
        <w:spacing w:line="560" w:lineRule="exact"/>
        <w:jc w:val="center"/>
        <w:rPr>
          <w:rFonts w:hint="default" w:ascii="Times New Roman" w:hAnsi="Times New Roman" w:cs="Times New Roman"/>
        </w:rPr>
      </w:pPr>
    </w:p>
    <w:p>
      <w:pPr>
        <w:spacing w:line="560" w:lineRule="exact"/>
        <w:jc w:val="center"/>
        <w:rPr>
          <w:rFonts w:hint="default" w:ascii="Times New Roman" w:hAnsi="Times New Roman" w:cs="Times New Roman"/>
        </w:rPr>
      </w:pPr>
    </w:p>
    <w:p>
      <w:pPr>
        <w:spacing w:line="560" w:lineRule="exact"/>
        <w:jc w:val="center"/>
        <w:rPr>
          <w:rFonts w:hint="default" w:ascii="Times New Roman" w:hAnsi="Times New Roman" w:cs="Times New Roman"/>
        </w:rPr>
      </w:pPr>
    </w:p>
    <w:p>
      <w:pPr>
        <w:ind w:firstLine="320" w:firstLineChars="100"/>
        <w:jc w:val="cente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金政协办〔202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eastAsia="zh-CN"/>
        </w:rPr>
        <w:t>号</w:t>
      </w:r>
    </w:p>
    <w:p>
      <w:pPr>
        <w:spacing w:line="560" w:lineRule="exact"/>
        <w:rPr>
          <w:rFonts w:hint="default" w:ascii="Times New Roman" w:hAnsi="Times New Roman" w:cs="Times New Roman"/>
        </w:rPr>
      </w:pPr>
    </w:p>
    <w:p>
      <w:pPr>
        <w:widowControl/>
        <w:spacing w:line="580" w:lineRule="exact"/>
        <w:contextualSpacing/>
        <w:jc w:val="center"/>
        <w:rPr>
          <w:rFonts w:hint="eastAsia" w:ascii="宋体" w:eastAsia="宋体"/>
          <w:b/>
          <w:sz w:val="44"/>
          <w:szCs w:val="44"/>
          <w:shd w:val="clear" w:color="auto" w:fill="FFFFFF"/>
          <w:lang w:eastAsia="zh-CN"/>
        </w:rPr>
      </w:pPr>
      <w:r>
        <w:rPr>
          <w:rFonts w:hint="eastAsia" w:ascii="宋体" w:eastAsia="宋体"/>
          <w:b/>
          <w:sz w:val="44"/>
          <w:szCs w:val="44"/>
          <w:shd w:val="clear" w:color="auto" w:fill="FFFFFF"/>
          <w:lang w:val="en-US" w:eastAsia="zh-CN"/>
        </w:rPr>
        <w:t xml:space="preserve"> </w:t>
      </w:r>
      <w:r>
        <w:rPr>
          <w:rFonts w:hint="eastAsia" w:ascii="宋体" w:eastAsia="宋体"/>
          <w:b/>
          <w:sz w:val="44"/>
          <w:szCs w:val="44"/>
          <w:shd w:val="clear" w:color="auto" w:fill="FFFFFF"/>
        </w:rPr>
        <w:t>202</w:t>
      </w:r>
      <w:r>
        <w:rPr>
          <w:rFonts w:hint="eastAsia" w:ascii="宋体" w:eastAsia="宋体"/>
          <w:b/>
          <w:sz w:val="44"/>
          <w:szCs w:val="44"/>
          <w:shd w:val="clear" w:color="auto" w:fill="FFFFFF"/>
          <w:lang w:val="en-US" w:eastAsia="zh-CN"/>
        </w:rPr>
        <w:t>4</w:t>
      </w:r>
      <w:r>
        <w:rPr>
          <w:rFonts w:hint="eastAsia" w:ascii="宋体" w:eastAsia="宋体"/>
          <w:b/>
          <w:sz w:val="44"/>
          <w:szCs w:val="44"/>
          <w:shd w:val="clear" w:color="auto" w:fill="FFFFFF"/>
        </w:rPr>
        <w:t>年</w:t>
      </w:r>
      <w:r>
        <w:rPr>
          <w:rFonts w:hint="eastAsia" w:ascii="宋体" w:eastAsia="宋体"/>
          <w:b/>
          <w:sz w:val="44"/>
          <w:szCs w:val="44"/>
          <w:shd w:val="clear" w:color="auto" w:fill="FFFFFF"/>
          <w:lang w:eastAsia="zh-CN"/>
        </w:rPr>
        <w:t>政协金川县委员会办公室</w:t>
      </w:r>
      <w:r>
        <w:rPr>
          <w:rFonts w:hint="eastAsia" w:ascii="宋体" w:eastAsia="宋体"/>
          <w:b/>
          <w:sz w:val="44"/>
          <w:szCs w:val="44"/>
          <w:shd w:val="clear" w:color="auto" w:fill="FFFFFF"/>
        </w:rPr>
        <w:t>整体</w:t>
      </w:r>
      <w:r>
        <w:rPr>
          <w:rFonts w:hint="eastAsia" w:ascii="宋体" w:eastAsia="宋体"/>
          <w:b/>
          <w:sz w:val="44"/>
          <w:szCs w:val="44"/>
          <w:shd w:val="clear" w:color="auto" w:fill="FFFFFF"/>
          <w:lang w:eastAsia="zh-CN"/>
        </w:rPr>
        <w:t>预算</w:t>
      </w:r>
    </w:p>
    <w:p>
      <w:pPr>
        <w:widowControl/>
        <w:spacing w:line="580" w:lineRule="exact"/>
        <w:contextualSpacing/>
        <w:jc w:val="center"/>
        <w:rPr>
          <w:rFonts w:hint="eastAsia" w:ascii="宋体" w:eastAsia="宋体"/>
          <w:b/>
          <w:sz w:val="44"/>
          <w:szCs w:val="44"/>
          <w:shd w:val="clear" w:color="auto" w:fill="FFFFFF"/>
        </w:rPr>
      </w:pPr>
      <w:r>
        <w:rPr>
          <w:rFonts w:hint="eastAsia" w:ascii="宋体" w:eastAsia="宋体"/>
          <w:b/>
          <w:sz w:val="44"/>
          <w:szCs w:val="44"/>
          <w:shd w:val="clear" w:color="auto" w:fill="FFFFFF"/>
        </w:rPr>
        <w:t>绩效评价报告</w:t>
      </w:r>
    </w:p>
    <w:p>
      <w:pPr>
        <w:widowControl/>
        <w:adjustRightInd w:val="0"/>
        <w:snapToGrid w:val="0"/>
        <w:spacing w:line="480" w:lineRule="exact"/>
        <w:ind w:firstLine="720"/>
        <w:jc w:val="left"/>
        <w:rPr>
          <w:rFonts w:hint="default" w:ascii="Times New Roman" w:hAnsi="Times New Roman" w:eastAsia="黑体" w:cs="Times New Roman"/>
          <w:color w:val="000000"/>
          <w:kern w:val="0"/>
          <w:sz w:val="24"/>
          <w:szCs w:val="32"/>
          <w:highlight w:val="none"/>
          <w:shd w:val="clear" w:color="auto" w:fill="FFFFFF"/>
        </w:rPr>
      </w:pPr>
      <w:r>
        <w:rPr>
          <w:rFonts w:hint="eastAsia" w:ascii="仿宋_GB2312" w:hAnsi="仿宋_GB2312" w:eastAsia="仿宋_GB2312" w:cs="仿宋_GB2312"/>
          <w:sz w:val="32"/>
          <w:szCs w:val="32"/>
        </w:rPr>
        <w:t>根据《金川县财政局关于202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cs="仿宋_GB2312"/>
          <w:sz w:val="32"/>
          <w:szCs w:val="32"/>
          <w:lang w:eastAsia="zh-CN"/>
        </w:rPr>
        <w:t>县级</w:t>
      </w:r>
      <w:r>
        <w:rPr>
          <w:rFonts w:hint="eastAsia" w:ascii="仿宋_GB2312" w:hAnsi="仿宋_GB2312" w:eastAsia="仿宋_GB2312" w:cs="仿宋_GB2312"/>
          <w:sz w:val="32"/>
          <w:szCs w:val="32"/>
        </w:rPr>
        <w:t>部门绩效</w:t>
      </w:r>
      <w:r>
        <w:rPr>
          <w:rFonts w:hint="eastAsia" w:ascii="仿宋_GB2312" w:hAnsi="仿宋_GB2312" w:cs="仿宋_GB2312"/>
          <w:sz w:val="32"/>
          <w:szCs w:val="32"/>
          <w:lang w:eastAsia="zh-CN"/>
        </w:rPr>
        <w:t>评价</w:t>
      </w:r>
      <w:r>
        <w:rPr>
          <w:rFonts w:hint="eastAsia" w:ascii="仿宋_GB2312" w:hAnsi="仿宋_GB2312" w:eastAsia="仿宋_GB2312" w:cs="仿宋_GB2312"/>
          <w:sz w:val="32"/>
          <w:szCs w:val="32"/>
        </w:rPr>
        <w:t>工作的通知》（金财监绩【202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】3</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号）文件要求，结合本单位的实际，认真开展部门预算支出绩效自评工作，现将202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年部门预算支出绩效自评工作报告如下：</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hint="default" w:ascii="Times New Roman" w:hAnsi="Times New Roman" w:cs="Times New Roman"/>
          <w:szCs w:val="32"/>
        </w:rPr>
      </w:pPr>
      <w:r>
        <w:rPr>
          <w:rFonts w:hint="eastAsia" w:eastAsia="黑体" w:cs="Times New Roman"/>
          <w:color w:val="000000"/>
          <w:kern w:val="0"/>
          <w:szCs w:val="32"/>
          <w:highlight w:val="none"/>
          <w:shd w:val="clear" w:color="auto" w:fill="FFFFFF"/>
          <w:lang w:val="zh-CN"/>
        </w:rPr>
        <w:t>一、</w:t>
      </w:r>
      <w:r>
        <w:rPr>
          <w:rFonts w:hint="default" w:ascii="Times New Roman" w:hAnsi="Times New Roman" w:eastAsia="黑体" w:cs="Times New Roman"/>
          <w:color w:val="000000"/>
          <w:kern w:val="0"/>
          <w:szCs w:val="32"/>
          <w:highlight w:val="none"/>
          <w:shd w:val="clear" w:color="auto" w:fill="FFFFFF"/>
          <w:lang w:val="zh-CN"/>
        </w:rPr>
        <w:t>部门（单位）基本情况</w:t>
      </w:r>
    </w:p>
    <w:p>
      <w:pPr>
        <w:keepNext w:val="0"/>
        <w:keepLines w:val="0"/>
        <w:pageBreakBefore w:val="0"/>
        <w:widowControl/>
        <w:kinsoku/>
        <w:wordWrap/>
        <w:overflowPunct/>
        <w:topLinePunct w:val="0"/>
        <w:autoSpaceDE/>
        <w:autoSpaceDN/>
        <w:bidi w:val="0"/>
        <w:spacing w:line="540" w:lineRule="exact"/>
        <w:ind w:firstLine="622" w:firstLineChars="200"/>
        <w:contextualSpacing/>
        <w:jc w:val="left"/>
        <w:textAlignment w:val="auto"/>
        <w:rPr>
          <w:rFonts w:hint="eastAsia" w:ascii="仿宋_GB2312" w:hAnsi="仿宋_GB2312" w:eastAsia="仿宋_GB2312" w:cs="仿宋_GB2312"/>
          <w:sz w:val="32"/>
          <w:szCs w:val="32"/>
          <w:lang w:eastAsia="zh-CN"/>
        </w:rPr>
      </w:pPr>
      <w:r>
        <w:rPr>
          <w:rFonts w:ascii="仿宋_GB2312" w:eastAsia="仿宋_GB2312" w:cs="仿宋_GB2312"/>
          <w:b/>
          <w:bCs/>
          <w:color w:val="000000"/>
          <w:sz w:val="31"/>
          <w:szCs w:val="31"/>
        </w:rPr>
        <w:t>（一）机构组成：</w:t>
      </w:r>
      <w:r>
        <w:rPr>
          <w:rFonts w:ascii="仿宋_GB2312" w:hAnsi="仿宋_GB2312" w:eastAsia="仿宋_GB2312" w:cs="仿宋_GB2312"/>
          <w:sz w:val="32"/>
          <w:szCs w:val="32"/>
        </w:rPr>
        <w:t>202</w:t>
      </w:r>
      <w:r>
        <w:rPr>
          <w:rFonts w:hint="eastAsia" w:ascii="仿宋_GB2312" w:hAnsi="仿宋_GB2312" w:cs="仿宋_GB2312"/>
          <w:sz w:val="32"/>
          <w:szCs w:val="32"/>
          <w:lang w:val="en-US" w:eastAsia="zh-CN"/>
        </w:rPr>
        <w:t>4</w:t>
      </w:r>
      <w:r>
        <w:rPr>
          <w:rFonts w:ascii="仿宋_GB2312" w:hAnsi="仿宋_GB2312" w:eastAsia="仿宋_GB2312" w:cs="仿宋_GB2312"/>
          <w:sz w:val="32"/>
          <w:szCs w:val="32"/>
        </w:rPr>
        <w:t>年独立编制单位机构数为 1个</w:t>
      </w:r>
      <w:r>
        <w:rPr>
          <w:rFonts w:hint="eastAsia" w:ascii="仿宋_GB2312" w:hAnsi="仿宋_GB2312" w:cs="仿宋_GB2312"/>
          <w:sz w:val="32"/>
          <w:szCs w:val="32"/>
          <w:lang w:eastAsia="zh-CN"/>
        </w:rPr>
        <w:t>核算机构，内设以下机构：</w:t>
      </w:r>
    </w:p>
    <w:p>
      <w:pPr>
        <w:keepNext w:val="0"/>
        <w:keepLines w:val="0"/>
        <w:pageBreakBefore w:val="0"/>
        <w:widowControl/>
        <w:kinsoku/>
        <w:wordWrap/>
        <w:overflowPunct/>
        <w:topLinePunct w:val="0"/>
        <w:autoSpaceDE/>
        <w:autoSpaceDN/>
        <w:bidi w:val="0"/>
        <w:spacing w:line="540" w:lineRule="exact"/>
        <w:ind w:firstLine="620" w:firstLineChars="200"/>
        <w:contextualSpacing/>
        <w:jc w:val="left"/>
        <w:textAlignment w:val="auto"/>
        <w:rPr>
          <w:rFonts w:hint="eastAsia" w:ascii="仿宋_GB2312" w:hAnsi="宋体" w:eastAsia="仿宋_GB2312" w:cs="仿宋_GB2312"/>
          <w:color w:val="000000"/>
          <w:kern w:val="0"/>
          <w:sz w:val="31"/>
          <w:szCs w:val="31"/>
          <w:lang w:val="zh-CN" w:eastAsia="zh-CN" w:bidi="ar"/>
        </w:rPr>
      </w:pPr>
      <w:r>
        <w:rPr>
          <w:rFonts w:hint="eastAsia" w:ascii="仿宋_GB2312" w:hAnsi="宋体" w:eastAsia="仿宋_GB2312" w:cs="仿宋_GB2312"/>
          <w:color w:val="000000"/>
          <w:kern w:val="0"/>
          <w:sz w:val="31"/>
          <w:szCs w:val="31"/>
          <w:lang w:val="zh-CN" w:eastAsia="zh-CN" w:bidi="ar"/>
        </w:rPr>
        <w:t>1.政协办公室。（下设收发室</w:t>
      </w:r>
      <w:r>
        <w:rPr>
          <w:rFonts w:hint="eastAsia" w:ascii="仿宋_GB2312" w:hAnsi="宋体" w:cs="仿宋_GB2312"/>
          <w:color w:val="000000"/>
          <w:kern w:val="0"/>
          <w:sz w:val="31"/>
          <w:szCs w:val="31"/>
          <w:lang w:val="zh-CN" w:eastAsia="zh-CN" w:bidi="ar"/>
        </w:rPr>
        <w:t>、</w:t>
      </w:r>
      <w:r>
        <w:rPr>
          <w:rFonts w:hint="eastAsia" w:ascii="仿宋_GB2312" w:hAnsi="宋体" w:eastAsia="仿宋_GB2312" w:cs="仿宋_GB2312"/>
          <w:color w:val="000000"/>
          <w:kern w:val="0"/>
          <w:sz w:val="31"/>
          <w:szCs w:val="31"/>
          <w:lang w:val="zh-CN" w:eastAsia="zh-CN" w:bidi="ar"/>
        </w:rPr>
        <w:t>财务室</w:t>
      </w:r>
      <w:r>
        <w:rPr>
          <w:rFonts w:hint="eastAsia" w:ascii="仿宋_GB2312" w:hAnsi="宋体" w:cs="仿宋_GB2312"/>
          <w:color w:val="000000"/>
          <w:kern w:val="0"/>
          <w:sz w:val="31"/>
          <w:szCs w:val="31"/>
          <w:lang w:val="zh-CN" w:eastAsia="zh-CN" w:bidi="ar"/>
        </w:rPr>
        <w:t>、信息中心</w:t>
      </w:r>
      <w:r>
        <w:rPr>
          <w:rFonts w:hint="eastAsia" w:ascii="仿宋_GB2312" w:hAnsi="宋体" w:eastAsia="仿宋_GB2312" w:cs="仿宋_GB2312"/>
          <w:color w:val="000000"/>
          <w:kern w:val="0"/>
          <w:sz w:val="31"/>
          <w:szCs w:val="31"/>
          <w:lang w:val="zh-CN" w:eastAsia="zh-CN" w:bidi="ar"/>
        </w:rPr>
        <w:t>）</w:t>
      </w:r>
    </w:p>
    <w:p>
      <w:pPr>
        <w:keepNext w:val="0"/>
        <w:keepLines w:val="0"/>
        <w:pageBreakBefore w:val="0"/>
        <w:widowControl/>
        <w:kinsoku/>
        <w:wordWrap/>
        <w:overflowPunct/>
        <w:topLinePunct w:val="0"/>
        <w:autoSpaceDE/>
        <w:autoSpaceDN/>
        <w:bidi w:val="0"/>
        <w:spacing w:line="540" w:lineRule="exact"/>
        <w:ind w:firstLine="620" w:firstLineChars="200"/>
        <w:contextualSpacing/>
        <w:jc w:val="left"/>
        <w:textAlignment w:val="auto"/>
        <w:rPr>
          <w:rFonts w:hint="eastAsia" w:ascii="仿宋_GB2312" w:hAnsi="宋体" w:eastAsia="仿宋_GB2312" w:cs="仿宋_GB2312"/>
          <w:color w:val="000000"/>
          <w:kern w:val="0"/>
          <w:sz w:val="31"/>
          <w:szCs w:val="31"/>
          <w:lang w:val="zh-CN" w:eastAsia="zh-CN" w:bidi="ar"/>
        </w:rPr>
      </w:pPr>
      <w:r>
        <w:rPr>
          <w:rFonts w:hint="eastAsia" w:ascii="仿宋_GB2312" w:hAnsi="宋体" w:eastAsia="仿宋_GB2312" w:cs="仿宋_GB2312"/>
          <w:color w:val="000000"/>
          <w:kern w:val="0"/>
          <w:sz w:val="31"/>
          <w:szCs w:val="31"/>
          <w:lang w:val="zh-CN" w:eastAsia="zh-CN" w:bidi="ar"/>
        </w:rPr>
        <w:t>2.政协提案群团委。</w:t>
      </w:r>
    </w:p>
    <w:p>
      <w:pPr>
        <w:keepNext w:val="0"/>
        <w:keepLines w:val="0"/>
        <w:pageBreakBefore w:val="0"/>
        <w:widowControl/>
        <w:kinsoku/>
        <w:wordWrap/>
        <w:overflowPunct/>
        <w:topLinePunct w:val="0"/>
        <w:autoSpaceDE/>
        <w:autoSpaceDN/>
        <w:bidi w:val="0"/>
        <w:spacing w:line="540" w:lineRule="exact"/>
        <w:ind w:firstLine="620" w:firstLineChars="200"/>
        <w:contextualSpacing/>
        <w:jc w:val="left"/>
        <w:textAlignment w:val="auto"/>
        <w:rPr>
          <w:rFonts w:hint="eastAsia" w:ascii="仿宋_GB2312" w:hAnsi="宋体" w:eastAsia="仿宋_GB2312" w:cs="仿宋_GB2312"/>
          <w:color w:val="000000"/>
          <w:kern w:val="0"/>
          <w:sz w:val="31"/>
          <w:szCs w:val="31"/>
          <w:lang w:val="zh-CN" w:eastAsia="zh-CN" w:bidi="ar"/>
        </w:rPr>
      </w:pPr>
      <w:r>
        <w:rPr>
          <w:rFonts w:hint="eastAsia" w:ascii="仿宋_GB2312" w:hAnsi="宋体" w:eastAsia="仿宋_GB2312" w:cs="仿宋_GB2312"/>
          <w:color w:val="000000"/>
          <w:kern w:val="0"/>
          <w:sz w:val="31"/>
          <w:szCs w:val="31"/>
          <w:lang w:val="zh-CN" w:eastAsia="zh-CN" w:bidi="ar"/>
        </w:rPr>
        <w:t>3.政协民族宗教法制委。</w:t>
      </w:r>
    </w:p>
    <w:p>
      <w:pPr>
        <w:keepNext w:val="0"/>
        <w:keepLines w:val="0"/>
        <w:pageBreakBefore w:val="0"/>
        <w:widowControl/>
        <w:kinsoku/>
        <w:wordWrap/>
        <w:overflowPunct/>
        <w:topLinePunct w:val="0"/>
        <w:autoSpaceDE/>
        <w:autoSpaceDN/>
        <w:bidi w:val="0"/>
        <w:spacing w:line="540" w:lineRule="exact"/>
        <w:ind w:firstLine="620" w:firstLineChars="200"/>
        <w:contextualSpacing/>
        <w:jc w:val="left"/>
        <w:textAlignment w:val="auto"/>
        <w:rPr>
          <w:rFonts w:hint="eastAsia" w:ascii="仿宋_GB2312" w:hAnsi="宋体" w:eastAsia="仿宋_GB2312" w:cs="仿宋_GB2312"/>
          <w:color w:val="000000"/>
          <w:kern w:val="0"/>
          <w:sz w:val="31"/>
          <w:szCs w:val="31"/>
          <w:lang w:val="zh-CN" w:eastAsia="zh-CN" w:bidi="ar"/>
        </w:rPr>
      </w:pPr>
      <w:r>
        <w:rPr>
          <w:rFonts w:hint="eastAsia" w:ascii="仿宋_GB2312" w:hAnsi="宋体" w:eastAsia="仿宋_GB2312" w:cs="仿宋_GB2312"/>
          <w:color w:val="000000"/>
          <w:kern w:val="0"/>
          <w:sz w:val="31"/>
          <w:szCs w:val="31"/>
          <w:lang w:val="zh-CN" w:eastAsia="zh-CN" w:bidi="ar"/>
        </w:rPr>
        <w:t>4.政协经济科技委。</w:t>
      </w:r>
    </w:p>
    <w:p>
      <w:pPr>
        <w:keepNext w:val="0"/>
        <w:keepLines w:val="0"/>
        <w:pageBreakBefore w:val="0"/>
        <w:widowControl/>
        <w:kinsoku/>
        <w:wordWrap/>
        <w:overflowPunct/>
        <w:topLinePunct w:val="0"/>
        <w:autoSpaceDE/>
        <w:autoSpaceDN/>
        <w:bidi w:val="0"/>
        <w:spacing w:line="540" w:lineRule="exact"/>
        <w:ind w:firstLine="620" w:firstLineChars="200"/>
        <w:contextualSpacing/>
        <w:jc w:val="left"/>
        <w:textAlignment w:val="auto"/>
        <w:rPr>
          <w:rFonts w:hint="eastAsia" w:ascii="仿宋_GB2312" w:hAnsi="宋体" w:eastAsia="仿宋_GB2312" w:cs="仿宋_GB2312"/>
          <w:color w:val="000000"/>
          <w:kern w:val="0"/>
          <w:sz w:val="31"/>
          <w:szCs w:val="31"/>
          <w:lang w:val="zh-CN" w:eastAsia="zh-CN" w:bidi="ar"/>
        </w:rPr>
      </w:pPr>
      <w:r>
        <w:rPr>
          <w:rFonts w:hint="eastAsia" w:ascii="仿宋_GB2312" w:hAnsi="宋体" w:eastAsia="仿宋_GB2312" w:cs="仿宋_GB2312"/>
          <w:color w:val="000000"/>
          <w:kern w:val="0"/>
          <w:sz w:val="31"/>
          <w:szCs w:val="31"/>
          <w:lang w:val="zh-CN" w:eastAsia="zh-CN" w:bidi="ar"/>
        </w:rPr>
        <w:t>5.政协文教卫史委。</w:t>
      </w:r>
    </w:p>
    <w:p>
      <w:pPr>
        <w:pStyle w:val="16"/>
        <w:widowControl/>
        <w:ind w:firstLine="640" w:firstLineChars="200"/>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firstLine="622" w:firstLineChars="200"/>
        <w:contextualSpacing/>
        <w:jc w:val="left"/>
        <w:textAlignment w:val="auto"/>
        <w:rPr>
          <w:rFonts w:hint="eastAsia" w:ascii="仿宋_GB2312" w:hAnsi="宋体" w:eastAsia="仿宋_GB2312" w:cs="仿宋_GB2312"/>
          <w:color w:val="000000"/>
          <w:kern w:val="0"/>
          <w:sz w:val="31"/>
          <w:szCs w:val="31"/>
          <w:lang w:val="zh-CN" w:eastAsia="zh-CN" w:bidi="ar"/>
        </w:rPr>
      </w:pPr>
      <w:r>
        <w:rPr>
          <w:rFonts w:hint="default" w:ascii="仿宋_GB2312" w:hAnsi="Times New Roman" w:eastAsia="仿宋_GB2312" w:cs="仿宋_GB2312"/>
          <w:b/>
          <w:bCs/>
          <w:color w:val="000000"/>
          <w:sz w:val="31"/>
          <w:szCs w:val="31"/>
          <w:lang w:val="zh-CN"/>
        </w:rPr>
        <w:t>（二）机构职能</w:t>
      </w:r>
      <w:r>
        <w:rPr>
          <w:rFonts w:hint="eastAsia" w:ascii="仿宋_GB2312" w:hAnsi="Times New Roman" w:eastAsia="仿宋_GB2312" w:cs="仿宋_GB2312"/>
          <w:b/>
          <w:bCs/>
          <w:color w:val="000000"/>
          <w:sz w:val="31"/>
          <w:szCs w:val="31"/>
          <w:lang w:val="zh-CN"/>
        </w:rPr>
        <w:t>：</w:t>
      </w:r>
      <w:r>
        <w:rPr>
          <w:rFonts w:hint="eastAsia" w:ascii="仿宋_GB2312" w:hAnsi="宋体" w:eastAsia="仿宋_GB2312" w:cs="仿宋_GB2312"/>
          <w:color w:val="000000"/>
          <w:kern w:val="0"/>
          <w:sz w:val="31"/>
          <w:szCs w:val="31"/>
          <w:lang w:val="zh-CN" w:eastAsia="zh-CN" w:bidi="ar"/>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widowControl/>
        <w:adjustRightInd w:val="0"/>
        <w:snapToGrid w:val="0"/>
        <w:spacing w:line="480" w:lineRule="exact"/>
        <w:ind w:firstLine="316" w:firstLineChars="150"/>
        <w:jc w:val="left"/>
        <w:rPr>
          <w:rFonts w:hint="default" w:ascii="Times New Roman" w:hAnsi="Times New Roman" w:eastAsia="楷体_GB2312" w:cs="Times New Roman"/>
          <w:b/>
          <w:bCs/>
          <w:color w:val="000000"/>
          <w:kern w:val="0"/>
          <w:szCs w:val="32"/>
          <w:highlight w:val="none"/>
          <w:shd w:val="clear" w:color="auto" w:fill="FFFFFF"/>
          <w:lang w:val="zh-CN"/>
        </w:rPr>
      </w:pPr>
    </w:p>
    <w:p>
      <w:pPr>
        <w:keepNext w:val="0"/>
        <w:keepLines w:val="0"/>
        <w:pageBreakBefore w:val="0"/>
        <w:widowControl/>
        <w:kinsoku/>
        <w:wordWrap/>
        <w:overflowPunct/>
        <w:topLinePunct w:val="0"/>
        <w:autoSpaceDE/>
        <w:autoSpaceDN/>
        <w:bidi w:val="0"/>
        <w:spacing w:line="540" w:lineRule="exact"/>
        <w:ind w:firstLine="422" w:firstLineChars="200"/>
        <w:contextualSpacing/>
        <w:jc w:val="left"/>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ascii="仿宋_GB2312" w:hAnsi="Times New Roman" w:eastAsia="仿宋_GB2312" w:cs="仿宋_GB2312"/>
          <w:b/>
          <w:bCs/>
          <w:color w:val="000000"/>
          <w:sz w:val="31"/>
          <w:szCs w:val="31"/>
          <w:lang w:val="zh-CN"/>
        </w:rPr>
        <w:t>三</w:t>
      </w:r>
      <w:r>
        <w:rPr>
          <w:rFonts w:hint="default" w:ascii="仿宋_GB2312" w:hAnsi="Times New Roman" w:eastAsia="仿宋_GB2312" w:cs="仿宋_GB2312"/>
          <w:b/>
          <w:bCs/>
          <w:color w:val="000000"/>
          <w:sz w:val="31"/>
          <w:szCs w:val="31"/>
          <w:lang w:val="zh-CN"/>
        </w:rPr>
        <w:t>）人员概况</w:t>
      </w:r>
      <w:r>
        <w:rPr>
          <w:rFonts w:hint="eastAsia" w:ascii="仿宋_GB2312" w:hAnsi="Times New Roman" w:eastAsia="仿宋_GB2312" w:cs="仿宋_GB2312"/>
          <w:b/>
          <w:bCs/>
          <w:color w:val="000000"/>
          <w:sz w:val="31"/>
          <w:szCs w:val="31"/>
          <w:lang w:val="zh-CN"/>
        </w:rPr>
        <w:t>。</w:t>
      </w:r>
      <w:r>
        <w:rPr>
          <w:rFonts w:hint="eastAsia" w:ascii="仿宋_GB2312" w:hAnsi="宋体" w:cs="仿宋_GB2312"/>
          <w:color w:val="000000"/>
          <w:kern w:val="0"/>
          <w:sz w:val="31"/>
          <w:szCs w:val="31"/>
          <w:lang w:val="en-US" w:eastAsia="zh-CN" w:bidi="ar"/>
        </w:rPr>
        <w:t>2024年末，政协办公室共有22人，遗属5人。政协办公室共有编制22人，其中：行政编制17人，工勤编制4人，事业编制1人。</w:t>
      </w:r>
    </w:p>
    <w:p>
      <w:pPr>
        <w:keepNext w:val="0"/>
        <w:keepLines w:val="0"/>
        <w:pageBreakBefore w:val="0"/>
        <w:widowControl/>
        <w:kinsoku/>
        <w:wordWrap/>
        <w:overflowPunct/>
        <w:topLinePunct w:val="0"/>
        <w:autoSpaceDE/>
        <w:autoSpaceDN/>
        <w:bidi w:val="0"/>
        <w:spacing w:line="540" w:lineRule="exact"/>
        <w:ind w:firstLine="622" w:firstLineChars="200"/>
        <w:contextualSpacing/>
        <w:jc w:val="left"/>
        <w:textAlignment w:val="auto"/>
        <w:rPr>
          <w:rFonts w:hint="default" w:ascii="仿宋_GB2312" w:hAnsi="Times New Roman" w:eastAsia="仿宋_GB2312" w:cs="仿宋_GB2312"/>
          <w:b/>
          <w:bCs/>
          <w:color w:val="000000"/>
          <w:sz w:val="31"/>
          <w:szCs w:val="31"/>
          <w:lang w:val="zh-CN"/>
        </w:rPr>
      </w:pPr>
      <w:r>
        <w:rPr>
          <w:rFonts w:hint="default" w:ascii="仿宋_GB2312" w:hAnsi="Times New Roman" w:eastAsia="仿宋_GB2312" w:cs="仿宋_GB2312"/>
          <w:b/>
          <w:bCs/>
          <w:color w:val="000000"/>
          <w:sz w:val="31"/>
          <w:szCs w:val="31"/>
          <w:lang w:val="zh-CN"/>
        </w:rPr>
        <w:t>二、</w:t>
      </w:r>
      <w:r>
        <w:rPr>
          <w:rFonts w:hint="default" w:ascii="仿宋_GB2312" w:hAnsi="Times New Roman" w:eastAsia="仿宋_GB2312" w:cs="仿宋_GB2312"/>
          <w:b/>
          <w:bCs/>
          <w:color w:val="000000"/>
          <w:sz w:val="31"/>
          <w:szCs w:val="31"/>
          <w:lang w:val="zh-CN" w:eastAsia="zh-CN"/>
        </w:rPr>
        <w:t>部门</w:t>
      </w:r>
      <w:r>
        <w:rPr>
          <w:rFonts w:hint="default" w:ascii="仿宋_GB2312" w:hAnsi="Times New Roman" w:eastAsia="仿宋_GB2312" w:cs="仿宋_GB2312"/>
          <w:b/>
          <w:bCs/>
          <w:color w:val="000000"/>
          <w:sz w:val="31"/>
          <w:szCs w:val="31"/>
          <w:lang w:val="zh-CN"/>
        </w:rPr>
        <w:t>资金收支情况</w:t>
      </w:r>
    </w:p>
    <w:p>
      <w:pPr>
        <w:keepNext w:val="0"/>
        <w:keepLines w:val="0"/>
        <w:pageBreakBefore w:val="0"/>
        <w:widowControl/>
        <w:kinsoku/>
        <w:wordWrap/>
        <w:overflowPunct/>
        <w:topLinePunct w:val="0"/>
        <w:autoSpaceDE/>
        <w:autoSpaceDN/>
        <w:bidi w:val="0"/>
        <w:adjustRightInd/>
        <w:snapToGrid/>
        <w:spacing w:line="540" w:lineRule="exact"/>
        <w:ind w:firstLine="622" w:firstLineChars="200"/>
        <w:contextualSpacing/>
        <w:jc w:val="lef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Times New Roman" w:eastAsia="仿宋_GB2312" w:cs="仿宋_GB2312"/>
          <w:b/>
          <w:bCs/>
          <w:color w:val="000000"/>
          <w:sz w:val="31"/>
          <w:szCs w:val="31"/>
          <w:lang w:val="zh-CN"/>
        </w:rPr>
        <w:t>（一）</w:t>
      </w:r>
      <w:r>
        <w:rPr>
          <w:rFonts w:hint="eastAsia" w:ascii="仿宋_GB2312" w:hAnsi="Times New Roman" w:eastAsia="仿宋_GB2312" w:cs="仿宋_GB2312"/>
          <w:b/>
          <w:bCs/>
          <w:color w:val="000000"/>
          <w:sz w:val="31"/>
          <w:szCs w:val="31"/>
          <w:lang w:val="zh-CN"/>
        </w:rPr>
        <w:t>收入情况</w:t>
      </w: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cs="Times New Roman"/>
          <w:szCs w:val="32"/>
          <w:lang w:val="en-US" w:eastAsia="zh-CN"/>
        </w:rPr>
        <w:t>2</w:t>
      </w:r>
      <w:r>
        <w:rPr>
          <w:rFonts w:hint="eastAsia" w:ascii="仿宋_GB2312" w:hAnsi="宋体" w:eastAsia="仿宋_GB2312" w:cs="仿宋_GB2312"/>
          <w:color w:val="000000"/>
          <w:kern w:val="0"/>
          <w:sz w:val="31"/>
          <w:szCs w:val="31"/>
          <w:lang w:val="en-US" w:eastAsia="zh-CN" w:bidi="ar"/>
        </w:rPr>
        <w:t>024年年初预算收入990.03万元、决算收入1074.7万元。</w:t>
      </w:r>
    </w:p>
    <w:p>
      <w:pPr>
        <w:keepNext w:val="0"/>
        <w:keepLines w:val="0"/>
        <w:pageBreakBefore w:val="0"/>
        <w:widowControl/>
        <w:kinsoku/>
        <w:wordWrap/>
        <w:overflowPunct/>
        <w:topLinePunct w:val="0"/>
        <w:autoSpaceDE/>
        <w:autoSpaceDN/>
        <w:bidi w:val="0"/>
        <w:adjustRightInd/>
        <w:snapToGrid/>
        <w:spacing w:line="540" w:lineRule="exact"/>
        <w:ind w:firstLine="620" w:firstLineChars="200"/>
        <w:contextualSpacing/>
        <w:jc w:val="left"/>
        <w:textAlignment w:val="auto"/>
        <w:rPr>
          <w:rFonts w:hint="default" w:ascii="仿宋_GB2312" w:hAnsi="宋体" w:eastAsia="仿宋_GB2312" w:cs="仿宋_GB2312"/>
          <w:color w:val="000000"/>
          <w:kern w:val="0"/>
          <w:sz w:val="31"/>
          <w:szCs w:val="31"/>
          <w:lang w:val="zh-CN" w:eastAsia="zh-CN" w:bidi="ar"/>
        </w:rPr>
      </w:pPr>
      <w:r>
        <w:rPr>
          <w:rFonts w:hint="default" w:ascii="仿宋_GB2312" w:hAnsi="宋体" w:eastAsia="仿宋_GB2312" w:cs="仿宋_GB2312"/>
          <w:color w:val="000000"/>
          <w:kern w:val="0"/>
          <w:sz w:val="31"/>
          <w:szCs w:val="31"/>
          <w:lang w:val="zh-CN" w:eastAsia="zh-CN" w:bidi="ar"/>
        </w:rPr>
        <w:t>（</w:t>
      </w:r>
      <w:r>
        <w:rPr>
          <w:rFonts w:hint="eastAsia" w:ascii="仿宋_GB2312" w:hAnsi="宋体" w:eastAsia="仿宋_GB2312" w:cs="仿宋_GB2312"/>
          <w:color w:val="000000"/>
          <w:kern w:val="0"/>
          <w:sz w:val="31"/>
          <w:szCs w:val="31"/>
          <w:lang w:val="zh-CN" w:eastAsia="zh-CN" w:bidi="ar"/>
        </w:rPr>
        <w:t>二</w:t>
      </w:r>
      <w:r>
        <w:rPr>
          <w:rFonts w:hint="default" w:ascii="仿宋_GB2312" w:hAnsi="宋体" w:eastAsia="仿宋_GB2312" w:cs="仿宋_GB2312"/>
          <w:color w:val="000000"/>
          <w:kern w:val="0"/>
          <w:sz w:val="31"/>
          <w:szCs w:val="31"/>
          <w:lang w:val="zh-CN" w:eastAsia="zh-CN" w:bidi="ar"/>
        </w:rPr>
        <w:t>）</w:t>
      </w:r>
      <w:r>
        <w:rPr>
          <w:rFonts w:hint="eastAsia" w:ascii="仿宋_GB2312" w:hAnsi="宋体" w:eastAsia="仿宋_GB2312" w:cs="仿宋_GB2312"/>
          <w:color w:val="000000"/>
          <w:kern w:val="0"/>
          <w:sz w:val="31"/>
          <w:szCs w:val="31"/>
          <w:lang w:val="zh-CN" w:eastAsia="zh-CN" w:bidi="ar"/>
        </w:rPr>
        <w:t>支出情况</w:t>
      </w:r>
      <w:r>
        <w:rPr>
          <w:rFonts w:hint="default" w:ascii="仿宋_GB2312" w:hAnsi="宋体" w:eastAsia="仿宋_GB2312" w:cs="仿宋_GB2312"/>
          <w:color w:val="000000"/>
          <w:kern w:val="0"/>
          <w:sz w:val="31"/>
          <w:szCs w:val="31"/>
          <w:lang w:val="zh-CN" w:eastAsia="zh-CN" w:bidi="ar"/>
        </w:rPr>
        <w:t>。</w:t>
      </w:r>
      <w:r>
        <w:rPr>
          <w:rFonts w:hint="eastAsia" w:ascii="仿宋_GB2312" w:hAnsi="宋体" w:eastAsia="仿宋_GB2312" w:cs="仿宋_GB2312"/>
          <w:color w:val="000000"/>
          <w:kern w:val="0"/>
          <w:sz w:val="31"/>
          <w:szCs w:val="31"/>
          <w:lang w:val="en-US" w:eastAsia="zh-CN" w:bidi="ar"/>
        </w:rPr>
        <w:t>2024年年初预算收支出990.03万元、决算支出1074.7万元。</w:t>
      </w:r>
    </w:p>
    <w:p>
      <w:pPr>
        <w:keepNext w:val="0"/>
        <w:keepLines w:val="0"/>
        <w:pageBreakBefore w:val="0"/>
        <w:widowControl/>
        <w:kinsoku/>
        <w:wordWrap/>
        <w:overflowPunct/>
        <w:topLinePunct w:val="0"/>
        <w:autoSpaceDE/>
        <w:autoSpaceDN/>
        <w:bidi w:val="0"/>
        <w:adjustRightInd/>
        <w:snapToGrid/>
        <w:spacing w:line="540" w:lineRule="exact"/>
        <w:ind w:firstLine="620" w:firstLineChars="200"/>
        <w:contextualSpacing/>
        <w:jc w:val="left"/>
        <w:textAlignment w:val="auto"/>
        <w:rPr>
          <w:rFonts w:hint="default" w:ascii="仿宋_GB2312" w:hAnsi="宋体" w:eastAsia="仿宋_GB2312" w:cs="仿宋_GB2312"/>
          <w:color w:val="000000"/>
          <w:kern w:val="0"/>
          <w:sz w:val="31"/>
          <w:szCs w:val="31"/>
          <w:lang w:val="zh-CN" w:eastAsia="zh-CN" w:bidi="ar"/>
        </w:rPr>
      </w:pPr>
      <w:r>
        <w:rPr>
          <w:rFonts w:hint="default" w:ascii="仿宋_GB2312" w:hAnsi="宋体" w:eastAsia="仿宋_GB2312" w:cs="仿宋_GB2312"/>
          <w:color w:val="000000"/>
          <w:kern w:val="0"/>
          <w:sz w:val="31"/>
          <w:szCs w:val="31"/>
          <w:lang w:val="zh-CN" w:eastAsia="zh-CN" w:bidi="ar"/>
        </w:rPr>
        <w:t>（</w:t>
      </w:r>
      <w:r>
        <w:rPr>
          <w:rFonts w:hint="eastAsia" w:ascii="仿宋_GB2312" w:hAnsi="宋体" w:eastAsia="仿宋_GB2312" w:cs="仿宋_GB2312"/>
          <w:color w:val="000000"/>
          <w:kern w:val="0"/>
          <w:sz w:val="31"/>
          <w:szCs w:val="31"/>
          <w:lang w:val="zh-CN" w:eastAsia="zh-CN" w:bidi="ar"/>
        </w:rPr>
        <w:t>三</w:t>
      </w:r>
      <w:r>
        <w:rPr>
          <w:rFonts w:hint="default" w:ascii="仿宋_GB2312" w:hAnsi="宋体" w:eastAsia="仿宋_GB2312" w:cs="仿宋_GB2312"/>
          <w:color w:val="000000"/>
          <w:kern w:val="0"/>
          <w:sz w:val="31"/>
          <w:szCs w:val="31"/>
          <w:lang w:val="zh-CN" w:eastAsia="zh-CN" w:bidi="ar"/>
        </w:rPr>
        <w:t>）结余分配和结转结余情况</w:t>
      </w:r>
      <w:r>
        <w:rPr>
          <w:rFonts w:hint="eastAsia" w:ascii="仿宋_GB2312" w:hAnsi="宋体" w:eastAsia="仿宋_GB2312" w:cs="仿宋_GB2312"/>
          <w:color w:val="000000"/>
          <w:kern w:val="0"/>
          <w:sz w:val="31"/>
          <w:szCs w:val="31"/>
          <w:lang w:val="zh-CN" w:eastAsia="zh-CN" w:bidi="ar"/>
        </w:rPr>
        <w:t>。</w:t>
      </w:r>
      <w:r>
        <w:rPr>
          <w:rFonts w:hint="eastAsia" w:ascii="仿宋_GB2312" w:hAnsi="宋体" w:eastAsia="仿宋_GB2312" w:cs="仿宋_GB2312"/>
          <w:color w:val="000000"/>
          <w:kern w:val="0"/>
          <w:sz w:val="31"/>
          <w:szCs w:val="31"/>
          <w:lang w:val="en-US" w:eastAsia="zh-CN" w:bidi="ar"/>
        </w:rPr>
        <w:t>2024年决算</w:t>
      </w:r>
      <w:r>
        <w:rPr>
          <w:rFonts w:hint="default" w:ascii="仿宋_GB2312" w:hAnsi="宋体" w:eastAsia="仿宋_GB2312" w:cs="仿宋_GB2312"/>
          <w:color w:val="000000"/>
          <w:kern w:val="0"/>
          <w:sz w:val="31"/>
          <w:szCs w:val="31"/>
          <w:lang w:val="en-US" w:eastAsia="zh-CN" w:bidi="ar"/>
        </w:rPr>
        <w:t>结转结余</w:t>
      </w:r>
      <w:r>
        <w:rPr>
          <w:rFonts w:hint="eastAsia" w:ascii="仿宋_GB2312" w:hAnsi="宋体" w:eastAsia="仿宋_GB2312" w:cs="仿宋_GB2312"/>
          <w:color w:val="000000"/>
          <w:kern w:val="0"/>
          <w:sz w:val="31"/>
          <w:szCs w:val="31"/>
          <w:lang w:val="en-US" w:eastAsia="zh-CN" w:bidi="ar"/>
        </w:rPr>
        <w:t>0万元</w:t>
      </w:r>
      <w:r>
        <w:rPr>
          <w:rFonts w:hint="default" w:ascii="仿宋_GB2312" w:hAnsi="宋体" w:eastAsia="仿宋_GB2312" w:cs="仿宋_GB2312"/>
          <w:color w:val="000000"/>
          <w:kern w:val="0"/>
          <w:sz w:val="31"/>
          <w:szCs w:val="31"/>
          <w:lang w:val="en-US" w:eastAsia="zh-CN" w:bidi="ar"/>
        </w:rPr>
        <w:t>。</w:t>
      </w:r>
    </w:p>
    <w:p>
      <w:pPr>
        <w:keepNext w:val="0"/>
        <w:keepLines w:val="0"/>
        <w:pageBreakBefore w:val="0"/>
        <w:widowControl/>
        <w:kinsoku/>
        <w:wordWrap/>
        <w:overflowPunct/>
        <w:topLinePunct w:val="0"/>
        <w:autoSpaceDE/>
        <w:autoSpaceDN/>
        <w:bidi w:val="0"/>
        <w:adjustRightInd/>
        <w:snapToGrid/>
        <w:spacing w:line="540" w:lineRule="exact"/>
        <w:ind w:firstLine="622" w:firstLineChars="200"/>
        <w:contextualSpacing/>
        <w:jc w:val="left"/>
        <w:textAlignment w:val="auto"/>
        <w:rPr>
          <w:rFonts w:hint="default" w:ascii="仿宋_GB2312" w:hAnsi="Times New Roman" w:eastAsia="仿宋_GB2312" w:cs="仿宋_GB2312"/>
          <w:b/>
          <w:bCs/>
          <w:color w:val="000000"/>
          <w:sz w:val="31"/>
          <w:szCs w:val="31"/>
          <w:lang w:val="zh-CN" w:eastAsia="zh-CN"/>
        </w:rPr>
      </w:pPr>
      <w:r>
        <w:rPr>
          <w:rFonts w:hint="default" w:ascii="仿宋_GB2312" w:hAnsi="Times New Roman" w:eastAsia="仿宋_GB2312" w:cs="仿宋_GB2312"/>
          <w:b/>
          <w:bCs/>
          <w:color w:val="000000"/>
          <w:sz w:val="31"/>
          <w:szCs w:val="31"/>
          <w:lang w:val="zh-CN" w:eastAsia="zh-CN"/>
        </w:rPr>
        <w:t>三、部门预算绩效分析</w:t>
      </w:r>
    </w:p>
    <w:p>
      <w:pPr>
        <w:keepNext w:val="0"/>
        <w:keepLines w:val="0"/>
        <w:pageBreakBefore w:val="0"/>
        <w:widowControl/>
        <w:kinsoku/>
        <w:wordWrap/>
        <w:overflowPunct/>
        <w:topLinePunct w:val="0"/>
        <w:autoSpaceDE/>
        <w:autoSpaceDN/>
        <w:bidi w:val="0"/>
        <w:adjustRightInd/>
        <w:snapToGrid/>
        <w:spacing w:line="540" w:lineRule="exact"/>
        <w:ind w:firstLine="622" w:firstLineChars="200"/>
        <w:contextualSpacing/>
        <w:jc w:val="left"/>
        <w:textAlignment w:val="auto"/>
        <w:rPr>
          <w:rFonts w:hint="default" w:ascii="仿宋_GB2312" w:hAnsi="Times New Roman" w:eastAsia="仿宋_GB2312" w:cs="仿宋_GB2312"/>
          <w:b/>
          <w:bCs/>
          <w:color w:val="000000"/>
          <w:sz w:val="31"/>
          <w:szCs w:val="31"/>
          <w:lang w:val="zh-CN" w:eastAsia="zh-CN"/>
        </w:rPr>
      </w:pPr>
      <w:r>
        <w:rPr>
          <w:rFonts w:hint="default" w:ascii="仿宋_GB2312" w:hAnsi="Times New Roman" w:eastAsia="仿宋_GB2312" w:cs="仿宋_GB2312"/>
          <w:b/>
          <w:bCs/>
          <w:color w:val="000000"/>
          <w:sz w:val="31"/>
          <w:szCs w:val="31"/>
          <w:lang w:val="zh-CN" w:eastAsia="zh-CN"/>
        </w:rPr>
        <w:t>（一）</w:t>
      </w:r>
      <w:r>
        <w:rPr>
          <w:rFonts w:hint="eastAsia" w:ascii="仿宋_GB2312" w:hAnsi="Times New Roman" w:eastAsia="仿宋_GB2312" w:cs="仿宋_GB2312"/>
          <w:b/>
          <w:bCs/>
          <w:color w:val="000000"/>
          <w:sz w:val="31"/>
          <w:szCs w:val="31"/>
          <w:lang w:val="zh-CN" w:eastAsia="zh-CN"/>
        </w:rPr>
        <w:t>部门预算</w:t>
      </w:r>
      <w:r>
        <w:rPr>
          <w:rFonts w:hint="default" w:ascii="仿宋_GB2312" w:hAnsi="Times New Roman" w:eastAsia="仿宋_GB2312" w:cs="仿宋_GB2312"/>
          <w:b/>
          <w:bCs/>
          <w:color w:val="000000"/>
          <w:sz w:val="31"/>
          <w:szCs w:val="31"/>
          <w:lang w:val="zh-CN" w:eastAsia="zh-CN"/>
        </w:rPr>
        <w:t>总体绩效分析。</w:t>
      </w:r>
    </w:p>
    <w:p>
      <w:pPr>
        <w:keepNext w:val="0"/>
        <w:keepLines w:val="0"/>
        <w:pageBreakBefore w:val="0"/>
        <w:widowControl/>
        <w:kinsoku/>
        <w:wordWrap/>
        <w:overflowPunct/>
        <w:topLinePunct w:val="0"/>
        <w:autoSpaceDE/>
        <w:autoSpaceDN/>
        <w:bidi w:val="0"/>
        <w:adjustRightInd/>
        <w:snapToGrid/>
        <w:spacing w:line="540" w:lineRule="exact"/>
        <w:ind w:firstLine="620" w:firstLineChars="200"/>
        <w:contextualSpacing/>
        <w:jc w:val="left"/>
        <w:textAlignment w:val="auto"/>
        <w:rPr>
          <w:rFonts w:hint="eastAsia" w:ascii="仿宋_GB2312" w:hAnsi="宋体" w:cs="仿宋_GB2312"/>
          <w:color w:val="000000"/>
          <w:kern w:val="0"/>
          <w:sz w:val="31"/>
          <w:szCs w:val="31"/>
          <w:lang w:val="en-US" w:eastAsia="zh-CN" w:bidi="ar"/>
        </w:rPr>
      </w:pPr>
      <w:r>
        <w:rPr>
          <w:rFonts w:hint="default" w:ascii="仿宋_GB2312" w:hAnsi="宋体" w:cs="仿宋_GB2312"/>
          <w:color w:val="000000"/>
          <w:kern w:val="0"/>
          <w:sz w:val="31"/>
          <w:szCs w:val="31"/>
          <w:lang w:val="en-US" w:eastAsia="zh-CN" w:bidi="ar"/>
        </w:rPr>
        <w:t>我单位对本部门实施了整体支出绩效评价，按照要求向金川县财政局按时报送自评报告，财政资金支出主要用于保障本部门机构正常运转、更好完成各项日常工作</w:t>
      </w:r>
      <w:r>
        <w:rPr>
          <w:rFonts w:hint="eastAsia" w:ascii="仿宋_GB2312" w:hAnsi="宋体" w:cs="仿宋_GB2312"/>
          <w:color w:val="000000"/>
          <w:kern w:val="0"/>
          <w:sz w:val="31"/>
          <w:szCs w:val="31"/>
          <w:lang w:val="en-US" w:eastAsia="zh-CN" w:bidi="ar"/>
        </w:rPr>
        <w:t>。</w:t>
      </w:r>
    </w:p>
    <w:p>
      <w:pPr>
        <w:keepNext w:val="0"/>
        <w:keepLines w:val="0"/>
        <w:pageBreakBefore w:val="0"/>
        <w:widowControl/>
        <w:kinsoku/>
        <w:wordWrap/>
        <w:overflowPunct/>
        <w:topLinePunct w:val="0"/>
        <w:autoSpaceDE/>
        <w:autoSpaceDN/>
        <w:bidi w:val="0"/>
        <w:spacing w:line="540" w:lineRule="exact"/>
        <w:ind w:firstLine="622" w:firstLineChars="200"/>
        <w:contextualSpacing/>
        <w:jc w:val="left"/>
        <w:textAlignment w:val="auto"/>
        <w:rPr>
          <w:rFonts w:hint="default" w:ascii="仿宋_GB2312" w:hAnsi="Times New Roman" w:eastAsia="仿宋_GB2312" w:cs="仿宋_GB2312"/>
          <w:b/>
          <w:bCs/>
          <w:color w:val="000000"/>
          <w:sz w:val="31"/>
          <w:szCs w:val="31"/>
          <w:lang w:val="en-US" w:eastAsia="zh-CN"/>
        </w:rPr>
      </w:pPr>
      <w:r>
        <w:rPr>
          <w:rFonts w:hint="default" w:ascii="仿宋_GB2312" w:hAnsi="Times New Roman" w:eastAsia="仿宋_GB2312" w:cs="仿宋_GB2312"/>
          <w:b/>
          <w:bCs/>
          <w:color w:val="000000"/>
          <w:sz w:val="31"/>
          <w:szCs w:val="31"/>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default" w:ascii="仿宋_GB2312" w:hAnsi="宋体" w:cs="仿宋_GB2312"/>
          <w:color w:val="000000"/>
          <w:kern w:val="0"/>
          <w:sz w:val="31"/>
          <w:szCs w:val="31"/>
          <w:lang w:val="zh-CN" w:eastAsia="zh-CN" w:bidi="ar"/>
        </w:rPr>
      </w:pPr>
      <w:r>
        <w:rPr>
          <w:rFonts w:hint="default" w:ascii="仿宋_GB2312" w:hAnsi="宋体" w:cs="仿宋_GB2312"/>
          <w:color w:val="000000"/>
          <w:kern w:val="0"/>
          <w:sz w:val="31"/>
          <w:szCs w:val="31"/>
          <w:lang w:val="en-US" w:eastAsia="zh-CN" w:bidi="ar"/>
        </w:rPr>
        <w:t>常年项目绩效分析。</w:t>
      </w:r>
      <w:r>
        <w:rPr>
          <w:rFonts w:hint="default" w:ascii="仿宋_GB2312" w:hAnsi="宋体" w:cs="仿宋_GB2312"/>
          <w:color w:val="000000"/>
          <w:kern w:val="0"/>
          <w:sz w:val="31"/>
          <w:szCs w:val="31"/>
          <w:lang w:val="zh-CN" w:eastAsia="zh-CN" w:bidi="ar"/>
        </w:rPr>
        <w:t>该类项目总数</w:t>
      </w:r>
      <w:r>
        <w:rPr>
          <w:rFonts w:hint="eastAsia" w:ascii="仿宋_GB2312" w:hAnsi="宋体" w:cs="仿宋_GB2312"/>
          <w:color w:val="000000"/>
          <w:kern w:val="0"/>
          <w:sz w:val="31"/>
          <w:szCs w:val="31"/>
          <w:lang w:val="en-US" w:eastAsia="zh-CN" w:bidi="ar"/>
        </w:rPr>
        <w:t>2</w:t>
      </w:r>
      <w:r>
        <w:rPr>
          <w:rFonts w:hint="default" w:ascii="仿宋_GB2312" w:hAnsi="宋体" w:cs="仿宋_GB2312"/>
          <w:color w:val="000000"/>
          <w:kern w:val="0"/>
          <w:sz w:val="31"/>
          <w:szCs w:val="31"/>
          <w:lang w:val="zh-CN" w:eastAsia="zh-CN" w:bidi="ar"/>
        </w:rPr>
        <w:t>个，涉及预算总金额</w:t>
      </w:r>
      <w:r>
        <w:rPr>
          <w:rFonts w:hint="eastAsia" w:ascii="仿宋_GB2312" w:hAnsi="宋体" w:cs="仿宋_GB2312"/>
          <w:color w:val="000000"/>
          <w:kern w:val="0"/>
          <w:sz w:val="31"/>
          <w:szCs w:val="31"/>
          <w:lang w:val="zh-CN" w:eastAsia="zh-CN" w:bidi="ar"/>
        </w:rPr>
        <w:t>为</w:t>
      </w:r>
      <w:r>
        <w:rPr>
          <w:rFonts w:hint="eastAsia" w:ascii="仿宋_GB2312" w:hAnsi="宋体" w:cs="仿宋_GB2312"/>
          <w:color w:val="000000"/>
          <w:kern w:val="0"/>
          <w:sz w:val="31"/>
          <w:szCs w:val="31"/>
          <w:lang w:val="en-US" w:eastAsia="zh-CN" w:bidi="ar"/>
        </w:rPr>
        <w:t>10.05</w:t>
      </w:r>
      <w:r>
        <w:rPr>
          <w:rFonts w:hint="default" w:ascii="仿宋_GB2312" w:hAnsi="宋体" w:cs="仿宋_GB2312"/>
          <w:color w:val="000000"/>
          <w:kern w:val="0"/>
          <w:sz w:val="31"/>
          <w:szCs w:val="31"/>
          <w:lang w:val="zh-CN" w:eastAsia="zh-CN" w:bidi="ar"/>
        </w:rPr>
        <w:t>万元，1</w:t>
      </w:r>
      <w:r>
        <w:rPr>
          <w:rFonts w:hint="eastAsia" w:ascii="仿宋_GB2312" w:hAnsi="宋体" w:cs="仿宋_GB2312"/>
          <w:color w:val="000000"/>
          <w:kern w:val="0"/>
          <w:sz w:val="31"/>
          <w:szCs w:val="31"/>
          <w:lang w:val="zh-CN" w:eastAsia="zh-CN" w:bidi="ar"/>
        </w:rPr>
        <w:t>—</w:t>
      </w:r>
      <w:r>
        <w:rPr>
          <w:rFonts w:hint="default" w:ascii="仿宋_GB2312" w:hAnsi="宋体" w:cs="仿宋_GB2312"/>
          <w:color w:val="000000"/>
          <w:kern w:val="0"/>
          <w:sz w:val="31"/>
          <w:szCs w:val="31"/>
          <w:lang w:val="zh-CN" w:eastAsia="zh-CN" w:bidi="ar"/>
        </w:rPr>
        <w:t>1</w:t>
      </w:r>
      <w:r>
        <w:rPr>
          <w:rFonts w:hint="default" w:ascii="仿宋_GB2312" w:hAnsi="宋体" w:cs="仿宋_GB2312"/>
          <w:color w:val="000000"/>
          <w:kern w:val="0"/>
          <w:sz w:val="31"/>
          <w:szCs w:val="31"/>
          <w:lang w:val="en-US" w:eastAsia="zh-CN" w:bidi="ar"/>
        </w:rPr>
        <w:t>2</w:t>
      </w:r>
      <w:r>
        <w:rPr>
          <w:rFonts w:hint="default" w:ascii="仿宋_GB2312" w:hAnsi="宋体" w:cs="仿宋_GB2312"/>
          <w:color w:val="000000"/>
          <w:kern w:val="0"/>
          <w:sz w:val="31"/>
          <w:szCs w:val="31"/>
          <w:lang w:val="zh-CN" w:eastAsia="zh-CN" w:bidi="ar"/>
        </w:rPr>
        <w:t>月预算执行总体进度为</w:t>
      </w:r>
      <w:r>
        <w:rPr>
          <w:rFonts w:hint="eastAsia" w:ascii="仿宋_GB2312" w:hAnsi="宋体" w:cs="仿宋_GB2312"/>
          <w:color w:val="000000"/>
          <w:kern w:val="0"/>
          <w:sz w:val="31"/>
          <w:szCs w:val="31"/>
          <w:lang w:val="en-US" w:eastAsia="zh-CN" w:bidi="ar"/>
        </w:rPr>
        <w:t>100</w:t>
      </w:r>
      <w:r>
        <w:rPr>
          <w:rFonts w:hint="default" w:ascii="仿宋_GB2312" w:hAnsi="宋体" w:cs="仿宋_GB2312"/>
          <w:color w:val="000000"/>
          <w:kern w:val="0"/>
          <w:sz w:val="31"/>
          <w:szCs w:val="31"/>
          <w:lang w:val="zh-CN" w:eastAsia="zh-CN" w:bidi="ar"/>
        </w:rPr>
        <w:t>%，其中：预算结余率大于</w:t>
      </w:r>
      <w:r>
        <w:rPr>
          <w:rFonts w:hint="default" w:ascii="仿宋_GB2312" w:hAnsi="宋体" w:cs="仿宋_GB2312"/>
          <w:color w:val="000000"/>
          <w:kern w:val="0"/>
          <w:sz w:val="31"/>
          <w:szCs w:val="31"/>
          <w:lang w:val="en-US" w:eastAsia="zh-CN" w:bidi="ar"/>
        </w:rPr>
        <w:t>10%</w:t>
      </w:r>
      <w:r>
        <w:rPr>
          <w:rFonts w:hint="default" w:ascii="仿宋_GB2312" w:hAnsi="宋体" w:cs="仿宋_GB2312"/>
          <w:color w:val="000000"/>
          <w:kern w:val="0"/>
          <w:sz w:val="31"/>
          <w:szCs w:val="31"/>
          <w:lang w:val="zh-CN" w:eastAsia="zh-CN" w:bidi="ar"/>
        </w:rPr>
        <w:t>的项目共计</w:t>
      </w:r>
      <w:r>
        <w:rPr>
          <w:rFonts w:hint="eastAsia" w:ascii="仿宋_GB2312" w:hAnsi="宋体" w:cs="仿宋_GB2312"/>
          <w:color w:val="000000"/>
          <w:kern w:val="0"/>
          <w:sz w:val="31"/>
          <w:szCs w:val="31"/>
          <w:lang w:val="en-US" w:eastAsia="zh-CN" w:bidi="ar"/>
        </w:rPr>
        <w:t>0</w:t>
      </w:r>
      <w:r>
        <w:rPr>
          <w:rFonts w:hint="default" w:ascii="仿宋_GB2312" w:hAnsi="宋体" w:cs="仿宋_GB2312"/>
          <w:color w:val="000000"/>
          <w:kern w:val="0"/>
          <w:sz w:val="31"/>
          <w:szCs w:val="31"/>
          <w:lang w:val="zh-CN" w:eastAsia="zh-CN" w:bidi="ar"/>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default" w:ascii="仿宋_GB2312" w:hAnsi="宋体" w:cs="仿宋_GB2312"/>
          <w:color w:val="000000"/>
          <w:kern w:val="0"/>
          <w:sz w:val="31"/>
          <w:szCs w:val="31"/>
          <w:lang w:val="zh-CN" w:eastAsia="zh-CN" w:bidi="ar"/>
        </w:rPr>
      </w:pPr>
      <w:r>
        <w:rPr>
          <w:rFonts w:hint="default" w:ascii="仿宋_GB2312" w:hAnsi="宋体" w:cs="仿宋_GB2312"/>
          <w:color w:val="000000"/>
          <w:kern w:val="0"/>
          <w:sz w:val="31"/>
          <w:szCs w:val="31"/>
          <w:lang w:val="en-US" w:eastAsia="zh-CN" w:bidi="ar"/>
        </w:rPr>
        <w:t>阶段</w:t>
      </w:r>
      <w:r>
        <w:rPr>
          <w:rFonts w:hint="eastAsia" w:ascii="仿宋_GB2312" w:hAnsi="宋体" w:cs="仿宋_GB2312"/>
          <w:color w:val="000000"/>
          <w:kern w:val="0"/>
          <w:sz w:val="31"/>
          <w:szCs w:val="31"/>
          <w:lang w:val="en-US" w:eastAsia="zh-CN" w:bidi="ar"/>
        </w:rPr>
        <w:t>（</w:t>
      </w:r>
      <w:r>
        <w:rPr>
          <w:rFonts w:hint="default" w:ascii="仿宋_GB2312" w:hAnsi="宋体" w:cs="仿宋_GB2312"/>
          <w:color w:val="000000"/>
          <w:kern w:val="0"/>
          <w:sz w:val="31"/>
          <w:szCs w:val="31"/>
          <w:lang w:val="en-US" w:eastAsia="zh-CN" w:bidi="ar"/>
        </w:rPr>
        <w:t>一次性</w:t>
      </w:r>
      <w:r>
        <w:rPr>
          <w:rFonts w:hint="eastAsia" w:ascii="仿宋_GB2312" w:hAnsi="宋体" w:cs="仿宋_GB2312"/>
          <w:color w:val="000000"/>
          <w:kern w:val="0"/>
          <w:sz w:val="31"/>
          <w:szCs w:val="31"/>
          <w:lang w:val="en-US" w:eastAsia="zh-CN" w:bidi="ar"/>
        </w:rPr>
        <w:t>）</w:t>
      </w:r>
      <w:r>
        <w:rPr>
          <w:rFonts w:hint="default" w:ascii="仿宋_GB2312" w:hAnsi="宋体" w:cs="仿宋_GB2312"/>
          <w:color w:val="000000"/>
          <w:kern w:val="0"/>
          <w:sz w:val="31"/>
          <w:szCs w:val="31"/>
          <w:lang w:val="en-US" w:eastAsia="zh-CN" w:bidi="ar"/>
        </w:rPr>
        <w:t>项目绩效分析。</w:t>
      </w:r>
      <w:r>
        <w:rPr>
          <w:rFonts w:hint="default" w:ascii="仿宋_GB2312" w:hAnsi="宋体" w:cs="仿宋_GB2312"/>
          <w:color w:val="000000"/>
          <w:kern w:val="0"/>
          <w:sz w:val="31"/>
          <w:szCs w:val="31"/>
          <w:lang w:val="zh-CN" w:eastAsia="zh-CN" w:bidi="ar"/>
        </w:rPr>
        <w:t>该类项目总数</w:t>
      </w:r>
      <w:r>
        <w:rPr>
          <w:rFonts w:hint="eastAsia" w:ascii="仿宋_GB2312" w:hAnsi="宋体" w:cs="仿宋_GB2312"/>
          <w:color w:val="000000"/>
          <w:kern w:val="0"/>
          <w:sz w:val="31"/>
          <w:szCs w:val="31"/>
          <w:lang w:val="en-US" w:eastAsia="zh-CN" w:bidi="ar"/>
        </w:rPr>
        <w:t>11</w:t>
      </w:r>
      <w:r>
        <w:rPr>
          <w:rFonts w:hint="default" w:ascii="仿宋_GB2312" w:hAnsi="宋体" w:cs="仿宋_GB2312"/>
          <w:color w:val="000000"/>
          <w:kern w:val="0"/>
          <w:sz w:val="31"/>
          <w:szCs w:val="31"/>
          <w:lang w:val="zh-CN" w:eastAsia="zh-CN" w:bidi="ar"/>
        </w:rPr>
        <w:t>个，涉及预算总金额</w:t>
      </w:r>
      <w:r>
        <w:rPr>
          <w:rFonts w:hint="eastAsia" w:ascii="仿宋_GB2312" w:hAnsi="宋体" w:cs="仿宋_GB2312"/>
          <w:color w:val="000000"/>
          <w:kern w:val="0"/>
          <w:sz w:val="31"/>
          <w:szCs w:val="31"/>
          <w:lang w:val="en-US" w:eastAsia="zh-CN" w:bidi="ar"/>
        </w:rPr>
        <w:t>171.47</w:t>
      </w:r>
      <w:r>
        <w:rPr>
          <w:rFonts w:hint="default" w:ascii="仿宋_GB2312" w:hAnsi="宋体" w:cs="仿宋_GB2312"/>
          <w:color w:val="000000"/>
          <w:kern w:val="0"/>
          <w:sz w:val="31"/>
          <w:szCs w:val="31"/>
          <w:lang w:val="zh-CN" w:eastAsia="zh-CN" w:bidi="ar"/>
        </w:rPr>
        <w:t>万元，1</w:t>
      </w:r>
      <w:r>
        <w:rPr>
          <w:rFonts w:hint="eastAsia" w:ascii="仿宋_GB2312" w:hAnsi="宋体" w:cs="仿宋_GB2312"/>
          <w:color w:val="000000"/>
          <w:kern w:val="0"/>
          <w:sz w:val="31"/>
          <w:szCs w:val="31"/>
          <w:lang w:val="zh-CN" w:eastAsia="zh-CN" w:bidi="ar"/>
        </w:rPr>
        <w:t>—</w:t>
      </w:r>
      <w:r>
        <w:rPr>
          <w:rFonts w:hint="default" w:ascii="仿宋_GB2312" w:hAnsi="宋体" w:cs="仿宋_GB2312"/>
          <w:color w:val="000000"/>
          <w:kern w:val="0"/>
          <w:sz w:val="31"/>
          <w:szCs w:val="31"/>
          <w:lang w:val="zh-CN" w:eastAsia="zh-CN" w:bidi="ar"/>
        </w:rPr>
        <w:t>1</w:t>
      </w:r>
      <w:r>
        <w:rPr>
          <w:rFonts w:hint="default" w:ascii="仿宋_GB2312" w:hAnsi="宋体" w:cs="仿宋_GB2312"/>
          <w:color w:val="000000"/>
          <w:kern w:val="0"/>
          <w:sz w:val="31"/>
          <w:szCs w:val="31"/>
          <w:lang w:val="en-US" w:eastAsia="zh-CN" w:bidi="ar"/>
        </w:rPr>
        <w:t>2</w:t>
      </w:r>
      <w:r>
        <w:rPr>
          <w:rFonts w:hint="default" w:ascii="仿宋_GB2312" w:hAnsi="宋体" w:cs="仿宋_GB2312"/>
          <w:color w:val="000000"/>
          <w:kern w:val="0"/>
          <w:sz w:val="31"/>
          <w:szCs w:val="31"/>
          <w:lang w:val="zh-CN" w:eastAsia="zh-CN" w:bidi="ar"/>
        </w:rPr>
        <w:t>月预算执行总体进度为</w:t>
      </w:r>
      <w:r>
        <w:rPr>
          <w:rFonts w:hint="eastAsia" w:ascii="仿宋_GB2312" w:hAnsi="宋体" w:cs="仿宋_GB2312"/>
          <w:color w:val="000000"/>
          <w:kern w:val="0"/>
          <w:sz w:val="31"/>
          <w:szCs w:val="31"/>
          <w:lang w:val="en-US" w:eastAsia="zh-CN" w:bidi="ar"/>
        </w:rPr>
        <w:t>100</w:t>
      </w:r>
      <w:r>
        <w:rPr>
          <w:rFonts w:hint="default" w:ascii="仿宋_GB2312" w:hAnsi="宋体" w:cs="仿宋_GB2312"/>
          <w:color w:val="000000"/>
          <w:kern w:val="0"/>
          <w:sz w:val="31"/>
          <w:szCs w:val="31"/>
          <w:lang w:val="zh-CN" w:eastAsia="zh-CN" w:bidi="ar"/>
        </w:rPr>
        <w:t>%，其中：预算结余率大于</w:t>
      </w:r>
      <w:r>
        <w:rPr>
          <w:rFonts w:hint="default" w:ascii="仿宋_GB2312" w:hAnsi="宋体" w:cs="仿宋_GB2312"/>
          <w:color w:val="000000"/>
          <w:kern w:val="0"/>
          <w:sz w:val="31"/>
          <w:szCs w:val="31"/>
          <w:lang w:val="en-US" w:eastAsia="zh-CN" w:bidi="ar"/>
        </w:rPr>
        <w:t>10%</w:t>
      </w:r>
      <w:r>
        <w:rPr>
          <w:rFonts w:hint="default" w:ascii="仿宋_GB2312" w:hAnsi="宋体" w:cs="仿宋_GB2312"/>
          <w:color w:val="000000"/>
          <w:kern w:val="0"/>
          <w:sz w:val="31"/>
          <w:szCs w:val="31"/>
          <w:lang w:val="zh-CN" w:eastAsia="zh-CN" w:bidi="ar"/>
        </w:rPr>
        <w:t>的项目共计</w:t>
      </w:r>
      <w:r>
        <w:rPr>
          <w:rFonts w:hint="eastAsia" w:ascii="仿宋_GB2312" w:hAnsi="宋体" w:cs="仿宋_GB2312"/>
          <w:color w:val="000000"/>
          <w:kern w:val="0"/>
          <w:sz w:val="31"/>
          <w:szCs w:val="31"/>
          <w:lang w:val="en-US" w:eastAsia="zh-CN" w:bidi="ar"/>
        </w:rPr>
        <w:t>0</w:t>
      </w:r>
      <w:r>
        <w:rPr>
          <w:rFonts w:hint="default" w:ascii="仿宋_GB2312" w:hAnsi="宋体" w:cs="仿宋_GB2312"/>
          <w:color w:val="000000"/>
          <w:kern w:val="0"/>
          <w:sz w:val="31"/>
          <w:szCs w:val="31"/>
          <w:lang w:val="zh-CN" w:eastAsia="zh-CN" w:bidi="ar"/>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eastAsia" w:ascii="仿宋_GB2312" w:hAnsi="宋体" w:cs="仿宋_GB2312"/>
          <w:color w:val="000000"/>
          <w:kern w:val="0"/>
          <w:sz w:val="31"/>
          <w:szCs w:val="31"/>
          <w:lang w:val="zh-CN" w:eastAsia="zh-CN" w:bidi="ar"/>
        </w:rPr>
      </w:pPr>
      <w:r>
        <w:rPr>
          <w:rFonts w:hint="eastAsia" w:ascii="仿宋_GB2312" w:hAnsi="宋体" w:cs="仿宋_GB2312"/>
          <w:color w:val="000000"/>
          <w:kern w:val="0"/>
          <w:sz w:val="31"/>
          <w:szCs w:val="31"/>
          <w:lang w:val="en-US" w:eastAsia="zh-CN" w:bidi="ar"/>
        </w:rPr>
        <w:t>1</w:t>
      </w:r>
      <w:r>
        <w:rPr>
          <w:rFonts w:hint="eastAsia" w:ascii="仿宋_GB2312" w:hAnsi="Times New Roman" w:eastAsia="仿宋_GB2312" w:cs="仿宋_GB2312"/>
          <w:b/>
          <w:bCs/>
          <w:color w:val="000000"/>
          <w:sz w:val="31"/>
          <w:szCs w:val="31"/>
          <w:lang w:val="en-US" w:eastAsia="zh-CN"/>
        </w:rPr>
        <w:t>.</w:t>
      </w:r>
      <w:r>
        <w:rPr>
          <w:rFonts w:hint="eastAsia" w:ascii="仿宋_GB2312" w:hAnsi="Times New Roman" w:eastAsia="仿宋_GB2312" w:cs="仿宋_GB2312"/>
          <w:b/>
          <w:bCs/>
          <w:color w:val="000000"/>
          <w:sz w:val="31"/>
          <w:szCs w:val="31"/>
          <w:lang w:val="zh-CN" w:eastAsia="zh-CN"/>
        </w:rPr>
        <w:t>项目决策。</w:t>
      </w:r>
      <w:r>
        <w:rPr>
          <w:rFonts w:hint="eastAsia" w:ascii="仿宋_GB2312" w:hAnsi="宋体" w:cs="仿宋_GB2312"/>
          <w:color w:val="000000"/>
          <w:kern w:val="0"/>
          <w:sz w:val="31"/>
          <w:szCs w:val="31"/>
          <w:lang w:val="zh-CN" w:eastAsia="zh-CN" w:bidi="ar"/>
        </w:rPr>
        <w:t>决策程序，部门预算项目严格按规定履行评估论证、申报程序。目标设置，部门预算项目绩效目标与计划期内的任务量、预算安排的资金量匹配情况，绩效目标设置科学合理、规范完整、量化细化、预算匹配</w:t>
      </w:r>
      <w:r>
        <w:rPr>
          <w:rFonts w:hint="eastAsia" w:ascii="仿宋_GB2312" w:hAnsi="宋体" w:cs="仿宋_GB2312"/>
          <w:color w:val="000000"/>
          <w:kern w:val="0"/>
          <w:sz w:val="31"/>
          <w:szCs w:val="31"/>
          <w:lang w:val="en-US" w:eastAsia="zh-CN" w:bidi="ar"/>
        </w:rPr>
        <w:t>。</w:t>
      </w:r>
      <w:r>
        <w:rPr>
          <w:rFonts w:hint="eastAsia" w:ascii="仿宋_GB2312" w:hAnsi="宋体" w:cs="仿宋_GB2312"/>
          <w:color w:val="000000"/>
          <w:kern w:val="0"/>
          <w:sz w:val="31"/>
          <w:szCs w:val="31"/>
          <w:lang w:val="zh-CN" w:eastAsia="zh-CN" w:bidi="ar"/>
        </w:rPr>
        <w:t>项目入库，</w:t>
      </w:r>
      <w:r>
        <w:rPr>
          <w:rFonts w:hint="default" w:ascii="仿宋_GB2312" w:hAnsi="宋体" w:cs="仿宋_GB2312"/>
          <w:color w:val="000000"/>
          <w:kern w:val="0"/>
          <w:sz w:val="31"/>
          <w:szCs w:val="31"/>
          <w:lang w:val="zh-CN" w:eastAsia="zh-CN" w:bidi="ar"/>
        </w:rPr>
        <w:t>部门预算项目</w:t>
      </w:r>
      <w:r>
        <w:rPr>
          <w:rFonts w:hint="eastAsia" w:ascii="仿宋_GB2312" w:hAnsi="宋体" w:cs="仿宋_GB2312"/>
          <w:color w:val="000000"/>
          <w:kern w:val="0"/>
          <w:sz w:val="31"/>
          <w:szCs w:val="31"/>
          <w:lang w:val="zh-CN" w:eastAsia="zh-CN" w:bidi="ar"/>
        </w:rPr>
        <w:t>均在</w:t>
      </w:r>
      <w:r>
        <w:rPr>
          <w:rFonts w:hint="default" w:ascii="仿宋_GB2312" w:hAnsi="宋体" w:cs="仿宋_GB2312"/>
          <w:color w:val="000000"/>
          <w:kern w:val="0"/>
          <w:sz w:val="31"/>
          <w:szCs w:val="31"/>
          <w:lang w:val="zh-CN" w:eastAsia="zh-CN" w:bidi="ar"/>
        </w:rPr>
        <w:t>在规定时间完成项目入库</w:t>
      </w:r>
      <w:r>
        <w:rPr>
          <w:rFonts w:hint="eastAsia" w:ascii="仿宋_GB2312" w:hAnsi="宋体" w:cs="仿宋_GB2312"/>
          <w:color w:val="000000"/>
          <w:kern w:val="0"/>
          <w:sz w:val="31"/>
          <w:szCs w:val="31"/>
          <w:lang w:val="zh-CN"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eastAsia" w:ascii="仿宋_GB2312" w:hAnsi="宋体" w:cs="仿宋_GB2312"/>
          <w:color w:val="000000"/>
          <w:kern w:val="0"/>
          <w:sz w:val="31"/>
          <w:szCs w:val="31"/>
          <w:lang w:val="zh-CN" w:eastAsia="zh-CN" w:bidi="ar"/>
        </w:rPr>
      </w:pPr>
      <w:r>
        <w:rPr>
          <w:rFonts w:hint="eastAsia" w:ascii="仿宋_GB2312" w:hAnsi="Times New Roman" w:eastAsia="仿宋_GB2312" w:cs="仿宋_GB2312"/>
          <w:b/>
          <w:bCs/>
          <w:color w:val="000000"/>
          <w:sz w:val="31"/>
          <w:szCs w:val="31"/>
          <w:lang w:val="en-US" w:eastAsia="zh-CN"/>
        </w:rPr>
        <w:t>2.项目执行</w:t>
      </w:r>
      <w:r>
        <w:rPr>
          <w:rFonts w:hint="eastAsia" w:ascii="仿宋_GB2312" w:hAnsi="Times New Roman" w:eastAsia="仿宋_GB2312" w:cs="仿宋_GB2312"/>
          <w:b/>
          <w:bCs/>
          <w:color w:val="000000"/>
          <w:sz w:val="31"/>
          <w:szCs w:val="31"/>
          <w:lang w:val="zh-CN" w:eastAsia="zh-CN"/>
        </w:rPr>
        <w:t>。</w:t>
      </w:r>
      <w:r>
        <w:rPr>
          <w:rFonts w:hint="eastAsia" w:ascii="仿宋_GB2312" w:hAnsi="宋体" w:cs="仿宋_GB2312"/>
          <w:color w:val="000000"/>
          <w:kern w:val="0"/>
          <w:sz w:val="31"/>
          <w:szCs w:val="31"/>
          <w:lang w:val="zh-CN" w:eastAsia="zh-CN" w:bidi="ar"/>
        </w:rPr>
        <w:t>资金执行同向，部门预算项目实际列支内容与绩效目标设置方向相符。项目调整，部门预算项目采取对应调整措施。执行结果，</w:t>
      </w:r>
      <w:r>
        <w:rPr>
          <w:rFonts w:hint="default" w:ascii="仿宋_GB2312" w:hAnsi="宋体" w:cs="仿宋_GB2312"/>
          <w:color w:val="000000"/>
          <w:kern w:val="0"/>
          <w:sz w:val="31"/>
          <w:szCs w:val="31"/>
          <w:lang w:val="zh-CN" w:eastAsia="zh-CN" w:bidi="ar"/>
        </w:rPr>
        <w:t>部门预算项目预算执行情况</w:t>
      </w:r>
      <w:r>
        <w:rPr>
          <w:rFonts w:hint="eastAsia" w:ascii="仿宋_GB2312" w:hAnsi="宋体" w:cs="仿宋_GB2312"/>
          <w:color w:val="000000"/>
          <w:kern w:val="0"/>
          <w:sz w:val="31"/>
          <w:szCs w:val="31"/>
          <w:lang w:val="zh-CN" w:eastAsia="zh-CN" w:bidi="ar"/>
        </w:rPr>
        <w:t>完成率均为</w:t>
      </w:r>
      <w:r>
        <w:rPr>
          <w:rFonts w:hint="eastAsia" w:ascii="仿宋_GB2312" w:hAnsi="宋体" w:cs="仿宋_GB2312"/>
          <w:color w:val="000000"/>
          <w:kern w:val="0"/>
          <w:sz w:val="31"/>
          <w:szCs w:val="31"/>
          <w:lang w:val="en-US" w:eastAsia="zh-CN" w:bidi="ar"/>
        </w:rPr>
        <w:t>100%</w:t>
      </w:r>
      <w:r>
        <w:rPr>
          <w:rFonts w:hint="eastAsia" w:ascii="仿宋_GB2312" w:hAnsi="宋体" w:cs="仿宋_GB2312"/>
          <w:color w:val="000000"/>
          <w:kern w:val="0"/>
          <w:sz w:val="31"/>
          <w:szCs w:val="31"/>
          <w:lang w:val="zh-CN"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仿宋_GB2312" w:hAnsi="Times New Roman" w:eastAsia="仿宋_GB2312" w:cs="仿宋_GB2312"/>
          <w:b/>
          <w:bCs/>
          <w:color w:val="000000"/>
          <w:sz w:val="31"/>
          <w:szCs w:val="31"/>
          <w:lang w:val="en-US" w:eastAsia="zh-CN"/>
        </w:rPr>
        <w:t>3.</w:t>
      </w:r>
      <w:r>
        <w:rPr>
          <w:rFonts w:hint="eastAsia" w:ascii="仿宋_GB2312" w:hAnsi="Times New Roman" w:eastAsia="仿宋_GB2312" w:cs="仿宋_GB2312"/>
          <w:b/>
          <w:bCs/>
          <w:color w:val="000000"/>
          <w:sz w:val="31"/>
          <w:szCs w:val="31"/>
          <w:lang w:val="zh-CN" w:eastAsia="zh-CN"/>
        </w:rPr>
        <w:t>目标实现。</w:t>
      </w:r>
      <w:r>
        <w:rPr>
          <w:rFonts w:hint="eastAsia" w:ascii="仿宋_GB2312" w:hAnsi="宋体" w:cs="仿宋_GB2312"/>
          <w:color w:val="000000"/>
          <w:kern w:val="0"/>
          <w:sz w:val="31"/>
          <w:szCs w:val="31"/>
          <w:lang w:val="zh-CN" w:eastAsia="zh-CN" w:bidi="ar"/>
        </w:rPr>
        <w:t>目标完成，部门预算项目绩效目标数量指标完成情况完成率基本为</w:t>
      </w:r>
      <w:r>
        <w:rPr>
          <w:rFonts w:hint="eastAsia" w:ascii="仿宋_GB2312" w:hAnsi="宋体" w:cs="仿宋_GB2312"/>
          <w:color w:val="000000"/>
          <w:kern w:val="0"/>
          <w:sz w:val="31"/>
          <w:szCs w:val="31"/>
          <w:lang w:val="en-US" w:eastAsia="zh-CN" w:bidi="ar"/>
        </w:rPr>
        <w:t>100%</w:t>
      </w:r>
      <w:r>
        <w:rPr>
          <w:rFonts w:hint="eastAsia" w:ascii="仿宋_GB2312" w:hAnsi="宋体" w:cs="仿宋_GB2312"/>
          <w:color w:val="000000"/>
          <w:kern w:val="0"/>
          <w:sz w:val="31"/>
          <w:szCs w:val="31"/>
          <w:lang w:val="zh-CN" w:eastAsia="zh-CN" w:bidi="ar"/>
        </w:rPr>
        <w:t>。目标偏离，部门预算项目绩效目标数量指标实现程度与预期目标的偏离率为基本在＜</w:t>
      </w:r>
      <w:r>
        <w:rPr>
          <w:rFonts w:hint="eastAsia" w:ascii="仿宋_GB2312" w:hAnsi="宋体" w:cs="仿宋_GB2312"/>
          <w:color w:val="000000"/>
          <w:kern w:val="0"/>
          <w:sz w:val="31"/>
          <w:szCs w:val="31"/>
          <w:lang w:val="en-US" w:eastAsia="zh-CN" w:bidi="ar"/>
        </w:rPr>
        <w:t>30%</w:t>
      </w:r>
      <w:r>
        <w:rPr>
          <w:rFonts w:hint="eastAsia" w:ascii="仿宋_GB2312" w:hAnsi="宋体" w:cs="仿宋_GB2312"/>
          <w:color w:val="000000"/>
          <w:kern w:val="0"/>
          <w:sz w:val="31"/>
          <w:szCs w:val="31"/>
          <w:lang w:val="zh-CN" w:eastAsia="zh-CN" w:bidi="ar"/>
        </w:rPr>
        <w:t>。实现效果，部门预算项目绩效目标效益指标实施效果。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default" w:ascii="仿宋_GB2312" w:hAnsi="Times New Roman" w:eastAsia="仿宋_GB2312" w:cs="仿宋_GB2312"/>
          <w:b/>
          <w:bCs/>
          <w:color w:val="000000"/>
          <w:sz w:val="31"/>
          <w:szCs w:val="31"/>
          <w:lang w:val="zh-CN" w:eastAsia="zh-CN"/>
        </w:rPr>
      </w:pPr>
      <w:r>
        <w:rPr>
          <w:rFonts w:hint="default" w:ascii="仿宋_GB2312" w:hAnsi="Times New Roman" w:eastAsia="仿宋_GB2312" w:cs="仿宋_GB2312"/>
          <w:b/>
          <w:bCs/>
          <w:color w:val="000000"/>
          <w:sz w:val="31"/>
          <w:szCs w:val="31"/>
          <w:lang w:val="zh-CN" w:eastAsia="zh-CN"/>
        </w:rPr>
        <w:t>（</w:t>
      </w:r>
      <w:r>
        <w:rPr>
          <w:rFonts w:hint="eastAsia" w:ascii="仿宋_GB2312" w:hAnsi="Times New Roman" w:eastAsia="仿宋_GB2312" w:cs="仿宋_GB2312"/>
          <w:b/>
          <w:bCs/>
          <w:color w:val="000000"/>
          <w:sz w:val="31"/>
          <w:szCs w:val="31"/>
          <w:lang w:val="zh-CN" w:eastAsia="zh-CN"/>
        </w:rPr>
        <w:t>三</w:t>
      </w:r>
      <w:r>
        <w:rPr>
          <w:rFonts w:hint="default" w:ascii="仿宋_GB2312" w:hAnsi="Times New Roman" w:eastAsia="仿宋_GB2312" w:cs="仿宋_GB2312"/>
          <w:b/>
          <w:bCs/>
          <w:color w:val="000000"/>
          <w:sz w:val="31"/>
          <w:szCs w:val="31"/>
          <w:lang w:val="zh-CN" w:eastAsia="zh-CN"/>
        </w:rPr>
        <w:t>）重点领域绩效分析。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default" w:ascii="仿宋_GB2312" w:hAnsi="宋体" w:cs="仿宋_GB2312"/>
          <w:color w:val="000000"/>
          <w:kern w:val="0"/>
          <w:sz w:val="31"/>
          <w:szCs w:val="31"/>
          <w:lang w:val="en-US" w:eastAsia="zh-CN" w:bidi="ar"/>
        </w:rPr>
      </w:pPr>
      <w:r>
        <w:rPr>
          <w:rFonts w:hint="eastAsia" w:ascii="仿宋_GB2312" w:hAnsi="宋体" w:cs="仿宋_GB2312"/>
          <w:color w:val="000000"/>
          <w:kern w:val="0"/>
          <w:sz w:val="31"/>
          <w:szCs w:val="31"/>
          <w:lang w:val="en-US" w:eastAsia="zh-CN" w:bidi="ar"/>
        </w:rPr>
        <w:t>我单位不涉及重点领域绩效情况。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eastAsia" w:ascii="仿宋_GB2312" w:hAnsi="宋体" w:cs="仿宋_GB2312"/>
          <w:color w:val="000000"/>
          <w:kern w:val="0"/>
          <w:sz w:val="31"/>
          <w:szCs w:val="31"/>
          <w:lang w:val="zh-CN" w:eastAsia="zh-CN" w:bidi="ar"/>
        </w:rPr>
      </w:pPr>
      <w:r>
        <w:rPr>
          <w:rFonts w:hint="default" w:ascii="仿宋_GB2312" w:hAnsi="宋体" w:cs="仿宋_GB2312"/>
          <w:color w:val="000000"/>
          <w:kern w:val="0"/>
          <w:sz w:val="31"/>
          <w:szCs w:val="31"/>
          <w:lang w:val="zh-CN" w:eastAsia="zh-CN" w:bidi="ar"/>
        </w:rPr>
        <w:t>绩效结果应用情况</w:t>
      </w:r>
      <w:r>
        <w:rPr>
          <w:rFonts w:hint="eastAsia" w:ascii="仿宋_GB2312" w:hAnsi="宋体" w:cs="仿宋_GB2312"/>
          <w:color w:val="000000"/>
          <w:kern w:val="0"/>
          <w:sz w:val="31"/>
          <w:szCs w:val="31"/>
          <w:lang w:val="zh-CN" w:eastAsia="zh-CN" w:bidi="ar"/>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宋体" w:cs="仿宋_GB2312"/>
          <w:color w:val="000000"/>
          <w:kern w:val="0"/>
          <w:sz w:val="31"/>
          <w:szCs w:val="31"/>
          <w:lang w:val="en-US" w:eastAsia="zh-CN" w:bidi="ar"/>
        </w:rPr>
      </w:pPr>
      <w:r>
        <w:rPr>
          <w:rFonts w:hint="eastAsia" w:ascii="仿宋_GB2312" w:eastAsia="仿宋_GB2312"/>
          <w:color w:val="000000"/>
          <w:sz w:val="32"/>
          <w:szCs w:val="32"/>
          <w:lang w:val="zh-CN"/>
        </w:rPr>
        <w:t>1</w:t>
      </w:r>
      <w:r>
        <w:rPr>
          <w:rFonts w:hint="eastAsia" w:ascii="仿宋_GB2312" w:hAnsi="Times New Roman" w:eastAsia="仿宋_GB2312" w:cs="仿宋_GB2312"/>
          <w:b/>
          <w:bCs/>
          <w:color w:val="000000"/>
          <w:sz w:val="31"/>
          <w:szCs w:val="31"/>
          <w:lang w:val="zh-CN" w:eastAsia="zh-CN"/>
        </w:rPr>
        <w:t>.内部应用情况：</w:t>
      </w:r>
      <w:r>
        <w:rPr>
          <w:rFonts w:hint="eastAsia" w:ascii="仿宋_GB2312" w:hAnsi="宋体" w:cs="仿宋_GB2312"/>
          <w:color w:val="000000"/>
          <w:kern w:val="0"/>
          <w:sz w:val="31"/>
          <w:szCs w:val="31"/>
          <w:lang w:val="zh-CN" w:eastAsia="zh-CN" w:bidi="ar"/>
        </w:rPr>
        <w:t>本年度我单位资金使用率达到</w:t>
      </w:r>
      <w:r>
        <w:rPr>
          <w:rFonts w:hint="eastAsia" w:ascii="仿宋_GB2312" w:hAnsi="宋体" w:cs="仿宋_GB2312"/>
          <w:color w:val="000000"/>
          <w:kern w:val="0"/>
          <w:sz w:val="31"/>
          <w:szCs w:val="31"/>
          <w:lang w:val="en-US" w:eastAsia="zh-CN" w:bidi="ar"/>
        </w:rPr>
        <w:t>100%，足额保障率100%，提升工作效率100%,群众满意率95%。</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eastAsia" w:ascii="仿宋_GB2312" w:hAnsi="宋体" w:cs="仿宋_GB2312"/>
          <w:color w:val="000000"/>
          <w:kern w:val="0"/>
          <w:sz w:val="31"/>
          <w:szCs w:val="31"/>
          <w:lang w:val="zh-CN" w:eastAsia="zh-CN" w:bidi="ar"/>
        </w:rPr>
      </w:pPr>
      <w:r>
        <w:rPr>
          <w:rFonts w:hint="eastAsia" w:ascii="仿宋_GB2312" w:hAnsi="Times New Roman" w:eastAsia="仿宋_GB2312" w:cs="仿宋_GB2312"/>
          <w:b/>
          <w:bCs/>
          <w:color w:val="000000"/>
          <w:sz w:val="31"/>
          <w:szCs w:val="31"/>
          <w:lang w:val="zh-CN" w:eastAsia="zh-CN"/>
        </w:rPr>
        <w:t>2.信息公开情况：</w:t>
      </w:r>
      <w:r>
        <w:rPr>
          <w:rFonts w:hint="eastAsia" w:ascii="仿宋_GB2312" w:hAnsi="宋体" w:cs="仿宋_GB2312"/>
          <w:color w:val="000000"/>
          <w:kern w:val="0"/>
          <w:sz w:val="31"/>
          <w:szCs w:val="31"/>
          <w:lang w:val="zh-CN" w:eastAsia="zh-CN" w:bidi="ar"/>
        </w:rPr>
        <w:t>202</w:t>
      </w:r>
      <w:r>
        <w:rPr>
          <w:rFonts w:hint="eastAsia" w:ascii="仿宋_GB2312" w:hAnsi="宋体" w:cs="仿宋_GB2312"/>
          <w:color w:val="000000"/>
          <w:kern w:val="0"/>
          <w:sz w:val="31"/>
          <w:szCs w:val="31"/>
          <w:lang w:val="en-US" w:eastAsia="zh-CN" w:bidi="ar"/>
        </w:rPr>
        <w:t>4</w:t>
      </w:r>
      <w:r>
        <w:rPr>
          <w:rFonts w:hint="eastAsia" w:ascii="仿宋_GB2312" w:hAnsi="宋体" w:cs="仿宋_GB2312"/>
          <w:color w:val="000000"/>
          <w:kern w:val="0"/>
          <w:sz w:val="31"/>
          <w:szCs w:val="31"/>
          <w:lang w:val="zh-CN" w:eastAsia="zh-CN" w:bidi="ar"/>
        </w:rPr>
        <w:t>年预决算在金川县政务网站进行公开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default" w:ascii="仿宋_GB2312" w:hAnsi="宋体" w:cs="仿宋_GB2312"/>
          <w:color w:val="000000"/>
          <w:kern w:val="0"/>
          <w:sz w:val="31"/>
          <w:szCs w:val="31"/>
          <w:lang w:val="en-US" w:eastAsia="zh-CN" w:bidi="ar"/>
        </w:rPr>
      </w:pPr>
      <w:r>
        <w:rPr>
          <w:rFonts w:hint="eastAsia" w:ascii="仿宋_GB2312" w:hAnsi="宋体" w:cs="仿宋_GB2312"/>
          <w:color w:val="000000"/>
          <w:kern w:val="0"/>
          <w:sz w:val="31"/>
          <w:szCs w:val="31"/>
          <w:lang w:val="zh-CN" w:eastAsia="zh-CN" w:bidi="ar"/>
        </w:rPr>
        <w:t>3</w:t>
      </w:r>
      <w:r>
        <w:rPr>
          <w:rFonts w:hint="eastAsia" w:ascii="仿宋_GB2312" w:hAnsi="Times New Roman" w:eastAsia="仿宋_GB2312" w:cs="仿宋_GB2312"/>
          <w:b/>
          <w:bCs/>
          <w:color w:val="000000"/>
          <w:sz w:val="31"/>
          <w:szCs w:val="31"/>
          <w:lang w:val="zh-CN" w:eastAsia="zh-CN"/>
        </w:rPr>
        <w:t>.整体反馈情况：</w:t>
      </w:r>
      <w:r>
        <w:rPr>
          <w:rFonts w:hint="eastAsia" w:ascii="仿宋_GB2312" w:hAnsi="宋体" w:cs="仿宋_GB2312"/>
          <w:color w:val="000000"/>
          <w:kern w:val="0"/>
          <w:sz w:val="31"/>
          <w:szCs w:val="31"/>
          <w:lang w:val="zh-CN" w:eastAsia="zh-CN" w:bidi="ar"/>
        </w:rPr>
        <w:t>截止</w:t>
      </w:r>
      <w:r>
        <w:rPr>
          <w:rFonts w:hint="eastAsia" w:ascii="仿宋_GB2312" w:hAnsi="宋体" w:cs="仿宋_GB2312"/>
          <w:color w:val="000000"/>
          <w:kern w:val="0"/>
          <w:sz w:val="31"/>
          <w:szCs w:val="31"/>
          <w:lang w:val="en-US" w:eastAsia="zh-CN" w:bidi="ar"/>
        </w:rPr>
        <w:t>2024年度，我单位的整体绩效评价得分98分，评价结果为优。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default" w:ascii="仿宋_GB2312" w:hAnsi="宋体" w:cs="仿宋_GB2312"/>
          <w:color w:val="000000"/>
          <w:kern w:val="0"/>
          <w:sz w:val="31"/>
          <w:szCs w:val="31"/>
          <w:lang w:val="en-US" w:eastAsia="zh-CN" w:bidi="ar"/>
        </w:rPr>
      </w:pPr>
      <w:r>
        <w:rPr>
          <w:rFonts w:hint="default" w:ascii="仿宋_GB2312" w:hAnsi="Times New Roman" w:eastAsia="仿宋_GB2312" w:cs="仿宋_GB2312"/>
          <w:b/>
          <w:bCs/>
          <w:color w:val="000000"/>
          <w:sz w:val="31"/>
          <w:szCs w:val="31"/>
          <w:lang w:val="en-US" w:eastAsia="zh-CN"/>
        </w:rPr>
        <w:t>四、评价结论及建议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default" w:ascii="仿宋_GB2312" w:hAnsi="宋体" w:cs="仿宋_GB2312"/>
          <w:color w:val="000000"/>
          <w:kern w:val="0"/>
          <w:sz w:val="31"/>
          <w:szCs w:val="31"/>
          <w:lang w:val="en-US" w:eastAsia="zh-CN" w:bidi="ar"/>
        </w:rPr>
      </w:pPr>
      <w:r>
        <w:rPr>
          <w:rFonts w:hint="default" w:ascii="仿宋_GB2312" w:hAnsi="Times New Roman" w:eastAsia="仿宋_GB2312" w:cs="仿宋_GB2312"/>
          <w:b/>
          <w:bCs/>
          <w:color w:val="000000"/>
          <w:sz w:val="31"/>
          <w:szCs w:val="31"/>
          <w:lang w:val="zh-CN" w:eastAsia="zh-CN"/>
        </w:rPr>
        <w:t>（一）评价结论</w:t>
      </w:r>
      <w:r>
        <w:rPr>
          <w:rFonts w:hint="default" w:ascii="仿宋_GB2312" w:hAnsi="宋体" w:cs="仿宋_GB2312"/>
          <w:color w:val="000000"/>
          <w:kern w:val="0"/>
          <w:sz w:val="31"/>
          <w:szCs w:val="31"/>
          <w:lang w:val="zh-CN" w:eastAsia="zh-CN" w:bidi="ar"/>
        </w:rPr>
        <w:t>。</w:t>
      </w:r>
      <w:r>
        <w:rPr>
          <w:rFonts w:hint="eastAsia" w:ascii="仿宋_GB2312" w:hAnsi="宋体" w:cs="仿宋_GB2312"/>
          <w:color w:val="000000"/>
          <w:kern w:val="0"/>
          <w:sz w:val="31"/>
          <w:szCs w:val="31"/>
          <w:lang w:val="en-US" w:eastAsia="zh-CN" w:bidi="ar"/>
        </w:rPr>
        <w:t>我部2024年部门预算收支与年初预算基本一致，达到预期绩效目标。本次自评得分98分。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eastAsia" w:ascii="仿宋_GB2312" w:hAnsi="宋体" w:cs="仿宋_GB2312"/>
          <w:color w:val="000000"/>
          <w:kern w:val="0"/>
          <w:sz w:val="31"/>
          <w:szCs w:val="31"/>
          <w:lang w:val="en-US" w:eastAsia="zh-CN" w:bidi="ar"/>
        </w:rPr>
      </w:pPr>
      <w:r>
        <w:rPr>
          <w:rFonts w:hint="default" w:ascii="仿宋_GB2312" w:hAnsi="Times New Roman" w:eastAsia="仿宋_GB2312" w:cs="仿宋_GB2312"/>
          <w:b/>
          <w:bCs/>
          <w:color w:val="000000"/>
          <w:sz w:val="31"/>
          <w:szCs w:val="31"/>
          <w:lang w:val="zh-CN" w:eastAsia="zh-CN"/>
        </w:rPr>
        <w:t>（二）存在问题。</w:t>
      </w:r>
      <w:r>
        <w:rPr>
          <w:rFonts w:hint="eastAsia" w:ascii="仿宋_GB2312" w:hAnsi="宋体" w:cs="仿宋_GB2312"/>
          <w:color w:val="000000"/>
          <w:kern w:val="0"/>
          <w:sz w:val="31"/>
          <w:szCs w:val="31"/>
          <w:lang w:val="en-US" w:eastAsia="zh-CN" w:bidi="ar"/>
        </w:rPr>
        <w:t>预算编制还需进一步细化，执行进度还需要进一步提升。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eastAsia" w:ascii="仿宋_GB2312" w:hAnsi="宋体" w:cs="仿宋_GB2312"/>
          <w:color w:val="000000"/>
          <w:kern w:val="0"/>
          <w:sz w:val="31"/>
          <w:szCs w:val="31"/>
          <w:lang w:val="en-US" w:eastAsia="zh-CN" w:bidi="ar"/>
        </w:rPr>
      </w:pPr>
      <w:r>
        <w:rPr>
          <w:rFonts w:hint="default" w:ascii="仿宋_GB2312" w:hAnsi="Times New Roman" w:eastAsia="仿宋_GB2312" w:cs="仿宋_GB2312"/>
          <w:b/>
          <w:bCs/>
          <w:color w:val="000000"/>
          <w:sz w:val="31"/>
          <w:szCs w:val="31"/>
          <w:lang w:val="zh-CN" w:eastAsia="zh-CN"/>
        </w:rPr>
        <w:t>（三）改进建议。</w:t>
      </w:r>
      <w:bookmarkStart w:id="50" w:name="_Hlk110546638"/>
      <w:r>
        <w:rPr>
          <w:rFonts w:hint="eastAsia" w:ascii="仿宋_GB2312" w:hAnsi="宋体" w:cs="仿宋_GB2312"/>
          <w:color w:val="000000"/>
          <w:kern w:val="0"/>
          <w:sz w:val="31"/>
          <w:szCs w:val="31"/>
          <w:lang w:val="en-US" w:eastAsia="zh-CN" w:bidi="ar"/>
        </w:rPr>
        <w:t xml:space="preserve">1、遵循先有预算、后有支出的原则，加强财务管理和内部控制监督制度。严禁超预算和无预算安排支出，严格开支范围和标准，严格支出报销审核，不报销任何超范围、超标准的费用。 </w:t>
      </w:r>
      <w:r>
        <w:rPr>
          <w:rFonts w:hint="eastAsia" w:ascii="仿宋_GB2312" w:hAnsi="宋体" w:cs="仿宋_GB2312"/>
          <w:color w:val="000000"/>
          <w:kern w:val="0"/>
          <w:sz w:val="31"/>
          <w:szCs w:val="31"/>
          <w:lang w:val="en-US" w:eastAsia="zh-CN" w:bidi="ar"/>
        </w:rPr>
        <w:br w:type="textWrapping"/>
      </w:r>
      <w:r>
        <w:rPr>
          <w:rFonts w:hint="eastAsia" w:ascii="仿宋_GB2312" w:hAnsi="宋体" w:cs="仿宋_GB2312"/>
          <w:color w:val="000000"/>
          <w:kern w:val="0"/>
          <w:sz w:val="31"/>
          <w:szCs w:val="31"/>
          <w:lang w:val="en-US" w:eastAsia="zh-CN" w:bidi="ar"/>
        </w:rPr>
        <w:t xml:space="preserve">   </w:t>
      </w:r>
      <w:r>
        <w:rPr>
          <w:rFonts w:hint="eastAsia" w:ascii="仿宋_GB2312" w:hAnsi="Times New Roman" w:eastAsia="仿宋_GB2312" w:cs="仿宋_GB2312"/>
          <w:b/>
          <w:bCs/>
          <w:color w:val="000000"/>
          <w:sz w:val="31"/>
          <w:szCs w:val="31"/>
          <w:lang w:val="en-US" w:eastAsia="zh-CN"/>
        </w:rPr>
        <w:t>2、严格控制“三公”经费。</w:t>
      </w:r>
      <w:r>
        <w:rPr>
          <w:rFonts w:hint="eastAsia" w:ascii="仿宋_GB2312" w:hAnsi="宋体" w:cs="仿宋_GB2312"/>
          <w:color w:val="000000"/>
          <w:kern w:val="0"/>
          <w:sz w:val="31"/>
          <w:szCs w:val="31"/>
          <w:lang w:val="en-US" w:eastAsia="zh-CN" w:bidi="ar"/>
        </w:rPr>
        <w:t>认真贯彻落实中央、省委省政府和县委县政府相关规定，严格“三公”经费支出的审核和审批，合理压缩“三公”经费支出。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22" w:firstLineChars="200"/>
        <w:contextualSpacing/>
        <w:jc w:val="left"/>
        <w:textAlignment w:val="auto"/>
        <w:outlineLvl w:val="9"/>
        <w:rPr>
          <w:rFonts w:hint="default" w:ascii="仿宋_GB2312" w:hAnsi="宋体" w:cs="仿宋_GB2312"/>
          <w:color w:val="000000"/>
          <w:kern w:val="0"/>
          <w:sz w:val="31"/>
          <w:szCs w:val="31"/>
          <w:lang w:val="en-US" w:eastAsia="zh-CN" w:bidi="ar"/>
        </w:rPr>
      </w:pPr>
      <w:r>
        <w:rPr>
          <w:rFonts w:hint="eastAsia" w:ascii="仿宋_GB2312" w:hAnsi="Times New Roman" w:eastAsia="仿宋_GB2312" w:cs="仿宋_GB2312"/>
          <w:b/>
          <w:bCs/>
          <w:color w:val="000000"/>
          <w:sz w:val="31"/>
          <w:szCs w:val="31"/>
          <w:lang w:val="en-US" w:eastAsia="zh-CN"/>
        </w:rPr>
        <w:t>3、</w:t>
      </w:r>
      <w:r>
        <w:rPr>
          <w:rFonts w:hint="eastAsia" w:ascii="仿宋_GB2312" w:hAnsi="宋体" w:cs="仿宋_GB2312"/>
          <w:color w:val="000000"/>
          <w:kern w:val="0"/>
          <w:sz w:val="31"/>
          <w:szCs w:val="31"/>
          <w:lang w:val="en-US" w:eastAsia="zh-CN" w:bidi="ar"/>
        </w:rPr>
        <w:t>提升资金支付进度，严格按照绩效评价体系要求，规范资金使用进度。</w:t>
      </w:r>
    </w:p>
    <w:bookmarkEnd w:id="50"/>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kern w:val="0"/>
          <w:position w:val="0"/>
          <w:sz w:val="32"/>
          <w:szCs w:val="32"/>
          <w:highlight w:val="none"/>
          <w:lang w:val="zh-CN" w:eastAsia="zh-CN" w:bidi="ar-SA"/>
        </w:rPr>
      </w:pPr>
    </w:p>
    <w:p>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Cs w:val="32"/>
          <w:highlight w:val="none"/>
          <w:lang w:val="en-US" w:eastAsia="zh-CN"/>
        </w:rPr>
      </w:pPr>
    </w:p>
    <w:p>
      <w:pPr>
        <w:pStyle w:val="2"/>
        <w:rPr>
          <w:rFonts w:hint="default" w:ascii="Times New Roman" w:hAnsi="Times New Roman" w:eastAsia="黑体" w:cs="Times New Roman"/>
          <w:szCs w:val="32"/>
          <w:highlight w:val="none"/>
          <w:lang w:val="en-US" w:eastAsia="zh-CN"/>
        </w:rPr>
      </w:pP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cs="仿宋_GB2312"/>
          <w:b w:val="0"/>
          <w:bCs w:val="0"/>
          <w:kern w:val="0"/>
          <w:position w:val="0"/>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cs="仿宋_GB2312"/>
          <w:b w:val="0"/>
          <w:bCs w:val="0"/>
          <w:kern w:val="0"/>
          <w:position w:val="0"/>
          <w:sz w:val="32"/>
          <w:szCs w:val="32"/>
          <w:highlight w:val="none"/>
          <w:lang w:val="en-US" w:eastAsia="zh-CN" w:bidi="ar-SA"/>
        </w:rPr>
      </w:pPr>
    </w:p>
    <w:tbl>
      <w:tblPr>
        <w:tblStyle w:val="20"/>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4"/>
        <w:gridCol w:w="514"/>
        <w:gridCol w:w="612"/>
        <w:gridCol w:w="354"/>
        <w:gridCol w:w="272"/>
        <w:gridCol w:w="1117"/>
        <w:gridCol w:w="752"/>
        <w:gridCol w:w="42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514" w:type="dxa"/>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outlineLvl w:val="9"/>
              <w:rPr>
                <w:rFonts w:hint="eastAsia" w:ascii="宋体" w:hAnsi="宋体" w:eastAsia="宋体" w:cs="宋体"/>
                <w:i w:val="0"/>
                <w:color w:val="000000"/>
                <w:sz w:val="22"/>
                <w:szCs w:val="22"/>
                <w:u w:val="none"/>
              </w:rPr>
            </w:pPr>
          </w:p>
        </w:tc>
        <w:tc>
          <w:tcPr>
            <w:tcW w:w="7822" w:type="dxa"/>
            <w:gridSpan w:val="7"/>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ascii="方正小标宋简体" w:hAnsi="方正小标宋简体" w:eastAsia="方正小标宋简体" w:cs="方正小标宋简体"/>
                <w:i w:val="0"/>
                <w:color w:val="000000"/>
                <w:sz w:val="48"/>
                <w:szCs w:val="48"/>
                <w:u w:val="none"/>
              </w:rPr>
            </w:pPr>
            <w:r>
              <w:rPr>
                <w:rFonts w:hint="default" w:ascii="方正小标宋简体" w:hAnsi="方正小标宋简体" w:eastAsia="方正小标宋简体" w:cs="方正小标宋简体"/>
                <w:i w:val="0"/>
                <w:color w:val="000000"/>
                <w:kern w:val="0"/>
                <w:sz w:val="48"/>
                <w:szCs w:val="48"/>
                <w:u w:val="none"/>
                <w:lang w:val="en-US" w:eastAsia="zh-CN" w:bidi="ar"/>
              </w:rPr>
              <w:t>部门预算绩效评价指标体系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9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指标分值</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黑体" w:hAnsi="宋体" w:eastAsia="黑体" w:cs="黑体"/>
                <w:i w:val="0"/>
                <w:color w:val="000000"/>
                <w:sz w:val="24"/>
                <w:szCs w:val="24"/>
                <w:u w:val="none"/>
              </w:rPr>
            </w:pP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评分方法</w:t>
            </w:r>
          </w:p>
        </w:tc>
        <w:tc>
          <w:tcPr>
            <w:tcW w:w="4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评分说明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4"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黑体" w:hAnsi="宋体" w:eastAsia="黑体" w:cs="黑体"/>
                <w:b/>
                <w:i w:val="0"/>
                <w:color w:val="FF0000"/>
                <w:sz w:val="24"/>
                <w:szCs w:val="24"/>
                <w:u w:val="none"/>
              </w:rPr>
            </w:pPr>
            <w:r>
              <w:rPr>
                <w:rFonts w:hint="eastAsia" w:ascii="黑体" w:hAnsi="宋体" w:eastAsia="黑体" w:cs="黑体"/>
                <w:b/>
                <w:i w:val="0"/>
                <w:color w:val="FF0000"/>
                <w:kern w:val="0"/>
                <w:sz w:val="24"/>
                <w:szCs w:val="24"/>
                <w:u w:val="none"/>
                <w:lang w:val="en-US" w:eastAsia="zh-CN" w:bidi="ar"/>
              </w:rPr>
              <w:t>自评得分</w:t>
            </w: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黑体" w:hAnsi="宋体" w:eastAsia="黑体" w:cs="黑体"/>
                <w:i w:val="0"/>
                <w:color w:val="000000"/>
                <w:sz w:val="24"/>
                <w:szCs w:val="24"/>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黑体" w:hAnsi="宋体" w:eastAsia="黑体" w:cs="黑体"/>
                <w:i w:val="0"/>
                <w:color w:val="000000"/>
                <w:sz w:val="24"/>
                <w:szCs w:val="24"/>
                <w:u w:val="none"/>
              </w:rPr>
            </w:pPr>
          </w:p>
        </w:tc>
        <w:tc>
          <w:tcPr>
            <w:tcW w:w="4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54"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7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可量化计算、可评价的核心职能目标，分别设定指标分值、指标解释、评分方法和评分说明，总分值不超过15分。该项指标得分=年终完成履职效果目标数量÷年初目标设置总数×100%×指标分值。履职效能总分为各项履职效果得分的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27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4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27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4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27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4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27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4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该项指标得分=（1-财政拨款预算偏离度）×100%×4+（1-资产配置预算偏离度）×100%×2+（1-政府采购预算偏离度）×100%×2。偏离度=|预算执行数-年初预算数|÷年初预算数。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该项指标得分=（部门自有收入全年执行数÷部门自有收入年初预算数）×100%×2+（财政核定的综合补助比例÷按实际执行测算的综合补助比例）×100%×2。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5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1至6月预算执行数÷（部门预算数×50%）×2）+（1-1至6月支出预警金额占比×0.8-1至6月支出违规金额占比×0.2）+（1至10月预算执行数÷（部门预算数×83.33%）×2）+（1-1至10月支出预警金额占比×0.8-1至10月支出违规金额占比×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该项指标得分=（1-部门整体预算结余率）×100%×2。部门整体预算结余率为当年年终部门预算注销金额和结转金额占部门预算总金额的比率。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6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firstLineChars="200"/>
              <w:jc w:val="both"/>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该项指标得分=基础分值+加分值。</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1.基础分值。一般性支出财政拨款年初预算较上年实现压减得1分；一般性支出财政拨款预算执行较上年实现压减得1分。</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2.加分值。一般性支出财政拨款年初预算较上年每压减1%得0.2分，累计不超过1分；一般性支出财政拨款预算执行较上年每压减1%得0.4分，累计不超过2分。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缺（错）项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扣分法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部门已制定内部财务管理制度等制度机制的，得2分。财务管理制度得到落实，得2分。否则该项不得分。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是否评分法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部门合理设置财务工作岗位，明确职责权限，并严格实行不相容岗位分离的，得2分。否则该项不得分。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缺（错）项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扣分法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部门资金使用不符合相关财务管理制度规定的，发现一处扣1分，扣完为止。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9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分级评分法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率为X，省直行政事业单位人均资产变化率为N，则：X≤N，得1.5分；N＜X≤1.2N，得0.9分；1.2N＜X≤1.4N，得0.6分；X＞1.4N，得0.3分。部门人均资产增长率为X，同期省级财政收入增长率为N，则：X≤0，得1.5分；0＜X≤N，得0.9分；N＜X≤2N，得0.6分；X＞2N，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分级评分法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办公家具超最低使用年限资产利用率=超最低使用年限的办公家具账面价值÷办公家具账面价值×100%。办公家具超最低使用年限资产利用率为X，省直行政事业单位平均值为N，则：X＞N，得1.5分；0.8N＜X≤N，得0.9分；0.6N＜X≤0.8N，得0.6分；X≤0.6N，得0.3分。部门办公设备超最低使用年限资产利用率=超最低使用年限的办公设备账面价值÷办公设备账面价值×100%。办公设备超最低使用年限资产利用率为X，省直行政事业单位平均值为N，则：X＞N，得1.5分；0.8N＜X≤N，得0.9分；0.6N＜X≤0.8N，得0.6分；X≤0.6N，得0.3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6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分级评分法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资产占比变化率=(本年闲置资产账面价值÷本年总资产账面价值)÷(上一年度闲置资产账面价值÷上一年度总资产账面价值)×100%，变化率在60%以下的得2.4分，60%-80%的得1.8分，80-100%的得1.2分，100%以上的不得分。两年均无闲置资产或上年度有闲置资产评价年度无闲置资产的，该项指标得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是否评分法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对适宜由中小企业提供的采购项目和采购包，预留采购份额专门面向中小企业采购，并在采购预算中单独列示，不符合要求的扣3分。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该项指标得分=当年政府采购实际支付总金额÷（当年政府采购总预算数-当年已完成采购项目节约金额）×100%×3。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1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5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部门未履行事前评估程序的部门预算阶段项目（含一次性项目）数量÷部门预算阶段项目（含一次性项目）总数×100%×4。抽评的部门预算阶段项目（含一次性项目）总数10个以下的全部纳入，每增加5个多纳入1个，最多不超过30个，下同。若无部门预算阶段项目（含一次性项目），则主要查看部门预算项目整体决策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9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绩效目标与计划期内的任务量、预算安排不相匹配的部门预算阶段项目（含一次性项目）数量÷部门预算阶段项目（含一次性项目）总数×100%×4。若无部门预算阶段项目（含一次性项目），则抽评涉及核心业务、资金量大的其他部门预算项目，下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3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该项指标得分=4-规定时间未入财政库部门预算阶段项目（含一次性项目）数量÷最终安排部门预算阶段项目（含一次性项目）总数×100%×4。规定时间以当年9月30日为准。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该项指标得分=4-实际列支内容与绩效目标设置方向不相符的部门预算阶段项目（含一次性项目）数量÷部门预算阶段项目（含一次性项目）总数×100%×4。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该项指标得分=4-应采取未采取收回预算、调整目标等处置措施的部门预算阶段项目（含一次性项目）数量÷应采取收回预算、调整目标等处置措施的部门预算阶段项目（含一次性项目）总数×100%×4。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该项指标得分=预算结余率小于10%的常年项目数量÷部门预算常年项目总数×100%×2+预算结余率小于10%的一次性项目和阶段项目数量÷部门预算一次性项目和阶段项目总数×100%×2。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该项指标得分=完成绩效目标数量指标的部门预算阶段项目（含一次性项目）数量÷部门预算阶段项目（含一次性项目）总数×100%×4。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已完成预期指标值的数量指标中偏离度在30%内的指标个数÷已完成预期指标值的数量指标个数×100%×4。偏离度=|（绩效指标实际完成值-设定预期指标值）÷设定预期指标值|。部门预算阶段项目（含一次性项目）绩效目标实际完成值偏离预期指标30%以上（含30%）的，不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比率分值法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该项指标得分=完成绩效目标效益指标的部门预算阶段项目（含一次性项目）数量÷部门预算阶段项目（含一次性项目）总数×100%×3。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7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预算绩效存在问题</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both"/>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预算管理和绩效管理工作存在问题</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缺（错）项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扣分法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依据评价年度人大监督、巡视巡察、审计监督、财会监督等结果以及评价指标体系涉及的履职效果、预算管理、财务管理、资产管理、采购管理、项目绩效等方面出现的问题，每有一个问题点扣1分，扣完为止。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b/>
                <w:i w:val="0"/>
                <w:color w:val="000000"/>
                <w:sz w:val="24"/>
                <w:szCs w:val="24"/>
                <w:u w:val="none"/>
              </w:rPr>
            </w:pP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缺（错）项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扣分法</w:t>
            </w: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评价工作开展过程中，被评价对象拖延推诿、提交资料不及时等拒不配合评价工作的，每发现一次扣1分，扣完为止。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11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center"/>
              <w:outlineLvl w:val="9"/>
              <w:rPr>
                <w:rFonts w:hint="eastAsia" w:ascii="宋体" w:hAnsi="宋体" w:eastAsia="宋体" w:cs="宋体"/>
                <w:i w:val="0"/>
                <w:color w:val="000000"/>
                <w:sz w:val="24"/>
                <w:szCs w:val="24"/>
                <w:u w:val="none"/>
              </w:rPr>
            </w:pPr>
          </w:p>
        </w:tc>
        <w:tc>
          <w:tcPr>
            <w:tcW w:w="4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beforeLines="0" w:after="0" w:afterLines="0" w:line="240" w:lineRule="atLeast"/>
              <w:ind w:left="0" w:leftChars="0" w:right="0" w:rightChars="0"/>
              <w:jc w:val="left"/>
              <w:outlineLvl w:val="9"/>
              <w:rPr>
                <w:rFonts w:hint="eastAsia" w:ascii="宋体" w:hAnsi="宋体" w:eastAsia="宋体" w:cs="宋体"/>
                <w:i w:val="0"/>
                <w:color w:val="000000"/>
                <w:sz w:val="24"/>
                <w:szCs w:val="24"/>
                <w:u w:val="none"/>
              </w:rPr>
            </w:pPr>
          </w:p>
        </w:tc>
      </w:tr>
    </w:tbl>
    <w:p>
      <w:pPr>
        <w:keepNext w:val="0"/>
        <w:keepLines w:val="0"/>
        <w:pageBreakBefore w:val="0"/>
        <w:kinsoku/>
        <w:wordWrap/>
        <w:overflowPunct/>
        <w:topLinePunct w:val="0"/>
        <w:autoSpaceDE/>
        <w:autoSpaceDN/>
        <w:bidi w:val="0"/>
        <w:adjustRightInd/>
        <w:snapToGrid/>
        <w:spacing w:line="240" w:lineRule="atLeast"/>
        <w:ind w:left="0" w:leftChars="0" w:right="0" w:rightChars="0"/>
        <w:outlineLvl w:val="9"/>
      </w:pPr>
    </w:p>
    <w:p>
      <w:pPr>
        <w:keepNext w:val="0"/>
        <w:keepLines w:val="0"/>
        <w:pageBreakBefore w:val="0"/>
        <w:kinsoku/>
        <w:wordWrap/>
        <w:overflowPunct/>
        <w:topLinePunct w:val="0"/>
        <w:autoSpaceDE/>
        <w:autoSpaceDN/>
        <w:bidi w:val="0"/>
        <w:adjustRightInd/>
        <w:snapToGrid/>
        <w:spacing w:line="240" w:lineRule="atLeast"/>
        <w:ind w:left="0" w:leftChars="0" w:right="0" w:rightChars="0"/>
        <w:outlineLvl w:val="9"/>
      </w:pPr>
    </w:p>
    <w:p>
      <w:pPr>
        <w:pStyle w:val="6"/>
        <w:rPr>
          <w:rFonts w:hint="eastAsia" w:ascii="Times New Roman" w:hAnsi="Times New Roman" w:eastAsia="黑体" w:cs="黑体"/>
          <w:color w:val="auto"/>
          <w:kern w:val="0"/>
          <w:sz w:val="32"/>
          <w:szCs w:val="32"/>
          <w:highlight w:val="none"/>
          <w:shd w:val="clear" w:color="auto" w:fill="FFFFFF"/>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6"/>
        <w:rPr>
          <w:rFonts w:hint="eastAsia" w:ascii="Times New Roman" w:hAnsi="Times New Roman" w:eastAsia="黑体" w:cs="黑体"/>
          <w:color w:val="auto"/>
          <w:kern w:val="0"/>
          <w:sz w:val="32"/>
          <w:szCs w:val="32"/>
          <w:highlight w:val="none"/>
          <w:shd w:val="clear" w:color="auto" w:fill="FFFFFF"/>
          <w:lang w:val="en-US" w:eastAsia="zh-CN"/>
        </w:rPr>
      </w:pPr>
      <w:r>
        <w:rPr>
          <w:rFonts w:hint="eastAsia" w:ascii="Times New Roman" w:eastAsia="黑体" w:cs="黑体"/>
          <w:color w:val="auto"/>
          <w:kern w:val="0"/>
          <w:sz w:val="32"/>
          <w:szCs w:val="32"/>
          <w:highlight w:val="none"/>
          <w:shd w:val="clear" w:color="auto" w:fill="FFFFFF"/>
          <w:lang w:val="en-US" w:eastAsia="zh-CN"/>
        </w:rPr>
        <w:t>见附件</w:t>
      </w:r>
    </w:p>
    <w:p>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6"/>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pPr>
        <w:widowControl/>
        <w:jc w:val="center"/>
        <w:rPr>
          <w:rFonts w:hint="eastAsia" w:ascii="Times New Roman" w:hAnsi="Times New Roman" w:eastAsia="仿宋"/>
          <w:b w:val="0"/>
          <w:color w:val="auto"/>
          <w:highlight w:val="none"/>
        </w:rPr>
      </w:pPr>
      <w:bookmarkStart w:id="51" w:name="_Toc15396618"/>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48"/>
      <w:bookmarkEnd w:id="51"/>
      <w:bookmarkStart w:id="52"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0"/>
      <w:r>
        <w:rPr>
          <w:rFonts w:hint="eastAsia" w:ascii="Times New Roman" w:hAnsi="Times New Roman" w:eastAsia="仿宋_GB2312" w:cs="仿宋_GB2312"/>
          <w:color w:val="auto"/>
          <w:sz w:val="32"/>
          <w:szCs w:val="32"/>
          <w:highlight w:val="none"/>
        </w:rPr>
        <w:t>二、收入决算表</w:t>
      </w:r>
      <w:bookmarkEnd w:id="5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1"/>
      <w:r>
        <w:rPr>
          <w:rFonts w:hint="eastAsia" w:ascii="Times New Roman" w:hAnsi="Times New Roman" w:eastAsia="仿宋_GB2312" w:cs="仿宋_GB2312"/>
          <w:color w:val="auto"/>
          <w:sz w:val="32"/>
          <w:szCs w:val="32"/>
          <w:highlight w:val="none"/>
        </w:rPr>
        <w:t>三、支出决算表</w:t>
      </w:r>
      <w:bookmarkEnd w:id="5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2"/>
      <w:r>
        <w:rPr>
          <w:rFonts w:hint="eastAsia" w:ascii="Times New Roman" w:hAnsi="Times New Roman" w:eastAsia="仿宋_GB2312" w:cs="仿宋_GB2312"/>
          <w:color w:val="auto"/>
          <w:sz w:val="32"/>
          <w:szCs w:val="32"/>
          <w:highlight w:val="none"/>
        </w:rPr>
        <w:t>四、财政拨款收入支出决算总表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3"/>
      <w:r>
        <w:rPr>
          <w:rFonts w:hint="eastAsia" w:ascii="Times New Roman" w:hAnsi="Times New Roman" w:eastAsia="仿宋_GB2312" w:cs="仿宋_GB2312"/>
          <w:color w:val="auto"/>
          <w:sz w:val="32"/>
          <w:szCs w:val="32"/>
          <w:highlight w:val="none"/>
        </w:rPr>
        <w:t>五、财政拨款支出决算明细表</w:t>
      </w:r>
      <w:bookmarkEnd w:id="56"/>
      <w:bookmarkStart w:id="57"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5"/>
      <w:r>
        <w:rPr>
          <w:rFonts w:hint="eastAsia" w:ascii="Times New Roman" w:hAnsi="Times New Roman" w:eastAsia="仿宋_GB2312" w:cs="仿宋_GB2312"/>
          <w:color w:val="auto"/>
          <w:sz w:val="32"/>
          <w:szCs w:val="32"/>
          <w:highlight w:val="none"/>
        </w:rPr>
        <w:t>七、一般公共预算财政拨款支出决算明细表</w:t>
      </w:r>
      <w:bookmarkEnd w:id="5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6"/>
      <w:r>
        <w:rPr>
          <w:rFonts w:hint="eastAsia" w:ascii="Times New Roman" w:hAnsi="Times New Roman" w:eastAsia="仿宋_GB2312" w:cs="仿宋_GB2312"/>
          <w:color w:val="auto"/>
          <w:sz w:val="32"/>
          <w:szCs w:val="32"/>
          <w:highlight w:val="none"/>
        </w:rPr>
        <w:t>八、一般公共预算财政拨款基本支出决算表</w:t>
      </w:r>
      <w:bookmarkEnd w:id="5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7"/>
      <w:r>
        <w:rPr>
          <w:rFonts w:hint="eastAsia" w:ascii="Times New Roman" w:hAnsi="Times New Roman" w:eastAsia="仿宋_GB2312" w:cs="仿宋_GB2312"/>
          <w:color w:val="auto"/>
          <w:sz w:val="32"/>
          <w:szCs w:val="32"/>
          <w:highlight w:val="none"/>
        </w:rPr>
        <w:t>九、一般公共预算财政拨款项目支出决算表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8"/>
      <w:r>
        <w:rPr>
          <w:rFonts w:hint="eastAsia" w:ascii="Times New Roman" w:hAnsi="Times New Roman" w:eastAsia="仿宋_GB2312" w:cs="仿宋_GB2312"/>
          <w:color w:val="auto"/>
          <w:sz w:val="32"/>
          <w:szCs w:val="32"/>
          <w:highlight w:val="none"/>
        </w:rPr>
        <w:t>十、</w:t>
      </w:r>
      <w:bookmarkEnd w:id="61"/>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9"/>
      <w:r>
        <w:rPr>
          <w:rFonts w:hint="eastAsia" w:ascii="Times New Roman" w:hAnsi="Times New Roman" w:eastAsia="仿宋_GB2312" w:cs="仿宋_GB2312"/>
          <w:color w:val="auto"/>
          <w:sz w:val="32"/>
          <w:szCs w:val="32"/>
          <w:highlight w:val="none"/>
        </w:rPr>
        <w:t>十一、</w:t>
      </w:r>
      <w:bookmarkEnd w:id="6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30"/>
      <w:r>
        <w:rPr>
          <w:rFonts w:hint="eastAsia" w:ascii="Times New Roman" w:hAnsi="Times New Roman" w:eastAsia="仿宋_GB2312" w:cs="仿宋_GB2312"/>
          <w:color w:val="auto"/>
          <w:sz w:val="32"/>
          <w:szCs w:val="32"/>
          <w:highlight w:val="none"/>
        </w:rPr>
        <w:t>十二、</w:t>
      </w:r>
      <w:bookmarkEnd w:id="63"/>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4" w:name="_Toc15396631"/>
      <w:r>
        <w:rPr>
          <w:rFonts w:hint="eastAsia" w:ascii="Times New Roman" w:hAnsi="Times New Roman" w:eastAsia="仿宋_GB2312" w:cs="仿宋_GB2312"/>
          <w:color w:val="auto"/>
          <w:sz w:val="32"/>
          <w:szCs w:val="32"/>
          <w:highlight w:val="none"/>
        </w:rPr>
        <w:t>十三、</w:t>
      </w:r>
      <w:bookmarkEnd w:id="64"/>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仿宋_GB2312">
    <w:altName w:val="宋体"/>
    <w:panose1 w:val="00000000000000000000"/>
    <w:charset w:val="86"/>
    <w:family w:val="roman"/>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简体">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
    <w:nsid w:val="68A3DB49"/>
    <w:multiLevelType w:val="singleLevel"/>
    <w:tmpl w:val="68A3DB49"/>
    <w:lvl w:ilvl="0" w:tentative="0">
      <w:start w:val="1"/>
      <w:numFmt w:val="chineseCounting"/>
      <w:suff w:val="nothing"/>
      <w:lvlText w:val="%1、"/>
      <w:lvlJc w:val="left"/>
    </w:lvl>
  </w:abstractNum>
  <w:abstractNum w:abstractNumId="2">
    <w:nsid w:val="68A3EA18"/>
    <w:multiLevelType w:val="singleLevel"/>
    <w:tmpl w:val="68A3EA18"/>
    <w:lvl w:ilvl="0" w:tentative="0">
      <w:start w:val="1"/>
      <w:numFmt w:val="chineseCounting"/>
      <w:suff w:val="nothing"/>
      <w:lvlText w:val="%1、"/>
      <w:lvlJc w:val="left"/>
    </w:lvl>
  </w:abstractNum>
  <w:abstractNum w:abstractNumId="3">
    <w:nsid w:val="68A3EA30"/>
    <w:multiLevelType w:val="singleLevel"/>
    <w:tmpl w:val="68A3EA30"/>
    <w:lvl w:ilvl="0" w:tentative="0">
      <w:start w:val="3"/>
      <w:numFmt w:val="chineseCounting"/>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DA92AB9"/>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5EF2F34"/>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B650C7"/>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8E6FE4"/>
    <w:rsid w:val="53F74C96"/>
    <w:rsid w:val="54404889"/>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标题 1 Char"/>
    <w:basedOn w:val="17"/>
    <w:link w:val="3"/>
    <w:qFormat/>
    <w:uiPriority w:val="9"/>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0"/>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7">
    <w:name w:val="heading 2 Char"/>
    <w:basedOn w:val="17"/>
    <w:link w:val="4"/>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915;&#31639;&#22270;&#24418;\2022&#24180;&#20915;&#31639;&#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915;&#31639;&#22270;&#24418;\2022&#24180;&#20915;&#31639;&#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915;&#31639;&#22270;&#24418;\2022&#24180;&#20915;&#31639;&#2227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915;&#31639;&#22270;&#24418;\2022&#24180;&#20915;&#31639;&#2227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915;&#31639;&#22270;&#24418;\2022&#24180;&#20915;&#31639;&#2227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0915;&#31639;&#22270;&#24418;\2022&#24180;&#20915;&#31639;&#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915;&#31639;&#22270;&#24418;\&#20915;&#31639;&#30011;&#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102"/>
    </mc:Choice>
    <mc:Fallback>
      <c:style val="1000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收、支决算对比图</a:t>
            </a:r>
          </a:p>
        </c:rich>
      </c:tx>
      <c:layout/>
      <c:overlay val="0"/>
      <c:spPr>
        <a:noFill/>
        <a:ln>
          <a:noFill/>
        </a:ln>
        <a:effectLst/>
      </c:spPr>
    </c:title>
    <c:autoTitleDeleted val="0"/>
    <c:plotArea>
      <c:layout/>
      <c:barChart>
        <c:barDir val="col"/>
        <c:grouping val="clustered"/>
        <c:varyColors val="0"/>
        <c:ser>
          <c:idx val="0"/>
          <c:order val="0"/>
          <c:tx>
            <c:strRef>
              <c:f>[2022年决算图.xlsx]Sheet1!$A$5</c:f>
              <c:strCache>
                <c:ptCount val="1"/>
                <c:pt idx="0">
                  <c:v>财政拨款收入收入（万元）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[2022年决算图.xlsx]Sheet1!$B$4:$C$4</c:f>
              <c:strCache>
                <c:ptCount val="2"/>
                <c:pt idx="0">
                  <c:v>2023年</c:v>
                </c:pt>
                <c:pt idx="1">
                  <c:v>2024年</c:v>
                </c:pt>
              </c:strCache>
            </c:strRef>
          </c:cat>
          <c:val>
            <c:numRef>
              <c:f>[2022年决算图.xlsx]Sheet1!$B$5:$C$5</c:f>
              <c:numCache>
                <c:formatCode>General</c:formatCode>
                <c:ptCount val="2"/>
                <c:pt idx="0">
                  <c:v>1262.57</c:v>
                </c:pt>
                <c:pt idx="1">
                  <c:v>1074.7</c:v>
                </c:pt>
              </c:numCache>
            </c:numRef>
          </c:val>
        </c:ser>
        <c:ser>
          <c:idx val="1"/>
          <c:order val="1"/>
          <c:tx>
            <c:strRef>
              <c:f>[2022年决算图.xlsx]Sheet1!$A$6</c:f>
              <c:strCache>
                <c:ptCount val="1"/>
                <c:pt idx="0">
                  <c:v>财政拨款支出（万元）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[2022年决算图.xlsx]Sheet1!$B$4:$C$4</c:f>
              <c:strCache>
                <c:ptCount val="2"/>
                <c:pt idx="0">
                  <c:v>2023年</c:v>
                </c:pt>
                <c:pt idx="1">
                  <c:v>2024年</c:v>
                </c:pt>
              </c:strCache>
            </c:strRef>
          </c:cat>
          <c:val>
            <c:numRef>
              <c:f>[2022年决算图.xlsx]Sheet1!$B$6:$C$6</c:f>
              <c:numCache>
                <c:formatCode>General</c:formatCode>
                <c:ptCount val="2"/>
                <c:pt idx="0">
                  <c:v>1262.57</c:v>
                </c:pt>
                <c:pt idx="1">
                  <c:v>1074.7</c:v>
                </c:pt>
              </c:numCache>
            </c:numRef>
          </c:val>
        </c:ser>
        <c:dLbls>
          <c:showLegendKey val="0"/>
          <c:showVal val="1"/>
          <c:showCatName val="0"/>
          <c:showSerName val="0"/>
          <c:showPercent val="0"/>
          <c:showBubbleSize val="0"/>
        </c:dLbls>
        <c:gapWidth val="260"/>
        <c:overlap val="-32"/>
        <c:axId val="40071552"/>
        <c:axId val="40073088"/>
      </c:barChart>
      <c:catAx>
        <c:axId val="400715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73088"/>
        <c:crosses val="autoZero"/>
        <c:auto val="1"/>
        <c:lblAlgn val="ctr"/>
        <c:lblOffset val="100"/>
        <c:noMultiLvlLbl val="0"/>
      </c:catAx>
      <c:valAx>
        <c:axId val="4007308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7155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2024年总收入情况占比图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[2022年决算图.xlsx]Sheet1!$A$28:$A$35</c:f>
              <c:strCache>
                <c:ptCount val="8"/>
                <c:pt idx="0">
                  <c:v>总收入结构情况</c:v>
                </c:pt>
                <c:pt idx="1">
                  <c:v>一般公共预算财政拨款收入（万元）</c:v>
                </c:pt>
                <c:pt idx="2">
                  <c:v>政府性基金预算财政拨款收入（万元）</c:v>
                </c:pt>
                <c:pt idx="3">
                  <c:v>国有资本经营预算财政拨款收入（万元）</c:v>
                </c:pt>
                <c:pt idx="4">
                  <c:v>事业收入（万元）</c:v>
                </c:pt>
                <c:pt idx="5">
                  <c:v>经营收入（万元）</c:v>
                </c:pt>
                <c:pt idx="6">
                  <c:v>附属单位上缴收入（万元）</c:v>
                </c:pt>
                <c:pt idx="7">
                  <c:v>其他收入（万元）</c:v>
                </c:pt>
              </c:strCache>
            </c:strRef>
          </c:cat>
          <c:val>
            <c:numRef>
              <c:f>[2022年决算图.xlsx]Sheet1!$B$28:$B$35</c:f>
              <c:numCache>
                <c:formatCode>General</c:formatCode>
                <c:ptCount val="8"/>
                <c:pt idx="1">
                  <c:v>1074.7</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rgbClr val="0000FF"/>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altLang="en-US"/>
              <a:t>年决算支出情况图</a:t>
            </a:r>
            <a:endParaRPr altLang="en-US"/>
          </a:p>
        </c:rich>
      </c:tx>
      <c:layout/>
      <c:overlay val="0"/>
      <c:spPr>
        <a:noFill/>
        <a:ln>
          <a:noFill/>
        </a:ln>
        <a:effectLst/>
      </c:spPr>
    </c:title>
    <c:autoTitleDeleted val="0"/>
    <c:plotArea>
      <c:layout/>
      <c:pieChart>
        <c:varyColors val="1"/>
        <c:ser>
          <c:idx val="0"/>
          <c:order val="0"/>
          <c:tx>
            <c:strRef>
              <c:f>[2022年决算图.xlsx]Sheet1!$B$39</c:f>
              <c:strCache>
                <c:ptCount val="1"/>
                <c:pt idx="0">
                  <c:v>支出决算结构图</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[2022年决算图.xlsx]Sheet1!$A$40:$A$44</c:f>
              <c:strCache>
                <c:ptCount val="5"/>
                <c:pt idx="0">
                  <c:v>基本支出（万元）</c:v>
                </c:pt>
                <c:pt idx="1">
                  <c:v>项目支出（万元）</c:v>
                </c:pt>
                <c:pt idx="2">
                  <c:v>上缴上级支出（万元）</c:v>
                </c:pt>
                <c:pt idx="3">
                  <c:v>经营支出（万元）</c:v>
                </c:pt>
                <c:pt idx="4">
                  <c:v>对附属单位补助支出（万元）</c:v>
                </c:pt>
              </c:strCache>
            </c:strRef>
          </c:cat>
          <c:val>
            <c:numRef>
              <c:f>[2022年决算图.xlsx]Sheet1!$B$40:$B$44</c:f>
              <c:numCache>
                <c:formatCode>General</c:formatCode>
                <c:ptCount val="5"/>
                <c:pt idx="0">
                  <c:v>863.49</c:v>
                </c:pt>
                <c:pt idx="1">
                  <c:v>211.21</c:v>
                </c:pt>
              </c:numCache>
            </c:numRef>
          </c:val>
        </c:ser>
        <c:ser>
          <c:idx val="1"/>
          <c:order val="1"/>
          <c:tx>
            <c:strRef>
              <c:f>[2022年决算图.xlsx]Sheet1!$C$39</c:f>
              <c:strCache>
                <c:ptCount val="1"/>
                <c:pt idx="0">
                  <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[2022年决算图.xlsx]Sheet1!$A$40:$A$44</c:f>
              <c:strCache>
                <c:ptCount val="5"/>
                <c:pt idx="0">
                  <c:v>基本支出（万元）</c:v>
                </c:pt>
                <c:pt idx="1">
                  <c:v>项目支出（万元）</c:v>
                </c:pt>
                <c:pt idx="2">
                  <c:v>上缴上级支出（万元）</c:v>
                </c:pt>
                <c:pt idx="3">
                  <c:v>经营支出（万元）</c:v>
                </c:pt>
                <c:pt idx="4">
                  <c:v>对附属单位补助支出（万元）</c:v>
                </c:pt>
              </c:strCache>
            </c:strRef>
          </c:cat>
          <c:val>
            <c:numRef>
              <c:f>[2022年决算图.xlsx]Sheet1!$C$40:$C$44</c:f>
              <c:numCache>
                <c:formatCode>General</c:formatCode>
                <c:ptCount val="5"/>
              </c:numCache>
            </c:numRef>
          </c:val>
        </c:ser>
        <c:dLbls>
          <c:showLegendKey val="0"/>
          <c:showVal val="1"/>
          <c:showCatName val="0"/>
          <c:showSerName val="0"/>
          <c:showPercent val="0"/>
          <c:showBubbleSize val="0"/>
          <c:showLeaderLines val="1"/>
        </c:dLbls>
        <c:firstSliceAng val="0"/>
      </c:pieChart>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财政拨款收、支决算总计变动情况</a:t>
            </a:r>
            <a:endParaRPr lang="zh-CN" altLang="en-US"/>
          </a:p>
        </c:rich>
      </c:tx>
      <c:layout/>
      <c:overlay val="0"/>
    </c:title>
    <c:autoTitleDeleted val="0"/>
    <c:plotArea>
      <c:layout/>
      <c:barChart>
        <c:barDir val="col"/>
        <c:grouping val="clustered"/>
        <c:varyColors val="0"/>
        <c:ser>
          <c:idx val="0"/>
          <c:order val="0"/>
          <c:tx>
            <c:strRef>
              <c:f>[2022年决算图.xlsx]Sheet1!$A$59</c:f>
              <c:strCache>
                <c:ptCount val="1"/>
                <c:pt idx="0">
                  <c:v>收入（万元）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[2022年决算图.xlsx]Sheet1!$B$58:$C$58</c:f>
              <c:strCache>
                <c:ptCount val="2"/>
                <c:pt idx="0">
                  <c:v>2023年</c:v>
                </c:pt>
                <c:pt idx="1">
                  <c:v>2024年</c:v>
                </c:pt>
              </c:strCache>
            </c:strRef>
          </c:cat>
          <c:val>
            <c:numRef>
              <c:f>[2022年决算图.xlsx]Sheet1!$B$59:$C$59</c:f>
              <c:numCache>
                <c:formatCode>General</c:formatCode>
                <c:ptCount val="2"/>
                <c:pt idx="0">
                  <c:v>1262.57</c:v>
                </c:pt>
                <c:pt idx="1">
                  <c:v>1074.7</c:v>
                </c:pt>
              </c:numCache>
            </c:numRef>
          </c:val>
        </c:ser>
        <c:ser>
          <c:idx val="1"/>
          <c:order val="1"/>
          <c:tx>
            <c:strRef>
              <c:f>[2022年决算图.xlsx]Sheet1!$A$60</c:f>
              <c:strCache>
                <c:ptCount val="1"/>
                <c:pt idx="0">
                  <c:v>支出（万元）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[2022年决算图.xlsx]Sheet1!$B$58:$C$58</c:f>
              <c:strCache>
                <c:ptCount val="2"/>
                <c:pt idx="0">
                  <c:v>2023年</c:v>
                </c:pt>
                <c:pt idx="1">
                  <c:v>2024年</c:v>
                </c:pt>
              </c:strCache>
            </c:strRef>
          </c:cat>
          <c:val>
            <c:numRef>
              <c:f>[2022年决算图.xlsx]Sheet1!$B$60:$C$60</c:f>
              <c:numCache>
                <c:formatCode>General</c:formatCode>
                <c:ptCount val="2"/>
                <c:pt idx="0">
                  <c:v>1262.57</c:v>
                </c:pt>
                <c:pt idx="1">
                  <c:v>1074.7</c:v>
                </c:pt>
              </c:numCache>
            </c:numRef>
          </c:val>
        </c:ser>
        <c:dLbls>
          <c:showLegendKey val="0"/>
          <c:showVal val="0"/>
          <c:showCatName val="0"/>
          <c:showSerName val="0"/>
          <c:showPercent val="0"/>
          <c:showBubbleSize val="0"/>
        </c:dLbls>
        <c:gapWidth val="150"/>
        <c:axId val="97480064"/>
        <c:axId val="97494912"/>
      </c:barChart>
      <c:catAx>
        <c:axId val="9748006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7494912"/>
        <c:crosses val="autoZero"/>
        <c:auto val="1"/>
        <c:lblAlgn val="ctr"/>
        <c:lblOffset val="100"/>
        <c:noMultiLvlLbl val="0"/>
      </c:catAx>
      <c:valAx>
        <c:axId val="9749491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748006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[2022年决算图.xlsx]Sheet1!$B$81</c:f>
              <c:strCache>
                <c:ptCount val="1"/>
                <c:pt idx="0">
                  <c:v>一般公共预算财政拨款支出决算变动情况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[2022年决算图.xlsx]Sheet1!$A$82:$A$83</c:f>
              <c:strCache>
                <c:ptCount val="2"/>
                <c:pt idx="0">
                  <c:v>2023年（万元）</c:v>
                </c:pt>
                <c:pt idx="1">
                  <c:v>2024年（万元）</c:v>
                </c:pt>
              </c:strCache>
            </c:strRef>
          </c:cat>
          <c:val>
            <c:numRef>
              <c:f>[2022年决算图.xlsx]Sheet1!$B$82:$B$83</c:f>
              <c:numCache>
                <c:formatCode>General</c:formatCode>
                <c:ptCount val="2"/>
                <c:pt idx="0">
                  <c:v>1262.57</c:v>
                </c:pt>
                <c:pt idx="1">
                  <c:v>1074.7</c:v>
                </c:pt>
              </c:numCache>
            </c:numRef>
          </c:val>
        </c:ser>
        <c:dLbls>
          <c:showLegendKey val="0"/>
          <c:showVal val="1"/>
          <c:showCatName val="0"/>
          <c:showSerName val="0"/>
          <c:showPercent val="0"/>
          <c:showBubbleSize val="0"/>
        </c:dLbls>
        <c:gapWidth val="150"/>
        <c:axId val="121946880"/>
        <c:axId val="121948800"/>
      </c:barChart>
      <c:catAx>
        <c:axId val="12194688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948800"/>
        <c:crosses val="autoZero"/>
        <c:auto val="1"/>
        <c:lblAlgn val="ctr"/>
        <c:lblOffset val="100"/>
        <c:noMultiLvlLbl val="0"/>
      </c:catAx>
      <c:valAx>
        <c:axId val="1219488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94688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一般公共预算财政拨款支出决算结构</a:t>
            </a:r>
            <a:endParaRPr lang="en-US" altLang="zh-CN"/>
          </a:p>
        </c:rich>
      </c:tx>
      <c:layout/>
      <c:overlay val="0"/>
    </c:title>
    <c:autoTitleDeleted val="0"/>
    <c:plotArea>
      <c:layout/>
      <c:pieChart>
        <c:varyColors val="1"/>
        <c:ser>
          <c:idx val="0"/>
          <c:order val="0"/>
          <c:tx>
            <c:strRef>
              <c:f>[2022年决算图.xlsx]Sheet1!$B$100</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1"/>
              <c:layout>
                <c:manualLayout>
                  <c:x val="-0.0307154418197725"/>
                  <c:y val="-0.024292432195975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39479440069991"/>
                  <c:y val="-0.08861694371536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6500437445319"/>
                  <c:y val="-0.03892607174103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[2022年决算图.xlsx]Sheet1!$A$101:$A$104</c:f>
              <c:strCache>
                <c:ptCount val="4"/>
                <c:pt idx="0">
                  <c:v>一般公共服务支出（万元）</c:v>
                </c:pt>
                <c:pt idx="1">
                  <c:v>社会保障和就业支出（万元）</c:v>
                </c:pt>
                <c:pt idx="2">
                  <c:v>卫生健康支出（万元）</c:v>
                </c:pt>
                <c:pt idx="3">
                  <c:v>住房保障支出（万元）</c:v>
                </c:pt>
              </c:strCache>
            </c:strRef>
          </c:cat>
          <c:val>
            <c:numRef>
              <c:f>[2022年决算图.xlsx]Sheet1!$B$101:$B$104</c:f>
              <c:numCache>
                <c:formatCode>General</c:formatCode>
                <c:ptCount val="4"/>
                <c:pt idx="0">
                  <c:v>825.17</c:v>
                </c:pt>
                <c:pt idx="1">
                  <c:v>141.33</c:v>
                </c:pt>
                <c:pt idx="2">
                  <c:v>46.7</c:v>
                </c:pt>
                <c:pt idx="3">
                  <c:v>61.49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'[决算画图模板(1).xlsx]Sheet1'!$E$29</c:f>
              <c:strCache>
                <c:ptCount val="1"/>
                <c:pt idx="0">
                  <c:v>2024年“三公”经费对比图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'[决算画图模板(1).xlsx]Sheet1'!$D$30:$D$35</c:f>
              <c:strCache>
                <c:ptCount val="6"/>
                <c:pt idx="0">
                  <c:v>2024公务用车购置及运行维护费支出(万元）</c:v>
                </c:pt>
                <c:pt idx="1">
                  <c:v>2023公务接待费支出(万元）</c:v>
                </c:pt>
                <c:pt idx="2">
                  <c:v>2023年因公出国(万元）</c:v>
                </c:pt>
                <c:pt idx="3">
                  <c:v>2023公务用车购置及运行维护费支出(万元）</c:v>
                </c:pt>
                <c:pt idx="4">
                  <c:v>2022公务接待费支出(万元）</c:v>
                </c:pt>
                <c:pt idx="5">
                  <c:v>2022年因公出国(万元）</c:v>
                </c:pt>
              </c:strCache>
            </c:strRef>
          </c:cat>
          <c:val>
            <c:numRef>
              <c:f>'[决算画图模板(1).xlsx]Sheet1'!$E$30:$E$35</c:f>
              <c:numCache>
                <c:formatCode>General</c:formatCode>
                <c:ptCount val="6"/>
                <c:pt idx="0">
                  <c:v>30.41</c:v>
                </c:pt>
                <c:pt idx="1">
                  <c:v>0</c:v>
                </c:pt>
                <c:pt idx="2">
                  <c:v>0</c:v>
                </c:pt>
                <c:pt idx="3">
                  <c:v>30.56</c:v>
                </c:pt>
                <c:pt idx="4">
                  <c:v>0</c:v>
                </c:pt>
                <c:pt idx="5">
                  <c:v>0</c:v>
                </c:pt>
              </c:numCache>
            </c:numRef>
          </c:val>
        </c:ser>
        <c:dLbls>
          <c:showLegendKey val="0"/>
          <c:showVal val="1"/>
          <c:showCatName val="0"/>
          <c:showSerName val="0"/>
          <c:showPercent val="0"/>
          <c:showBubbleSize val="0"/>
        </c:dLbls>
        <c:gapWidth val="246"/>
        <c:overlap val="-28"/>
        <c:axId val="261700628"/>
        <c:axId val="320030105"/>
      </c:barChart>
      <c:catAx>
        <c:axId val="2617006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0030105"/>
        <c:crosses val="autoZero"/>
        <c:auto val="1"/>
        <c:lblAlgn val="ctr"/>
        <c:lblOffset val="100"/>
        <c:noMultiLvlLbl val="0"/>
      </c:catAx>
      <c:valAx>
        <c:axId val="32003010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17006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ScaleCrop>false</ScaleCrop>
  <LinksUpToDate>false</LinksUpToDate>
  <CharactersWithSpaces>8692</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邓学雍</cp:lastModifiedBy>
  <cp:lastPrinted>2025-08-06T17:34:00Z</cp:lastPrinted>
  <dcterms:modified xsi:type="dcterms:W3CDTF">2025-08-19T03:19:05Z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y fmtid="{D5CDD505-2E9C-101B-9397-08002B2CF9AE}" pid="3" name="ICV">
    <vt:lpwstr>04787F2533EB45DC91BCDE4AB213247F</vt:lpwstr>
  </property>
</Properties>
</file>