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0" w:name="_Toc15377193"/>
      <w:bookmarkStart w:id="1" w:name="_Toc15396475"/>
      <w:bookmarkStart w:id="2" w:name="_Toc15396597"/>
      <w:bookmarkStart w:id="3" w:name="_Toc15377425"/>
      <w:bookmarkStart w:id="4" w:name="_Toc15378441"/>
      <w:r>
        <w:rPr>
          <w:rFonts w:ascii="黑体" w:eastAsia="黑体" w:hint="eastAsia"/>
          <w:color w:val="000000"/>
          <w:sz w:val="72"/>
          <w:szCs w:val="72"/>
        </w:rPr>
        <w:t>202</w:t>
      </w:r>
      <w:r>
        <w:rPr>
          <w:rFonts w:ascii="黑体" w:eastAsia="黑体" w:hint="eastAsia"/>
          <w:color w:val="000000"/>
          <w:sz w:val="72"/>
          <w:szCs w:val="72"/>
          <w:lang w:val="en-US" w:eastAsia="zh-CN"/>
        </w:rPr>
        <w:t>2</w:t>
      </w:r>
      <w:r>
        <w:rPr>
          <w:rFonts w:ascii="黑体" w:eastAsia="黑体" w:hint="eastAsia"/>
          <w:color w:val="000000"/>
          <w:sz w:val="72"/>
          <w:szCs w:val="72"/>
        </w:rPr>
        <w:t>年</w:t>
      </w:r>
      <w:r>
        <w:rPr>
          <w:rFonts w:ascii="方正小标宋简体" w:eastAsia="方正小标宋简体" w:hint="eastAsia"/>
          <w:color w:val="000000"/>
          <w:sz w:val="72"/>
          <w:szCs w:val="72"/>
        </w:rPr>
        <w:t>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olor w:val="000000"/>
          <w:sz w:val="72"/>
          <w:szCs w:val="72"/>
        </w:rPr>
      </w:pPr>
      <w:bookmarkStart w:id="5" w:name="_Toc15377426"/>
      <w:bookmarkStart w:id="6" w:name="_Toc15377194"/>
      <w:bookmarkStart w:id="7" w:name="_Toc15306268"/>
      <w:bookmarkStart w:id="8" w:name="_Toc15378442"/>
      <w:bookmarkStart w:id="9" w:name="_Toc15396476"/>
      <w:bookmarkStart w:id="10" w:name="_Toc15396598"/>
      <w:r>
        <w:rPr>
          <w:rFonts w:ascii="方正小标宋简体" w:eastAsia="方正小标宋简体" w:hint="eastAsia"/>
          <w:color w:val="000000"/>
          <w:sz w:val="72"/>
          <w:szCs w:val="72"/>
        </w:rPr>
        <w:t>中国人民政治协商会议四川省金川县委员会办公室决算</w:t>
      </w:r>
      <w:bookmarkEnd w:id="5"/>
      <w:bookmarkEnd w:id="6"/>
      <w:bookmarkEnd w:id="7"/>
      <w:bookmarkEnd w:id="8"/>
      <w:bookmarkEnd w:id="9"/>
      <w:bookmarkEnd w:id="10"/>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spacing w:line="460" w:lineRule="exact"/>
        <w:jc w:val="center"/>
        <w:rPr>
          <w:rFonts w:ascii="仿宋_GB2312" w:eastAsia="仿宋_GB2312" w:cs="仿宋_GB2312" w:hint="eastAsia"/>
          <w:b/>
          <w:bCs/>
          <w:color w:val="000000"/>
          <w:sz w:val="28"/>
          <w:szCs w:val="28"/>
        </w:rPr>
      </w:pPr>
      <w:r>
        <w:rPr>
          <w:rFonts w:ascii="方正小标宋简体" w:eastAsia="方正小标宋简体"/>
          <w:color w:val="000000"/>
          <w:sz w:val="36"/>
          <w:szCs w:val="36"/>
        </w:rPr>
        <w:br w:type="page"/>
      </w:r>
      <w:r>
        <w:rPr>
          <w:rFonts w:ascii="仿宋_GB2312" w:eastAsia="仿宋_GB2312" w:cs="仿宋_GB2312" w:hint="eastAsia"/>
          <w:b/>
          <w:bCs/>
          <w:color w:val="000000"/>
          <w:sz w:val="28"/>
          <w:szCs w:val="28"/>
        </w:rPr>
        <w:t>目</w:t>
      </w:r>
      <w:r>
        <w:rPr>
          <w:rFonts w:ascii="仿宋_GB2312" w:eastAsia="仿宋_GB2312" w:cs="仿宋_GB2312" w:hint="eastAsia"/>
          <w:b/>
          <w:bCs/>
          <w:color w:val="000000"/>
          <w:sz w:val="28"/>
          <w:szCs w:val="28"/>
          <w:lang w:eastAsia="zh-CN"/>
        </w:rPr>
        <w:t>　　</w:t>
      </w:r>
      <w:r>
        <w:rPr>
          <w:rFonts w:ascii="仿宋_GB2312" w:eastAsia="仿宋_GB2312" w:cs="仿宋_GB2312" w:hint="eastAsia"/>
          <w:b/>
          <w:bCs/>
          <w:color w:val="000000"/>
          <w:sz w:val="28"/>
          <w:szCs w:val="28"/>
        </w:rPr>
        <w:t>录</w:t>
      </w:r>
    </w:p>
    <w:p>
      <w:pPr>
        <w:pStyle w:val="15"/>
        <w:jc w:val="cente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8</w:t>
      </w:r>
      <w:r>
        <w:rPr>
          <w:rFonts w:ascii="Times New Roman" w:cs="Times New Roman" w:hAnsi="Times New Roman"/>
        </w:rPr>
        <w:t>日</w:t>
      </w:r>
    </w:p>
    <w:p>
      <w:pPr>
        <w:pStyle w:val="20"/>
        <w:tabs>
          <w:tab w:val="clear" w:pos="8296"/>
          <w:tab w:val="right" w:leader="dot" w:pos="8306"/>
        </w:tabs>
      </w:pPr>
      <w:bookmarkStart w:id="11" w:name="_Toc15377196"/>
      <w:bookmarkStart w:id="12" w:name="_Toc15396599"/>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TOC \o "1-4" \f \h </w:instrText>
      </w:r>
      <w:r>
        <w:rPr>
          <w:rFonts w:ascii="仿宋_GB2312" w:eastAsia="仿宋_GB2312" w:cs="仿宋_GB2312" w:hint="eastAsia"/>
          <w:sz w:val="28"/>
          <w:szCs w:val="28"/>
        </w:rPr>
        <w:fldChar w:fldCharType="separate"/>
      </w: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_Toc1175253695 </w:instrText>
      </w:r>
      <w:r>
        <w:rPr>
          <w:rFonts w:ascii="仿宋_GB2312" w:eastAsia="仿宋_GB2312" w:cs="仿宋_GB2312" w:hint="eastAsia"/>
          <w:szCs w:val="28"/>
        </w:rPr>
        <w:fldChar w:fldCharType="separate"/>
      </w:r>
      <w:r>
        <w:rPr>
          <w:rFonts w:ascii="黑体" w:eastAsia="黑体" w:hint="eastAsia"/>
        </w:rPr>
        <w:t xml:space="preserve">第一部分 </w:t>
      </w:r>
      <w:r>
        <w:rPr>
          <w:rFonts w:ascii="黑体" w:eastAsia="黑体" w:hint="eastAsia"/>
          <w:bCs w:val="0"/>
        </w:rPr>
        <w:t>部门概况</w:t>
      </w:r>
      <w:r>
        <w:tab/>
      </w:r>
      <w:r>
        <w:fldChar w:fldCharType="begin"/>
      </w:r>
      <w:r>
        <w:instrText xml:space="preserve"> PAGEREF _Toc1175253695 \h </w:instrText>
      </w:r>
      <w:r>
        <w:fldChar w:fldCharType="separate"/>
      </w:r>
      <w:r>
        <w:t>3</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_Toc988243489 </w:instrText>
      </w:r>
      <w:r>
        <w:rPr>
          <w:rFonts w:ascii="仿宋_GB2312" w:eastAsia="仿宋_GB2312" w:cs="仿宋_GB2312" w:hint="eastAsia"/>
          <w:szCs w:val="28"/>
        </w:rPr>
        <w:fldChar w:fldCharType="separate"/>
      </w:r>
      <w:r>
        <w:rPr>
          <w:rFonts w:ascii="黑体" w:eastAsia="黑体" w:hint="eastAsia"/>
        </w:rPr>
        <w:t>一、基</w:t>
      </w:r>
      <w:r>
        <w:rPr>
          <w:rFonts w:ascii="黑体" w:eastAsia="黑体" w:hint="eastAsia"/>
          <w:bCs w:val="0"/>
        </w:rPr>
        <w:t>本职能及主要工作</w:t>
      </w:r>
      <w:r>
        <w:tab/>
      </w:r>
      <w:r>
        <w:fldChar w:fldCharType="begin"/>
      </w:r>
      <w:r>
        <w:instrText xml:space="preserve"> PAGEREF _Toc988243489 \h </w:instrText>
      </w:r>
      <w:r>
        <w:fldChar w:fldCharType="separate"/>
      </w:r>
      <w:r>
        <w:t>3</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_Toc1818907833 </w:instrText>
      </w:r>
      <w:r>
        <w:rPr>
          <w:rFonts w:ascii="仿宋_GB2312" w:eastAsia="仿宋_GB2312" w:cs="仿宋_GB2312" w:hint="eastAsia"/>
          <w:szCs w:val="28"/>
        </w:rPr>
        <w:fldChar w:fldCharType="separate"/>
      </w:r>
      <w:r>
        <w:rPr>
          <w:rFonts w:ascii="楷体" w:eastAsia="楷体" w:cs="楷体" w:hint="eastAsia"/>
        </w:rPr>
        <w:t>（一）主要职能</w:t>
      </w:r>
      <w:r>
        <w:tab/>
      </w:r>
      <w:r>
        <w:fldChar w:fldCharType="begin"/>
      </w:r>
      <w:r>
        <w:instrText xml:space="preserve"> PAGEREF _Toc1818907833 \h </w:instrText>
      </w:r>
      <w:r>
        <w:fldChar w:fldCharType="separate"/>
      </w:r>
      <w:r>
        <w:t>3</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_Toc2007512314 </w:instrText>
      </w:r>
      <w:r>
        <w:rPr>
          <w:rFonts w:ascii="仿宋_GB2312" w:eastAsia="仿宋_GB2312" w:cs="仿宋_GB2312" w:hint="eastAsia"/>
          <w:szCs w:val="28"/>
        </w:rPr>
        <w:fldChar w:fldCharType="separate"/>
      </w:r>
      <w:r>
        <w:rPr>
          <w:rFonts w:ascii="楷体" w:eastAsia="楷体" w:cs="楷体" w:hint="eastAsia"/>
        </w:rPr>
        <w:t>（二）202</w:t>
      </w:r>
      <w:r>
        <w:rPr>
          <w:rFonts w:ascii="楷体" w:eastAsia="楷体" w:cs="楷体" w:hint="eastAsia"/>
          <w:lang w:val="en-US" w:eastAsia="zh-CN"/>
        </w:rPr>
        <w:t>2</w:t>
      </w:r>
      <w:r>
        <w:rPr>
          <w:rFonts w:ascii="楷体" w:eastAsia="楷体" w:cs="楷体" w:hint="eastAsia"/>
        </w:rPr>
        <w:t>年重点工作完成情况</w:t>
      </w:r>
      <w:r>
        <w:tab/>
      </w:r>
      <w:r>
        <w:fldChar w:fldCharType="begin"/>
      </w:r>
      <w:r>
        <w:instrText xml:space="preserve"> PAGEREF _Toc2007512314 \h </w:instrText>
      </w:r>
      <w:r>
        <w:fldChar w:fldCharType="separate"/>
      </w:r>
      <w:r>
        <w:t>3</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_Toc1089406214 </w:instrText>
      </w:r>
      <w:r>
        <w:rPr>
          <w:rFonts w:ascii="仿宋_GB2312" w:eastAsia="仿宋_GB2312" w:cs="仿宋_GB2312" w:hint="eastAsia"/>
          <w:szCs w:val="28"/>
        </w:rPr>
        <w:fldChar w:fldCharType="separate"/>
      </w:r>
      <w:r>
        <w:rPr>
          <w:rFonts w:ascii="黑体" w:eastAsia="黑体" w:hint="eastAsia"/>
          <w:bCs w:val="0"/>
        </w:rPr>
        <w:t>二、机构设置</w:t>
      </w:r>
      <w:r>
        <w:tab/>
      </w:r>
      <w:r>
        <w:fldChar w:fldCharType="begin"/>
      </w:r>
      <w:r>
        <w:instrText xml:space="preserve"> PAGEREF _Toc1089406214 \h </w:instrText>
      </w:r>
      <w:r>
        <w:fldChar w:fldCharType="separate"/>
      </w:r>
      <w:r>
        <w:t>4</w:t>
      </w:r>
      <w:r>
        <w:fldChar w:fldCharType="end"/>
      </w:r>
      <w:r>
        <w:rPr>
          <w:rFonts w:ascii="仿宋_GB2312" w:eastAsia="仿宋_GB2312" w:cs="仿宋_GB2312" w:hint="eastAsia"/>
          <w:szCs w:val="28"/>
        </w:rPr>
        <w:fldChar w:fldCharType="end"/>
      </w:r>
    </w:p>
    <w:p>
      <w:pPr>
        <w:pStyle w:val="20"/>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_Toc1345414626 </w:instrText>
      </w:r>
      <w:r>
        <w:rPr>
          <w:rFonts w:ascii="仿宋_GB2312" w:eastAsia="仿宋_GB2312" w:cs="仿宋_GB2312" w:hint="eastAsia"/>
          <w:szCs w:val="28"/>
        </w:rPr>
        <w:fldChar w:fldCharType="separate"/>
      </w:r>
      <w:r>
        <w:rPr>
          <w:rFonts w:ascii="黑体" w:eastAsia="黑体" w:hint="eastAsia"/>
        </w:rPr>
        <w:t xml:space="preserve">第二部分 </w:t>
      </w:r>
      <w:r>
        <w:rPr>
          <w:rFonts w:ascii="黑体" w:eastAsia="黑体" w:hint="eastAsia"/>
          <w:bCs w:val="0"/>
        </w:rPr>
        <w:t>202</w:t>
      </w:r>
      <w:r>
        <w:rPr>
          <w:rFonts w:ascii="黑体" w:eastAsia="黑体" w:hint="eastAsia"/>
          <w:bCs w:val="0"/>
          <w:lang w:val="en-US" w:eastAsia="zh-CN"/>
        </w:rPr>
        <w:t>2</w:t>
      </w:r>
      <w:r>
        <w:rPr>
          <w:rFonts w:ascii="黑体" w:eastAsia="黑体" w:hint="eastAsia"/>
          <w:bCs w:val="0"/>
        </w:rPr>
        <w:t>年度部门决算情况说明</w:t>
      </w:r>
      <w:r>
        <w:tab/>
      </w:r>
      <w:r>
        <w:fldChar w:fldCharType="begin"/>
      </w:r>
      <w:r>
        <w:instrText xml:space="preserve"> PAGEREF _Toc1345414626 \h </w:instrText>
      </w:r>
      <w:r>
        <w:fldChar w:fldCharType="separate"/>
      </w:r>
      <w:r>
        <w:t>5</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_Toc1923963749 </w:instrText>
      </w:r>
      <w:r>
        <w:rPr>
          <w:rFonts w:ascii="仿宋_GB2312" w:eastAsia="仿宋_GB2312" w:cs="仿宋_GB2312" w:hint="eastAsia"/>
          <w:szCs w:val="28"/>
        </w:rPr>
        <w:fldChar w:fldCharType="separate"/>
      </w:r>
      <w:r>
        <w:rPr>
          <w:rFonts w:ascii="黑体" w:eastAsia="黑体" w:hint="eastAsia"/>
        </w:rPr>
        <w:t>一、收入支出决算总体情况说明</w:t>
      </w:r>
      <w:r>
        <w:tab/>
      </w:r>
      <w:r>
        <w:fldChar w:fldCharType="begin"/>
      </w:r>
      <w:r>
        <w:instrText xml:space="preserve"> PAGEREF _Toc1923963749 \h </w:instrText>
      </w:r>
      <w:r>
        <w:fldChar w:fldCharType="separate"/>
      </w:r>
      <w:r>
        <w:t>5</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_Toc2036075442 </w:instrText>
      </w:r>
      <w:r>
        <w:rPr>
          <w:rFonts w:ascii="仿宋_GB2312" w:eastAsia="仿宋_GB2312" w:cs="仿宋_GB2312" w:hint="eastAsia"/>
          <w:szCs w:val="28"/>
        </w:rPr>
        <w:fldChar w:fldCharType="separate"/>
      </w:r>
      <w:r>
        <w:rPr>
          <w:rFonts w:ascii="黑体" w:eastAsia="黑体" w:hint="eastAsia"/>
        </w:rPr>
        <w:t>二、收入决算情况说明</w:t>
      </w:r>
      <w:r>
        <w:tab/>
      </w:r>
      <w:r>
        <w:fldChar w:fldCharType="begin"/>
      </w:r>
      <w:r>
        <w:instrText xml:space="preserve"> PAGEREF _Toc2036075442 \h </w:instrText>
      </w:r>
      <w:r>
        <w:fldChar w:fldCharType="separate"/>
      </w:r>
      <w:r>
        <w:t>5</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_Toc3140027 </w:instrText>
      </w:r>
      <w:r>
        <w:rPr>
          <w:rFonts w:ascii="仿宋_GB2312" w:eastAsia="仿宋_GB2312" w:cs="仿宋_GB2312" w:hint="eastAsia"/>
          <w:szCs w:val="28"/>
        </w:rPr>
        <w:fldChar w:fldCharType="separate"/>
      </w:r>
      <w:r>
        <w:rPr>
          <w:rFonts w:ascii="黑体" w:eastAsia="黑体" w:hint="eastAsia"/>
        </w:rPr>
        <w:t>三、支出决算情况说明</w:t>
      </w:r>
      <w:r>
        <w:tab/>
      </w:r>
      <w:r>
        <w:fldChar w:fldCharType="begin"/>
      </w:r>
      <w:r>
        <w:instrText xml:space="preserve"> PAGEREF _Toc3140027 \h </w:instrText>
      </w:r>
      <w:r>
        <w:fldChar w:fldCharType="separate"/>
      </w:r>
      <w:r>
        <w:t>6</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_Toc926225551 </w:instrText>
      </w:r>
      <w:r>
        <w:rPr>
          <w:rFonts w:ascii="仿宋_GB2312" w:eastAsia="仿宋_GB2312" w:cs="仿宋_GB2312" w:hint="eastAsia"/>
          <w:szCs w:val="28"/>
        </w:rPr>
        <w:fldChar w:fldCharType="separate"/>
      </w:r>
      <w:r>
        <w:rPr>
          <w:rFonts w:ascii="黑体" w:eastAsia="黑体" w:hint="eastAsia"/>
        </w:rPr>
        <w:t>四、财政拨款收入支出决算总体情况说明</w:t>
      </w:r>
      <w:r>
        <w:tab/>
      </w:r>
      <w:r>
        <w:fldChar w:fldCharType="begin"/>
      </w:r>
      <w:r>
        <w:instrText xml:space="preserve"> PAGEREF _Toc926225551 \h </w:instrText>
      </w:r>
      <w:r>
        <w:fldChar w:fldCharType="separate"/>
      </w:r>
      <w:r>
        <w:t>7</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_Toc678526362 </w:instrText>
      </w:r>
      <w:r>
        <w:rPr>
          <w:rFonts w:ascii="仿宋_GB2312" w:eastAsia="仿宋_GB2312" w:cs="仿宋_GB2312" w:hint="eastAsia"/>
          <w:szCs w:val="28"/>
        </w:rPr>
        <w:fldChar w:fldCharType="separate"/>
      </w:r>
      <w:r>
        <w:rPr>
          <w:rFonts w:ascii="黑体" w:eastAsia="黑体" w:hint="eastAsia"/>
        </w:rPr>
        <w:t>五、一般公共预算财政拨款支出决算情况说明</w:t>
      </w:r>
      <w:r>
        <w:tab/>
      </w:r>
      <w:r>
        <w:fldChar w:fldCharType="begin"/>
      </w:r>
      <w:r>
        <w:instrText xml:space="preserve"> PAGEREF _Toc678526362 \h </w:instrText>
      </w:r>
      <w:r>
        <w:fldChar w:fldCharType="separate"/>
      </w:r>
      <w:r>
        <w:t>7</w:t>
      </w:r>
      <w:r>
        <w:fldChar w:fldCharType="end"/>
      </w:r>
      <w:r>
        <w:rPr>
          <w:rFonts w:ascii="仿宋_GB2312" w:eastAsia="仿宋_GB2312" w:cs="仿宋_GB2312" w:hint="eastAsia"/>
          <w:szCs w:val="28"/>
        </w:rPr>
        <w:fldChar w:fldCharType="end"/>
      </w:r>
    </w:p>
    <w:p>
      <w:pPr>
        <w:pStyle w:val="21"/>
        <w:tabs>
          <w:tab w:val="clear" w:pos="8296"/>
          <w:tab w:val="right" w:pos="7600"/>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_Toc1050518817 </w:instrText>
      </w:r>
      <w:r>
        <w:rPr>
          <w:rFonts w:ascii="仿宋_GB2312" w:eastAsia="仿宋_GB2312" w:cs="仿宋_GB2312" w:hint="eastAsia"/>
          <w:szCs w:val="28"/>
        </w:rPr>
        <w:fldChar w:fldCharType="separate"/>
      </w:r>
      <w:r>
        <w:rPr>
          <w:rFonts w:ascii="黑体" w:eastAsia="黑体" w:hint="eastAsia"/>
        </w:rPr>
        <w:t>六、一般公共预算财政拨款基本支出决算情况说明</w:t>
        <w:tab/>
      </w:r>
      <w:r>
        <w:tab/>
      </w:r>
      <w:r>
        <w:fldChar w:fldCharType="begin"/>
      </w:r>
      <w:r>
        <w:instrText xml:space="preserve"> PAGEREF _Toc1050518817 \h </w:instrText>
      </w:r>
      <w:r>
        <w:fldChar w:fldCharType="separate"/>
      </w:r>
      <w:r>
        <w:t>9</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_Toc1003349639 </w:instrText>
      </w:r>
      <w:r>
        <w:rPr>
          <w:rFonts w:ascii="仿宋_GB2312" w:eastAsia="仿宋_GB2312" w:cs="仿宋_GB2312" w:hint="eastAsia"/>
          <w:szCs w:val="28"/>
        </w:rPr>
        <w:fldChar w:fldCharType="separate"/>
      </w:r>
      <w:r>
        <w:rPr>
          <w:rFonts w:ascii="黑体" w:eastAsia="黑体" w:hint="eastAsia"/>
        </w:rPr>
        <w:t>七、“三公”经费财政拨款支出决算情况说明</w:t>
      </w:r>
      <w:r>
        <w:tab/>
      </w:r>
      <w:r>
        <w:fldChar w:fldCharType="begin"/>
      </w:r>
      <w:r>
        <w:instrText xml:space="preserve"> PAGEREF _Toc1003349639 \h </w:instrText>
      </w:r>
      <w:r>
        <w:fldChar w:fldCharType="separate"/>
      </w:r>
      <w:r>
        <w:t>10</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_Toc926238777 </w:instrText>
      </w:r>
      <w:r>
        <w:rPr>
          <w:rFonts w:ascii="仿宋_GB2312" w:eastAsia="仿宋_GB2312" w:cs="仿宋_GB2312" w:hint="eastAsia"/>
          <w:szCs w:val="28"/>
        </w:rPr>
        <w:fldChar w:fldCharType="separate"/>
      </w:r>
      <w:r>
        <w:rPr>
          <w:rFonts w:ascii="黑体" w:eastAsia="黑体" w:hint="eastAsia"/>
        </w:rPr>
        <w:t>八、政府性基金预算支出决算情况说明</w:t>
      </w:r>
      <w:r>
        <w:tab/>
      </w:r>
      <w:r>
        <w:fldChar w:fldCharType="begin"/>
      </w:r>
      <w:r>
        <w:instrText xml:space="preserve"> PAGEREF _Toc926238777 \h </w:instrText>
      </w:r>
      <w:r>
        <w:fldChar w:fldCharType="separate"/>
      </w:r>
      <w:r>
        <w:t>12</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_Toc576902896 </w:instrText>
      </w:r>
      <w:r>
        <w:rPr>
          <w:rFonts w:ascii="仿宋_GB2312" w:eastAsia="仿宋_GB2312" w:cs="仿宋_GB2312" w:hint="eastAsia"/>
          <w:szCs w:val="28"/>
        </w:rPr>
        <w:fldChar w:fldCharType="separate"/>
      </w:r>
      <w:r>
        <w:rPr>
          <w:rFonts w:ascii="黑体" w:eastAsia="黑体" w:hint="eastAsia"/>
        </w:rPr>
        <w:t>九、 国有资本经营预算支出决算情况说明</w:t>
      </w:r>
      <w:r>
        <w:tab/>
      </w:r>
      <w:r>
        <w:fldChar w:fldCharType="begin"/>
      </w:r>
      <w:r>
        <w:instrText xml:space="preserve"> PAGEREF _Toc576902896 \h </w:instrText>
      </w:r>
      <w:r>
        <w:fldChar w:fldCharType="separate"/>
      </w:r>
      <w:r>
        <w:t>12</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_Toc375898657 </w:instrText>
      </w:r>
      <w:r>
        <w:rPr>
          <w:rFonts w:ascii="仿宋_GB2312" w:eastAsia="仿宋_GB2312" w:cs="仿宋_GB2312" w:hint="eastAsia"/>
          <w:szCs w:val="28"/>
        </w:rPr>
        <w:fldChar w:fldCharType="separate"/>
      </w:r>
      <w:r>
        <w:rPr>
          <w:rFonts w:ascii="仿宋" w:eastAsia="仿宋" w:cs="楷体_GB2312"/>
          <w:bCs/>
          <w:szCs w:val="32"/>
        </w:rPr>
        <w:t xml:space="preserve">十、 </w:t>
      </w:r>
      <w:r>
        <w:rPr>
          <w:rFonts w:ascii="黑体" w:eastAsia="黑体" w:hint="eastAsia"/>
        </w:rPr>
        <w:t>预算绩效情况说明</w:t>
      </w:r>
      <w:r>
        <w:tab/>
      </w:r>
      <w:r>
        <w:fldChar w:fldCharType="begin"/>
      </w:r>
      <w:r>
        <w:instrText xml:space="preserve"> PAGEREF _Toc375898657 \h </w:instrText>
      </w:r>
      <w:r>
        <w:fldChar w:fldCharType="separate"/>
      </w:r>
      <w:r>
        <w:t>12</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_Toc960368052 </w:instrText>
      </w:r>
      <w:r>
        <w:rPr>
          <w:rFonts w:ascii="仿宋_GB2312" w:eastAsia="仿宋_GB2312" w:cs="仿宋_GB2312" w:hint="eastAsia"/>
          <w:szCs w:val="28"/>
        </w:rPr>
        <w:fldChar w:fldCharType="separate"/>
      </w:r>
      <w:r>
        <w:rPr>
          <w:rFonts w:ascii="黑体" w:eastAsia="黑体"/>
        </w:rPr>
        <w:t xml:space="preserve">十一、 </w:t>
      </w:r>
      <w:r>
        <w:rPr>
          <w:rFonts w:ascii="黑体" w:eastAsia="黑体" w:hint="eastAsia"/>
        </w:rPr>
        <w:t>其他重要事项的情况说明</w:t>
      </w:r>
      <w:r>
        <w:tab/>
      </w:r>
      <w:r>
        <w:fldChar w:fldCharType="begin"/>
      </w:r>
      <w:r>
        <w:instrText xml:space="preserve"> PAGEREF _Toc960368052 \h </w:instrText>
      </w:r>
      <w:r>
        <w:fldChar w:fldCharType="separate"/>
      </w:r>
      <w:r>
        <w:t>12</w:t>
      </w:r>
      <w:r>
        <w:fldChar w:fldCharType="end"/>
      </w:r>
      <w:r>
        <w:rPr>
          <w:rFonts w:ascii="仿宋_GB2312" w:eastAsia="仿宋_GB2312" w:cs="仿宋_GB2312" w:hint="eastAsia"/>
          <w:szCs w:val="28"/>
        </w:rPr>
        <w:fldChar w:fldCharType="end"/>
      </w:r>
    </w:p>
    <w:p>
      <w:pPr>
        <w:pStyle w:val="20"/>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_Toc237187082 </w:instrText>
      </w:r>
      <w:r>
        <w:rPr>
          <w:rFonts w:ascii="仿宋_GB2312" w:eastAsia="仿宋_GB2312" w:cs="仿宋_GB2312" w:hint="eastAsia"/>
          <w:szCs w:val="28"/>
        </w:rPr>
        <w:fldChar w:fldCharType="separate"/>
      </w:r>
      <w:r>
        <w:rPr>
          <w:rFonts w:ascii="黑体" w:eastAsia="黑体" w:cs="Arial" w:hint="eastAsia"/>
          <w:lang w:eastAsia="zh-CN"/>
        </w:rPr>
        <w:t>第三部分　</w:t>
      </w:r>
      <w:r>
        <w:rPr>
          <w:rFonts w:ascii="黑体" w:eastAsia="黑体" w:cs="Arial" w:hint="eastAsia"/>
        </w:rPr>
        <w:t>名词</w:t>
      </w:r>
      <w:r>
        <w:rPr>
          <w:rFonts w:ascii="黑体" w:eastAsia="黑体" w:hint="eastAsia"/>
        </w:rPr>
        <w:t>解释</w:t>
      </w:r>
      <w:r>
        <w:tab/>
      </w:r>
      <w:r>
        <w:fldChar w:fldCharType="begin"/>
      </w:r>
      <w:r>
        <w:instrText xml:space="preserve"> PAGEREF _Toc237187082 \h </w:instrText>
      </w:r>
      <w:r>
        <w:fldChar w:fldCharType="separate"/>
      </w:r>
      <w:r>
        <w:t>14</w:t>
      </w:r>
      <w:r>
        <w:fldChar w:fldCharType="end"/>
      </w:r>
      <w:r>
        <w:rPr>
          <w:rFonts w:ascii="仿宋_GB2312" w:eastAsia="仿宋_GB2312" w:cs="仿宋_GB2312" w:hint="eastAsia"/>
          <w:szCs w:val="28"/>
        </w:rPr>
        <w:fldChar w:fldCharType="end"/>
      </w:r>
    </w:p>
    <w:p>
      <w:pPr>
        <w:pStyle w:val="20"/>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_Toc10754734 </w:instrText>
      </w:r>
      <w:r>
        <w:rPr>
          <w:rFonts w:ascii="仿宋_GB2312" w:eastAsia="仿宋_GB2312" w:cs="仿宋_GB2312" w:hint="eastAsia"/>
          <w:szCs w:val="28"/>
        </w:rPr>
        <w:fldChar w:fldCharType="separate"/>
      </w:r>
      <w:r>
        <w:rPr>
          <w:rFonts w:ascii="黑体" w:eastAsia="黑体" w:cs="Arial" w:hint="eastAsia"/>
          <w:lang w:val="en-US" w:eastAsia="zh-CN"/>
        </w:rPr>
        <w:t>第四部分　部门整体支出绩效报告</w:t>
      </w:r>
      <w:r>
        <w:tab/>
      </w:r>
      <w:r>
        <w:fldChar w:fldCharType="begin"/>
      </w:r>
      <w:r>
        <w:instrText xml:space="preserve"> PAGEREF _Toc10754734 \h </w:instrText>
      </w:r>
      <w:r>
        <w:fldChar w:fldCharType="separate"/>
      </w:r>
      <w:r>
        <w:t>17</w:t>
      </w:r>
      <w:r>
        <w:fldChar w:fldCharType="end"/>
      </w:r>
      <w:r>
        <w:rPr>
          <w:rFonts w:ascii="仿宋_GB2312" w:eastAsia="仿宋_GB2312" w:cs="仿宋_GB2312" w:hint="eastAsia"/>
          <w:szCs w:val="28"/>
        </w:rPr>
        <w:fldChar w:fldCharType="end"/>
      </w:r>
    </w:p>
    <w:p>
      <w:pPr>
        <w:pStyle w:val="20"/>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_Toc1420136434 </w:instrText>
      </w:r>
      <w:r>
        <w:rPr>
          <w:rFonts w:ascii="仿宋_GB2312" w:eastAsia="仿宋_GB2312" w:cs="仿宋_GB2312" w:hint="eastAsia"/>
          <w:szCs w:val="28"/>
        </w:rPr>
        <w:fldChar w:fldCharType="separate"/>
      </w:r>
      <w:r>
        <w:rPr>
          <w:rFonts w:ascii="仿宋_GB2312" w:eastAsia="仿宋_GB2312" w:cs="仿宋_GB2312" w:hint="eastAsia"/>
          <w:bCs w:val="0"/>
          <w:lang w:val="en-US" w:eastAsia="zh-CN"/>
        </w:rPr>
        <w:t>第五部分 附表</w:t>
      </w:r>
      <w:r>
        <w:tab/>
      </w:r>
      <w:r>
        <w:fldChar w:fldCharType="begin"/>
      </w:r>
      <w:r>
        <w:instrText xml:space="preserve"> PAGEREF _Toc1420136434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_Toc1296732526 </w:instrText>
      </w:r>
      <w:r>
        <w:rPr>
          <w:rFonts w:ascii="仿宋_GB2312" w:eastAsia="仿宋_GB2312" w:cs="仿宋_GB2312" w:hint="eastAsia"/>
          <w:szCs w:val="28"/>
        </w:rPr>
        <w:fldChar w:fldCharType="separate"/>
      </w:r>
      <w:r>
        <w:rPr>
          <w:rFonts w:ascii="Times New Roman" w:eastAsia="仿宋" w:cs="Times New Roman" w:hAnsi="Times New Roman"/>
        </w:rPr>
        <w:t>一、收</w:t>
      </w:r>
      <w:r>
        <w:rPr>
          <w:rFonts w:ascii="Times New Roman" w:eastAsia="仿宋" w:cs="Times New Roman" w:hAnsi="Times New Roman"/>
          <w:bCs w:val="0"/>
        </w:rPr>
        <w:t>入支出决算总表</w:t>
      </w:r>
      <w:r>
        <w:tab/>
      </w:r>
      <w:r>
        <w:fldChar w:fldCharType="begin"/>
      </w:r>
      <w:r>
        <w:instrText xml:space="preserve"> PAGEREF _Toc1296732526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_Toc1086779470 </w:instrText>
      </w:r>
      <w:r>
        <w:rPr>
          <w:rFonts w:ascii="仿宋_GB2312" w:eastAsia="仿宋_GB2312" w:cs="仿宋_GB2312" w:hint="eastAsia"/>
          <w:szCs w:val="28"/>
        </w:rPr>
        <w:fldChar w:fldCharType="separate"/>
      </w:r>
      <w:r>
        <w:rPr>
          <w:rFonts w:ascii="Times New Roman" w:eastAsia="仿宋" w:cs="Times New Roman" w:hAnsi="Times New Roman"/>
        </w:rPr>
        <w:t>二、收</w:t>
      </w:r>
      <w:r>
        <w:rPr>
          <w:rFonts w:ascii="Times New Roman" w:eastAsia="仿宋" w:cs="Times New Roman" w:hAnsi="Times New Roman"/>
          <w:bCs w:val="0"/>
        </w:rPr>
        <w:t>入决算表</w:t>
      </w:r>
      <w:r>
        <w:tab/>
      </w:r>
      <w:r>
        <w:fldChar w:fldCharType="begin"/>
      </w:r>
      <w:r>
        <w:instrText xml:space="preserve"> PAGEREF _Toc1086779470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_Toc697379384 </w:instrText>
      </w:r>
      <w:r>
        <w:rPr>
          <w:rFonts w:ascii="仿宋_GB2312" w:eastAsia="仿宋_GB2312" w:cs="仿宋_GB2312" w:hint="eastAsia"/>
          <w:szCs w:val="28"/>
        </w:rPr>
        <w:fldChar w:fldCharType="separate"/>
      </w:r>
      <w:r>
        <w:rPr>
          <w:rFonts w:ascii="Times New Roman" w:eastAsia="仿宋" w:cs="Times New Roman" w:hAnsi="Times New Roman"/>
          <w:bCs w:val="0"/>
        </w:rPr>
        <w:t>三、</w:t>
      </w:r>
      <w:r>
        <w:rPr>
          <w:rFonts w:ascii="Times New Roman" w:eastAsia="仿宋" w:cs="Times New Roman" w:hAnsi="Times New Roman"/>
        </w:rPr>
        <w:t>支</w:t>
      </w:r>
      <w:r>
        <w:rPr>
          <w:rFonts w:ascii="Times New Roman" w:eastAsia="仿宋" w:cs="Times New Roman" w:hAnsi="Times New Roman"/>
          <w:bCs w:val="0"/>
        </w:rPr>
        <w:t>出决算表</w:t>
      </w:r>
      <w:r>
        <w:tab/>
      </w:r>
      <w:r>
        <w:fldChar w:fldCharType="begin"/>
      </w:r>
      <w:r>
        <w:instrText xml:space="preserve"> PAGEREF _Toc697379384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_Toc1004120971 </w:instrText>
      </w:r>
      <w:r>
        <w:rPr>
          <w:rFonts w:ascii="仿宋_GB2312" w:eastAsia="仿宋_GB2312" w:cs="仿宋_GB2312" w:hint="eastAsia"/>
          <w:szCs w:val="28"/>
        </w:rPr>
        <w:fldChar w:fldCharType="separate"/>
      </w:r>
      <w:r>
        <w:rPr>
          <w:rFonts w:ascii="Times New Roman" w:eastAsia="仿宋" w:cs="Times New Roman" w:hAnsi="Times New Roman"/>
          <w:bCs w:val="0"/>
        </w:rPr>
        <w:t>四、</w:t>
      </w:r>
      <w:r>
        <w:rPr>
          <w:rFonts w:ascii="Times New Roman" w:eastAsia="仿宋" w:cs="Times New Roman" w:hAnsi="Times New Roman"/>
        </w:rPr>
        <w:t>财</w:t>
      </w:r>
      <w:r>
        <w:rPr>
          <w:rFonts w:ascii="Times New Roman" w:eastAsia="仿宋" w:cs="Times New Roman" w:hAnsi="Times New Roman"/>
          <w:bCs w:val="0"/>
        </w:rPr>
        <w:t>政拨款收入支出决算总表</w:t>
      </w:r>
      <w:r>
        <w:tab/>
      </w:r>
      <w:r>
        <w:fldChar w:fldCharType="begin"/>
      </w:r>
      <w:r>
        <w:instrText xml:space="preserve"> PAGEREF _Toc1004120971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_Toc1980359503 </w:instrText>
      </w:r>
      <w:r>
        <w:rPr>
          <w:rFonts w:ascii="仿宋_GB2312" w:eastAsia="仿宋_GB2312" w:cs="仿宋_GB2312" w:hint="eastAsia"/>
          <w:szCs w:val="28"/>
        </w:rPr>
        <w:fldChar w:fldCharType="separate"/>
      </w:r>
      <w:r>
        <w:rPr>
          <w:rFonts w:ascii="Times New Roman" w:eastAsia="仿宋" w:cs="Times New Roman" w:hAnsi="Times New Roman"/>
          <w:bCs w:val="0"/>
        </w:rPr>
        <w:t>五、</w:t>
      </w:r>
      <w:r>
        <w:rPr>
          <w:rFonts w:ascii="Times New Roman" w:eastAsia="仿宋" w:cs="Times New Roman" w:hAnsi="Times New Roman"/>
        </w:rPr>
        <w:t>财</w:t>
      </w:r>
      <w:r>
        <w:rPr>
          <w:rFonts w:ascii="Times New Roman" w:eastAsia="仿宋" w:cs="Times New Roman" w:hAnsi="Times New Roman"/>
          <w:bCs w:val="0"/>
        </w:rPr>
        <w:t>政拨款支出决算明细表</w:t>
      </w:r>
      <w:r>
        <w:tab/>
      </w:r>
      <w:r>
        <w:fldChar w:fldCharType="begin"/>
      </w:r>
      <w:r>
        <w:instrText xml:space="preserve"> PAGEREF _Toc1980359503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_Toc1373057695 </w:instrText>
      </w:r>
      <w:r>
        <w:rPr>
          <w:rFonts w:ascii="仿宋_GB2312" w:eastAsia="仿宋_GB2312" w:cs="仿宋_GB2312" w:hint="eastAsia"/>
          <w:szCs w:val="28"/>
        </w:rPr>
        <w:fldChar w:fldCharType="separate"/>
      </w:r>
      <w:r>
        <w:rPr>
          <w:rFonts w:ascii="Times New Roman" w:eastAsia="仿宋" w:cs="Times New Roman" w:hAnsi="Times New Roman"/>
          <w:bCs w:val="0"/>
        </w:rPr>
        <w:t>六、</w:t>
      </w:r>
      <w:r>
        <w:rPr>
          <w:rFonts w:ascii="Times New Roman" w:eastAsia="仿宋" w:cs="Times New Roman" w:hAnsi="Times New Roman"/>
        </w:rPr>
        <w:t>一</w:t>
      </w:r>
      <w:r>
        <w:rPr>
          <w:rFonts w:ascii="Times New Roman" w:eastAsia="仿宋" w:cs="Times New Roman" w:hAnsi="Times New Roman"/>
          <w:bCs w:val="0"/>
        </w:rPr>
        <w:t>般公共预算财政拨款支出决算表</w:t>
      </w:r>
      <w:r>
        <w:tab/>
      </w:r>
      <w:r>
        <w:fldChar w:fldCharType="begin"/>
      </w:r>
      <w:r>
        <w:instrText xml:space="preserve"> PAGEREF _Toc1373057695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_Toc358007238 </w:instrText>
      </w:r>
      <w:r>
        <w:rPr>
          <w:rFonts w:ascii="仿宋_GB2312" w:eastAsia="仿宋_GB2312" w:cs="仿宋_GB2312" w:hint="eastAsia"/>
          <w:szCs w:val="28"/>
        </w:rPr>
        <w:fldChar w:fldCharType="separate"/>
      </w:r>
      <w:r>
        <w:rPr>
          <w:rFonts w:ascii="Times New Roman" w:eastAsia="仿宋" w:cs="Times New Roman" w:hAnsi="Times New Roman"/>
          <w:bCs w:val="0"/>
        </w:rPr>
        <w:t>七、</w:t>
      </w:r>
      <w:r>
        <w:rPr>
          <w:rFonts w:ascii="Times New Roman" w:eastAsia="仿宋" w:cs="Times New Roman" w:hAnsi="Times New Roman"/>
        </w:rPr>
        <w:t>一</w:t>
      </w:r>
      <w:r>
        <w:rPr>
          <w:rFonts w:ascii="Times New Roman" w:eastAsia="仿宋" w:cs="Times New Roman" w:hAnsi="Times New Roman"/>
          <w:bCs w:val="0"/>
        </w:rPr>
        <w:t>般公共预算财政拨款支出决算明细表</w:t>
      </w:r>
      <w:r>
        <w:tab/>
      </w:r>
      <w:r>
        <w:fldChar w:fldCharType="begin"/>
      </w:r>
      <w:r>
        <w:instrText xml:space="preserve"> PAGEREF _Toc358007238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_Toc216734230 </w:instrText>
      </w:r>
      <w:r>
        <w:rPr>
          <w:rFonts w:ascii="仿宋_GB2312" w:eastAsia="仿宋_GB2312" w:cs="仿宋_GB2312" w:hint="eastAsia"/>
          <w:szCs w:val="28"/>
        </w:rPr>
        <w:fldChar w:fldCharType="separate"/>
      </w:r>
      <w:r>
        <w:rPr>
          <w:rFonts w:ascii="Times New Roman" w:eastAsia="仿宋" w:cs="Times New Roman" w:hAnsi="Times New Roman"/>
          <w:bCs w:val="0"/>
        </w:rPr>
        <w:t>八、</w:t>
      </w:r>
      <w:r>
        <w:rPr>
          <w:rFonts w:ascii="Times New Roman" w:eastAsia="仿宋" w:cs="Times New Roman" w:hAnsi="Times New Roman"/>
        </w:rPr>
        <w:t>一</w:t>
      </w:r>
      <w:r>
        <w:rPr>
          <w:rFonts w:ascii="Times New Roman" w:eastAsia="仿宋" w:cs="Times New Roman" w:hAnsi="Times New Roman"/>
          <w:bCs w:val="0"/>
        </w:rPr>
        <w:t>般公共预算财政拨款基本支出决算</w:t>
      </w:r>
      <w:r>
        <w:rPr>
          <w:rFonts w:ascii="Times New Roman" w:eastAsia="仿宋" w:cs="Times New Roman" w:hAnsi="Times New Roman" w:hint="eastAsia"/>
          <w:bCs w:val="0"/>
          <w:lang w:eastAsia="zh-CN"/>
        </w:rPr>
        <w:t>明细</w:t>
      </w:r>
      <w:r>
        <w:rPr>
          <w:rFonts w:ascii="Times New Roman" w:eastAsia="仿宋" w:cs="Times New Roman" w:hAnsi="Times New Roman"/>
          <w:bCs w:val="0"/>
        </w:rPr>
        <w:t>表</w:t>
      </w:r>
      <w:r>
        <w:tab/>
      </w:r>
      <w:r>
        <w:fldChar w:fldCharType="begin"/>
      </w:r>
      <w:r>
        <w:instrText xml:space="preserve"> PAGEREF _Toc216734230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_Toc1444379715 </w:instrText>
      </w:r>
      <w:r>
        <w:rPr>
          <w:rFonts w:ascii="仿宋_GB2312" w:eastAsia="仿宋_GB2312" w:cs="仿宋_GB2312" w:hint="eastAsia"/>
          <w:szCs w:val="28"/>
        </w:rPr>
        <w:fldChar w:fldCharType="separate"/>
      </w:r>
      <w:r>
        <w:rPr>
          <w:rFonts w:ascii="Times New Roman" w:eastAsia="仿宋" w:cs="Times New Roman" w:hAnsi="Times New Roman"/>
          <w:bCs w:val="0"/>
        </w:rPr>
        <w:t>九、</w:t>
      </w:r>
      <w:r>
        <w:rPr>
          <w:rFonts w:ascii="Times New Roman" w:eastAsia="仿宋" w:cs="Times New Roman" w:hAnsi="Times New Roman"/>
        </w:rPr>
        <w:t>一</w:t>
      </w:r>
      <w:r>
        <w:rPr>
          <w:rFonts w:ascii="Times New Roman" w:eastAsia="仿宋" w:cs="Times New Roman" w:hAnsi="Times New Roman"/>
          <w:bCs w:val="0"/>
        </w:rPr>
        <w:t>般公共预算财政拨款项目支出决算表</w:t>
      </w:r>
      <w:r>
        <w:tab/>
      </w:r>
      <w:r>
        <w:fldChar w:fldCharType="begin"/>
      </w:r>
      <w:r>
        <w:instrText xml:space="preserve"> PAGEREF _Toc1444379715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_Toc1533260933 </w:instrText>
      </w:r>
      <w:r>
        <w:rPr>
          <w:rFonts w:ascii="仿宋_GB2312" w:eastAsia="仿宋_GB2312" w:cs="仿宋_GB2312" w:hint="eastAsia"/>
          <w:szCs w:val="28"/>
        </w:rPr>
        <w:fldChar w:fldCharType="separate"/>
      </w:r>
      <w:r>
        <w:rPr>
          <w:rFonts w:ascii="Times New Roman" w:eastAsia="仿宋" w:cs="Times New Roman" w:hAnsi="Times New Roman"/>
          <w:bCs w:val="0"/>
        </w:rPr>
        <w:t>十、</w:t>
      </w:r>
      <w:r>
        <w:rPr>
          <w:rFonts w:ascii="Times New Roman" w:eastAsia="仿宋" w:cs="Times New Roman" w:hAnsi="Times New Roman" w:hint="eastAsia"/>
          <w:lang w:eastAsia="zh-CN"/>
        </w:rPr>
        <w:t>政府性基金预算财政拨款收入支出决算表</w:t>
      </w:r>
      <w:r>
        <w:tab/>
      </w:r>
      <w:r>
        <w:fldChar w:fldCharType="begin"/>
      </w:r>
      <w:r>
        <w:instrText xml:space="preserve"> PAGEREF _Toc1533260933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_Toc1204977720 </w:instrText>
      </w:r>
      <w:r>
        <w:rPr>
          <w:rFonts w:ascii="仿宋_GB2312" w:eastAsia="仿宋_GB2312" w:cs="仿宋_GB2312" w:hint="eastAsia"/>
          <w:szCs w:val="28"/>
        </w:rPr>
        <w:fldChar w:fldCharType="separate"/>
      </w:r>
      <w:r>
        <w:rPr>
          <w:rFonts w:ascii="Times New Roman" w:eastAsia="仿宋" w:cs="Times New Roman" w:hAnsi="Times New Roman"/>
          <w:bCs w:val="0"/>
        </w:rPr>
        <w:t>十一、</w:t>
      </w:r>
      <w:r>
        <w:rPr>
          <w:rFonts w:ascii="Times New Roman" w:eastAsia="仿宋" w:cs="Times New Roman" w:hAnsi="Times New Roman"/>
        </w:rPr>
        <w:t>国</w:t>
      </w:r>
      <w:r>
        <w:rPr>
          <w:rFonts w:ascii="Times New Roman" w:eastAsia="仿宋" w:cs="Times New Roman" w:hAnsi="Times New Roman"/>
          <w:bCs w:val="0"/>
        </w:rPr>
        <w:t>有资本经营预算财政拨款收入支出决算表</w:t>
      </w:r>
      <w:r>
        <w:tab/>
      </w:r>
      <w:r>
        <w:fldChar w:fldCharType="begin"/>
      </w:r>
      <w:r>
        <w:instrText xml:space="preserve"> PAGEREF _Toc1204977720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_Toc1115803900 </w:instrText>
      </w:r>
      <w:r>
        <w:rPr>
          <w:rFonts w:ascii="仿宋_GB2312" w:eastAsia="仿宋_GB2312" w:cs="仿宋_GB2312" w:hint="eastAsia"/>
          <w:szCs w:val="28"/>
        </w:rPr>
        <w:fldChar w:fldCharType="separate"/>
      </w:r>
      <w:r>
        <w:rPr>
          <w:rFonts w:ascii="Times New Roman" w:eastAsia="仿宋" w:cs="Times New Roman" w:hAnsi="Times New Roman"/>
          <w:bCs w:val="0"/>
        </w:rPr>
        <w:t>十二、国有资本经营预算财政拨款支出决算表</w:t>
      </w:r>
      <w:r>
        <w:tab/>
      </w:r>
      <w:r>
        <w:fldChar w:fldCharType="begin"/>
      </w:r>
      <w:r>
        <w:instrText xml:space="preserve"> PAGEREF _Toc1115803900 \h </w:instrText>
      </w:r>
      <w:r>
        <w:fldChar w:fldCharType="separate"/>
      </w:r>
      <w:r>
        <w:t>24</w:t>
      </w:r>
      <w:r>
        <w:fldChar w:fldCharType="end"/>
      </w:r>
      <w:r>
        <w:rPr>
          <w:rFonts w:ascii="仿宋_GB2312" w:eastAsia="仿宋_GB2312" w:cs="仿宋_GB2312" w:hint="eastAsia"/>
          <w:szCs w:val="28"/>
        </w:rPr>
        <w:fldChar w:fldCharType="end"/>
      </w:r>
    </w:p>
    <w:p>
      <w:pPr>
        <w:pStyle w:val="21"/>
        <w:tabs>
          <w:tab w:val="clear" w:pos="8296"/>
          <w:tab w:val="right" w:leader="dot" w:pos="8306"/>
        </w:tabs>
      </w:pPr>
      <w:r>
        <w:rPr>
          <w:rFonts w:ascii="仿宋_GB2312" w:eastAsia="仿宋_GB2312" w:cs="仿宋_GB2312" w:hint="eastAsia"/>
          <w:szCs w:val="28"/>
        </w:rPr>
        <w:fldChar w:fldCharType="begin"/>
      </w:r>
      <w:r>
        <w:rPr>
          <w:rFonts w:ascii="仿宋_GB2312" w:eastAsia="仿宋_GB2312" w:cs="仿宋_GB2312" w:hint="eastAsia"/>
          <w:szCs w:val="28"/>
        </w:rPr>
        <w:instrText xml:space="preserve"> HYPERLINK \l _Toc1393289599 </w:instrText>
      </w:r>
      <w:r>
        <w:rPr>
          <w:rFonts w:ascii="仿宋_GB2312" w:eastAsia="仿宋_GB2312" w:cs="仿宋_GB2312" w:hint="eastAsia"/>
          <w:szCs w:val="28"/>
        </w:rPr>
        <w:fldChar w:fldCharType="separate"/>
      </w:r>
      <w:r>
        <w:rPr>
          <w:rFonts w:ascii="Times New Roman" w:eastAsia="仿宋" w:hAnsi="Times New Roman" w:hint="eastAsia"/>
          <w:bCs w:val="0"/>
          <w:lang w:eastAsia="zh-CN"/>
        </w:rPr>
        <w:t>十三、</w:t>
      </w:r>
      <w:r>
        <w:rPr>
          <w:rFonts w:ascii="Times New Roman" w:eastAsia="仿宋" w:hAnsi="Times New Roman" w:hint="eastAsia"/>
          <w:bCs w:val="0"/>
          <w:lang w:val="en-US" w:eastAsia="zh-CN"/>
        </w:rPr>
        <w:t>财政拨款“三公”经费支出决算表</w:t>
      </w:r>
      <w:r>
        <w:tab/>
      </w:r>
      <w:r>
        <w:fldChar w:fldCharType="begin"/>
      </w:r>
      <w:r>
        <w:instrText xml:space="preserve"> PAGEREF _Toc1393289599 \h </w:instrText>
      </w:r>
      <w:r>
        <w:fldChar w:fldCharType="separate"/>
      </w:r>
      <w:r>
        <w:t>25</w:t>
      </w:r>
      <w:r>
        <w:fldChar w:fldCharType="end"/>
      </w:r>
      <w:r>
        <w:rPr>
          <w:rFonts w:ascii="仿宋_GB2312" w:eastAsia="仿宋_GB2312" w:cs="仿宋_GB2312" w:hint="eastAsia"/>
          <w:szCs w:val="28"/>
        </w:rPr>
        <w:fldChar w:fldCharType="end"/>
      </w:r>
    </w:p>
    <w:p>
      <w:pPr>
        <w:keepNext w:val="0"/>
        <w:keepLines w:val="0"/>
        <w:pageBreakBefore w:val="0"/>
        <w:widowControl w:val="0"/>
        <w:kinsoku/>
        <w:wordWrap/>
        <w:overflowPunct/>
        <w:topLinePunct w:val="0"/>
        <w:autoSpaceDE/>
        <w:autoSpaceDN/>
        <w:bidi w:val="0"/>
        <w:adjustRightInd/>
        <w:snapToGrid/>
        <w:spacing w:line="340" w:lineRule="exact"/>
        <w:textAlignment w:val="auto"/>
      </w:pPr>
      <w:r>
        <w:rPr>
          <w:rFonts w:ascii="仿宋_GB2312" w:eastAsia="仿宋_GB2312" w:cs="仿宋_GB2312" w:hint="eastAsia"/>
          <w:szCs w:val="28"/>
        </w:rPr>
        <w:fldChar w:fldCharType="end"/>
      </w:r>
    </w:p>
    <w:p>
      <w:pPr>
        <w:pStyle w:val="1"/>
        <w:jc w:val="center"/>
        <w:rPr>
          <w:rFonts w:ascii="黑体" w:eastAsia="黑体"/>
          <w:color w:val="000000"/>
          <w:sz w:val="32"/>
          <w:szCs w:val="32"/>
        </w:rPr>
      </w:pPr>
      <w:bookmarkStart w:id="13" w:name="_Toc16160"/>
      <w:bookmarkStart w:id="14" w:name="_Toc1175253695"/>
      <w:bookmarkStart w:id="15" w:name="_Toc509"/>
      <w:r>
        <w:rPr>
          <w:rFonts w:ascii="黑体" w:eastAsia="黑体" w:hint="eastAsia"/>
          <w:b w:val="0"/>
        </w:rPr>
        <w:t xml:space="preserve">第一部分 </w:t>
      </w:r>
      <w:r>
        <w:rPr>
          <w:rStyle w:val="1Char"/>
          <w:rFonts w:ascii="黑体" w:eastAsia="黑体" w:hint="eastAsia"/>
          <w:b w:val="0"/>
          <w:bCs w:val="0"/>
        </w:rPr>
        <w:t>部门概况</w:t>
      </w:r>
      <w:bookmarkEnd w:id="11"/>
      <w:bookmarkEnd w:id="12"/>
      <w:bookmarkEnd w:id="13"/>
      <w:bookmarkEnd w:id="14"/>
      <w:bookmarkEnd w:id="15"/>
    </w:p>
    <w:p>
      <w:pPr>
        <w:pStyle w:val="2"/>
        <w:spacing w:before="0" w:after="0" w:line="240" w:lineRule="auto"/>
        <w:ind w:left="640" w:hangingChars="200" w:hanging="640"/>
        <w:rPr>
          <w:rStyle w:val="2Char"/>
          <w:rFonts w:ascii="黑体" w:eastAsia="黑体"/>
          <w:b w:val="0"/>
          <w:bCs w:val="0"/>
        </w:rPr>
      </w:pPr>
      <w:bookmarkStart w:id="16" w:name="_Toc15377197"/>
      <w:bookmarkStart w:id="17" w:name="_Toc988243489"/>
      <w:bookmarkStart w:id="18" w:name="_Toc3538"/>
      <w:bookmarkStart w:id="19" w:name="_Toc18464"/>
      <w:bookmarkStart w:id="20" w:name="_Toc15396600"/>
      <w:r>
        <w:rPr>
          <w:rFonts w:ascii="黑体" w:eastAsia="黑体" w:hint="eastAsia"/>
          <w:b w:val="0"/>
          <w:color w:val="000000"/>
        </w:rPr>
        <w:t>一、基</w:t>
      </w:r>
      <w:r>
        <w:rPr>
          <w:rStyle w:val="2Char"/>
          <w:rFonts w:ascii="黑体" w:eastAsia="黑体" w:hint="eastAsia"/>
          <w:b w:val="0"/>
          <w:bCs w:val="0"/>
        </w:rPr>
        <w:t>本职能及主要工作</w:t>
      </w:r>
      <w:bookmarkStart w:id="21" w:name="_Toc15377198"/>
      <w:bookmarkStart w:id="22" w:name="_Toc15378445"/>
      <w:bookmarkEnd w:id="16"/>
      <w:bookmarkEnd w:id="17"/>
      <w:bookmarkEnd w:id="18"/>
      <w:bookmarkEnd w:id="19"/>
      <w:bookmarkEnd w:id="20"/>
    </w:p>
    <w:p>
      <w:pPr>
        <w:pStyle w:val="2"/>
        <w:spacing w:before="0" w:after="0" w:line="240" w:lineRule="auto"/>
        <w:ind w:leftChars="153" w:left="641" w:hangingChars="100" w:hanging="320"/>
        <w:rPr>
          <w:rFonts w:ascii="楷体" w:eastAsia="楷体" w:cs="楷体"/>
          <w:color w:val="000000"/>
        </w:rPr>
      </w:pPr>
      <w:bookmarkStart w:id="23" w:name="_Toc1818907833"/>
      <w:bookmarkStart w:id="24" w:name="_Toc24455"/>
      <w:bookmarkStart w:id="25" w:name="_Toc279"/>
      <w:r>
        <w:rPr>
          <w:rFonts w:ascii="楷体" w:eastAsia="楷体" w:cs="楷体" w:hint="eastAsia"/>
          <w:color w:val="000000"/>
        </w:rPr>
        <w:t>（一）主要职能</w:t>
      </w:r>
      <w:bookmarkStart w:id="26" w:name="_Toc15377199"/>
      <w:bookmarkStart w:id="27" w:name="_Toc15378446"/>
      <w:bookmarkEnd w:id="21"/>
      <w:bookmarkEnd w:id="22"/>
      <w:bookmarkEnd w:id="23"/>
      <w:bookmarkEnd w:id="24"/>
      <w:bookmarkEnd w:id="25"/>
    </w:p>
    <w:p>
      <w:pPr>
        <w:ind w:firstLineChars="200" w:firstLine="584"/>
        <w:rPr>
          <w:rFonts w:ascii="宋体" w:eastAsia="仿宋_GB2312" w:cs="宋体" w:hAnsi="宋体"/>
          <w:color w:val="000000"/>
          <w:spacing w:val="-14"/>
          <w:kern w:val="0"/>
          <w:sz w:val="32"/>
          <w:szCs w:val="32"/>
        </w:rPr>
      </w:pPr>
      <w:bookmarkStart w:id="28" w:name="_Toc18118"/>
      <w:r>
        <w:rPr>
          <w:rFonts w:ascii="宋体" w:eastAsia="仿宋_GB2312" w:cs="宋体" w:hAnsi="宋体" w:hint="eastAsia"/>
          <w:color w:val="000000"/>
          <w:spacing w:val="-14"/>
          <w:kern w:val="0"/>
          <w:sz w:val="32"/>
          <w:szCs w:val="32"/>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参政议政是对政治、经济、文化和社会生活中的重要问题以及人民群众普遍关心的问题，开展调查研究，反映社情民意，进行协商讨论。通过调研报告、提案、建议案或其他形式，向中国共产党和国家机关提出意见和建议。</w:t>
      </w:r>
    </w:p>
    <w:p>
      <w:pPr>
        <w:pStyle w:val="2"/>
        <w:spacing w:before="0" w:after="0" w:line="240" w:lineRule="auto"/>
        <w:ind w:firstLineChars="100" w:firstLine="320"/>
        <w:rPr>
          <w:rFonts w:ascii="楷体" w:eastAsia="楷体" w:cs="楷体"/>
          <w:color w:val="000000"/>
        </w:rPr>
      </w:pPr>
      <w:bookmarkStart w:id="29" w:name="_Toc12717"/>
      <w:bookmarkStart w:id="30" w:name="_Toc2007512314"/>
      <w:r>
        <w:rPr>
          <w:rFonts w:ascii="楷体" w:eastAsia="楷体" w:cs="楷体" w:hint="eastAsia"/>
          <w:color w:val="000000"/>
        </w:rPr>
        <w:t>（二）202</w:t>
      </w:r>
      <w:r>
        <w:rPr>
          <w:rFonts w:ascii="楷体" w:eastAsia="楷体" w:cs="楷体" w:hint="eastAsia"/>
          <w:color w:val="000000"/>
          <w:lang w:val="en-US" w:eastAsia="zh-CN"/>
        </w:rPr>
        <w:t>2</w:t>
      </w:r>
      <w:r>
        <w:rPr>
          <w:rFonts w:ascii="楷体" w:eastAsia="楷体" w:cs="楷体" w:hint="eastAsia"/>
          <w:color w:val="000000"/>
        </w:rPr>
        <w:t>年重点工作完成情况</w:t>
      </w:r>
      <w:bookmarkEnd w:id="26"/>
      <w:bookmarkEnd w:id="27"/>
      <w:bookmarkEnd w:id="28"/>
      <w:bookmarkEnd w:id="29"/>
      <w:bookmarkEnd w:id="30"/>
    </w:p>
    <w:p>
      <w:pPr>
        <w:widowControl/>
        <w:ind w:firstLineChars="200" w:firstLine="584"/>
        <w:jc w:val="left"/>
        <w:rPr>
          <w:rFonts w:ascii="宋体" w:eastAsia="仿宋_GB2312" w:cs="宋体" w:hAnsi="宋体"/>
          <w:spacing w:val="-14"/>
          <w:kern w:val="0"/>
          <w:sz w:val="32"/>
          <w:szCs w:val="32"/>
          <w:lang w:val="en-US" w:eastAsia="zh-CN"/>
        </w:rPr>
      </w:pPr>
      <w:bookmarkStart w:id="31" w:name="_Toc15377200"/>
      <w:bookmarkStart w:id="32" w:name="_Toc15396601"/>
      <w:bookmarkStart w:id="33" w:name="_Toc31390"/>
      <w:bookmarkStart w:id="34" w:name="_Toc21676"/>
      <w:r>
        <w:rPr>
          <w:rFonts w:ascii="宋体" w:eastAsia="仿宋_GB2312" w:cs="宋体" w:hAnsi="宋体"/>
          <w:spacing w:val="-14"/>
          <w:kern w:val="0"/>
          <w:sz w:val="32"/>
          <w:szCs w:val="32"/>
          <w:lang w:val="en-US" w:eastAsia="zh-CN"/>
        </w:rPr>
        <w:t>2022年</w:t>
      </w:r>
      <w:r>
        <w:rPr>
          <w:rFonts w:ascii="宋体" w:eastAsia="仿宋_GB2312" w:cs="宋体" w:hAnsi="宋体" w:hint="eastAsia"/>
          <w:spacing w:val="-14"/>
          <w:kern w:val="0"/>
          <w:sz w:val="32"/>
          <w:szCs w:val="32"/>
          <w:lang w:val="en-US" w:eastAsia="zh-CN"/>
        </w:rPr>
        <w:t>是党和国家历史上具有里程碑意义的一年，中国共产党胜利召开二十次全国代表大会，开启了实现第二个百年奋斗目标、以中国式现代化全面推进中华民族伟大复兴的新征程。也是十四届金川政协工作起步之年</w:t>
      </w:r>
      <w:r>
        <w:rPr>
          <w:rFonts w:ascii="宋体" w:eastAsia="仿宋_GB2312" w:cs="宋体" w:hAnsi="宋体"/>
          <w:spacing w:val="-14"/>
          <w:kern w:val="0"/>
          <w:sz w:val="32"/>
          <w:szCs w:val="32"/>
          <w:lang w:val="en-US" w:eastAsia="zh-CN"/>
        </w:rPr>
        <w:t>。一年来，在</w:t>
      </w:r>
      <w:r>
        <w:rPr>
          <w:rFonts w:ascii="宋体" w:eastAsia="仿宋_GB2312" w:cs="宋体" w:hAnsi="宋体" w:hint="eastAsia"/>
          <w:spacing w:val="-14"/>
          <w:kern w:val="0"/>
          <w:sz w:val="32"/>
          <w:szCs w:val="32"/>
          <w:lang w:val="en-US" w:eastAsia="zh-CN"/>
        </w:rPr>
        <w:t>中共</w:t>
      </w:r>
      <w:r>
        <w:rPr>
          <w:rFonts w:ascii="宋体" w:eastAsia="仿宋_GB2312" w:cs="宋体" w:hAnsi="宋体"/>
          <w:spacing w:val="-14"/>
          <w:kern w:val="0"/>
          <w:sz w:val="32"/>
          <w:szCs w:val="32"/>
          <w:lang w:val="en-US" w:eastAsia="zh-CN"/>
        </w:rPr>
        <w:t>金川县委的坚强领导下，</w:t>
      </w:r>
      <w:r>
        <w:rPr>
          <w:rFonts w:ascii="宋体" w:eastAsia="仿宋_GB2312" w:cs="宋体" w:hAnsi="宋体" w:hint="eastAsia"/>
          <w:spacing w:val="-14"/>
          <w:kern w:val="0"/>
          <w:sz w:val="32"/>
          <w:szCs w:val="32"/>
          <w:lang w:val="en-US" w:eastAsia="zh-CN"/>
        </w:rPr>
        <w:t>新一届政协及其常委会坚定以习近平新时代中国特色社会主义思想为指导，深入学习贯彻党的十九大、十九届历次全会、</w:t>
      </w:r>
      <w:r>
        <w:rPr>
          <w:rFonts w:ascii="宋体" w:eastAsia="仿宋_GB2312" w:cs="宋体" w:hAnsi="宋体"/>
          <w:spacing w:val="-14"/>
          <w:kern w:val="0"/>
          <w:sz w:val="32"/>
          <w:szCs w:val="32"/>
          <w:lang w:val="en-US" w:eastAsia="zh-CN"/>
        </w:rPr>
        <w:t>党的</w:t>
      </w:r>
      <w:r>
        <w:rPr>
          <w:rFonts w:ascii="宋体" w:eastAsia="仿宋_GB2312" w:cs="宋体" w:hAnsi="宋体" w:hint="eastAsia"/>
          <w:spacing w:val="-14"/>
          <w:kern w:val="0"/>
          <w:sz w:val="32"/>
          <w:szCs w:val="32"/>
          <w:lang w:val="en-US" w:eastAsia="zh-CN"/>
        </w:rPr>
        <w:t>二十大精神，全面</w:t>
      </w:r>
      <w:r>
        <w:rPr>
          <w:rFonts w:ascii="宋体" w:eastAsia="仿宋_GB2312" w:cs="宋体" w:hAnsi="宋体"/>
          <w:spacing w:val="-14"/>
          <w:kern w:val="0"/>
          <w:sz w:val="32"/>
          <w:szCs w:val="32"/>
          <w:lang w:val="en-US" w:eastAsia="zh-CN"/>
        </w:rPr>
        <w:t>落实中央、省</w:t>
      </w:r>
      <w:r>
        <w:rPr>
          <w:rFonts w:ascii="宋体" w:eastAsia="仿宋_GB2312" w:cs="宋体" w:hAnsi="宋体" w:hint="eastAsia"/>
          <w:spacing w:val="-14"/>
          <w:kern w:val="0"/>
          <w:sz w:val="32"/>
          <w:szCs w:val="32"/>
          <w:lang w:val="en-US" w:eastAsia="zh-CN"/>
        </w:rPr>
        <w:t>委、州</w:t>
      </w:r>
      <w:r>
        <w:rPr>
          <w:rFonts w:ascii="宋体" w:eastAsia="仿宋_GB2312" w:cs="宋体" w:hAnsi="宋体"/>
          <w:spacing w:val="-14"/>
          <w:kern w:val="0"/>
          <w:sz w:val="32"/>
          <w:szCs w:val="32"/>
          <w:lang w:val="en-US" w:eastAsia="zh-CN"/>
        </w:rPr>
        <w:t>委政协工作会议</w:t>
      </w:r>
      <w:r>
        <w:rPr>
          <w:rFonts w:ascii="宋体" w:eastAsia="仿宋_GB2312" w:cs="宋体" w:hAnsi="宋体" w:hint="eastAsia"/>
          <w:spacing w:val="-14"/>
          <w:kern w:val="0"/>
          <w:sz w:val="32"/>
          <w:szCs w:val="32"/>
          <w:lang w:val="en-US" w:eastAsia="zh-CN"/>
        </w:rPr>
        <w:t>和州、县第十三次党代会部署</w:t>
      </w:r>
      <w:r>
        <w:rPr>
          <w:rFonts w:ascii="宋体" w:eastAsia="仿宋_GB2312" w:cs="宋体" w:hAnsi="宋体"/>
          <w:spacing w:val="-14"/>
          <w:kern w:val="0"/>
          <w:sz w:val="32"/>
          <w:szCs w:val="32"/>
          <w:lang w:val="en-US" w:eastAsia="zh-CN"/>
        </w:rPr>
        <w:t>，</w:t>
      </w:r>
      <w:r>
        <w:rPr>
          <w:rFonts w:ascii="宋体" w:eastAsia="仿宋_GB2312" w:cs="宋体" w:hAnsi="宋体" w:hint="eastAsia"/>
          <w:spacing w:val="-14"/>
          <w:kern w:val="0"/>
          <w:sz w:val="32"/>
          <w:szCs w:val="32"/>
          <w:lang w:val="en-US" w:eastAsia="zh-CN"/>
        </w:rPr>
        <w:t>坚持人民政协性质定位，紧扣全县中心大局建言资政、</w:t>
      </w:r>
      <w:r>
        <w:rPr>
          <w:rFonts w:ascii="宋体" w:eastAsia="仿宋_GB2312" w:cs="宋体" w:hAnsi="宋体"/>
          <w:spacing w:val="-14"/>
          <w:kern w:val="0"/>
          <w:sz w:val="32"/>
          <w:szCs w:val="32"/>
          <w:lang w:val="en-US" w:eastAsia="zh-CN"/>
        </w:rPr>
        <w:t>凝聚共识，</w:t>
      </w:r>
      <w:r>
        <w:rPr>
          <w:rFonts w:ascii="宋体" w:eastAsia="仿宋_GB2312" w:cs="宋体" w:hAnsi="宋体" w:hint="eastAsia"/>
          <w:spacing w:val="-14"/>
          <w:kern w:val="0"/>
          <w:sz w:val="32"/>
          <w:szCs w:val="32"/>
          <w:lang w:val="en-US" w:eastAsia="zh-CN"/>
        </w:rPr>
        <w:t>推动全县政协事业持续创新发展，为高质量建设</w:t>
      </w:r>
      <w:r>
        <w:rPr>
          <w:rFonts w:ascii="宋体" w:eastAsia="仿宋_GB2312" w:cs="宋体" w:hAnsi="宋体"/>
          <w:spacing w:val="-14"/>
          <w:kern w:val="0"/>
          <w:sz w:val="32"/>
          <w:szCs w:val="32"/>
          <w:lang w:val="en-US" w:eastAsia="zh-CN"/>
        </w:rPr>
        <w:t>“一二三六”</w:t>
      </w:r>
      <w:r>
        <w:rPr>
          <w:rFonts w:ascii="宋体" w:eastAsia="仿宋_GB2312" w:cs="宋体" w:hAnsi="宋体" w:hint="eastAsia"/>
          <w:spacing w:val="-14"/>
          <w:kern w:val="0"/>
          <w:sz w:val="32"/>
          <w:szCs w:val="32"/>
          <w:lang w:val="en-US" w:eastAsia="zh-CN"/>
        </w:rPr>
        <w:t>发展目标作出了积极</w:t>
      </w:r>
      <w:r>
        <w:rPr>
          <w:rFonts w:ascii="宋体" w:eastAsia="仿宋_GB2312" w:cs="宋体" w:hAnsi="宋体"/>
          <w:spacing w:val="-14"/>
          <w:kern w:val="0"/>
          <w:sz w:val="32"/>
          <w:szCs w:val="32"/>
          <w:lang w:val="en-US" w:eastAsia="zh-CN"/>
        </w:rPr>
        <w:t>贡献。</w:t>
      </w:r>
    </w:p>
    <w:p>
      <w:pPr>
        <w:spacing w:line="578" w:lineRule="exact"/>
        <w:ind w:firstLineChars="200" w:firstLine="640"/>
        <w:rPr>
          <w:rStyle w:val="2Char"/>
          <w:b w:val="0"/>
          <w:bCs w:val="0"/>
        </w:rPr>
      </w:pPr>
      <w:bookmarkStart w:id="35" w:name="_Toc1089406214"/>
      <w:r>
        <w:rPr>
          <w:rStyle w:val="2Char"/>
          <w:rFonts w:ascii="黑体" w:eastAsia="黑体" w:hint="eastAsia"/>
          <w:b w:val="0"/>
          <w:bCs w:val="0"/>
        </w:rPr>
        <w:t>二、机构设置</w:t>
      </w:r>
      <w:bookmarkEnd w:id="31"/>
      <w:bookmarkEnd w:id="32"/>
    </w:p>
    <w:p>
      <w:pPr>
        <w:widowControl/>
        <w:ind w:firstLineChars="200" w:firstLine="584"/>
        <w:jc w:val="left"/>
        <w:rPr>
          <w:rFonts w:ascii="仿宋_GB2312" w:eastAsia="仿宋_GB2312" w:cs="仿宋_GB2312" w:hint="eastAsia"/>
          <w:spacing w:val="-14"/>
          <w:kern w:val="0"/>
          <w:sz w:val="32"/>
          <w:szCs w:val="32"/>
          <w:lang w:val="en-US" w:eastAsia="zh-CN"/>
        </w:rPr>
      </w:pPr>
      <w:bookmarkStart w:id="36" w:name="_Toc15377204"/>
      <w:bookmarkStart w:id="37" w:name="_Toc15396602"/>
      <w:bookmarkEnd w:id="33"/>
      <w:bookmarkEnd w:id="34"/>
      <w:bookmarkEnd w:id="35"/>
      <w:r>
        <w:rPr>
          <w:rFonts w:ascii="仿宋_GB2312" w:eastAsia="仿宋_GB2312" w:cs="仿宋_GB2312" w:hint="eastAsia"/>
          <w:spacing w:val="-14"/>
          <w:kern w:val="0"/>
          <w:sz w:val="32"/>
          <w:szCs w:val="32"/>
          <w:lang w:val="en-US" w:eastAsia="zh-CN"/>
        </w:rPr>
        <w:t>2022年独立编制单位机构数为1个。财政供养人员编制为21名，其中行政编制16名，行政工勤编制3名、事业编制2名；2022年实际财政供养人员39人，其中：行政34人，行政工勤4人、事业1人。</w:t>
      </w:r>
    </w:p>
    <w:p>
      <w:pPr>
        <w:pStyle w:val="1"/>
        <w:ind w:right="440"/>
        <w:jc w:val="right"/>
        <w:rPr>
          <w:rFonts w:ascii="黑体" w:eastAsia="黑体" w:hint="eastAsia"/>
          <w:b w:val="0"/>
          <w:color w:val="000000"/>
        </w:rPr>
      </w:pPr>
      <w:bookmarkStart w:id="38" w:name="_Toc3208"/>
      <w:bookmarkStart w:id="39" w:name="_Toc4502"/>
    </w:p>
    <w:p>
      <w:pPr>
        <w:pStyle w:val="1"/>
        <w:ind w:right="440"/>
        <w:jc w:val="right"/>
        <w:rPr>
          <w:rFonts w:ascii="黑体" w:eastAsia="黑体" w:hint="eastAsia"/>
          <w:b w:val="0"/>
          <w:color w:val="000000"/>
        </w:rPr>
      </w:pPr>
    </w:p>
    <w:p>
      <w:pPr>
        <w:pStyle w:val="1"/>
        <w:ind w:right="440"/>
        <w:jc w:val="right"/>
        <w:rPr>
          <w:rFonts w:ascii="黑体" w:eastAsia="黑体" w:hint="eastAsia"/>
          <w:b w:val="0"/>
          <w:color w:val="000000"/>
        </w:rPr>
      </w:pPr>
    </w:p>
    <w:p>
      <w:pPr>
        <w:pStyle w:val="1"/>
        <w:ind w:right="440"/>
        <w:jc w:val="both"/>
        <w:rPr>
          <w:rFonts w:ascii="黑体" w:eastAsia="黑体" w:hint="eastAsia"/>
          <w:b w:val="0"/>
          <w:color w:val="000000"/>
        </w:rPr>
      </w:pPr>
    </w:p>
    <w:p>
      <w:pPr>
        <w:rPr>
          <w:rFonts w:ascii="黑体" w:eastAsia="黑体" w:hint="eastAsia"/>
          <w:b w:val="0"/>
          <w:color w:val="000000"/>
        </w:rPr>
      </w:pPr>
    </w:p>
    <w:p>
      <w:pPr>
        <w:rPr>
          <w:rFonts w:ascii="黑体" w:eastAsia="黑体" w:hint="eastAsia"/>
          <w:b w:val="0"/>
          <w:color w:val="000000"/>
        </w:rPr>
      </w:pPr>
    </w:p>
    <w:p>
      <w:pPr>
        <w:rPr>
          <w:rFonts w:ascii="黑体" w:eastAsia="黑体" w:hint="eastAsia"/>
          <w:b w:val="0"/>
          <w:color w:val="000000"/>
        </w:rPr>
      </w:pPr>
    </w:p>
    <w:p>
      <w:pPr>
        <w:rPr>
          <w:rFonts w:ascii="黑体" w:eastAsia="黑体" w:hint="eastAsia"/>
          <w:b w:val="0"/>
          <w:color w:val="000000"/>
        </w:rPr>
      </w:pPr>
    </w:p>
    <w:p>
      <w:pPr>
        <w:pStyle w:val="1"/>
        <w:ind w:right="440"/>
        <w:jc w:val="right"/>
      </w:pPr>
      <w:bookmarkStart w:id="40" w:name="_Toc1345414626"/>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w:t>
      </w:r>
      <w:r>
        <w:rPr>
          <w:rStyle w:val="1Char"/>
          <w:rFonts w:ascii="黑体" w:eastAsia="黑体" w:hint="eastAsia"/>
          <w:b w:val="0"/>
          <w:bCs w:val="0"/>
          <w:lang w:val="en-US" w:eastAsia="zh-CN"/>
        </w:rPr>
        <w:t>2</w:t>
      </w:r>
      <w:r>
        <w:rPr>
          <w:rStyle w:val="1Char"/>
          <w:rFonts w:ascii="黑体" w:eastAsia="黑体" w:hint="eastAsia"/>
          <w:b w:val="0"/>
          <w:bCs w:val="0"/>
        </w:rPr>
        <w:t>年度部门决算情况说明</w:t>
      </w:r>
      <w:bookmarkEnd w:id="36"/>
      <w:bookmarkEnd w:id="37"/>
      <w:bookmarkEnd w:id="38"/>
      <w:bookmarkEnd w:id="39"/>
      <w:bookmarkEnd w:id="40"/>
    </w:p>
    <w:p>
      <w:pPr>
        <w:pStyle w:val="24"/>
        <w:ind w:left="210" w:firstLineChars="0" w:firstLine="0"/>
        <w:outlineLvl w:val="1"/>
        <w:rPr>
          <w:rStyle w:val="2Char"/>
          <w:rFonts w:ascii="黑体" w:eastAsia="黑体"/>
          <w:b w:val="0"/>
        </w:rPr>
      </w:pPr>
      <w:bookmarkStart w:id="41" w:name="_Toc15396603"/>
      <w:bookmarkStart w:id="42" w:name="_Toc15377205"/>
      <w:r>
        <w:rPr>
          <w:rFonts w:ascii="黑体" w:eastAsia="黑体" w:hint="eastAsia"/>
          <w:color w:val="000000"/>
          <w:sz w:val="32"/>
          <w:szCs w:val="32"/>
        </w:rPr>
        <w:t>　　</w:t>
      </w:r>
      <w:bookmarkStart w:id="43" w:name="_Toc1923963749"/>
      <w:bookmarkStart w:id="44" w:name="_Toc20455"/>
      <w:r>
        <w:rPr>
          <w:rStyle w:val="2Char"/>
          <w:rFonts w:ascii="黑体" w:eastAsia="黑体" w:hint="eastAsia"/>
          <w:b w:val="0"/>
        </w:rPr>
        <w:t>一、收入支出决算总体情况说明</w:t>
      </w:r>
      <w:bookmarkEnd w:id="41"/>
      <w:bookmarkEnd w:id="42"/>
    </w:p>
    <w:p>
      <w:pPr>
        <w:snapToGrid w:val="0"/>
        <w:spacing w:line="520" w:lineRule="exact"/>
        <w:ind w:firstLineChars="200" w:firstLine="640"/>
        <w:rPr>
          <w:rFonts w:ascii="仿宋_GB2312" w:eastAsia="仿宋_GB2312"/>
          <w:color w:val="000000"/>
          <w:spacing w:val="-2"/>
          <w:sz w:val="32"/>
          <w:szCs w:val="32"/>
        </w:rPr>
      </w:pPr>
      <w:bookmarkEnd w:id="43"/>
      <w:bookmarkEnd w:id="44"/>
      <w:r>
        <w:rPr>
          <w:rFonts w:ascii="仿宋" w:eastAsia="仿宋" w:hint="eastAsia"/>
          <w:sz w:val="32"/>
          <w:szCs w:val="32"/>
        </w:rPr>
        <w:t>202</w:t>
      </w:r>
      <w:r>
        <w:rPr>
          <w:rFonts w:ascii="仿宋" w:eastAsia="仿宋" w:hint="eastAsia"/>
          <w:sz w:val="32"/>
          <w:szCs w:val="32"/>
          <w:lang w:val="en-US" w:eastAsia="zh-CN"/>
        </w:rPr>
        <w:t>2</w:t>
      </w:r>
      <w:r>
        <w:rPr>
          <w:rFonts w:ascii="仿宋" w:eastAsia="仿宋" w:hint="eastAsia"/>
          <w:sz w:val="32"/>
          <w:szCs w:val="32"/>
        </w:rPr>
        <w:t>年度总收入1,241.52万元，较上年收入增加</w:t>
      </w:r>
      <w:r>
        <w:rPr>
          <w:rFonts w:ascii="仿宋" w:eastAsia="仿宋" w:hint="eastAsia"/>
          <w:sz w:val="32"/>
          <w:szCs w:val="32"/>
          <w:lang w:val="en-US" w:eastAsia="zh-CN"/>
        </w:rPr>
        <w:t>136.36</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12.34</w:t>
      </w:r>
      <w:r>
        <w:rPr>
          <w:rFonts w:ascii="仿宋_GB2312" w:eastAsia="仿宋_GB2312" w:hint="eastAsia"/>
          <w:color w:val="000000"/>
          <w:spacing w:val="-2"/>
          <w:sz w:val="32"/>
          <w:szCs w:val="32"/>
        </w:rPr>
        <w:t>%。主要原因是</w:t>
      </w:r>
      <w:r>
        <w:rPr>
          <w:rFonts w:ascii="仿宋_GB2312" w:eastAsia="仿宋_GB2312" w:cs="仿宋" w:hint="eastAsia"/>
          <w:color w:val="000000"/>
          <w:sz w:val="32"/>
          <w:szCs w:val="32"/>
        </w:rPr>
        <w:t>人员增加，经费增加</w:t>
      </w:r>
      <w:r>
        <w:rPr>
          <w:rFonts w:ascii="仿宋_GB2312" w:eastAsia="仿宋_GB2312" w:hint="eastAsia"/>
          <w:color w:val="000000"/>
          <w:spacing w:val="-2"/>
          <w:sz w:val="32"/>
          <w:szCs w:val="32"/>
        </w:rPr>
        <w:t>。</w:t>
      </w:r>
    </w:p>
    <w:p>
      <w:pPr>
        <w:snapToGrid w:val="0"/>
        <w:spacing w:line="520" w:lineRule="exact"/>
        <w:ind w:firstLineChars="200" w:firstLine="632"/>
        <w:rPr>
          <w:rFonts w:ascii="仿宋_GB2312" w:eastAsia="仿宋_GB2312" w:hint="eastAsia"/>
          <w:color w:val="000000"/>
          <w:spacing w:val="-2"/>
          <w:sz w:val="32"/>
          <w:szCs w:val="32"/>
        </w:rPr>
      </w:pPr>
      <w:r>
        <w:rPr>
          <w:rFonts w:ascii="仿宋_GB2312" w:eastAsia="仿宋_GB2312" w:hint="eastAsia"/>
          <w:spacing w:val="-2"/>
          <w:sz w:val="32"/>
          <w:szCs w:val="32"/>
        </w:rPr>
        <w:t>202</w:t>
      </w:r>
      <w:r>
        <w:rPr>
          <w:rFonts w:ascii="仿宋_GB2312" w:eastAsia="仿宋_GB2312" w:hint="eastAsia"/>
          <w:spacing w:val="-2"/>
          <w:sz w:val="32"/>
          <w:szCs w:val="32"/>
          <w:lang w:val="en-US" w:eastAsia="zh-CN"/>
        </w:rPr>
        <w:t>2</w:t>
      </w:r>
      <w:r>
        <w:rPr>
          <w:rFonts w:ascii="仿宋_GB2312" w:eastAsia="仿宋_GB2312" w:hint="eastAsia"/>
          <w:spacing w:val="-2"/>
          <w:sz w:val="32"/>
          <w:szCs w:val="32"/>
        </w:rPr>
        <w:t>年总支出</w:t>
      </w:r>
      <w:r>
        <w:rPr>
          <w:rFonts w:ascii="仿宋" w:eastAsia="仿宋" w:hint="eastAsia"/>
          <w:sz w:val="32"/>
          <w:szCs w:val="32"/>
        </w:rPr>
        <w:t>1,241.52</w:t>
      </w:r>
      <w:r>
        <w:rPr>
          <w:rFonts w:ascii="仿宋_GB2312" w:eastAsia="仿宋_GB2312" w:hint="eastAsia"/>
          <w:spacing w:val="-2"/>
          <w:sz w:val="32"/>
          <w:szCs w:val="32"/>
        </w:rPr>
        <w:t>万元，</w:t>
      </w:r>
      <w:bookmarkStart w:id="45" w:name="_Toc15396604"/>
      <w:bookmarkStart w:id="46" w:name="_Toc15377206"/>
      <w:bookmarkStart w:id="47" w:name="_Toc22056"/>
      <w:r>
        <w:rPr>
          <w:rFonts w:ascii="仿宋" w:eastAsia="仿宋" w:hint="eastAsia"/>
          <w:sz w:val="32"/>
          <w:szCs w:val="32"/>
        </w:rPr>
        <w:t>较上年收入增加</w:t>
      </w:r>
      <w:r>
        <w:rPr>
          <w:rFonts w:ascii="仿宋" w:eastAsia="仿宋" w:hint="eastAsia"/>
          <w:sz w:val="32"/>
          <w:szCs w:val="32"/>
          <w:lang w:val="en-US" w:eastAsia="zh-CN"/>
        </w:rPr>
        <w:t>136.36</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12.34</w:t>
      </w:r>
      <w:r>
        <w:rPr>
          <w:rFonts w:ascii="仿宋_GB2312" w:eastAsia="仿宋_GB2312" w:hint="eastAsia"/>
          <w:color w:val="000000"/>
          <w:spacing w:val="-2"/>
          <w:sz w:val="32"/>
          <w:szCs w:val="32"/>
        </w:rPr>
        <w:t>%。主要原因是</w:t>
      </w:r>
      <w:r>
        <w:rPr>
          <w:rFonts w:ascii="仿宋_GB2312" w:eastAsia="仿宋_GB2312" w:cs="仿宋" w:hint="eastAsia"/>
          <w:color w:val="000000"/>
          <w:sz w:val="32"/>
          <w:szCs w:val="32"/>
        </w:rPr>
        <w:t>人员</w:t>
      </w:r>
      <w:r>
        <w:rPr>
          <w:rFonts w:ascii="仿宋_GB2312" w:eastAsia="仿宋_GB2312" w:cs="仿宋" w:hint="eastAsia"/>
          <w:color w:val="000000"/>
          <w:sz w:val="32"/>
          <w:szCs w:val="32"/>
          <w:lang w:eastAsia="zh-CN"/>
        </w:rPr>
        <w:t>经费</w:t>
      </w:r>
      <w:r>
        <w:rPr>
          <w:rFonts w:ascii="仿宋_GB2312" w:eastAsia="仿宋_GB2312" w:cs="仿宋" w:hint="eastAsia"/>
          <w:color w:val="000000"/>
          <w:sz w:val="32"/>
          <w:szCs w:val="32"/>
        </w:rPr>
        <w:t>增加，</w:t>
      </w:r>
      <w:r>
        <w:rPr>
          <w:rFonts w:ascii="仿宋_GB2312" w:eastAsia="仿宋_GB2312" w:cs="仿宋" w:hint="eastAsia"/>
          <w:color w:val="000000"/>
          <w:sz w:val="32"/>
          <w:szCs w:val="32"/>
          <w:lang w:eastAsia="zh-CN"/>
        </w:rPr>
        <w:t>公用经费</w:t>
      </w:r>
      <w:r>
        <w:rPr>
          <w:rFonts w:ascii="仿宋_GB2312" w:eastAsia="仿宋_GB2312" w:cs="仿宋" w:hint="eastAsia"/>
          <w:color w:val="000000"/>
          <w:sz w:val="32"/>
          <w:szCs w:val="32"/>
        </w:rPr>
        <w:t>增加</w:t>
      </w:r>
      <w:r>
        <w:rPr>
          <w:rFonts w:ascii="仿宋_GB2312" w:eastAsia="仿宋_GB2312" w:hint="eastAsia"/>
          <w:color w:val="000000"/>
          <w:spacing w:val="-2"/>
          <w:sz w:val="32"/>
          <w:szCs w:val="32"/>
        </w:rPr>
        <w:t>。</w:t>
      </w:r>
    </w:p>
    <w:p>
      <w:pPr>
        <w:spacing w:line="600" w:lineRule="exact"/>
        <w:rPr>
          <w:rStyle w:val="2Char"/>
          <w:rFonts w:ascii="黑体" w:eastAsia="黑体"/>
          <w:b w:val="0"/>
        </w:rPr>
      </w:pPr>
    </w:p>
    <w:p>
      <w:pPr>
        <w:spacing w:line="600" w:lineRule="exact"/>
        <w:ind w:firstLineChars="200" w:firstLine="420"/>
        <w:rPr>
          <w:rStyle w:val="2Char"/>
          <w:rFonts w:ascii="黑体" w:eastAsia="黑体"/>
          <w:b w:val="0"/>
        </w:rPr>
      </w:pPr>
      <w:r>
        <w:drawing>
          <wp:anchor distT="0" distB="0" distL="114300" distR="114300" simplePos="0" relativeHeight="4" behindDoc="1" locked="0" layoutInCell="1" hidden="0" allowOverlap="1">
            <wp:simplePos x="0" y="0"/>
            <wp:positionH relativeFrom="column">
              <wp:posOffset>-6984</wp:posOffset>
            </wp:positionH>
            <wp:positionV relativeFrom="paragraph">
              <wp:posOffset>64135</wp:posOffset>
            </wp:positionV>
            <wp:extent cx="4572000" cy="2743200"/>
            <wp:effectExtent l="0" t="0" r="0" b="0"/>
            <wp:wrapNone/>
            <wp:docPr id="1" name="图表 14"/>
            <wp:cNvGraphicFramePr>
              <a:graphicFrameLocks noChangeAspect="0"/>
            </wp:cNvGraphicFramePr>
            <a:graphic>
              <a:graphicData uri="http://schemas.openxmlformats.org/drawingml/2006/chart">
                <c:chart xmlns:c="http://schemas.openxmlformats.org/drawingml/2006/chart" r:id="rId4"/>
              </a:graphicData>
            </a:graphic>
          </wp:anchor>
        </w:drawing>
      </w:r>
      <w:bookmarkStart w:id="48" w:name="_Toc761976730"/>
      <w:bookmarkStart w:id="49" w:name="_Toc29097"/>
      <w:bookmarkStart w:id="50" w:name="_Toc26048"/>
    </w:p>
    <w:p>
      <w:pPr>
        <w:spacing w:line="600" w:lineRule="exact"/>
        <w:ind w:firstLineChars="200" w:firstLine="640"/>
        <w:rPr>
          <w:rStyle w:val="2Char"/>
          <w:rFonts w:ascii="黑体" w:eastAsia="黑体"/>
          <w:b w:val="0"/>
        </w:rPr>
      </w:pPr>
      <w:bookmarkEnd w:id="48"/>
      <w:bookmarkEnd w:id="49"/>
      <w:bookmarkEnd w:id="50"/>
    </w:p>
    <w:p>
      <w:pPr>
        <w:spacing w:line="600" w:lineRule="exact"/>
        <w:ind w:firstLineChars="200" w:firstLine="640"/>
        <w:rPr>
          <w:rStyle w:val="2Char"/>
          <w:rFonts w:ascii="黑体" w:eastAsia="黑体"/>
          <w:b w:val="0"/>
        </w:rPr>
      </w:pPr>
    </w:p>
    <w:p>
      <w:pPr>
        <w:spacing w:line="600" w:lineRule="exact"/>
        <w:ind w:firstLineChars="200" w:firstLine="640"/>
        <w:rPr>
          <w:rStyle w:val="2Char"/>
          <w:rFonts w:ascii="黑体" w:eastAsia="黑体"/>
          <w:b w:val="0"/>
        </w:rPr>
      </w:pPr>
    </w:p>
    <w:p>
      <w:pPr>
        <w:spacing w:line="600" w:lineRule="exact"/>
        <w:ind w:firstLineChars="200" w:firstLine="640"/>
        <w:rPr>
          <w:rStyle w:val="2Char"/>
          <w:rFonts w:ascii="黑体" w:eastAsia="黑体"/>
          <w:b w:val="0"/>
        </w:rPr>
      </w:pPr>
    </w:p>
    <w:p>
      <w:pPr>
        <w:spacing w:line="600" w:lineRule="exact"/>
        <w:ind w:firstLineChars="200" w:firstLine="640"/>
        <w:rPr>
          <w:rStyle w:val="2Char"/>
          <w:rFonts w:ascii="黑体" w:eastAsia="黑体"/>
          <w:b w:val="0"/>
        </w:rPr>
      </w:pPr>
    </w:p>
    <w:p>
      <w:pPr>
        <w:spacing w:line="600" w:lineRule="exact"/>
        <w:ind w:firstLineChars="200" w:firstLine="640"/>
        <w:rPr>
          <w:rStyle w:val="2Char"/>
          <w:rFonts w:ascii="黑体" w:eastAsia="黑体"/>
          <w:b w:val="0"/>
        </w:rPr>
      </w:pPr>
    </w:p>
    <w:p>
      <w:pPr>
        <w:spacing w:line="600" w:lineRule="exact"/>
        <w:rPr>
          <w:rStyle w:val="2Char"/>
          <w:rFonts w:ascii="黑体" w:eastAsia="黑体"/>
          <w:b w:val="0"/>
        </w:rPr>
      </w:pPr>
    </w:p>
    <w:p>
      <w:pPr>
        <w:spacing w:line="600" w:lineRule="exact"/>
        <w:ind w:firstLineChars="200" w:firstLine="640"/>
        <w:rPr>
          <w:rStyle w:val="2Char"/>
          <w:rFonts w:ascii="黑体" w:eastAsia="黑体"/>
        </w:rPr>
      </w:pPr>
      <w:bookmarkStart w:id="51" w:name="_Toc2036075442"/>
      <w:r>
        <w:rPr>
          <w:rStyle w:val="2Char"/>
          <w:rFonts w:ascii="黑体" w:eastAsia="黑体" w:hint="eastAsia"/>
          <w:b w:val="0"/>
        </w:rPr>
        <w:t>二、收入决算情况说明</w:t>
      </w:r>
      <w:bookmarkEnd w:id="45"/>
      <w:bookmarkEnd w:id="46"/>
    </w:p>
    <w:p>
      <w:pPr>
        <w:spacing w:line="600" w:lineRule="exact"/>
        <w:ind w:firstLineChars="200" w:firstLine="640"/>
        <w:outlineLvl w:val="1"/>
        <w:rPr>
          <w:rFonts w:ascii="仿宋" w:eastAsia="仿宋"/>
          <w:color w:val="000000"/>
          <w:sz w:val="32"/>
          <w:szCs w:val="32"/>
        </w:rPr>
      </w:pPr>
      <w:bookmarkEnd w:id="47"/>
      <w:bookmarkEnd w:id="51"/>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年总收入</w:t>
      </w:r>
      <w:r>
        <w:rPr>
          <w:rFonts w:ascii="仿宋" w:eastAsia="仿宋" w:hint="eastAsia"/>
          <w:sz w:val="32"/>
          <w:szCs w:val="32"/>
        </w:rPr>
        <w:t>1,241.52</w:t>
      </w:r>
      <w:r>
        <w:rPr>
          <w:rFonts w:ascii="仿宋" w:eastAsia="仿宋" w:hint="eastAsia"/>
          <w:color w:val="000000"/>
          <w:sz w:val="32"/>
          <w:szCs w:val="32"/>
        </w:rPr>
        <w:t>万元，其中：一般公共预算财政拨款收入</w:t>
      </w:r>
      <w:r>
        <w:rPr>
          <w:rFonts w:ascii="仿宋" w:eastAsia="仿宋" w:hint="eastAsia"/>
          <w:sz w:val="32"/>
          <w:szCs w:val="32"/>
        </w:rPr>
        <w:t>1,241.52</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；政府性基金预算财政拨款收入0万元，占0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p>
    <w:p>
      <w:pPr>
        <w:spacing w:line="600" w:lineRule="exact"/>
        <w:ind w:firstLineChars="200" w:firstLine="420"/>
        <w:outlineLvl w:val="1"/>
        <w:rPr>
          <w:rStyle w:val="2Char"/>
          <w:rFonts w:ascii="黑体" w:eastAsia="黑体"/>
          <w:b w:val="0"/>
        </w:rPr>
      </w:pPr>
      <w:bookmarkStart w:id="52" w:name="_Toc15396605"/>
      <w:bookmarkStart w:id="53" w:name="_Toc15377207"/>
      <w:bookmarkStart w:id="54" w:name="_Toc24378"/>
      <w:r>
        <w:drawing>
          <wp:anchor distT="0" distB="0" distL="114300" distR="114300" simplePos="0" relativeHeight="6" behindDoc="1" locked="0" layoutInCell="1" hidden="0" allowOverlap="1">
            <wp:simplePos x="0" y="0"/>
            <wp:positionH relativeFrom="column">
              <wp:posOffset>398144</wp:posOffset>
            </wp:positionH>
            <wp:positionV relativeFrom="paragraph">
              <wp:posOffset>325755</wp:posOffset>
            </wp:positionV>
            <wp:extent cx="4572000" cy="2743200"/>
            <wp:effectExtent l="0" t="0" r="0" b="0"/>
            <wp:wrapNone/>
            <wp:docPr id="2" name="图表 15"/>
            <wp:cNvGraphicFramePr>
              <a:graphicFrameLocks noChangeAspect="0"/>
            </wp:cNvGraphicFramePr>
            <a:graphic>
              <a:graphicData uri="http://schemas.openxmlformats.org/drawingml/2006/chart">
                <c:chart xmlns:c="http://schemas.openxmlformats.org/drawingml/2006/chart" r:id="rId5"/>
              </a:graphicData>
            </a:graphic>
          </wp:anchor>
        </w:drawing>
      </w:r>
      <w:bookmarkStart w:id="55" w:name="_Toc5341"/>
      <w:bookmarkStart w:id="56" w:name="_Toc2087093217"/>
    </w:p>
    <w:p>
      <w:pPr>
        <w:spacing w:line="600" w:lineRule="exact"/>
        <w:ind w:firstLineChars="200" w:firstLine="640"/>
        <w:outlineLvl w:val="1"/>
        <w:rPr>
          <w:rStyle w:val="2Char"/>
          <w:rFonts w:ascii="黑体" w:eastAsia="黑体"/>
          <w:b w:val="0"/>
        </w:rPr>
      </w:pPr>
      <w:bookmarkEnd w:id="55"/>
      <w:bookmarkEnd w:id="56"/>
    </w:p>
    <w:p>
      <w:pPr>
        <w:spacing w:line="600" w:lineRule="exact"/>
        <w:ind w:firstLineChars="200" w:firstLine="640"/>
        <w:outlineLvl w:val="1"/>
        <w:rPr>
          <w:rStyle w:val="2Char"/>
          <w:rFonts w:ascii="黑体" w:eastAsia="黑体"/>
          <w:b w:val="0"/>
        </w:rPr>
      </w:pPr>
    </w:p>
    <w:p>
      <w:pPr>
        <w:spacing w:line="600" w:lineRule="exact"/>
        <w:ind w:firstLineChars="200" w:firstLine="640"/>
        <w:outlineLvl w:val="1"/>
        <w:rPr>
          <w:rStyle w:val="2Char"/>
          <w:rFonts w:ascii="黑体" w:eastAsia="黑体"/>
          <w:b w:val="0"/>
        </w:rPr>
      </w:pPr>
    </w:p>
    <w:p>
      <w:pPr>
        <w:spacing w:line="600" w:lineRule="exact"/>
        <w:ind w:firstLineChars="200" w:firstLine="640"/>
        <w:outlineLvl w:val="1"/>
        <w:rPr>
          <w:rStyle w:val="2Char"/>
          <w:rFonts w:ascii="黑体" w:eastAsia="黑体"/>
          <w:b w:val="0"/>
        </w:rPr>
      </w:pPr>
    </w:p>
    <w:p>
      <w:pPr>
        <w:spacing w:line="600" w:lineRule="exact"/>
        <w:ind w:firstLineChars="200" w:firstLine="640"/>
        <w:outlineLvl w:val="1"/>
        <w:rPr>
          <w:rStyle w:val="2Char"/>
          <w:rFonts w:ascii="黑体" w:eastAsia="黑体"/>
          <w:b w:val="0"/>
        </w:rPr>
      </w:pPr>
    </w:p>
    <w:p>
      <w:pPr>
        <w:spacing w:line="600" w:lineRule="exact"/>
        <w:ind w:firstLineChars="200" w:firstLine="640"/>
        <w:outlineLvl w:val="1"/>
        <w:rPr>
          <w:rStyle w:val="2Char"/>
          <w:rFonts w:ascii="黑体" w:eastAsia="黑体"/>
          <w:b w:val="0"/>
        </w:rPr>
      </w:pPr>
    </w:p>
    <w:p>
      <w:pPr>
        <w:spacing w:line="600" w:lineRule="exact"/>
        <w:ind w:firstLineChars="200" w:firstLine="640"/>
        <w:outlineLvl w:val="1"/>
        <w:rPr>
          <w:rStyle w:val="2Char"/>
          <w:rFonts w:ascii="黑体" w:eastAsia="黑体"/>
          <w:b w:val="0"/>
        </w:rPr>
      </w:pPr>
    </w:p>
    <w:p>
      <w:pPr>
        <w:spacing w:line="600" w:lineRule="exact"/>
        <w:outlineLvl w:val="1"/>
        <w:rPr>
          <w:rStyle w:val="2Char"/>
          <w:rFonts w:ascii="黑体" w:eastAsia="黑体"/>
          <w:b w:val="0"/>
        </w:rPr>
      </w:pPr>
    </w:p>
    <w:p>
      <w:pPr>
        <w:spacing w:line="600" w:lineRule="exact"/>
        <w:ind w:firstLineChars="200" w:firstLine="640"/>
        <w:outlineLvl w:val="1"/>
        <w:rPr>
          <w:rStyle w:val="2Char"/>
          <w:rFonts w:ascii="黑体" w:eastAsia="黑体"/>
          <w:b w:val="0"/>
        </w:rPr>
      </w:pPr>
      <w:bookmarkStart w:id="57" w:name="_Toc3140027"/>
      <w:r>
        <w:rPr>
          <w:rStyle w:val="2Char"/>
          <w:rFonts w:ascii="黑体" w:eastAsia="黑体" w:hint="eastAsia"/>
          <w:b w:val="0"/>
        </w:rPr>
        <w:t>三、支出决算情况说明</w:t>
      </w:r>
      <w:bookmarkEnd w:id="52"/>
      <w:bookmarkEnd w:id="53"/>
    </w:p>
    <w:p>
      <w:pPr>
        <w:spacing w:line="600" w:lineRule="exact"/>
        <w:ind w:firstLine="640"/>
        <w:rPr>
          <w:rFonts w:ascii="仿宋" w:eastAsia="仿宋"/>
          <w:color w:val="000000"/>
          <w:sz w:val="32"/>
          <w:szCs w:val="32"/>
          <w:shd w:val="pct10" w:color="auto" w:fill="FFFFFF"/>
        </w:rPr>
      </w:pPr>
      <w:bookmarkEnd w:id="54"/>
      <w:bookmarkEnd w:id="57"/>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年本年总支出</w:t>
      </w:r>
      <w:r>
        <w:rPr>
          <w:rFonts w:ascii="仿宋" w:eastAsia="仿宋" w:hint="eastAsia"/>
          <w:sz w:val="32"/>
          <w:szCs w:val="32"/>
        </w:rPr>
        <w:t>1,241.52</w:t>
      </w:r>
      <w:r>
        <w:rPr>
          <w:rFonts w:ascii="仿宋" w:eastAsia="仿宋" w:hint="eastAsia"/>
          <w:color w:val="000000"/>
          <w:sz w:val="32"/>
          <w:szCs w:val="32"/>
        </w:rPr>
        <w:t>万元，其中：基本支出1,092.49万元，占</w:t>
      </w:r>
      <w:r>
        <w:rPr>
          <w:rFonts w:ascii="仿宋" w:eastAsia="仿宋" w:hint="eastAsia"/>
          <w:color w:val="000000"/>
          <w:sz w:val="32"/>
          <w:szCs w:val="32"/>
          <w:lang w:val="en-US" w:eastAsia="zh-CN"/>
        </w:rPr>
        <w:t>88</w:t>
      </w:r>
      <w:r>
        <w:rPr>
          <w:rFonts w:ascii="仿宋" w:eastAsia="仿宋" w:hint="eastAsia"/>
          <w:color w:val="000000"/>
          <w:sz w:val="32"/>
          <w:szCs w:val="32"/>
        </w:rPr>
        <w:t>%；项目支出149.03万元，占</w:t>
      </w:r>
      <w:r>
        <w:rPr>
          <w:rFonts w:ascii="仿宋" w:eastAsia="仿宋" w:hint="eastAsia"/>
          <w:color w:val="000000"/>
          <w:sz w:val="32"/>
          <w:szCs w:val="32"/>
          <w:lang w:val="en-US" w:eastAsia="zh-CN"/>
        </w:rPr>
        <w:t>12</w:t>
      </w:r>
      <w:r>
        <w:rPr>
          <w:rFonts w:ascii="仿宋" w:eastAsia="仿宋" w:hint="eastAsia"/>
          <w:color w:val="000000"/>
          <w:sz w:val="32"/>
          <w:szCs w:val="32"/>
        </w:rPr>
        <w:t>%；上缴上级支出0万元，占0%；经营支出0万元，占0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spacing w:line="600" w:lineRule="exact"/>
      </w:pPr>
    </w:p>
    <w:p>
      <w:pPr>
        <w:spacing w:line="600" w:lineRule="exact"/>
        <w:ind w:firstLineChars="200" w:firstLine="420"/>
      </w:pPr>
      <w:r>
        <w:drawing>
          <wp:anchor distT="0" distB="0" distL="114300" distR="114300" simplePos="0" relativeHeight="8" behindDoc="1" locked="0" layoutInCell="1" hidden="0" allowOverlap="1">
            <wp:simplePos x="0" y="0"/>
            <wp:positionH relativeFrom="column">
              <wp:posOffset>196850</wp:posOffset>
            </wp:positionH>
            <wp:positionV relativeFrom="paragraph">
              <wp:posOffset>126365</wp:posOffset>
            </wp:positionV>
            <wp:extent cx="4572000" cy="2743200"/>
            <wp:effectExtent l="0" t="0" r="0" b="0"/>
            <wp:wrapNone/>
            <wp:docPr id="3" name="图表 16"/>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420"/>
      </w:pPr>
    </w:p>
    <w:p>
      <w:pPr>
        <w:spacing w:line="600" w:lineRule="exact"/>
        <w:ind w:firstLineChars="200" w:firstLine="420"/>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rPr>
          <w:rFonts w:ascii="仿宋_GB2312" w:eastAsia="仿宋_GB2312"/>
          <w:color w:val="FF0000"/>
          <w:sz w:val="32"/>
          <w:szCs w:val="32"/>
        </w:rPr>
      </w:pPr>
    </w:p>
    <w:p>
      <w:pPr>
        <w:spacing w:line="600" w:lineRule="exact"/>
        <w:ind w:firstLineChars="200" w:firstLine="640"/>
        <w:outlineLvl w:val="1"/>
        <w:rPr>
          <w:rStyle w:val="2Char"/>
          <w:rFonts w:ascii="黑体" w:eastAsia="黑体" w:hint="eastAsia"/>
          <w:b w:val="0"/>
        </w:rPr>
      </w:pPr>
      <w:bookmarkStart w:id="58" w:name="_Toc15377208"/>
      <w:bookmarkStart w:id="59" w:name="_Toc15396606"/>
      <w:bookmarkStart w:id="60" w:name="_Toc2487"/>
    </w:p>
    <w:p>
      <w:pPr>
        <w:spacing w:line="600" w:lineRule="exact"/>
        <w:ind w:firstLineChars="200" w:firstLine="640"/>
        <w:outlineLvl w:val="1"/>
        <w:rPr>
          <w:rStyle w:val="2Char"/>
          <w:rFonts w:ascii="黑体" w:eastAsia="黑体" w:hint="eastAsia"/>
          <w:b w:val="0"/>
        </w:rPr>
      </w:pPr>
    </w:p>
    <w:p>
      <w:pPr>
        <w:spacing w:line="600" w:lineRule="exact"/>
        <w:ind w:firstLineChars="200" w:firstLine="640"/>
        <w:outlineLvl w:val="1"/>
        <w:rPr>
          <w:rStyle w:val="2Char"/>
          <w:rFonts w:ascii="黑体" w:eastAsia="黑体"/>
          <w:b w:val="0"/>
        </w:rPr>
      </w:pPr>
      <w:bookmarkStart w:id="61" w:name="_Toc926225551"/>
      <w:r>
        <w:rPr>
          <w:rStyle w:val="2Char"/>
          <w:rFonts w:ascii="黑体" w:eastAsia="黑体" w:hint="eastAsia"/>
          <w:b w:val="0"/>
        </w:rPr>
        <w:t>四、财政拨款收入支出决算总体情况说明</w:t>
      </w:r>
      <w:bookmarkEnd w:id="58"/>
      <w:bookmarkEnd w:id="59"/>
    </w:p>
    <w:p>
      <w:pPr>
        <w:snapToGrid w:val="0"/>
        <w:spacing w:line="520" w:lineRule="exact"/>
        <w:ind w:firstLineChars="200" w:firstLine="640"/>
        <w:rPr>
          <w:rFonts w:ascii="仿宋" w:eastAsia="仿宋_GB2312" w:hAnsi="仿宋" w:hint="eastAsia"/>
          <w:color w:val="000000"/>
          <w:sz w:val="32"/>
          <w:szCs w:val="32"/>
          <w:lang w:eastAsia="zh-CN"/>
        </w:rPr>
      </w:pPr>
      <w:bookmarkEnd w:id="60"/>
      <w:bookmarkEnd w:id="61"/>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年财政拨款收入</w:t>
      </w:r>
      <w:r>
        <w:rPr>
          <w:rFonts w:ascii="仿宋" w:eastAsia="仿宋" w:hint="eastAsia"/>
          <w:sz w:val="32"/>
          <w:szCs w:val="32"/>
        </w:rPr>
        <w:t>1,241.52</w:t>
      </w:r>
      <w:r>
        <w:rPr>
          <w:rFonts w:ascii="仿宋" w:eastAsia="仿宋" w:hint="eastAsia"/>
          <w:color w:val="000000"/>
          <w:sz w:val="32"/>
          <w:szCs w:val="32"/>
        </w:rPr>
        <w:t>万元。与202</w:t>
      </w:r>
      <w:r>
        <w:rPr>
          <w:rFonts w:ascii="仿宋" w:eastAsia="仿宋" w:hint="eastAsia"/>
          <w:color w:val="000000"/>
          <w:sz w:val="32"/>
          <w:szCs w:val="32"/>
          <w:lang w:val="en-US" w:eastAsia="zh-CN"/>
        </w:rPr>
        <w:t>1</w:t>
      </w:r>
      <w:r>
        <w:rPr>
          <w:rFonts w:ascii="仿宋" w:eastAsia="仿宋" w:hint="eastAsia"/>
          <w:color w:val="000000"/>
          <w:sz w:val="32"/>
          <w:szCs w:val="32"/>
        </w:rPr>
        <w:t>年相比，一般公共预算财政拨款收入较上年增加</w:t>
      </w:r>
      <w:r>
        <w:rPr>
          <w:rFonts w:ascii="仿宋" w:eastAsia="仿宋" w:hint="eastAsia"/>
          <w:sz w:val="32"/>
          <w:szCs w:val="32"/>
          <w:lang w:val="en-US" w:eastAsia="zh-CN"/>
        </w:rPr>
        <w:t>136.36</w:t>
      </w:r>
      <w:r>
        <w:rPr>
          <w:rFonts w:ascii="仿宋" w:eastAsia="仿宋" w:hint="eastAsia"/>
          <w:color w:val="000000"/>
          <w:sz w:val="32"/>
          <w:szCs w:val="32"/>
        </w:rPr>
        <w:t>万元，增加</w:t>
      </w:r>
      <w:r>
        <w:rPr>
          <w:rFonts w:ascii="仿宋_GB2312" w:eastAsia="仿宋_GB2312" w:hint="eastAsia"/>
          <w:color w:val="000000"/>
          <w:spacing w:val="-2"/>
          <w:sz w:val="32"/>
          <w:szCs w:val="32"/>
          <w:lang w:val="en-US" w:eastAsia="zh-CN"/>
        </w:rPr>
        <w:t>12.34</w:t>
      </w:r>
      <w:r>
        <w:rPr>
          <w:rFonts w:ascii="仿宋_GB2312" w:eastAsia="仿宋_GB2312" w:hint="eastAsia"/>
          <w:color w:val="000000"/>
          <w:spacing w:val="-2"/>
          <w:sz w:val="32"/>
          <w:szCs w:val="32"/>
        </w:rPr>
        <w:t>%</w:t>
      </w:r>
      <w:r>
        <w:rPr>
          <w:rFonts w:ascii="仿宋" w:eastAsia="仿宋" w:hint="eastAsia"/>
          <w:color w:val="000000"/>
          <w:sz w:val="32"/>
          <w:szCs w:val="32"/>
        </w:rPr>
        <w:t>。</w:t>
      </w:r>
      <w:r>
        <w:rPr>
          <w:rFonts w:ascii="仿宋_GB2312" w:eastAsia="仿宋_GB2312" w:hint="eastAsia"/>
          <w:color w:val="000000"/>
          <w:spacing w:val="-2"/>
          <w:sz w:val="32"/>
          <w:szCs w:val="32"/>
        </w:rPr>
        <w:t>主要原因是</w:t>
      </w:r>
      <w:r>
        <w:rPr>
          <w:rFonts w:ascii="仿宋_GB2312" w:eastAsia="仿宋_GB2312" w:cs="仿宋" w:hint="eastAsia"/>
          <w:color w:val="000000"/>
          <w:sz w:val="32"/>
          <w:szCs w:val="32"/>
        </w:rPr>
        <w:t>人员增加，经费增加</w:t>
      </w: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年财政拨款支出</w:t>
      </w:r>
      <w:r>
        <w:rPr>
          <w:rFonts w:ascii="仿宋" w:eastAsia="仿宋" w:hint="eastAsia"/>
          <w:sz w:val="32"/>
          <w:szCs w:val="32"/>
        </w:rPr>
        <w:t>1,241.52</w:t>
      </w:r>
      <w:r>
        <w:rPr>
          <w:rFonts w:ascii="仿宋" w:eastAsia="仿宋" w:hint="eastAsia"/>
          <w:color w:val="000000"/>
          <w:sz w:val="32"/>
          <w:szCs w:val="32"/>
        </w:rPr>
        <w:t>万元，</w:t>
      </w:r>
      <w:r>
        <w:rPr>
          <w:rFonts w:ascii="仿宋" w:eastAsia="仿宋" w:hint="eastAsia"/>
          <w:sz w:val="32"/>
          <w:szCs w:val="32"/>
        </w:rPr>
        <w:t>较上年支出增加</w:t>
      </w:r>
      <w:r>
        <w:rPr>
          <w:rFonts w:ascii="仿宋" w:eastAsia="仿宋" w:hint="eastAsia"/>
          <w:sz w:val="32"/>
          <w:szCs w:val="32"/>
          <w:lang w:val="en-US" w:eastAsia="zh-CN"/>
        </w:rPr>
        <w:t>136.36</w:t>
      </w:r>
      <w:r>
        <w:rPr>
          <w:rFonts w:ascii="仿宋" w:eastAsia="仿宋" w:hint="eastAsia"/>
          <w:sz w:val="32"/>
          <w:szCs w:val="32"/>
        </w:rPr>
        <w:t>万元，</w:t>
      </w:r>
      <w:r>
        <w:rPr>
          <w:rFonts w:ascii="仿宋" w:eastAsia="仿宋" w:hint="eastAsia"/>
          <w:color w:val="000000"/>
          <w:sz w:val="32"/>
          <w:szCs w:val="32"/>
        </w:rPr>
        <w:t>增加</w:t>
      </w:r>
      <w:r>
        <w:rPr>
          <w:rFonts w:ascii="仿宋_GB2312" w:eastAsia="仿宋_GB2312" w:hint="eastAsia"/>
          <w:color w:val="000000"/>
          <w:spacing w:val="-2"/>
          <w:sz w:val="32"/>
          <w:szCs w:val="32"/>
          <w:lang w:val="en-US" w:eastAsia="zh-CN"/>
        </w:rPr>
        <w:t>12.34</w:t>
      </w:r>
      <w:r>
        <w:rPr>
          <w:rFonts w:ascii="仿宋_GB2312" w:eastAsia="仿宋_GB2312" w:hint="eastAsia"/>
          <w:color w:val="000000"/>
          <w:spacing w:val="-2"/>
          <w:sz w:val="32"/>
          <w:szCs w:val="32"/>
        </w:rPr>
        <w:t>%</w:t>
      </w:r>
      <w:r>
        <w:rPr>
          <w:rFonts w:ascii="仿宋" w:eastAsia="仿宋" w:hint="eastAsia"/>
          <w:color w:val="000000"/>
          <w:sz w:val="32"/>
          <w:szCs w:val="32"/>
        </w:rPr>
        <w:t>。</w:t>
      </w:r>
      <w:r>
        <w:rPr>
          <w:rFonts w:ascii="仿宋_GB2312" w:eastAsia="仿宋_GB2312" w:hint="eastAsia"/>
          <w:color w:val="000000"/>
          <w:spacing w:val="-2"/>
          <w:sz w:val="32"/>
          <w:szCs w:val="32"/>
        </w:rPr>
        <w:t>主要原因是</w:t>
      </w:r>
      <w:r>
        <w:rPr>
          <w:rFonts w:ascii="仿宋_GB2312" w:eastAsia="仿宋_GB2312" w:cs="仿宋" w:hint="eastAsia"/>
          <w:color w:val="000000"/>
          <w:sz w:val="32"/>
          <w:szCs w:val="32"/>
        </w:rPr>
        <w:t>人员</w:t>
      </w:r>
      <w:r>
        <w:rPr>
          <w:rFonts w:ascii="仿宋_GB2312" w:eastAsia="仿宋_GB2312" w:cs="仿宋" w:hint="eastAsia"/>
          <w:color w:val="000000"/>
          <w:sz w:val="32"/>
          <w:szCs w:val="32"/>
          <w:lang w:eastAsia="zh-CN"/>
        </w:rPr>
        <w:t>经费</w:t>
      </w:r>
      <w:r>
        <w:rPr>
          <w:rFonts w:ascii="仿宋_GB2312" w:eastAsia="仿宋_GB2312" w:cs="仿宋" w:hint="eastAsia"/>
          <w:color w:val="000000"/>
          <w:sz w:val="32"/>
          <w:szCs w:val="32"/>
        </w:rPr>
        <w:t>增加，</w:t>
      </w:r>
      <w:r>
        <w:rPr>
          <w:rFonts w:ascii="仿宋_GB2312" w:eastAsia="仿宋_GB2312" w:cs="仿宋" w:hint="eastAsia"/>
          <w:color w:val="000000"/>
          <w:sz w:val="32"/>
          <w:szCs w:val="32"/>
          <w:lang w:eastAsia="zh-CN"/>
        </w:rPr>
        <w:t>公用经费</w:t>
      </w:r>
      <w:r>
        <w:rPr>
          <w:rFonts w:ascii="仿宋_GB2312" w:eastAsia="仿宋_GB2312" w:cs="仿宋" w:hint="eastAsia"/>
          <w:color w:val="000000"/>
          <w:sz w:val="32"/>
          <w:szCs w:val="32"/>
        </w:rPr>
        <w:t>增加</w:t>
      </w:r>
      <w:r>
        <w:rPr>
          <w:rFonts w:ascii="仿宋_GB2312" w:eastAsia="仿宋_GB2312" w:cs="仿宋" w:hint="eastAsia"/>
          <w:color w:val="000000"/>
          <w:sz w:val="32"/>
          <w:szCs w:val="32"/>
          <w:lang w:eastAsia="zh-CN"/>
        </w:rPr>
        <w:t>。</w:t>
      </w:r>
    </w:p>
    <w:p>
      <w:pPr>
        <w:snapToGrid w:val="0"/>
        <w:spacing w:line="520" w:lineRule="exact"/>
        <w:ind w:firstLineChars="200" w:firstLine="640"/>
        <w:rPr>
          <w:rFonts w:ascii="仿宋" w:eastAsia="仿宋"/>
          <w:color w:val="000000"/>
          <w:sz w:val="32"/>
          <w:szCs w:val="32"/>
        </w:rPr>
      </w:pPr>
    </w:p>
    <w:p>
      <w:pPr>
        <w:snapToGrid w:val="0"/>
        <w:spacing w:line="520" w:lineRule="exact"/>
        <w:ind w:firstLineChars="200" w:firstLine="420"/>
        <w:rPr>
          <w:rFonts w:ascii="仿宋" w:eastAsia="仿宋"/>
          <w:color w:val="000000"/>
          <w:sz w:val="32"/>
          <w:szCs w:val="32"/>
        </w:rPr>
      </w:pPr>
      <w:r>
        <w:drawing>
          <wp:anchor distT="0" distB="0" distL="114300" distR="114300" simplePos="0" relativeHeight="10" behindDoc="1" locked="0" layoutInCell="1" hidden="0" allowOverlap="1">
            <wp:simplePos x="0" y="0"/>
            <wp:positionH relativeFrom="column">
              <wp:posOffset>379095</wp:posOffset>
            </wp:positionH>
            <wp:positionV relativeFrom="paragraph">
              <wp:posOffset>158115</wp:posOffset>
            </wp:positionV>
            <wp:extent cx="4572000" cy="2743200"/>
            <wp:effectExtent l="0" t="0" r="0" b="0"/>
            <wp:wrapNone/>
            <wp:docPr id="4" name="图表 17"/>
            <wp:cNvGraphicFramePr>
              <a:graphicFrameLocks noChangeAspect="0"/>
            </wp:cNvGraphicFramePr>
            <a:graphic>
              <a:graphicData uri="http://schemas.openxmlformats.org/drawingml/2006/chart">
                <c:chart xmlns:c="http://schemas.openxmlformats.org/drawingml/2006/chart" r:id="rId7"/>
              </a:graphicData>
            </a:graphic>
          </wp:anchor>
        </w:drawing>
      </w:r>
    </w:p>
    <w:p>
      <w:pPr>
        <w:snapToGrid w:val="0"/>
        <w:spacing w:line="520" w:lineRule="exact"/>
        <w:ind w:firstLineChars="200" w:firstLine="640"/>
        <w:rPr>
          <w:rFonts w:ascii="仿宋" w:eastAsia="仿宋"/>
          <w:color w:val="000000"/>
          <w:sz w:val="32"/>
          <w:szCs w:val="32"/>
        </w:rPr>
      </w:pPr>
    </w:p>
    <w:p>
      <w:pPr>
        <w:snapToGrid w:val="0"/>
        <w:spacing w:line="520" w:lineRule="exact"/>
        <w:ind w:firstLineChars="200" w:firstLine="640"/>
        <w:rPr>
          <w:rFonts w:ascii="仿宋" w:eastAsia="仿宋"/>
          <w:color w:val="000000"/>
          <w:sz w:val="32"/>
          <w:szCs w:val="32"/>
        </w:rPr>
      </w:pPr>
    </w:p>
    <w:p>
      <w:pPr>
        <w:snapToGrid w:val="0"/>
        <w:spacing w:line="520" w:lineRule="exact"/>
        <w:ind w:firstLineChars="200" w:firstLine="640"/>
        <w:rPr>
          <w:rFonts w:ascii="仿宋" w:eastAsia="仿宋"/>
          <w:color w:val="000000"/>
          <w:sz w:val="32"/>
          <w:szCs w:val="32"/>
        </w:rPr>
      </w:pPr>
    </w:p>
    <w:p>
      <w:pPr>
        <w:snapToGrid w:val="0"/>
        <w:spacing w:line="520" w:lineRule="exact"/>
        <w:ind w:firstLineChars="200" w:firstLine="640"/>
        <w:rPr>
          <w:rFonts w:ascii="仿宋" w:eastAsia="仿宋"/>
          <w:color w:val="000000"/>
          <w:sz w:val="32"/>
          <w:szCs w:val="32"/>
        </w:rPr>
      </w:pPr>
    </w:p>
    <w:p>
      <w:pPr>
        <w:snapToGrid w:val="0"/>
        <w:spacing w:line="520" w:lineRule="exact"/>
        <w:ind w:firstLineChars="200" w:firstLine="640"/>
        <w:rPr>
          <w:rFonts w:ascii="仿宋" w:eastAsia="仿宋"/>
          <w:color w:val="000000"/>
          <w:sz w:val="32"/>
          <w:szCs w:val="32"/>
        </w:rPr>
      </w:pPr>
    </w:p>
    <w:p>
      <w:pPr>
        <w:spacing w:line="600" w:lineRule="exact"/>
        <w:ind w:firstLineChars="200" w:firstLine="640"/>
        <w:rPr>
          <w:rStyle w:val="2Char"/>
          <w:rFonts w:ascii="黑体" w:eastAsia="黑体"/>
          <w:b w:val="0"/>
        </w:rPr>
      </w:pPr>
      <w:bookmarkStart w:id="62" w:name="_Toc15377209"/>
      <w:bookmarkStart w:id="63" w:name="_Toc15396607"/>
      <w:bookmarkStart w:id="64" w:name="_Toc11672"/>
    </w:p>
    <w:p>
      <w:pPr>
        <w:spacing w:line="600" w:lineRule="exact"/>
        <w:ind w:firstLineChars="200" w:firstLine="640"/>
        <w:rPr>
          <w:rStyle w:val="2Char"/>
          <w:rFonts w:ascii="黑体" w:eastAsia="黑体"/>
          <w:b w:val="0"/>
        </w:rPr>
      </w:pPr>
    </w:p>
    <w:p>
      <w:pPr>
        <w:spacing w:line="600" w:lineRule="exact"/>
        <w:rPr>
          <w:rStyle w:val="2Char"/>
          <w:rFonts w:ascii="黑体" w:eastAsia="黑体"/>
          <w:b w:val="0"/>
        </w:rPr>
      </w:pPr>
    </w:p>
    <w:p>
      <w:pPr>
        <w:spacing w:line="600" w:lineRule="exact"/>
        <w:ind w:firstLineChars="200" w:firstLine="640"/>
        <w:rPr>
          <w:rStyle w:val="2Char"/>
          <w:rFonts w:ascii="黑体" w:eastAsia="黑体"/>
          <w:b w:val="0"/>
        </w:rPr>
      </w:pPr>
      <w:bookmarkStart w:id="65" w:name="_Toc678526362"/>
      <w:r>
        <w:rPr>
          <w:rStyle w:val="2Char"/>
          <w:rFonts w:ascii="黑体" w:eastAsia="黑体" w:hint="eastAsia"/>
          <w:b w:val="0"/>
        </w:rPr>
        <w:t>五、一般公共预算财政拨款支出决算情况说明</w:t>
      </w:r>
      <w:bookmarkEnd w:id="62"/>
      <w:bookmarkEnd w:id="63"/>
    </w:p>
    <w:p>
      <w:pPr>
        <w:spacing w:line="600" w:lineRule="exact"/>
        <w:ind w:firstLineChars="200" w:firstLine="640"/>
        <w:outlineLvl w:val="2"/>
        <w:rPr>
          <w:rFonts w:ascii="仿宋" w:eastAsia="仿宋"/>
          <w:b/>
          <w:color w:val="000000"/>
          <w:sz w:val="32"/>
          <w:szCs w:val="32"/>
        </w:rPr>
      </w:pPr>
      <w:bookmarkStart w:id="66" w:name="_Toc15377210"/>
      <w:bookmarkEnd w:id="64"/>
      <w:bookmarkEnd w:id="65"/>
      <w:r>
        <w:rPr>
          <w:rFonts w:ascii="仿宋" w:eastAsia="仿宋" w:hint="eastAsia"/>
          <w:b/>
          <w:color w:val="000000"/>
          <w:sz w:val="32"/>
          <w:szCs w:val="32"/>
        </w:rPr>
        <w:t>（一）一般公共预算财政拨款支出决算总体情况</w:t>
      </w:r>
      <w:bookmarkEnd w:id="66"/>
    </w:p>
    <w:p>
      <w:pPr>
        <w:snapToGrid w:val="0"/>
        <w:spacing w:line="520" w:lineRule="exact"/>
        <w:ind w:firstLineChars="200" w:firstLine="640"/>
        <w:rPr>
          <w:rFonts w:ascii="仿宋_GB2312" w:eastAsia="仿宋_GB2312"/>
          <w:color w:val="FF0000"/>
          <w:spacing w:val="-2"/>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 w:eastAsia="仿宋" w:hint="eastAsia"/>
          <w:sz w:val="32"/>
          <w:szCs w:val="32"/>
        </w:rPr>
        <w:t>1,241.52</w:t>
      </w:r>
      <w:r>
        <w:rPr>
          <w:rFonts w:ascii="仿宋_GB2312" w:eastAsia="仿宋_GB2312" w:hint="eastAsia"/>
          <w:spacing w:val="-2"/>
          <w:sz w:val="32"/>
          <w:szCs w:val="32"/>
        </w:rPr>
        <w:t>万元，</w:t>
      </w:r>
      <w:r>
        <w:rPr>
          <w:rFonts w:ascii="仿宋" w:eastAsia="仿宋" w:hint="eastAsia"/>
          <w:color w:val="000000"/>
          <w:sz w:val="32"/>
          <w:szCs w:val="32"/>
        </w:rPr>
        <w:t>占本年总支出的100</w:t>
      </w:r>
      <w:r>
        <w:rPr>
          <w:rFonts w:ascii="仿宋" w:eastAsia="仿宋"/>
          <w:color w:val="000000"/>
          <w:sz w:val="32"/>
          <w:szCs w:val="32"/>
        </w:rPr>
        <w:t>%</w:t>
      </w:r>
      <w:r>
        <w:rPr>
          <w:rFonts w:ascii="仿宋" w:eastAsia="仿宋" w:hint="eastAsia"/>
          <w:color w:val="000000"/>
          <w:sz w:val="32"/>
          <w:szCs w:val="32"/>
        </w:rPr>
        <w:t>。与202</w:t>
      </w:r>
      <w:r>
        <w:rPr>
          <w:rFonts w:ascii="仿宋" w:eastAsia="仿宋" w:hint="eastAsia"/>
          <w:color w:val="000000"/>
          <w:sz w:val="32"/>
          <w:szCs w:val="32"/>
          <w:lang w:val="en-US" w:eastAsia="zh-CN"/>
        </w:rPr>
        <w:t>1</w:t>
      </w:r>
      <w:r>
        <w:rPr>
          <w:rFonts w:ascii="仿宋" w:eastAsia="仿宋" w:hint="eastAsia"/>
          <w:color w:val="000000"/>
          <w:sz w:val="32"/>
          <w:szCs w:val="32"/>
        </w:rPr>
        <w:t>年相比，</w:t>
      </w:r>
      <w:r>
        <w:rPr>
          <w:rFonts w:ascii="仿宋" w:eastAsia="仿宋" w:hint="eastAsia"/>
          <w:sz w:val="32"/>
          <w:szCs w:val="32"/>
        </w:rPr>
        <w:t>较上年收入增加</w:t>
      </w:r>
      <w:r>
        <w:rPr>
          <w:rFonts w:ascii="仿宋" w:eastAsia="仿宋" w:hint="eastAsia"/>
          <w:sz w:val="32"/>
          <w:szCs w:val="32"/>
          <w:lang w:val="en-US" w:eastAsia="zh-CN"/>
        </w:rPr>
        <w:t>136.36</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12.34</w:t>
      </w:r>
      <w:r>
        <w:rPr>
          <w:rFonts w:ascii="仿宋_GB2312" w:eastAsia="仿宋_GB2312" w:hint="eastAsia"/>
          <w:color w:val="000000"/>
          <w:spacing w:val="-2"/>
          <w:sz w:val="32"/>
          <w:szCs w:val="32"/>
        </w:rPr>
        <w:t>%。主要原因是</w:t>
      </w:r>
      <w:r>
        <w:rPr>
          <w:rFonts w:ascii="仿宋_GB2312" w:eastAsia="仿宋_GB2312" w:cs="仿宋" w:hint="eastAsia"/>
          <w:color w:val="000000"/>
          <w:sz w:val="32"/>
          <w:szCs w:val="32"/>
        </w:rPr>
        <w:t>人员增加，经费增加</w:t>
      </w:r>
      <w:r>
        <w:rPr>
          <w:rFonts w:ascii="仿宋_GB2312" w:eastAsia="仿宋_GB2312" w:hint="eastAsia"/>
          <w:color w:val="000000"/>
          <w:spacing w:val="-2"/>
          <w:sz w:val="32"/>
          <w:szCs w:val="32"/>
        </w:rPr>
        <w:t>。</w:t>
      </w:r>
    </w:p>
    <w:p>
      <w:pPr>
        <w:snapToGrid w:val="0"/>
        <w:spacing w:line="520" w:lineRule="exact"/>
        <w:ind w:firstLineChars="200" w:firstLine="632"/>
        <w:rPr>
          <w:rFonts w:ascii="仿宋_GB2312" w:eastAsia="仿宋_GB2312"/>
          <w:spacing w:val="-2"/>
          <w:sz w:val="32"/>
          <w:szCs w:val="32"/>
        </w:rPr>
      </w:pPr>
    </w:p>
    <w:p>
      <w:pPr>
        <w:snapToGrid w:val="0"/>
        <w:spacing w:line="520" w:lineRule="exact"/>
        <w:rPr>
          <w:rFonts w:ascii="仿宋_GB2312" w:eastAsia="仿宋_GB2312"/>
          <w:spacing w:val="-2"/>
          <w:sz w:val="32"/>
          <w:szCs w:val="32"/>
        </w:rPr>
      </w:pPr>
    </w:p>
    <w:p>
      <w:pPr>
        <w:pStyle w:val="15"/>
      </w:pPr>
    </w:p>
    <w:p>
      <w:pPr>
        <w:snapToGrid w:val="0"/>
        <w:spacing w:line="520" w:lineRule="exact"/>
        <w:ind w:firstLineChars="200" w:firstLine="640"/>
        <w:rPr>
          <w:rFonts w:ascii="仿宋" w:eastAsia="仿宋"/>
          <w:b/>
          <w:color w:val="000000"/>
          <w:sz w:val="32"/>
          <w:szCs w:val="32"/>
        </w:rPr>
      </w:pPr>
      <w:bookmarkStart w:id="67" w:name="_Toc15377211"/>
    </w:p>
    <w:p>
      <w:pPr>
        <w:snapToGrid w:val="0"/>
        <w:spacing w:line="520" w:lineRule="exact"/>
        <w:ind w:firstLineChars="200" w:firstLine="420"/>
        <w:rPr>
          <w:rFonts w:ascii="仿宋" w:eastAsia="仿宋"/>
          <w:b/>
          <w:color w:val="000000"/>
          <w:sz w:val="32"/>
          <w:szCs w:val="32"/>
        </w:rPr>
      </w:pPr>
      <w:r>
        <w:drawing>
          <wp:anchor distT="0" distB="0" distL="114300" distR="114300" simplePos="0" relativeHeight="12" behindDoc="1" locked="0" layoutInCell="1" hidden="0" allowOverlap="1">
            <wp:simplePos x="0" y="0"/>
            <wp:positionH relativeFrom="column">
              <wp:posOffset>368935</wp:posOffset>
            </wp:positionH>
            <wp:positionV relativeFrom="paragraph">
              <wp:posOffset>8255</wp:posOffset>
            </wp:positionV>
            <wp:extent cx="4572000" cy="2743200"/>
            <wp:effectExtent l="0" t="0" r="0" b="0"/>
            <wp:wrapNone/>
            <wp:docPr id="5" name="图表 18"/>
            <wp:cNvGraphicFramePr>
              <a:graphicFrameLocks noChangeAspect="0"/>
            </wp:cNvGraphicFramePr>
            <a:graphic>
              <a:graphicData uri="http://schemas.openxmlformats.org/drawingml/2006/chart">
                <c:chart xmlns:c="http://schemas.openxmlformats.org/drawingml/2006/chart" r:id="rId8"/>
              </a:graphicData>
            </a:graphic>
          </wp:anchor>
        </w:drawing>
      </w: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67"/>
    </w:p>
    <w:p>
      <w:pPr>
        <w:spacing w:line="600" w:lineRule="exact"/>
        <w:ind w:firstLine="64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年一般公共预算财政拨款支出</w:t>
      </w:r>
      <w:r>
        <w:rPr>
          <w:rFonts w:ascii="仿宋" w:eastAsia="仿宋" w:hint="eastAsia"/>
          <w:sz w:val="32"/>
          <w:szCs w:val="32"/>
        </w:rPr>
        <w:t>1,241.52</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支出993.57万元，占</w:t>
      </w:r>
      <w:r>
        <w:rPr>
          <w:rFonts w:ascii="仿宋" w:eastAsia="仿宋" w:hint="eastAsia"/>
          <w:color w:val="000000"/>
          <w:sz w:val="32"/>
          <w:szCs w:val="32"/>
          <w:lang w:val="en-US" w:eastAsia="zh-CN"/>
        </w:rPr>
        <w:t>80.03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支出122.98万元，占</w:t>
      </w:r>
      <w:r>
        <w:rPr>
          <w:rFonts w:ascii="仿宋" w:eastAsia="仿宋" w:hint="eastAsia"/>
          <w:color w:val="000000"/>
          <w:sz w:val="32"/>
          <w:szCs w:val="32"/>
          <w:lang w:val="en-US" w:eastAsia="zh-CN"/>
        </w:rPr>
        <w:t>9.91</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color w:val="000000"/>
          <w:sz w:val="32"/>
          <w:szCs w:val="32"/>
        </w:rPr>
        <w:t>52.72万元，占</w:t>
      </w:r>
      <w:r>
        <w:rPr>
          <w:rFonts w:ascii="仿宋" w:eastAsia="仿宋" w:hint="eastAsia"/>
          <w:color w:val="000000"/>
          <w:sz w:val="32"/>
          <w:szCs w:val="32"/>
          <w:lang w:val="en-US" w:eastAsia="zh-CN"/>
        </w:rPr>
        <w:t>4</w:t>
      </w:r>
      <w:r>
        <w:rPr>
          <w:rFonts w:ascii="仿宋" w:eastAsia="仿宋" w:hint="eastAsia"/>
          <w:color w:val="000000"/>
          <w:sz w:val="32"/>
          <w:szCs w:val="32"/>
        </w:rPr>
        <w:t>.</w:t>
      </w:r>
      <w:r>
        <w:rPr>
          <w:rFonts w:ascii="仿宋" w:eastAsia="仿宋" w:hint="eastAsia"/>
          <w:color w:val="000000"/>
          <w:sz w:val="32"/>
          <w:szCs w:val="32"/>
          <w:lang w:val="en-US" w:eastAsia="zh-CN"/>
        </w:rPr>
        <w:t>25</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rPr>
        <w:t>72.24万元，占5.</w:t>
      </w:r>
      <w:r>
        <w:rPr>
          <w:rFonts w:ascii="仿宋" w:eastAsia="仿宋" w:hint="eastAsia"/>
          <w:color w:val="000000"/>
          <w:sz w:val="32"/>
          <w:szCs w:val="32"/>
          <w:lang w:val="en-US" w:eastAsia="zh-CN"/>
        </w:rPr>
        <w:t>81</w:t>
      </w:r>
      <w:r>
        <w:rPr>
          <w:rFonts w:ascii="仿宋" w:eastAsia="仿宋"/>
          <w:color w:val="000000"/>
          <w:sz w:val="32"/>
          <w:szCs w:val="32"/>
        </w:rPr>
        <w:t>%</w:t>
      </w:r>
      <w:r>
        <w:rPr>
          <w:rFonts w:ascii="仿宋" w:eastAsia="仿宋" w:hint="eastAsia"/>
          <w:color w:val="000000"/>
          <w:sz w:val="32"/>
          <w:szCs w:val="32"/>
        </w:rPr>
        <w:t>。</w:t>
      </w:r>
    </w:p>
    <w:p>
      <w:pPr>
        <w:spacing w:line="600" w:lineRule="exact"/>
        <w:outlineLvl w:val="2"/>
        <w:rPr>
          <w:rFonts w:ascii="仿宋" w:eastAsia="仿宋"/>
          <w:b/>
          <w:color w:val="000000"/>
          <w:sz w:val="32"/>
          <w:szCs w:val="32"/>
        </w:rPr>
      </w:pPr>
      <w:bookmarkStart w:id="68" w:name="_Toc15377444"/>
      <w:bookmarkStart w:id="69" w:name="_Toc15377213"/>
      <w:bookmarkStart w:id="70" w:name="_Toc15378460"/>
    </w:p>
    <w:p>
      <w:pPr>
        <w:spacing w:line="600" w:lineRule="exact"/>
        <w:ind w:firstLineChars="2600" w:firstLine="5460"/>
        <w:outlineLvl w:val="2"/>
        <w:rPr>
          <w:rFonts w:ascii="仿宋" w:eastAsia="仿宋"/>
          <w:b/>
          <w:color w:val="000000"/>
          <w:sz w:val="32"/>
          <w:szCs w:val="32"/>
        </w:rPr>
      </w:pPr>
      <w:r>
        <w:drawing>
          <wp:anchor distT="0" distB="0" distL="114300" distR="114300" simplePos="0" relativeHeight="2" behindDoc="1" locked="0" layoutInCell="1" hidden="0" allowOverlap="1">
            <wp:simplePos x="0" y="0"/>
            <wp:positionH relativeFrom="column">
              <wp:posOffset>231775</wp:posOffset>
            </wp:positionH>
            <wp:positionV relativeFrom="paragraph">
              <wp:posOffset>137795</wp:posOffset>
            </wp:positionV>
            <wp:extent cx="4572000" cy="2743200"/>
            <wp:effectExtent l="0" t="0" r="0" b="0"/>
            <wp:wrapNone/>
            <wp:docPr id="6" name="图表 19"/>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bookmarkStart w:id="71" w:name="_Toc15377212"/>
      <w:r>
        <w:rPr>
          <w:rFonts w:ascii="仿宋" w:eastAsia="仿宋" w:hint="eastAsia"/>
          <w:b/>
          <w:color w:val="000000"/>
          <w:sz w:val="32"/>
          <w:szCs w:val="32"/>
        </w:rPr>
        <w:t>（三）一般公共预算财政拨款支出决算具体情况</w:t>
      </w:r>
      <w:bookmarkEnd w:id="71"/>
    </w:p>
    <w:p>
      <w:pPr>
        <w:spacing w:line="600" w:lineRule="exact"/>
        <w:outlineLvl w:val="2"/>
        <w:rPr>
          <w:rFonts w:ascii="仿宋" w:eastAsia="仿宋"/>
          <w:bCs/>
          <w:sz w:val="32"/>
          <w:szCs w:val="32"/>
        </w:rPr>
      </w:pPr>
      <w:r>
        <w:rPr>
          <w:rFonts w:ascii="仿宋" w:eastAsia="仿宋" w:hint="eastAsia"/>
          <w:bCs/>
          <w:color w:val="000000"/>
          <w:sz w:val="32"/>
          <w:szCs w:val="32"/>
        </w:rPr>
        <w:t xml:space="preserve">   </w:t>
      </w:r>
      <w:r>
        <w:rPr>
          <w:rFonts w:ascii="仿宋" w:eastAsia="仿宋" w:hint="eastAsia"/>
          <w:bCs/>
          <w:color w:val="FF0000"/>
          <w:sz w:val="32"/>
          <w:szCs w:val="32"/>
        </w:rPr>
        <w:t xml:space="preserve"> </w:t>
      </w:r>
      <w:r>
        <w:rPr>
          <w:rFonts w:ascii="仿宋" w:eastAsia="仿宋" w:hint="eastAsia"/>
          <w:bCs/>
          <w:sz w:val="32"/>
          <w:szCs w:val="32"/>
        </w:rPr>
        <w:t>202</w:t>
      </w:r>
      <w:r>
        <w:rPr>
          <w:rFonts w:ascii="仿宋" w:eastAsia="仿宋" w:hint="eastAsia"/>
          <w:bCs/>
          <w:sz w:val="32"/>
          <w:szCs w:val="32"/>
          <w:lang w:val="en-US" w:eastAsia="zh-CN"/>
        </w:rPr>
        <w:t>2</w:t>
      </w:r>
      <w:r>
        <w:rPr>
          <w:rFonts w:ascii="仿宋" w:eastAsia="仿宋" w:hint="eastAsia"/>
          <w:bCs/>
          <w:sz w:val="32"/>
          <w:szCs w:val="32"/>
        </w:rPr>
        <w:t>年一般公共预算数为</w:t>
      </w:r>
      <w:r>
        <w:rPr>
          <w:rFonts w:ascii="仿宋" w:eastAsia="仿宋"/>
          <w:sz w:val="32"/>
          <w:szCs w:val="32"/>
        </w:rPr>
        <w:t>1241.52</w:t>
      </w:r>
      <w:r>
        <w:rPr>
          <w:rFonts w:ascii="仿宋" w:eastAsia="仿宋" w:hint="eastAsia"/>
          <w:bCs/>
          <w:sz w:val="32"/>
          <w:szCs w:val="32"/>
        </w:rPr>
        <w:t>万元，支出决算数为</w:t>
      </w:r>
      <w:r>
        <w:rPr>
          <w:rFonts w:ascii="仿宋" w:eastAsia="仿宋" w:hint="eastAsia"/>
          <w:sz w:val="32"/>
          <w:szCs w:val="32"/>
        </w:rPr>
        <w:t>1,241.52</w:t>
      </w:r>
      <w:r>
        <w:rPr>
          <w:rFonts w:ascii="仿宋" w:eastAsia="仿宋" w:hint="eastAsia"/>
          <w:bCs/>
          <w:sz w:val="32"/>
          <w:szCs w:val="32"/>
        </w:rPr>
        <w:t>万元，完</w:t>
      </w:r>
      <w:r>
        <w:rPr>
          <w:rStyle w:val="22"/>
          <w:rFonts w:ascii="仿宋" w:eastAsia="仿宋" w:hint="eastAsia"/>
          <w:b w:val="0"/>
          <w:bCs/>
          <w:sz w:val="32"/>
          <w:szCs w:val="32"/>
        </w:rPr>
        <w:t>成预算100</w:t>
      </w:r>
      <w:r>
        <w:rPr>
          <w:rStyle w:val="22"/>
          <w:rFonts w:ascii="仿宋" w:eastAsia="仿宋"/>
          <w:b w:val="0"/>
          <w:bCs/>
          <w:sz w:val="32"/>
          <w:szCs w:val="32"/>
        </w:rPr>
        <w:t>%</w:t>
      </w:r>
      <w:r>
        <w:rPr>
          <w:rStyle w:val="22"/>
          <w:rFonts w:ascii="仿宋" w:eastAsia="仿宋" w:hint="eastAsia"/>
          <w:b w:val="0"/>
          <w:bCs/>
          <w:sz w:val="32"/>
          <w:szCs w:val="32"/>
        </w:rPr>
        <w:t>。其中：</w:t>
      </w:r>
      <w:bookmarkEnd w:id="68"/>
      <w:bookmarkEnd w:id="69"/>
      <w:bookmarkEnd w:id="70"/>
    </w:p>
    <w:p>
      <w:pPr>
        <w:numPr>
          <w:ilvl w:val="0"/>
          <w:numId w:val="1"/>
        </w:numPr>
        <w:spacing w:line="600" w:lineRule="exact"/>
        <w:ind w:left="0" w:firstLineChars="200" w:firstLine="640"/>
        <w:rPr>
          <w:rStyle w:val="22"/>
          <w:rFonts w:ascii="仿宋" w:eastAsia="仿宋"/>
          <w:b w:val="0"/>
          <w:bCs/>
          <w:sz w:val="32"/>
          <w:szCs w:val="32"/>
        </w:rPr>
      </w:pPr>
      <w:r>
        <w:rPr>
          <w:rStyle w:val="22"/>
          <w:rFonts w:ascii="仿宋" w:eastAsia="仿宋" w:hint="eastAsia"/>
          <w:bCs/>
          <w:sz w:val="32"/>
          <w:szCs w:val="32"/>
        </w:rPr>
        <w:t>一般公共服务支出（类）</w:t>
      </w:r>
      <w:r>
        <w:rPr>
          <w:rStyle w:val="22"/>
          <w:rFonts w:ascii="仿宋" w:eastAsia="仿宋"/>
          <w:bCs/>
          <w:sz w:val="32"/>
          <w:szCs w:val="32"/>
        </w:rPr>
        <w:t>:</w:t>
      </w:r>
      <w:r>
        <w:rPr>
          <w:rStyle w:val="22"/>
          <w:rFonts w:ascii="仿宋" w:eastAsia="仿宋"/>
          <w:b w:val="0"/>
          <w:bCs/>
          <w:sz w:val="32"/>
          <w:szCs w:val="32"/>
        </w:rPr>
        <w:t xml:space="preserve"> </w:t>
      </w:r>
      <w:r>
        <w:rPr>
          <w:rStyle w:val="22"/>
          <w:rFonts w:ascii="仿宋" w:eastAsia="仿宋" w:hint="eastAsia"/>
          <w:b w:val="0"/>
          <w:bCs/>
          <w:sz w:val="32"/>
          <w:szCs w:val="32"/>
        </w:rPr>
        <w:t>支出决算为</w:t>
      </w:r>
      <w:r>
        <w:rPr>
          <w:rFonts w:ascii="仿宋" w:eastAsia="仿宋" w:hint="eastAsia"/>
          <w:color w:val="000000"/>
          <w:sz w:val="32"/>
          <w:szCs w:val="32"/>
        </w:rPr>
        <w:t>993.57</w:t>
      </w:r>
      <w:r>
        <w:rPr>
          <w:rStyle w:val="22"/>
          <w:rFonts w:ascii="仿宋" w:eastAsia="仿宋" w:hint="eastAsia"/>
          <w:b w:val="0"/>
          <w:bCs/>
          <w:sz w:val="32"/>
          <w:szCs w:val="32"/>
        </w:rPr>
        <w:t>万元，完成预算100</w:t>
      </w:r>
      <w:r>
        <w:rPr>
          <w:rStyle w:val="22"/>
          <w:rFonts w:ascii="仿宋" w:eastAsia="仿宋"/>
          <w:b w:val="0"/>
          <w:bCs/>
          <w:sz w:val="32"/>
          <w:szCs w:val="32"/>
        </w:rPr>
        <w:t>%</w:t>
      </w:r>
      <w:r>
        <w:rPr>
          <w:rStyle w:val="22"/>
          <w:rFonts w:ascii="仿宋" w:eastAsia="仿宋" w:hint="eastAsia"/>
          <w:b w:val="0"/>
          <w:bCs/>
          <w:sz w:val="32"/>
          <w:szCs w:val="32"/>
        </w:rPr>
        <w:t>。</w:t>
      </w:r>
    </w:p>
    <w:p>
      <w:pPr>
        <w:numPr>
          <w:ilvl w:val="0"/>
          <w:numId w:val="1"/>
        </w:numPr>
        <w:spacing w:line="600" w:lineRule="exact"/>
        <w:ind w:left="0" w:firstLineChars="200" w:firstLine="640"/>
        <w:rPr>
          <w:rFonts w:ascii="仿宋" w:eastAsia="仿宋"/>
          <w:b/>
          <w:sz w:val="32"/>
          <w:szCs w:val="32"/>
        </w:rPr>
      </w:pPr>
      <w:r>
        <w:rPr>
          <w:rStyle w:val="22"/>
          <w:rFonts w:ascii="仿宋" w:eastAsia="仿宋" w:hint="eastAsia"/>
          <w:bCs/>
          <w:sz w:val="32"/>
          <w:szCs w:val="32"/>
        </w:rPr>
        <w:t>社会保障和就业（类）</w:t>
      </w:r>
      <w:r>
        <w:rPr>
          <w:rStyle w:val="22"/>
          <w:rFonts w:ascii="仿宋" w:eastAsia="仿宋"/>
          <w:bCs/>
          <w:sz w:val="32"/>
          <w:szCs w:val="32"/>
        </w:rPr>
        <w:t>:</w:t>
      </w:r>
      <w:r>
        <w:rPr>
          <w:rStyle w:val="22"/>
          <w:rFonts w:ascii="仿宋" w:eastAsia="仿宋"/>
          <w:b w:val="0"/>
          <w:bCs/>
          <w:sz w:val="32"/>
          <w:szCs w:val="32"/>
        </w:rPr>
        <w:t xml:space="preserve"> </w:t>
      </w:r>
      <w:r>
        <w:rPr>
          <w:rStyle w:val="22"/>
          <w:rFonts w:ascii="仿宋" w:eastAsia="仿宋" w:hint="eastAsia"/>
          <w:b w:val="0"/>
          <w:bCs/>
          <w:sz w:val="32"/>
          <w:szCs w:val="32"/>
        </w:rPr>
        <w:t>支出决算为</w:t>
      </w:r>
      <w:r>
        <w:rPr>
          <w:rFonts w:ascii="仿宋" w:eastAsia="仿宋" w:hint="eastAsia"/>
          <w:color w:val="000000"/>
          <w:sz w:val="32"/>
          <w:szCs w:val="32"/>
        </w:rPr>
        <w:t>122.98</w:t>
      </w:r>
      <w:r>
        <w:rPr>
          <w:rStyle w:val="22"/>
          <w:rFonts w:ascii="仿宋" w:eastAsia="仿宋" w:hint="eastAsia"/>
          <w:b w:val="0"/>
          <w:bCs/>
          <w:sz w:val="32"/>
          <w:szCs w:val="32"/>
        </w:rPr>
        <w:t>万元，完成预算100</w:t>
      </w:r>
      <w:r>
        <w:rPr>
          <w:rStyle w:val="22"/>
          <w:rFonts w:ascii="仿宋" w:eastAsia="仿宋"/>
          <w:b w:val="0"/>
          <w:bCs/>
          <w:sz w:val="32"/>
          <w:szCs w:val="32"/>
        </w:rPr>
        <w:t>%</w:t>
      </w:r>
      <w:r>
        <w:rPr>
          <w:rStyle w:val="22"/>
          <w:rFonts w:ascii="仿宋" w:eastAsia="仿宋" w:hint="eastAsia"/>
          <w:b w:val="0"/>
          <w:bCs/>
          <w:sz w:val="32"/>
          <w:szCs w:val="32"/>
        </w:rPr>
        <w:t>。</w:t>
      </w:r>
    </w:p>
    <w:p>
      <w:pPr>
        <w:numPr>
          <w:ilvl w:val="0"/>
          <w:numId w:val="1"/>
        </w:numPr>
        <w:spacing w:line="600" w:lineRule="exact"/>
        <w:ind w:left="0" w:firstLineChars="200" w:firstLine="640"/>
        <w:rPr>
          <w:rFonts w:ascii="仿宋" w:eastAsia="仿宋"/>
          <w:sz w:val="32"/>
          <w:szCs w:val="32"/>
        </w:rPr>
      </w:pPr>
      <w:r>
        <w:rPr>
          <w:rStyle w:val="22"/>
          <w:rFonts w:ascii="仿宋" w:eastAsia="仿宋" w:hint="eastAsia"/>
          <w:bCs/>
          <w:sz w:val="32"/>
          <w:szCs w:val="32"/>
        </w:rPr>
        <w:t>卫生健康支出（类）</w:t>
      </w:r>
      <w:r>
        <w:rPr>
          <w:rStyle w:val="22"/>
          <w:rFonts w:ascii="仿宋" w:eastAsia="仿宋"/>
          <w:bCs/>
          <w:sz w:val="32"/>
          <w:szCs w:val="32"/>
        </w:rPr>
        <w:t>:</w:t>
      </w:r>
      <w:r>
        <w:rPr>
          <w:rStyle w:val="22"/>
          <w:rFonts w:ascii="仿宋" w:eastAsia="仿宋" w:hint="eastAsia"/>
          <w:b w:val="0"/>
          <w:bCs/>
          <w:sz w:val="32"/>
          <w:szCs w:val="32"/>
        </w:rPr>
        <w:t>支出决算为</w:t>
      </w:r>
      <w:r>
        <w:rPr>
          <w:rFonts w:ascii="仿宋" w:eastAsia="仿宋" w:hint="eastAsia"/>
          <w:color w:val="000000"/>
          <w:sz w:val="32"/>
          <w:szCs w:val="32"/>
        </w:rPr>
        <w:t>52.72</w:t>
      </w:r>
      <w:r>
        <w:rPr>
          <w:rStyle w:val="22"/>
          <w:rFonts w:ascii="仿宋" w:eastAsia="仿宋" w:hint="eastAsia"/>
          <w:b w:val="0"/>
          <w:bCs/>
          <w:sz w:val="32"/>
          <w:szCs w:val="32"/>
        </w:rPr>
        <w:t>万元，完成预算100</w:t>
      </w:r>
      <w:r>
        <w:rPr>
          <w:rStyle w:val="22"/>
          <w:rFonts w:ascii="仿宋" w:eastAsia="仿宋"/>
          <w:b w:val="0"/>
          <w:bCs/>
          <w:sz w:val="32"/>
          <w:szCs w:val="32"/>
        </w:rPr>
        <w:t>%</w:t>
      </w:r>
      <w:r>
        <w:rPr>
          <w:rStyle w:val="22"/>
          <w:rFonts w:ascii="仿宋" w:eastAsia="仿宋" w:hint="eastAsia"/>
          <w:b w:val="0"/>
          <w:bCs/>
          <w:sz w:val="32"/>
          <w:szCs w:val="32"/>
        </w:rPr>
        <w:t>。</w:t>
      </w:r>
    </w:p>
    <w:p>
      <w:pPr>
        <w:numPr>
          <w:ilvl w:val="0"/>
          <w:numId w:val="1"/>
        </w:numPr>
        <w:spacing w:line="600" w:lineRule="exact"/>
        <w:ind w:left="0" w:firstLineChars="200" w:firstLine="640"/>
        <w:rPr>
          <w:rStyle w:val="22"/>
          <w:rFonts w:ascii="仿宋" w:eastAsia="仿宋"/>
          <w:bCs/>
          <w:sz w:val="32"/>
          <w:szCs w:val="32"/>
        </w:rPr>
      </w:pPr>
      <w:bookmarkStart w:id="72" w:name="_Toc15396608"/>
      <w:bookmarkStart w:id="73" w:name="_Toc15377214"/>
      <w:r>
        <w:rPr>
          <w:rStyle w:val="22"/>
          <w:rFonts w:ascii="仿宋" w:eastAsia="仿宋" w:hint="eastAsia"/>
          <w:bCs/>
          <w:sz w:val="32"/>
          <w:szCs w:val="32"/>
        </w:rPr>
        <w:t>住房保障（类）：</w:t>
      </w:r>
      <w:r>
        <w:rPr>
          <w:rStyle w:val="22"/>
          <w:rFonts w:ascii="仿宋" w:eastAsia="仿宋" w:hint="eastAsia"/>
          <w:b w:val="0"/>
          <w:bCs/>
          <w:sz w:val="32"/>
          <w:szCs w:val="32"/>
        </w:rPr>
        <w:t>支出决算为</w:t>
      </w:r>
      <w:r>
        <w:rPr>
          <w:rFonts w:ascii="仿宋" w:eastAsia="仿宋" w:hint="eastAsia"/>
          <w:color w:val="000000"/>
          <w:sz w:val="32"/>
          <w:szCs w:val="32"/>
        </w:rPr>
        <w:t>72.24</w:t>
      </w:r>
      <w:r>
        <w:rPr>
          <w:rStyle w:val="22"/>
          <w:rFonts w:ascii="仿宋" w:eastAsia="仿宋" w:hint="eastAsia"/>
          <w:b w:val="0"/>
          <w:bCs/>
          <w:sz w:val="32"/>
          <w:szCs w:val="32"/>
        </w:rPr>
        <w:t>万元，完成预算100</w:t>
      </w:r>
      <w:r>
        <w:rPr>
          <w:rStyle w:val="22"/>
          <w:rFonts w:ascii="仿宋" w:eastAsia="仿宋"/>
          <w:b w:val="0"/>
          <w:bCs/>
          <w:sz w:val="32"/>
          <w:szCs w:val="32"/>
        </w:rPr>
        <w:t>%</w:t>
      </w:r>
      <w:r>
        <w:rPr>
          <w:rStyle w:val="22"/>
          <w:rFonts w:ascii="仿宋" w:eastAsia="仿宋" w:hint="eastAsia"/>
          <w:b w:val="0"/>
          <w:bCs/>
          <w:sz w:val="32"/>
          <w:szCs w:val="32"/>
        </w:rPr>
        <w:t>。</w:t>
      </w:r>
    </w:p>
    <w:p>
      <w:pPr>
        <w:spacing w:line="600" w:lineRule="exact"/>
        <w:ind w:firstLine="640"/>
        <w:rPr>
          <w:rStyle w:val="2Char"/>
        </w:rPr>
      </w:pPr>
      <w:bookmarkStart w:id="74" w:name="_Toc15002"/>
      <w:bookmarkStart w:id="75" w:name="_Toc1050518817"/>
      <w:r>
        <w:rPr>
          <w:rStyle w:val="2Char"/>
          <w:rFonts w:ascii="黑体" w:eastAsia="黑体" w:hint="eastAsia"/>
          <w:b w:val="0"/>
        </w:rPr>
        <w:t>六、一般公共预算财政拨款基本支出决算情况说明</w:t>
      </w:r>
      <w:bookmarkEnd w:id="72"/>
      <w:bookmarkEnd w:id="73"/>
      <w:r>
        <w:rPr>
          <w:rStyle w:val="2Char"/>
          <w:rFonts w:ascii="黑体" w:eastAsia="黑体" w:hint="eastAsia"/>
          <w:b w:val="0"/>
        </w:rPr>
        <w:tab/>
      </w:r>
    </w:p>
    <w:p>
      <w:pPr>
        <w:spacing w:line="600" w:lineRule="exact"/>
        <w:ind w:firstLine="645"/>
        <w:rPr>
          <w:rFonts w:ascii="仿宋" w:eastAsia="仿宋"/>
          <w:color w:val="000000"/>
          <w:sz w:val="32"/>
          <w:szCs w:val="32"/>
        </w:rPr>
      </w:pPr>
      <w:bookmarkEnd w:id="74"/>
      <w:bookmarkEnd w:id="75"/>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年一般公共预算财政拨款基本支出1,092.49万元，其中：</w:t>
      </w:r>
    </w:p>
    <w:p>
      <w:pPr>
        <w:spacing w:line="600" w:lineRule="exact"/>
        <w:ind w:firstLine="645"/>
        <w:rPr>
          <w:rFonts w:ascii="仿宋" w:eastAsia="仿宋" w:hint="eastAsia"/>
          <w:color w:val="000000"/>
          <w:sz w:val="32"/>
          <w:szCs w:val="32"/>
        </w:rPr>
      </w:pPr>
      <w:r>
        <w:rPr>
          <w:rFonts w:ascii="仿宋" w:eastAsia="仿宋" w:hint="eastAsia"/>
          <w:color w:val="000000"/>
          <w:sz w:val="32"/>
          <w:szCs w:val="32"/>
        </w:rPr>
        <w:t>人员经费1,074.82万元，主要包括：基本工资231.52万元、津贴补贴212.97万元、奖金164.35万元、伙食补助费0万元、</w:t>
      </w:r>
      <w:r>
        <w:rPr>
          <w:rFonts w:ascii="仿宋" w:eastAsia="仿宋" w:hint="eastAsia"/>
          <w:color w:val="000000"/>
          <w:sz w:val="32"/>
          <w:szCs w:val="32"/>
          <w:lang w:eastAsia="zh-CN"/>
        </w:rPr>
        <w:t>绩效工资2.87万元、</w:t>
      </w:r>
      <w:r>
        <w:rPr>
          <w:rFonts w:ascii="仿宋" w:eastAsia="仿宋" w:hint="eastAsia"/>
          <w:color w:val="000000"/>
          <w:sz w:val="32"/>
          <w:szCs w:val="32"/>
        </w:rPr>
        <w:t>机关事业单位基本养老保险缴费81.99万元、职业年金缴费40.99万元、职工基本医疗保险缴费39.01万元、公务员医疗补助缴费13.52万元、其他社会保障缴费7.97万元、其他工资福利支出0万元</w:t>
      </w:r>
      <w:r>
        <w:rPr>
          <w:rFonts w:ascii="仿宋" w:eastAsia="仿宋" w:hint="eastAsia"/>
          <w:sz w:val="32"/>
          <w:szCs w:val="32"/>
        </w:rPr>
        <w:t>、生活补助42.32万元、抚恤金43.24万元、住房公积金72.24万元、离休费20.06万元、奖励金101.7</w:t>
      </w:r>
      <w:r>
        <w:rPr>
          <w:rFonts w:ascii="仿宋" w:eastAsia="仿宋" w:hint="eastAsia"/>
          <w:sz w:val="32"/>
          <w:szCs w:val="32"/>
          <w:lang w:val="en-US" w:eastAsia="zh-CN"/>
        </w:rPr>
        <w:t>7</w:t>
      </w:r>
      <w:r>
        <w:rPr>
          <w:rFonts w:ascii="仿宋" w:eastAsia="仿宋" w:hint="eastAsia"/>
          <w:sz w:val="32"/>
          <w:szCs w:val="32"/>
        </w:rPr>
        <w:t>万元、其他对个人和家庭的补助支出0万元等。</w:t>
      </w:r>
      <w:r>
        <w:rPr>
          <w:rFonts w:ascii="仿宋" w:eastAsia="仿宋"/>
          <w:sz w:val="32"/>
          <w:szCs w:val="32"/>
        </w:rPr>
        <w:br/>
      </w:r>
      <w:r>
        <w:rPr>
          <w:rFonts w:ascii="仿宋" w:eastAsia="仿宋" w:hint="eastAsia"/>
          <w:color w:val="000000"/>
          <w:sz w:val="32"/>
          <w:szCs w:val="32"/>
        </w:rPr>
        <w:t>　　公用经费17.67万元，主要包括：办公费1.54万元、手续费0万元、印刷费0万元、水费0万元、电费2.00万元、邮电费1.00万元、物业管理费0.96万元、差旅费3.97万元、因公出国（境）费用0万元、维修（护）费0万元、租赁费0万元、会议费0万元、培训费0万元、公务接待费0万元、福利费0万元、公务用车运行维护费</w:t>
      </w:r>
      <w:r>
        <w:rPr>
          <w:rFonts w:ascii="仿宋" w:eastAsia="仿宋" w:hint="eastAsia"/>
          <w:color w:val="000000"/>
          <w:sz w:val="32"/>
          <w:szCs w:val="32"/>
          <w:lang w:val="en-US" w:eastAsia="zh-CN"/>
        </w:rPr>
        <w:t>8.2</w:t>
      </w:r>
      <w:r>
        <w:rPr>
          <w:rFonts w:ascii="仿宋" w:eastAsia="仿宋" w:hint="eastAsia"/>
          <w:color w:val="000000"/>
          <w:sz w:val="32"/>
          <w:szCs w:val="32"/>
        </w:rPr>
        <w:t>万元、其他交通费用0万元、其他商品和服务支出0万元、办公设备购置0万元、无形资产购置0万元等。</w:t>
      </w:r>
      <w:bookmarkStart w:id="76" w:name="_Toc15396609"/>
      <w:bookmarkStart w:id="77" w:name="_Toc15377215"/>
      <w:bookmarkStart w:id="78" w:name="_Toc16788"/>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Style w:val="2Char"/>
          <w:rFonts w:ascii="黑体" w:eastAsia="黑体" w:hint="eastAsia"/>
          <w:b w:val="0"/>
        </w:rPr>
      </w:pPr>
      <w:r>
        <w:rPr>
          <w:rFonts w:ascii="仿宋_GB2312" w:eastAsia="仿宋_GB2312" w:cs="仿宋_GB2312" w:hint="eastAsia"/>
          <w:color w:val="000000"/>
          <w:kern w:val="0"/>
          <w:sz w:val="32"/>
          <w:szCs w:val="32"/>
          <w:lang w:val="zh-CN" w:eastAsia="zh-CN"/>
        </w:rPr>
        <w:t>项目支出</w:t>
      </w:r>
      <w:r>
        <w:rPr>
          <w:rFonts w:ascii="仿宋_GB2312" w:eastAsia="仿宋_GB2312" w:cs="仿宋_GB2312" w:hint="eastAsia"/>
          <w:color w:val="000000"/>
          <w:kern w:val="0"/>
          <w:sz w:val="32"/>
          <w:szCs w:val="32"/>
          <w:lang w:val="en-US" w:eastAsia="zh-CN"/>
        </w:rPr>
        <w:t>149.03</w:t>
      </w:r>
      <w:r>
        <w:rPr>
          <w:rFonts w:ascii="仿宋_GB2312" w:eastAsia="仿宋_GB2312" w:cs="仿宋_GB2312" w:hint="eastAsia"/>
          <w:color w:val="000000"/>
          <w:kern w:val="0"/>
          <w:sz w:val="32"/>
          <w:szCs w:val="32"/>
          <w:lang w:val="zh-CN" w:eastAsia="zh-CN"/>
        </w:rPr>
        <w:t>万元，其中：</w:t>
      </w:r>
      <w:r>
        <w:rPr>
          <w:rFonts w:ascii="仿宋_GB2312" w:eastAsia="仿宋_GB2312" w:cs="仿宋_GB2312" w:hint="eastAsia"/>
          <w:color w:val="000000"/>
          <w:kern w:val="0"/>
          <w:sz w:val="32"/>
          <w:szCs w:val="32"/>
          <w:lang w:val="en-US" w:eastAsia="zh-CN"/>
        </w:rPr>
        <w:t>政协会议费33.38万元</w:t>
      </w:r>
      <w:r>
        <w:rPr>
          <w:rFonts w:ascii="仿宋_GB2312" w:eastAsia="仿宋_GB2312" w:cs="仿宋_GB2312"/>
          <w:color w:val="000000"/>
          <w:kern w:val="0"/>
          <w:sz w:val="32"/>
          <w:szCs w:val="32"/>
          <w:lang w:eastAsia="zh-CN"/>
        </w:rPr>
        <w:t>:</w:t>
      </w:r>
      <w:r>
        <w:rPr>
          <w:rFonts w:ascii="仿宋_GB2312" w:eastAsia="仿宋_GB2312" w:cs="仿宋_GB2312" w:hint="eastAsia"/>
          <w:color w:val="000000"/>
          <w:kern w:val="0"/>
          <w:sz w:val="32"/>
          <w:szCs w:val="32"/>
          <w:lang w:val="en-US" w:eastAsia="zh-CN"/>
        </w:rPr>
        <w:t>主要包括政协常委会经费3.3万元</w:t>
      </w:r>
      <w:r>
        <w:rPr>
          <w:rFonts w:ascii="仿宋_GB2312" w:eastAsia="仿宋_GB2312" w:cs="仿宋_GB2312"/>
          <w:color w:val="000000"/>
          <w:kern w:val="0"/>
          <w:sz w:val="32"/>
          <w:szCs w:val="32"/>
          <w:lang w:eastAsia="zh-CN"/>
        </w:rPr>
        <w:t>,</w:t>
      </w:r>
      <w:r>
        <w:rPr>
          <w:rFonts w:ascii="仿宋_GB2312" w:eastAsia="仿宋_GB2312" w:cs="仿宋_GB2312" w:hint="eastAsia"/>
          <w:color w:val="000000"/>
          <w:kern w:val="0"/>
          <w:sz w:val="32"/>
          <w:szCs w:val="32"/>
          <w:lang w:val="en-US" w:eastAsia="zh-CN"/>
        </w:rPr>
        <w:t>政协第十四届一次会议经费30.08万元</w:t>
      </w:r>
      <w:r>
        <w:rPr>
          <w:rFonts w:ascii="仿宋_GB2312" w:eastAsia="仿宋_GB2312" w:cs="仿宋_GB2312"/>
          <w:color w:val="000000"/>
          <w:kern w:val="0"/>
          <w:sz w:val="32"/>
          <w:szCs w:val="32"/>
          <w:lang w:eastAsia="zh-CN"/>
        </w:rPr>
        <w:t>。</w:t>
      </w:r>
      <w:r>
        <w:rPr>
          <w:rFonts w:ascii="仿宋_GB2312" w:eastAsia="仿宋_GB2312" w:cs="仿宋_GB2312" w:hint="eastAsia"/>
          <w:color w:val="000000"/>
          <w:kern w:val="0"/>
          <w:sz w:val="32"/>
          <w:szCs w:val="32"/>
          <w:lang w:val="en-US" w:eastAsia="zh-CN"/>
        </w:rPr>
        <w:t>委员视察经费6.75万元</w:t>
      </w:r>
      <w:r>
        <w:rPr>
          <w:rFonts w:ascii="仿宋_GB2312" w:eastAsia="仿宋_GB2312" w:cs="仿宋_GB2312"/>
          <w:color w:val="000000"/>
          <w:kern w:val="0"/>
          <w:sz w:val="32"/>
          <w:szCs w:val="32"/>
          <w:lang w:eastAsia="zh-CN"/>
        </w:rPr>
        <w:t>：</w:t>
      </w:r>
      <w:r>
        <w:rPr>
          <w:rFonts w:ascii="仿宋_GB2312" w:eastAsia="仿宋_GB2312" w:cs="仿宋_GB2312" w:hint="eastAsia"/>
          <w:color w:val="000000"/>
          <w:kern w:val="0"/>
          <w:sz w:val="32"/>
          <w:szCs w:val="32"/>
          <w:lang w:val="en-US" w:eastAsia="zh-CN"/>
        </w:rPr>
        <w:t>主要包括印刷费2万元；差旅费3万元；会议费1.75万元。一般行政管理事务108.9万元</w:t>
      </w:r>
      <w:r>
        <w:rPr>
          <w:rFonts w:ascii="仿宋_GB2312" w:eastAsia="仿宋_GB2312" w:cs="仿宋_GB2312"/>
          <w:color w:val="000000"/>
          <w:kern w:val="0"/>
          <w:sz w:val="32"/>
          <w:szCs w:val="32"/>
          <w:lang w:eastAsia="zh-CN"/>
        </w:rPr>
        <w:t>：</w:t>
      </w:r>
      <w:r>
        <w:rPr>
          <w:rFonts w:ascii="仿宋_GB2312" w:eastAsia="仿宋_GB2312" w:cs="仿宋_GB2312" w:hint="eastAsia"/>
          <w:color w:val="000000"/>
          <w:kern w:val="0"/>
          <w:sz w:val="32"/>
          <w:szCs w:val="32"/>
          <w:lang w:val="en-US" w:eastAsia="zh-CN"/>
        </w:rPr>
        <w:t>主要包括办公费12.3万元；印刷费14.32万元；水费0.28万元；邮电费18.99万元；差旅费31.25万元；会议费7.68万元，劳务费3.48万元；委托业务费4.5万元；公务用车运行费12万元；其他交通费用4.1万元。</w:t>
      </w:r>
    </w:p>
    <w:p>
      <w:pPr>
        <w:spacing w:line="600" w:lineRule="exact"/>
        <w:ind w:firstLine="645"/>
        <w:rPr>
          <w:rStyle w:val="2Char"/>
          <w:rFonts w:ascii="黑体" w:eastAsia="黑体"/>
          <w:b w:val="0"/>
        </w:rPr>
      </w:pPr>
      <w:bookmarkStart w:id="79" w:name="_Toc1003349639"/>
      <w:r>
        <w:rPr>
          <w:rStyle w:val="2Char"/>
          <w:rFonts w:ascii="黑体" w:eastAsia="黑体" w:hint="eastAsia"/>
          <w:b w:val="0"/>
        </w:rPr>
        <w:t>七、“三公”经费财政拨款支出决算情况说明</w:t>
      </w:r>
      <w:bookmarkEnd w:id="76"/>
      <w:bookmarkEnd w:id="77"/>
    </w:p>
    <w:p>
      <w:pPr>
        <w:spacing w:line="600" w:lineRule="exact"/>
        <w:ind w:firstLine="640"/>
        <w:outlineLvl w:val="2"/>
        <w:rPr>
          <w:rFonts w:ascii="仿宋" w:eastAsia="仿宋"/>
          <w:b/>
          <w:color w:val="000000"/>
          <w:sz w:val="32"/>
          <w:szCs w:val="32"/>
        </w:rPr>
      </w:pPr>
      <w:bookmarkStart w:id="80" w:name="_Toc15377216"/>
      <w:bookmarkEnd w:id="78"/>
      <w:bookmarkEnd w:id="79"/>
      <w:r>
        <w:rPr>
          <w:rFonts w:ascii="仿宋" w:eastAsia="仿宋" w:hint="eastAsia"/>
          <w:b/>
          <w:color w:val="000000"/>
          <w:sz w:val="32"/>
          <w:szCs w:val="32"/>
        </w:rPr>
        <w:t>（一）“三公”经费财政拨款支出决算总体情况说明</w:t>
      </w:r>
      <w:bookmarkEnd w:id="80"/>
    </w:p>
    <w:p>
      <w:pPr>
        <w:spacing w:line="600" w:lineRule="exact"/>
        <w:ind w:firstLine="64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年“三公”经费财政拨款支出决算为</w:t>
      </w:r>
      <w:r>
        <w:rPr>
          <w:rFonts w:ascii="仿宋" w:eastAsia="仿宋"/>
          <w:color w:val="000000"/>
          <w:sz w:val="32"/>
          <w:szCs w:val="32"/>
        </w:rPr>
        <w:t>20.19</w:t>
      </w:r>
      <w:r>
        <w:rPr>
          <w:rFonts w:ascii="仿宋" w:eastAsia="仿宋" w:hint="eastAsia"/>
          <w:color w:val="000000"/>
          <w:sz w:val="32"/>
          <w:szCs w:val="32"/>
        </w:rPr>
        <w:t>万元，完成预算100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outlineLvl w:val="2"/>
        <w:rPr>
          <w:rFonts w:ascii="仿宋" w:eastAsia="仿宋"/>
          <w:b/>
          <w:color w:val="000000"/>
          <w:sz w:val="32"/>
          <w:szCs w:val="32"/>
        </w:rPr>
      </w:pPr>
      <w:bookmarkStart w:id="81" w:name="_Toc15377217"/>
      <w:r>
        <w:rPr>
          <w:rFonts w:ascii="仿宋" w:eastAsia="仿宋" w:hint="eastAsia"/>
          <w:b/>
          <w:color w:val="000000"/>
          <w:sz w:val="32"/>
          <w:szCs w:val="32"/>
        </w:rPr>
        <w:t>（二）“三公”经费财政拨款支出决算具体情况说明</w:t>
      </w:r>
      <w:bookmarkEnd w:id="81"/>
    </w:p>
    <w:p>
      <w:pPr>
        <w:spacing w:line="600" w:lineRule="exact"/>
        <w:ind w:firstLine="640"/>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年“三公”经费财政拨款支出</w:t>
      </w:r>
      <w:r>
        <w:rPr>
          <w:rFonts w:ascii="仿宋" w:eastAsia="仿宋" w:hint="eastAsia"/>
          <w:sz w:val="32"/>
          <w:szCs w:val="32"/>
        </w:rPr>
        <w:t>决算</w:t>
      </w:r>
      <w:r>
        <w:rPr>
          <w:rFonts w:ascii="仿宋" w:eastAsia="仿宋"/>
          <w:sz w:val="32"/>
          <w:szCs w:val="32"/>
        </w:rPr>
        <w:t>20.19</w:t>
      </w:r>
      <w:r>
        <w:rPr>
          <w:rFonts w:ascii="仿宋" w:eastAsia="仿宋" w:hint="eastAsia"/>
          <w:sz w:val="32"/>
          <w:szCs w:val="32"/>
        </w:rPr>
        <w:t>万元</w:t>
      </w:r>
      <w:r>
        <w:rPr>
          <w:rFonts w:ascii="仿宋" w:eastAsia="仿宋" w:hint="eastAsia"/>
          <w:color w:val="000000"/>
          <w:sz w:val="32"/>
          <w:szCs w:val="32"/>
        </w:rPr>
        <w:t>，其中：因公出国（境）费支出决算0万元，占0；公务用车购置及运行维护费支出决算</w:t>
      </w:r>
      <w:r>
        <w:rPr>
          <w:rFonts w:ascii="仿宋" w:eastAsia="仿宋"/>
          <w:color w:val="000000"/>
          <w:sz w:val="32"/>
          <w:szCs w:val="32"/>
        </w:rPr>
        <w:t>20.19</w:t>
      </w:r>
      <w:r>
        <w:rPr>
          <w:rFonts w:ascii="仿宋" w:eastAsia="仿宋" w:hint="eastAsia"/>
          <w:color w:val="000000"/>
          <w:sz w:val="32"/>
          <w:szCs w:val="32"/>
        </w:rPr>
        <w:t>万元，占100</w:t>
      </w:r>
      <w:r>
        <w:rPr>
          <w:rFonts w:ascii="仿宋" w:eastAsia="仿宋"/>
          <w:color w:val="000000"/>
          <w:sz w:val="32"/>
          <w:szCs w:val="32"/>
        </w:rPr>
        <w:t>%</w:t>
      </w:r>
      <w:r>
        <w:rPr>
          <w:rFonts w:ascii="仿宋" w:eastAsia="仿宋" w:hint="eastAsia"/>
          <w:color w:val="000000"/>
          <w:sz w:val="32"/>
          <w:szCs w:val="32"/>
        </w:rPr>
        <w:t>；公务接待费支出决算0万元，占0。具体情况如下：</w:t>
      </w:r>
    </w:p>
    <w:p>
      <w:pPr>
        <w:spacing w:line="600" w:lineRule="exact"/>
        <w:ind w:firstLine="640"/>
        <w:rPr>
          <w:rFonts w:ascii="仿宋" w:eastAsia="仿宋"/>
          <w:color w:val="000000"/>
          <w:sz w:val="32"/>
          <w:szCs w:val="32"/>
        </w:rPr>
      </w:pPr>
    </w:p>
    <w:p>
      <w:pPr>
        <w:spacing w:line="600" w:lineRule="exact"/>
        <w:rPr>
          <w:rFonts w:ascii="仿宋_GB2312" w:eastAsia="仿宋_GB2312"/>
          <w:b/>
          <w:color w:val="000000"/>
          <w:sz w:val="32"/>
          <w:szCs w:val="32"/>
        </w:rPr>
      </w:pPr>
    </w:p>
    <w:p>
      <w:pPr>
        <w:spacing w:line="600" w:lineRule="exact"/>
        <w:ind w:firstLine="640"/>
        <w:rPr>
          <w:rFonts w:ascii="仿宋_GB2312" w:eastAsia="仿宋_GB2312" w:hint="eastAsia"/>
          <w:b/>
          <w:color w:val="000000"/>
          <w:sz w:val="32"/>
          <w:szCs w:val="32"/>
        </w:rPr>
      </w:pPr>
      <w:r>
        <w:drawing>
          <wp:anchor distT="0" distB="0" distL="114300" distR="114300" simplePos="0" relativeHeight="30" behindDoc="0" locked="0" layoutInCell="1" hidden="0" allowOverlap="1">
            <wp:simplePos x="0" y="0"/>
            <wp:positionH relativeFrom="column">
              <wp:posOffset>285750</wp:posOffset>
            </wp:positionH>
            <wp:positionV relativeFrom="paragraph">
              <wp:posOffset>339725</wp:posOffset>
            </wp:positionV>
            <wp:extent cx="4544059" cy="2659380"/>
            <wp:effectExtent l="0" t="0" r="0" b="0"/>
            <wp:wrapNone/>
            <wp:docPr id="7" name="图片 7"/>
            <wp:cNvGraphicFramePr>
              <a:graphicFrameLocks noChangeAspect="1"/>
            </wp:cNvGraphicFramePr>
            <a:graphic>
              <a:graphicData uri="http://schemas.openxmlformats.org/drawingml/2006/picture">
                <pic:pic>
                  <pic:nvPicPr>
                    <pic:cNvPr id="9" name="图片 7 9"/>
                    <pic:cNvPicPr/>
                  </pic:nvPicPr>
                  <pic:blipFill>
                    <a:blip r:embed="rId10"/>
                    <a:stretch>
                      <a:fillRect/>
                    </a:stretch>
                  </pic:blipFill>
                  <pic:spPr>
                    <a:xfrm rot="0">
                      <a:off x="0" y="0"/>
                      <a:ext cx="4544059" cy="2659380"/>
                    </a:xfrm>
                    <a:prstGeom prst="rect"/>
                    <a:noFill/>
                    <a:ln w="9525" cmpd="sng" cap="flat">
                      <a:noFill/>
                      <a:prstDash val="solid"/>
                      <a:round/>
                    </a:ln>
                  </pic:spPr>
                </pic:pic>
              </a:graphicData>
            </a:graphic>
          </wp:anchor>
        </w:drawing>
      </w:r>
    </w:p>
    <w:p>
      <w:pPr>
        <w:spacing w:line="600" w:lineRule="exact"/>
        <w:ind w:firstLine="640"/>
        <w:rPr>
          <w:rFonts w:ascii="仿宋_GB2312" w:eastAsia="仿宋_GB2312" w:hint="eastAsia"/>
          <w:b/>
          <w:color w:val="000000"/>
          <w:sz w:val="32"/>
          <w:szCs w:val="32"/>
        </w:rPr>
      </w:pPr>
    </w:p>
    <w:p>
      <w:pPr>
        <w:spacing w:line="600" w:lineRule="exact"/>
        <w:ind w:firstLine="640"/>
        <w:rPr>
          <w:rFonts w:ascii="仿宋_GB2312" w:eastAsia="仿宋_GB2312" w:hint="eastAsia"/>
          <w:b/>
          <w:color w:val="000000"/>
          <w:sz w:val="32"/>
          <w:szCs w:val="32"/>
        </w:rPr>
      </w:pPr>
    </w:p>
    <w:p>
      <w:pPr>
        <w:spacing w:line="600" w:lineRule="exact"/>
        <w:ind w:firstLine="640"/>
        <w:rPr>
          <w:rFonts w:ascii="仿宋_GB2312" w:eastAsia="仿宋_GB2312" w:hint="eastAsia"/>
          <w:b/>
          <w:color w:val="000000"/>
          <w:sz w:val="32"/>
          <w:szCs w:val="32"/>
        </w:rPr>
      </w:pPr>
    </w:p>
    <w:p>
      <w:pPr>
        <w:spacing w:line="600" w:lineRule="exact"/>
        <w:ind w:firstLine="640"/>
        <w:rPr>
          <w:rFonts w:ascii="仿宋_GB2312" w:eastAsia="仿宋_GB2312" w:hint="eastAsia"/>
          <w:b/>
          <w:color w:val="000000"/>
          <w:sz w:val="32"/>
          <w:szCs w:val="32"/>
        </w:rPr>
      </w:pPr>
    </w:p>
    <w:p>
      <w:pPr>
        <w:spacing w:line="600" w:lineRule="exact"/>
        <w:ind w:firstLine="640"/>
        <w:rPr>
          <w:rFonts w:ascii="仿宋_GB2312" w:eastAsia="仿宋_GB2312" w:hint="eastAsia"/>
          <w:b/>
          <w:color w:val="000000"/>
          <w:sz w:val="32"/>
          <w:szCs w:val="32"/>
        </w:rPr>
      </w:pPr>
    </w:p>
    <w:p>
      <w:pPr>
        <w:spacing w:line="600" w:lineRule="exact"/>
        <w:ind w:firstLine="640"/>
        <w:rPr>
          <w:rFonts w:ascii="仿宋_GB2312" w:eastAsia="仿宋_GB2312" w:hint="eastAsia"/>
          <w:b/>
          <w:color w:val="000000"/>
          <w:sz w:val="32"/>
          <w:szCs w:val="32"/>
        </w:rPr>
      </w:pPr>
    </w:p>
    <w:p>
      <w:pPr>
        <w:spacing w:line="600" w:lineRule="exact"/>
        <w:ind w:firstLine="640"/>
        <w:rPr>
          <w:rFonts w:ascii="仿宋_GB2312" w:eastAsia="仿宋_GB2312" w:hint="eastAsia"/>
          <w:b/>
          <w:color w:val="000000"/>
          <w:sz w:val="32"/>
          <w:szCs w:val="32"/>
        </w:rPr>
      </w:pPr>
    </w:p>
    <w:p>
      <w:pPr>
        <w:spacing w:line="600" w:lineRule="exact"/>
        <w:ind w:firstLine="640"/>
        <w:rPr>
          <w:rFonts w:ascii="仿宋_GB2312" w:eastAsia="仿宋_GB2312" w:hint="eastAsia"/>
          <w:b/>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Style w:val="22"/>
          <w:rFonts w:ascii="仿宋" w:eastAsia="仿宋" w:hint="eastAsia"/>
          <w:b w:val="0"/>
          <w:bCs/>
          <w:color w:val="000000"/>
          <w:sz w:val="32"/>
          <w:szCs w:val="32"/>
        </w:rPr>
        <w:t>完成预算0。</w:t>
      </w:r>
      <w:r>
        <w:rPr>
          <w:rFonts w:ascii="仿宋_GB2312" w:eastAsia="仿宋_GB2312" w:hint="eastAsia"/>
          <w:sz w:val="32"/>
          <w:szCs w:val="32"/>
        </w:rPr>
        <w:t>全年安排因公出国（境）团组0次，出国（境）0人。因</w:t>
      </w:r>
      <w:r>
        <w:rPr>
          <w:rFonts w:ascii="仿宋_GB2312" w:eastAsia="仿宋_GB2312" w:hint="eastAsia"/>
          <w:color w:val="000000"/>
          <w:sz w:val="32"/>
          <w:szCs w:val="32"/>
        </w:rPr>
        <w:t>公出国（境）支出决算比202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s="仿宋" w:hint="eastAsia"/>
          <w:color w:val="000000"/>
          <w:sz w:val="32"/>
          <w:szCs w:val="32"/>
        </w:rPr>
        <w:t>增加0万元。</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_GB2312" w:eastAsia="仿宋_GB2312"/>
          <w:color w:val="000000"/>
          <w:sz w:val="32"/>
          <w:szCs w:val="32"/>
        </w:rPr>
        <w:t>20.19</w:t>
      </w:r>
      <w:r>
        <w:rPr>
          <w:rFonts w:ascii="仿宋_GB2312" w:eastAsia="仿宋_GB2312" w:hint="eastAsia"/>
          <w:color w:val="000000"/>
          <w:sz w:val="32"/>
          <w:szCs w:val="32"/>
        </w:rPr>
        <w:t>万元,</w:t>
      </w:r>
      <w:r>
        <w:rPr>
          <w:rStyle w:val="22"/>
          <w:rFonts w:ascii="仿宋" w:eastAsia="仿宋" w:hint="eastAsia"/>
          <w:b w:val="0"/>
          <w:bCs/>
          <w:color w:val="000000"/>
          <w:sz w:val="32"/>
          <w:szCs w:val="32"/>
        </w:rPr>
        <w:t>完成预算100%。</w:t>
      </w:r>
      <w:r>
        <w:rPr>
          <w:rFonts w:ascii="仿宋_GB2312" w:eastAsia="仿宋_GB2312" w:hint="eastAsia"/>
          <w:color w:val="000000"/>
          <w:sz w:val="32"/>
          <w:szCs w:val="32"/>
        </w:rPr>
        <w:t>公务用车购置及运行维护费支出决算比202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color w:val="000000"/>
          <w:sz w:val="32"/>
          <w:szCs w:val="32"/>
          <w:lang w:eastAsia="zh-CN"/>
        </w:rPr>
        <w:t>增加2.19</w:t>
      </w:r>
      <w:r>
        <w:rPr>
          <w:rFonts w:ascii="仿宋_GB2312" w:eastAsia="仿宋_GB2312" w:hint="eastAsia"/>
          <w:color w:val="000000"/>
          <w:sz w:val="32"/>
          <w:szCs w:val="32"/>
        </w:rPr>
        <w:t>万元，</w:t>
      </w:r>
      <w:r>
        <w:rPr>
          <w:rFonts w:ascii="仿宋_GB2312" w:eastAsia="仿宋_GB2312"/>
          <w:color w:val="000000"/>
          <w:sz w:val="32"/>
          <w:szCs w:val="32"/>
        </w:rPr>
        <w:t>增加</w:t>
      </w:r>
      <w:r>
        <w:rPr>
          <w:rFonts w:ascii="仿宋_GB2312" w:eastAsia="仿宋_GB2312"/>
          <w:sz w:val="32"/>
          <w:szCs w:val="32"/>
          <w:lang w:eastAsia="zh-CN"/>
        </w:rPr>
        <w:t>20.17</w:t>
      </w:r>
      <w:r>
        <w:rPr>
          <w:rFonts w:ascii="仿宋_GB2312" w:eastAsia="仿宋_GB2312" w:hint="eastAsia"/>
          <w:sz w:val="32"/>
          <w:szCs w:val="32"/>
        </w:rPr>
        <w:t>%，主要</w:t>
      </w:r>
      <w:r>
        <w:rPr>
          <w:rFonts w:ascii="仿宋_GB2312" w:eastAsia="仿宋_GB2312" w:hint="eastAsia"/>
          <w:sz w:val="32"/>
          <w:szCs w:val="32"/>
          <w:lang w:eastAsia="zh-CN"/>
        </w:rPr>
        <w:t>原</w:t>
      </w:r>
      <w:r>
        <w:rPr>
          <w:rFonts w:ascii="仿宋_GB2312" w:eastAsia="仿宋_GB2312" w:hint="eastAsia"/>
          <w:sz w:val="32"/>
          <w:szCs w:val="32"/>
        </w:rPr>
        <w:t>因是</w:t>
      </w:r>
      <w:r>
        <w:rPr>
          <w:rFonts w:ascii="仿宋_GB2312" w:eastAsia="仿宋_GB2312"/>
          <w:sz w:val="32"/>
          <w:szCs w:val="32"/>
          <w:lang w:eastAsia="zh-CN"/>
        </w:rPr>
        <w:t>2022年油价上升，工作任务重。</w:t>
      </w:r>
    </w:p>
    <w:p>
      <w:pPr>
        <w:autoSpaceDE w:val="0"/>
        <w:autoSpaceDN w:val="0"/>
        <w:adjustRightInd w:val="0"/>
        <w:spacing w:line="600" w:lineRule="exact"/>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辆、执法执勤用车0辆、特种专业技术用车0辆、离退休干部用车0辆、其他用车</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color w:val="000000"/>
          <w:sz w:val="32"/>
          <w:szCs w:val="32"/>
        </w:rPr>
        <w:t>20.19</w:t>
      </w:r>
      <w:r>
        <w:rPr>
          <w:rFonts w:ascii="仿宋_GB2312" w:eastAsia="仿宋_GB2312" w:hint="eastAsia"/>
          <w:sz w:val="32"/>
          <w:szCs w:val="32"/>
        </w:rPr>
        <w:t>万元。</w:t>
      </w:r>
    </w:p>
    <w:p>
      <w:pPr>
        <w:numPr>
          <w:ilvl w:val="0"/>
          <w:numId w:val="2"/>
        </w:numPr>
        <w:spacing w:line="600" w:lineRule="exact"/>
        <w:ind w:left="0" w:firstLine="640"/>
        <w:rPr>
          <w:rFonts w:ascii="仿宋_GB2312" w:eastAsia="仿宋_GB2312" w:cs="仿宋"/>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22"/>
          <w:rFonts w:ascii="仿宋" w:eastAsia="仿宋" w:hint="eastAsia"/>
          <w:b w:val="0"/>
          <w:bCs/>
          <w:color w:val="000000"/>
          <w:sz w:val="32"/>
          <w:szCs w:val="32"/>
        </w:rPr>
        <w:t>完成预算0。</w:t>
      </w:r>
      <w:r>
        <w:rPr>
          <w:rFonts w:ascii="仿宋_GB2312" w:eastAsia="仿宋_GB2312" w:cs="仿宋" w:hint="eastAsia"/>
          <w:color w:val="000000"/>
          <w:sz w:val="32"/>
          <w:szCs w:val="32"/>
        </w:rPr>
        <w:t>公务接待费0万元。</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主要用于执行公务、开展业务活动开支的交通费、住宿费、用餐费等。国内公务接待0批次，0人次，共计支出0万元。</w:t>
      </w:r>
    </w:p>
    <w:p>
      <w:pPr>
        <w:spacing w:line="600" w:lineRule="exact"/>
        <w:ind w:firstLine="640"/>
        <w:outlineLvl w:val="1"/>
        <w:rPr>
          <w:rFonts w:ascii="仿宋_GB2312" w:eastAsia="仿宋_GB2312"/>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82" w:name="_Toc15377218"/>
      <w:bookmarkStart w:id="83" w:name="_Toc15396610"/>
    </w:p>
    <w:p>
      <w:pPr>
        <w:spacing w:line="600" w:lineRule="exact"/>
        <w:ind w:firstLine="640"/>
        <w:outlineLvl w:val="1"/>
        <w:rPr>
          <w:rStyle w:val="2Char"/>
          <w:rFonts w:ascii="黑体" w:eastAsia="黑体"/>
          <w:b w:val="0"/>
        </w:rPr>
      </w:pPr>
      <w:bookmarkStart w:id="84" w:name="_Toc6869"/>
      <w:bookmarkStart w:id="85" w:name="_Toc926238777"/>
      <w:r>
        <w:rPr>
          <w:rStyle w:val="2Char"/>
          <w:rFonts w:ascii="黑体" w:eastAsia="黑体" w:hint="eastAsia"/>
          <w:b w:val="0"/>
        </w:rPr>
        <w:t>八、政府性基金预算支出决算情况说明</w:t>
      </w:r>
      <w:bookmarkEnd w:id="82"/>
      <w:bookmarkEnd w:id="83"/>
    </w:p>
    <w:p>
      <w:pPr>
        <w:spacing w:line="600" w:lineRule="exact"/>
        <w:ind w:firstLine="640"/>
        <w:rPr>
          <w:rFonts w:ascii="仿宋_GB2312" w:eastAsia="仿宋_GB2312"/>
          <w:color w:val="000000"/>
          <w:sz w:val="32"/>
          <w:szCs w:val="32"/>
        </w:rPr>
      </w:pPr>
      <w:bookmarkEnd w:id="84"/>
      <w:bookmarkEnd w:id="85"/>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年政府性基金预算拨款支出0万元。</w:t>
      </w:r>
    </w:p>
    <w:p>
      <w:pPr>
        <w:numPr>
          <w:ilvl w:val="0"/>
          <w:numId w:val="3"/>
        </w:numPr>
        <w:spacing w:line="600" w:lineRule="exact"/>
        <w:ind w:left="0" w:firstLine="640"/>
        <w:outlineLvl w:val="1"/>
        <w:rPr>
          <w:rStyle w:val="2Char"/>
          <w:rFonts w:ascii="黑体" w:eastAsia="黑体"/>
          <w:b w:val="0"/>
        </w:rPr>
      </w:pPr>
      <w:bookmarkStart w:id="86" w:name="_Toc15377219"/>
      <w:bookmarkStart w:id="87" w:name="_Toc15396611"/>
      <w:bookmarkStart w:id="88" w:name="_Toc23702"/>
      <w:bookmarkStart w:id="89" w:name="_Toc7158"/>
      <w:bookmarkStart w:id="90" w:name="_Toc576902896"/>
      <w:r>
        <w:rPr>
          <w:rStyle w:val="2Char"/>
          <w:rFonts w:ascii="黑体" w:eastAsia="黑体" w:hint="eastAsia"/>
          <w:b w:val="0"/>
        </w:rPr>
        <w:t>国有资本经营预算支出决算情况说明</w:t>
      </w:r>
      <w:bookmarkEnd w:id="86"/>
      <w:bookmarkEnd w:id="87"/>
    </w:p>
    <w:p>
      <w:pPr>
        <w:spacing w:line="600" w:lineRule="exact"/>
        <w:ind w:firstLine="640"/>
        <w:rPr>
          <w:rFonts w:ascii="仿宋_GB2312" w:eastAsia="仿宋_GB2312"/>
          <w:color w:val="000000"/>
          <w:sz w:val="32"/>
          <w:szCs w:val="32"/>
        </w:rPr>
      </w:pPr>
      <w:bookmarkEnd w:id="88"/>
      <w:bookmarkEnd w:id="89"/>
      <w:bookmarkEnd w:id="90"/>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年国有资本经营预算拨款支出0万元。</w:t>
      </w:r>
    </w:p>
    <w:p>
      <w:pPr>
        <w:pStyle w:val="24"/>
        <w:numPr>
          <w:ilvl w:val="0"/>
          <w:numId w:val="4"/>
        </w:numPr>
        <w:spacing w:line="580" w:lineRule="exact"/>
        <w:ind w:firstLineChars="0"/>
        <w:rPr>
          <w:rFonts w:ascii="仿宋" w:eastAsia="仿宋" w:cs="楷体_GB2312"/>
          <w:b/>
          <w:bCs/>
          <w:sz w:val="32"/>
          <w:szCs w:val="32"/>
        </w:rPr>
      </w:pPr>
      <w:bookmarkStart w:id="91" w:name="_Toc23566"/>
      <w:bookmarkStart w:id="92" w:name="_Toc11163"/>
      <w:bookmarkStart w:id="93" w:name="_Toc375898657"/>
      <w:r>
        <w:rPr>
          <w:rStyle w:val="2Char"/>
          <w:rFonts w:ascii="黑体" w:eastAsia="黑体" w:hint="eastAsia"/>
          <w:b w:val="0"/>
        </w:rPr>
        <w:t>预算绩效情况说明</w:t>
      </w:r>
      <w:bookmarkEnd w:id="91"/>
      <w:bookmarkEnd w:id="92"/>
      <w:bookmarkEnd w:id="93"/>
    </w:p>
    <w:p>
      <w:pPr>
        <w:rPr>
          <w:rFonts w:ascii="仿宋_GB2312" w:eastAsia="仿宋_GB2312" w:cs="仿宋_GB2312"/>
          <w:sz w:val="32"/>
          <w:szCs w:val="32"/>
        </w:rPr>
      </w:pPr>
      <w:r>
        <w:rPr>
          <w:rFonts w:ascii="仿宋_GB2312" w:eastAsia="仿宋_GB2312" w:cs="仿宋_GB2312" w:hint="eastAsia"/>
          <w:color w:val="FF0000"/>
          <w:sz w:val="32"/>
          <w:szCs w:val="32"/>
        </w:rPr>
        <w:t>　　</w:t>
      </w:r>
      <w:r>
        <w:rPr>
          <w:rFonts w:ascii="仿宋_GB2312" w:eastAsia="仿宋_GB2312" w:cs="仿宋_GB2312" w:hint="eastAsia"/>
          <w:sz w:val="32"/>
          <w:szCs w:val="32"/>
        </w:rPr>
        <w:t>根据预算绩效管理要求，我单位在年初预算编制阶段，开展了预算事前绩效评估，编制了部门整体绩效目标。</w:t>
      </w:r>
    </w:p>
    <w:p>
      <w:pPr>
        <w:pStyle w:val="24"/>
        <w:numPr>
          <w:ilvl w:val="0"/>
          <w:numId w:val="4"/>
        </w:numPr>
        <w:spacing w:line="580" w:lineRule="exact"/>
        <w:ind w:firstLineChars="0"/>
        <w:rPr>
          <w:rStyle w:val="2Char"/>
          <w:rFonts w:ascii="黑体" w:eastAsia="黑体"/>
        </w:rPr>
      </w:pPr>
      <w:bookmarkStart w:id="94" w:name="_Toc15377221"/>
      <w:bookmarkStart w:id="95" w:name="_Toc15396612"/>
      <w:bookmarkStart w:id="96" w:name="_Toc960368052"/>
      <w:r>
        <w:rPr>
          <w:rStyle w:val="2Char"/>
          <w:rFonts w:ascii="黑体" w:eastAsia="黑体" w:hint="eastAsia"/>
          <w:b w:val="0"/>
        </w:rPr>
        <w:t>其他重要事项的情况说明</w:t>
      </w:r>
      <w:bookmarkEnd w:id="94"/>
      <w:bookmarkEnd w:id="95"/>
    </w:p>
    <w:p>
      <w:pPr>
        <w:spacing w:line="600" w:lineRule="exact"/>
        <w:ind w:firstLineChars="200" w:firstLine="640"/>
        <w:outlineLvl w:val="2"/>
        <w:rPr>
          <w:rFonts w:ascii="仿宋" w:eastAsia="仿宋"/>
          <w:color w:val="000000"/>
          <w:sz w:val="32"/>
          <w:szCs w:val="32"/>
        </w:rPr>
      </w:pPr>
      <w:bookmarkStart w:id="97" w:name="_Toc15377222"/>
      <w:bookmarkEnd w:id="96"/>
      <w:r>
        <w:rPr>
          <w:rFonts w:ascii="仿宋" w:eastAsia="仿宋" w:hint="eastAsia"/>
          <w:b/>
          <w:color w:val="000000"/>
          <w:sz w:val="32"/>
          <w:szCs w:val="32"/>
        </w:rPr>
        <w:t>（一）机关运行经费支出情况</w:t>
      </w:r>
      <w:bookmarkEnd w:id="97"/>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年，县政协办运行经费支出</w:t>
      </w:r>
      <w:r>
        <w:rPr>
          <w:rFonts w:ascii="仿宋_GB2312" w:eastAsia="仿宋_GB2312"/>
          <w:color w:val="000000"/>
          <w:sz w:val="32"/>
          <w:szCs w:val="32"/>
          <w:lang w:eastAsia="zh-CN"/>
        </w:rPr>
        <w:t>16.12</w:t>
      </w:r>
      <w:r>
        <w:rPr>
          <w:rFonts w:ascii="仿宋_GB2312" w:eastAsia="仿宋_GB2312" w:hint="eastAsia"/>
          <w:color w:val="000000"/>
          <w:sz w:val="32"/>
          <w:szCs w:val="32"/>
        </w:rPr>
        <w:t>万元，比202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年减少</w:t>
      </w:r>
      <w:r>
        <w:rPr>
          <w:rFonts w:ascii="仿宋_GB2312" w:eastAsia="仿宋_GB2312"/>
          <w:color w:val="000000"/>
          <w:sz w:val="32"/>
          <w:szCs w:val="32"/>
          <w:lang w:eastAsia="zh-CN"/>
        </w:rPr>
        <w:t>5.69</w:t>
      </w:r>
      <w:r>
        <w:rPr>
          <w:rFonts w:ascii="仿宋_GB2312" w:eastAsia="仿宋_GB2312" w:hint="eastAsia"/>
          <w:color w:val="000000"/>
          <w:sz w:val="32"/>
          <w:szCs w:val="32"/>
        </w:rPr>
        <w:t>万元，降低</w:t>
      </w:r>
      <w:r>
        <w:rPr>
          <w:rFonts w:ascii="仿宋_GB2312" w:eastAsia="仿宋_GB2312"/>
          <w:color w:val="000000"/>
          <w:sz w:val="32"/>
          <w:szCs w:val="32"/>
          <w:lang w:eastAsia="zh-CN"/>
        </w:rPr>
        <w:t>26.09</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sz w:val="32"/>
          <w:szCs w:val="32"/>
        </w:rPr>
        <w:t>节约开支。</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8" w:name="_Toc15377223"/>
      <w:r>
        <w:rPr>
          <w:rFonts w:ascii="仿宋" w:eastAsia="仿宋" w:hint="eastAsia"/>
          <w:b/>
          <w:color w:val="000000"/>
          <w:sz w:val="32"/>
          <w:szCs w:val="32"/>
        </w:rPr>
        <w:t>（二）政府采购支出情况</w:t>
      </w:r>
      <w:bookmarkEnd w:id="98"/>
    </w:p>
    <w:p>
      <w:pPr>
        <w:spacing w:line="600" w:lineRule="exact"/>
        <w:ind w:firstLineChars="200" w:firstLine="640"/>
        <w:rPr>
          <w:rFonts w:ascii="仿宋" w:eastAsia="仿宋"/>
          <w:b/>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万元、政府采购服务支出0万元。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9" w:name="_Toc15377224"/>
      <w:r>
        <w:rPr>
          <w:rFonts w:ascii="仿宋" w:eastAsia="仿宋" w:hint="eastAsia"/>
          <w:b/>
          <w:color w:val="000000"/>
          <w:sz w:val="32"/>
          <w:szCs w:val="32"/>
        </w:rPr>
        <w:t>（三）国有资产占有使用情况</w:t>
      </w:r>
      <w:bookmarkEnd w:id="99"/>
    </w:p>
    <w:p>
      <w:pPr>
        <w:widowControl/>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截至202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辆。</w:t>
      </w:r>
      <w:r>
        <w:rPr>
          <w:rFonts w:ascii="仿宋_GB2312" w:eastAsia="仿宋_GB2312" w:hint="eastAsia"/>
          <w:b/>
          <w:color w:val="000000"/>
          <w:sz w:val="32"/>
          <w:szCs w:val="32"/>
        </w:rPr>
        <w:t xml:space="preserve"> </w:t>
      </w:r>
    </w:p>
    <w:p>
      <w:pPr>
        <w:autoSpaceDE w:val="0"/>
        <w:autoSpaceDN w:val="0"/>
        <w:adjustRightInd w:val="0"/>
        <w:spacing w:line="560" w:lineRule="exact"/>
        <w:ind w:firstLineChars="100" w:firstLine="320"/>
        <w:jc w:val="left"/>
        <w:outlineLvl w:val="2"/>
        <w:rPr>
          <w:rFonts w:ascii="仿宋" w:eastAsia="仿宋"/>
          <w:b/>
          <w:color w:val="000000"/>
          <w:sz w:val="32"/>
          <w:szCs w:val="32"/>
        </w:rPr>
      </w:pPr>
      <w:r>
        <w:rPr>
          <w:rFonts w:ascii="仿宋" w:eastAsia="仿宋" w:hint="eastAsia"/>
          <w:b/>
          <w:color w:val="000000"/>
          <w:sz w:val="32"/>
          <w:szCs w:val="32"/>
        </w:rPr>
        <w:t>（四）预算绩效管理情况。</w:t>
      </w:r>
    </w:p>
    <w:p>
      <w:pPr>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1.概述项目绩效目标完成情况。</w:t>
      </w:r>
    </w:p>
    <w:p>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按照预算绩效管理要求，本部门对2022年一般公共预算项目支出开展了绩效目标管理，共编制绩效目标</w:t>
      </w: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个，涉及财政资金</w:t>
      </w:r>
      <w:r>
        <w:rPr>
          <w:rFonts w:ascii="仿宋" w:eastAsia="仿宋" w:hint="eastAsia"/>
          <w:sz w:val="32"/>
          <w:szCs w:val="32"/>
          <w:lang w:val="en-US" w:eastAsia="zh-CN"/>
        </w:rPr>
        <w:t>149.03</w:t>
      </w:r>
      <w:r>
        <w:rPr>
          <w:rFonts w:ascii="仿宋_GB2312" w:eastAsia="仿宋_GB2312" w:hint="eastAsia"/>
          <w:color w:val="000000"/>
          <w:sz w:val="32"/>
          <w:szCs w:val="32"/>
        </w:rPr>
        <w:t>万元。</w:t>
      </w:r>
    </w:p>
    <w:p>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2.部门整体支出绩效自评开展情况。</w:t>
      </w:r>
    </w:p>
    <w:p>
      <w:pPr>
        <w:widowControl/>
        <w:ind w:firstLineChars="200" w:firstLine="640"/>
        <w:jc w:val="left"/>
        <w:rPr>
          <w:rFonts w:ascii="仿宋_GB2312" w:eastAsia="仿宋_GB2312"/>
          <w:b/>
          <w:color w:val="000000"/>
          <w:sz w:val="32"/>
          <w:szCs w:val="32"/>
        </w:rPr>
      </w:pPr>
      <w:r>
        <w:rPr>
          <w:rFonts w:ascii="仿宋_GB2312" w:eastAsia="仿宋_GB2312" w:hint="eastAsia"/>
          <w:color w:val="000000"/>
          <w:sz w:val="32"/>
          <w:szCs w:val="32"/>
        </w:rPr>
        <w:t>按照预算绩效管理要求，本部门对2022年整体支出开展绩效自评，自评得分90分，存在问题：</w:t>
      </w:r>
      <w:r>
        <w:rPr>
          <w:rFonts w:ascii="仿宋_GB2312" w:eastAsia="仿宋_GB2312" w:cs="仿宋_GB2312" w:hint="eastAsia"/>
          <w:sz w:val="32"/>
          <w:szCs w:val="32"/>
        </w:rPr>
        <w:t>一是预算经费支出进度缓，特别是中央政法转移支付资金；二是部门预算、决算上报效率有待提高。下一步改进措施：一是加快完善部门财务规章制度建设；二是加强会计核算和财务管理能力；三是加强与县财政局相关科室对接工作，提升工作效率。</w:t>
      </w:r>
    </w:p>
    <w:p>
      <w:pPr>
        <w:widowControl/>
        <w:ind w:firstLineChars="200" w:firstLine="640"/>
        <w:jc w:val="left"/>
        <w:rPr>
          <w:rFonts w:ascii="仿宋_GB2312" w:eastAsia="仿宋_GB2312"/>
          <w:b/>
          <w:color w:val="000000"/>
          <w:sz w:val="32"/>
          <w:szCs w:val="32"/>
        </w:rPr>
      </w:pPr>
    </w:p>
    <w:p>
      <w:pPr>
        <w:widowControl/>
        <w:ind w:firstLineChars="200" w:firstLine="640"/>
        <w:jc w:val="left"/>
        <w:rPr>
          <w:rFonts w:ascii="仿宋_GB2312" w:eastAsia="仿宋_GB2312"/>
          <w:b/>
          <w:color w:val="000000"/>
          <w:sz w:val="32"/>
          <w:szCs w:val="32"/>
        </w:rPr>
      </w:pPr>
    </w:p>
    <w:p>
      <w:pPr>
        <w:widowControl/>
        <w:ind w:firstLineChars="200" w:firstLine="640"/>
        <w:jc w:val="left"/>
        <w:rPr>
          <w:rFonts w:ascii="仿宋_GB2312" w:eastAsia="仿宋_GB2312"/>
          <w:b/>
          <w:color w:val="000000"/>
          <w:sz w:val="32"/>
          <w:szCs w:val="32"/>
        </w:rPr>
      </w:pPr>
    </w:p>
    <w:p>
      <w:pPr>
        <w:widowControl/>
        <w:ind w:firstLineChars="200" w:firstLine="640"/>
        <w:jc w:val="left"/>
        <w:rPr>
          <w:rFonts w:ascii="仿宋_GB2312" w:eastAsia="仿宋_GB2312"/>
          <w:b/>
          <w:color w:val="000000"/>
          <w:sz w:val="32"/>
          <w:szCs w:val="32"/>
        </w:rPr>
      </w:pPr>
    </w:p>
    <w:p>
      <w:pPr>
        <w:widowControl/>
        <w:ind w:firstLineChars="200" w:firstLine="640"/>
        <w:jc w:val="left"/>
        <w:rPr>
          <w:rFonts w:ascii="仿宋_GB2312" w:eastAsia="仿宋_GB2312"/>
          <w:b/>
          <w:color w:val="000000"/>
          <w:sz w:val="32"/>
          <w:szCs w:val="32"/>
        </w:rPr>
      </w:pPr>
    </w:p>
    <w:p>
      <w:pPr>
        <w:widowControl/>
        <w:ind w:firstLineChars="200" w:firstLine="640"/>
        <w:jc w:val="left"/>
        <w:rPr>
          <w:rFonts w:ascii="仿宋_GB2312" w:eastAsia="仿宋_GB2312"/>
          <w:b/>
          <w:color w:val="000000"/>
          <w:sz w:val="32"/>
          <w:szCs w:val="32"/>
        </w:rPr>
      </w:pPr>
    </w:p>
    <w:p>
      <w:pPr>
        <w:pStyle w:val="15"/>
        <w:rPr>
          <w:rFonts w:ascii="仿宋_GB2312" w:eastAsia="仿宋_GB2312"/>
          <w:b/>
          <w:color w:val="000000"/>
          <w:sz w:val="32"/>
          <w:szCs w:val="32"/>
        </w:rPr>
      </w:pPr>
    </w:p>
    <w:p>
      <w:pPr>
        <w:widowControl/>
        <w:jc w:val="left"/>
        <w:rPr>
          <w:rFonts w:ascii="仿宋_GB2312" w:eastAsia="仿宋_GB2312"/>
          <w:b/>
          <w:color w:val="000000"/>
          <w:sz w:val="32"/>
          <w:szCs w:val="32"/>
        </w:rPr>
      </w:pPr>
    </w:p>
    <w:p>
      <w:pPr>
        <w:tabs>
          <w:tab w:val="left" w:pos="0"/>
        </w:tabs>
        <w:spacing w:line="600" w:lineRule="exact"/>
        <w:jc w:val="center"/>
        <w:outlineLvl w:val="0"/>
      </w:pPr>
      <w:bookmarkStart w:id="100" w:name="_Toc15377225"/>
      <w:bookmarkStart w:id="101" w:name="_Toc15396613"/>
      <w:bookmarkStart w:id="102" w:name="_Toc237187082"/>
      <w:bookmarkStart w:id="103" w:name="_Toc19247"/>
      <w:r>
        <w:rPr>
          <w:rStyle w:val="1Char"/>
          <w:rFonts w:ascii="黑体" w:eastAsia="黑体" w:cs="Arial" w:hint="eastAsia"/>
          <w:b w:val="0"/>
          <w:lang w:eastAsia="zh-CN"/>
        </w:rPr>
        <w:t>第三部分　</w:t>
      </w:r>
      <w:r>
        <w:rPr>
          <w:rStyle w:val="1Char"/>
          <w:rFonts w:ascii="黑体" w:eastAsia="黑体" w:cs="Arial" w:hint="eastAsia"/>
          <w:b w:val="0"/>
        </w:rPr>
        <w:t>名词</w:t>
      </w:r>
      <w:r>
        <w:rPr>
          <w:rStyle w:val="1Char"/>
          <w:rFonts w:ascii="黑体" w:eastAsia="黑体" w:hint="eastAsia"/>
          <w:b w:val="0"/>
        </w:rPr>
        <w:t>解释</w:t>
      </w:r>
      <w:bookmarkEnd w:id="100"/>
      <w:bookmarkEnd w:id="101"/>
      <w:bookmarkEnd w:id="102"/>
    </w:p>
    <w:p>
      <w:pPr>
        <w:pStyle w:val="25"/>
        <w:spacing w:line="560" w:lineRule="exact"/>
        <w:ind w:firstLineChars="200" w:firstLine="640"/>
        <w:rPr>
          <w:rFonts w:ascii="仿宋_GB2312" w:eastAsia="仿宋_GB2312"/>
          <w:sz w:val="32"/>
          <w:szCs w:val="32"/>
        </w:rPr>
      </w:pPr>
      <w:bookmarkEnd w:id="103"/>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5"/>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5"/>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5"/>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5"/>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5"/>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一般公共服务支出（类）政协事务（款）行政运行（项）：指行政单位的基本支出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s="仿宋"/>
          <w:color w:val="000000"/>
          <w:kern w:val="0"/>
          <w:sz w:val="32"/>
          <w:szCs w:val="32"/>
        </w:rPr>
      </w:pPr>
      <w:r>
        <w:rPr>
          <w:rFonts w:ascii="仿宋_GB2312" w:eastAsia="仿宋_GB2312" w:hint="eastAsia"/>
          <w:color w:val="000000"/>
          <w:sz w:val="32"/>
          <w:szCs w:val="32"/>
        </w:rPr>
        <w:t>9.</w:t>
      </w:r>
      <w:r>
        <w:rPr>
          <w:rFonts w:ascii="仿宋_GB2312" w:eastAsia="仿宋_GB2312" w:cs="仿宋" w:hint="eastAsia"/>
          <w:color w:val="000000"/>
          <w:kern w:val="0"/>
          <w:sz w:val="32"/>
          <w:szCs w:val="32"/>
        </w:rPr>
        <w:t>一般公共服务支出（类）政协事务（款）政协会议（项）：反映各级政协召开政治协商等专门会议的支出。</w:t>
      </w:r>
    </w:p>
    <w:p>
      <w:pPr>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10.一般公共服务支出（类）政协事务（款）委员视察（项）：反映政协委员开展各类视察的支出。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13.卫生健康支出（类）公共卫生（款）突发公共卫生事件应急处理（项）：反映用于突发公共卫生事件应急处理的支出。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卫生健康支出（类）行政事业单位医疗（款）行政单位医疗（项）：指反映职工缴纳的基本医疗保险费。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卫生健康支出（类）行政事业单位医疗（款）公务员医疗补助（项）：指按规定可享受公务员医疗补助单位为职工缴纳的公务员医疗补助费。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18</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Chars="200" w:firstLine="640"/>
        <w:rPr>
          <w:rFonts w:ascii="仿宋_GB2312" w:eastAsia="仿宋_GB2312"/>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Chars="200" w:firstLine="640"/>
        <w:rPr>
          <w:rFonts w:ascii="仿宋_GB2312" w:eastAsia="仿宋_GB2312"/>
          <w:sz w:val="32"/>
          <w:szCs w:val="32"/>
        </w:rPr>
      </w:pPr>
      <w:r>
        <w:rPr>
          <w:rFonts w:ascii="仿宋_GB2312" w:eastAsia="仿宋_GB2312" w:hint="eastAsia"/>
          <w:sz w:val="32"/>
          <w:szCs w:val="32"/>
        </w:rPr>
        <w:t>20</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outlineLvl w:val="0"/>
        <w:rPr>
          <w:rFonts w:ascii="黑体" w:eastAsia="黑体"/>
          <w:color w:val="000000"/>
          <w:sz w:val="44"/>
          <w:szCs w:val="44"/>
        </w:rPr>
      </w:pPr>
      <w:bookmarkStart w:id="104" w:name="_Toc15396614"/>
      <w:bookmarkStart w:id="105" w:name="_Toc15377226"/>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tabs>
          <w:tab w:val="left" w:pos="0"/>
        </w:tabs>
        <w:spacing w:line="600" w:lineRule="exact"/>
        <w:outlineLvl w:val="0"/>
        <w:rPr>
          <w:rStyle w:val="1Char"/>
          <w:rFonts w:ascii="黑体" w:eastAsia="黑体"/>
          <w:b w:val="0"/>
        </w:rPr>
      </w:pPr>
      <w:bookmarkStart w:id="106" w:name="_Toc20341"/>
      <w:bookmarkStart w:id="107" w:name="_Toc30614"/>
      <w:bookmarkStart w:id="108" w:name="_Toc10238"/>
      <w:bookmarkEnd w:id="104"/>
    </w:p>
    <w:p>
      <w:bookmarkEnd w:id="105"/>
      <w:bookmarkEnd w:id="106"/>
      <w:bookmarkEnd w:id="107"/>
      <w:bookmarkEnd w:id="108"/>
    </w:p>
    <w:p>
      <w:pPr>
        <w:tabs>
          <w:tab w:val="left" w:pos="0"/>
        </w:tabs>
        <w:spacing w:line="600" w:lineRule="exact"/>
        <w:jc w:val="center"/>
        <w:outlineLvl w:val="0"/>
        <w:rPr>
          <w:rStyle w:val="1Char"/>
          <w:rFonts w:ascii="黑体" w:eastAsia="黑体" w:cs="Arial" w:hint="eastAsia"/>
          <w:b w:val="0"/>
          <w:lang w:val="en-US" w:eastAsia="zh-CN"/>
        </w:rPr>
      </w:pPr>
      <w:bookmarkStart w:id="109" w:name="_Toc26512"/>
      <w:bookmarkStart w:id="110" w:name="_Toc10754734"/>
      <w:r>
        <w:rPr>
          <w:rStyle w:val="1Char"/>
          <w:rFonts w:ascii="黑体" w:eastAsia="黑体" w:cs="Arial" w:hint="eastAsia"/>
          <w:b w:val="0"/>
          <w:lang w:val="en-US" w:eastAsia="zh-CN"/>
        </w:rPr>
        <w:t>第四部分　部门整体支出绩效报告</w:t>
      </w:r>
      <w:bookmarkEnd w:id="109"/>
    </w:p>
    <w:p>
      <w:pPr>
        <w:tabs>
          <w:tab w:val="left" w:pos="0"/>
        </w:tabs>
        <w:rPr>
          <w:rStyle w:val="1Char"/>
          <w:rFonts w:ascii="仿宋_GB2312" w:eastAsia="仿宋_GB2312" w:cs="仿宋_GB2312" w:hint="eastAsia"/>
          <w:b/>
          <w:bCs w:val="0"/>
          <w:lang w:val="en-US"/>
        </w:rPr>
      </w:pPr>
      <w:bookmarkEnd w:id="110"/>
    </w:p>
    <w:p>
      <w:pPr>
        <w:widowControl/>
        <w:spacing w:line="580" w:lineRule="exact"/>
        <w:contextualSpacing/>
        <w:jc w:val="center"/>
        <w:rPr>
          <w:rFonts w:ascii="方正小标宋简体" w:eastAsia="方正小标宋简体" w:cs="方正小标宋简体" w:hint="eastAsia"/>
          <w:bCs/>
          <w:sz w:val="44"/>
          <w:szCs w:val="44"/>
          <w:shd w:val="clear" w:color="auto" w:fill="FFFFFF"/>
        </w:rPr>
      </w:pPr>
      <w:r>
        <w:rPr>
          <w:rFonts w:ascii="方正小标宋简体" w:eastAsia="方正小标宋简体" w:cs="方正小标宋简体" w:hint="eastAsia"/>
          <w:bCs/>
          <w:sz w:val="44"/>
          <w:szCs w:val="44"/>
          <w:shd w:val="clear" w:color="auto" w:fill="FFFFFF"/>
        </w:rPr>
        <w:t>政协金川县委员会办公室</w:t>
      </w:r>
    </w:p>
    <w:p>
      <w:pPr>
        <w:jc w:val="center"/>
        <w:rPr>
          <w:rFonts w:ascii="方正小标宋简体" w:eastAsia="方正小标宋简体" w:cs="方正小标宋简体" w:hint="eastAsia"/>
          <w:bCs/>
          <w:sz w:val="44"/>
          <w:szCs w:val="44"/>
          <w:shd w:val="clear" w:color="auto" w:fill="FFFFFF"/>
          <w:lang w:eastAsia="zh-CN"/>
        </w:rPr>
      </w:pPr>
      <w:r>
        <w:rPr>
          <w:rFonts w:ascii="方正小标宋简体" w:eastAsia="方正小标宋简体" w:cs="方正小标宋简体" w:hint="eastAsia"/>
          <w:bCs/>
          <w:sz w:val="44"/>
          <w:szCs w:val="44"/>
          <w:shd w:val="clear" w:color="auto" w:fill="FFFFFF"/>
          <w:lang w:eastAsia="zh-CN"/>
        </w:rPr>
        <w:t>202</w:t>
      </w:r>
      <w:r>
        <w:rPr>
          <w:rFonts w:ascii="方正小标宋简体" w:eastAsia="方正小标宋简体" w:cs="方正小标宋简体" w:hint="eastAsia"/>
          <w:bCs/>
          <w:sz w:val="44"/>
          <w:szCs w:val="44"/>
          <w:shd w:val="clear" w:color="auto" w:fill="FFFFFF"/>
          <w:lang w:val="en-US" w:eastAsia="zh-CN"/>
        </w:rPr>
        <w:t>2</w:t>
      </w:r>
      <w:r>
        <w:rPr>
          <w:rFonts w:ascii="方正小标宋简体" w:eastAsia="方正小标宋简体" w:cs="方正小标宋简体" w:hint="eastAsia"/>
          <w:bCs/>
          <w:sz w:val="44"/>
          <w:szCs w:val="44"/>
          <w:shd w:val="clear" w:color="auto" w:fill="FFFFFF"/>
          <w:lang w:eastAsia="zh-CN"/>
        </w:rPr>
        <w:t>年</w:t>
      </w:r>
      <w:r>
        <w:rPr>
          <w:rFonts w:ascii="方正小标宋简体" w:eastAsia="方正小标宋简体" w:cs="方正小标宋简体" w:hint="eastAsia"/>
          <w:bCs/>
          <w:sz w:val="44"/>
          <w:szCs w:val="44"/>
          <w:shd w:val="clear" w:color="auto" w:fill="FFFFFF"/>
        </w:rPr>
        <w:t>度</w:t>
      </w:r>
      <w:r>
        <w:rPr>
          <w:rFonts w:ascii="方正小标宋简体" w:eastAsia="方正小标宋简体" w:cs="方正小标宋简体" w:hint="eastAsia"/>
          <w:bCs/>
          <w:sz w:val="44"/>
          <w:szCs w:val="44"/>
          <w:shd w:val="clear" w:color="auto" w:fill="FFFFFF"/>
          <w:lang w:eastAsia="zh-CN"/>
        </w:rPr>
        <w:t>整体绩效支出报告</w:t>
      </w:r>
    </w:p>
    <w:p>
      <w:pPr>
        <w:keepNext w:val="0"/>
        <w:keepLines w:val="0"/>
        <w:widowControl/>
        <w:suppressLineNumbers w:val="0"/>
        <w:jc w:val="both"/>
        <w:rPr>
          <w:rFonts w:ascii="仿宋_GB2312" w:eastAsia="仿宋_GB2312" w:cs="仿宋_GB2312" w:hint="eastAsia"/>
          <w:bCs/>
          <w:sz w:val="32"/>
          <w:szCs w:val="32"/>
          <w:shd w:val="clear" w:color="auto" w:fill="FFFFFF"/>
          <w:lang w:eastAsia="zh-CN"/>
        </w:rPr>
      </w:pPr>
    </w:p>
    <w:p>
      <w:pPr>
        <w:keepNext w:val="0"/>
        <w:keepLines w:val="0"/>
        <w:widowControl/>
        <w:suppressLineNumbers w:val="0"/>
        <w:ind w:firstLineChars="200" w:firstLine="640"/>
        <w:jc w:val="both"/>
        <w:rPr>
          <w:rFonts w:ascii="仿宋_GB2312" w:eastAsia="仿宋_GB2312" w:cs="仿宋_GB2312" w:hint="eastAsia"/>
          <w:bCs/>
          <w:sz w:val="32"/>
          <w:szCs w:val="32"/>
          <w:shd w:val="clear" w:color="auto" w:fill="FFFFFF"/>
          <w:lang w:val="en-US" w:eastAsia="zh-CN"/>
        </w:rPr>
      </w:pPr>
      <w:r>
        <w:rPr>
          <w:rFonts w:ascii="仿宋_GB2312" w:eastAsia="仿宋_GB2312" w:cs="仿宋_GB2312" w:hint="eastAsia"/>
          <w:bCs/>
          <w:sz w:val="32"/>
          <w:szCs w:val="32"/>
          <w:shd w:val="clear" w:color="auto" w:fill="FFFFFF"/>
          <w:lang w:eastAsia="zh-CN"/>
        </w:rPr>
        <w:t>按照金川县财政局金财监绩</w:t>
      </w:r>
      <w:r>
        <w:rPr>
          <w:rFonts w:ascii="仿宋_GB2312" w:eastAsia="仿宋_GB2312" w:cs="仿宋_GB2312" w:hint="eastAsia"/>
          <w:color w:val="000000"/>
          <w:kern w:val="0"/>
          <w:sz w:val="32"/>
          <w:szCs w:val="32"/>
          <w:lang w:val="en-US" w:eastAsia="zh-CN"/>
        </w:rPr>
        <w:t>金财监绩〔2023〕32号文件《金川县财政局关于开展2023年部门、政策和项目支出绩效评价工作组的通知》开展了政协金川县委员会办公室整体绩效支出自评工作，现将自评情况汇报于后：</w:t>
      </w:r>
    </w:p>
    <w:p>
      <w:pPr>
        <w:ind w:left="0" w:firstLineChars="200" w:firstLine="640"/>
        <w:jc w:val="both"/>
        <w:rPr>
          <w:rFonts w:ascii="仿宋_GB2312" w:eastAsia="仿宋_GB2312" w:cs="仿宋_GB2312" w:hint="eastAsia"/>
          <w:b/>
          <w:bCs w:val="0"/>
          <w:color w:val="000000"/>
          <w:kern w:val="0"/>
          <w:sz w:val="32"/>
          <w:szCs w:val="32"/>
          <w:lang w:val="en-US" w:eastAsia="zh-CN"/>
        </w:rPr>
      </w:pPr>
      <w:r>
        <w:rPr>
          <w:rFonts w:ascii="仿宋_GB2312" w:eastAsia="仿宋_GB2312" w:cs="仿宋_GB2312" w:hint="eastAsia"/>
          <w:b/>
          <w:bCs w:val="0"/>
          <w:sz w:val="32"/>
          <w:szCs w:val="32"/>
          <w:shd w:val="clear" w:color="auto" w:fill="FFFFFF"/>
          <w:lang w:val="en-US" w:eastAsia="zh-CN"/>
        </w:rPr>
        <w:t>一、政协金川县委员会办公室概况</w:t>
      </w:r>
    </w:p>
    <w:p>
      <w:pPr>
        <w:ind w:left="0" w:firstLineChars="100" w:firstLine="320"/>
        <w:jc w:val="both"/>
        <w:rPr>
          <w:rFonts w:ascii="仿宋_GB2312" w:eastAsia="仿宋_GB2312" w:cs="仿宋_GB2312" w:hint="eastAsia"/>
          <w:color w:val="000000"/>
          <w:kern w:val="0"/>
          <w:sz w:val="32"/>
          <w:szCs w:val="32"/>
          <w:lang w:val="en-US" w:eastAsia="zh-CN"/>
        </w:rPr>
      </w:pPr>
      <w:r>
        <w:rPr>
          <w:rFonts w:ascii="仿宋_GB2312" w:eastAsia="仿宋_GB2312" w:cs="仿宋_GB2312" w:hint="eastAsia"/>
          <w:bCs/>
          <w:sz w:val="32"/>
          <w:szCs w:val="32"/>
          <w:shd w:val="clear" w:color="auto" w:fill="FFFFFF"/>
          <w:lang w:val="en-US" w:eastAsia="zh-CN"/>
        </w:rPr>
        <w:t>（一）机构组成：</w:t>
      </w:r>
      <w:r>
        <w:rPr>
          <w:rFonts w:ascii="仿宋_GB2312" w:eastAsia="仿宋_GB2312" w:cs="仿宋_GB2312" w:hint="eastAsia"/>
          <w:color w:val="000000"/>
          <w:kern w:val="0"/>
          <w:sz w:val="32"/>
          <w:szCs w:val="32"/>
          <w:lang w:val="en-US" w:eastAsia="zh-CN"/>
        </w:rPr>
        <w:t>我单位只有1个核算机构,内设以下机构</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color w:val="000000"/>
          <w:kern w:val="0"/>
          <w:sz w:val="32"/>
          <w:szCs w:val="32"/>
          <w:lang w:val="zh-CN" w:eastAsia="zh-CN"/>
        </w:rPr>
      </w:pPr>
      <w:r>
        <w:rPr>
          <w:rFonts w:ascii="仿宋_GB2312" w:eastAsia="仿宋_GB2312" w:cs="仿宋_GB2312" w:hint="eastAsia"/>
          <w:color w:val="000000"/>
          <w:kern w:val="0"/>
          <w:sz w:val="32"/>
          <w:szCs w:val="32"/>
          <w:lang w:val="zh-CN" w:eastAsia="zh-CN"/>
        </w:rPr>
        <w:t>1.政协办公室。（下设收发室、财务室、信息中心）</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color w:val="000000"/>
          <w:kern w:val="0"/>
          <w:sz w:val="32"/>
          <w:szCs w:val="32"/>
          <w:lang w:val="zh-CN" w:eastAsia="zh-CN"/>
        </w:rPr>
      </w:pPr>
      <w:r>
        <w:rPr>
          <w:rFonts w:ascii="仿宋_GB2312" w:eastAsia="仿宋_GB2312" w:cs="仿宋_GB2312" w:hint="eastAsia"/>
          <w:color w:val="000000"/>
          <w:kern w:val="0"/>
          <w:sz w:val="32"/>
          <w:szCs w:val="32"/>
          <w:lang w:val="zh-CN" w:eastAsia="zh-CN"/>
        </w:rPr>
        <w:t>2.政协提案群团委。</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color w:val="000000"/>
          <w:kern w:val="0"/>
          <w:sz w:val="32"/>
          <w:szCs w:val="32"/>
          <w:lang w:val="zh-CN" w:eastAsia="zh-CN"/>
        </w:rPr>
      </w:pPr>
      <w:r>
        <w:rPr>
          <w:rFonts w:ascii="仿宋_GB2312" w:eastAsia="仿宋_GB2312" w:cs="仿宋_GB2312" w:hint="eastAsia"/>
          <w:color w:val="000000"/>
          <w:kern w:val="0"/>
          <w:sz w:val="32"/>
          <w:szCs w:val="32"/>
          <w:lang w:val="zh-CN" w:eastAsia="zh-CN"/>
        </w:rPr>
        <w:t>3.政协民族宗教法制委。</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color w:val="000000"/>
          <w:kern w:val="0"/>
          <w:sz w:val="32"/>
          <w:szCs w:val="32"/>
          <w:lang w:val="zh-CN" w:eastAsia="zh-CN"/>
        </w:rPr>
      </w:pPr>
      <w:r>
        <w:rPr>
          <w:rFonts w:ascii="仿宋_GB2312" w:eastAsia="仿宋_GB2312" w:cs="仿宋_GB2312" w:hint="eastAsia"/>
          <w:color w:val="000000"/>
          <w:kern w:val="0"/>
          <w:sz w:val="32"/>
          <w:szCs w:val="32"/>
          <w:lang w:val="zh-CN" w:eastAsia="zh-CN"/>
        </w:rPr>
        <w:t>4.政协经济科技委。</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color w:val="000000"/>
          <w:kern w:val="0"/>
          <w:sz w:val="32"/>
          <w:szCs w:val="32"/>
          <w:lang w:val="zh-CN" w:eastAsia="zh-CN"/>
        </w:rPr>
      </w:pPr>
      <w:r>
        <w:rPr>
          <w:rFonts w:ascii="仿宋_GB2312" w:eastAsia="仿宋_GB2312" w:cs="仿宋_GB2312" w:hint="eastAsia"/>
          <w:color w:val="000000"/>
          <w:kern w:val="0"/>
          <w:sz w:val="32"/>
          <w:szCs w:val="32"/>
          <w:lang w:val="zh-CN" w:eastAsia="zh-CN"/>
        </w:rPr>
        <w:t>5.政协文教卫史委。</w:t>
      </w:r>
    </w:p>
    <w:p>
      <w:pPr>
        <w:jc w:val="both"/>
        <w:rPr>
          <w:rFonts w:ascii="仿宋_GB2312" w:eastAsia="仿宋_GB2312" w:cs="仿宋_GB2312" w:hint="eastAsia"/>
          <w:bCs/>
          <w:sz w:val="32"/>
          <w:szCs w:val="32"/>
          <w:shd w:val="clear" w:color="auto" w:fill="FFFFFF"/>
          <w:lang w:val="en-US" w:eastAsia="zh-CN"/>
        </w:rPr>
      </w:pPr>
      <w:r>
        <w:rPr>
          <w:rFonts w:ascii="仿宋_GB2312" w:eastAsia="仿宋_GB2312" w:cs="仿宋_GB2312" w:hint="eastAsia"/>
          <w:bCs/>
          <w:sz w:val="32"/>
          <w:szCs w:val="32"/>
          <w:shd w:val="clear" w:color="auto" w:fill="FFFFFF"/>
          <w:lang w:val="en-US" w:eastAsia="zh-CN"/>
        </w:rPr>
        <w:t xml:space="preserve">  （二）机构职能：</w:t>
      </w:r>
    </w:p>
    <w:p>
      <w:pPr>
        <w:keepNext w:val="0"/>
        <w:keepLines w:val="0"/>
        <w:pageBreakBefore w:val="0"/>
        <w:widowControl/>
        <w:kinsoku/>
        <w:wordWrap/>
        <w:overflowPunct/>
        <w:topLinePunct w:val="0"/>
        <w:autoSpaceDE/>
        <w:autoSpaceDN/>
        <w:bidi w:val="0"/>
        <w:adjustRightInd/>
        <w:snapToGrid/>
        <w:spacing w:line="540" w:lineRule="exact"/>
        <w:ind w:firstLineChars="200" w:firstLine="640"/>
        <w:contextualSpacing/>
        <w:jc w:val="left"/>
        <w:textAlignment w:val="auto"/>
        <w:rPr>
          <w:rFonts w:ascii="仿宋_GB2312" w:eastAsia="仿宋_GB2312" w:cs="仿宋_GB2312" w:hint="eastAsia"/>
          <w:color w:val="000000"/>
          <w:kern w:val="0"/>
          <w:sz w:val="32"/>
          <w:szCs w:val="32"/>
          <w:lang w:val="zh-CN" w:eastAsia="zh-CN"/>
        </w:rPr>
      </w:pPr>
      <w:r>
        <w:rPr>
          <w:rFonts w:ascii="仿宋_GB2312" w:eastAsia="仿宋_GB2312" w:cs="仿宋_GB2312" w:hint="eastAsia"/>
          <w:color w:val="000000"/>
          <w:kern w:val="0"/>
          <w:sz w:val="32"/>
          <w:szCs w:val="32"/>
          <w:lang w:val="zh-CN" w:eastAsia="zh-CN"/>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参政议政是对政治、经济、文化和社会生活中的重要问题以及人民群众普遍关心的问题，开展调查研究，反映社情民意，进行协商讨论。通过调研报告、提案、建议案或其他形式，向中国共产党和国家机关提出意见和建议。</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zh-CN" w:eastAsia="zh-CN"/>
        </w:rPr>
        <w:t>（三）人员概况：</w:t>
      </w:r>
      <w:r>
        <w:rPr>
          <w:rFonts w:ascii="仿宋_GB2312" w:eastAsia="仿宋_GB2312" w:cs="仿宋_GB2312" w:hint="eastAsia"/>
          <w:color w:val="000000"/>
          <w:kern w:val="0"/>
          <w:sz w:val="32"/>
          <w:szCs w:val="32"/>
          <w:lang w:val="en-US" w:eastAsia="zh-CN"/>
        </w:rPr>
        <w:t>2022年末，政协办公室共有39人，遗属7人。政协办公室共有编制21人，其中：行政编制16人，工勤编制3人，事业编制2人。</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b/>
          <w:bCs/>
          <w:color w:val="000000"/>
          <w:kern w:val="0"/>
          <w:sz w:val="32"/>
          <w:szCs w:val="32"/>
          <w:lang w:val="en-US" w:eastAsia="zh-CN"/>
        </w:rPr>
      </w:pPr>
      <w:r>
        <w:rPr>
          <w:rFonts w:ascii="仿宋_GB2312" w:eastAsia="仿宋_GB2312" w:cs="仿宋_GB2312" w:hint="eastAsia"/>
          <w:b/>
          <w:bCs/>
          <w:color w:val="000000"/>
          <w:kern w:val="0"/>
          <w:sz w:val="32"/>
          <w:szCs w:val="32"/>
          <w:lang w:val="en-US" w:eastAsia="zh-CN"/>
        </w:rPr>
        <w:t>二、政协金川县委员会办公室财政资金收支情况</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b w:val="0"/>
          <w:bCs w:val="0"/>
          <w:color w:val="000000"/>
          <w:kern w:val="0"/>
          <w:sz w:val="32"/>
          <w:szCs w:val="32"/>
          <w:lang w:val="en-US" w:eastAsia="zh-CN"/>
        </w:rPr>
      </w:pPr>
      <w:r>
        <w:rPr>
          <w:rFonts w:ascii="仿宋_GB2312" w:eastAsia="仿宋_GB2312" w:cs="仿宋_GB2312" w:hint="eastAsia"/>
          <w:b w:val="0"/>
          <w:bCs w:val="0"/>
          <w:color w:val="000000"/>
          <w:kern w:val="0"/>
          <w:sz w:val="32"/>
          <w:szCs w:val="32"/>
          <w:lang w:val="en-US" w:eastAsia="zh-CN"/>
        </w:rPr>
        <w:t>（一）部门财政资金收入情况</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b w:val="0"/>
          <w:bCs w:val="0"/>
          <w:color w:val="000000"/>
          <w:kern w:val="0"/>
          <w:sz w:val="32"/>
          <w:szCs w:val="32"/>
          <w:lang w:val="zh-CN" w:eastAsia="zh-CN"/>
        </w:rPr>
      </w:pPr>
      <w:r>
        <w:rPr>
          <w:rFonts w:ascii="仿宋_GB2312" w:eastAsia="仿宋_GB2312" w:cs="仿宋_GB2312" w:hint="eastAsia"/>
          <w:b w:val="0"/>
          <w:bCs w:val="0"/>
          <w:color w:val="000000"/>
          <w:kern w:val="0"/>
          <w:sz w:val="32"/>
          <w:szCs w:val="32"/>
          <w:lang w:val="zh-CN" w:eastAsia="zh-CN"/>
        </w:rPr>
        <w:t>202</w:t>
      </w:r>
      <w:r>
        <w:rPr>
          <w:rFonts w:ascii="仿宋_GB2312" w:eastAsia="仿宋_GB2312" w:cs="仿宋_GB2312" w:hint="eastAsia"/>
          <w:b w:val="0"/>
          <w:bCs w:val="0"/>
          <w:color w:val="000000"/>
          <w:kern w:val="0"/>
          <w:sz w:val="32"/>
          <w:szCs w:val="32"/>
          <w:lang w:val="en-US" w:eastAsia="zh-CN"/>
        </w:rPr>
        <w:t>2</w:t>
      </w:r>
      <w:r>
        <w:rPr>
          <w:rFonts w:ascii="仿宋_GB2312" w:eastAsia="仿宋_GB2312" w:cs="仿宋_GB2312" w:hint="eastAsia"/>
          <w:b w:val="0"/>
          <w:bCs w:val="0"/>
          <w:color w:val="000000"/>
          <w:kern w:val="0"/>
          <w:sz w:val="32"/>
          <w:szCs w:val="32"/>
          <w:lang w:val="zh-CN" w:eastAsia="zh-CN"/>
        </w:rPr>
        <w:t>年县政协办本年收入合计</w:t>
      </w:r>
      <w:r>
        <w:rPr>
          <w:rFonts w:ascii="仿宋_GB2312" w:eastAsia="仿宋_GB2312" w:cs="仿宋_GB2312" w:hint="eastAsia"/>
          <w:b w:val="0"/>
          <w:bCs w:val="0"/>
          <w:color w:val="000000"/>
          <w:kern w:val="0"/>
          <w:sz w:val="32"/>
          <w:szCs w:val="32"/>
          <w:lang w:val="en-US" w:eastAsia="zh-CN"/>
        </w:rPr>
        <w:t>1214.52</w:t>
      </w:r>
      <w:r>
        <w:rPr>
          <w:rFonts w:ascii="仿宋_GB2312" w:eastAsia="仿宋_GB2312" w:cs="仿宋_GB2312" w:hint="eastAsia"/>
          <w:b w:val="0"/>
          <w:bCs w:val="0"/>
          <w:color w:val="000000"/>
          <w:kern w:val="0"/>
          <w:sz w:val="32"/>
          <w:szCs w:val="32"/>
          <w:lang w:val="zh-CN" w:eastAsia="zh-CN"/>
        </w:rPr>
        <w:t>万元。一般公共预算财政拨款收入</w:t>
      </w:r>
      <w:r>
        <w:rPr>
          <w:rFonts w:ascii="仿宋_GB2312" w:eastAsia="仿宋_GB2312" w:cs="仿宋_GB2312" w:hint="eastAsia"/>
          <w:b w:val="0"/>
          <w:bCs w:val="0"/>
          <w:color w:val="000000"/>
          <w:kern w:val="0"/>
          <w:sz w:val="32"/>
          <w:szCs w:val="32"/>
          <w:lang w:val="en-US" w:eastAsia="zh-CN"/>
        </w:rPr>
        <w:t>1241.52</w:t>
      </w:r>
      <w:r>
        <w:rPr>
          <w:rFonts w:ascii="仿宋_GB2312" w:eastAsia="仿宋_GB2312" w:cs="仿宋_GB2312" w:hint="eastAsia"/>
          <w:b w:val="0"/>
          <w:bCs w:val="0"/>
          <w:color w:val="000000"/>
          <w:kern w:val="0"/>
          <w:sz w:val="32"/>
          <w:szCs w:val="32"/>
          <w:lang w:val="zh-CN" w:eastAsia="zh-CN"/>
        </w:rPr>
        <w:t>万元,年初结转和结余0万元。</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b w:val="0"/>
          <w:bCs w:val="0"/>
          <w:color w:val="000000"/>
          <w:kern w:val="0"/>
          <w:sz w:val="32"/>
          <w:szCs w:val="32"/>
          <w:lang w:val="en-US" w:eastAsia="zh-CN"/>
        </w:rPr>
      </w:pPr>
      <w:r>
        <w:rPr>
          <w:rFonts w:ascii="仿宋_GB2312" w:eastAsia="仿宋_GB2312" w:cs="仿宋_GB2312" w:hint="eastAsia"/>
          <w:b w:val="0"/>
          <w:bCs w:val="0"/>
          <w:color w:val="000000"/>
          <w:kern w:val="0"/>
          <w:sz w:val="32"/>
          <w:szCs w:val="32"/>
          <w:lang w:val="en-US" w:eastAsia="zh-CN"/>
        </w:rPr>
        <w:t>（二）部门财政资金支出情况</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b w:val="0"/>
          <w:bCs w:val="0"/>
          <w:color w:val="000000"/>
          <w:kern w:val="0"/>
          <w:sz w:val="32"/>
          <w:szCs w:val="32"/>
          <w:lang w:val="en-US" w:eastAsia="zh-CN"/>
        </w:rPr>
      </w:pPr>
      <w:r>
        <w:rPr>
          <w:rFonts w:ascii="仿宋_GB2312" w:eastAsia="仿宋_GB2312" w:cs="仿宋_GB2312" w:hint="eastAsia"/>
          <w:b w:val="0"/>
          <w:bCs w:val="0"/>
          <w:color w:val="000000"/>
          <w:kern w:val="0"/>
          <w:sz w:val="32"/>
          <w:szCs w:val="32"/>
          <w:lang w:val="zh-CN" w:eastAsia="zh-CN"/>
        </w:rPr>
        <w:t>202</w:t>
      </w:r>
      <w:r>
        <w:rPr>
          <w:rFonts w:ascii="仿宋_GB2312" w:eastAsia="仿宋_GB2312" w:cs="仿宋_GB2312" w:hint="eastAsia"/>
          <w:b w:val="0"/>
          <w:bCs w:val="0"/>
          <w:color w:val="000000"/>
          <w:kern w:val="0"/>
          <w:sz w:val="32"/>
          <w:szCs w:val="32"/>
          <w:lang w:val="en-US" w:eastAsia="zh-CN"/>
        </w:rPr>
        <w:t>2</w:t>
      </w:r>
      <w:r>
        <w:rPr>
          <w:rFonts w:ascii="仿宋_GB2312" w:eastAsia="仿宋_GB2312" w:cs="仿宋_GB2312" w:hint="eastAsia"/>
          <w:b w:val="0"/>
          <w:bCs w:val="0"/>
          <w:color w:val="000000"/>
          <w:kern w:val="0"/>
          <w:sz w:val="32"/>
          <w:szCs w:val="32"/>
          <w:lang w:val="zh-CN" w:eastAsia="zh-CN"/>
        </w:rPr>
        <w:t>年县政协办一般公共服务支出</w:t>
      </w:r>
      <w:r>
        <w:rPr>
          <w:rFonts w:ascii="仿宋_GB2312" w:eastAsia="仿宋_GB2312" w:cs="仿宋_GB2312" w:hint="eastAsia"/>
          <w:b w:val="0"/>
          <w:bCs w:val="0"/>
          <w:color w:val="000000"/>
          <w:kern w:val="0"/>
          <w:sz w:val="32"/>
          <w:szCs w:val="32"/>
          <w:lang w:val="en-US" w:eastAsia="zh-CN"/>
        </w:rPr>
        <w:t>993.57</w:t>
      </w:r>
      <w:r>
        <w:rPr>
          <w:rFonts w:ascii="仿宋_GB2312" w:eastAsia="仿宋_GB2312" w:cs="仿宋_GB2312" w:hint="eastAsia"/>
          <w:b w:val="0"/>
          <w:bCs w:val="0"/>
          <w:color w:val="000000"/>
          <w:kern w:val="0"/>
          <w:sz w:val="32"/>
          <w:szCs w:val="32"/>
          <w:lang w:val="zh-CN" w:eastAsia="zh-CN"/>
        </w:rPr>
        <w:t>万元；社会保障和就业支出</w:t>
      </w:r>
      <w:r>
        <w:rPr>
          <w:rFonts w:ascii="仿宋_GB2312" w:eastAsia="仿宋_GB2312" w:cs="仿宋_GB2312" w:hint="eastAsia"/>
          <w:b w:val="0"/>
          <w:bCs w:val="0"/>
          <w:color w:val="000000"/>
          <w:kern w:val="0"/>
          <w:sz w:val="32"/>
          <w:szCs w:val="32"/>
          <w:lang w:val="en-US" w:eastAsia="zh-CN"/>
        </w:rPr>
        <w:t>122.98万元；卫生健康支出52.72万元；住房保障支出72.24万元。</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color w:val="000000"/>
          <w:kern w:val="0"/>
          <w:sz w:val="32"/>
          <w:szCs w:val="32"/>
          <w:lang w:val="zh-CN" w:eastAsia="zh-CN"/>
        </w:rPr>
      </w:pPr>
      <w:r>
        <w:rPr>
          <w:rFonts w:ascii="仿宋_GB2312" w:eastAsia="仿宋_GB2312" w:cs="仿宋_GB2312" w:hint="eastAsia"/>
          <w:color w:val="000000"/>
          <w:kern w:val="0"/>
          <w:sz w:val="32"/>
          <w:szCs w:val="32"/>
          <w:lang w:val="en-US" w:eastAsia="zh-CN"/>
        </w:rPr>
        <w:t>1.</w:t>
      </w:r>
      <w:r>
        <w:rPr>
          <w:rFonts w:ascii="仿宋_GB2312" w:eastAsia="仿宋_GB2312" w:cs="仿宋_GB2312" w:hint="eastAsia"/>
          <w:color w:val="000000"/>
          <w:kern w:val="0"/>
          <w:sz w:val="32"/>
          <w:szCs w:val="32"/>
          <w:lang w:val="zh-CN" w:eastAsia="zh-CN"/>
        </w:rPr>
        <w:t>金川县政协办公室202</w:t>
      </w: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lang w:val="zh-CN" w:eastAsia="zh-CN"/>
        </w:rPr>
        <w:t>年财政拨款基本支出</w:t>
      </w:r>
      <w:r>
        <w:rPr>
          <w:rFonts w:ascii="仿宋_GB2312" w:eastAsia="仿宋_GB2312" w:cs="仿宋_GB2312" w:hint="eastAsia"/>
          <w:color w:val="000000"/>
          <w:kern w:val="0"/>
          <w:sz w:val="32"/>
          <w:szCs w:val="32"/>
          <w:lang w:val="en-US" w:eastAsia="zh-CN"/>
        </w:rPr>
        <w:t>1092.49</w:t>
      </w:r>
      <w:r>
        <w:rPr>
          <w:rFonts w:ascii="仿宋_GB2312" w:eastAsia="仿宋_GB2312" w:cs="仿宋_GB2312" w:hint="eastAsia"/>
          <w:color w:val="000000"/>
          <w:kern w:val="0"/>
          <w:sz w:val="32"/>
          <w:szCs w:val="32"/>
          <w:lang w:val="zh-CN" w:eastAsia="zh-CN"/>
        </w:rPr>
        <w:t>万元，其中：</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color w:val="000000"/>
          <w:kern w:val="0"/>
          <w:sz w:val="32"/>
          <w:szCs w:val="32"/>
          <w:lang w:val="zh-CN" w:eastAsia="zh-CN"/>
        </w:rPr>
      </w:pPr>
      <w:r>
        <w:rPr>
          <w:rFonts w:ascii="仿宋_GB2312" w:eastAsia="仿宋_GB2312" w:cs="仿宋_GB2312" w:hint="eastAsia"/>
          <w:b w:val="0"/>
          <w:bCs w:val="0"/>
          <w:color w:val="000000"/>
          <w:kern w:val="0"/>
          <w:sz w:val="32"/>
          <w:szCs w:val="32"/>
          <w:lang w:val="zh-CN" w:eastAsia="zh-CN"/>
        </w:rPr>
        <w:t>人员经费</w:t>
      </w:r>
      <w:r>
        <w:rPr>
          <w:rFonts w:ascii="仿宋_GB2312" w:eastAsia="仿宋_GB2312" w:cs="仿宋_GB2312" w:hint="eastAsia"/>
          <w:b w:val="0"/>
          <w:bCs w:val="0"/>
          <w:color w:val="000000"/>
          <w:kern w:val="0"/>
          <w:sz w:val="32"/>
          <w:szCs w:val="32"/>
          <w:lang w:val="en-US" w:eastAsia="zh-CN"/>
        </w:rPr>
        <w:t>1074.82</w:t>
      </w:r>
      <w:r>
        <w:rPr>
          <w:rFonts w:ascii="仿宋_GB2312" w:eastAsia="仿宋_GB2312" w:cs="仿宋_GB2312" w:hint="eastAsia"/>
          <w:b w:val="0"/>
          <w:bCs w:val="0"/>
          <w:color w:val="000000"/>
          <w:kern w:val="0"/>
          <w:sz w:val="32"/>
          <w:szCs w:val="32"/>
          <w:lang w:val="zh-CN" w:eastAsia="zh-CN"/>
        </w:rPr>
        <w:t>万元。</w:t>
      </w:r>
      <w:r>
        <w:rPr>
          <w:rFonts w:ascii="仿宋_GB2312" w:eastAsia="仿宋_GB2312" w:cs="仿宋_GB2312" w:hint="eastAsia"/>
          <w:color w:val="000000"/>
          <w:kern w:val="0"/>
          <w:sz w:val="32"/>
          <w:szCs w:val="32"/>
          <w:lang w:val="zh-CN" w:eastAsia="zh-CN"/>
        </w:rPr>
        <w:t>主要包括基本工资</w:t>
      </w:r>
      <w:r>
        <w:rPr>
          <w:rFonts w:ascii="仿宋_GB2312" w:eastAsia="仿宋_GB2312" w:cs="仿宋_GB2312" w:hint="eastAsia"/>
          <w:color w:val="000000"/>
          <w:kern w:val="0"/>
          <w:sz w:val="32"/>
          <w:szCs w:val="32"/>
          <w:lang w:val="en-US" w:eastAsia="zh-CN"/>
        </w:rPr>
        <w:t>231.52</w:t>
      </w:r>
      <w:r>
        <w:rPr>
          <w:rFonts w:ascii="仿宋_GB2312" w:eastAsia="仿宋_GB2312" w:cs="仿宋_GB2312" w:hint="eastAsia"/>
          <w:color w:val="000000"/>
          <w:kern w:val="0"/>
          <w:sz w:val="32"/>
          <w:szCs w:val="32"/>
          <w:lang w:val="zh-CN" w:eastAsia="zh-CN"/>
        </w:rPr>
        <w:t>万元；津贴补贴</w:t>
      </w:r>
      <w:r>
        <w:rPr>
          <w:rFonts w:ascii="仿宋_GB2312" w:eastAsia="仿宋_GB2312" w:cs="仿宋_GB2312" w:hint="eastAsia"/>
          <w:color w:val="000000"/>
          <w:kern w:val="0"/>
          <w:sz w:val="32"/>
          <w:szCs w:val="32"/>
          <w:lang w:val="en-US" w:eastAsia="zh-CN"/>
        </w:rPr>
        <w:t>212.97</w:t>
      </w:r>
      <w:r>
        <w:rPr>
          <w:rFonts w:ascii="仿宋_GB2312" w:eastAsia="仿宋_GB2312" w:cs="仿宋_GB2312" w:hint="eastAsia"/>
          <w:color w:val="000000"/>
          <w:kern w:val="0"/>
          <w:sz w:val="32"/>
          <w:szCs w:val="32"/>
          <w:lang w:val="zh-CN" w:eastAsia="zh-CN"/>
        </w:rPr>
        <w:t>万元；奖金</w:t>
      </w:r>
      <w:r>
        <w:rPr>
          <w:rFonts w:ascii="仿宋_GB2312" w:eastAsia="仿宋_GB2312" w:cs="仿宋_GB2312" w:hint="eastAsia"/>
          <w:color w:val="000000"/>
          <w:kern w:val="0"/>
          <w:sz w:val="32"/>
          <w:szCs w:val="32"/>
          <w:lang w:val="en-US" w:eastAsia="zh-CN"/>
        </w:rPr>
        <w:t>164.35</w:t>
      </w:r>
      <w:r>
        <w:rPr>
          <w:rFonts w:ascii="仿宋_GB2312" w:eastAsia="仿宋_GB2312" w:cs="仿宋_GB2312" w:hint="eastAsia"/>
          <w:color w:val="000000"/>
          <w:kern w:val="0"/>
          <w:sz w:val="32"/>
          <w:szCs w:val="32"/>
          <w:lang w:val="zh-CN" w:eastAsia="zh-CN"/>
        </w:rPr>
        <w:t>万元；绩效工资</w:t>
      </w:r>
      <w:r>
        <w:rPr>
          <w:rFonts w:ascii="仿宋_GB2312" w:eastAsia="仿宋_GB2312" w:cs="仿宋_GB2312" w:hint="eastAsia"/>
          <w:color w:val="000000"/>
          <w:kern w:val="0"/>
          <w:sz w:val="32"/>
          <w:szCs w:val="32"/>
          <w:lang w:val="en-US" w:eastAsia="zh-CN"/>
        </w:rPr>
        <w:t>2.87万元；</w:t>
      </w:r>
      <w:r>
        <w:rPr>
          <w:rFonts w:ascii="仿宋_GB2312" w:eastAsia="仿宋_GB2312" w:cs="仿宋_GB2312" w:hint="eastAsia"/>
          <w:color w:val="000000"/>
          <w:kern w:val="0"/>
          <w:sz w:val="32"/>
          <w:szCs w:val="32"/>
          <w:lang w:val="zh-CN" w:eastAsia="zh-CN"/>
        </w:rPr>
        <w:t>机关事业单位基本养老保险费</w:t>
      </w:r>
      <w:r>
        <w:rPr>
          <w:rFonts w:ascii="仿宋_GB2312" w:eastAsia="仿宋_GB2312" w:cs="仿宋_GB2312" w:hint="eastAsia"/>
          <w:color w:val="000000"/>
          <w:kern w:val="0"/>
          <w:sz w:val="32"/>
          <w:szCs w:val="32"/>
          <w:lang w:val="en-US" w:eastAsia="zh-CN"/>
        </w:rPr>
        <w:t>81.99</w:t>
      </w:r>
      <w:r>
        <w:rPr>
          <w:rFonts w:ascii="仿宋_GB2312" w:eastAsia="仿宋_GB2312" w:cs="仿宋_GB2312" w:hint="eastAsia"/>
          <w:color w:val="000000"/>
          <w:kern w:val="0"/>
          <w:sz w:val="32"/>
          <w:szCs w:val="32"/>
          <w:lang w:val="zh-CN" w:eastAsia="zh-CN"/>
        </w:rPr>
        <w:t>万元；机关事业单位职业年金</w:t>
      </w:r>
      <w:r>
        <w:rPr>
          <w:rFonts w:ascii="仿宋_GB2312" w:eastAsia="仿宋_GB2312" w:cs="仿宋_GB2312" w:hint="eastAsia"/>
          <w:color w:val="000000"/>
          <w:kern w:val="0"/>
          <w:sz w:val="32"/>
          <w:szCs w:val="32"/>
          <w:lang w:val="en-US" w:eastAsia="zh-CN"/>
        </w:rPr>
        <w:t>40.99</w:t>
      </w:r>
      <w:r>
        <w:rPr>
          <w:rFonts w:ascii="仿宋_GB2312" w:eastAsia="仿宋_GB2312" w:cs="仿宋_GB2312" w:hint="eastAsia"/>
          <w:color w:val="000000"/>
          <w:kern w:val="0"/>
          <w:sz w:val="32"/>
          <w:szCs w:val="32"/>
          <w:lang w:val="zh-CN" w:eastAsia="zh-CN"/>
        </w:rPr>
        <w:t>万元；职工基本医疗保险</w:t>
      </w:r>
      <w:r>
        <w:rPr>
          <w:rFonts w:ascii="仿宋_GB2312" w:eastAsia="仿宋_GB2312" w:cs="仿宋_GB2312" w:hint="eastAsia"/>
          <w:color w:val="000000"/>
          <w:kern w:val="0"/>
          <w:sz w:val="32"/>
          <w:szCs w:val="32"/>
          <w:lang w:val="en-US" w:eastAsia="zh-CN"/>
        </w:rPr>
        <w:t>39.01万元；公务员医疗补助13.52万元；其他社会保障缴费7.97万元，住房公积金72.24万元；离休费20.06万元；抚恤金43.25万元；生活补助42.32万元；奖励金101.76万元</w:t>
      </w:r>
      <w:r>
        <w:rPr>
          <w:rFonts w:ascii="仿宋_GB2312" w:eastAsia="仿宋_GB2312" w:cs="仿宋_GB2312" w:hint="eastAsia"/>
          <w:color w:val="000000"/>
          <w:kern w:val="0"/>
          <w:sz w:val="32"/>
          <w:szCs w:val="32"/>
          <w:lang w:val="zh-CN" w:eastAsia="zh-CN"/>
        </w:rPr>
        <w:t>）</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zh-CN" w:eastAsia="zh-CN"/>
        </w:rPr>
        <w:t>公用经费</w:t>
      </w:r>
      <w:r>
        <w:rPr>
          <w:rFonts w:ascii="仿宋_GB2312" w:eastAsia="仿宋_GB2312" w:cs="仿宋_GB2312" w:hint="eastAsia"/>
          <w:color w:val="000000"/>
          <w:kern w:val="0"/>
          <w:sz w:val="32"/>
          <w:szCs w:val="32"/>
          <w14:textFill>
            <w14:solidFill>
              <w14:srgbClr w14:val="000000"/>
            </w14:solidFill>
          </w14:textFill>
          <w:lang w:val="en-US" w:eastAsia="zh-CN"/>
        </w:rPr>
        <w:t>17.67</w:t>
      </w:r>
      <w:r>
        <w:rPr>
          <w:rFonts w:ascii="仿宋_GB2312" w:eastAsia="仿宋_GB2312" w:cs="仿宋_GB2312" w:hint="eastAsia"/>
          <w:color w:val="000000"/>
          <w:kern w:val="0"/>
          <w:sz w:val="32"/>
          <w:szCs w:val="32"/>
          <w:lang w:val="zh-CN" w:eastAsia="zh-CN"/>
        </w:rPr>
        <w:t>万元。主要包括办公费</w:t>
      </w:r>
      <w:r>
        <w:rPr>
          <w:rFonts w:ascii="仿宋_GB2312" w:eastAsia="仿宋_GB2312" w:cs="仿宋_GB2312" w:hint="eastAsia"/>
          <w:color w:val="000000"/>
          <w:kern w:val="0"/>
          <w:sz w:val="32"/>
          <w:szCs w:val="32"/>
          <w:lang w:val="en-US" w:eastAsia="zh-CN"/>
        </w:rPr>
        <w:t>1.54</w:t>
      </w:r>
      <w:r>
        <w:rPr>
          <w:rFonts w:ascii="仿宋_GB2312" w:eastAsia="仿宋_GB2312" w:cs="仿宋_GB2312" w:hint="eastAsia"/>
          <w:color w:val="000000"/>
          <w:kern w:val="0"/>
          <w:sz w:val="32"/>
          <w:szCs w:val="32"/>
          <w:lang w:val="zh-CN" w:eastAsia="zh-CN"/>
        </w:rPr>
        <w:t>万元；电费</w:t>
      </w:r>
      <w:r>
        <w:rPr>
          <w:rFonts w:ascii="仿宋_GB2312" w:eastAsia="仿宋_GB2312" w:cs="仿宋_GB2312" w:hint="eastAsia"/>
          <w:color w:val="000000"/>
          <w:kern w:val="0"/>
          <w:sz w:val="32"/>
          <w:szCs w:val="32"/>
          <w:lang w:val="en-US" w:eastAsia="zh-CN"/>
        </w:rPr>
        <w:t>2万元；邮电费1万元；物业管理费0.96万元；差旅费3.97万元；公务用车运行维护费8.2万元。</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zh-CN" w:eastAsia="zh-CN"/>
        </w:rPr>
      </w:pP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lang w:val="zh-CN" w:eastAsia="zh-CN"/>
        </w:rPr>
        <w:t>金川县政协办公室202</w:t>
      </w:r>
      <w:r>
        <w:rPr>
          <w:rFonts w:ascii="仿宋_GB2312" w:eastAsia="仿宋_GB2312" w:cs="仿宋_GB2312" w:hint="eastAsia"/>
          <w:color w:val="000000"/>
          <w:kern w:val="0"/>
          <w:sz w:val="32"/>
          <w:szCs w:val="32"/>
          <w:lang w:val="en-US" w:eastAsia="zh-CN"/>
        </w:rPr>
        <w:t>2</w:t>
      </w:r>
      <w:r>
        <w:rPr>
          <w:rFonts w:ascii="仿宋_GB2312" w:eastAsia="仿宋_GB2312" w:cs="仿宋_GB2312" w:hint="eastAsia"/>
          <w:color w:val="000000"/>
          <w:kern w:val="0"/>
          <w:sz w:val="32"/>
          <w:szCs w:val="32"/>
          <w:lang w:val="zh-CN" w:eastAsia="zh-CN"/>
        </w:rPr>
        <w:t>年财政拨款项目支出</w:t>
      </w:r>
      <w:r>
        <w:rPr>
          <w:rFonts w:ascii="仿宋_GB2312" w:eastAsia="仿宋_GB2312" w:cs="仿宋_GB2312" w:hint="eastAsia"/>
          <w:color w:val="000000"/>
          <w:kern w:val="0"/>
          <w:sz w:val="32"/>
          <w:szCs w:val="32"/>
          <w:lang w:val="en-US" w:eastAsia="zh-CN"/>
        </w:rPr>
        <w:t>149.03</w:t>
      </w:r>
      <w:r>
        <w:rPr>
          <w:rFonts w:ascii="仿宋_GB2312" w:eastAsia="仿宋_GB2312" w:cs="仿宋_GB2312" w:hint="eastAsia"/>
          <w:color w:val="000000"/>
          <w:kern w:val="0"/>
          <w:sz w:val="32"/>
          <w:szCs w:val="32"/>
          <w:lang w:val="zh-CN" w:eastAsia="zh-CN"/>
        </w:rPr>
        <w:t>万元，其中：</w:t>
      </w:r>
    </w:p>
    <w:p>
      <w:pPr>
        <w:keepNext w:val="0"/>
        <w:keepLines w:val="0"/>
        <w:pageBreakBefore w:val="0"/>
        <w:widowControl/>
        <w:kinsoku/>
        <w:wordWrap/>
        <w:overflowPunct/>
        <w:topLinePunct w:val="0"/>
        <w:autoSpaceDE/>
        <w:autoSpaceDN/>
        <w:bidi w:val="0"/>
        <w:spacing w:line="540" w:lineRule="exact"/>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 xml:space="preserve">   （1）政协会议费33.38万元。主要包括政协常委会经费3.3万元；政协第十四届一次会议经费30.08万元。</w:t>
      </w:r>
    </w:p>
    <w:p>
      <w:pPr>
        <w:keepNext w:val="0"/>
        <w:keepLines w:val="0"/>
        <w:pageBreakBefore w:val="0"/>
        <w:widowControl/>
        <w:kinsoku/>
        <w:wordWrap/>
        <w:overflowPunct/>
        <w:topLinePunct w:val="0"/>
        <w:autoSpaceDE/>
        <w:autoSpaceDN/>
        <w:bidi w:val="0"/>
        <w:spacing w:line="540" w:lineRule="exact"/>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 xml:space="preserve">   （2）委员视察经费6.75万元。主要包括印刷费2万元；差旅费3万元；会议费1.75万元。</w:t>
      </w:r>
    </w:p>
    <w:p>
      <w:pPr>
        <w:keepNext w:val="0"/>
        <w:keepLines w:val="0"/>
        <w:pageBreakBefore w:val="0"/>
        <w:widowControl/>
        <w:kinsoku/>
        <w:wordWrap/>
        <w:overflowPunct/>
        <w:topLinePunct w:val="0"/>
        <w:autoSpaceDE/>
        <w:autoSpaceDN/>
        <w:bidi w:val="0"/>
        <w:spacing w:line="540" w:lineRule="exact"/>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 xml:space="preserve">   （3）一般行政管理事务108.9万元。主要包括办公费12.3万元；印刷费14.32万元；水费0.28万元；邮电费18.99万元；差旅费31.25万元；会议费7.68万元，劳务费3.48万元；委托业务费4.5万元；公务用车运行费12万元；其他交通费用4.1万元。</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b w:val="0"/>
          <w:bCs w:val="0"/>
          <w:color w:val="000000"/>
          <w:kern w:val="0"/>
          <w:sz w:val="32"/>
          <w:szCs w:val="32"/>
          <w:lang w:val="zh-CN" w:eastAsia="zh-CN"/>
        </w:rPr>
      </w:pPr>
      <w:r>
        <w:rPr>
          <w:rFonts w:ascii="仿宋_GB2312" w:eastAsia="仿宋_GB2312" w:cs="仿宋_GB2312" w:hint="eastAsia"/>
          <w:b w:val="0"/>
          <w:bCs w:val="0"/>
          <w:color w:val="000000"/>
          <w:kern w:val="0"/>
          <w:sz w:val="32"/>
          <w:szCs w:val="32"/>
          <w:lang w:val="zh-CN" w:eastAsia="zh-CN"/>
        </w:rPr>
        <w:t>202</w:t>
      </w:r>
      <w:r>
        <w:rPr>
          <w:rFonts w:ascii="仿宋_GB2312" w:eastAsia="仿宋_GB2312" w:cs="仿宋_GB2312" w:hint="eastAsia"/>
          <w:b w:val="0"/>
          <w:bCs w:val="0"/>
          <w:color w:val="000000"/>
          <w:kern w:val="0"/>
          <w:sz w:val="32"/>
          <w:szCs w:val="32"/>
          <w:lang w:val="en-US" w:eastAsia="zh-CN"/>
        </w:rPr>
        <w:t>2</w:t>
      </w:r>
      <w:r>
        <w:rPr>
          <w:rFonts w:ascii="仿宋_GB2312" w:eastAsia="仿宋_GB2312" w:cs="仿宋_GB2312" w:hint="eastAsia"/>
          <w:b w:val="0"/>
          <w:bCs w:val="0"/>
          <w:color w:val="000000"/>
          <w:kern w:val="0"/>
          <w:sz w:val="32"/>
          <w:szCs w:val="32"/>
          <w:lang w:val="zh-CN" w:eastAsia="zh-CN"/>
        </w:rPr>
        <w:t>年县政协办</w:t>
      </w:r>
      <w:r>
        <w:rPr>
          <w:rFonts w:ascii="仿宋_GB2312" w:eastAsia="仿宋_GB2312" w:cs="仿宋_GB2312" w:hint="eastAsia"/>
          <w:color w:val="000000"/>
          <w:kern w:val="0"/>
          <w:sz w:val="32"/>
          <w:szCs w:val="32"/>
          <w:lang w:val="en-US" w:eastAsia="zh-CN"/>
        </w:rPr>
        <w:t>经济分类支出合计</w:t>
      </w:r>
      <w:r>
        <w:rPr>
          <w:rFonts w:ascii="仿宋_GB2312" w:eastAsia="仿宋_GB2312" w:cs="仿宋_GB2312" w:hint="eastAsia"/>
          <w:b w:val="0"/>
          <w:bCs w:val="0"/>
          <w:color w:val="000000"/>
          <w:kern w:val="0"/>
          <w:sz w:val="32"/>
          <w:szCs w:val="32"/>
          <w:lang w:val="en-US" w:eastAsia="zh-CN"/>
        </w:rPr>
        <w:t>1214.52</w:t>
      </w:r>
      <w:r>
        <w:rPr>
          <w:rFonts w:ascii="仿宋_GB2312" w:eastAsia="仿宋_GB2312" w:cs="仿宋_GB2312" w:hint="eastAsia"/>
          <w:b w:val="0"/>
          <w:bCs w:val="0"/>
          <w:color w:val="000000"/>
          <w:kern w:val="0"/>
          <w:sz w:val="32"/>
          <w:szCs w:val="32"/>
          <w:lang w:val="zh-CN" w:eastAsia="zh-CN"/>
        </w:rPr>
        <w:t>万元。其中：</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b w:val="0"/>
          <w:bCs w:val="0"/>
          <w:color w:val="000000"/>
          <w:kern w:val="0"/>
          <w:sz w:val="32"/>
          <w:szCs w:val="32"/>
          <w:lang w:val="zh-CN" w:eastAsia="zh-CN"/>
        </w:rPr>
        <w:t>（</w:t>
      </w:r>
      <w:r>
        <w:rPr>
          <w:rFonts w:ascii="仿宋_GB2312" w:eastAsia="仿宋_GB2312" w:cs="仿宋_GB2312" w:hint="eastAsia"/>
          <w:b w:val="0"/>
          <w:bCs w:val="0"/>
          <w:color w:val="000000"/>
          <w:kern w:val="0"/>
          <w:sz w:val="32"/>
          <w:szCs w:val="32"/>
          <w:lang w:val="en-US" w:eastAsia="zh-CN"/>
        </w:rPr>
        <w:t>1</w:t>
      </w:r>
      <w:r>
        <w:rPr>
          <w:rFonts w:ascii="仿宋_GB2312" w:eastAsia="仿宋_GB2312" w:cs="仿宋_GB2312" w:hint="eastAsia"/>
          <w:b w:val="0"/>
          <w:bCs w:val="0"/>
          <w:color w:val="000000"/>
          <w:kern w:val="0"/>
          <w:sz w:val="32"/>
          <w:szCs w:val="32"/>
          <w:lang w:val="zh-CN" w:eastAsia="zh-CN"/>
        </w:rPr>
        <w:t>）工</w:t>
      </w:r>
      <w:r>
        <w:rPr>
          <w:rFonts w:ascii="仿宋_GB2312" w:eastAsia="仿宋_GB2312" w:cs="仿宋_GB2312" w:hint="eastAsia"/>
          <w:color w:val="000000"/>
          <w:kern w:val="0"/>
          <w:sz w:val="32"/>
          <w:szCs w:val="32"/>
          <w:lang w:val="zh-CN" w:eastAsia="zh-CN"/>
        </w:rPr>
        <w:t>资福利支出</w:t>
      </w:r>
      <w:r>
        <w:rPr>
          <w:rFonts w:ascii="仿宋_GB2312" w:eastAsia="仿宋_GB2312" w:cs="仿宋_GB2312" w:hint="eastAsia"/>
          <w:color w:val="000000"/>
          <w:kern w:val="0"/>
          <w:sz w:val="32"/>
          <w:szCs w:val="32"/>
          <w:lang w:val="en-US" w:eastAsia="zh-CN"/>
        </w:rPr>
        <w:t>867.43万元。</w:t>
      </w:r>
      <w:r>
        <w:rPr>
          <w:rFonts w:ascii="仿宋_GB2312" w:eastAsia="仿宋_GB2312" w:cs="仿宋_GB2312" w:hint="eastAsia"/>
          <w:color w:val="000000"/>
          <w:kern w:val="0"/>
          <w:sz w:val="32"/>
          <w:szCs w:val="32"/>
          <w:lang w:val="zh-CN" w:eastAsia="zh-CN"/>
        </w:rPr>
        <w:t>主要包括基本工资</w:t>
      </w:r>
      <w:r>
        <w:rPr>
          <w:rFonts w:ascii="仿宋_GB2312" w:eastAsia="仿宋_GB2312" w:cs="仿宋_GB2312" w:hint="eastAsia"/>
          <w:color w:val="000000"/>
          <w:kern w:val="0"/>
          <w:sz w:val="32"/>
          <w:szCs w:val="32"/>
          <w:lang w:val="en-US" w:eastAsia="zh-CN"/>
        </w:rPr>
        <w:t>231.52</w:t>
      </w:r>
      <w:r>
        <w:rPr>
          <w:rFonts w:ascii="仿宋_GB2312" w:eastAsia="仿宋_GB2312" w:cs="仿宋_GB2312" w:hint="eastAsia"/>
          <w:color w:val="000000"/>
          <w:kern w:val="0"/>
          <w:sz w:val="32"/>
          <w:szCs w:val="32"/>
          <w:lang w:val="zh-CN" w:eastAsia="zh-CN"/>
        </w:rPr>
        <w:t>万元；津贴补贴</w:t>
      </w:r>
      <w:r>
        <w:rPr>
          <w:rFonts w:ascii="仿宋_GB2312" w:eastAsia="仿宋_GB2312" w:cs="仿宋_GB2312" w:hint="eastAsia"/>
          <w:color w:val="000000"/>
          <w:kern w:val="0"/>
          <w:sz w:val="32"/>
          <w:szCs w:val="32"/>
          <w:lang w:val="en-US" w:eastAsia="zh-CN"/>
        </w:rPr>
        <w:t>212.97</w:t>
      </w:r>
      <w:r>
        <w:rPr>
          <w:rFonts w:ascii="仿宋_GB2312" w:eastAsia="仿宋_GB2312" w:cs="仿宋_GB2312" w:hint="eastAsia"/>
          <w:color w:val="000000"/>
          <w:kern w:val="0"/>
          <w:sz w:val="32"/>
          <w:szCs w:val="32"/>
          <w:lang w:val="zh-CN" w:eastAsia="zh-CN"/>
        </w:rPr>
        <w:t>万元；奖金</w:t>
      </w:r>
      <w:r>
        <w:rPr>
          <w:rFonts w:ascii="仿宋_GB2312" w:eastAsia="仿宋_GB2312" w:cs="仿宋_GB2312" w:hint="eastAsia"/>
          <w:color w:val="000000"/>
          <w:kern w:val="0"/>
          <w:sz w:val="32"/>
          <w:szCs w:val="32"/>
          <w:lang w:val="en-US" w:eastAsia="zh-CN"/>
        </w:rPr>
        <w:t>164.35</w:t>
      </w:r>
      <w:r>
        <w:rPr>
          <w:rFonts w:ascii="仿宋_GB2312" w:eastAsia="仿宋_GB2312" w:cs="仿宋_GB2312" w:hint="eastAsia"/>
          <w:color w:val="000000"/>
          <w:kern w:val="0"/>
          <w:sz w:val="32"/>
          <w:szCs w:val="32"/>
          <w:lang w:val="zh-CN" w:eastAsia="zh-CN"/>
        </w:rPr>
        <w:t>万元；绩效工资</w:t>
      </w:r>
      <w:r>
        <w:rPr>
          <w:rFonts w:ascii="仿宋_GB2312" w:eastAsia="仿宋_GB2312" w:cs="仿宋_GB2312" w:hint="eastAsia"/>
          <w:color w:val="000000"/>
          <w:kern w:val="0"/>
          <w:sz w:val="32"/>
          <w:szCs w:val="32"/>
          <w:lang w:val="en-US" w:eastAsia="zh-CN"/>
        </w:rPr>
        <w:t>2.87万元；</w:t>
      </w:r>
      <w:r>
        <w:rPr>
          <w:rFonts w:ascii="仿宋_GB2312" w:eastAsia="仿宋_GB2312" w:cs="仿宋_GB2312" w:hint="eastAsia"/>
          <w:color w:val="000000"/>
          <w:kern w:val="0"/>
          <w:sz w:val="32"/>
          <w:szCs w:val="32"/>
          <w:lang w:val="zh-CN" w:eastAsia="zh-CN"/>
        </w:rPr>
        <w:t>机关事业单位基本养老保险费</w:t>
      </w:r>
      <w:r>
        <w:rPr>
          <w:rFonts w:ascii="仿宋_GB2312" w:eastAsia="仿宋_GB2312" w:cs="仿宋_GB2312" w:hint="eastAsia"/>
          <w:color w:val="000000"/>
          <w:kern w:val="0"/>
          <w:sz w:val="32"/>
          <w:szCs w:val="32"/>
          <w:lang w:val="en-US" w:eastAsia="zh-CN"/>
        </w:rPr>
        <w:t>81.99</w:t>
      </w:r>
      <w:r>
        <w:rPr>
          <w:rFonts w:ascii="仿宋_GB2312" w:eastAsia="仿宋_GB2312" w:cs="仿宋_GB2312" w:hint="eastAsia"/>
          <w:color w:val="000000"/>
          <w:kern w:val="0"/>
          <w:sz w:val="32"/>
          <w:szCs w:val="32"/>
          <w:lang w:val="zh-CN" w:eastAsia="zh-CN"/>
        </w:rPr>
        <w:t>万元；机关事业单位职业年金</w:t>
      </w:r>
      <w:r>
        <w:rPr>
          <w:rFonts w:ascii="仿宋_GB2312" w:eastAsia="仿宋_GB2312" w:cs="仿宋_GB2312" w:hint="eastAsia"/>
          <w:color w:val="000000"/>
          <w:kern w:val="0"/>
          <w:sz w:val="32"/>
          <w:szCs w:val="32"/>
          <w:lang w:val="en-US" w:eastAsia="zh-CN"/>
        </w:rPr>
        <w:t>40.99</w:t>
      </w:r>
      <w:r>
        <w:rPr>
          <w:rFonts w:ascii="仿宋_GB2312" w:eastAsia="仿宋_GB2312" w:cs="仿宋_GB2312" w:hint="eastAsia"/>
          <w:color w:val="000000"/>
          <w:kern w:val="0"/>
          <w:sz w:val="32"/>
          <w:szCs w:val="32"/>
          <w:lang w:val="zh-CN" w:eastAsia="zh-CN"/>
        </w:rPr>
        <w:t>万元；职工基本医疗保险</w:t>
      </w:r>
      <w:r>
        <w:rPr>
          <w:rFonts w:ascii="仿宋_GB2312" w:eastAsia="仿宋_GB2312" w:cs="仿宋_GB2312" w:hint="eastAsia"/>
          <w:color w:val="000000"/>
          <w:kern w:val="0"/>
          <w:sz w:val="32"/>
          <w:szCs w:val="32"/>
          <w:lang w:val="en-US" w:eastAsia="zh-CN"/>
        </w:rPr>
        <w:t>39.01万元；公务员医疗补助13.52万元；其他社会保障缴费7.97万元，住房公积金72.24万元。</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b w:val="0"/>
          <w:bCs w:val="0"/>
          <w:color w:val="000000"/>
          <w:kern w:val="0"/>
          <w:sz w:val="32"/>
          <w:szCs w:val="32"/>
          <w:lang w:val="en-US" w:eastAsia="zh-CN"/>
        </w:rPr>
        <w:t>（2）商品和服务支出166.7万元。</w:t>
      </w:r>
      <w:r>
        <w:rPr>
          <w:rFonts w:ascii="仿宋_GB2312" w:eastAsia="仿宋_GB2312" w:cs="仿宋_GB2312" w:hint="eastAsia"/>
          <w:color w:val="000000"/>
          <w:kern w:val="0"/>
          <w:sz w:val="32"/>
          <w:szCs w:val="32"/>
          <w:lang w:val="zh-CN" w:eastAsia="zh-CN"/>
        </w:rPr>
        <w:t>主要包括办公费</w:t>
      </w:r>
      <w:r>
        <w:rPr>
          <w:rFonts w:ascii="仿宋_GB2312" w:eastAsia="仿宋_GB2312" w:cs="仿宋_GB2312" w:hint="eastAsia"/>
          <w:color w:val="000000"/>
          <w:kern w:val="0"/>
          <w:sz w:val="32"/>
          <w:szCs w:val="32"/>
          <w:lang w:val="en-US" w:eastAsia="zh-CN"/>
        </w:rPr>
        <w:t>13.84</w:t>
      </w:r>
      <w:r>
        <w:rPr>
          <w:rFonts w:ascii="仿宋_GB2312" w:eastAsia="仿宋_GB2312" w:cs="仿宋_GB2312" w:hint="eastAsia"/>
          <w:color w:val="000000"/>
          <w:kern w:val="0"/>
          <w:sz w:val="32"/>
          <w:szCs w:val="32"/>
          <w:lang w:val="zh-CN" w:eastAsia="zh-CN"/>
        </w:rPr>
        <w:t>万元；电费</w:t>
      </w:r>
      <w:r>
        <w:rPr>
          <w:rFonts w:ascii="仿宋_GB2312" w:eastAsia="仿宋_GB2312" w:cs="仿宋_GB2312" w:hint="eastAsia"/>
          <w:color w:val="000000"/>
          <w:kern w:val="0"/>
          <w:sz w:val="32"/>
          <w:szCs w:val="32"/>
          <w:lang w:val="en-US" w:eastAsia="zh-CN"/>
        </w:rPr>
        <w:t>2万元；邮电费19.99万元；物业管理费0.96万元；差旅费38.22万元；公务用车运行维护费20.2万元；会议费42.81万元；印刷费16.32万元；水费0.28万元；劳务费3.48万元；委托业务费4.5万元；其他交通费用4.1万元。</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b w:val="0"/>
          <w:bCs w:val="0"/>
          <w:color w:val="000000"/>
          <w:kern w:val="0"/>
          <w:sz w:val="32"/>
          <w:szCs w:val="32"/>
          <w:lang w:val="en-US" w:eastAsia="zh-CN"/>
        </w:rPr>
        <w:t>（3）对个人和家庭的补助支出207.39万元。主要包括</w:t>
      </w:r>
      <w:r>
        <w:rPr>
          <w:rFonts w:ascii="仿宋_GB2312" w:eastAsia="仿宋_GB2312" w:cs="仿宋_GB2312" w:hint="eastAsia"/>
          <w:color w:val="000000"/>
          <w:kern w:val="0"/>
          <w:sz w:val="32"/>
          <w:szCs w:val="32"/>
          <w:lang w:val="en-US" w:eastAsia="zh-CN"/>
        </w:rPr>
        <w:t>离休费20.06万元；抚恤金43.25万元；生活补助42.32万元；奖励金101.76万元。</w:t>
      </w:r>
    </w:p>
    <w:p>
      <w:pPr>
        <w:keepNext w:val="0"/>
        <w:keepLines w:val="0"/>
        <w:pageBreakBefore w:val="0"/>
        <w:widowControl/>
        <w:kinsoku/>
        <w:wordWrap/>
        <w:overflowPunct/>
        <w:topLinePunct w:val="0"/>
        <w:autoSpaceDE/>
        <w:autoSpaceDN/>
        <w:bidi w:val="0"/>
        <w:spacing w:line="540" w:lineRule="exact"/>
        <w:ind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三、</w:t>
      </w:r>
      <w:r>
        <w:rPr>
          <w:rFonts w:ascii="仿宋_GB2312" w:eastAsia="仿宋_GB2312" w:cs="仿宋_GB2312" w:hint="eastAsia"/>
          <w:b/>
          <w:bCs/>
          <w:color w:val="000000"/>
          <w:kern w:val="0"/>
          <w:sz w:val="32"/>
          <w:szCs w:val="32"/>
          <w:lang w:val="en-US" w:eastAsia="zh-CN"/>
        </w:rPr>
        <w:t>政协金川县委员会办公室预算绩效管理情况</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（一）预算编制情况。</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按照综合预算的编制原则，保证预算编制质量，政协金川县委员会办公室所有收入和支出均纳入财政预算管理，公用经费按人员数进行编制，其它经费严格按照有关预算法执行。</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14:textFill>
            <w14:solidFill>
              <w14:srgbClr w14:val="000000"/>
            </w14:solidFill>
          </w14:textFill>
          <w:lang w:val="en-US" w:eastAsia="zh-CN"/>
        </w:rPr>
      </w:pPr>
      <w:r>
        <w:rPr>
          <w:rFonts w:ascii="仿宋_GB2312" w:eastAsia="仿宋_GB2312" w:cs="仿宋_GB2312" w:hint="eastAsia"/>
          <w:color w:val="000000"/>
          <w:kern w:val="0"/>
          <w:sz w:val="32"/>
          <w:szCs w:val="32"/>
          <w:lang w:val="en-US" w:eastAsia="zh-CN"/>
        </w:rPr>
        <w:t>1.2022年预算按三定方案编制数计算公用经费。编制数21人，</w:t>
      </w:r>
      <w:r>
        <w:rPr>
          <w:rFonts w:ascii="仿宋_GB2312" w:eastAsia="仿宋_GB2312" w:cs="仿宋_GB2312" w:hint="eastAsia"/>
          <w:color w:val="000000"/>
          <w:kern w:val="0"/>
          <w:sz w:val="32"/>
          <w:szCs w:val="32"/>
          <w14:textFill>
            <w14:solidFill>
              <w14:srgbClr w14:val="000000"/>
            </w14:solidFill>
          </w14:textFill>
          <w:lang w:val="en-US" w:eastAsia="zh-CN"/>
        </w:rPr>
        <w:t>2022年公用经费18.06万元（编制方法：事业编制9600元/年/人*2＝19200元，行政编制12000元/年/人*16＝192000元；行政工勤编制10000元/年/人*3＝36000元）；项目支出10.05万元（为政协委员视察经费6.75万元；政协常委会经费3.3万元。）</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14:textFill>
            <w14:solidFill>
              <w14:srgbClr w14:val="000000"/>
            </w14:solidFill>
          </w14:textFill>
          <w:lang w:val="en-US" w:eastAsia="zh-CN"/>
        </w:rPr>
      </w:pPr>
      <w:r>
        <w:rPr>
          <w:rFonts w:ascii="仿宋_GB2312" w:eastAsia="仿宋_GB2312" w:cs="仿宋_GB2312" w:hint="eastAsia"/>
          <w:color w:val="000000"/>
          <w:kern w:val="0"/>
          <w:sz w:val="32"/>
          <w:szCs w:val="32"/>
          <w14:textFill>
            <w14:solidFill>
              <w14:srgbClr w14:val="000000"/>
            </w14:solidFill>
          </w14:textFill>
          <w:lang w:val="en-US" w:eastAsia="zh-CN"/>
        </w:rPr>
        <w:t>2.2022年预算人员经费按在职工作人员39人2021年11月份工资计算养老保险、职业年金、医疗保险、残疾人保障金、其他社会保险缴费等。</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（二）执行管理情况。</w:t>
        <w:tab/>
      </w:r>
    </w:p>
    <w:p>
      <w:pPr>
        <w:spacing w:line="560" w:lineRule="exact"/>
        <w:ind w:firstLineChars="200" w:firstLine="640"/>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1.预算执行情况：所有预算严格按照预算法执行，政协金川县委员会办公室由于工作人员多，按照政协章程外出考察交流学习多，调研任务重，存在预算下达后增加公用经费。年初预算和当年决算数相比人员经费和公用经费没有达到只减不增要求，预算经费中人员经费是按月拨付，公用经费在预算指标内按需求拨付。</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2.中期评估:根据《</w:t>
      </w:r>
      <w:r>
        <w:rPr>
          <w:rFonts w:ascii="仿宋_GB2312" w:eastAsia="仿宋_GB2312" w:cs="仿宋_GB2312"/>
          <w:color w:val="000000"/>
          <w:kern w:val="0"/>
          <w:sz w:val="32"/>
          <w:szCs w:val="32"/>
          <w:lang w:val="en-US" w:eastAsia="zh-CN"/>
        </w:rPr>
        <w:t>中华人民共和国</w:t>
      </w:r>
      <w:r>
        <w:rPr>
          <w:rFonts w:ascii="仿宋_GB2312" w:eastAsia="仿宋_GB2312" w:cs="仿宋_GB2312" w:hint="eastAsia"/>
          <w:color w:val="000000"/>
          <w:kern w:val="0"/>
          <w:sz w:val="32"/>
          <w:szCs w:val="32"/>
          <w:lang w:val="en-US" w:eastAsia="zh-CN"/>
        </w:rPr>
        <w:t>预算法》以及部门预算编制重点，结合本单位工作实际，编制本单位三年流动财政规划报表。</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2020年编制2020年—2022年三年滚动财政规划表。</w:t>
      </w:r>
    </w:p>
    <w:p>
      <w:pPr>
        <w:spacing w:line="560" w:lineRule="exact"/>
        <w:ind w:firstLineChars="200" w:firstLine="640"/>
        <w:rPr>
          <w:rFonts w:ascii="仿宋_GB2312" w:eastAsia="仿宋_GB2312" w:cs="仿宋_GB2312" w:hint="eastAsia"/>
          <w:b w:val="0"/>
          <w:color w:val="000000"/>
          <w:sz w:val="32"/>
          <w:szCs w:val="32"/>
        </w:rPr>
      </w:pPr>
      <w:r>
        <w:rPr>
          <w:rFonts w:ascii="仿宋_GB2312" w:eastAsia="仿宋_GB2312" w:cs="仿宋_GB2312" w:hint="eastAsia"/>
          <w:color w:val="000000"/>
          <w:kern w:val="0"/>
          <w:sz w:val="32"/>
          <w:szCs w:val="32"/>
          <w:lang w:val="en-US" w:eastAsia="zh-CN"/>
        </w:rPr>
        <w:t>3.节能降耗方面：水电油2020年、2021年预算数不相符，决算数比预算数大，因为我办由于脱贫工作任务重，突发性工作较多，调研任务重年初预算和当年决算数相比没有达到只减不增要求。</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4.三公经费预算执行情况;</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（1）2022年“三公”经费:2022年公务接待费支出0万元，2022年公务用车运行维护费20.</w:t>
      </w:r>
      <w:r>
        <w:rPr>
          <w:rFonts w:ascii="仿宋_GB2312" w:eastAsia="仿宋_GB2312" w:cs="仿宋_GB2312"/>
          <w:color w:val="000000"/>
          <w:kern w:val="0"/>
          <w:sz w:val="32"/>
          <w:szCs w:val="32"/>
          <w:lang w:eastAsia="zh-CN"/>
        </w:rPr>
        <w:t>19</w:t>
      </w:r>
      <w:r>
        <w:rPr>
          <w:rFonts w:ascii="仿宋_GB2312" w:eastAsia="仿宋_GB2312" w:cs="仿宋_GB2312" w:hint="eastAsia"/>
          <w:color w:val="000000"/>
          <w:kern w:val="0"/>
          <w:sz w:val="32"/>
          <w:szCs w:val="32"/>
          <w:lang w:val="en-US" w:eastAsia="zh-CN"/>
        </w:rPr>
        <w:t>万元，2022年因公出国出境0万元。</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（2）2022年“三公”经费与2021年相比 :2021年与2022年务接待、因公出国出境都没有经费发生。2022年与2021年公务用车运行费相比增加了2.</w:t>
      </w:r>
      <w:r>
        <w:rPr>
          <w:rFonts w:ascii="仿宋_GB2312" w:eastAsia="仿宋_GB2312" w:cs="仿宋_GB2312"/>
          <w:color w:val="000000"/>
          <w:kern w:val="0"/>
          <w:sz w:val="32"/>
          <w:szCs w:val="32"/>
          <w:lang w:eastAsia="zh-CN"/>
        </w:rPr>
        <w:t>19</w:t>
      </w:r>
      <w:r>
        <w:rPr>
          <w:rFonts w:ascii="仿宋_GB2312" w:eastAsia="仿宋_GB2312" w:cs="仿宋_GB2312" w:hint="eastAsia"/>
          <w:color w:val="000000"/>
          <w:kern w:val="0"/>
          <w:sz w:val="32"/>
          <w:szCs w:val="32"/>
          <w:lang w:val="en-US" w:eastAsia="zh-CN"/>
        </w:rPr>
        <w:t>万元，主要是原因2022年油价上升。</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（三）综合管理情况。</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1.基础管理情况</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我单位制定了《政协金川县委员会办公室财务管理制度》、主要内容为财务室及账务人员职责，包括分管财务负责人职责、会计人员职责、出纳及审核人员职责、经费开支及记账报销，制定的各项制度得到较好执行。</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2.政府债务情况</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2022年度我单位政府债务合计0万元。</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3.非税收入执行情况</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 xml:space="preserve">2022年度我单位非税收入合计0元，上缴财政0万元。 </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4.政府采购实施计划</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进行政府采购的资产严格按采购程序采购并登记入账，零星采购严格按固定资产管理办法进行登记入账。</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5.资产管理情况</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我单位已将国有资产纳入资产信息系统管理，并落实专人负责管理维护系统，资产变动已及时把资产变动情况录入系统。系统金额与会计账目金额一致。</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 xml:space="preserve"> 6.信息公开情况</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政协金川县委员会办公室2022年的预、决算编制说明、“三公”经费预、决算情况，按县财政要求由县财政统一在政府网站上公开。</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（四）整体绩效 </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我单位对本部门实施了整体支出绩效评价，按照要求向金川县财政局按时报送自评报告，财政资金支出主要用于保障本部门机构正常运转、更好完成各项日常工作。</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（五）绩效管理工作开展情况 </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根据金财监绩〔2023〕32号文件2023年县级部门整体支出绩效评价指标体系要求，我单位对财政资金使用管理情况，按照《金川县财政局关于开展2023年部门、政策和项目支出绩效评价工作组的通知》认真开展自评工作，撰写部门自评报告。 </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四、评价结论及建议</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（一）评价结论。</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按金财监绩〔2023〕32号文件附件3部门支出绩效评价指标体系进行单位自评，圆满完成绩效自评工作，圆满完成中央、省、州委和县的重要工作、目标任务。</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（二）存在问题。</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综合政协办公室的实际情况，收发文件、传递文件还不够及时；财务工作还不够细致；资产管理和公务用车、后勤保障和节能工作力度还应加强；财务管理制度有待加强。</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（三）改进建议。</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1.严格按照《</w:t>
      </w:r>
      <w:r>
        <w:rPr>
          <w:rFonts w:ascii="仿宋_GB2312" w:eastAsia="仿宋_GB2312" w:cs="仿宋_GB2312"/>
          <w:color w:val="000000"/>
          <w:kern w:val="0"/>
          <w:sz w:val="32"/>
          <w:szCs w:val="32"/>
          <w:lang w:val="en-US" w:eastAsia="zh-CN"/>
        </w:rPr>
        <w:t>中华人民共和国</w:t>
      </w:r>
      <w:bookmarkStart w:id="111" w:name="_GoBack"/>
      <w:bookmarkEnd w:id="111"/>
      <w:r>
        <w:rPr>
          <w:rFonts w:ascii="仿宋_GB2312" w:eastAsia="仿宋_GB2312" w:cs="仿宋_GB2312" w:hint="eastAsia"/>
          <w:color w:val="000000"/>
          <w:kern w:val="0"/>
          <w:sz w:val="32"/>
          <w:szCs w:val="32"/>
          <w:lang w:val="en-US" w:eastAsia="zh-CN"/>
        </w:rPr>
        <w:t>会计法》、《行政单位会计制度》、《行政单位财务规则》等规定执行财务核算，并结合实际情况，完整、准确地披露相关信息，尽可能地做到决算与预算相衔接。</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 xml:space="preserve">2.进一步加强内部控制，加强内部管理；注重资金管理的事前、事中、事后的全过程监督，加强资金使用效率。 </w:t>
      </w:r>
    </w:p>
    <w:p>
      <w:pPr>
        <w:keepNext w:val="0"/>
        <w:keepLines w:val="0"/>
        <w:pageBreakBefore w:val="0"/>
        <w:widowControl/>
        <w:kinsoku/>
        <w:wordWrap/>
        <w:overflowPunct/>
        <w:topLinePunct w:val="0"/>
        <w:autoSpaceDE/>
        <w:autoSpaceDN/>
        <w:bidi w:val="0"/>
        <w:spacing w:line="540" w:lineRule="exact"/>
        <w:ind w:left="0" w:firstLineChars="200" w:firstLine="640"/>
        <w:contextualSpacing/>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3.加强会计核算和财务管理能力，请财政局多指导我们部门的工作，不规范的收支请及给我们指出，及时与财政局相关科室对接工作，提升工作效率。</w:t>
      </w:r>
    </w:p>
    <w:p>
      <w:pPr>
        <w:tabs>
          <w:tab w:val="left" w:pos="0"/>
        </w:tabs>
        <w:rPr>
          <w:rStyle w:val="1Char"/>
          <w:rFonts w:ascii="仿宋_GB2312" w:eastAsia="仿宋_GB2312" w:cs="仿宋_GB2312" w:hint="eastAsia"/>
          <w:b/>
          <w:bCs w:val="0"/>
          <w:sz w:val="32"/>
          <w:szCs w:val="32"/>
          <w:lang w:val="en-US" w:eastAsia="zh-CN"/>
        </w:rPr>
      </w:pPr>
    </w:p>
    <w:p>
      <w:pPr>
        <w:tabs>
          <w:tab w:val="left" w:pos="0"/>
        </w:tabs>
        <w:rPr>
          <w:rStyle w:val="1Char"/>
          <w:rFonts w:ascii="仿宋_GB2312" w:eastAsia="仿宋_GB2312" w:cs="仿宋_GB2312" w:hint="eastAsia"/>
          <w:b/>
          <w:bCs w:val="0"/>
          <w:sz w:val="32"/>
          <w:szCs w:val="32"/>
          <w:lang w:val="en-US" w:eastAsia="zh-CN"/>
        </w:rPr>
      </w:pPr>
    </w:p>
    <w:p>
      <w:pPr>
        <w:pStyle w:val="15"/>
        <w:rPr>
          <w:rStyle w:val="1Char"/>
          <w:rFonts w:ascii="仿宋_GB2312" w:eastAsia="仿宋_GB2312" w:cs="仿宋_GB2312" w:hint="eastAsia"/>
          <w:b/>
          <w:bCs w:val="0"/>
          <w:sz w:val="32"/>
          <w:szCs w:val="32"/>
          <w:lang w:val="en-US" w:eastAsia="zh-CN"/>
        </w:rPr>
      </w:pPr>
    </w:p>
    <w:p>
      <w:pPr>
        <w:pStyle w:val="15"/>
        <w:rPr>
          <w:rStyle w:val="1Char"/>
          <w:rFonts w:ascii="仿宋_GB2312" w:eastAsia="仿宋_GB2312" w:cs="仿宋_GB2312" w:hint="eastAsia"/>
          <w:b/>
          <w:bCs w:val="0"/>
          <w:sz w:val="32"/>
          <w:szCs w:val="32"/>
          <w:lang w:val="en-US" w:eastAsia="zh-CN"/>
        </w:rPr>
      </w:pPr>
    </w:p>
    <w:p>
      <w:pPr>
        <w:numPr>
          <w:ilvl w:val="0"/>
          <w:numId w:val="5"/>
        </w:numPr>
        <w:tabs>
          <w:tab w:val="left" w:pos="0"/>
        </w:tabs>
        <w:ind w:left="1985" w:firstLine="0"/>
        <w:rPr>
          <w:rStyle w:val="1Char"/>
          <w:rFonts w:ascii="仿宋_GB2312" w:eastAsia="仿宋_GB2312" w:cs="仿宋_GB2312" w:hint="eastAsia"/>
          <w:b/>
          <w:bCs w:val="0"/>
          <w:lang w:val="en-US" w:eastAsia="zh-CN"/>
        </w:rPr>
      </w:pPr>
      <w:bookmarkStart w:id="112" w:name="_Toc1420136434"/>
      <w:r>
        <w:rPr>
          <w:rStyle w:val="1Char"/>
          <w:rFonts w:ascii="仿宋_GB2312" w:eastAsia="仿宋_GB2312" w:cs="仿宋_GB2312" w:hint="eastAsia"/>
          <w:b/>
          <w:bCs w:val="0"/>
          <w:lang w:val="en-US" w:eastAsia="zh-CN"/>
        </w:rPr>
        <w:t>附表</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3" w:name="_Toc26843626"/>
      <w:bookmarkStart w:id="114" w:name="_Toc1296732526"/>
      <w:bookmarkEnd w:id="112"/>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113"/>
      <w:bookmarkEnd w:id="114"/>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5" w:name="_Toc15396620"/>
      <w:bookmarkStart w:id="116" w:name="_Toc26843627"/>
      <w:bookmarkStart w:id="117" w:name="_Toc108677947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115"/>
      <w:bookmarkEnd w:id="116"/>
      <w:bookmarkEnd w:id="11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18" w:name="_Toc15396621"/>
      <w:bookmarkStart w:id="119" w:name="_Toc26843628"/>
      <w:bookmarkStart w:id="120" w:name="_Toc697379384"/>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118"/>
      <w:bookmarkEnd w:id="119"/>
      <w:bookmarkEnd w:id="120"/>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121" w:name="_Toc15396622"/>
      <w:bookmarkStart w:id="122" w:name="_Toc26843629"/>
      <w:bookmarkStart w:id="123" w:name="_Toc1004120971"/>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121"/>
      <w:bookmarkEnd w:id="122"/>
      <w:bookmarkEnd w:id="123"/>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24" w:name="_Toc15396623"/>
      <w:bookmarkStart w:id="125" w:name="_Toc26843630"/>
      <w:bookmarkStart w:id="126" w:name="_Toc1980359503"/>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127" w:name="_Toc15396624"/>
      <w:bookmarkEnd w:id="124"/>
      <w:bookmarkEnd w:id="125"/>
      <w:bookmarkEnd w:id="126"/>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28" w:name="_Toc1373057695"/>
      <w:bookmarkStart w:id="129"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127"/>
      <w:bookmarkEnd w:id="128"/>
      <w:bookmarkEnd w:id="12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30" w:name="_Toc15396625"/>
      <w:bookmarkStart w:id="131" w:name="_Toc26843632"/>
      <w:bookmarkStart w:id="132" w:name="_Toc358007238"/>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130"/>
      <w:bookmarkEnd w:id="131"/>
      <w:bookmarkEnd w:id="132"/>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33" w:name="_Toc15396626"/>
      <w:bookmarkStart w:id="134" w:name="_Toc26843633"/>
      <w:bookmarkStart w:id="135" w:name="_Toc216734230"/>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w:t>
      </w:r>
      <w:r>
        <w:rPr>
          <w:rStyle w:val="2Char"/>
          <w:rFonts w:ascii="Times New Roman" w:eastAsia="仿宋" w:cs="Times New Roman" w:hAnsi="Times New Roman" w:hint="eastAsia"/>
          <w:b w:val="0"/>
          <w:bCs w:val="0"/>
          <w:lang w:eastAsia="zh-CN"/>
        </w:rPr>
        <w:t>明细</w:t>
      </w:r>
      <w:r>
        <w:rPr>
          <w:rStyle w:val="2Char"/>
          <w:rFonts w:ascii="Times New Roman" w:eastAsia="仿宋" w:cs="Times New Roman" w:hAnsi="Times New Roman"/>
          <w:b w:val="0"/>
          <w:bCs w:val="0"/>
        </w:rPr>
        <w:t>表</w:t>
      </w:r>
      <w:bookmarkEnd w:id="133"/>
      <w:bookmarkEnd w:id="134"/>
      <w:bookmarkEnd w:id="13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136" w:name="_Toc15396627"/>
      <w:bookmarkStart w:id="137" w:name="_Toc26843634"/>
      <w:bookmarkStart w:id="138" w:name="_Toc17925"/>
      <w:bookmarkStart w:id="139" w:name="_Toc1444379715"/>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136"/>
      <w:bookmarkEnd w:id="137"/>
      <w:bookmarkEnd w:id="138"/>
      <w:bookmarkEnd w:id="13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hint="eastAsia"/>
          <w:b w:val="0"/>
          <w:lang w:eastAsia="zh-CN"/>
        </w:rPr>
      </w:pPr>
      <w:bookmarkStart w:id="140" w:name="_Toc26843635"/>
      <w:bookmarkStart w:id="141" w:name="_Toc15396628"/>
      <w:bookmarkStart w:id="142" w:name="_Toc7775"/>
      <w:bookmarkStart w:id="143" w:name="_Toc1533260933"/>
      <w:r>
        <w:rPr>
          <w:rStyle w:val="2Char"/>
          <w:rFonts w:ascii="Times New Roman" w:eastAsia="仿宋" w:cs="Times New Roman" w:hAnsi="Times New Roman"/>
          <w:b w:val="0"/>
          <w:bCs w:val="0"/>
        </w:rPr>
        <w:t>十、</w:t>
      </w:r>
      <w:bookmarkStart w:id="144" w:name="_Toc15396629"/>
      <w:bookmarkStart w:id="145" w:name="_Toc26843636"/>
      <w:bookmarkEnd w:id="140"/>
      <w:bookmarkEnd w:id="141"/>
      <w:r>
        <w:rPr>
          <w:rFonts w:ascii="Times New Roman" w:eastAsia="仿宋" w:cs="Times New Roman" w:hAnsi="Times New Roman" w:hint="eastAsia"/>
          <w:b w:val="0"/>
          <w:lang w:eastAsia="zh-CN"/>
        </w:rPr>
        <w:t>政府性基金预算财政拨款收入支出决算表</w:t>
      </w:r>
      <w:bookmarkEnd w:id="142"/>
      <w:bookmarkEnd w:id="143"/>
    </w:p>
    <w:p>
      <w:pPr>
        <w:pStyle w:val="2"/>
        <w:keepNext/>
        <w:keepLines/>
        <w:pageBreakBefore w:val="0"/>
        <w:widowControl w:val="0"/>
        <w:kinsoku/>
        <w:wordWrap/>
        <w:overflowPunct/>
        <w:topLinePunct w:val="0"/>
        <w:bidi w:val="0"/>
        <w:spacing w:line="576" w:lineRule="exact"/>
      </w:pPr>
      <w:bookmarkStart w:id="146" w:name="_Toc14133"/>
      <w:bookmarkStart w:id="147" w:name="_Toc1204977720"/>
      <w:r>
        <w:rPr>
          <w:rStyle w:val="2Char"/>
          <w:rFonts w:ascii="Times New Roman" w:eastAsia="仿宋" w:cs="Times New Roman" w:hAnsi="Times New Roman"/>
          <w:b w:val="0"/>
          <w:bCs w:val="0"/>
        </w:rPr>
        <w:t>十一、</w:t>
      </w:r>
      <w:bookmarkStart w:id="148" w:name="_Toc15396630"/>
      <w:bookmarkStart w:id="149" w:name="_Toc26843637"/>
      <w:bookmarkEnd w:id="144"/>
      <w:bookmarkEnd w:id="145"/>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bookmarkEnd w:id="146"/>
      <w:bookmarkEnd w:id="147"/>
    </w:p>
    <w:p>
      <w:pPr>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150" w:name="_Toc7923"/>
      <w:bookmarkStart w:id="151" w:name="_Toc1115803900"/>
      <w:r>
        <w:rPr>
          <w:rStyle w:val="2Char"/>
          <w:rFonts w:ascii="Times New Roman" w:eastAsia="仿宋" w:cs="Times New Roman" w:hAnsi="Times New Roman"/>
          <w:b w:val="0"/>
          <w:bCs w:val="0"/>
        </w:rPr>
        <w:t>十二、</w:t>
      </w:r>
      <w:bookmarkEnd w:id="148"/>
      <w:bookmarkEnd w:id="149"/>
      <w:r>
        <w:rPr>
          <w:rStyle w:val="2Char"/>
          <w:rFonts w:ascii="Times New Roman" w:eastAsia="仿宋" w:cs="Times New Roman" w:hAnsi="Times New Roman"/>
          <w:b w:val="0"/>
          <w:bCs w:val="0"/>
        </w:rPr>
        <w:t>国有资本经营预算财政拨款支出决算表</w:t>
      </w:r>
    </w:p>
    <w:p>
      <w:pPr>
        <w:pStyle w:val="15"/>
        <w:rPr>
          <w:rStyle w:val="2Char"/>
          <w:rFonts w:ascii="Times New Roman" w:eastAsia="仿宋" w:hAnsi="Times New Roman" w:hint="eastAsia"/>
          <w:b w:val="0"/>
          <w:bCs w:val="0"/>
          <w:lang w:val="en-US" w:eastAsia="zh-CN"/>
        </w:rPr>
      </w:pPr>
      <w:bookmarkStart w:id="152" w:name="_Toc18728"/>
      <w:bookmarkStart w:id="153" w:name="_Toc1393289599"/>
      <w:bookmarkEnd w:id="150"/>
      <w:bookmarkEnd w:id="151"/>
      <w:r>
        <w:rPr>
          <w:rStyle w:val="2Char"/>
          <w:rFonts w:ascii="Times New Roman" w:eastAsia="仿宋" w:hAnsi="Times New Roman" w:hint="eastAsia"/>
          <w:b w:val="0"/>
          <w:bCs w:val="0"/>
          <w:lang w:eastAsia="zh-CN"/>
        </w:rPr>
        <w:t>十三、</w:t>
      </w:r>
      <w:r>
        <w:rPr>
          <w:rStyle w:val="2Char"/>
          <w:rFonts w:ascii="Times New Roman" w:eastAsia="仿宋" w:hAnsi="Times New Roman" w:hint="eastAsia"/>
          <w:b w:val="0"/>
          <w:bCs w:val="0"/>
          <w:lang w:val="en-US" w:eastAsia="zh-CN"/>
        </w:rPr>
        <w:t>财政拨款“三公”经费支出决算表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End w:id="152"/>
      <w:bookmarkEnd w:id="153"/>
    </w:p>
    <w:p>
      <w:pPr>
        <w:tabs>
          <w:tab w:val="left" w:pos="0"/>
        </w:tabs>
        <w:ind w:left="1985"/>
        <w:rPr>
          <w:rStyle w:val="1Char"/>
          <w:rFonts w:ascii="仿宋_GB2312" w:eastAsia="仿宋_GB2312" w:cs="仿宋_GB2312" w:hint="eastAsia"/>
          <w:b/>
          <w:bCs w:val="0"/>
          <w:lang w:val="en-US" w:eastAsia="zh-C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小标宋_GBK"/>
    <w:panose1 w:val="02010601030101010101"/>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Times New Roman">
    <w:altName w:val="DejaVu Sans"/>
    <w:panose1 w:val="02020603050405020304"/>
    <w:charset w:val="01"/>
    <w:family w:val="auto"/>
    <w:pitch w:val="variable"/>
    <w:sig w:usb0="00000000" w:usb1="00000000" w:usb2="00000009" w:usb3="00000000" w:csb0="400001FF" w:csb1="FFFF0000"/>
  </w:font>
  <w:font w:name="楷体">
    <w:altName w:val="方正楷体_GBK"/>
    <w:panose1 w:val="02010609060101010101"/>
    <w:charset w:val="86"/>
    <w:family w:val="modern"/>
    <w:pitch w:val="variable"/>
    <w:sig w:usb0="00000000" w:usb1="00000000" w:usb2="00000016" w:usb3="00000000" w:csb0="00040001" w:csb1="00000000"/>
  </w:font>
  <w:font w:name="仿宋">
    <w:altName w:val="方正仿宋_GBK"/>
    <w:panose1 w:val="02010609060101010101"/>
    <w:charset w:val="86"/>
    <w:family w:val="modern"/>
    <w:pitch w:val="variable"/>
    <w:sig w:usb0="00000000" w:usb1="00000000"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宋体">
    <w:altName w:val="方正书宋_GBK"/>
    <w:panose1 w:val="00000000000000000000"/>
    <w:charset w:val="00"/>
    <w:family w:val="auto"/>
    <w:pitch w:val="variable"/>
    <w:sig w:usb0="00000000" w:usb1="00000000" w:usb2="00000000" w:usb3="00000000" w:csb0="00000000" w:csb1="00000000"/>
  </w:font>
  <w:font w:name="Cambria">
    <w:altName w:val="Noto Sans Syriac Eastern"/>
    <w:panose1 w:val="02040503050406030204"/>
    <w:charset w:val="00"/>
    <w:family w:val="roman"/>
    <w:pitch w:val="variable"/>
    <w:sig w:usb0="00000000" w:usb1="00000000" w:usb2="00000000" w:usb3="00000000" w:csb0="2000019F" w:csb1="00000000"/>
  </w:font>
  <w:font w:name="Calibri">
    <w:altName w:val="DejaVu Sans"/>
    <w:panose1 w:val="020F0502020204030204"/>
    <w:charset w:val="00"/>
    <w:family w:val="swiss"/>
    <w:pitch w:val="variable"/>
    <w:sig w:usb0="00000000" w:usb1="00000000"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600535153"/>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4</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193B247"/>
    <w:multiLevelType w:val="singleLevel"/>
    <w:tmpl w:val="C193B247"/>
    <w:lvl w:ilvl="0">
      <w:start w:val="1"/>
      <w:numFmt w:val="decimal"/>
      <w:lvlRestart w:val="0"/>
      <w:lvlText w:val="%1."/>
      <w:lvlJc w:val="left"/>
      <w:pPr>
        <w:ind w:left="0" w:hanging="0"/>
      </w:pPr>
    </w:lvl>
  </w:abstractNum>
  <w:abstractNum w:abstractNumId="1">
    <w:nsid w:val="78D72DD4"/>
    <w:multiLevelType w:val="singleLevel"/>
    <w:tmpl w:val="78D72DD4"/>
    <w:lvl w:ilvl="0">
      <w:start w:val="3"/>
      <w:numFmt w:val="decimal"/>
      <w:lvlRestart w:val="0"/>
      <w:lvlText w:val="%1."/>
      <w:lvlJc w:val="left"/>
      <w:pPr>
        <w:ind w:left="0" w:hanging="0"/>
      </w:pPr>
    </w:lvl>
  </w:abstractNum>
  <w:abstractNum w:abstractNumId="2">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3">
    <w:nsid w:val="17F426B7"/>
    <w:multiLevelType w:val="multilevel"/>
    <w:tmpl w:val="17F426B7"/>
    <w:lvl w:ilvl="0">
      <w:start w:val="10"/>
      <w:numFmt w:val="japaneseCounting"/>
      <w:lvlRestart w:val="0"/>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4">
    <w:nsid w:val="9906B88D"/>
    <w:multiLevelType w:val="singleLevel"/>
    <w:tmpl w:val="9906B88D"/>
    <w:lvl w:ilvl="0">
      <w:start w:val="5"/>
      <w:numFmt w:val="chineseCounting"/>
      <w:lvlRestart w:val="0"/>
      <w:suff w:val="nothing"/>
      <w:lvlText w:val="第%1部分　"/>
      <w:lvlJc w:val="left"/>
      <w:pPr>
        <w:ind w:left="1985"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mRjOTJlNzJjZmZkOTQxZDA4NjRhMDllMWM3ZmQ2OT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character" w:styleId="23">
    <w:name w:val="Hyperlink"/>
    <w:basedOn w:val="10"/>
    <w:rPr>
      <w:color w:val="0000FF"/>
      <w:u w:val="single"/>
    </w:rPr>
  </w:style>
  <w:style w:type="paragraph" w:customStyle="1" w:styleId="24">
    <w:name w:val="List Paragraph"/>
    <w:basedOn w:val="0"/>
    <w:pPr>
      <w:ind w:firstLineChars="200" w:firstLine="200"/>
    </w:pPr>
  </w:style>
  <w:style w:type="paragraph" w:customStyle="1" w:styleId="25">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image" Target="media/8.png"/><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2022年决算收支对比图</a:t>
            </a:r>
          </a:p>
        </c:rich>
      </c:tx>
      <c:layout/>
      <c:overlay val="0"/>
      <c:spPr>
        <a:noFill/>
        <a:ln>
          <a:noFill/>
        </a:ln>
      </c:spPr>
    </c:title>
    <c:autoTitleDeleted val="0"/>
    <c:plotArea>
      <c:layout/>
      <c:barChart>
        <c:barDir val="col"/>
        <c:grouping val="clustered"/>
        <c:varyColors val="0"/>
        <c:ser>
          <c:idx val="0"/>
          <c:order val="0"/>
          <c:tx>
            <c:v>2022年决算收支对比图</c:v>
          </c:tx>
          <c:spPr>
            <a:solidFill>
              <a:srgbClr val="5B9BD5"/>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0.00" sourceLinked="0"/>
            <c:showLegendKey val="0"/>
            <c:showVal val="0"/>
            <c:showCatName val="0"/>
            <c:showSerName val="0"/>
            <c:showPercent val="0"/>
            <c:showBubbleSize val="0"/>
            <c:showLeaderLines val="0"/>
          </c:dLbls>
          <c:cat>
            <c:strLit>
              <c:ptCount val="4"/>
              <c:pt idx="0">
                <c:v>2022年度财政拨款收入</c:v>
              </c:pt>
              <c:pt idx="1">
                <c:v>2021年度财政拨款收入</c:v>
              </c:pt>
              <c:pt idx="2">
                <c:v>2022年度财政拨款支出</c:v>
              </c:pt>
              <c:pt idx="3">
                <c:v>2021年度财政拨款支出</c:v>
              </c:pt>
            </c:strLit>
          </c:cat>
          <c:val>
            <c:numRef>
              <c:f/>
              <c:numCache>
                <c:formatCode>#,##0.00</c:formatCode>
                <c:ptCount val="4"/>
                <c:pt idx="0">
                  <c:v>1241.52</c:v>
                </c:pt>
                <c:pt idx="1">
                  <c:v>1105.16</c:v>
                </c:pt>
                <c:pt idx="2">
                  <c:v>1241.52</c:v>
                </c:pt>
                <c:pt idx="3">
                  <c:v>1105.16</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lstStyle/>
              <a:p>
                <a:pPr>
                  <a:defRPr sz="1000" b="0" i="0" u="none" strike="noStrike" baseline="0">
                    <a:solidFill>
                      <a:srgbClr val="595959"/>
                    </a:solidFill>
                    <a:latin typeface="Times New Roman"/>
                    <a:ea typeface="宋体"/>
                    <a:cs typeface="Arial"/>
                  </a:defRPr>
                </a:pPr>
                <a:r>
                  <a:rPr lang="zh-CN"/>
                  <a:t>坐标轴标题</a:t>
                </a:r>
              </a:p>
            </c:rich>
          </c:tx>
          <c:layout/>
          <c:overlay val="0"/>
          <c:spPr>
            <a:noFill/>
            <a:ln>
              <a:noFill/>
            </a:ln>
          </c:spPr>
        </c:title>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2022年收入情况占比图</a:t>
            </a:r>
          </a:p>
        </c:rich>
      </c:tx>
      <c:layout/>
      <c:overlay val="0"/>
      <c:spPr>
        <a:noFill/>
        <a:ln>
          <a:noFill/>
        </a:ln>
      </c:spPr>
    </c:title>
    <c:autoTitleDeleted val="0"/>
    <c:plotArea>
      <c:layout/>
      <c:pieChart>
        <c:varyColors val="1"/>
        <c:ser>
          <c:idx val="0"/>
          <c:order val="0"/>
          <c:tx>
            <c:v>2022年收入情况占比图</c:v>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Pt>
            <c:idx val="5"/>
            <c:bubble3D val="0"/>
            <c:spPr>
              <a:solidFill>
                <a:srgbClr val="70AD47"/>
              </a:solidFill>
              <a:ln w="19050">
                <a:solidFill>
                  <a:srgbClr val="FFFFFF"/>
                </a:solidFill>
                <a:prstDash val="solid"/>
              </a:ln>
            </c:spPr>
          </c:dPt>
          <c:dPt>
            <c:idx val="6"/>
            <c:bubble3D val="0"/>
            <c:spPr>
              <a:solidFill>
                <a:srgbClr val="255E91"/>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0%" sourceLinked="0"/>
            <c:dLblPos val="inEnd"/>
            <c:showLegendKey val="0"/>
            <c:showVal val="0"/>
            <c:showCatName val="0"/>
            <c:showSerName val="0"/>
            <c:showPercent val="1"/>
            <c:showBubbleSize val="0"/>
            <c:showLeaderLines val="1"/>
          </c:dLbls>
          <c:cat>
            <c:strLit>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Lit>
          </c:cat>
          <c:val>
            <c:numRef>
              <c:f/>
              <c:numCache>
                <c:formatCode>General</c:formatCode>
                <c:ptCount val="7"/>
                <c:pt idx="0">
                  <c:v>1241.52</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2022年决算支出情况</a:t>
            </a:r>
          </a:p>
        </c:rich>
      </c:tx>
      <c:layout/>
      <c:overlay val="0"/>
      <c:spPr>
        <a:noFill/>
        <a:ln>
          <a:noFill/>
        </a:ln>
      </c:spPr>
    </c:title>
    <c:autoTitleDeleted val="0"/>
    <c:plotArea>
      <c:layout/>
      <c:pieChart>
        <c:varyColors val="1"/>
        <c:ser>
          <c:idx val="0"/>
          <c:order val="0"/>
          <c:tx>
            <c:v>2022年决算支出情况</c:v>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0%" sourceLinked="0"/>
            <c:dLblPos val="inEnd"/>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1092.49</c:v>
                </c:pt>
                <c:pt idx="1">
                  <c:v>179.66</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sz="1400" b="0" i="0" u="none" strike="noStrike" baseline="0">
                <a:solidFill>
                  <a:srgbClr val="595959"/>
                </a:solidFill>
                <a:latin typeface="Times New Roman"/>
                <a:ea typeface="宋体"/>
                <a:cs typeface="Arial"/>
              </a:rPr>
              <a:t>2022</a:t>
            </a:r>
            <a:r>
              <a:rPr lang="zh-CN" sz="1400" b="0" i="0" u="none" strike="noStrike" baseline="0">
                <a:solidFill>
                  <a:srgbClr val="595959"/>
                </a:solidFill>
                <a:latin typeface="Times New Roman"/>
                <a:ea typeface="宋体"/>
                <a:cs typeface="Arial"/>
              </a:rPr>
              <a:t>年</a:t>
            </a:r>
            <a:r>
              <a:rPr lang="zh-CN" sz="1400" b="0" i="0" u="none" strike="noStrike" baseline="0">
                <a:solidFill>
                  <a:srgbClr val="595959"/>
                </a:solidFill>
                <a:latin typeface="Times New Roman"/>
                <a:ea typeface="宋体"/>
                <a:cs typeface="Arial"/>
              </a:rPr>
              <a:t>财政拨款收入支出决算情况对比</a:t>
            </a:r>
          </a:p>
        </c:rich>
      </c:tx>
      <c:layout/>
      <c:overlay val="0"/>
      <c:spPr>
        <a:noFill/>
        <a:ln>
          <a:noFill/>
        </a:ln>
      </c:spPr>
    </c:title>
    <c:autoTitleDeleted val="1"/>
    <c:plotArea>
      <c:layout/>
      <c:barChart>
        <c:barDir val="col"/>
        <c:grouping val="clustered"/>
        <c:varyColors val="0"/>
        <c:ser>
          <c:idx val="0"/>
          <c:order val="0"/>
          <c:tx>
            <c:v>收入</c:v>
          </c:tx>
          <c:spPr>
            <a:solidFill>
              <a:srgbClr val="5B9BD5"/>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0.00" sourceLinked="0"/>
            <c:showLegendKey val="0"/>
            <c:showVal val="0"/>
            <c:showCatName val="0"/>
            <c:showSerName val="0"/>
            <c:showPercent val="0"/>
            <c:showBubbleSize val="0"/>
            <c:showLeaderLines val="0"/>
          </c:dLbls>
          <c:cat>
            <c:numRef>
              <c:numCache>
                <c:ptCount val="2"/>
                <c:pt idx="0">
                  <c:v>2022</c:v>
                </c:pt>
                <c:pt idx="1">
                  <c:v>2021</c:v>
                </c:pt>
              </c:numCache>
            </c:numRef>
          </c:cat>
          <c:val>
            <c:numRef>
              <c:f/>
              <c:numCache>
                <c:formatCode>#,##0.00</c:formatCode>
                <c:ptCount val="2"/>
                <c:pt idx="0">
                  <c:v>1241.52</c:v>
                </c:pt>
                <c:pt idx="1">
                  <c:v>1105.16</c:v>
                </c:pt>
              </c:numCache>
            </c:numRef>
          </c:val>
        </c:ser>
        <c:ser>
          <c:idx val="1"/>
          <c:order val="1"/>
          <c:tx>
            <c:v>支出</c:v>
          </c:tx>
          <c:spPr>
            <a:solidFill>
              <a:srgbClr val="ED7D31"/>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0.00" sourceLinked="0"/>
            <c:showLegendKey val="0"/>
            <c:showVal val="0"/>
            <c:showCatName val="0"/>
            <c:showSerName val="0"/>
            <c:showPercent val="0"/>
            <c:showBubbleSize val="0"/>
            <c:showLeaderLines val="0"/>
          </c:dLbls>
          <c:cat>
            <c:numRef>
              <c:numCache>
                <c:ptCount val="2"/>
                <c:pt idx="0">
                  <c:v>2022</c:v>
                </c:pt>
                <c:pt idx="1">
                  <c:v>2021</c:v>
                </c:pt>
              </c:numCache>
            </c:numRef>
          </c:cat>
          <c:val>
            <c:numRef>
              <c:f/>
              <c:numCache>
                <c:formatCode>#,##0.00</c:formatCode>
                <c:ptCount val="2"/>
                <c:pt idx="0">
                  <c:v>1241.52</c:v>
                </c:pt>
                <c:pt idx="1">
                  <c:v>1105.16</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lstStyle/>
              <a:p>
                <a:pPr>
                  <a:defRPr sz="1000" b="0" i="0" u="none" strike="noStrike" baseline="0">
                    <a:solidFill>
                      <a:srgbClr val="595959"/>
                    </a:solidFill>
                    <a:latin typeface="Times New Roman"/>
                    <a:ea typeface="宋体"/>
                    <a:cs typeface="Arial"/>
                  </a:defRPr>
                </a:pPr>
                <a:r>
                  <a:rPr lang="zh-CN"/>
                  <a:t>坐标轴标题</a:t>
                </a:r>
              </a:p>
            </c:rich>
          </c:tx>
          <c:layout/>
          <c:overlay val="0"/>
          <c:spPr>
            <a:noFill/>
            <a:ln>
              <a:noFill/>
            </a:ln>
          </c:spPr>
        </c:title>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一般公共预算财政拨款支出决算对比</a:t>
            </a:r>
          </a:p>
        </c:rich>
      </c:tx>
      <c:layout/>
      <c:overlay val="0"/>
      <c:spPr>
        <a:noFill/>
        <a:ln>
          <a:noFill/>
        </a:ln>
      </c:spPr>
    </c:title>
    <c:autoTitleDeleted val="0"/>
    <c:plotArea>
      <c:layout/>
      <c:barChart>
        <c:barDir val="col"/>
        <c:grouping val="clustered"/>
        <c:varyColors val="0"/>
        <c:ser>
          <c:idx val="0"/>
          <c:order val="0"/>
          <c:tx>
            <c:v>一般公共预算财政拨款支出决算对比</c:v>
          </c:tx>
          <c:spPr>
            <a:solidFill>
              <a:srgbClr val="5B9BD5"/>
            </a:solidFill>
            <a:ln>
              <a:noFill/>
            </a:ln>
          </c:spPr>
          <c:invertIfNegative val="0"/>
          <c:dLbls>
            <c:txPr>
              <a:bodyPr/>
              <a:lstStyle/>
              <a:p>
                <a:pPr>
                  <a:defRPr sz="1000" b="0" i="0" u="none" strike="noStrike" baseline="0">
                    <a:solidFill>
                      <a:srgbClr val="000000"/>
                    </a:solidFill>
                    <a:latin typeface="Times New Roman"/>
                    <a:ea typeface="宋体"/>
                    <a:cs typeface="Arial"/>
                  </a:defRPr>
                </a:pPr>
                <a:endParaRPr lang="zh-CN"/>
              </a:p>
            </c:txPr>
            <c:numFmt formatCode="#,##0.00" sourceLinked="0"/>
            <c:showLegendKey val="0"/>
            <c:showVal val="0"/>
            <c:showCatName val="0"/>
            <c:showSerName val="0"/>
            <c:showPercent val="0"/>
            <c:showBubbleSize val="0"/>
            <c:showLeaderLines val="0"/>
          </c:dLbls>
          <c:cat>
            <c:numRef>
              <c:numCache>
                <c:ptCount val="2"/>
                <c:pt idx="0">
                  <c:v>2022</c:v>
                </c:pt>
                <c:pt idx="1">
                  <c:v>2021</c:v>
                </c:pt>
              </c:numCache>
            </c:numRef>
          </c:cat>
          <c:val>
            <c:numRef>
              <c:f/>
              <c:numCache>
                <c:formatCode>#,##0.00</c:formatCode>
                <c:ptCount val="2"/>
                <c:pt idx="0">
                  <c:v>1241.52</c:v>
                </c:pt>
                <c:pt idx="1">
                  <c:v>1105.16</c:v>
                </c:pt>
              </c:numCache>
            </c:numRef>
          </c:val>
        </c:ser>
        <c:gapWidth val="150"/>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lstStyle/>
              <a:p>
                <a:pPr>
                  <a:defRPr sz="1000" b="0" i="0" u="none" strike="noStrike" baseline="0">
                    <a:solidFill>
                      <a:srgbClr val="595959"/>
                    </a:solidFill>
                    <a:latin typeface="Times New Roman"/>
                    <a:ea typeface="宋体"/>
                    <a:cs typeface="Arial"/>
                  </a:defRPr>
                </a:pPr>
                <a:r>
                  <a:rPr lang="zh-CN"/>
                  <a:t>坐标轴标题</a:t>
                </a:r>
              </a:p>
            </c:rich>
          </c:tx>
          <c:layout/>
          <c:overlay val="0"/>
          <c:spPr>
            <a:noFill/>
            <a:ln>
              <a:noFill/>
            </a:ln>
          </c:spPr>
        </c:title>
        <c:numFmt formatCode="#,##0.00"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Arial"/>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Times New Roman"/>
                <a:ea typeface="宋体"/>
                <a:cs typeface="Arial"/>
              </a:defRPr>
            </a:pPr>
            <a:r>
              <a:rPr lang="zh-CN"/>
              <a:t>一般公共预算财政拨款支出决算结构情况</a:t>
            </a:r>
          </a:p>
        </c:rich>
      </c:tx>
      <c:layout/>
      <c:overlay val="0"/>
      <c:spPr>
        <a:noFill/>
        <a:ln>
          <a:noFill/>
        </a:ln>
      </c:spPr>
    </c:title>
    <c:autoTitleDeleted val="0"/>
    <c:plotArea>
      <c:layout/>
      <c:pieChart>
        <c:varyColors val="1"/>
        <c:ser>
          <c:idx val="0"/>
          <c:order val="0"/>
          <c:tx>
            <c:v>一般公共预算财政拨款支出决算结构情况</c:v>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Times New Roman"/>
                    <a:ea typeface="宋体"/>
                    <a:cs typeface="Arial"/>
                  </a:defRPr>
                </a:pPr>
                <a:endParaRPr lang="zh-CN"/>
              </a:p>
            </c:txPr>
            <c:numFmt formatCode="0%" sourceLinked="0"/>
            <c:dLblPos val="inEnd"/>
            <c:showLegendKey val="0"/>
            <c:showVal val="0"/>
            <c:showCatName val="0"/>
            <c:showSerName val="0"/>
            <c:showPercent val="1"/>
            <c:showBubbleSize val="0"/>
            <c:showLeaderLines val="1"/>
          </c:dLbls>
          <c:cat>
            <c:strLit>
              <c:ptCount val="4"/>
              <c:pt idx="0">
                <c:v>一般公共服务（类）支出</c:v>
              </c:pt>
              <c:pt idx="1">
                <c:v>社会保障和就业（类）支出</c:v>
              </c:pt>
              <c:pt idx="2">
                <c:v>卫生健康支出</c:v>
              </c:pt>
              <c:pt idx="3">
                <c:v>住房保障支出</c:v>
              </c:pt>
            </c:strLit>
          </c:cat>
          <c:val>
            <c:numRef>
              <c:f/>
              <c:numCache>
                <c:formatCode>General</c:formatCode>
                <c:ptCount val="4"/>
                <c:pt idx="0">
                  <c:v>993.57</c:v>
                </c:pt>
                <c:pt idx="1">
                  <c:v>122.98</c:v>
                </c:pt>
                <c:pt idx="2">
                  <c:v>52.72</c:v>
                </c:pt>
                <c:pt idx="3">
                  <c:v>72.24</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TotalTime>
  <Application>Yozo_Office27021597764231179</Application>
  <Pages>24</Pages>
  <Words>8304</Words>
  <Characters>9381</Characters>
  <Lines>551</Lines>
  <Paragraphs>204</Paragraphs>
  <CharactersWithSpaces>9475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云淡风清</dc:creator>
  <cp:lastModifiedBy>Administrator</cp:lastModifiedBy>
  <cp:revision>2</cp:revision>
  <cp:lastPrinted>2023-08-28T18:38:00Z</cp:lastPrinted>
  <dcterms:created xsi:type="dcterms:W3CDTF">2021-09-16T22:29:00Z</dcterms:created>
  <dcterms:modified xsi:type="dcterms:W3CDTF">2023-08-30T09:12:01Z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y fmtid="{D5CDD505-2E9C-101B-9397-08002B2CF9AE}" pid="3" name="ICV">
    <vt:lpwstr>18DA76E6300E431F81EFBDADE0024C59</vt:lpwstr>
  </property>
</Properties>
</file>