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8530"/>
      <w:bookmarkStart w:id="2" w:name="_Toc15396475"/>
      <w:bookmarkStart w:id="3" w:name="_Toc15377193"/>
      <w:bookmarkStart w:id="4" w:name="_Toc15396597"/>
      <w:bookmarkStart w:id="5" w:name="_Toc15377425"/>
      <w:bookmarkStart w:id="6" w:name="_Toc27643"/>
      <w:bookmarkStart w:id="7" w:name="_Toc15378441"/>
      <w:r>
        <w:rPr>
          <w:rFonts w:ascii="黑体" w:hAnsi="黑体" w:eastAsia="黑体"/>
          <w:color w:val="000000"/>
          <w:sz w:val="72"/>
          <w:szCs w:val="72"/>
        </w:rPr>
        <w:t>20</w:t>
      </w:r>
      <w:r>
        <w:rPr>
          <w:rFonts w:hint="eastAsia" w:ascii="黑体" w:hAnsi="黑体" w:eastAsia="黑体"/>
          <w:color w:val="000000"/>
          <w:sz w:val="72"/>
          <w:szCs w:val="72"/>
        </w:rPr>
        <w:t>2</w:t>
      </w:r>
      <w:r>
        <w:rPr>
          <w:rFonts w:hint="eastAsia" w:ascii="黑体" w:hAnsi="黑体" w:eastAsia="黑体"/>
          <w:color w:val="000000"/>
          <w:sz w:val="72"/>
          <w:szCs w:val="72"/>
          <w:lang w:val="en-US" w:eastAsia="zh-CN"/>
        </w:rPr>
        <w:t>2</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8" w:name="_Toc15378442"/>
      <w:bookmarkStart w:id="9" w:name="_Toc15377426"/>
      <w:bookmarkStart w:id="10" w:name="_Toc15396598"/>
      <w:bookmarkStart w:id="11" w:name="_Toc28566"/>
      <w:bookmarkStart w:id="12" w:name="_Toc24702"/>
      <w:bookmarkStart w:id="13" w:name="_Toc15306268"/>
      <w:bookmarkStart w:id="14" w:name="_Toc15377194"/>
      <w:bookmarkStart w:id="15" w:name="_Toc15396476"/>
      <w:r>
        <w:rPr>
          <w:rFonts w:hint="eastAsia" w:ascii="方正小标宋简体" w:hAnsi="宋体" w:eastAsia="方正小标宋简体"/>
          <w:color w:val="000000"/>
          <w:sz w:val="72"/>
          <w:szCs w:val="72"/>
        </w:rPr>
        <w:t>金川县人民</w:t>
      </w:r>
      <w:r>
        <w:rPr>
          <w:rFonts w:hint="eastAsia" w:ascii="方正小标宋简体" w:hAnsi="宋体" w:eastAsia="方正小标宋简体"/>
          <w:color w:val="000000"/>
          <w:sz w:val="72"/>
          <w:szCs w:val="72"/>
          <w:lang w:val="en-US" w:eastAsia="zh-CN"/>
        </w:rPr>
        <w:t>政府</w:t>
      </w:r>
      <w:r>
        <w:rPr>
          <w:rFonts w:hint="eastAsia" w:ascii="方正小标宋简体" w:hAnsi="宋体" w:eastAsia="方正小标宋简体"/>
          <w:color w:val="000000"/>
          <w:sz w:val="72"/>
          <w:szCs w:val="72"/>
          <w:lang w:eastAsia="zh-CN"/>
        </w:rPr>
        <w:t>办</w:t>
      </w:r>
      <w:r>
        <w:rPr>
          <w:rFonts w:hint="eastAsia" w:ascii="方正小标宋简体" w:hAnsi="宋体" w:eastAsia="方正小标宋简体"/>
          <w:color w:val="000000"/>
          <w:sz w:val="72"/>
          <w:szCs w:val="72"/>
        </w:rPr>
        <w:t>公室  部门决算</w:t>
      </w:r>
      <w:bookmarkEnd w:id="8"/>
      <w:bookmarkEnd w:id="9"/>
      <w:bookmarkEnd w:id="10"/>
      <w:bookmarkEnd w:id="11"/>
      <w:bookmarkEnd w:id="12"/>
      <w:bookmarkEnd w:id="13"/>
      <w:bookmarkEnd w:id="14"/>
      <w:bookmarkEnd w:id="15"/>
      <w:r>
        <w:rPr>
          <w:rFonts w:hint="eastAsia" w:ascii="方正小标宋简体" w:hAnsi="宋体" w:eastAsia="方正小标宋简体"/>
          <w:color w:val="000000"/>
          <w:sz w:val="72"/>
          <w:szCs w:val="72"/>
          <w:lang w:val="en-US" w:eastAsia="zh-CN"/>
        </w:rPr>
        <w:t>报告</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4"/>
        <w:rPr>
          <w:rFonts w:hint="eastAsia"/>
        </w:rPr>
      </w:pPr>
      <w:r>
        <w:rPr>
          <w:rFonts w:ascii="Times New Roman" w:hAnsi="Times New Roman" w:cs="Times New Roman"/>
        </w:rPr>
        <w:t>公开时间：2022年</w:t>
      </w:r>
      <w:r>
        <w:rPr>
          <w:rFonts w:hint="eastAsia" w:ascii="Times New Roman" w:hAnsi="Times New Roman" w:cs="Times New Roman"/>
          <w:lang w:val="en-US" w:eastAsia="zh-CN"/>
        </w:rPr>
        <w:t>8</w:t>
      </w:r>
      <w:r>
        <w:rPr>
          <w:rFonts w:ascii="Times New Roman" w:hAnsi="Times New Roman" w:cs="Times New Roman"/>
        </w:rPr>
        <w:t>月</w:t>
      </w:r>
      <w:r>
        <w:rPr>
          <w:rFonts w:hint="eastAsia" w:ascii="Times New Roman" w:hAnsi="Times New Roman" w:cs="Times New Roman"/>
          <w:lang w:val="en-US" w:eastAsia="zh-CN"/>
        </w:rPr>
        <w:t>30</w:t>
      </w:r>
      <w:r>
        <w:rPr>
          <w:rFonts w:ascii="Times New Roman" w:hAnsi="Times New Roman" w:cs="Times New Roman"/>
        </w:rPr>
        <w:t>日</w:t>
      </w:r>
    </w:p>
    <w:p>
      <w:pPr>
        <w:pStyle w:val="14"/>
      </w:pPr>
      <w:bookmarkStart w:id="16" w:name="_Toc15377196"/>
      <w:r>
        <w:rPr>
          <w:rFonts w:hint="eastAsia"/>
        </w:rPr>
        <w:fldChar w:fldCharType="begin"/>
      </w:r>
      <w:r>
        <w:rPr>
          <w:rFonts w:hint="eastAsia"/>
        </w:rPr>
        <w:instrText xml:space="preserve"> HYPERLINK \l "_Toc15396599" </w:instrText>
      </w:r>
      <w:r>
        <w:rPr>
          <w:rFonts w:hint="eastAsia"/>
        </w:rPr>
        <w:fldChar w:fldCharType="separate"/>
      </w:r>
      <w:r>
        <w:rPr>
          <w:rFonts w:hint="eastAsia"/>
        </w:rPr>
        <w:t>第一部分 部门概况</w:t>
      </w:r>
      <w:r>
        <w:rPr>
          <w:rFonts w:hint="eastAsia"/>
        </w:rPr>
        <w:tab/>
      </w:r>
      <w:r>
        <w:rPr>
          <w:rFonts w:hint="eastAsia"/>
        </w:rPr>
        <w:t>4</w:t>
      </w:r>
      <w:r>
        <w:rPr>
          <w:rFonts w:hint="eastAsia"/>
        </w:rPr>
        <w:fldChar w:fldCharType="end"/>
      </w:r>
    </w:p>
    <w:p>
      <w:pPr>
        <w:pStyle w:val="16"/>
        <w:rPr>
          <w:rFonts w:ascii="仿宋" w:hAnsi="仿宋" w:eastAsia="仿宋"/>
          <w:sz w:val="28"/>
          <w:szCs w:val="28"/>
        </w:rPr>
      </w:pPr>
      <w:r>
        <w:fldChar w:fldCharType="begin"/>
      </w:r>
      <w:r>
        <w:instrText xml:space="preserve"> HYPERLINK \l "_Toc15396600" </w:instrText>
      </w:r>
      <w:r>
        <w:fldChar w:fldCharType="separate"/>
      </w:r>
      <w:r>
        <w:rPr>
          <w:rFonts w:hint="eastAsia" w:ascii="仿宋" w:hAnsi="仿宋" w:eastAsia="仿宋"/>
          <w:sz w:val="28"/>
          <w:szCs w:val="28"/>
        </w:rPr>
        <w:t>一、基本职能及主要工作</w:t>
      </w:r>
      <w:r>
        <w:rPr>
          <w:rFonts w:hint="eastAsia"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6"/>
        <w:rPr>
          <w:rFonts w:ascii="仿宋" w:hAnsi="仿宋" w:eastAsia="仿宋"/>
          <w:sz w:val="28"/>
          <w:szCs w:val="28"/>
        </w:rPr>
      </w:pPr>
      <w:r>
        <w:fldChar w:fldCharType="begin"/>
      </w:r>
      <w:r>
        <w:instrText xml:space="preserve"> HYPERLINK \l "_Toc15396601" </w:instrText>
      </w:r>
      <w:r>
        <w:fldChar w:fldCharType="separate"/>
      </w:r>
      <w:r>
        <w:rPr>
          <w:rFonts w:hint="eastAsia" w:ascii="仿宋" w:hAnsi="仿宋" w:eastAsia="仿宋"/>
          <w:sz w:val="28"/>
          <w:szCs w:val="28"/>
        </w:rPr>
        <w:t>二、机构设置</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4"/>
      </w:pPr>
      <w:r>
        <w:fldChar w:fldCharType="begin"/>
      </w:r>
      <w:r>
        <w:instrText xml:space="preserve"> HYPERLINK \l "_Toc15396602" </w:instrText>
      </w:r>
      <w:r>
        <w:fldChar w:fldCharType="separate"/>
      </w:r>
      <w:r>
        <w:rPr>
          <w:rFonts w:hint="eastAsia"/>
        </w:rPr>
        <w:t>第二部分 部门决算情况说明</w:t>
      </w:r>
      <w:r>
        <w:rPr>
          <w:rFonts w:hint="eastAsia"/>
        </w:rPr>
        <w:tab/>
      </w:r>
      <w:r>
        <w:rPr>
          <w:rFonts w:hint="eastAsia"/>
        </w:rPr>
        <w:t>5</w:t>
      </w:r>
      <w:r>
        <w:rPr>
          <w:rFonts w:hint="eastAsia"/>
        </w:rPr>
        <w:fldChar w:fldCharType="end"/>
      </w:r>
    </w:p>
    <w:p>
      <w:pPr>
        <w:pStyle w:val="16"/>
        <w:rPr>
          <w:rFonts w:ascii="仿宋" w:hAnsi="仿宋" w:eastAsia="仿宋"/>
          <w:sz w:val="28"/>
          <w:szCs w:val="28"/>
        </w:rPr>
      </w:pPr>
      <w:r>
        <w:fldChar w:fldCharType="begin"/>
      </w:r>
      <w:r>
        <w:instrText xml:space="preserve"> HYPERLINK \l "_Toc15396603" </w:instrText>
      </w:r>
      <w:r>
        <w:fldChar w:fldCharType="separate"/>
      </w:r>
      <w:r>
        <w:rPr>
          <w:rFonts w:hint="eastAsia" w:ascii="仿宋" w:hAnsi="仿宋" w:eastAsia="仿宋"/>
          <w:sz w:val="28"/>
          <w:szCs w:val="28"/>
        </w:rPr>
        <w:t>一、收入支出决算总体情况说明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5</w:t>
      </w:r>
    </w:p>
    <w:p>
      <w:pPr>
        <w:pStyle w:val="16"/>
        <w:rPr>
          <w:rFonts w:ascii="仿宋" w:hAnsi="仿宋" w:eastAsia="仿宋"/>
          <w:sz w:val="28"/>
          <w:szCs w:val="28"/>
        </w:rPr>
      </w:pPr>
      <w:r>
        <w:fldChar w:fldCharType="begin"/>
      </w:r>
      <w:r>
        <w:instrText xml:space="preserve"> HYPERLINK \l "_Toc15396604" </w:instrText>
      </w:r>
      <w:r>
        <w:fldChar w:fldCharType="separate"/>
      </w:r>
      <w:r>
        <w:rPr>
          <w:rFonts w:hint="eastAsia" w:ascii="仿宋" w:hAnsi="仿宋" w:eastAsia="仿宋"/>
          <w:sz w:val="28"/>
          <w:szCs w:val="28"/>
        </w:rPr>
        <w:t>二、收入决算情况说明</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6"/>
        <w:rPr>
          <w:rFonts w:ascii="仿宋" w:hAnsi="仿宋" w:eastAsia="仿宋"/>
          <w:sz w:val="28"/>
          <w:szCs w:val="28"/>
        </w:rPr>
      </w:pPr>
      <w:r>
        <w:fldChar w:fldCharType="begin"/>
      </w:r>
      <w:r>
        <w:instrText xml:space="preserve"> HYPERLINK \l "_Toc15396605" </w:instrText>
      </w:r>
      <w:r>
        <w:fldChar w:fldCharType="separate"/>
      </w:r>
      <w:r>
        <w:rPr>
          <w:rFonts w:hint="eastAsia" w:ascii="仿宋" w:hAnsi="仿宋" w:eastAsia="仿宋"/>
          <w:sz w:val="28"/>
          <w:szCs w:val="28"/>
        </w:rPr>
        <w:t>三、支出决算情况说明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7</w:t>
      </w:r>
    </w:p>
    <w:p>
      <w:pPr>
        <w:pStyle w:val="16"/>
        <w:rPr>
          <w:rFonts w:ascii="仿宋" w:hAnsi="仿宋" w:eastAsia="仿宋"/>
          <w:sz w:val="28"/>
          <w:szCs w:val="28"/>
        </w:rPr>
      </w:pPr>
      <w:r>
        <w:fldChar w:fldCharType="begin"/>
      </w:r>
      <w:r>
        <w:instrText xml:space="preserve"> HYPERLINK \l "_Toc15396606" </w:instrText>
      </w:r>
      <w:r>
        <w:fldChar w:fldCharType="separate"/>
      </w:r>
      <w:r>
        <w:rPr>
          <w:rFonts w:hint="eastAsia" w:ascii="仿宋" w:hAnsi="仿宋" w:eastAsia="仿宋"/>
          <w:sz w:val="28"/>
          <w:szCs w:val="28"/>
        </w:rPr>
        <w:t>四、财政拨款收入支出决算总体情况说明</w:t>
      </w:r>
      <w:r>
        <w:rPr>
          <w:rFonts w:hint="eastAsia"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6"/>
        <w:rPr>
          <w:rFonts w:ascii="仿宋" w:hAnsi="仿宋" w:eastAsia="仿宋"/>
          <w:sz w:val="28"/>
          <w:szCs w:val="28"/>
        </w:rPr>
      </w:pPr>
      <w:r>
        <w:fldChar w:fldCharType="begin"/>
      </w:r>
      <w:r>
        <w:instrText xml:space="preserve"> HYPERLINK \l "_Toc15396607" </w:instrText>
      </w:r>
      <w:r>
        <w:fldChar w:fldCharType="separate"/>
      </w:r>
      <w:r>
        <w:rPr>
          <w:rFonts w:hint="eastAsia" w:ascii="仿宋" w:hAnsi="仿宋" w:eastAsia="仿宋"/>
          <w:sz w:val="28"/>
          <w:szCs w:val="28"/>
        </w:rPr>
        <w:t>五、一般公共预算财政拨款支出决算情况说明</w:t>
      </w:r>
      <w:r>
        <w:rPr>
          <w:rFonts w:hint="eastAsia"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6"/>
        <w:rPr>
          <w:rFonts w:ascii="仿宋" w:hAnsi="仿宋" w:eastAsia="仿宋"/>
          <w:sz w:val="28"/>
          <w:szCs w:val="28"/>
        </w:rPr>
      </w:pPr>
      <w:r>
        <w:fldChar w:fldCharType="begin"/>
      </w:r>
      <w:r>
        <w:instrText xml:space="preserve"> HYPERLINK \l "_Toc15396608" </w:instrText>
      </w:r>
      <w:r>
        <w:fldChar w:fldCharType="separate"/>
      </w:r>
      <w:r>
        <w:rPr>
          <w:rFonts w:hint="eastAsia" w:ascii="仿宋" w:hAnsi="仿宋" w:eastAsia="仿宋"/>
          <w:sz w:val="28"/>
          <w:szCs w:val="28"/>
        </w:rPr>
        <w:t>六、一般公共预算财政拨款基本支出决算情况说明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11</w:t>
      </w:r>
    </w:p>
    <w:p>
      <w:pPr>
        <w:pStyle w:val="16"/>
        <w:rPr>
          <w:rFonts w:ascii="仿宋" w:hAnsi="仿宋" w:eastAsia="仿宋"/>
          <w:sz w:val="28"/>
          <w:szCs w:val="28"/>
        </w:rPr>
      </w:pPr>
      <w:r>
        <w:fldChar w:fldCharType="begin"/>
      </w:r>
      <w:r>
        <w:instrText xml:space="preserve"> HYPERLINK \l "_Toc15396609" </w:instrText>
      </w:r>
      <w:r>
        <w:fldChar w:fldCharType="separate"/>
      </w:r>
      <w:r>
        <w:rPr>
          <w:rFonts w:hint="eastAsia" w:ascii="仿宋" w:hAnsi="仿宋" w:eastAsia="仿宋"/>
          <w:sz w:val="28"/>
          <w:szCs w:val="28"/>
        </w:rPr>
        <w:t>七、“三公”经费财政拨款支出决算情况说明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1</w:t>
      </w:r>
    </w:p>
    <w:p>
      <w:pPr>
        <w:pStyle w:val="16"/>
        <w:rPr>
          <w:rFonts w:ascii="仿宋" w:hAnsi="仿宋" w:eastAsia="仿宋"/>
          <w:sz w:val="28"/>
          <w:szCs w:val="28"/>
        </w:rPr>
      </w:pPr>
      <w:r>
        <w:fldChar w:fldCharType="begin"/>
      </w:r>
      <w:r>
        <w:instrText xml:space="preserve"> HYPERLINK \l "_Toc15396610" </w:instrText>
      </w:r>
      <w:r>
        <w:fldChar w:fldCharType="separate"/>
      </w:r>
      <w:r>
        <w:rPr>
          <w:rFonts w:hint="eastAsia" w:ascii="仿宋" w:hAnsi="仿宋" w:eastAsia="仿宋"/>
          <w:sz w:val="28"/>
          <w:szCs w:val="28"/>
        </w:rPr>
        <w:t>八、政府性基金预算支出决算情况说明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16"/>
        <w:rPr>
          <w:rFonts w:ascii="仿宋" w:hAnsi="仿宋" w:eastAsia="仿宋"/>
          <w:sz w:val="28"/>
          <w:szCs w:val="28"/>
        </w:rPr>
      </w:pPr>
      <w:r>
        <w:fldChar w:fldCharType="begin"/>
      </w:r>
      <w:r>
        <w:instrText xml:space="preserve"> HYPERLINK \l "_Toc15396611" </w:instrText>
      </w:r>
      <w:r>
        <w:fldChar w:fldCharType="separate"/>
      </w:r>
      <w:r>
        <w:rPr>
          <w:rFonts w:hint="eastAsia" w:ascii="仿宋" w:hAnsi="仿宋" w:eastAsia="仿宋"/>
          <w:sz w:val="28"/>
          <w:szCs w:val="28"/>
        </w:rPr>
        <w:t>九、 国有资本经营预算支出决算情况说明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28"/>
        <w:spacing w:line="580" w:lineRule="exact"/>
        <w:ind w:firstLine="0" w:firstLineChars="0"/>
        <w:rPr>
          <w:rFonts w:ascii="仿宋" w:hAnsi="仿宋" w:eastAsia="仿宋"/>
          <w:sz w:val="28"/>
          <w:szCs w:val="28"/>
        </w:rPr>
      </w:pPr>
      <w:r>
        <w:rPr>
          <w:rFonts w:hint="eastAsia" w:ascii="仿宋" w:hAnsi="仿宋" w:eastAsia="仿宋"/>
          <w:sz w:val="28"/>
          <w:szCs w:val="28"/>
        </w:rPr>
        <w:t xml:space="preserve">   十、预算绩效情况说明..................................13</w:t>
      </w:r>
    </w:p>
    <w:p>
      <w:pPr>
        <w:pStyle w:val="16"/>
        <w:ind w:left="0" w:leftChars="0" w:firstLine="210" w:firstLineChars="100"/>
        <w:rPr>
          <w:rFonts w:ascii="仿宋" w:hAnsi="仿宋" w:eastAsia="仿宋"/>
          <w:sz w:val="28"/>
          <w:szCs w:val="28"/>
        </w:rPr>
      </w:pPr>
      <w:r>
        <w:fldChar w:fldCharType="begin"/>
      </w:r>
      <w:r>
        <w:instrText xml:space="preserve"> HYPERLINK \l "_Toc15396612" </w:instrText>
      </w:r>
      <w:r>
        <w:fldChar w:fldCharType="separate"/>
      </w:r>
      <w:r>
        <w:rPr>
          <w:rFonts w:hint="eastAsia" w:ascii="仿宋" w:hAnsi="仿宋" w:eastAsia="仿宋"/>
          <w:sz w:val="28"/>
          <w:szCs w:val="28"/>
        </w:rPr>
        <w:t>十一、其他重要事项的情况说明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15</w:t>
      </w:r>
    </w:p>
    <w:p>
      <w:pPr>
        <w:pStyle w:val="14"/>
      </w:pPr>
      <w:r>
        <w:fldChar w:fldCharType="begin"/>
      </w:r>
      <w:r>
        <w:instrText xml:space="preserve"> HYPERLINK \l "_Toc15396613" </w:instrText>
      </w:r>
      <w:r>
        <w:fldChar w:fldCharType="separate"/>
      </w:r>
      <w:r>
        <w:rPr>
          <w:rFonts w:hint="eastAsia"/>
        </w:rPr>
        <w:t>第三部分 名词解释</w:t>
      </w:r>
      <w:r>
        <w:rPr>
          <w:rFonts w:hint="eastAsia"/>
        </w:rPr>
        <w:tab/>
      </w:r>
      <w:r>
        <w:rPr>
          <w:rFonts w:hint="eastAsia"/>
        </w:rPr>
        <w:t>16</w:t>
      </w:r>
      <w:r>
        <w:rPr>
          <w:rFonts w:hint="eastAsia"/>
        </w:rPr>
        <w:fldChar w:fldCharType="end"/>
      </w:r>
    </w:p>
    <w:p>
      <w:pPr>
        <w:pStyle w:val="14"/>
      </w:pPr>
      <w:r>
        <w:fldChar w:fldCharType="begin"/>
      </w:r>
      <w:r>
        <w:instrText xml:space="preserve"> HYPERLINK \l "_Toc15396614" </w:instrText>
      </w:r>
      <w:r>
        <w:fldChar w:fldCharType="separate"/>
      </w:r>
      <w:r>
        <w:rPr>
          <w:rFonts w:hint="eastAsia"/>
        </w:rPr>
        <w:t>第四部分 附件</w:t>
      </w:r>
      <w:r>
        <w:rPr>
          <w:rFonts w:hint="eastAsia"/>
        </w:rPr>
        <w:tab/>
      </w:r>
      <w:r>
        <w:rPr>
          <w:rFonts w:hint="eastAsia"/>
        </w:rPr>
        <w:t>19</w:t>
      </w:r>
      <w:r>
        <w:rPr>
          <w:rFonts w:hint="eastAsia"/>
        </w:rPr>
        <w:fldChar w:fldCharType="end"/>
      </w:r>
    </w:p>
    <w:p>
      <w:pPr>
        <w:pStyle w:val="16"/>
        <w:rPr>
          <w:rFonts w:ascii="仿宋" w:hAnsi="仿宋" w:eastAsia="仿宋"/>
          <w:sz w:val="28"/>
          <w:szCs w:val="28"/>
        </w:rPr>
      </w:pPr>
      <w:r>
        <w:fldChar w:fldCharType="begin"/>
      </w:r>
      <w:r>
        <w:instrText xml:space="preserve"> HYPERLINK \l "_Toc15396615" </w:instrText>
      </w:r>
      <w:r>
        <w:fldChar w:fldCharType="separate"/>
      </w:r>
      <w:r>
        <w:rPr>
          <w:rFonts w:hint="eastAsia" w:ascii="仿宋" w:hAnsi="仿宋" w:eastAsia="仿宋"/>
          <w:sz w:val="28"/>
          <w:szCs w:val="28"/>
        </w:rPr>
        <w:t>附件1</w:t>
      </w:r>
      <w:r>
        <w:rPr>
          <w:rFonts w:hint="eastAsia" w:ascii="仿宋" w:hAnsi="仿宋" w:eastAsia="仿宋"/>
          <w:sz w:val="28"/>
          <w:szCs w:val="28"/>
        </w:rPr>
        <w:tab/>
      </w:r>
      <w:r>
        <w:rPr>
          <w:rFonts w:hint="eastAsia" w:ascii="仿宋" w:hAnsi="仿宋" w:eastAsia="仿宋"/>
          <w:sz w:val="28"/>
          <w:szCs w:val="28"/>
        </w:rPr>
        <w:t>19</w:t>
      </w:r>
      <w:r>
        <w:rPr>
          <w:rFonts w:hint="eastAsia" w:ascii="仿宋" w:hAnsi="仿宋" w:eastAsia="仿宋"/>
          <w:sz w:val="28"/>
          <w:szCs w:val="28"/>
        </w:rPr>
        <w:fldChar w:fldCharType="end"/>
      </w:r>
    </w:p>
    <w:p>
      <w:pPr>
        <w:pStyle w:val="14"/>
      </w:pPr>
      <w:r>
        <w:fldChar w:fldCharType="begin"/>
      </w:r>
      <w:r>
        <w:instrText xml:space="preserve"> HYPERLINK \l "_Toc15396618" </w:instrText>
      </w:r>
      <w:r>
        <w:fldChar w:fldCharType="separate"/>
      </w:r>
      <w:r>
        <w:rPr>
          <w:rFonts w:hint="eastAsia"/>
        </w:rPr>
        <w:t>第五部分 附表</w:t>
      </w:r>
      <w:r>
        <w:rPr>
          <w:rFonts w:hint="eastAsia"/>
        </w:rPr>
        <w:tab/>
      </w:r>
      <w:r>
        <w:rPr>
          <w:rFonts w:hint="default"/>
        </w:rPr>
        <w:t>2</w:t>
      </w:r>
      <w:r>
        <w:rPr>
          <w:rFonts w:hint="eastAsia"/>
        </w:rPr>
        <w:t>9</w:t>
      </w:r>
      <w:r>
        <w:rPr>
          <w:rFonts w:hint="eastAsia"/>
        </w:rPr>
        <w:fldChar w:fldCharType="end"/>
      </w:r>
    </w:p>
    <w:p>
      <w:pPr>
        <w:pStyle w:val="16"/>
        <w:rPr>
          <w:rFonts w:hint="default" w:ascii="仿宋" w:hAnsi="仿宋" w:eastAsia="仿宋"/>
          <w:sz w:val="28"/>
          <w:szCs w:val="28"/>
        </w:rPr>
      </w:pPr>
      <w:r>
        <w:rPr>
          <w:rFonts w:hint="eastAsia" w:ascii="仿宋" w:hAnsi="仿宋" w:eastAsia="仿宋"/>
          <w:sz w:val="28"/>
          <w:szCs w:val="28"/>
        </w:rPr>
        <w:t>一、</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"_Toc15396619" </w:instrText>
      </w:r>
      <w:r>
        <w:rPr>
          <w:rFonts w:hint="eastAsia" w:ascii="仿宋" w:hAnsi="仿宋" w:eastAsia="仿宋"/>
          <w:sz w:val="28"/>
          <w:szCs w:val="28"/>
        </w:rPr>
        <w:fldChar w:fldCharType="separate"/>
      </w:r>
      <w:r>
        <w:rPr>
          <w:rFonts w:hint="eastAsia" w:ascii="仿宋" w:hAnsi="仿宋" w:eastAsia="仿宋"/>
          <w:sz w:val="28"/>
          <w:szCs w:val="28"/>
        </w:rPr>
        <w:t>收入支出决算总表</w:t>
      </w:r>
      <w:r>
        <w:rPr>
          <w:rFonts w:hint="eastAsia" w:ascii="仿宋" w:hAnsi="仿宋" w:eastAsia="仿宋"/>
          <w:sz w:val="28"/>
          <w:szCs w:val="28"/>
        </w:rPr>
        <w:tab/>
      </w:r>
      <w:r>
        <w:rPr>
          <w:rFonts w:hint="default" w:ascii="仿宋" w:hAnsi="仿宋" w:eastAsia="仿宋"/>
          <w:sz w:val="28"/>
          <w:szCs w:val="28"/>
        </w:rPr>
        <w:t>2</w:t>
      </w:r>
      <w:r>
        <w:rPr>
          <w:rFonts w:hint="eastAsia" w:ascii="仿宋" w:hAnsi="仿宋" w:eastAsia="仿宋"/>
          <w:sz w:val="28"/>
          <w:szCs w:val="28"/>
        </w:rPr>
        <w:fldChar w:fldCharType="end"/>
      </w:r>
      <w:r>
        <w:rPr>
          <w:rFonts w:hint="default" w:ascii="仿宋" w:hAnsi="仿宋" w:eastAsia="仿宋"/>
          <w:sz w:val="28"/>
          <w:szCs w:val="28"/>
        </w:rPr>
        <w:t>9</w:t>
      </w:r>
    </w:p>
    <w:p>
      <w:pPr>
        <w:pStyle w:val="16"/>
        <w:rPr>
          <w:rFonts w:ascii="仿宋" w:hAnsi="仿宋" w:eastAsia="仿宋"/>
          <w:sz w:val="28"/>
          <w:szCs w:val="28"/>
        </w:rPr>
      </w:pPr>
      <w:r>
        <w:rPr>
          <w:rFonts w:hint="eastAsia" w:ascii="仿宋" w:hAnsi="仿宋" w:eastAsia="仿宋"/>
          <w:sz w:val="28"/>
          <w:szCs w:val="28"/>
        </w:rPr>
        <w:t>二、</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"_Toc15396620" </w:instrText>
      </w:r>
      <w:r>
        <w:rPr>
          <w:rFonts w:hint="eastAsia" w:ascii="仿宋" w:hAnsi="仿宋" w:eastAsia="仿宋"/>
          <w:sz w:val="28"/>
          <w:szCs w:val="28"/>
        </w:rPr>
        <w:fldChar w:fldCharType="separate"/>
      </w:r>
      <w:r>
        <w:rPr>
          <w:rFonts w:hint="eastAsia" w:ascii="仿宋" w:hAnsi="仿宋" w:eastAsia="仿宋"/>
          <w:sz w:val="28"/>
          <w:szCs w:val="28"/>
        </w:rPr>
        <w:t>收入总表</w:t>
      </w:r>
      <w:r>
        <w:rPr>
          <w:rFonts w:hint="eastAsia" w:ascii="仿宋" w:hAnsi="仿宋" w:eastAsia="仿宋"/>
          <w:sz w:val="28"/>
          <w:szCs w:val="28"/>
        </w:rPr>
        <w:tab/>
      </w:r>
      <w:r>
        <w:rPr>
          <w:rFonts w:hint="eastAsia" w:ascii="仿宋" w:hAnsi="仿宋" w:eastAsia="仿宋"/>
          <w:sz w:val="28"/>
          <w:szCs w:val="28"/>
        </w:rPr>
        <w:t>2</w:t>
      </w:r>
      <w:r>
        <w:rPr>
          <w:rFonts w:hint="default" w:ascii="仿宋" w:hAnsi="仿宋" w:eastAsia="仿宋"/>
          <w:sz w:val="28"/>
          <w:szCs w:val="28"/>
        </w:rPr>
        <w:t>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三、</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"_Toc15396621" </w:instrText>
      </w:r>
      <w:r>
        <w:rPr>
          <w:rFonts w:hint="eastAsia" w:ascii="仿宋" w:hAnsi="仿宋" w:eastAsia="仿宋"/>
          <w:sz w:val="28"/>
          <w:szCs w:val="28"/>
        </w:rPr>
        <w:fldChar w:fldCharType="separate"/>
      </w:r>
      <w:r>
        <w:rPr>
          <w:rFonts w:hint="eastAsia" w:ascii="仿宋" w:hAnsi="仿宋" w:eastAsia="仿宋"/>
          <w:sz w:val="28"/>
          <w:szCs w:val="28"/>
        </w:rPr>
        <w:t>支出总表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四、</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"_Toc15396622" </w:instrText>
      </w:r>
      <w:r>
        <w:rPr>
          <w:rFonts w:hint="eastAsia" w:ascii="仿宋" w:hAnsi="仿宋" w:eastAsia="仿宋"/>
          <w:sz w:val="28"/>
          <w:szCs w:val="28"/>
        </w:rPr>
        <w:fldChar w:fldCharType="separate"/>
      </w:r>
      <w:r>
        <w:rPr>
          <w:rFonts w:hint="eastAsia" w:ascii="仿宋" w:hAnsi="仿宋" w:eastAsia="仿宋"/>
          <w:sz w:val="28"/>
          <w:szCs w:val="28"/>
        </w:rPr>
        <w:t>财政拨款收入支出决算总表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五、</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"_Toc15396623" </w:instrText>
      </w:r>
      <w:r>
        <w:rPr>
          <w:rFonts w:hint="eastAsia" w:ascii="仿宋" w:hAnsi="仿宋" w:eastAsia="仿宋"/>
          <w:sz w:val="28"/>
          <w:szCs w:val="28"/>
        </w:rP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六、</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"_Toc15396624"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一般公共预算财政拨款支出决算表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七、</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"_Toc15396625"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一般公共预算财政拨款支出决算明细表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ascii="仿宋" w:hAnsi="仿宋" w:eastAsia="仿宋"/>
          <w:sz w:val="28"/>
          <w:szCs w:val="28"/>
        </w:rPr>
      </w:pPr>
      <w:r>
        <w:rPr>
          <w:rFonts w:hint="eastAsia" w:ascii="仿宋" w:hAnsi="仿宋" w:eastAsia="仿宋"/>
          <w:sz w:val="28"/>
          <w:szCs w:val="28"/>
        </w:rPr>
        <w:t>八、</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"_Toc15396626"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一般公共预算财政拨款基本支出决算表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Fonts w:hint="eastAsia" w:ascii="仿宋" w:hAnsi="仿宋" w:eastAsia="仿宋"/>
          <w:sz w:val="28"/>
          <w:szCs w:val="28"/>
        </w:rPr>
      </w:pPr>
      <w:r>
        <w:rPr>
          <w:rFonts w:hint="eastAsia" w:ascii="仿宋" w:hAnsi="仿宋" w:eastAsia="仿宋"/>
          <w:sz w:val="28"/>
          <w:szCs w:val="28"/>
        </w:rPr>
        <w:t>九、</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"_Toc15396627"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一般公共预算财政拨款项目支出决算表</w:t>
      </w:r>
      <w:r>
        <w:rPr>
          <w:rFonts w:hint="eastAsia" w:ascii="仿宋" w:hAnsi="仿宋" w:eastAsia="仿宋"/>
          <w:sz w:val="28"/>
          <w:szCs w:val="28"/>
        </w:rPr>
        <w:tab/>
      </w:r>
      <w:r>
        <w:rPr>
          <w:rFonts w:hint="default" w:ascii="仿宋" w:hAnsi="仿宋" w:eastAsia="仿宋"/>
          <w:sz w:val="28"/>
          <w:szCs w:val="28"/>
        </w:rPr>
        <w:t>29</w:t>
      </w:r>
      <w:r>
        <w:rPr>
          <w:rFonts w:hint="eastAsia" w:ascii="仿宋" w:hAnsi="仿宋" w:eastAsia="仿宋"/>
          <w:sz w:val="28"/>
          <w:szCs w:val="28"/>
        </w:rPr>
        <w:fldChar w:fldCharType="end"/>
      </w:r>
    </w:p>
    <w:p>
      <w:pPr>
        <w:pStyle w:val="16"/>
        <w:rPr>
          <w:rStyle w:val="30"/>
          <w:rFonts w:hint="eastAsia" w:ascii="仿宋" w:hAnsi="仿宋" w:eastAsia="仿宋"/>
          <w:b w:val="0"/>
          <w:bCs w:val="0"/>
        </w:rPr>
      </w:pPr>
      <w:r>
        <w:rPr>
          <w:rFonts w:hint="eastAsia" w:ascii="仿宋" w:hAnsi="仿宋" w:eastAsia="仿宋"/>
          <w:sz w:val="28"/>
          <w:szCs w:val="28"/>
        </w:rPr>
        <w:t>十、</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r>
        <w:rPr>
          <w:rFonts w:hint="eastAsia" w:ascii="仿宋" w:hAnsi="仿宋" w:eastAsia="仿宋"/>
          <w:sz w:val="28"/>
          <w:szCs w:val="28"/>
        </w:rPr>
        <w:tab/>
      </w:r>
      <w:r>
        <w:rPr>
          <w:rFonts w:hint="default" w:ascii="仿宋" w:hAnsi="仿宋" w:eastAsia="仿宋"/>
          <w:sz w:val="28"/>
          <w:szCs w:val="28"/>
        </w:rPr>
        <w:t>29</w:t>
      </w:r>
    </w:p>
    <w:p>
      <w:pPr>
        <w:pStyle w:val="16"/>
        <w:rPr>
          <w:rStyle w:val="30"/>
          <w:rFonts w:hint="eastAsia" w:ascii="仿宋" w:hAnsi="仿宋" w:eastAsia="仿宋"/>
          <w:b w:val="0"/>
          <w:bCs w:val="0"/>
          <w:lang w:val="en-US" w:eastAsia="zh-CN"/>
        </w:rPr>
      </w:pPr>
      <w:r>
        <w:rPr>
          <w:rFonts w:hint="eastAsia" w:ascii="仿宋" w:hAnsi="仿宋" w:eastAsia="仿宋"/>
          <w:b w:val="0"/>
          <w:color w:val="000000"/>
          <w:lang w:val="en-US" w:eastAsia="zh-CN"/>
        </w:rPr>
        <w:t>十一、</w:t>
      </w:r>
      <w:r>
        <w:rPr>
          <w:rFonts w:hint="eastAsia" w:ascii="仿宋" w:hAnsi="仿宋" w:eastAsia="仿宋"/>
          <w:b w:val="0"/>
          <w:color w:val="000000"/>
        </w:rPr>
        <w:t>国</w:t>
      </w:r>
      <w:r>
        <w:rPr>
          <w:rStyle w:val="30"/>
          <w:rFonts w:hint="eastAsia" w:ascii="仿宋" w:hAnsi="仿宋" w:eastAsia="仿宋"/>
          <w:b w:val="0"/>
          <w:bCs w:val="0"/>
        </w:rPr>
        <w:t>有资本经营预算</w:t>
      </w:r>
      <w:r>
        <w:rPr>
          <w:rStyle w:val="30"/>
          <w:rFonts w:hint="eastAsia" w:ascii="仿宋" w:hAnsi="仿宋" w:eastAsia="仿宋"/>
          <w:b w:val="0"/>
          <w:bCs w:val="0"/>
          <w:lang w:val="en-US" w:eastAsia="zh-CN"/>
        </w:rPr>
        <w:t>财政拨款收入支出决算表</w:t>
      </w:r>
      <w:r>
        <w:rPr>
          <w:rFonts w:hint="eastAsia" w:ascii="仿宋" w:hAnsi="仿宋" w:eastAsia="仿宋"/>
          <w:sz w:val="28"/>
          <w:szCs w:val="28"/>
        </w:rPr>
        <w:tab/>
      </w:r>
      <w:r>
        <w:rPr>
          <w:rFonts w:hint="default" w:ascii="仿宋" w:hAnsi="仿宋" w:eastAsia="仿宋"/>
          <w:sz w:val="28"/>
          <w:szCs w:val="28"/>
        </w:rPr>
        <w:t>29</w:t>
      </w:r>
    </w:p>
    <w:p>
      <w:pPr>
        <w:pStyle w:val="16"/>
        <w:rPr>
          <w:rStyle w:val="30"/>
          <w:rFonts w:hint="eastAsia" w:ascii="仿宋" w:hAnsi="仿宋" w:eastAsia="仿宋"/>
          <w:b w:val="0"/>
          <w:bCs w:val="0"/>
          <w:lang w:val="en-US" w:eastAsia="zh-CN"/>
        </w:rPr>
      </w:pPr>
      <w:r>
        <w:rPr>
          <w:rStyle w:val="30"/>
          <w:rFonts w:hint="eastAsia" w:ascii="仿宋" w:hAnsi="仿宋" w:eastAsia="仿宋"/>
          <w:b w:val="0"/>
          <w:bCs w:val="0"/>
        </w:rPr>
        <w:t>十二、</w:t>
      </w:r>
      <w:r>
        <w:rPr>
          <w:rFonts w:hint="eastAsia" w:ascii="仿宋" w:hAnsi="仿宋" w:eastAsia="仿宋"/>
          <w:b w:val="0"/>
          <w:color w:val="000000"/>
        </w:rPr>
        <w:t>国</w:t>
      </w:r>
      <w:r>
        <w:rPr>
          <w:rStyle w:val="30"/>
          <w:rFonts w:hint="eastAsia" w:ascii="仿宋" w:hAnsi="仿宋" w:eastAsia="仿宋"/>
          <w:b w:val="0"/>
          <w:bCs w:val="0"/>
        </w:rPr>
        <w:t>有资本经营预算</w:t>
      </w:r>
      <w:r>
        <w:rPr>
          <w:rStyle w:val="30"/>
          <w:rFonts w:hint="eastAsia" w:ascii="仿宋" w:hAnsi="仿宋" w:eastAsia="仿宋"/>
          <w:b w:val="0"/>
          <w:bCs w:val="0"/>
          <w:lang w:val="en-US" w:eastAsia="zh-CN"/>
        </w:rPr>
        <w:t>财政拨款支出决算表</w:t>
      </w:r>
      <w:r>
        <w:rPr>
          <w:rFonts w:hint="eastAsia" w:ascii="仿宋" w:hAnsi="仿宋" w:eastAsia="仿宋"/>
          <w:sz w:val="28"/>
          <w:szCs w:val="28"/>
        </w:rPr>
        <w:tab/>
      </w:r>
      <w:r>
        <w:rPr>
          <w:rFonts w:hint="default" w:ascii="仿宋" w:hAnsi="仿宋" w:eastAsia="仿宋"/>
          <w:sz w:val="28"/>
          <w:szCs w:val="28"/>
        </w:rPr>
        <w:t>29</w:t>
      </w:r>
    </w:p>
    <w:p>
      <w:pPr>
        <w:pStyle w:val="16"/>
        <w:rPr>
          <w:rStyle w:val="30"/>
          <w:rFonts w:hint="eastAsia" w:ascii="仿宋" w:hAnsi="仿宋" w:eastAsia="仿宋"/>
          <w:b w:val="0"/>
          <w:bCs w:val="0"/>
        </w:rPr>
      </w:pPr>
      <w:r>
        <w:rPr>
          <w:rStyle w:val="30"/>
          <w:rFonts w:hint="eastAsia" w:ascii="仿宋" w:hAnsi="仿宋" w:eastAsia="仿宋"/>
          <w:b w:val="0"/>
          <w:bCs w:val="0"/>
        </w:rPr>
        <w:t>十三、财政拨款“三公”经费支出决算表</w:t>
      </w:r>
      <w:r>
        <w:rPr>
          <w:rFonts w:hint="eastAsia" w:ascii="仿宋" w:hAnsi="仿宋" w:eastAsia="仿宋"/>
          <w:sz w:val="28"/>
          <w:szCs w:val="28"/>
        </w:rPr>
        <w:tab/>
      </w:r>
      <w:r>
        <w:rPr>
          <w:rFonts w:hint="default" w:ascii="仿宋" w:hAnsi="仿宋" w:eastAsia="仿宋"/>
          <w:sz w:val="28"/>
          <w:szCs w:val="28"/>
        </w:rPr>
        <w:t>29</w:t>
      </w:r>
    </w:p>
    <w:p>
      <w:pPr>
        <w:widowControl/>
        <w:jc w:val="left"/>
        <w:rPr>
          <w:rFonts w:ascii="仿宋" w:hAnsi="仿宋" w:eastAsia="仿宋"/>
          <w:sz w:val="28"/>
          <w:szCs w:val="28"/>
        </w:rPr>
      </w:pPr>
    </w:p>
    <w:p>
      <w:pPr>
        <w:pStyle w:val="3"/>
        <w:jc w:val="center"/>
        <w:rPr>
          <w:rFonts w:hint="eastAsia" w:ascii="黑体" w:hAnsi="黑体" w:eastAsia="黑体"/>
          <w:b w:val="0"/>
        </w:rPr>
      </w:pPr>
      <w:bookmarkStart w:id="17" w:name="_Toc16429"/>
    </w:p>
    <w:p>
      <w:pPr>
        <w:pStyle w:val="3"/>
        <w:jc w:val="both"/>
        <w:rPr>
          <w:rFonts w:hint="eastAsia" w:ascii="黑体" w:hAnsi="黑体" w:eastAsia="黑体"/>
          <w:b w:val="0"/>
        </w:rPr>
      </w:pPr>
    </w:p>
    <w:p>
      <w:pPr>
        <w:pStyle w:val="3"/>
        <w:jc w:val="center"/>
        <w:rPr>
          <w:rFonts w:ascii="黑体" w:eastAsia="黑体"/>
          <w:color w:val="000000"/>
          <w:sz w:val="32"/>
          <w:szCs w:val="32"/>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6"/>
      <w:bookmarkEnd w:id="17"/>
    </w:p>
    <w:p>
      <w:pPr>
        <w:pStyle w:val="4"/>
        <w:spacing w:before="0" w:after="0" w:line="240" w:lineRule="auto"/>
        <w:ind w:left="640" w:hanging="640" w:hangingChars="200"/>
        <w:rPr>
          <w:rStyle w:val="30"/>
          <w:rFonts w:ascii="黑体" w:hAnsi="黑体" w:eastAsia="黑体"/>
          <w:b w:val="0"/>
          <w:bCs w:val="0"/>
        </w:rPr>
      </w:pPr>
      <w:bookmarkStart w:id="18" w:name="_Toc15377197"/>
      <w:bookmarkStart w:id="19" w:name="_Toc2148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8"/>
      <w:bookmarkEnd w:id="19"/>
      <w:bookmarkStart w:id="20" w:name="_Toc15377198"/>
      <w:bookmarkStart w:id="21" w:name="_Toc15378445"/>
    </w:p>
    <w:p>
      <w:pPr>
        <w:pStyle w:val="4"/>
        <w:spacing w:before="0" w:after="0" w:line="240" w:lineRule="auto"/>
        <w:ind w:left="642" w:leftChars="153" w:hanging="321" w:hangingChars="100"/>
        <w:rPr>
          <w:rFonts w:ascii="楷体" w:hAnsi="楷体" w:eastAsia="楷体" w:cs="楷体"/>
          <w:color w:val="000000"/>
        </w:rPr>
      </w:pPr>
      <w:bookmarkStart w:id="22" w:name="_Toc272"/>
      <w:r>
        <w:rPr>
          <w:rFonts w:hint="eastAsia" w:ascii="楷体" w:hAnsi="楷体" w:eastAsia="楷体" w:cs="楷体"/>
          <w:color w:val="000000"/>
        </w:rPr>
        <w:t>（一）主要职能</w:t>
      </w:r>
      <w:bookmarkEnd w:id="20"/>
      <w:bookmarkEnd w:id="21"/>
      <w:bookmarkEnd w:id="22"/>
      <w:bookmarkStart w:id="23" w:name="_Toc15377199"/>
      <w:bookmarkStart w:id="24" w:name="_Toc15378446"/>
    </w:p>
    <w:p>
      <w:pPr>
        <w:pStyle w:val="2"/>
        <w:adjustRightInd w:val="0"/>
        <w:snapToGrid w:val="0"/>
        <w:spacing w:before="93" w:line="600" w:lineRule="exact"/>
        <w:ind w:firstLine="672" w:firstLineChars="210"/>
        <w:rPr>
          <w:bCs/>
          <w:color w:val="000000"/>
          <w:sz w:val="32"/>
          <w:szCs w:val="32"/>
        </w:rPr>
      </w:pPr>
      <w:bookmarkStart w:id="25" w:name="_Toc32388"/>
      <w:r>
        <w:rPr>
          <w:rFonts w:hint="eastAsia"/>
          <w:bCs/>
          <w:color w:val="000000"/>
          <w:sz w:val="32"/>
          <w:szCs w:val="32"/>
        </w:rPr>
        <w:t>１协助县政府领导同志组织起草或审核以县政府、金川县人民政府办公室名义发布的公文。办理州政府、州政府办公室及各部委局发送县政府的文电。指导全县行政机关公文处理工作。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2研究县政府部门和各乡镇人民政府请示县政府事项，提出审核意见，报县政府领导同志审批。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3负责县政府会议准备工作，协助县政府领导组织实施会议决定事项。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4根据县政府领导同志的指示，对县政府部门间争议问题提出处理意见和建议，报县政府领导同志决定。</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5督促检查县政府各部门和各乡镇人民政府对县政府决定事项及县政府领导同志指示的贯彻落实情况，及时向县政府领导同志报告。</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6负责县政府值班工作，指导乡镇人民政府和县政府部门值班工作，及时报告重要情况。</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7指导、监督全县政府信息公开工作和机关行政效能建设工作，指导、监督全县政府系统电子政务工作和政府网站建设。</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8组织办理涉及县政府工作的人大代表议案、批评、建议和政协委员提案、建议案工作。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9负责县政府人民防空和民防工作。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10负责全县机关事业单位小汽车编制审批事项。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11负责外事侨务工作。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12监督、指导县人民政府驻成都办事处工作。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13承办县政府和县政府领导交办的其他事项。　</w:t>
      </w:r>
    </w:p>
    <w:p>
      <w:pPr>
        <w:pStyle w:val="4"/>
        <w:spacing w:before="0" w:after="0" w:line="240" w:lineRule="auto"/>
        <w:ind w:firstLine="643" w:firstLineChars="200"/>
        <w:rPr>
          <w:rFonts w:ascii="楷体" w:hAnsi="楷体" w:eastAsia="楷体" w:cs="楷体"/>
          <w:color w:val="000000"/>
        </w:rPr>
      </w:pPr>
      <w:r>
        <w:rPr>
          <w:rFonts w:hint="eastAsia" w:ascii="楷体" w:hAnsi="楷体" w:eastAsia="楷体" w:cs="楷体"/>
          <w:color w:val="000000"/>
        </w:rPr>
        <w:t>（二）202</w:t>
      </w:r>
      <w:r>
        <w:rPr>
          <w:rFonts w:hint="eastAsia" w:ascii="楷体" w:hAnsi="楷体" w:eastAsia="楷体" w:cs="楷体"/>
          <w:color w:val="000000"/>
          <w:lang w:val="en-US" w:eastAsia="zh-CN"/>
        </w:rPr>
        <w:t>2</w:t>
      </w:r>
      <w:r>
        <w:rPr>
          <w:rFonts w:hint="eastAsia" w:ascii="楷体" w:hAnsi="楷体" w:eastAsia="楷体" w:cs="楷体"/>
          <w:color w:val="000000"/>
        </w:rPr>
        <w:t>年重点工作完成情况</w:t>
      </w:r>
      <w:bookmarkEnd w:id="23"/>
      <w:bookmarkEnd w:id="24"/>
      <w:bookmarkEnd w:id="25"/>
    </w:p>
    <w:p>
      <w:pPr>
        <w:widowControl/>
        <w:ind w:firstLine="640" w:firstLineChars="200"/>
        <w:jc w:val="left"/>
        <w:rPr>
          <w:rFonts w:hint="eastAsia" w:ascii="仿宋_GB2312" w:eastAsia="仿宋_GB2312"/>
          <w:bCs/>
          <w:color w:val="000000"/>
          <w:sz w:val="32"/>
          <w:szCs w:val="32"/>
        </w:rPr>
      </w:pPr>
      <w:bookmarkStart w:id="26" w:name="_Toc15377200"/>
      <w:r>
        <w:rPr>
          <w:rFonts w:hint="eastAsia" w:ascii="仿宋_GB2312" w:eastAsia="仿宋_GB2312"/>
          <w:bCs/>
          <w:color w:val="000000"/>
          <w:sz w:val="32"/>
          <w:szCs w:val="32"/>
        </w:rPr>
        <w:t>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w:t>
      </w:r>
      <w:r>
        <w:rPr>
          <w:rFonts w:hint="eastAsia" w:ascii="仿宋_GB2312" w:eastAsia="仿宋_GB2312"/>
          <w:bCs/>
          <w:color w:val="000000"/>
          <w:sz w:val="32"/>
          <w:szCs w:val="32"/>
          <w:lang w:eastAsia="zh-CN"/>
        </w:rPr>
        <w:t>2022</w:t>
      </w:r>
      <w:r>
        <w:rPr>
          <w:rFonts w:hint="eastAsia" w:ascii="仿宋_GB2312" w:eastAsia="仿宋_GB2312"/>
          <w:bCs/>
          <w:color w:val="000000"/>
          <w:sz w:val="32"/>
          <w:szCs w:val="32"/>
        </w:rPr>
        <w:t>年各项工作，取得了实效。</w:t>
      </w:r>
    </w:p>
    <w:p>
      <w:pPr>
        <w:spacing w:line="578" w:lineRule="exact"/>
        <w:ind w:firstLine="640" w:firstLineChars="200"/>
        <w:rPr>
          <w:rStyle w:val="30"/>
          <w:b w:val="0"/>
          <w:bCs w:val="0"/>
        </w:rPr>
      </w:pPr>
      <w:bookmarkStart w:id="27" w:name="_Toc32147"/>
      <w:r>
        <w:rPr>
          <w:rStyle w:val="30"/>
          <w:rFonts w:hint="eastAsia" w:ascii="黑体" w:hAnsi="黑体" w:eastAsia="黑体"/>
          <w:b w:val="0"/>
          <w:bCs w:val="0"/>
        </w:rPr>
        <w:t>二、机构设置</w:t>
      </w:r>
      <w:bookmarkEnd w:id="26"/>
    </w:p>
    <w:bookmarkEnd w:id="27"/>
    <w:p>
      <w:pPr>
        <w:ind w:firstLine="627" w:firstLineChars="196"/>
        <w:rPr>
          <w:rFonts w:hint="eastAsia" w:ascii="仿宋_GB2312" w:eastAsia="仿宋_GB2312"/>
          <w:sz w:val="32"/>
          <w:szCs w:val="32"/>
        </w:rPr>
      </w:pPr>
      <w:r>
        <w:rPr>
          <w:rFonts w:hint="eastAsia" w:ascii="仿宋_GB2312" w:eastAsia="仿宋_GB2312"/>
          <w:color w:val="000000"/>
          <w:sz w:val="32"/>
          <w:szCs w:val="32"/>
        </w:rPr>
        <w:t>金川县人民</w:t>
      </w:r>
      <w:r>
        <w:rPr>
          <w:rFonts w:hint="eastAsia" w:ascii="仿宋_GB2312" w:eastAsia="仿宋_GB2312"/>
          <w:color w:val="000000"/>
          <w:sz w:val="32"/>
          <w:szCs w:val="32"/>
          <w:lang w:eastAsia="zh-CN"/>
        </w:rPr>
        <w:t>政府办</w:t>
      </w:r>
      <w:r>
        <w:rPr>
          <w:rFonts w:hint="eastAsia" w:ascii="仿宋_GB2312" w:eastAsia="仿宋_GB2312"/>
          <w:color w:val="000000"/>
          <w:sz w:val="32"/>
          <w:szCs w:val="32"/>
        </w:rPr>
        <w:t>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个，独立编制机构</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个，行政单位</w:t>
      </w:r>
      <w:r>
        <w:rPr>
          <w:rFonts w:hint="eastAsia" w:ascii="仿宋_GB2312" w:eastAsia="仿宋_GB2312"/>
          <w:color w:val="000000"/>
          <w:sz w:val="32"/>
          <w:szCs w:val="32"/>
          <w:lang w:eastAsia="zh-CN"/>
        </w:rPr>
        <w:t>，</w:t>
      </w:r>
      <w:r>
        <w:rPr>
          <w:rFonts w:hint="eastAsia" w:ascii="仿宋_GB2312" w:eastAsia="仿宋_GB2312"/>
          <w:sz w:val="32"/>
          <w:szCs w:val="32"/>
        </w:rPr>
        <w:t>单位编制数</w:t>
      </w:r>
      <w:r>
        <w:rPr>
          <w:rFonts w:hint="eastAsia" w:ascii="仿宋_GB2312" w:eastAsia="仿宋_GB2312"/>
          <w:sz w:val="32"/>
          <w:szCs w:val="32"/>
          <w:lang w:val="en-US" w:eastAsia="zh-CN"/>
        </w:rPr>
        <w:t>37</w:t>
      </w:r>
      <w:r>
        <w:rPr>
          <w:rFonts w:hint="eastAsia" w:ascii="仿宋_GB2312" w:eastAsia="仿宋_GB2312"/>
          <w:sz w:val="32"/>
          <w:szCs w:val="32"/>
        </w:rPr>
        <w:t>个，其中：公务员编制23个、行政工勤编制7个</w:t>
      </w:r>
      <w:r>
        <w:rPr>
          <w:rFonts w:hint="eastAsia" w:ascii="仿宋_GB2312" w:eastAsia="仿宋_GB2312"/>
          <w:sz w:val="32"/>
          <w:szCs w:val="32"/>
          <w:lang w:eastAsia="zh-CN"/>
        </w:rPr>
        <w:t>，</w:t>
      </w:r>
      <w:r>
        <w:rPr>
          <w:rFonts w:hint="eastAsia" w:ascii="仿宋_GB2312" w:eastAsia="仿宋_GB2312"/>
          <w:sz w:val="32"/>
          <w:szCs w:val="32"/>
          <w:lang w:val="en-US" w:eastAsia="zh-CN"/>
        </w:rPr>
        <w:t>事业管理7人，</w:t>
      </w:r>
      <w:r>
        <w:rPr>
          <w:rFonts w:hint="eastAsia" w:ascii="仿宋_GB2312" w:eastAsia="仿宋_GB2312"/>
          <w:sz w:val="32"/>
          <w:szCs w:val="32"/>
        </w:rPr>
        <w:t xml:space="preserve"> 20</w:t>
      </w:r>
      <w:r>
        <w:rPr>
          <w:rFonts w:hint="eastAsia" w:ascii="仿宋_GB2312" w:eastAsia="仿宋_GB2312"/>
          <w:sz w:val="32"/>
          <w:szCs w:val="32"/>
          <w:lang w:val="en-US" w:eastAsia="zh-CN"/>
        </w:rPr>
        <w:t>22</w:t>
      </w:r>
      <w:r>
        <w:rPr>
          <w:rFonts w:hint="eastAsia" w:ascii="仿宋_GB2312" w:eastAsia="仿宋_GB2312"/>
          <w:sz w:val="32"/>
          <w:szCs w:val="32"/>
        </w:rPr>
        <w:t>年末，单位实有人数</w:t>
      </w:r>
      <w:r>
        <w:rPr>
          <w:rFonts w:hint="eastAsia" w:ascii="仿宋_GB2312" w:eastAsia="仿宋_GB2312"/>
          <w:sz w:val="32"/>
          <w:szCs w:val="32"/>
          <w:lang w:val="en-US" w:eastAsia="zh-CN"/>
        </w:rPr>
        <w:t>33</w:t>
      </w:r>
      <w:r>
        <w:rPr>
          <w:rFonts w:hint="eastAsia" w:ascii="仿宋_GB2312" w:eastAsia="仿宋_GB2312"/>
          <w:sz w:val="32"/>
          <w:szCs w:val="32"/>
        </w:rPr>
        <w:t>人，其中：在职</w:t>
      </w:r>
      <w:r>
        <w:rPr>
          <w:rFonts w:hint="eastAsia" w:ascii="仿宋_GB2312" w:eastAsia="仿宋_GB2312"/>
          <w:sz w:val="32"/>
          <w:szCs w:val="32"/>
          <w:lang w:val="en-US" w:eastAsia="zh-CN"/>
        </w:rPr>
        <w:t>33</w:t>
      </w:r>
      <w:r>
        <w:rPr>
          <w:rFonts w:hint="eastAsia" w:ascii="仿宋_GB2312" w:eastAsia="仿宋_GB2312"/>
          <w:sz w:val="32"/>
          <w:szCs w:val="32"/>
        </w:rPr>
        <w:t>人（公务员</w:t>
      </w:r>
      <w:r>
        <w:rPr>
          <w:rFonts w:hint="eastAsia" w:ascii="仿宋_GB2312" w:eastAsia="仿宋_GB2312"/>
          <w:sz w:val="32"/>
          <w:szCs w:val="32"/>
          <w:lang w:val="en-US" w:eastAsia="zh-CN"/>
        </w:rPr>
        <w:t>16</w:t>
      </w:r>
      <w:r>
        <w:rPr>
          <w:rFonts w:hint="eastAsia" w:ascii="仿宋_GB2312" w:eastAsia="仿宋_GB2312"/>
          <w:sz w:val="32"/>
          <w:szCs w:val="32"/>
        </w:rPr>
        <w:t>人、行政工勤</w:t>
      </w:r>
      <w:r>
        <w:rPr>
          <w:rFonts w:hint="eastAsia" w:ascii="仿宋_GB2312" w:eastAsia="仿宋_GB2312"/>
          <w:sz w:val="32"/>
          <w:szCs w:val="32"/>
          <w:lang w:val="en-US" w:eastAsia="zh-CN"/>
        </w:rPr>
        <w:t>10</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事业管理7人</w:t>
      </w:r>
      <w:r>
        <w:rPr>
          <w:rFonts w:hint="eastAsia" w:ascii="仿宋_GB2312" w:eastAsia="仿宋_GB2312"/>
          <w:sz w:val="32"/>
          <w:szCs w:val="32"/>
        </w:rPr>
        <w:t>）。</w:t>
      </w:r>
    </w:p>
    <w:p>
      <w:pPr>
        <w:widowControl/>
        <w:ind w:firstLine="640" w:firstLineChars="200"/>
        <w:jc w:val="left"/>
        <w:rPr>
          <w:rFonts w:ascii="仿宋" w:hAnsi="仿宋" w:eastAsia="仿宋_GB2312"/>
          <w:color w:val="000000"/>
          <w:kern w:val="0"/>
          <w:sz w:val="32"/>
          <w:szCs w:val="32"/>
        </w:rPr>
      </w:pPr>
    </w:p>
    <w:p>
      <w:pPr>
        <w:pStyle w:val="3"/>
        <w:ind w:right="440"/>
        <w:jc w:val="center"/>
        <w:rPr>
          <w:rFonts w:hint="eastAsia" w:ascii="黑体" w:hAnsi="黑体" w:eastAsia="黑体"/>
          <w:b w:val="0"/>
          <w:color w:val="000000"/>
        </w:rPr>
      </w:pPr>
      <w:bookmarkStart w:id="28" w:name="_Toc18319"/>
      <w:bookmarkStart w:id="29" w:name="_Toc15377204"/>
    </w:p>
    <w:p>
      <w:pPr>
        <w:pStyle w:val="3"/>
        <w:ind w:right="440"/>
        <w:jc w:val="center"/>
      </w:pPr>
      <w:r>
        <w:rPr>
          <w:rFonts w:hint="eastAsia" w:ascii="黑体" w:hAnsi="黑体" w:eastAsia="黑体"/>
          <w:b w:val="0"/>
          <w:color w:val="000000"/>
        </w:rPr>
        <w:t xml:space="preserve">  第二部分</w:t>
      </w:r>
      <w:r>
        <w:rPr>
          <w:rFonts w:hint="eastAsia" w:ascii="黑体" w:hAnsi="黑体" w:eastAsia="黑体"/>
          <w:color w:val="000000"/>
        </w:rPr>
        <w:t xml:space="preserve"> </w:t>
      </w:r>
      <w:r>
        <w:rPr>
          <w:rStyle w:val="29"/>
          <w:rFonts w:hint="eastAsia" w:ascii="黑体" w:hAnsi="黑体" w:eastAsia="黑体"/>
          <w:b w:val="0"/>
          <w:bCs w:val="0"/>
        </w:rPr>
        <w:t>202</w:t>
      </w:r>
      <w:r>
        <w:rPr>
          <w:rStyle w:val="29"/>
          <w:rFonts w:hint="eastAsia" w:ascii="黑体" w:hAnsi="黑体" w:eastAsia="黑体"/>
          <w:b w:val="0"/>
          <w:bCs w:val="0"/>
          <w:lang w:val="en-US" w:eastAsia="zh-CN"/>
        </w:rPr>
        <w:t>2</w:t>
      </w:r>
      <w:r>
        <w:rPr>
          <w:rStyle w:val="29"/>
          <w:rFonts w:hint="eastAsia" w:ascii="黑体" w:hAnsi="黑体" w:eastAsia="黑体"/>
          <w:b w:val="0"/>
          <w:bCs w:val="0"/>
        </w:rPr>
        <w:t>年度部门决算情况说明</w:t>
      </w:r>
      <w:bookmarkEnd w:id="28"/>
      <w:bookmarkEnd w:id="29"/>
    </w:p>
    <w:p>
      <w:pPr>
        <w:pStyle w:val="28"/>
        <w:ind w:firstLine="640"/>
        <w:outlineLvl w:val="1"/>
        <w:rPr>
          <w:rStyle w:val="30"/>
          <w:rFonts w:ascii="黑体" w:hAnsi="黑体" w:eastAsia="黑体"/>
          <w:b w:val="0"/>
        </w:rPr>
      </w:pPr>
      <w:bookmarkStart w:id="30" w:name="_Toc19406"/>
      <w:bookmarkStart w:id="31" w:name="_Toc15377205"/>
      <w:r>
        <w:rPr>
          <w:rFonts w:hint="eastAsia" w:ascii="黑体" w:hAnsi="黑体" w:eastAsia="黑体"/>
          <w:color w:val="000000"/>
          <w:sz w:val="32"/>
          <w:szCs w:val="32"/>
        </w:rPr>
        <w:t>一、收</w:t>
      </w:r>
      <w:r>
        <w:rPr>
          <w:rStyle w:val="30"/>
          <w:rFonts w:hint="eastAsia" w:ascii="黑体" w:hAnsi="黑体" w:eastAsia="黑体"/>
          <w:b w:val="0"/>
        </w:rPr>
        <w:t>入支出决算总体情况说明</w:t>
      </w:r>
      <w:bookmarkEnd w:id="30"/>
      <w:bookmarkEnd w:id="31"/>
    </w:p>
    <w:p>
      <w:pPr>
        <w:snapToGrid w:val="0"/>
        <w:spacing w:line="520" w:lineRule="exact"/>
        <w:ind w:firstLine="632" w:firstLineChars="200"/>
        <w:rPr>
          <w:rFonts w:ascii="仿宋_GB2312" w:hAnsi="仿宋" w:eastAsia="仿宋_GB2312"/>
          <w:color w:val="000000" w:themeColor="text1"/>
          <w:spacing w:val="-2"/>
          <w:sz w:val="32"/>
          <w:szCs w:val="32"/>
          <w14:textFill>
            <w14:solidFill>
              <w14:schemeClr w14:val="tx1"/>
            </w14:solidFill>
          </w14:textFill>
        </w:rPr>
      </w:pPr>
      <w:r>
        <w:rPr>
          <w:rFonts w:hint="eastAsia" w:ascii="仿宋_GB2312" w:hAnsi="仿宋" w:eastAsia="仿宋_GB2312"/>
          <w:color w:val="000000" w:themeColor="text1"/>
          <w:spacing w:val="-2"/>
          <w:sz w:val="32"/>
          <w:szCs w:val="32"/>
          <w:lang w:eastAsia="zh-CN"/>
          <w14:textFill>
            <w14:solidFill>
              <w14:schemeClr w14:val="tx1"/>
            </w14:solidFill>
          </w14:textFill>
        </w:rPr>
        <w:t>2022</w:t>
      </w:r>
      <w:r>
        <w:rPr>
          <w:rFonts w:hint="eastAsia" w:ascii="仿宋_GB2312" w:hAnsi="仿宋" w:eastAsia="仿宋_GB2312"/>
          <w:color w:val="000000" w:themeColor="text1"/>
          <w:spacing w:val="-2"/>
          <w:sz w:val="32"/>
          <w:szCs w:val="32"/>
          <w14:textFill>
            <w14:solidFill>
              <w14:schemeClr w14:val="tx1"/>
            </w14:solidFill>
          </w14:textFill>
        </w:rPr>
        <w:t>年度总收入</w:t>
      </w:r>
      <w:r>
        <w:rPr>
          <w:rFonts w:hint="eastAsia" w:ascii="仿宋_GB2312" w:eastAsia="仿宋_GB2312"/>
          <w:color w:val="000000"/>
          <w:sz w:val="32"/>
          <w:szCs w:val="32"/>
          <w:lang w:val="en-US" w:eastAsia="zh-CN"/>
        </w:rPr>
        <w:t>1319.04</w:t>
      </w:r>
      <w:r>
        <w:rPr>
          <w:rFonts w:hint="eastAsia" w:ascii="仿宋_GB2312" w:hAnsi="仿宋" w:eastAsia="仿宋_GB2312"/>
          <w:color w:val="000000" w:themeColor="text1"/>
          <w:spacing w:val="-2"/>
          <w:sz w:val="32"/>
          <w:szCs w:val="32"/>
          <w14:textFill>
            <w14:solidFill>
              <w14:schemeClr w14:val="tx1"/>
            </w14:solidFill>
          </w14:textFill>
        </w:rPr>
        <w:t>万元，较上年收入</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增加98.59</w:t>
      </w:r>
      <w:r>
        <w:rPr>
          <w:rFonts w:hint="eastAsia" w:ascii="仿宋_GB2312" w:hAnsi="仿宋" w:eastAsia="仿宋_GB2312"/>
          <w:color w:val="000000" w:themeColor="text1"/>
          <w:spacing w:val="-2"/>
          <w:sz w:val="32"/>
          <w:szCs w:val="32"/>
          <w14:textFill>
            <w14:solidFill>
              <w14:schemeClr w14:val="tx1"/>
            </w14:solidFill>
          </w14:textFill>
        </w:rPr>
        <w:t>万元，</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增加8.08</w:t>
      </w:r>
      <w:r>
        <w:rPr>
          <w:rFonts w:hint="eastAsia" w:ascii="仿宋_GB2312" w:hAnsi="仿宋" w:eastAsia="仿宋_GB2312"/>
          <w:color w:val="000000" w:themeColor="text1"/>
          <w:spacing w:val="-2"/>
          <w:sz w:val="32"/>
          <w:szCs w:val="32"/>
          <w14:textFill>
            <w14:solidFill>
              <w14:schemeClr w14:val="tx1"/>
            </w14:solidFill>
          </w14:textFill>
        </w:rPr>
        <w:t>%。</w:t>
      </w:r>
      <w:r>
        <w:rPr>
          <w:rFonts w:hint="eastAsia" w:ascii="仿宋_GB2312" w:hAnsi="仿宋" w:eastAsia="仿宋_GB2312"/>
          <w:color w:val="000000" w:themeColor="text1"/>
          <w:spacing w:val="-2"/>
          <w:sz w:val="32"/>
          <w:szCs w:val="32"/>
          <w:lang w:val="en-US" w:eastAsia="zh-CN"/>
          <w14:textFill>
            <w14:solidFill>
              <w14:schemeClr w14:val="tx1"/>
            </w14:solidFill>
          </w14:textFill>
        </w:rPr>
        <w:t>与2021年相比</w:t>
      </w:r>
      <w:r>
        <w:rPr>
          <w:rFonts w:hint="eastAsia" w:ascii="仿宋_GB2312" w:hAnsi="仿宋" w:eastAsia="仿宋_GB2312"/>
          <w:spacing w:val="-2"/>
          <w:sz w:val="32"/>
          <w:szCs w:val="32"/>
        </w:rPr>
        <w:t>主要原因</w:t>
      </w:r>
      <w:r>
        <w:rPr>
          <w:rFonts w:hint="eastAsia" w:ascii="仿宋_GB2312" w:hAnsi="仿宋" w:eastAsia="仿宋_GB2312"/>
          <w:color w:val="000000" w:themeColor="text1"/>
          <w:spacing w:val="-2"/>
          <w:sz w:val="32"/>
          <w:szCs w:val="32"/>
          <w:lang w:val="en-US" w:eastAsia="zh-CN"/>
          <w14:textFill>
            <w14:solidFill>
              <w14:schemeClr w14:val="tx1"/>
            </w14:solidFill>
          </w14:textFill>
        </w:rPr>
        <w:t>2021年县领导换届，公务用车运行维护费支付截止8月后未支付主，2022年公用车维护费包括2021年9月至2022年10月，共计13个月公务用车运行维护费；车辆使用年限长、车况差、出车频率高、出车路况差并多数为山区路高山路，运行成本大</w:t>
      </w:r>
      <w:r>
        <w:rPr>
          <w:rFonts w:hint="eastAsia" w:ascii="仿宋_GB2312" w:hAnsi="仿宋" w:eastAsia="仿宋_GB2312"/>
          <w:color w:val="000000" w:themeColor="text1"/>
          <w:spacing w:val="-2"/>
          <w:sz w:val="32"/>
          <w:szCs w:val="32"/>
          <w14:textFill>
            <w14:solidFill>
              <w14:schemeClr w14:val="tx1"/>
            </w14:solidFill>
          </w14:textFill>
        </w:rPr>
        <w:t>。</w:t>
      </w:r>
    </w:p>
    <w:p>
      <w:pPr>
        <w:snapToGrid w:val="0"/>
        <w:spacing w:line="520" w:lineRule="exact"/>
        <w:ind w:firstLine="632" w:firstLineChars="200"/>
        <w:rPr>
          <w:rFonts w:hint="default" w:ascii="仿宋_GB2312" w:hAnsi="仿宋" w:eastAsia="仿宋_GB2312"/>
          <w:color w:val="000000" w:themeColor="text1"/>
          <w:spacing w:val="-2"/>
          <w:sz w:val="32"/>
          <w:szCs w:val="32"/>
          <w:lang w:val="en-US"/>
          <w14:textFill>
            <w14:solidFill>
              <w14:schemeClr w14:val="tx1"/>
            </w14:solidFill>
          </w14:textFill>
        </w:rPr>
      </w:pPr>
      <w:r>
        <w:rPr>
          <w:rFonts w:hint="eastAsia" w:ascii="仿宋_GB2312" w:hAnsi="仿宋" w:eastAsia="仿宋_GB2312"/>
          <w:spacing w:val="-2"/>
          <w:sz w:val="32"/>
          <w:szCs w:val="32"/>
          <w:lang w:eastAsia="zh-CN"/>
        </w:rPr>
        <w:t>2022</w:t>
      </w:r>
      <w:r>
        <w:rPr>
          <w:rFonts w:hint="eastAsia" w:ascii="仿宋_GB2312" w:hAnsi="仿宋" w:eastAsia="仿宋_GB2312"/>
          <w:spacing w:val="-2"/>
          <w:sz w:val="32"/>
          <w:szCs w:val="32"/>
        </w:rPr>
        <w:t>年</w:t>
      </w:r>
      <w:r>
        <w:rPr>
          <w:rFonts w:hint="eastAsia" w:ascii="仿宋_GB2312" w:hAnsi="仿宋" w:eastAsia="仿宋_GB2312"/>
          <w:spacing w:val="-2"/>
          <w:sz w:val="32"/>
          <w:szCs w:val="32"/>
          <w:lang w:val="en-US" w:eastAsia="zh-CN"/>
        </w:rPr>
        <w:t>度</w:t>
      </w:r>
      <w:r>
        <w:rPr>
          <w:rFonts w:hint="eastAsia" w:ascii="仿宋_GB2312" w:hAnsi="仿宋" w:eastAsia="仿宋_GB2312"/>
          <w:spacing w:val="-2"/>
          <w:sz w:val="32"/>
          <w:szCs w:val="32"/>
        </w:rPr>
        <w:t>总支出</w:t>
      </w:r>
      <w:r>
        <w:rPr>
          <w:rFonts w:hint="eastAsia" w:ascii="仿宋_GB2312" w:hAnsi="仿宋" w:eastAsia="仿宋_GB2312"/>
          <w:spacing w:val="-2"/>
          <w:sz w:val="32"/>
          <w:szCs w:val="32"/>
          <w:lang w:val="en-US" w:eastAsia="zh-CN"/>
        </w:rPr>
        <w:t>1319.04</w:t>
      </w:r>
      <w:r>
        <w:rPr>
          <w:rFonts w:hint="eastAsia" w:ascii="仿宋_GB2312" w:hAnsi="仿宋" w:eastAsia="仿宋_GB2312"/>
          <w:spacing w:val="-2"/>
          <w:sz w:val="32"/>
          <w:szCs w:val="32"/>
        </w:rPr>
        <w:t>万元，</w:t>
      </w:r>
      <w:r>
        <w:rPr>
          <w:rFonts w:hint="eastAsia" w:ascii="仿宋_GB2312" w:hAnsi="仿宋" w:eastAsia="仿宋_GB2312"/>
          <w:color w:val="000000" w:themeColor="text1"/>
          <w:spacing w:val="-2"/>
          <w:sz w:val="32"/>
          <w:szCs w:val="32"/>
          <w14:textFill>
            <w14:solidFill>
              <w14:schemeClr w14:val="tx1"/>
            </w14:solidFill>
          </w14:textFill>
        </w:rPr>
        <w:t>较上年收入</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增加98.59</w:t>
      </w:r>
      <w:r>
        <w:rPr>
          <w:rFonts w:hint="eastAsia" w:ascii="仿宋_GB2312" w:hAnsi="仿宋" w:eastAsia="仿宋_GB2312"/>
          <w:color w:val="000000" w:themeColor="text1"/>
          <w:spacing w:val="-2"/>
          <w:sz w:val="32"/>
          <w:szCs w:val="32"/>
          <w14:textFill>
            <w14:solidFill>
              <w14:schemeClr w14:val="tx1"/>
            </w14:solidFill>
          </w14:textFill>
        </w:rPr>
        <w:t>万元，</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增加8.08</w:t>
      </w:r>
      <w:r>
        <w:rPr>
          <w:rFonts w:hint="eastAsia" w:ascii="仿宋_GB2312" w:hAnsi="仿宋" w:eastAsia="仿宋_GB2312"/>
          <w:color w:val="000000" w:themeColor="text1"/>
          <w:spacing w:val="-2"/>
          <w:sz w:val="32"/>
          <w:szCs w:val="32"/>
          <w14:textFill>
            <w14:solidFill>
              <w14:schemeClr w14:val="tx1"/>
            </w14:solidFill>
          </w14:textFill>
        </w:rPr>
        <w:t>%。</w:t>
      </w:r>
      <w:r>
        <w:rPr>
          <w:rFonts w:hint="eastAsia" w:ascii="仿宋_GB2312" w:hAnsi="仿宋" w:eastAsia="仿宋_GB2312"/>
          <w:color w:val="000000" w:themeColor="text1"/>
          <w:spacing w:val="-2"/>
          <w:sz w:val="32"/>
          <w:szCs w:val="32"/>
          <w:lang w:val="en-US" w:eastAsia="zh-CN"/>
          <w14:textFill>
            <w14:solidFill>
              <w14:schemeClr w14:val="tx1"/>
            </w14:solidFill>
          </w14:textFill>
        </w:rPr>
        <w:t>与2021年相比</w:t>
      </w:r>
      <w:r>
        <w:rPr>
          <w:rFonts w:hint="eastAsia" w:ascii="仿宋_GB2312" w:hAnsi="仿宋" w:eastAsia="仿宋_GB2312"/>
          <w:spacing w:val="-2"/>
          <w:sz w:val="32"/>
          <w:szCs w:val="32"/>
        </w:rPr>
        <w:t>主要原因</w:t>
      </w:r>
      <w:r>
        <w:rPr>
          <w:rFonts w:hint="eastAsia" w:ascii="仿宋_GB2312" w:hAnsi="仿宋" w:eastAsia="仿宋_GB2312"/>
          <w:color w:val="000000" w:themeColor="text1"/>
          <w:spacing w:val="-2"/>
          <w:sz w:val="32"/>
          <w:szCs w:val="32"/>
          <w:lang w:val="en-US" w:eastAsia="zh-CN"/>
          <w14:textFill>
            <w14:solidFill>
              <w14:schemeClr w14:val="tx1"/>
            </w14:solidFill>
          </w14:textFill>
        </w:rPr>
        <w:t>2021年县领导换届，公务用车运行维护费支付截止8月后未支付主，2022年公用车维护费包括2021年9月至2022年10月，共计13个月公务用车运行维护费；车辆使用年限长、车况差、出车频率高、出车路况差并多数为山区路高山路，运行成本大</w:t>
      </w:r>
      <w:r>
        <w:rPr>
          <w:rFonts w:hint="eastAsia" w:ascii="仿宋_GB2312" w:hAnsi="仿宋" w:eastAsia="仿宋_GB2312"/>
          <w:color w:val="000000" w:themeColor="text1"/>
          <w:spacing w:val="-2"/>
          <w:sz w:val="32"/>
          <w:szCs w:val="32"/>
          <w14:textFill>
            <w14:solidFill>
              <w14:schemeClr w14:val="tx1"/>
            </w14:solidFill>
          </w14:textFill>
        </w:rPr>
        <w:t>。</w:t>
      </w:r>
    </w:p>
    <w:p>
      <w:pPr>
        <w:spacing w:line="600" w:lineRule="exact"/>
        <w:ind w:firstLine="320" w:firstLineChars="100"/>
        <w:rPr>
          <w:rStyle w:val="30"/>
          <w:rFonts w:ascii="黑体" w:hAnsi="黑体" w:eastAsia="黑体"/>
          <w:b w:val="0"/>
        </w:rPr>
      </w:pPr>
      <w:r>
        <w:rPr>
          <w:rFonts w:hint="eastAsia" w:ascii="黑体" w:hAns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2" w:name="_Toc15377206"/>
      <w:r>
        <w:rPr>
          <w:rFonts w:hint="eastAsia" w:ascii="黑体" w:hAnsi="黑体" w:eastAsia="黑体"/>
          <w:color w:val="000000"/>
          <w:sz w:val="32"/>
          <w:szCs w:val="32"/>
        </w:rPr>
        <w:t>二、收入决</w:t>
      </w:r>
      <w:r>
        <w:rPr>
          <w:rStyle w:val="30"/>
          <w:rFonts w:hint="eastAsia" w:ascii="黑体" w:hAnsi="黑体" w:eastAsia="黑体"/>
          <w:b w:val="0"/>
        </w:rPr>
        <w:t>算情况说明</w:t>
      </w:r>
      <w:bookmarkEnd w:id="32"/>
    </w:p>
    <w:p>
      <w:pPr>
        <w:spacing w:line="600" w:lineRule="exact"/>
        <w:ind w:firstLine="640" w:firstLineChars="200"/>
        <w:outlineLvl w:val="1"/>
        <w:rPr>
          <w:rFonts w:ascii="仿宋" w:hAnsi="仿宋" w:eastAsia="仿宋"/>
          <w:color w:val="000000"/>
          <w:sz w:val="32"/>
          <w:szCs w:val="32"/>
        </w:rPr>
      </w:pPr>
      <w:bookmarkStart w:id="33" w:name="_Toc12653"/>
      <w:r>
        <w:rPr>
          <w:rFonts w:hint="eastAsia" w:ascii="仿宋" w:hAnsi="仿宋" w:eastAsia="仿宋"/>
          <w:color w:val="000000"/>
          <w:sz w:val="32"/>
          <w:szCs w:val="32"/>
          <w:lang w:eastAsia="zh-CN"/>
        </w:rPr>
        <w:t>2022</w:t>
      </w:r>
      <w:r>
        <w:rPr>
          <w:rFonts w:hint="eastAsia" w:ascii="仿宋" w:hAnsi="仿宋" w:eastAsia="仿宋"/>
          <w:color w:val="000000"/>
          <w:sz w:val="32"/>
          <w:szCs w:val="32"/>
        </w:rPr>
        <w:t>年总收入</w:t>
      </w:r>
      <w:r>
        <w:rPr>
          <w:rFonts w:hint="eastAsia" w:ascii="仿宋_GB2312" w:eastAsia="仿宋_GB2312"/>
          <w:color w:val="000000"/>
          <w:sz w:val="32"/>
          <w:szCs w:val="32"/>
          <w:lang w:val="en-US" w:eastAsia="zh-CN"/>
        </w:rPr>
        <w:t>1319.04</w:t>
      </w:r>
      <w:r>
        <w:rPr>
          <w:rFonts w:hint="eastAsia" w:ascii="仿宋" w:hAnsi="仿宋" w:eastAsia="仿宋"/>
          <w:color w:val="000000"/>
          <w:sz w:val="32"/>
          <w:szCs w:val="32"/>
        </w:rPr>
        <w:t>万元，其中：一般公共预算财政拨款收入</w:t>
      </w:r>
      <w:r>
        <w:rPr>
          <w:rFonts w:hint="eastAsia" w:ascii="仿宋_GB2312" w:eastAsia="仿宋_GB2312"/>
          <w:color w:val="000000"/>
          <w:sz w:val="32"/>
          <w:szCs w:val="32"/>
          <w:lang w:val="en-US" w:eastAsia="zh-CN"/>
        </w:rPr>
        <w:t>1319.04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hint="eastAsia" w:ascii="黑体" w:hAnsi="黑体" w:eastAsia="黑体"/>
          <w:color w:val="000000"/>
          <w:sz w:val="32"/>
          <w:szCs w:val="32"/>
        </w:rPr>
        <w:drawing>
          <wp:anchor distT="0" distB="0" distL="114300" distR="114300" simplePos="0" relativeHeight="251660288" behindDoc="0" locked="0" layoutInCell="1" allowOverlap="1">
            <wp:simplePos x="0" y="0"/>
            <wp:positionH relativeFrom="column">
              <wp:posOffset>177800</wp:posOffset>
            </wp:positionH>
            <wp:positionV relativeFrom="paragraph">
              <wp:posOffset>135255</wp:posOffset>
            </wp:positionV>
            <wp:extent cx="5373370" cy="2648585"/>
            <wp:effectExtent l="4445" t="4445" r="1333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仿宋" w:hAnsi="仿宋" w:eastAsia="仿宋"/>
          <w:color w:val="000000"/>
          <w:sz w:val="32"/>
          <w:szCs w:val="32"/>
        </w:rPr>
        <w:t xml:space="preserve"> 。</w:t>
      </w:r>
      <w:bookmarkEnd w:id="33"/>
    </w:p>
    <w:p>
      <w:pPr>
        <w:spacing w:line="600" w:lineRule="exact"/>
        <w:ind w:firstLine="640" w:firstLineChars="200"/>
        <w:outlineLvl w:val="1"/>
        <w:rPr>
          <w:rStyle w:val="30"/>
          <w:rFonts w:ascii="黑体" w:hAnsi="黑体" w:eastAsia="黑体"/>
          <w:b w:val="0"/>
        </w:rPr>
      </w:pPr>
      <w:bookmarkStart w:id="35" w:name="_Toc7854"/>
      <w:r>
        <w:rPr>
          <w:rFonts w:hint="eastAsia" w:ascii="黑体" w:hAnsi="黑体" w:eastAsia="黑体"/>
          <w:color w:val="000000"/>
          <w:sz w:val="32"/>
          <w:szCs w:val="32"/>
        </w:rPr>
        <w:t>三、支出决</w:t>
      </w:r>
      <w:r>
        <w:rPr>
          <w:rStyle w:val="30"/>
          <w:rFonts w:hint="eastAsia" w:ascii="黑体" w:hAnsi="黑体" w:eastAsia="黑体"/>
          <w:b w:val="0"/>
        </w:rPr>
        <w:t>算情况说明</w:t>
      </w:r>
      <w:bookmarkEnd w:id="34"/>
      <w:bookmarkEnd w:id="35"/>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年本年总支出</w:t>
      </w:r>
      <w:r>
        <w:rPr>
          <w:rFonts w:hint="eastAsia" w:ascii="仿宋_GB2312" w:eastAsia="仿宋_GB2312"/>
          <w:color w:val="000000"/>
          <w:sz w:val="32"/>
          <w:szCs w:val="32"/>
          <w:lang w:val="en-US" w:eastAsia="zh-CN"/>
        </w:rPr>
        <w:t>1319.04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854.72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60.8</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464.32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39.2</w:t>
      </w:r>
      <w:r>
        <w:rPr>
          <w:rFonts w:hint="eastAsia" w:ascii="仿宋" w:hAnsi="仿宋" w:eastAsia="仿宋"/>
          <w:color w:val="000000"/>
          <w:sz w:val="32"/>
          <w:szCs w:val="32"/>
        </w:rPr>
        <w:t>%；上缴上级支出0万元，占0%；经营支出0万元，占0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Style w:val="30"/>
          <w:rFonts w:ascii="黑体" w:hAnsi="黑体" w:eastAsia="黑体"/>
          <w:b w:val="0"/>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26670</wp:posOffset>
            </wp:positionH>
            <wp:positionV relativeFrom="paragraph">
              <wp:posOffset>146050</wp:posOffset>
            </wp:positionV>
            <wp:extent cx="5061585" cy="1984375"/>
            <wp:effectExtent l="4445" t="4445" r="20320"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6"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6"/>
    </w:p>
    <w:p>
      <w:pPr>
        <w:snapToGrid w:val="0"/>
        <w:spacing w:line="520" w:lineRule="exact"/>
        <w:ind w:firstLine="640" w:firstLineChars="200"/>
        <w:rPr>
          <w:rFonts w:hint="default" w:ascii="仿宋_GB2312" w:hAnsi="仿宋" w:eastAsia="仿宋_GB2312"/>
          <w:color w:val="000000" w:themeColor="text1"/>
          <w:spacing w:val="-2"/>
          <w:sz w:val="32"/>
          <w:szCs w:val="32"/>
          <w:lang w:val="en-US"/>
          <w14:textFill>
            <w14:solidFill>
              <w14:schemeClr w14:val="tx1"/>
            </w14:solidFill>
          </w14:textFill>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年财政拨款收入</w:t>
      </w:r>
      <w:r>
        <w:rPr>
          <w:rFonts w:hint="eastAsia" w:ascii="仿宋_GB2312" w:eastAsia="仿宋_GB2312"/>
          <w:color w:val="000000"/>
          <w:sz w:val="32"/>
          <w:szCs w:val="32"/>
          <w:lang w:val="en-US" w:eastAsia="zh-CN"/>
        </w:rPr>
        <w:t>1319.04</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2021</w:t>
      </w:r>
      <w:r>
        <w:rPr>
          <w:rFonts w:hint="eastAsia" w:ascii="仿宋" w:hAnsi="仿宋" w:eastAsia="仿宋"/>
          <w:color w:val="000000"/>
          <w:sz w:val="32"/>
          <w:szCs w:val="32"/>
        </w:rPr>
        <w:t>年相比，一般公共预算财政拨款收入较上年</w:t>
      </w:r>
      <w:r>
        <w:rPr>
          <w:rFonts w:hint="eastAsia" w:ascii="仿宋" w:hAnsi="仿宋" w:eastAsia="仿宋"/>
          <w:color w:val="000000"/>
          <w:sz w:val="32"/>
          <w:szCs w:val="32"/>
          <w:lang w:val="en-US" w:eastAsia="zh-CN"/>
        </w:rPr>
        <w:t>增加98.59</w:t>
      </w:r>
      <w:r>
        <w:rPr>
          <w:rFonts w:hint="eastAsia" w:ascii="仿宋" w:hAnsi="仿宋" w:eastAsia="仿宋"/>
          <w:color w:val="000000"/>
          <w:sz w:val="32"/>
          <w:szCs w:val="32"/>
        </w:rPr>
        <w:t>万元，</w:t>
      </w:r>
      <w:r>
        <w:rPr>
          <w:rFonts w:hint="eastAsia" w:ascii="仿宋_GB2312" w:hAnsi="仿宋" w:eastAsia="仿宋_GB2312"/>
          <w:color w:val="000000" w:themeColor="text1"/>
          <w:spacing w:val="-2"/>
          <w:sz w:val="32"/>
          <w:szCs w:val="32"/>
          <w:lang w:val="en-US" w:eastAsia="zh-CN"/>
          <w14:textFill>
            <w14:solidFill>
              <w14:schemeClr w14:val="tx1"/>
            </w14:solidFill>
          </w14:textFill>
        </w:rPr>
        <w:t>与2021年相比</w:t>
      </w:r>
      <w:r>
        <w:rPr>
          <w:rFonts w:hint="eastAsia" w:ascii="仿宋_GB2312" w:hAnsi="仿宋" w:eastAsia="仿宋_GB2312"/>
          <w:spacing w:val="-2"/>
          <w:sz w:val="32"/>
          <w:szCs w:val="32"/>
        </w:rPr>
        <w:t>主要原因</w:t>
      </w:r>
      <w:r>
        <w:rPr>
          <w:rFonts w:hint="eastAsia" w:ascii="仿宋_GB2312" w:hAnsi="仿宋" w:eastAsia="仿宋_GB2312"/>
          <w:color w:val="000000" w:themeColor="text1"/>
          <w:spacing w:val="-2"/>
          <w:sz w:val="32"/>
          <w:szCs w:val="32"/>
          <w:lang w:val="en-US" w:eastAsia="zh-CN"/>
          <w14:textFill>
            <w14:solidFill>
              <w14:schemeClr w14:val="tx1"/>
            </w14:solidFill>
          </w14:textFill>
        </w:rPr>
        <w:t>2021年县领导换届，公务用车运行维护费支付截止8月后未支付主，2022年公用车维护费包括2021年9月至2022年10月，共计13个月公务用车运行维护费；车辆使用年限长、车况差、出车频率高、出车路况差并多数为山区路高山路，运行成本大</w:t>
      </w:r>
      <w:r>
        <w:rPr>
          <w:rFonts w:hint="eastAsia" w:ascii="仿宋_GB2312" w:hAnsi="仿宋" w:eastAsia="仿宋_GB2312"/>
          <w:color w:val="000000" w:themeColor="text1"/>
          <w:spacing w:val="-2"/>
          <w:sz w:val="32"/>
          <w:szCs w:val="32"/>
          <w14:textFill>
            <w14:solidFill>
              <w14:schemeClr w14:val="tx1"/>
            </w14:solidFill>
          </w14:textFill>
        </w:rPr>
        <w:t>。</w:t>
      </w:r>
    </w:p>
    <w:p>
      <w:pPr>
        <w:snapToGrid w:val="0"/>
        <w:spacing w:line="520" w:lineRule="exact"/>
        <w:ind w:firstLine="632" w:firstLineChars="200"/>
        <w:rPr>
          <w:rFonts w:hint="default" w:ascii="仿宋_GB2312" w:hAnsi="仿宋" w:eastAsia="仿宋_GB2312"/>
          <w:color w:val="000000" w:themeColor="text1"/>
          <w:spacing w:val="-2"/>
          <w:sz w:val="32"/>
          <w:szCs w:val="32"/>
          <w:lang w:val="en-US"/>
          <w14:textFill>
            <w14:solidFill>
              <w14:schemeClr w14:val="tx1"/>
            </w14:solidFill>
          </w14:textFill>
        </w:rPr>
      </w:pPr>
    </w:p>
    <w:p>
      <w:pPr>
        <w:spacing w:line="600" w:lineRule="exact"/>
        <w:ind w:firstLine="640" w:firstLineChars="200"/>
        <w:rPr>
          <w:rStyle w:val="30"/>
          <w:rFonts w:ascii="黑体" w:hAnsi="黑体" w:eastAsia="黑体"/>
          <w:b w:val="0"/>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napToGrid w:val="0"/>
        <w:spacing w:line="520" w:lineRule="exact"/>
        <w:ind w:firstLine="640" w:firstLineChars="200"/>
        <w:rPr>
          <w:rFonts w:ascii="仿宋_GB2312" w:hAnsi="仿宋" w:eastAsia="仿宋_GB2312"/>
          <w:color w:val="FF0000"/>
          <w:spacing w:val="-2"/>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eastAsia="zh-CN"/>
        </w:rPr>
        <w:t>２</w:t>
      </w:r>
      <w:r>
        <w:rPr>
          <w:rFonts w:hint="eastAsia" w:ascii="仿宋" w:hAnsi="仿宋" w:eastAsia="仿宋"/>
          <w:color w:val="000000"/>
          <w:sz w:val="32"/>
          <w:szCs w:val="32"/>
        </w:rPr>
        <w:t>年</w:t>
      </w:r>
      <w:r>
        <w:rPr>
          <w:rFonts w:hint="eastAsia" w:ascii="仿宋_GB2312" w:hAnsi="仿宋" w:eastAsia="仿宋_GB2312"/>
          <w:spacing w:val="-2"/>
          <w:sz w:val="32"/>
          <w:szCs w:val="32"/>
        </w:rPr>
        <w:t>一般公共预算财政拨款支出</w:t>
      </w:r>
      <w:r>
        <w:rPr>
          <w:rFonts w:hint="eastAsia" w:ascii="仿宋_GB2312" w:hAnsi="仿宋" w:eastAsia="仿宋_GB2312"/>
          <w:spacing w:val="-2"/>
          <w:sz w:val="32"/>
          <w:szCs w:val="32"/>
          <w:lang w:val="en-US" w:eastAsia="zh-CN"/>
        </w:rPr>
        <w:t>1319.04</w:t>
      </w:r>
      <w:r>
        <w:rPr>
          <w:rFonts w:hint="eastAsia" w:ascii="仿宋_GB2312" w:hAnsi="仿宋" w:eastAsia="仿宋_GB2312"/>
          <w:spacing w:val="-2"/>
          <w:sz w:val="32"/>
          <w:szCs w:val="32"/>
        </w:rPr>
        <w:t>万元，</w:t>
      </w:r>
      <w:r>
        <w:rPr>
          <w:rFonts w:hint="eastAsia" w:ascii="仿宋" w:hAnsi="仿宋" w:eastAsia="仿宋"/>
          <w:color w:val="000000"/>
          <w:sz w:val="32"/>
          <w:szCs w:val="32"/>
        </w:rPr>
        <w:t>占本年总支出的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w:t>
      </w:r>
      <w:r>
        <w:rPr>
          <w:rFonts w:hint="eastAsia" w:ascii="仿宋" w:hAnsi="仿宋" w:eastAsia="仿宋"/>
          <w:color w:val="000000"/>
          <w:sz w:val="32"/>
          <w:szCs w:val="32"/>
        </w:rPr>
        <w:t>年相比，</w:t>
      </w:r>
      <w:r>
        <w:rPr>
          <w:rFonts w:hint="eastAsia" w:ascii="仿宋_GB2312" w:hAnsi="仿宋" w:eastAsia="仿宋_GB2312"/>
          <w:color w:val="000000" w:themeColor="text1"/>
          <w:spacing w:val="-2"/>
          <w:sz w:val="32"/>
          <w:szCs w:val="32"/>
          <w14:textFill>
            <w14:solidFill>
              <w14:schemeClr w14:val="tx1"/>
            </w14:solidFill>
          </w14:textFill>
        </w:rPr>
        <w:t>较上年收入</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增加98.59</w:t>
      </w:r>
      <w:r>
        <w:rPr>
          <w:rFonts w:hint="eastAsia" w:ascii="仿宋_GB2312" w:hAnsi="仿宋" w:eastAsia="仿宋_GB2312"/>
          <w:color w:val="000000" w:themeColor="text1"/>
          <w:spacing w:val="-2"/>
          <w:sz w:val="32"/>
          <w:szCs w:val="32"/>
          <w14:textFill>
            <w14:solidFill>
              <w14:schemeClr w14:val="tx1"/>
            </w14:solidFill>
          </w14:textFill>
        </w:rPr>
        <w:t>万元，</w:t>
      </w:r>
      <w:r>
        <w:rPr>
          <w:rFonts w:hint="eastAsia" w:ascii="仿宋_GB2312" w:hAnsi="仿宋" w:eastAsia="仿宋_GB2312"/>
          <w:color w:val="000000" w:themeColor="text1"/>
          <w:spacing w:val="-2"/>
          <w:sz w:val="32"/>
          <w:szCs w:val="32"/>
          <w:lang w:val="en-US" w:eastAsia="zh-CN"/>
          <w14:textFill>
            <w14:solidFill>
              <w14:schemeClr w14:val="tx1"/>
            </w14:solidFill>
          </w14:textFill>
        </w:rPr>
        <w:t>增加8.08</w:t>
      </w:r>
      <w:r>
        <w:rPr>
          <w:rFonts w:hint="eastAsia" w:ascii="仿宋_GB2312" w:hAnsi="仿宋" w:eastAsia="仿宋_GB2312"/>
          <w:color w:val="000000" w:themeColor="text1"/>
          <w:spacing w:val="-2"/>
          <w:sz w:val="32"/>
          <w:szCs w:val="32"/>
          <w14:textFill>
            <w14:solidFill>
              <w14:schemeClr w14:val="tx1"/>
            </w14:solidFill>
          </w14:textFill>
        </w:rPr>
        <w:t>%。</w:t>
      </w:r>
      <w:r>
        <w:rPr>
          <w:rFonts w:hint="eastAsia" w:ascii="仿宋_GB2312" w:hAnsi="仿宋" w:eastAsia="仿宋_GB2312"/>
          <w:color w:val="000000" w:themeColor="text1"/>
          <w:spacing w:val="-2"/>
          <w:sz w:val="32"/>
          <w:szCs w:val="32"/>
          <w:lang w:val="en-US" w:eastAsia="zh-CN"/>
          <w14:textFill>
            <w14:solidFill>
              <w14:schemeClr w14:val="tx1"/>
            </w14:solidFill>
          </w14:textFill>
        </w:rPr>
        <w:t>与2021年相比</w:t>
      </w:r>
      <w:r>
        <w:rPr>
          <w:rFonts w:hint="eastAsia" w:ascii="仿宋_GB2312" w:hAnsi="仿宋" w:eastAsia="仿宋_GB2312"/>
          <w:spacing w:val="-2"/>
          <w:sz w:val="32"/>
          <w:szCs w:val="32"/>
        </w:rPr>
        <w:t>主要原因</w:t>
      </w:r>
      <w:r>
        <w:rPr>
          <w:rFonts w:hint="eastAsia" w:ascii="仿宋_GB2312" w:hAnsi="仿宋" w:eastAsia="仿宋_GB2312"/>
          <w:color w:val="000000" w:themeColor="text1"/>
          <w:spacing w:val="-2"/>
          <w:sz w:val="32"/>
          <w:szCs w:val="32"/>
          <w:lang w:val="en-US" w:eastAsia="zh-CN"/>
          <w14:textFill>
            <w14:solidFill>
              <w14:schemeClr w14:val="tx1"/>
            </w14:solidFill>
          </w14:textFill>
        </w:rPr>
        <w:t>2021年县领导换届，公务用车运行维护费支付截止8月后未支付主，2022年公用车维护费包括2021年9月至2022年10月，共计13个月公务用车运行维护费；车辆使用年限长、车况差、出车频率高、出车路况差并多数为山区路高山路，运行成本大</w:t>
      </w:r>
      <w:r>
        <w:rPr>
          <w:rFonts w:hint="eastAsia" w:ascii="仿宋_GB2312" w:hAnsi="仿宋" w:eastAsia="仿宋_GB2312"/>
          <w:color w:val="000000" w:themeColor="text1"/>
          <w:spacing w:val="-2"/>
          <w:sz w:val="32"/>
          <w:szCs w:val="32"/>
          <w14:textFill>
            <w14:solidFill>
              <w14:schemeClr w14:val="tx1"/>
            </w14:solidFill>
          </w14:textFill>
        </w:rPr>
        <w:t>。</w:t>
      </w:r>
    </w:p>
    <w:p>
      <w:pPr>
        <w:snapToGrid w:val="0"/>
        <w:spacing w:line="520" w:lineRule="exact"/>
        <w:ind w:firstLine="632" w:firstLineChars="200"/>
        <w:rPr>
          <w:rFonts w:ascii="仿宋_GB2312" w:hAnsi="仿宋" w:eastAsia="仿宋_GB2312"/>
          <w:spacing w:val="-2"/>
          <w:sz w:val="32"/>
          <w:szCs w:val="32"/>
        </w:rPr>
      </w:pP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1"/>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1319.04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1130.17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85.68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；教育支出</w:t>
      </w:r>
      <w:r>
        <w:rPr>
          <w:rFonts w:hint="eastAsia" w:ascii="仿宋" w:hAnsi="仿宋" w:eastAsia="仿宋"/>
          <w:color w:val="000000" w:themeColor="text1"/>
          <w:sz w:val="32"/>
          <w:szCs w:val="32"/>
          <w:lang w:val="en-US" w:eastAsia="zh-CN"/>
          <w14:textFill>
            <w14:solidFill>
              <w14:schemeClr w14:val="tx1"/>
            </w14:solidFill>
          </w14:textFill>
        </w:rPr>
        <w:t>0.18</w:t>
      </w:r>
      <w:r>
        <w:rPr>
          <w:rFonts w:hint="eastAsia" w:ascii="仿宋" w:hAnsi="仿宋" w:eastAsia="仿宋"/>
          <w:color w:val="000000" w:themeColor="text1"/>
          <w:sz w:val="32"/>
          <w:szCs w:val="32"/>
          <w14:textFill>
            <w14:solidFill>
              <w14:schemeClr w14:val="tx1"/>
            </w14:solidFill>
          </w14:textFill>
        </w:rPr>
        <w:t>万元，占0.0</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93.46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7.09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val="en-US" w:eastAsia="zh-CN"/>
          <w14:textFill>
            <w14:solidFill>
              <w14:schemeClr w14:val="tx1"/>
            </w14:solidFill>
          </w14:textFill>
        </w:rPr>
        <w:t>40.86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54.37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8320" w:firstLineChars="2600"/>
        <w:outlineLvl w:val="2"/>
        <w:rPr>
          <w:rFonts w:ascii="仿宋" w:hAnsi="仿宋" w:eastAsia="仿宋"/>
          <w:b/>
          <w:color w:val="000000" w:themeColor="text1"/>
          <w:sz w:val="32"/>
          <w:szCs w:val="32"/>
          <w14:textFill>
            <w14:solidFill>
              <w14:schemeClr w14:val="tx1"/>
            </w14:solidFill>
          </w14:textFill>
        </w:rPr>
      </w:pPr>
      <w:bookmarkStart w:id="40" w:name="_Toc15377444"/>
      <w:bookmarkStart w:id="41" w:name="_Toc15378460"/>
      <w:bookmarkStart w:id="42" w:name="_Toc15377213"/>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549910</wp:posOffset>
            </wp:positionH>
            <wp:positionV relativeFrom="paragraph">
              <wp:posOffset>309245</wp:posOffset>
            </wp:positionV>
            <wp:extent cx="4572000" cy="2341245"/>
            <wp:effectExtent l="4445" t="4445" r="14605"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hAnsi="仿宋" w:eastAsia="仿宋"/>
          <w:b/>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43" w:name="_Toc15377212"/>
      <w:r>
        <w:rPr>
          <w:rFonts w:hint="eastAsia" w:ascii="仿宋" w:hAnsi="仿宋" w:eastAsia="仿宋"/>
          <w:b/>
          <w:color w:val="000000"/>
          <w:sz w:val="32"/>
          <w:szCs w:val="32"/>
        </w:rPr>
        <w:t>（三）一般公共预算财政拨款支出决算具体情况</w:t>
      </w:r>
      <w:bookmarkEnd w:id="43"/>
    </w:p>
    <w:p>
      <w:pPr>
        <w:spacing w:line="600" w:lineRule="exact"/>
        <w:outlineLvl w:val="2"/>
        <w:rPr>
          <w:rFonts w:ascii="仿宋" w:hAnsi="仿宋" w:eastAsia="仿宋"/>
          <w:bCs/>
          <w:color w:val="FF0000"/>
          <w:sz w:val="32"/>
          <w:szCs w:val="32"/>
        </w:rPr>
      </w:pPr>
      <w:r>
        <w:rPr>
          <w:rFonts w:hint="eastAsia" w:ascii="仿宋" w:hAnsi="仿宋" w:eastAsia="仿宋"/>
          <w:bCs/>
          <w:color w:val="000000" w:themeColor="text1"/>
          <w:sz w:val="32"/>
          <w:szCs w:val="32"/>
          <w14:textFill>
            <w14:solidFill>
              <w14:schemeClr w14:val="tx1"/>
            </w14:solidFill>
          </w14:textFill>
        </w:rPr>
        <w:t xml:space="preserve">    </w:t>
      </w:r>
      <w:r>
        <w:rPr>
          <w:rFonts w:hint="eastAsia" w:ascii="仿宋" w:hAnsi="仿宋" w:eastAsia="仿宋"/>
          <w:bCs/>
          <w:color w:val="000000" w:themeColor="text1"/>
          <w:sz w:val="32"/>
          <w:szCs w:val="32"/>
          <w:lang w:eastAsia="zh-CN"/>
          <w14:textFill>
            <w14:solidFill>
              <w14:schemeClr w14:val="tx1"/>
            </w14:solidFill>
          </w14:textFill>
        </w:rPr>
        <w:t>2022</w:t>
      </w:r>
      <w:r>
        <w:rPr>
          <w:rFonts w:hint="eastAsia" w:ascii="仿宋" w:hAnsi="仿宋" w:eastAsia="仿宋"/>
          <w:bCs/>
          <w:color w:val="000000" w:themeColor="text1"/>
          <w:sz w:val="32"/>
          <w:szCs w:val="32"/>
          <w14:textFill>
            <w14:solidFill>
              <w14:schemeClr w14:val="tx1"/>
            </w14:solidFill>
          </w14:textFill>
        </w:rPr>
        <w:t>年</w:t>
      </w:r>
      <w:r>
        <w:rPr>
          <w:rFonts w:hint="eastAsia" w:ascii="仿宋" w:hAnsi="仿宋" w:eastAsia="仿宋"/>
          <w:bCs/>
          <w:color w:val="000000"/>
          <w:sz w:val="32"/>
          <w:szCs w:val="32"/>
        </w:rPr>
        <w:t>一般公共预算数为</w:t>
      </w:r>
      <w:r>
        <w:rPr>
          <w:rFonts w:hint="eastAsia" w:ascii="仿宋" w:hAnsi="仿宋" w:eastAsia="仿宋"/>
          <w:bCs/>
          <w:color w:val="000000"/>
          <w:sz w:val="32"/>
          <w:szCs w:val="32"/>
          <w:lang w:val="en-US" w:eastAsia="zh-CN"/>
        </w:rPr>
        <w:t>1319.04</w:t>
      </w:r>
      <w:r>
        <w:rPr>
          <w:rFonts w:hint="eastAsia" w:ascii="仿宋" w:hAnsi="仿宋" w:eastAsia="仿宋"/>
          <w:bCs/>
          <w:color w:val="000000"/>
          <w:sz w:val="32"/>
          <w:szCs w:val="32"/>
        </w:rPr>
        <w:t>万元，</w:t>
      </w:r>
      <w:r>
        <w:rPr>
          <w:rFonts w:hint="eastAsia" w:ascii="仿宋" w:hAnsi="仿宋" w:eastAsia="仿宋"/>
          <w:bCs/>
          <w:color w:val="000000" w:themeColor="text1"/>
          <w:sz w:val="32"/>
          <w:szCs w:val="32"/>
          <w14:textFill>
            <w14:solidFill>
              <w14:schemeClr w14:val="tx1"/>
            </w14:solidFill>
          </w14:textFill>
        </w:rPr>
        <w:t>支出决算数为</w:t>
      </w:r>
      <w:r>
        <w:rPr>
          <w:rFonts w:hint="eastAsia" w:ascii="仿宋" w:hAnsi="仿宋" w:eastAsia="仿宋"/>
          <w:bCs/>
          <w:color w:val="000000" w:themeColor="text1"/>
          <w:sz w:val="32"/>
          <w:szCs w:val="32"/>
          <w:lang w:val="en-US" w:eastAsia="zh-CN"/>
          <w14:textFill>
            <w14:solidFill>
              <w14:schemeClr w14:val="tx1"/>
            </w14:solidFill>
          </w14:textFill>
        </w:rPr>
        <w:t>1319.04</w:t>
      </w:r>
      <w:r>
        <w:rPr>
          <w:rFonts w:hint="eastAsia" w:ascii="仿宋" w:hAnsi="仿宋" w:eastAsia="仿宋"/>
          <w:bCs/>
          <w:color w:val="000000" w:themeColor="text1"/>
          <w:sz w:val="32"/>
          <w:szCs w:val="32"/>
          <w14:textFill>
            <w14:solidFill>
              <w14:schemeClr w14:val="tx1"/>
            </w14:solidFill>
          </w14:textFill>
        </w:rPr>
        <w:t>万元，完</w:t>
      </w:r>
      <w:r>
        <w:rPr>
          <w:rStyle w:val="19"/>
          <w:rFonts w:hint="eastAsia" w:ascii="仿宋" w:hAnsi="仿宋" w:eastAsia="仿宋"/>
          <w:b w:val="0"/>
          <w:bCs/>
          <w:color w:val="000000" w:themeColor="text1"/>
          <w:sz w:val="32"/>
          <w:szCs w:val="32"/>
          <w14:textFill>
            <w14:solidFill>
              <w14:schemeClr w14:val="tx1"/>
            </w14:solidFill>
          </w14:textFill>
        </w:rPr>
        <w:t>成</w:t>
      </w:r>
      <w:r>
        <w:rPr>
          <w:rStyle w:val="19"/>
          <w:rFonts w:hint="eastAsia" w:ascii="仿宋" w:hAnsi="仿宋" w:eastAsia="仿宋"/>
          <w:b w:val="0"/>
          <w:bCs/>
          <w:color w:val="000000"/>
          <w:sz w:val="32"/>
          <w:szCs w:val="32"/>
        </w:rPr>
        <w:t>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。其中：</w:t>
      </w:r>
      <w:bookmarkEnd w:id="40"/>
      <w:bookmarkEnd w:id="41"/>
      <w:bookmarkEnd w:id="42"/>
    </w:p>
    <w:p>
      <w:pPr>
        <w:numPr>
          <w:ilvl w:val="0"/>
          <w:numId w:val="2"/>
        </w:numPr>
        <w:spacing w:line="600" w:lineRule="exact"/>
        <w:ind w:firstLine="643" w:firstLineChars="200"/>
        <w:rPr>
          <w:rStyle w:val="19"/>
          <w:rFonts w:hint="eastAsia" w:ascii="仿宋" w:hAnsi="仿宋" w:eastAsia="仿宋"/>
          <w:b w:val="0"/>
          <w:bCs/>
          <w:color w:val="000000"/>
          <w:sz w:val="32"/>
          <w:szCs w:val="32"/>
          <w:lang w:eastAsia="zh-CN"/>
        </w:rPr>
      </w:pPr>
      <w:r>
        <w:rPr>
          <w:rStyle w:val="19"/>
          <w:rFonts w:hint="eastAsia" w:ascii="仿宋" w:hAnsi="仿宋" w:eastAsia="仿宋"/>
          <w:bCs/>
          <w:color w:val="000000"/>
          <w:sz w:val="32"/>
          <w:szCs w:val="32"/>
        </w:rPr>
        <w:t>一般公共服务（类）</w:t>
      </w:r>
      <w:r>
        <w:rPr>
          <w:rStyle w:val="19"/>
          <w:rFonts w:hint="eastAsia" w:ascii="仿宋" w:hAnsi="仿宋" w:eastAsia="仿宋"/>
          <w:bCs/>
          <w:color w:val="000000"/>
          <w:sz w:val="32"/>
          <w:szCs w:val="32"/>
          <w:lang w:eastAsia="zh-CN"/>
        </w:rPr>
        <w:t>政府办</w:t>
      </w:r>
      <w:r>
        <w:rPr>
          <w:rStyle w:val="19"/>
          <w:rFonts w:hint="eastAsia" w:ascii="仿宋" w:hAnsi="仿宋" w:eastAsia="仿宋"/>
          <w:bCs/>
          <w:color w:val="000000"/>
          <w:sz w:val="32"/>
          <w:szCs w:val="32"/>
        </w:rPr>
        <w:t>公厅（室）及相关机构事务（款）行政运行（项）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1130.17</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lang w:eastAsia="zh-CN"/>
        </w:rPr>
        <w:t>。</w:t>
      </w:r>
    </w:p>
    <w:p>
      <w:pPr>
        <w:spacing w:line="600" w:lineRule="exact"/>
        <w:ind w:firstLine="643" w:firstLineChars="200"/>
        <w:rPr>
          <w:rStyle w:val="19"/>
          <w:rFonts w:ascii="仿宋" w:hAnsi="仿宋" w:eastAsia="仿宋"/>
          <w:b w:val="0"/>
          <w:bCs/>
          <w:color w:val="000000"/>
          <w:sz w:val="32"/>
          <w:szCs w:val="32"/>
        </w:rPr>
      </w:pPr>
      <w:r>
        <w:rPr>
          <w:rStyle w:val="19"/>
          <w:rFonts w:hint="eastAsia" w:ascii="仿宋_GB2312" w:eastAsia="仿宋_GB2312"/>
          <w:b/>
          <w:bCs w:val="0"/>
          <w:sz w:val="32"/>
          <w:szCs w:val="32"/>
        </w:rPr>
        <w:t>2</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教育支出（款）进修及培训（项）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支出决算为0.</w:t>
      </w:r>
      <w:r>
        <w:rPr>
          <w:rStyle w:val="19"/>
          <w:rFonts w:hint="eastAsia" w:ascii="仿宋" w:hAnsi="仿宋" w:eastAsia="仿宋"/>
          <w:b w:val="0"/>
          <w:bCs/>
          <w:color w:val="000000"/>
          <w:sz w:val="32"/>
          <w:szCs w:val="32"/>
          <w:lang w:val="en-US" w:eastAsia="zh-CN"/>
        </w:rPr>
        <w:t>18</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9"/>
          <w:rFonts w:hint="eastAsia" w:ascii="仿宋" w:hAnsi="仿宋" w:eastAsia="仿宋"/>
          <w:bCs/>
          <w:color w:val="000000"/>
          <w:sz w:val="32"/>
          <w:szCs w:val="32"/>
          <w:lang w:val="en-US" w:eastAsia="zh-CN"/>
        </w:rPr>
        <w:t>3</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Cs/>
          <w:color w:val="000000"/>
          <w:sz w:val="32"/>
          <w:szCs w:val="32"/>
        </w:rPr>
        <w:t>社会保障和就业（类）行政事业单位离退休（款）机关事业单位基本养老保险缴费支出（项）</w:t>
      </w:r>
      <w:r>
        <w:rPr>
          <w:rStyle w:val="19"/>
          <w:rFonts w:ascii="仿宋" w:hAnsi="仿宋" w:eastAsia="仿宋"/>
          <w:bCs/>
          <w:color w:val="000000"/>
          <w:sz w:val="32"/>
          <w:szCs w:val="32"/>
        </w:rPr>
        <w:t>:</w:t>
      </w:r>
      <w:r>
        <w:rPr>
          <w:rStyle w:val="19"/>
          <w:rFonts w:ascii="仿宋" w:hAnsi="仿宋" w:eastAsia="仿宋"/>
          <w:b w:val="0"/>
          <w:bCs/>
          <w:color w:val="000000"/>
          <w:sz w:val="32"/>
          <w:szCs w:val="32"/>
        </w:rPr>
        <w:t xml:space="preserve"> </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62.31</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lang w:val="en-US" w:eastAsia="zh-CN"/>
        </w:rPr>
        <w:t>4</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社会保障和就业（类）行政事业单位离退休（款）机关事业单位基本职业年金缴费支出（项）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31.15</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hint="eastAsia" w:ascii="仿宋" w:hAnsi="仿宋" w:eastAsia="仿宋"/>
          <w:b w:val="0"/>
          <w:bCs/>
          <w:color w:val="000000"/>
          <w:sz w:val="32"/>
          <w:szCs w:val="32"/>
        </w:rPr>
      </w:pPr>
      <w:r>
        <w:rPr>
          <w:rStyle w:val="19"/>
          <w:rFonts w:hint="eastAsia" w:ascii="仿宋" w:hAnsi="仿宋" w:eastAsia="仿宋"/>
          <w:bCs/>
          <w:color w:val="000000"/>
          <w:sz w:val="32"/>
          <w:szCs w:val="32"/>
          <w:lang w:val="en-US" w:eastAsia="zh-CN"/>
        </w:rPr>
        <w:t>5</w:t>
      </w:r>
      <w:r>
        <w:rPr>
          <w:rStyle w:val="19"/>
          <w:rFonts w:hint="eastAsia" w:ascii="仿宋" w:hAnsi="仿宋" w:eastAsia="仿宋"/>
          <w:bCs/>
          <w:color w:val="000000"/>
          <w:sz w:val="32"/>
          <w:szCs w:val="32"/>
        </w:rPr>
        <w:t>.卫生健康支出（类）行政事业单位医疗（款）行政单位医疗（项）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24.88</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9"/>
          <w:rFonts w:hint="eastAsia" w:ascii="仿宋" w:hAnsi="仿宋" w:eastAsia="仿宋"/>
          <w:bCs/>
          <w:color w:val="000000"/>
          <w:sz w:val="32"/>
          <w:szCs w:val="32"/>
          <w:lang w:val="en-US" w:eastAsia="zh-CN"/>
        </w:rPr>
        <w:t>6</w:t>
      </w:r>
      <w:r>
        <w:rPr>
          <w:rStyle w:val="19"/>
          <w:rFonts w:hint="eastAsia" w:ascii="仿宋" w:hAnsi="仿宋" w:eastAsia="仿宋"/>
          <w:bCs/>
          <w:color w:val="000000"/>
          <w:sz w:val="32"/>
          <w:szCs w:val="32"/>
        </w:rPr>
        <w:t>.卫生健康支出（类）行政事业单位医疗（款）</w:t>
      </w:r>
      <w:r>
        <w:rPr>
          <w:rStyle w:val="19"/>
          <w:rFonts w:hint="eastAsia" w:ascii="仿宋" w:hAnsi="仿宋" w:eastAsia="仿宋"/>
          <w:bCs/>
          <w:color w:val="000000"/>
          <w:sz w:val="32"/>
          <w:szCs w:val="32"/>
          <w:lang w:val="en-US" w:eastAsia="zh-CN"/>
        </w:rPr>
        <w:t>事业</w:t>
      </w:r>
      <w:r>
        <w:rPr>
          <w:rStyle w:val="19"/>
          <w:rFonts w:hint="eastAsia" w:ascii="仿宋" w:hAnsi="仿宋" w:eastAsia="仿宋"/>
          <w:bCs/>
          <w:color w:val="000000"/>
          <w:sz w:val="32"/>
          <w:szCs w:val="32"/>
        </w:rPr>
        <w:t>单位医疗（项）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4.98</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hint="eastAsia" w:ascii="仿宋" w:hAnsi="仿宋" w:eastAsia="仿宋"/>
          <w:b w:val="0"/>
          <w:bCs/>
          <w:color w:val="000000"/>
          <w:sz w:val="32"/>
          <w:szCs w:val="32"/>
        </w:rPr>
      </w:pPr>
      <w:r>
        <w:rPr>
          <w:rStyle w:val="19"/>
          <w:rFonts w:hint="eastAsia" w:ascii="仿宋" w:hAnsi="仿宋" w:eastAsia="仿宋"/>
          <w:bCs/>
          <w:color w:val="000000"/>
          <w:sz w:val="32"/>
          <w:szCs w:val="32"/>
          <w:lang w:val="en-US" w:eastAsia="zh-CN"/>
        </w:rPr>
        <w:t>7</w:t>
      </w:r>
      <w:r>
        <w:rPr>
          <w:rStyle w:val="19"/>
          <w:rFonts w:hint="eastAsia" w:ascii="仿宋" w:hAnsi="仿宋" w:eastAsia="仿宋"/>
          <w:bCs/>
          <w:color w:val="000000"/>
          <w:sz w:val="32"/>
          <w:szCs w:val="32"/>
        </w:rPr>
        <w:t>.卫生健康支出（类）行政事业单位医疗（款）公务员医疗补助（项）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9.53</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hint="eastAsia" w:ascii="仿宋" w:hAnsi="仿宋" w:eastAsia="仿宋"/>
          <w:b w:val="0"/>
          <w:bCs/>
          <w:color w:val="000000"/>
          <w:sz w:val="32"/>
          <w:szCs w:val="32"/>
        </w:rPr>
      </w:pPr>
      <w:r>
        <w:rPr>
          <w:rStyle w:val="19"/>
          <w:rFonts w:hint="eastAsia" w:ascii="仿宋" w:hAnsi="仿宋" w:eastAsia="仿宋"/>
          <w:bCs/>
          <w:color w:val="000000"/>
          <w:sz w:val="32"/>
          <w:szCs w:val="32"/>
          <w:lang w:val="en-US" w:eastAsia="zh-CN"/>
        </w:rPr>
        <w:t>8</w:t>
      </w:r>
      <w:r>
        <w:rPr>
          <w:rStyle w:val="19"/>
          <w:rFonts w:hint="eastAsia" w:ascii="仿宋" w:hAnsi="仿宋" w:eastAsia="仿宋"/>
          <w:bCs/>
          <w:color w:val="000000"/>
          <w:sz w:val="32"/>
          <w:szCs w:val="32"/>
        </w:rPr>
        <w:t>.卫生健康支出（类）行政事业单位医疗（款）</w:t>
      </w:r>
      <w:r>
        <w:rPr>
          <w:rStyle w:val="19"/>
          <w:rFonts w:hint="eastAsia" w:ascii="仿宋" w:hAnsi="仿宋" w:eastAsia="仿宋"/>
          <w:bCs/>
          <w:color w:val="000000"/>
          <w:sz w:val="32"/>
          <w:szCs w:val="32"/>
          <w:lang w:val="en-US" w:eastAsia="zh-CN"/>
        </w:rPr>
        <w:t>其他行政事业单位医疗支出</w:t>
      </w:r>
      <w:r>
        <w:rPr>
          <w:rStyle w:val="19"/>
          <w:rFonts w:hint="eastAsia" w:ascii="仿宋" w:hAnsi="仿宋" w:eastAsia="仿宋"/>
          <w:bCs/>
          <w:color w:val="000000"/>
          <w:sz w:val="32"/>
          <w:szCs w:val="32"/>
        </w:rPr>
        <w:t>（项）</w:t>
      </w:r>
      <w:r>
        <w:rPr>
          <w:rStyle w:val="19"/>
          <w:rFonts w:ascii="仿宋" w:hAnsi="仿宋" w:eastAsia="仿宋"/>
          <w:bCs/>
          <w:color w:val="000000"/>
          <w:sz w:val="32"/>
          <w:szCs w:val="32"/>
        </w:rPr>
        <w:t>:</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1.47</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ascii="仿宋" w:hAnsi="仿宋" w:eastAsia="仿宋"/>
          <w:b w:val="0"/>
          <w:bCs/>
          <w:color w:val="000000"/>
          <w:sz w:val="32"/>
          <w:szCs w:val="32"/>
        </w:rPr>
      </w:pPr>
      <w:bookmarkStart w:id="44" w:name="_Toc15377214"/>
      <w:r>
        <w:rPr>
          <w:rStyle w:val="19"/>
          <w:rFonts w:hint="eastAsia" w:ascii="仿宋" w:hAnsi="仿宋" w:eastAsia="仿宋"/>
          <w:bCs/>
          <w:color w:val="000000"/>
          <w:sz w:val="32"/>
          <w:szCs w:val="32"/>
          <w:lang w:val="en-US" w:eastAsia="zh-CN"/>
        </w:rPr>
        <w:t>9</w:t>
      </w:r>
      <w:r>
        <w:rPr>
          <w:rStyle w:val="19"/>
          <w:rFonts w:hint="eastAsia" w:ascii="仿宋" w:hAnsi="仿宋" w:eastAsia="仿宋"/>
          <w:bCs/>
          <w:color w:val="000000"/>
          <w:sz w:val="32"/>
          <w:szCs w:val="32"/>
        </w:rPr>
        <w:t>.住房保障（类）住房改革支出（款）住房公积金（项）：</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54.37</w:t>
      </w:r>
      <w:r>
        <w:rPr>
          <w:rStyle w:val="19"/>
          <w:rFonts w:hint="eastAsia" w:ascii="仿宋" w:hAnsi="仿宋" w:eastAsia="仿宋"/>
          <w:b w:val="0"/>
          <w:bCs/>
          <w:color w:val="000000"/>
          <w:sz w:val="32"/>
          <w:szCs w:val="32"/>
        </w:rPr>
        <w:t>万元，完成预算100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，决算数等于预算数。</w:t>
      </w:r>
    </w:p>
    <w:p>
      <w:pPr>
        <w:spacing w:line="600" w:lineRule="exact"/>
        <w:ind w:firstLine="640" w:firstLineChars="200"/>
        <w:rPr>
          <w:rStyle w:val="30"/>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4"/>
      <w:r>
        <w:rPr>
          <w:rStyle w:val="30"/>
          <w:rFonts w:ascii="黑体" w:hAnsi="黑体" w:eastAsia="黑体"/>
          <w:b w:val="0"/>
        </w:rPr>
        <w:tab/>
      </w:r>
    </w:p>
    <w:p>
      <w:pPr>
        <w:spacing w:line="600" w:lineRule="exact"/>
        <w:ind w:firstLine="645"/>
        <w:rPr>
          <w:rFonts w:hint="eastAsia" w:ascii="仿宋" w:hAnsi="仿宋" w:eastAsia="仿宋"/>
          <w:b/>
          <w:bCs/>
          <w:color w:val="000000"/>
          <w:sz w:val="32"/>
          <w:szCs w:val="32"/>
        </w:rPr>
      </w:pPr>
      <w:r>
        <w:rPr>
          <w:rFonts w:hint="eastAsia" w:ascii="仿宋" w:hAnsi="仿宋" w:eastAsia="仿宋"/>
          <w:b/>
          <w:bCs/>
          <w:color w:val="000000"/>
          <w:sz w:val="32"/>
          <w:szCs w:val="32"/>
          <w:lang w:eastAsia="zh-CN"/>
        </w:rPr>
        <w:t>2022</w:t>
      </w:r>
      <w:r>
        <w:rPr>
          <w:rFonts w:hint="eastAsia" w:ascii="仿宋" w:hAnsi="仿宋" w:eastAsia="仿宋"/>
          <w:b/>
          <w:bCs/>
          <w:color w:val="000000"/>
          <w:sz w:val="32"/>
          <w:szCs w:val="32"/>
        </w:rPr>
        <w:t>年一般公共预算财政拨款基本支出</w:t>
      </w:r>
      <w:r>
        <w:rPr>
          <w:rFonts w:hint="eastAsia" w:ascii="仿宋" w:hAnsi="仿宋" w:eastAsia="仿宋"/>
          <w:b/>
          <w:bCs/>
          <w:color w:val="000000"/>
          <w:sz w:val="32"/>
          <w:szCs w:val="32"/>
          <w:lang w:val="en-US" w:eastAsia="zh-CN"/>
        </w:rPr>
        <w:t>854.72</w:t>
      </w:r>
      <w:r>
        <w:rPr>
          <w:rFonts w:hint="eastAsia" w:ascii="仿宋" w:hAnsi="仿宋" w:eastAsia="仿宋"/>
          <w:b/>
          <w:bCs/>
          <w:color w:val="000000"/>
          <w:sz w:val="32"/>
          <w:szCs w:val="32"/>
        </w:rPr>
        <w:t>万元，其中：</w:t>
      </w:r>
      <w:bookmarkStart w:id="45" w:name="_Toc15377215"/>
    </w:p>
    <w:p>
      <w:pPr>
        <w:spacing w:line="600" w:lineRule="exact"/>
        <w:ind w:firstLine="645"/>
        <w:rPr>
          <w:rFonts w:hint="eastAsia" w:ascii="仿宋_GB2312" w:eastAsia="仿宋_GB2312"/>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819.01</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161.21</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161.34</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141.37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绩效工资20.87万元、</w:t>
      </w:r>
      <w:r>
        <w:rPr>
          <w:rFonts w:hint="eastAsia" w:ascii="仿宋_GB2312" w:eastAsia="仿宋_GB2312"/>
          <w:sz w:val="32"/>
          <w:szCs w:val="32"/>
        </w:rPr>
        <w:t>其他社会保障缴费</w:t>
      </w:r>
      <w:r>
        <w:rPr>
          <w:rFonts w:hint="eastAsia" w:ascii="仿宋_GB2312" w:eastAsia="仿宋_GB2312"/>
          <w:sz w:val="32"/>
          <w:szCs w:val="32"/>
          <w:lang w:val="en-US" w:eastAsia="zh-CN"/>
        </w:rPr>
        <w:t>8.82</w:t>
      </w:r>
      <w:r>
        <w:rPr>
          <w:rFonts w:hint="eastAsia" w:ascii="仿宋_GB2312" w:eastAsia="仿宋_GB2312"/>
          <w:sz w:val="32"/>
          <w:szCs w:val="32"/>
        </w:rPr>
        <w:t>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62.31</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31.15</w:t>
      </w:r>
      <w:r>
        <w:rPr>
          <w:rFonts w:hint="eastAsia" w:ascii="仿宋_GB2312" w:eastAsia="仿宋_GB2312"/>
          <w:color w:val="000000"/>
          <w:sz w:val="32"/>
          <w:szCs w:val="32"/>
        </w:rPr>
        <w:t>万元、</w:t>
      </w:r>
      <w:r>
        <w:rPr>
          <w:rFonts w:hint="eastAsia" w:ascii="仿宋_GB2312" w:eastAsia="仿宋_GB2312"/>
          <w:sz w:val="32"/>
          <w:szCs w:val="32"/>
        </w:rPr>
        <w:t>职工基本医疗保险缴费</w:t>
      </w:r>
      <w:r>
        <w:rPr>
          <w:rFonts w:hint="eastAsia" w:ascii="仿宋_GB2312" w:eastAsia="仿宋_GB2312"/>
          <w:sz w:val="32"/>
          <w:szCs w:val="32"/>
          <w:lang w:val="en-US" w:eastAsia="zh-CN"/>
        </w:rPr>
        <w:t>29.86</w:t>
      </w:r>
      <w:r>
        <w:rPr>
          <w:rFonts w:hint="eastAsia" w:ascii="仿宋_GB2312" w:eastAsia="仿宋_GB2312"/>
          <w:sz w:val="32"/>
          <w:szCs w:val="32"/>
        </w:rPr>
        <w:t>元、公务员医疗补助</w:t>
      </w:r>
      <w:r>
        <w:rPr>
          <w:rFonts w:hint="eastAsia" w:ascii="仿宋_GB2312" w:eastAsia="仿宋_GB2312"/>
          <w:sz w:val="32"/>
          <w:szCs w:val="32"/>
          <w:lang w:val="en-US" w:eastAsia="zh-CN"/>
        </w:rPr>
        <w:t>9.53</w:t>
      </w:r>
      <w:r>
        <w:rPr>
          <w:rFonts w:hint="eastAsia" w:ascii="仿宋_GB2312" w:eastAsia="仿宋_GB2312"/>
          <w:sz w:val="32"/>
          <w:szCs w:val="32"/>
        </w:rPr>
        <w:t>万元，住房公积金</w:t>
      </w:r>
      <w:r>
        <w:rPr>
          <w:rFonts w:hint="eastAsia" w:ascii="仿宋_GB2312" w:eastAsia="仿宋_GB2312"/>
          <w:sz w:val="32"/>
          <w:szCs w:val="32"/>
          <w:lang w:val="en-US" w:eastAsia="zh-CN"/>
        </w:rPr>
        <w:t>54.37</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抚恤金20.18万元、</w:t>
      </w:r>
      <w:r>
        <w:rPr>
          <w:rFonts w:hint="eastAsia" w:ascii="仿宋_GB2312" w:eastAsia="仿宋_GB2312"/>
          <w:sz w:val="32"/>
          <w:szCs w:val="32"/>
        </w:rPr>
        <w:t>生活补助</w:t>
      </w:r>
      <w:r>
        <w:rPr>
          <w:rFonts w:hint="eastAsia" w:ascii="仿宋_GB2312" w:eastAsia="仿宋_GB2312"/>
          <w:sz w:val="32"/>
          <w:szCs w:val="32"/>
          <w:lang w:val="en-US" w:eastAsia="zh-CN"/>
        </w:rPr>
        <w:t>29.5</w:t>
      </w:r>
      <w:r>
        <w:rPr>
          <w:rFonts w:hint="eastAsia" w:ascii="仿宋_GB2312" w:eastAsia="仿宋_GB2312"/>
          <w:sz w:val="32"/>
          <w:szCs w:val="32"/>
        </w:rPr>
        <w:t>万元、奖励金</w:t>
      </w:r>
      <w:r>
        <w:rPr>
          <w:rFonts w:hint="eastAsia" w:ascii="仿宋_GB2312" w:eastAsia="仿宋_GB2312"/>
          <w:sz w:val="32"/>
          <w:szCs w:val="32"/>
          <w:lang w:val="en-US" w:eastAsia="zh-CN"/>
        </w:rPr>
        <w:t>88.5</w:t>
      </w:r>
      <w:r>
        <w:rPr>
          <w:rFonts w:hint="eastAsia" w:ascii="仿宋_GB2312" w:eastAsia="仿宋_GB2312"/>
          <w:sz w:val="32"/>
          <w:szCs w:val="32"/>
        </w:rPr>
        <w:t>万元；</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35.71</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4.51</w:t>
      </w:r>
      <w:r>
        <w:rPr>
          <w:rFonts w:hint="eastAsia" w:ascii="仿宋_GB2312" w:eastAsia="仿宋_GB2312"/>
          <w:color w:val="000000"/>
          <w:sz w:val="32"/>
          <w:szCs w:val="32"/>
        </w:rPr>
        <w:t>万元、手续费0.1万元、水费0.3万元、电费</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万元、维修（护）费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万元、会议费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万元、公务接待费0万元、劳务费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福利费0.6万元、</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万元、其他交通费0.</w:t>
      </w:r>
      <w:r>
        <w:rPr>
          <w:rFonts w:hint="eastAsia" w:ascii="仿宋_GB2312" w:eastAsia="仿宋_GB2312"/>
          <w:color w:val="000000"/>
          <w:sz w:val="32"/>
          <w:szCs w:val="32"/>
          <w:lang w:val="en-US" w:eastAsia="zh-CN"/>
        </w:rPr>
        <w:t>5万</w:t>
      </w:r>
      <w:r>
        <w:rPr>
          <w:rFonts w:hint="eastAsia" w:ascii="仿宋_GB2312" w:eastAsia="仿宋_GB2312"/>
          <w:color w:val="000000"/>
          <w:sz w:val="32"/>
          <w:szCs w:val="32"/>
        </w:rPr>
        <w:t>元。</w:t>
      </w:r>
    </w:p>
    <w:p>
      <w:pPr>
        <w:spacing w:line="600" w:lineRule="exact"/>
        <w:ind w:firstLine="643" w:firstLineChars="200"/>
        <w:outlineLvl w:val="1"/>
        <w:rPr>
          <w:rFonts w:hint="eastAsia" w:ascii="仿宋_GB2312" w:eastAsia="仿宋_GB2312"/>
          <w:b/>
          <w:bCs/>
          <w:color w:val="000000"/>
          <w:sz w:val="32"/>
          <w:szCs w:val="32"/>
        </w:rPr>
      </w:pPr>
      <w:bookmarkStart w:id="46" w:name="_Toc23811"/>
      <w:r>
        <w:rPr>
          <w:rFonts w:hint="eastAsia" w:ascii="仿宋" w:hAnsi="仿宋" w:eastAsia="仿宋"/>
          <w:b/>
          <w:bCs/>
          <w:color w:val="000000"/>
          <w:sz w:val="32"/>
          <w:szCs w:val="32"/>
          <w:lang w:eastAsia="zh-CN"/>
        </w:rPr>
        <w:t>2022</w:t>
      </w:r>
      <w:r>
        <w:rPr>
          <w:rFonts w:hint="eastAsia" w:ascii="仿宋" w:hAnsi="仿宋" w:eastAsia="仿宋"/>
          <w:b/>
          <w:bCs/>
          <w:color w:val="000000"/>
          <w:sz w:val="32"/>
          <w:szCs w:val="32"/>
        </w:rPr>
        <w:t>年一般公共预算财政拨款</w:t>
      </w:r>
      <w:r>
        <w:rPr>
          <w:rFonts w:hint="eastAsia" w:ascii="仿宋_GB2312" w:eastAsia="仿宋_GB2312"/>
          <w:b/>
          <w:bCs/>
          <w:color w:val="000000"/>
          <w:sz w:val="32"/>
          <w:szCs w:val="32"/>
        </w:rPr>
        <w:t>项目支出</w:t>
      </w:r>
      <w:r>
        <w:rPr>
          <w:rFonts w:hint="eastAsia" w:ascii="仿宋_GB2312" w:eastAsia="仿宋_GB2312"/>
          <w:b/>
          <w:bCs/>
          <w:color w:val="000000"/>
          <w:sz w:val="32"/>
          <w:szCs w:val="32"/>
          <w:lang w:val="en-US" w:eastAsia="zh-CN"/>
        </w:rPr>
        <w:t>464.32</w:t>
      </w:r>
      <w:r>
        <w:rPr>
          <w:rFonts w:hint="eastAsia" w:ascii="仿宋_GB2312" w:eastAsia="仿宋_GB2312"/>
          <w:b/>
          <w:bCs/>
          <w:color w:val="000000"/>
          <w:sz w:val="32"/>
          <w:szCs w:val="32"/>
        </w:rPr>
        <w:t>万元，其中：</w:t>
      </w:r>
    </w:p>
    <w:p>
      <w:pPr>
        <w:spacing w:line="600"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培训费0.</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一般行政管理事务</w:t>
      </w:r>
      <w:r>
        <w:rPr>
          <w:rFonts w:hint="eastAsia" w:ascii="仿宋_GB2312" w:eastAsia="仿宋_GB2312"/>
          <w:color w:val="000000"/>
          <w:sz w:val="32"/>
          <w:szCs w:val="32"/>
          <w:lang w:eastAsia="zh-CN"/>
        </w:rPr>
        <w:t>支出（公务用车运行费、维修房顶、网络更新、办公运转</w:t>
      </w:r>
      <w:r>
        <w:rPr>
          <w:rFonts w:hint="eastAsia" w:ascii="仿宋_GB2312" w:eastAsia="仿宋_GB2312"/>
          <w:color w:val="000000"/>
          <w:sz w:val="32"/>
          <w:szCs w:val="32"/>
          <w:lang w:val="en-US" w:eastAsia="zh-CN"/>
        </w:rPr>
        <w:t>等）464.14万元</w:t>
      </w:r>
      <w:r>
        <w:rPr>
          <w:rFonts w:hint="eastAsia" w:ascii="仿宋_GB2312" w:eastAsia="仿宋_GB2312"/>
          <w:color w:val="000000"/>
          <w:sz w:val="32"/>
          <w:szCs w:val="32"/>
        </w:rPr>
        <w:t>。</w:t>
      </w:r>
      <w:bookmarkEnd w:id="46"/>
    </w:p>
    <w:p>
      <w:pPr>
        <w:spacing w:line="600" w:lineRule="exact"/>
        <w:ind w:firstLine="640" w:firstLineChars="200"/>
        <w:outlineLvl w:val="1"/>
        <w:rPr>
          <w:rStyle w:val="30"/>
          <w:rFonts w:ascii="黑体" w:hAnsi="黑体" w:eastAsia="黑体"/>
          <w:b w:val="0"/>
        </w:rPr>
      </w:pPr>
      <w:bookmarkStart w:id="47" w:name="_Toc11884"/>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5"/>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180.92</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180.92万元(包括年初</w:t>
      </w:r>
      <w:r>
        <w:rPr>
          <w:rFonts w:hint="eastAsia" w:ascii="仿宋" w:hAnsi="仿宋" w:eastAsia="仿宋"/>
          <w:color w:val="000000"/>
          <w:sz w:val="32"/>
          <w:szCs w:val="32"/>
        </w:rPr>
        <w:t>预算数</w:t>
      </w:r>
      <w:r>
        <w:rPr>
          <w:rFonts w:hint="eastAsia" w:ascii="仿宋" w:hAnsi="仿宋" w:eastAsia="仿宋"/>
          <w:color w:val="000000"/>
          <w:sz w:val="32"/>
          <w:szCs w:val="32"/>
          <w:lang w:val="en-US" w:eastAsia="zh-CN"/>
        </w:rPr>
        <w:t>10万元,调整预算和调剂预算收入170.92万元)</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年“三公”经费财政拨款支出</w:t>
      </w:r>
      <w:r>
        <w:rPr>
          <w:rFonts w:hint="eastAsia" w:ascii="仿宋" w:hAnsi="仿宋" w:eastAsia="仿宋"/>
          <w:sz w:val="32"/>
          <w:szCs w:val="32"/>
        </w:rPr>
        <w:t>决算</w:t>
      </w:r>
      <w:r>
        <w:rPr>
          <w:rFonts w:hint="eastAsia" w:ascii="仿宋" w:hAnsi="仿宋" w:eastAsia="仿宋"/>
          <w:sz w:val="32"/>
          <w:szCs w:val="32"/>
          <w:lang w:val="en-US" w:eastAsia="zh-CN"/>
        </w:rPr>
        <w:t>180.92</w:t>
      </w:r>
      <w:r>
        <w:rPr>
          <w:rFonts w:hint="eastAsia" w:ascii="仿宋" w:hAnsi="仿宋" w:eastAsia="仿宋"/>
          <w:sz w:val="32"/>
          <w:szCs w:val="32"/>
        </w:rPr>
        <w:t>万元</w:t>
      </w:r>
      <w:r>
        <w:rPr>
          <w:rFonts w:hint="eastAsia" w:ascii="仿宋" w:hAnsi="仿宋" w:eastAsia="仿宋"/>
          <w:color w:val="000000"/>
          <w:sz w:val="32"/>
          <w:szCs w:val="32"/>
        </w:rPr>
        <w:t>，其中：因公出国（境）费支出决算0万元，占0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180.92</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Style w:val="19"/>
          <w:rFonts w:ascii="仿宋" w:hAnsi="仿宋" w:eastAsia="仿宋"/>
          <w:b w:val="0"/>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9"/>
          <w:rFonts w:hint="eastAsia" w:ascii="仿宋" w:hAnsi="仿宋" w:eastAsia="仿宋"/>
          <w:b w:val="0"/>
          <w:bCs/>
          <w:color w:val="000000"/>
          <w:sz w:val="32"/>
          <w:szCs w:val="32"/>
        </w:rPr>
        <w:t>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p>
    <w:p>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sz w:val="32"/>
          <w:szCs w:val="32"/>
          <w:lang w:val="en-US" w:eastAsia="zh-CN"/>
        </w:rPr>
        <w:t>180.92</w:t>
      </w:r>
      <w:r>
        <w:rPr>
          <w:rFonts w:hint="eastAsia" w:ascii="仿宋_GB2312" w:eastAsia="仿宋_GB2312"/>
          <w:color w:val="000000"/>
          <w:sz w:val="32"/>
          <w:szCs w:val="32"/>
        </w:rPr>
        <w:t>万元,</w:t>
      </w:r>
      <w:r>
        <w:rPr>
          <w:rStyle w:val="19"/>
          <w:rFonts w:hint="eastAsia" w:ascii="仿宋" w:hAnsi="仿宋" w:eastAsia="仿宋"/>
          <w:b w:val="0"/>
          <w:bCs/>
          <w:color w:val="000000"/>
          <w:sz w:val="32"/>
          <w:szCs w:val="32"/>
        </w:rPr>
        <w:t>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333333"/>
          <w:sz w:val="32"/>
          <w:szCs w:val="32"/>
        </w:rPr>
        <w:t>公务用车购置及运行维护费支出决算</w:t>
      </w:r>
      <w:r>
        <w:rPr>
          <w:rFonts w:hint="eastAsia" w:ascii="仿宋_GB2312" w:eastAsia="仿宋_GB2312"/>
          <w:color w:val="000000"/>
          <w:sz w:val="32"/>
          <w:szCs w:val="32"/>
          <w:lang w:val="en-US" w:eastAsia="zh-CN"/>
        </w:rPr>
        <w:t>增加73.34万</w:t>
      </w:r>
      <w:r>
        <w:rPr>
          <w:rFonts w:hint="eastAsia" w:ascii="仿宋_GB2312" w:eastAsia="仿宋_GB2312"/>
          <w:color w:val="000000"/>
          <w:sz w:val="32"/>
          <w:szCs w:val="32"/>
        </w:rPr>
        <w:t>元</w:t>
      </w:r>
      <w:r>
        <w:rPr>
          <w:rFonts w:hint="eastAsia" w:ascii="仿宋_GB2312" w:eastAsia="仿宋_GB2312"/>
          <w:color w:val="333333"/>
          <w:sz w:val="32"/>
          <w:szCs w:val="32"/>
        </w:rPr>
        <w:t>，</w:t>
      </w:r>
      <w:r>
        <w:rPr>
          <w:rFonts w:hint="eastAsia" w:ascii="仿宋_GB2312" w:eastAsia="仿宋_GB2312"/>
          <w:color w:val="333333"/>
          <w:sz w:val="32"/>
          <w:szCs w:val="32"/>
          <w:lang w:val="en-US" w:eastAsia="zh-CN"/>
        </w:rPr>
        <w:t>原因是</w:t>
      </w:r>
      <w:r>
        <w:rPr>
          <w:rFonts w:hint="eastAsia" w:ascii="仿宋_GB2312" w:hAnsi="仿宋" w:eastAsia="仿宋_GB2312"/>
          <w:color w:val="000000" w:themeColor="text1"/>
          <w:spacing w:val="-2"/>
          <w:sz w:val="32"/>
          <w:szCs w:val="32"/>
          <w:lang w:val="en-US" w:eastAsia="zh-CN"/>
          <w14:textFill>
            <w14:solidFill>
              <w14:schemeClr w14:val="tx1"/>
            </w14:solidFill>
          </w14:textFill>
        </w:rPr>
        <w:t>2021年因县级换届公务用车运行维护费支出截止8月，2022年公务用车运行维护费支出是2021年9月至2022年10月。</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辆，其中：部级领导干部用车0辆、主要领导干部用车0辆、机要通信用车0辆、应急保障用车1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辆、执法执勤用车0辆、特种专业技术用车0辆、离退休干部用车0辆、其他用车0辆；</w:t>
      </w: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180.92</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9"/>
          <w:rFonts w:hint="eastAsia" w:ascii="仿宋" w:hAnsi="仿宋" w:eastAsia="仿宋"/>
          <w:b w:val="0"/>
          <w:bCs/>
          <w:color w:val="000000"/>
          <w:sz w:val="32"/>
          <w:szCs w:val="32"/>
        </w:rPr>
        <w:t>完成预算100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Fonts w:hint="eastAsia" w:ascii="仿宋_GB2312" w:hAnsi="仿宋" w:eastAsia="仿宋_GB2312" w:cs="仿宋"/>
          <w:color w:val="000000"/>
          <w:sz w:val="32"/>
          <w:szCs w:val="32"/>
        </w:rPr>
        <w:t>公务接待费0万元，较上年一致。</w:t>
      </w: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bookmarkStart w:id="50" w:name="_Toc15377218"/>
    </w:p>
    <w:p>
      <w:pPr>
        <w:spacing w:line="600" w:lineRule="exact"/>
        <w:ind w:firstLine="640"/>
        <w:outlineLvl w:val="1"/>
        <w:rPr>
          <w:rStyle w:val="30"/>
          <w:rFonts w:ascii="黑体" w:hAnsi="黑体" w:eastAsia="黑体"/>
        </w:rPr>
      </w:pPr>
      <w:bookmarkStart w:id="51" w:name="_Toc30952"/>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年政府性基金预算拨款支出0万元。</w:t>
      </w:r>
    </w:p>
    <w:p>
      <w:pPr>
        <w:numPr>
          <w:ilvl w:val="0"/>
          <w:numId w:val="4"/>
        </w:numPr>
        <w:spacing w:line="600" w:lineRule="exact"/>
        <w:ind w:firstLine="640"/>
        <w:outlineLvl w:val="1"/>
        <w:rPr>
          <w:rStyle w:val="30"/>
          <w:rFonts w:ascii="黑体" w:hAnsi="黑体" w:eastAsia="黑体"/>
          <w:b w:val="0"/>
        </w:rPr>
      </w:pPr>
      <w:bookmarkStart w:id="52" w:name="_Toc15377219"/>
      <w:bookmarkStart w:id="53" w:name="_Toc29052"/>
      <w:r>
        <w:rPr>
          <w:rStyle w:val="30"/>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年国有资本经营预算拨款支出0万元。</w:t>
      </w:r>
    </w:p>
    <w:p>
      <w:pPr>
        <w:spacing w:line="600" w:lineRule="exact"/>
        <w:ind w:firstLine="640" w:firstLineChars="200"/>
        <w:outlineLvl w:val="1"/>
        <w:rPr>
          <w:rStyle w:val="30"/>
          <w:rFonts w:ascii="黑体" w:hAnsi="黑体" w:eastAsia="黑体"/>
        </w:rPr>
      </w:pPr>
      <w:bookmarkStart w:id="54" w:name="_Toc15377221"/>
      <w:bookmarkStart w:id="55" w:name="_Toc4616"/>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年度，金川县人民</w:t>
      </w:r>
      <w:r>
        <w:rPr>
          <w:rFonts w:hint="eastAsia" w:ascii="仿宋_GB2312" w:eastAsia="仿宋_GB2312"/>
          <w:color w:val="000000"/>
          <w:sz w:val="32"/>
          <w:szCs w:val="32"/>
          <w:lang w:eastAsia="zh-CN"/>
        </w:rPr>
        <w:t>政府办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30.78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年机关运行经费支出41.95万元，比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减少11.17</w:t>
      </w:r>
      <w:r>
        <w:rPr>
          <w:rFonts w:hint="eastAsia" w:ascii="仿宋_GB2312" w:eastAsia="仿宋_GB2312"/>
          <w:color w:val="000000"/>
          <w:sz w:val="32"/>
          <w:szCs w:val="32"/>
        </w:rPr>
        <w:t>万元。主要是办公费、租赁费、邮电费、差旅费、公务用车运行维护费等。</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hint="default" w:ascii="仿宋_GB2312" w:eastAsia="仿宋_GB2312"/>
          <w:color w:val="000000"/>
          <w:sz w:val="32"/>
          <w:szCs w:val="32"/>
          <w:lang w:val="en-US" w:eastAsia="zh-CN"/>
        </w:rPr>
      </w:pPr>
      <w:bookmarkStart w:id="58" w:name="_Toc15377224"/>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年度，金川县人民</w:t>
      </w:r>
      <w:r>
        <w:rPr>
          <w:rFonts w:hint="eastAsia" w:ascii="仿宋_GB2312" w:eastAsia="仿宋_GB2312"/>
          <w:color w:val="000000"/>
          <w:sz w:val="32"/>
          <w:szCs w:val="32"/>
          <w:lang w:eastAsia="zh-CN"/>
        </w:rPr>
        <w:t>政府办</w:t>
      </w:r>
      <w:r>
        <w:rPr>
          <w:rFonts w:hint="eastAsia" w:ascii="仿宋_GB2312" w:eastAsia="仿宋_GB2312"/>
          <w:color w:val="000000"/>
          <w:sz w:val="32"/>
          <w:szCs w:val="32"/>
        </w:rPr>
        <w:t>政府采购合同总价格</w:t>
      </w:r>
      <w:r>
        <w:rPr>
          <w:rFonts w:hint="eastAsia" w:ascii="仿宋_GB2312" w:eastAsia="仿宋_GB2312"/>
          <w:color w:val="000000"/>
          <w:sz w:val="32"/>
          <w:szCs w:val="32"/>
          <w:lang w:val="en-US" w:eastAsia="zh-CN"/>
        </w:rPr>
        <w:t>111.61</w:t>
      </w:r>
      <w:r>
        <w:rPr>
          <w:rFonts w:hint="eastAsia" w:ascii="仿宋_GB2312" w:eastAsia="仿宋_GB2312"/>
          <w:color w:val="000000"/>
          <w:sz w:val="32"/>
          <w:szCs w:val="32"/>
        </w:rPr>
        <w:t>万元，其中：办公设备购置</w:t>
      </w:r>
      <w:r>
        <w:rPr>
          <w:rFonts w:hint="eastAsia" w:ascii="仿宋_GB2312" w:eastAsia="仿宋_GB2312"/>
          <w:color w:val="000000"/>
          <w:sz w:val="32"/>
          <w:szCs w:val="32"/>
          <w:lang w:val="en-US" w:eastAsia="zh-CN"/>
        </w:rPr>
        <w:t>43.71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大型修缮23万元，信息网络及软件购置更新44.9万元。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8"/>
    </w:p>
    <w:p>
      <w:pPr>
        <w:widowControl/>
        <w:ind w:firstLine="640" w:firstLineChars="200"/>
        <w:jc w:val="left"/>
        <w:rPr>
          <w:rFonts w:hint="eastAsia" w:ascii="仿宋_GB2312" w:eastAsia="仿宋_GB2312"/>
          <w:b/>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辆，为日常工作及应急保障用车。</w:t>
      </w:r>
      <w:r>
        <w:rPr>
          <w:rFonts w:hint="eastAsia" w:ascii="仿宋_GB2312" w:eastAsia="仿宋_GB2312"/>
          <w:b/>
          <w:color w:val="000000"/>
          <w:sz w:val="32"/>
          <w:szCs w:val="32"/>
        </w:rPr>
        <w:t xml:space="preserve"> </w:t>
      </w:r>
    </w:p>
    <w:p>
      <w:pPr>
        <w:numPr>
          <w:ilvl w:val="0"/>
          <w:numId w:val="0"/>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lang w:eastAsia="zh-CN"/>
        </w:rPr>
        <w:t>（</w:t>
      </w:r>
      <w:r>
        <w:rPr>
          <w:rFonts w:hint="eastAsia" w:ascii="仿宋" w:hAnsi="仿宋" w:eastAsia="仿宋" w:cs="楷体_GB2312"/>
          <w:b/>
          <w:bCs/>
          <w:sz w:val="32"/>
          <w:szCs w:val="32"/>
          <w:lang w:val="en-US" w:eastAsia="zh-CN"/>
        </w:rPr>
        <w:t>四）</w:t>
      </w:r>
      <w:r>
        <w:rPr>
          <w:rFonts w:hint="eastAsia" w:ascii="仿宋" w:hAnsi="仿宋" w:eastAsia="仿宋" w:cs="楷体_GB2312"/>
          <w:b/>
          <w:bCs/>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根据预算绩效管理要求，我单位在年初预算编制阶段，组织对项目开展了预算事前绩效评估，对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个项目编制了绩效目标，预算执行过程中，选取1个项目开展绩效监控，年终执行完毕后，对1个项目开展了绩效目标完成情况梳理填报。本部门按要求对</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年部门整体支出绩效评价情况开展自评，</w:t>
      </w:r>
      <w:r>
        <w:rPr>
          <w:rFonts w:hint="eastAsia" w:ascii="仿宋_GB2312" w:eastAsia="仿宋_GB2312"/>
          <w:sz w:val="32"/>
          <w:szCs w:val="32"/>
        </w:rPr>
        <w:t>《金川县人民</w:t>
      </w:r>
      <w:r>
        <w:rPr>
          <w:rFonts w:hint="eastAsia" w:ascii="仿宋_GB2312" w:eastAsia="仿宋_GB2312"/>
          <w:sz w:val="32"/>
          <w:szCs w:val="32"/>
          <w:lang w:eastAsia="zh-CN"/>
        </w:rPr>
        <w:t>政府办</w:t>
      </w:r>
      <w:r>
        <w:rPr>
          <w:rFonts w:hint="eastAsia" w:ascii="仿宋_GB2312" w:eastAsia="仿宋_GB2312"/>
          <w:sz w:val="32"/>
          <w:szCs w:val="32"/>
        </w:rPr>
        <w:t>公室</w:t>
      </w:r>
      <w:r>
        <w:rPr>
          <w:rFonts w:hint="eastAsia" w:ascii="仿宋_GB2312" w:eastAsia="仿宋_GB2312"/>
          <w:sz w:val="32"/>
          <w:szCs w:val="32"/>
          <w:lang w:eastAsia="zh-CN"/>
        </w:rPr>
        <w:t>2022</w:t>
      </w:r>
      <w:r>
        <w:rPr>
          <w:rFonts w:hint="eastAsia" w:ascii="仿宋_GB2312" w:eastAsia="仿宋_GB2312"/>
          <w:sz w:val="32"/>
          <w:szCs w:val="32"/>
        </w:rPr>
        <w:t>年部门预算整体支出绩效评价报告》</w:t>
      </w:r>
      <w:r>
        <w:rPr>
          <w:rFonts w:hint="eastAsia" w:ascii="仿宋_GB2312" w:hAnsi="仿宋_GB2312" w:eastAsia="仿宋_GB2312" w:cs="仿宋_GB2312"/>
          <w:sz w:val="32"/>
          <w:szCs w:val="32"/>
        </w:rPr>
        <w:t>见附件。</w:t>
      </w:r>
    </w:p>
    <w:p>
      <w:pPr>
        <w:widowControl/>
        <w:ind w:firstLine="643" w:firstLineChars="200"/>
        <w:jc w:val="left"/>
        <w:rPr>
          <w:rFonts w:hint="eastAsia" w:ascii="仿宋_GB2312" w:eastAsia="仿宋_GB2312"/>
          <w:b/>
          <w:color w:val="000000"/>
          <w:sz w:val="32"/>
          <w:szCs w:val="32"/>
        </w:rPr>
      </w:pPr>
    </w:p>
    <w:p>
      <w:pPr>
        <w:widowControl/>
        <w:ind w:firstLine="643" w:firstLineChars="200"/>
        <w:jc w:val="left"/>
        <w:rPr>
          <w:rFonts w:hint="eastAsia" w:ascii="仿宋_GB2312" w:eastAsia="仿宋_GB2312"/>
          <w:b/>
          <w:color w:val="000000"/>
          <w:sz w:val="32"/>
          <w:szCs w:val="32"/>
        </w:rPr>
      </w:pPr>
    </w:p>
    <w:p>
      <w:pPr>
        <w:numPr>
          <w:ilvl w:val="0"/>
          <w:numId w:val="5"/>
        </w:numPr>
        <w:spacing w:line="600" w:lineRule="exact"/>
        <w:ind w:firstLine="663" w:firstLineChars="150"/>
        <w:jc w:val="center"/>
        <w:outlineLvl w:val="0"/>
        <w:rPr>
          <w:rStyle w:val="29"/>
          <w:rFonts w:ascii="黑体" w:hAnsi="黑体" w:eastAsia="黑体"/>
          <w:b w:val="0"/>
        </w:rPr>
      </w:pPr>
      <w:bookmarkStart w:id="59" w:name="_Toc14568"/>
      <w:bookmarkStart w:id="60" w:name="_Toc15377225"/>
      <w:r>
        <w:rPr>
          <w:rFonts w:hint="eastAsia" w:ascii="黑体" w:hAnsi="黑体" w:eastAsia="黑体"/>
          <w:b/>
          <w:color w:val="000000"/>
          <w:sz w:val="44"/>
          <w:szCs w:val="44"/>
        </w:rPr>
        <w:t>名</w:t>
      </w:r>
      <w:r>
        <w:rPr>
          <w:rStyle w:val="29"/>
          <w:rFonts w:hint="eastAsia" w:ascii="黑体" w:hAnsi="黑体" w:eastAsia="黑体"/>
          <w:b w:val="0"/>
        </w:rPr>
        <w:t>词解释</w:t>
      </w:r>
      <w:bookmarkEnd w:id="59"/>
      <w:bookmarkEnd w:id="60"/>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w:t>
      </w:r>
      <w:r>
        <w:rPr>
          <w:rFonts w:hint="eastAsia" w:ascii="仿宋_GB2312" w:hAnsi="Calibri" w:eastAsia="仿宋_GB2312" w:cs="仿宋"/>
          <w:color w:val="000000"/>
          <w:kern w:val="0"/>
          <w:sz w:val="32"/>
          <w:szCs w:val="32"/>
          <w:lang w:eastAsia="zh-CN"/>
        </w:rPr>
        <w:t>政府办</w:t>
      </w:r>
      <w:r>
        <w:rPr>
          <w:rFonts w:hint="eastAsia" w:ascii="仿宋_GB2312" w:hAnsi="Calibri" w:eastAsia="仿宋_GB2312" w:cs="仿宋"/>
          <w:color w:val="000000"/>
          <w:kern w:val="0"/>
          <w:sz w:val="32"/>
          <w:szCs w:val="32"/>
        </w:rPr>
        <w:t>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w:t>
      </w:r>
      <w:r>
        <w:rPr>
          <w:rFonts w:hint="eastAsia" w:ascii="仿宋_GB2312" w:hAnsi="Calibri" w:eastAsia="仿宋_GB2312" w:cs="仿宋"/>
          <w:color w:val="000000"/>
          <w:kern w:val="0"/>
          <w:sz w:val="32"/>
          <w:szCs w:val="32"/>
          <w:lang w:eastAsia="zh-CN"/>
        </w:rPr>
        <w:t>政府办</w:t>
      </w:r>
      <w:r>
        <w:rPr>
          <w:rFonts w:hint="eastAsia" w:ascii="仿宋_GB2312" w:hAnsi="Calibri" w:eastAsia="仿宋_GB2312" w:cs="仿宋"/>
          <w:color w:val="000000"/>
          <w:kern w:val="0"/>
          <w:sz w:val="32"/>
          <w:szCs w:val="32"/>
        </w:rPr>
        <w:t>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61"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pStyle w:val="4"/>
        <w:rPr>
          <w:rStyle w:val="29"/>
          <w:rFonts w:ascii="仿宋" w:hAnsi="仿宋" w:eastAsia="仿宋"/>
          <w:b w:val="0"/>
          <w:bCs w:val="0"/>
          <w:sz w:val="32"/>
          <w:szCs w:val="32"/>
        </w:rPr>
      </w:pPr>
      <w:bookmarkStart w:id="62" w:name="_Toc11323"/>
      <w:r>
        <w:rPr>
          <w:rStyle w:val="29"/>
          <w:rFonts w:hint="eastAsia" w:ascii="仿宋" w:hAnsi="仿宋" w:eastAsia="仿宋"/>
          <w:b w:val="0"/>
          <w:bCs w:val="0"/>
          <w:sz w:val="32"/>
          <w:szCs w:val="32"/>
        </w:rPr>
        <w:t>附件1</w:t>
      </w:r>
      <w:bookmarkEnd w:id="62"/>
    </w:p>
    <w:p>
      <w:pPr>
        <w:numPr>
          <w:ilvl w:val="0"/>
          <w:numId w:val="5"/>
        </w:numPr>
        <w:spacing w:line="600" w:lineRule="exact"/>
        <w:ind w:firstLine="660" w:firstLineChars="150"/>
        <w:jc w:val="center"/>
        <w:outlineLvl w:val="0"/>
        <w:rPr>
          <w:rStyle w:val="29"/>
          <w:rFonts w:ascii="黑体" w:hAnsi="黑体" w:eastAsia="黑体"/>
          <w:b w:val="0"/>
        </w:rPr>
      </w:pPr>
      <w:bookmarkStart w:id="63" w:name="_Toc12508"/>
      <w:r>
        <w:rPr>
          <w:rStyle w:val="29"/>
          <w:rFonts w:hint="eastAsia" w:ascii="黑体" w:hAnsi="黑体" w:eastAsia="黑体"/>
          <w:b w:val="0"/>
        </w:rPr>
        <w:t>附件</w:t>
      </w:r>
      <w:bookmarkEnd w:id="63"/>
    </w:p>
    <w:p>
      <w:pPr>
        <w:outlineLvl w:val="0"/>
        <w:rPr>
          <w:rStyle w:val="29"/>
          <w:rFonts w:ascii="黑体" w:hAnsi="黑体" w:eastAsia="黑体"/>
          <w:b w:val="0"/>
        </w:rPr>
      </w:pPr>
    </w:p>
    <w:bookmarkEnd w:id="61"/>
    <w:p>
      <w:pPr>
        <w:widowControl/>
        <w:spacing w:line="480" w:lineRule="exact"/>
        <w:jc w:val="center"/>
        <w:rPr>
          <w:rFonts w:ascii="宋体" w:hAnsi="宋体" w:cs="宋体"/>
          <w:b/>
          <w:sz w:val="44"/>
          <w:szCs w:val="44"/>
        </w:rPr>
      </w:pPr>
      <w:r>
        <w:rPr>
          <w:rFonts w:hint="eastAsia" w:ascii="宋体" w:hAnsi="宋体" w:cs="宋体"/>
          <w:b/>
          <w:sz w:val="44"/>
          <w:szCs w:val="44"/>
        </w:rPr>
        <w:t>金川县人民</w:t>
      </w:r>
      <w:r>
        <w:rPr>
          <w:rFonts w:hint="eastAsia" w:ascii="宋体" w:hAnsi="宋体" w:cs="宋体"/>
          <w:b/>
          <w:sz w:val="44"/>
          <w:szCs w:val="44"/>
          <w:lang w:eastAsia="zh-CN"/>
        </w:rPr>
        <w:t>政府办</w:t>
      </w:r>
      <w:r>
        <w:rPr>
          <w:rFonts w:hint="eastAsia" w:ascii="宋体" w:hAnsi="宋体" w:cs="宋体"/>
          <w:b/>
          <w:sz w:val="44"/>
          <w:szCs w:val="44"/>
        </w:rPr>
        <w:t>公室</w:t>
      </w:r>
    </w:p>
    <w:p>
      <w:pPr>
        <w:widowControl/>
        <w:spacing w:line="480" w:lineRule="exact"/>
        <w:jc w:val="center"/>
        <w:rPr>
          <w:rFonts w:ascii="宋体" w:hAnsi="宋体" w:cs="宋体"/>
          <w:b/>
          <w:sz w:val="44"/>
          <w:szCs w:val="44"/>
        </w:rPr>
      </w:pPr>
      <w:r>
        <w:rPr>
          <w:rFonts w:hint="eastAsia" w:ascii="宋体" w:hAnsi="宋体" w:cs="宋体"/>
          <w:b/>
          <w:sz w:val="44"/>
          <w:szCs w:val="44"/>
        </w:rPr>
        <w:t>关于</w:t>
      </w:r>
      <w:r>
        <w:rPr>
          <w:rFonts w:hint="eastAsia" w:ascii="宋体" w:hAnsi="宋体" w:cs="宋体"/>
          <w:b/>
          <w:sz w:val="44"/>
          <w:szCs w:val="44"/>
          <w:lang w:eastAsia="zh-CN"/>
        </w:rPr>
        <w:t>2022</w:t>
      </w:r>
      <w:r>
        <w:rPr>
          <w:rFonts w:hint="eastAsia" w:ascii="宋体" w:hAnsi="宋体" w:cs="宋体"/>
          <w:b/>
          <w:sz w:val="44"/>
          <w:szCs w:val="44"/>
        </w:rPr>
        <w:t>年部门整体支出</w:t>
      </w:r>
    </w:p>
    <w:p>
      <w:pPr>
        <w:widowControl/>
        <w:spacing w:line="480" w:lineRule="exact"/>
        <w:jc w:val="center"/>
        <w:rPr>
          <w:rFonts w:ascii="宋体" w:hAnsi="宋体" w:cs="宋体"/>
          <w:b/>
          <w:sz w:val="44"/>
          <w:szCs w:val="44"/>
        </w:rPr>
      </w:pPr>
      <w:r>
        <w:rPr>
          <w:rFonts w:hint="eastAsia" w:ascii="宋体" w:hAnsi="宋体" w:cs="宋体"/>
          <w:b/>
          <w:sz w:val="44"/>
          <w:szCs w:val="44"/>
        </w:rPr>
        <w:t>绩效评价报告</w:t>
      </w:r>
    </w:p>
    <w:p>
      <w:pPr>
        <w:widowControl/>
        <w:adjustRightInd w:val="0"/>
        <w:snapToGrid w:val="0"/>
        <w:spacing w:line="480" w:lineRule="exact"/>
        <w:jc w:val="left"/>
        <w:rPr>
          <w:rFonts w:ascii="仿宋_GB2312" w:hAnsi="Calibri" w:eastAsia="仿宋_GB2312" w:cs="仿宋"/>
          <w:color w:val="000000"/>
          <w:kern w:val="0"/>
          <w:sz w:val="32"/>
          <w:szCs w:val="32"/>
        </w:rPr>
      </w:pP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根据《金川县财政局关于开展</w:t>
      </w:r>
      <w:r>
        <w:rPr>
          <w:rFonts w:hint="eastAsia" w:ascii="仿宋_GB2312" w:hAnsi="Calibri" w:eastAsia="仿宋_GB2312" w:cs="仿宋"/>
          <w:color w:val="000000"/>
          <w:kern w:val="0"/>
          <w:sz w:val="32"/>
          <w:szCs w:val="32"/>
          <w:lang w:eastAsia="zh-CN"/>
        </w:rPr>
        <w:t>2022</w:t>
      </w:r>
      <w:r>
        <w:rPr>
          <w:rFonts w:hint="eastAsia" w:ascii="仿宋_GB2312" w:hAnsi="Calibri" w:eastAsia="仿宋_GB2312" w:cs="仿宋"/>
          <w:color w:val="000000"/>
          <w:kern w:val="0"/>
          <w:sz w:val="32"/>
          <w:szCs w:val="32"/>
        </w:rPr>
        <w:t>年部门、政策和项目支出绩效评价工作的通知》（金财监绩〔</w:t>
      </w:r>
      <w:r>
        <w:rPr>
          <w:rFonts w:hint="eastAsia" w:ascii="仿宋_GB2312" w:hAnsi="Calibri" w:eastAsia="仿宋_GB2312" w:cs="仿宋"/>
          <w:color w:val="000000"/>
          <w:kern w:val="0"/>
          <w:sz w:val="32"/>
          <w:szCs w:val="32"/>
          <w:lang w:eastAsia="zh-CN"/>
        </w:rPr>
        <w:t>2022</w:t>
      </w:r>
      <w:r>
        <w:rPr>
          <w:rFonts w:hint="eastAsia" w:ascii="仿宋_GB2312" w:hAnsi="Calibri" w:eastAsia="仿宋_GB2312" w:cs="仿宋"/>
          <w:color w:val="000000"/>
          <w:kern w:val="0"/>
          <w:sz w:val="32"/>
          <w:szCs w:val="32"/>
        </w:rPr>
        <w:t>〕</w:t>
      </w:r>
      <w:r>
        <w:rPr>
          <w:rFonts w:hint="default" w:ascii="仿宋_GB2312" w:hAnsi="Calibri" w:eastAsia="仿宋_GB2312" w:cs="仿宋"/>
          <w:color w:val="000000"/>
          <w:kern w:val="0"/>
          <w:sz w:val="32"/>
          <w:szCs w:val="32"/>
        </w:rPr>
        <w:t>29</w:t>
      </w:r>
      <w:r>
        <w:rPr>
          <w:rFonts w:hint="eastAsia" w:ascii="仿宋_GB2312" w:hAnsi="Calibri" w:eastAsia="仿宋_GB2312" w:cs="仿宋"/>
          <w:color w:val="000000"/>
          <w:kern w:val="0"/>
          <w:sz w:val="32"/>
          <w:szCs w:val="32"/>
        </w:rPr>
        <w:t>号）文件要求，结合本单位的实际</w:t>
      </w:r>
      <w:r>
        <w:rPr>
          <w:rFonts w:hint="eastAsia" w:ascii="仿宋_GB2312" w:hAnsi="Calibri" w:eastAsia="仿宋_GB2312" w:cs="仿宋"/>
          <w:color w:val="000000"/>
          <w:kern w:val="0"/>
          <w:sz w:val="32"/>
          <w:szCs w:val="32"/>
          <w:lang w:eastAsia="zh-CN"/>
        </w:rPr>
        <w:t>涉及</w:t>
      </w:r>
      <w:r>
        <w:rPr>
          <w:rFonts w:hint="eastAsia" w:ascii="仿宋_GB2312" w:hAnsi="Calibri" w:eastAsia="仿宋_GB2312" w:cs="仿宋"/>
          <w:color w:val="000000"/>
          <w:kern w:val="0"/>
          <w:sz w:val="32"/>
          <w:szCs w:val="32"/>
        </w:rPr>
        <w:t>部门整体支出绩效评价工作，我办</w:t>
      </w:r>
      <w:r>
        <w:rPr>
          <w:rFonts w:hint="eastAsia" w:ascii="仿宋_GB2312" w:hAnsi="Calibri" w:eastAsia="仿宋_GB2312" w:cs="仿宋"/>
          <w:color w:val="000000"/>
          <w:kern w:val="0"/>
          <w:sz w:val="32"/>
          <w:szCs w:val="32"/>
          <w:lang w:eastAsia="zh-CN"/>
        </w:rPr>
        <w:t>赓即</w:t>
      </w:r>
      <w:r>
        <w:rPr>
          <w:rFonts w:hint="eastAsia" w:ascii="仿宋_GB2312" w:hAnsi="Calibri" w:eastAsia="仿宋_GB2312" w:cs="仿宋"/>
          <w:color w:val="000000"/>
          <w:kern w:val="0"/>
          <w:sz w:val="32"/>
          <w:szCs w:val="32"/>
        </w:rPr>
        <w:t>认真开展部门整体支出绩效自评工作，现将</w:t>
      </w:r>
      <w:r>
        <w:rPr>
          <w:rFonts w:hint="eastAsia" w:ascii="仿宋_GB2312" w:hAnsi="Calibri" w:eastAsia="仿宋_GB2312" w:cs="仿宋"/>
          <w:color w:val="000000"/>
          <w:kern w:val="0"/>
          <w:sz w:val="32"/>
          <w:szCs w:val="32"/>
          <w:lang w:eastAsia="zh-CN"/>
        </w:rPr>
        <w:t>2022</w:t>
      </w:r>
      <w:r>
        <w:rPr>
          <w:rFonts w:hint="eastAsia" w:ascii="仿宋_GB2312" w:hAnsi="Calibri" w:eastAsia="仿宋_GB2312" w:cs="仿宋"/>
          <w:color w:val="000000"/>
          <w:kern w:val="0"/>
          <w:sz w:val="32"/>
          <w:szCs w:val="32"/>
        </w:rPr>
        <w:t>年部门预算支出绩效自评工作报告如下：</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单位概况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（一）机构组成:</w:t>
      </w:r>
      <w:r>
        <w:rPr>
          <w:rFonts w:hint="eastAsia" w:ascii="仿宋_GB2312" w:hAnsi="Calibri" w:eastAsia="仿宋_GB2312" w:cs="仿宋"/>
          <w:color w:val="000000"/>
          <w:kern w:val="0"/>
          <w:sz w:val="32"/>
          <w:szCs w:val="32"/>
        </w:rPr>
        <w:t>行政单位1个</w:t>
      </w:r>
      <w:r>
        <w:rPr>
          <w:rFonts w:hint="eastAsia" w:ascii="仿宋_GB2312" w:hAnsi="Calibri" w:eastAsia="仿宋_GB2312" w:cs="仿宋"/>
          <w:color w:val="000000"/>
          <w:kern w:val="0"/>
          <w:sz w:val="32"/>
          <w:szCs w:val="32"/>
          <w:lang w:eastAsia="zh-CN"/>
        </w:rPr>
        <w:t>，</w:t>
      </w:r>
      <w:r>
        <w:rPr>
          <w:rFonts w:hint="eastAsia" w:ascii="仿宋_GB2312" w:hAnsi="Calibri" w:eastAsia="仿宋_GB2312" w:cs="仿宋"/>
          <w:color w:val="000000"/>
          <w:kern w:val="0"/>
          <w:sz w:val="32"/>
          <w:szCs w:val="32"/>
          <w:lang w:val="en-US" w:eastAsia="zh-CN"/>
        </w:rPr>
        <w:t>事业单位1个</w:t>
      </w:r>
      <w:r>
        <w:rPr>
          <w:rFonts w:hint="eastAsia" w:ascii="仿宋_GB2312" w:hAnsi="Calibri" w:eastAsia="仿宋_GB2312" w:cs="仿宋"/>
          <w:color w:val="000000"/>
          <w:kern w:val="0"/>
          <w:sz w:val="32"/>
          <w:szCs w:val="32"/>
        </w:rPr>
        <w:t>。</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（二）机构职能:</w:t>
      </w:r>
    </w:p>
    <w:p>
      <w:pPr>
        <w:pStyle w:val="2"/>
        <w:adjustRightInd w:val="0"/>
        <w:snapToGrid w:val="0"/>
        <w:spacing w:before="93" w:line="600" w:lineRule="exact"/>
        <w:ind w:firstLine="672" w:firstLineChars="210"/>
        <w:rPr>
          <w:bCs/>
          <w:color w:val="000000"/>
          <w:sz w:val="32"/>
          <w:szCs w:val="32"/>
        </w:rPr>
      </w:pPr>
      <w:r>
        <w:rPr>
          <w:rFonts w:hint="eastAsia" w:ascii="仿宋_GB2312" w:hAnsi="Calibri" w:eastAsia="仿宋_GB2312" w:cs="仿宋"/>
          <w:color w:val="000000"/>
          <w:kern w:val="0"/>
          <w:sz w:val="32"/>
          <w:szCs w:val="32"/>
        </w:rPr>
        <w:t xml:space="preserve"> </w:t>
      </w:r>
      <w:r>
        <w:rPr>
          <w:rFonts w:hint="eastAsia"/>
          <w:bCs/>
          <w:color w:val="000000"/>
          <w:sz w:val="32"/>
          <w:szCs w:val="32"/>
        </w:rPr>
        <w:t>１协助县政府领导同志组织起草或审核以县政府、金川县人民政府办公室名义发布的公文。办理州政府、州政府办公室及各部委局发送县政府的文电。指导全县行政机关公文处理工作。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2研究县政府部门和各乡镇人民政府请示县政府事项，提出审核意见，报县政府领导同志审批。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3负责县政府会议准备工作，协助县政府领导组织实施会议决定事项。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4根据县政府领导同志的指示，对县政府部门间争议问题提出处理意见和建议，报县政府领导同志决定。</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5督促检查县政府各部门和各乡镇人民政府对县政府决定事项及县政府领导同志指示的贯彻落实情况，及时向县政府领导同志报告。</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6负责县政府值班工作，指导乡镇人民政府和县政府部门值班工作，及时报告重要情况。</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7指导、监督全县政府信息公开工作和机关行政效能建设工作，指导、监督全县政府系统电子政务工作和政府网站建设。</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8组织办理涉及县政府工作的人大代表议案、批评、建议和政协委员提案、建议案工作。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9负责县政府人民防空和民防工作。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10负责全县机关事业单位小汽车编制审批事项。</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11负责外事侨务工作。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12监督、指导县人民政府驻成都办事处工作。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13承办县政府和县政府领导交办的其他事项。　</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w:t>
      </w:r>
      <w:r>
        <w:rPr>
          <w:rFonts w:hint="eastAsia" w:ascii="仿宋_GB2312" w:hAnsi="Calibri" w:eastAsia="仿宋_GB2312" w:cs="仿宋"/>
          <w:color w:val="000000"/>
          <w:kern w:val="0"/>
          <w:sz w:val="32"/>
          <w:szCs w:val="32"/>
          <w:lang w:val="en-US" w:eastAsia="zh-CN"/>
        </w:rPr>
        <w:t>三</w:t>
      </w:r>
      <w:r>
        <w:rPr>
          <w:rFonts w:hint="eastAsia" w:ascii="仿宋_GB2312" w:hAnsi="Calibri" w:eastAsia="仿宋_GB2312" w:cs="仿宋"/>
          <w:color w:val="000000"/>
          <w:kern w:val="0"/>
          <w:sz w:val="32"/>
          <w:szCs w:val="32"/>
          <w:lang w:val="zh-CN"/>
        </w:rPr>
        <w:t>）人员概况:</w:t>
      </w:r>
      <w:r>
        <w:rPr>
          <w:rFonts w:hint="eastAsia"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lang w:eastAsia="zh-CN"/>
        </w:rPr>
        <w:t>2022</w:t>
      </w:r>
      <w:r>
        <w:rPr>
          <w:rFonts w:hint="eastAsia" w:ascii="仿宋_GB2312" w:hAnsi="Calibri" w:eastAsia="仿宋_GB2312" w:cs="仿宋"/>
          <w:color w:val="000000"/>
          <w:kern w:val="0"/>
          <w:sz w:val="32"/>
          <w:szCs w:val="32"/>
        </w:rPr>
        <w:t>年财政供养人员为3</w:t>
      </w:r>
      <w:r>
        <w:rPr>
          <w:rFonts w:hint="eastAsia" w:ascii="仿宋_GB2312" w:hAnsi="Calibri" w:eastAsia="仿宋_GB2312" w:cs="仿宋"/>
          <w:color w:val="000000"/>
          <w:kern w:val="0"/>
          <w:sz w:val="32"/>
          <w:szCs w:val="32"/>
          <w:lang w:val="en-US" w:eastAsia="zh-CN"/>
        </w:rPr>
        <w:t>3</w:t>
      </w:r>
      <w:r>
        <w:rPr>
          <w:rFonts w:hint="eastAsia" w:ascii="仿宋_GB2312" w:hAnsi="Calibri" w:eastAsia="仿宋_GB2312" w:cs="仿宋"/>
          <w:color w:val="000000"/>
          <w:kern w:val="0"/>
          <w:sz w:val="32"/>
          <w:szCs w:val="32"/>
        </w:rPr>
        <w:t>人,其中公务员1</w:t>
      </w:r>
      <w:r>
        <w:rPr>
          <w:rFonts w:hint="eastAsia" w:ascii="仿宋_GB2312" w:hAnsi="Calibri" w:eastAsia="仿宋_GB2312" w:cs="仿宋"/>
          <w:color w:val="000000"/>
          <w:kern w:val="0"/>
          <w:sz w:val="32"/>
          <w:szCs w:val="32"/>
          <w:lang w:val="en-US" w:eastAsia="zh-CN"/>
        </w:rPr>
        <w:t>6</w:t>
      </w:r>
      <w:r>
        <w:rPr>
          <w:rFonts w:hint="eastAsia" w:ascii="仿宋_GB2312" w:hAnsi="Calibri" w:eastAsia="仿宋_GB2312" w:cs="仿宋"/>
          <w:color w:val="000000"/>
          <w:kern w:val="0"/>
          <w:sz w:val="32"/>
          <w:szCs w:val="32"/>
        </w:rPr>
        <w:t>人、工勤1</w:t>
      </w:r>
      <w:r>
        <w:rPr>
          <w:rFonts w:hint="eastAsia" w:ascii="仿宋_GB2312" w:hAnsi="Calibri" w:eastAsia="仿宋_GB2312" w:cs="仿宋"/>
          <w:color w:val="000000"/>
          <w:kern w:val="0"/>
          <w:sz w:val="32"/>
          <w:szCs w:val="32"/>
          <w:lang w:val="en-US" w:eastAsia="zh-CN"/>
        </w:rPr>
        <w:t>0</w:t>
      </w:r>
      <w:r>
        <w:rPr>
          <w:rFonts w:hint="eastAsia" w:ascii="仿宋_GB2312" w:hAnsi="Calibri" w:eastAsia="仿宋_GB2312" w:cs="仿宋"/>
          <w:color w:val="000000"/>
          <w:kern w:val="0"/>
          <w:sz w:val="32"/>
          <w:szCs w:val="32"/>
        </w:rPr>
        <w:t>人，事业管理7人；与去年相比</w:t>
      </w:r>
      <w:r>
        <w:rPr>
          <w:rFonts w:hint="eastAsia" w:ascii="仿宋_GB2312" w:hAnsi="Calibri" w:eastAsia="仿宋_GB2312" w:cs="仿宋"/>
          <w:color w:val="000000"/>
          <w:kern w:val="0"/>
          <w:sz w:val="32"/>
          <w:szCs w:val="32"/>
          <w:lang w:val="en-US" w:eastAsia="zh-CN"/>
        </w:rPr>
        <w:t>减少3</w:t>
      </w:r>
      <w:r>
        <w:rPr>
          <w:rFonts w:hint="eastAsia" w:ascii="仿宋_GB2312" w:hAnsi="Calibri" w:eastAsia="仿宋_GB2312" w:cs="仿宋"/>
          <w:color w:val="000000"/>
          <w:kern w:val="0"/>
          <w:sz w:val="32"/>
          <w:szCs w:val="32"/>
        </w:rPr>
        <w:t>人</w:t>
      </w:r>
      <w:r>
        <w:rPr>
          <w:rFonts w:hint="eastAsia" w:ascii="仿宋_GB2312" w:hAnsi="Calibri" w:eastAsia="仿宋_GB2312" w:cs="仿宋"/>
          <w:color w:val="000000"/>
          <w:kern w:val="0"/>
          <w:sz w:val="32"/>
          <w:szCs w:val="32"/>
          <w:lang w:val="zh-CN"/>
        </w:rPr>
        <w:t>。</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二、部门财政资金收支情况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（一）部门财政资金收入:</w:t>
      </w:r>
      <w:r>
        <w:rPr>
          <w:rFonts w:hint="eastAsia" w:ascii="仿宋_GB2312" w:hAnsi="Calibri" w:eastAsia="仿宋_GB2312" w:cs="仿宋"/>
          <w:color w:val="000000"/>
          <w:kern w:val="0"/>
          <w:sz w:val="32"/>
          <w:szCs w:val="32"/>
        </w:rPr>
        <w:t xml:space="preserve"> </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eastAsia="zh-CN"/>
        </w:rPr>
        <w:t>2022</w:t>
      </w:r>
      <w:r>
        <w:rPr>
          <w:rFonts w:hint="eastAsia" w:ascii="仿宋_GB2312" w:hAnsi="Calibri" w:eastAsia="仿宋_GB2312" w:cs="仿宋"/>
          <w:color w:val="000000"/>
          <w:kern w:val="0"/>
          <w:sz w:val="32"/>
          <w:szCs w:val="32"/>
        </w:rPr>
        <w:t>年部门预算收入</w:t>
      </w:r>
      <w:r>
        <w:rPr>
          <w:rFonts w:hint="eastAsia" w:ascii="仿宋_GB2312" w:hAnsi="Calibri" w:eastAsia="仿宋_GB2312" w:cs="仿宋"/>
          <w:color w:val="000000"/>
          <w:kern w:val="0"/>
          <w:sz w:val="32"/>
          <w:szCs w:val="32"/>
          <w:lang w:val="en-US" w:eastAsia="zh-CN"/>
        </w:rPr>
        <w:t>1319.04</w:t>
      </w:r>
      <w:r>
        <w:rPr>
          <w:rFonts w:hint="eastAsia" w:ascii="仿宋_GB2312" w:hAnsi="Calibri" w:eastAsia="仿宋_GB2312" w:cs="仿宋"/>
          <w:color w:val="000000"/>
          <w:kern w:val="0"/>
          <w:sz w:val="32"/>
          <w:szCs w:val="32"/>
        </w:rPr>
        <w:t>万元，上年结转0万元，总收入</w:t>
      </w:r>
      <w:r>
        <w:rPr>
          <w:rFonts w:hint="eastAsia" w:ascii="仿宋_GB2312" w:hAnsi="Calibri" w:eastAsia="仿宋_GB2312" w:cs="仿宋"/>
          <w:color w:val="000000"/>
          <w:kern w:val="0"/>
          <w:sz w:val="32"/>
          <w:szCs w:val="32"/>
          <w:lang w:val="en-US" w:eastAsia="zh-CN"/>
        </w:rPr>
        <w:t>1319.04</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val="zh-CN"/>
        </w:rPr>
        <w:t>。</w:t>
      </w:r>
    </w:p>
    <w:p>
      <w:pPr>
        <w:widowControl/>
        <w:numPr>
          <w:ilvl w:val="0"/>
          <w:numId w:val="6"/>
        </w:numPr>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部门财政资金支出情况:</w:t>
      </w:r>
    </w:p>
    <w:p>
      <w:pPr>
        <w:spacing w:line="600" w:lineRule="exact"/>
        <w:ind w:firstLine="645"/>
        <w:rPr>
          <w:rFonts w:hint="eastAsia" w:ascii="仿宋" w:hAnsi="仿宋" w:eastAsia="仿宋"/>
          <w:b/>
          <w:bCs/>
          <w:color w:val="000000"/>
          <w:sz w:val="32"/>
          <w:szCs w:val="32"/>
        </w:rPr>
      </w:pPr>
      <w:r>
        <w:rPr>
          <w:rFonts w:hint="eastAsia" w:ascii="仿宋" w:hAnsi="仿宋" w:eastAsia="仿宋"/>
          <w:b/>
          <w:bCs/>
          <w:color w:val="000000"/>
          <w:sz w:val="32"/>
          <w:szCs w:val="32"/>
          <w:lang w:eastAsia="zh-CN"/>
        </w:rPr>
        <w:t>2022</w:t>
      </w:r>
      <w:r>
        <w:rPr>
          <w:rFonts w:hint="eastAsia" w:ascii="仿宋" w:hAnsi="仿宋" w:eastAsia="仿宋"/>
          <w:b/>
          <w:bCs/>
          <w:color w:val="000000"/>
          <w:sz w:val="32"/>
          <w:szCs w:val="32"/>
        </w:rPr>
        <w:t>年一般公共预算财政拨款基本支出</w:t>
      </w:r>
      <w:r>
        <w:rPr>
          <w:rFonts w:hint="eastAsia" w:ascii="仿宋" w:hAnsi="仿宋" w:eastAsia="仿宋"/>
          <w:b/>
          <w:bCs/>
          <w:color w:val="000000"/>
          <w:sz w:val="32"/>
          <w:szCs w:val="32"/>
          <w:lang w:val="en-US" w:eastAsia="zh-CN"/>
        </w:rPr>
        <w:t>854.72</w:t>
      </w:r>
      <w:r>
        <w:rPr>
          <w:rFonts w:hint="eastAsia" w:ascii="仿宋" w:hAnsi="仿宋" w:eastAsia="仿宋"/>
          <w:b/>
          <w:bCs/>
          <w:color w:val="000000"/>
          <w:sz w:val="32"/>
          <w:szCs w:val="32"/>
        </w:rPr>
        <w:t>万元，其中：</w:t>
      </w:r>
    </w:p>
    <w:p>
      <w:pPr>
        <w:spacing w:line="600" w:lineRule="exact"/>
        <w:ind w:firstLine="645"/>
        <w:rPr>
          <w:rFonts w:hint="eastAsia" w:ascii="仿宋_GB2312" w:eastAsia="仿宋_GB2312"/>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819.01</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161.21</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161.34</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141.37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绩效工资20.87万元、</w:t>
      </w:r>
      <w:r>
        <w:rPr>
          <w:rFonts w:hint="eastAsia" w:ascii="仿宋_GB2312" w:eastAsia="仿宋_GB2312"/>
          <w:sz w:val="32"/>
          <w:szCs w:val="32"/>
        </w:rPr>
        <w:t>其他社会保障缴费</w:t>
      </w:r>
      <w:r>
        <w:rPr>
          <w:rFonts w:hint="eastAsia" w:ascii="仿宋_GB2312" w:eastAsia="仿宋_GB2312"/>
          <w:sz w:val="32"/>
          <w:szCs w:val="32"/>
          <w:lang w:val="en-US" w:eastAsia="zh-CN"/>
        </w:rPr>
        <w:t>8.82</w:t>
      </w:r>
      <w:r>
        <w:rPr>
          <w:rFonts w:hint="eastAsia" w:ascii="仿宋_GB2312" w:eastAsia="仿宋_GB2312"/>
          <w:sz w:val="32"/>
          <w:szCs w:val="32"/>
        </w:rPr>
        <w:t>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62.31</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31.15</w:t>
      </w:r>
      <w:r>
        <w:rPr>
          <w:rFonts w:hint="eastAsia" w:ascii="仿宋_GB2312" w:eastAsia="仿宋_GB2312"/>
          <w:color w:val="000000"/>
          <w:sz w:val="32"/>
          <w:szCs w:val="32"/>
        </w:rPr>
        <w:t>万元、</w:t>
      </w:r>
      <w:r>
        <w:rPr>
          <w:rFonts w:hint="eastAsia" w:ascii="仿宋_GB2312" w:eastAsia="仿宋_GB2312"/>
          <w:sz w:val="32"/>
          <w:szCs w:val="32"/>
        </w:rPr>
        <w:t>职工基本医疗保险缴费</w:t>
      </w:r>
      <w:r>
        <w:rPr>
          <w:rFonts w:hint="eastAsia" w:ascii="仿宋_GB2312" w:eastAsia="仿宋_GB2312"/>
          <w:sz w:val="32"/>
          <w:szCs w:val="32"/>
          <w:lang w:val="en-US" w:eastAsia="zh-CN"/>
        </w:rPr>
        <w:t>29.86</w:t>
      </w:r>
      <w:r>
        <w:rPr>
          <w:rFonts w:hint="eastAsia" w:ascii="仿宋_GB2312" w:eastAsia="仿宋_GB2312"/>
          <w:sz w:val="32"/>
          <w:szCs w:val="32"/>
        </w:rPr>
        <w:t>元、公务员医疗补助</w:t>
      </w:r>
      <w:r>
        <w:rPr>
          <w:rFonts w:hint="eastAsia" w:ascii="仿宋_GB2312" w:eastAsia="仿宋_GB2312"/>
          <w:sz w:val="32"/>
          <w:szCs w:val="32"/>
          <w:lang w:val="en-US" w:eastAsia="zh-CN"/>
        </w:rPr>
        <w:t>9.53</w:t>
      </w:r>
      <w:r>
        <w:rPr>
          <w:rFonts w:hint="eastAsia" w:ascii="仿宋_GB2312" w:eastAsia="仿宋_GB2312"/>
          <w:sz w:val="32"/>
          <w:szCs w:val="32"/>
        </w:rPr>
        <w:t>万元，住房公积金</w:t>
      </w:r>
      <w:r>
        <w:rPr>
          <w:rFonts w:hint="eastAsia" w:ascii="仿宋_GB2312" w:eastAsia="仿宋_GB2312"/>
          <w:sz w:val="32"/>
          <w:szCs w:val="32"/>
          <w:lang w:val="en-US" w:eastAsia="zh-CN"/>
        </w:rPr>
        <w:t>54.37</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抚恤金20.18万元、</w:t>
      </w:r>
      <w:r>
        <w:rPr>
          <w:rFonts w:hint="eastAsia" w:ascii="仿宋_GB2312" w:eastAsia="仿宋_GB2312"/>
          <w:sz w:val="32"/>
          <w:szCs w:val="32"/>
        </w:rPr>
        <w:t>生活补助</w:t>
      </w:r>
      <w:r>
        <w:rPr>
          <w:rFonts w:hint="eastAsia" w:ascii="仿宋_GB2312" w:eastAsia="仿宋_GB2312"/>
          <w:sz w:val="32"/>
          <w:szCs w:val="32"/>
          <w:lang w:val="en-US" w:eastAsia="zh-CN"/>
        </w:rPr>
        <w:t>29.5</w:t>
      </w:r>
      <w:r>
        <w:rPr>
          <w:rFonts w:hint="eastAsia" w:ascii="仿宋_GB2312" w:eastAsia="仿宋_GB2312"/>
          <w:sz w:val="32"/>
          <w:szCs w:val="32"/>
        </w:rPr>
        <w:t>万元、奖励金</w:t>
      </w:r>
      <w:r>
        <w:rPr>
          <w:rFonts w:hint="eastAsia" w:ascii="仿宋_GB2312" w:eastAsia="仿宋_GB2312"/>
          <w:sz w:val="32"/>
          <w:szCs w:val="32"/>
          <w:lang w:val="en-US" w:eastAsia="zh-CN"/>
        </w:rPr>
        <w:t>88.5</w:t>
      </w:r>
      <w:r>
        <w:rPr>
          <w:rFonts w:hint="eastAsia" w:ascii="仿宋_GB2312" w:eastAsia="仿宋_GB2312"/>
          <w:sz w:val="32"/>
          <w:szCs w:val="32"/>
        </w:rPr>
        <w:t>万元；</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35.71</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4.51</w:t>
      </w:r>
      <w:r>
        <w:rPr>
          <w:rFonts w:hint="eastAsia" w:ascii="仿宋_GB2312" w:eastAsia="仿宋_GB2312"/>
          <w:color w:val="000000"/>
          <w:sz w:val="32"/>
          <w:szCs w:val="32"/>
        </w:rPr>
        <w:t>万元、手续费0.1万元、水费0.3万元、电费</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万元、维修（护）费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万元、会议费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万元、公务接待费0万元、劳务费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福利费0.6万元、</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万元、其他交通费0.</w:t>
      </w:r>
      <w:r>
        <w:rPr>
          <w:rFonts w:hint="eastAsia" w:ascii="仿宋_GB2312" w:eastAsia="仿宋_GB2312"/>
          <w:color w:val="000000"/>
          <w:sz w:val="32"/>
          <w:szCs w:val="32"/>
          <w:lang w:val="en-US" w:eastAsia="zh-CN"/>
        </w:rPr>
        <w:t>5万</w:t>
      </w:r>
      <w:r>
        <w:rPr>
          <w:rFonts w:hint="eastAsia" w:ascii="仿宋_GB2312" w:eastAsia="仿宋_GB2312"/>
          <w:color w:val="000000"/>
          <w:sz w:val="32"/>
          <w:szCs w:val="32"/>
        </w:rPr>
        <w:t>元。</w:t>
      </w:r>
    </w:p>
    <w:p>
      <w:pPr>
        <w:spacing w:line="600" w:lineRule="exact"/>
        <w:ind w:firstLine="643" w:firstLineChars="200"/>
        <w:outlineLvl w:val="1"/>
        <w:rPr>
          <w:rFonts w:hint="eastAsia" w:ascii="仿宋_GB2312" w:eastAsia="仿宋_GB2312"/>
          <w:b/>
          <w:bCs/>
          <w:color w:val="000000"/>
          <w:sz w:val="32"/>
          <w:szCs w:val="32"/>
        </w:rPr>
      </w:pPr>
      <w:r>
        <w:rPr>
          <w:rFonts w:hint="eastAsia" w:ascii="仿宋" w:hAnsi="仿宋" w:eastAsia="仿宋"/>
          <w:b/>
          <w:bCs/>
          <w:color w:val="000000"/>
          <w:sz w:val="32"/>
          <w:szCs w:val="32"/>
          <w:lang w:eastAsia="zh-CN"/>
        </w:rPr>
        <w:t>2022</w:t>
      </w:r>
      <w:r>
        <w:rPr>
          <w:rFonts w:hint="eastAsia" w:ascii="仿宋" w:hAnsi="仿宋" w:eastAsia="仿宋"/>
          <w:b/>
          <w:bCs/>
          <w:color w:val="000000"/>
          <w:sz w:val="32"/>
          <w:szCs w:val="32"/>
        </w:rPr>
        <w:t>年一般公共预算财政拨款</w:t>
      </w:r>
      <w:r>
        <w:rPr>
          <w:rFonts w:hint="eastAsia" w:ascii="仿宋_GB2312" w:eastAsia="仿宋_GB2312"/>
          <w:b/>
          <w:bCs/>
          <w:color w:val="000000"/>
          <w:sz w:val="32"/>
          <w:szCs w:val="32"/>
        </w:rPr>
        <w:t>项目支出</w:t>
      </w:r>
      <w:r>
        <w:rPr>
          <w:rFonts w:hint="eastAsia" w:ascii="仿宋_GB2312" w:eastAsia="仿宋_GB2312"/>
          <w:b/>
          <w:bCs/>
          <w:color w:val="000000"/>
          <w:sz w:val="32"/>
          <w:szCs w:val="32"/>
          <w:lang w:val="en-US" w:eastAsia="zh-CN"/>
        </w:rPr>
        <w:t>464.32</w:t>
      </w:r>
      <w:r>
        <w:rPr>
          <w:rFonts w:hint="eastAsia" w:ascii="仿宋_GB2312" w:eastAsia="仿宋_GB2312"/>
          <w:b/>
          <w:bCs/>
          <w:color w:val="000000"/>
          <w:sz w:val="32"/>
          <w:szCs w:val="32"/>
        </w:rPr>
        <w:t>万元，其中：</w:t>
      </w:r>
    </w:p>
    <w:p>
      <w:pPr>
        <w:spacing w:line="600"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培训费0.</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一般行政管理事务</w:t>
      </w:r>
      <w:r>
        <w:rPr>
          <w:rFonts w:hint="eastAsia" w:ascii="仿宋_GB2312" w:eastAsia="仿宋_GB2312"/>
          <w:color w:val="000000"/>
          <w:sz w:val="32"/>
          <w:szCs w:val="32"/>
          <w:lang w:eastAsia="zh-CN"/>
        </w:rPr>
        <w:t>支出（公务用车运行费、维修房顶、网络更新、办公运转</w:t>
      </w:r>
      <w:r>
        <w:rPr>
          <w:rFonts w:hint="eastAsia" w:ascii="仿宋_GB2312" w:eastAsia="仿宋_GB2312"/>
          <w:color w:val="000000"/>
          <w:sz w:val="32"/>
          <w:szCs w:val="32"/>
          <w:lang w:val="en-US" w:eastAsia="zh-CN"/>
        </w:rPr>
        <w:t>等）464.14万元</w:t>
      </w:r>
      <w:r>
        <w:rPr>
          <w:rFonts w:hint="eastAsia" w:ascii="仿宋_GB2312" w:eastAsia="仿宋_GB2312"/>
          <w:color w:val="000000"/>
          <w:sz w:val="32"/>
          <w:szCs w:val="32"/>
        </w:rPr>
        <w:t>。</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财政拨款支出主要用于保障本部门机构正常运转、完成日常工作任务。基本人员支出，是用于</w:t>
      </w:r>
      <w:r>
        <w:rPr>
          <w:rFonts w:hint="eastAsia" w:ascii="仿宋_GB2312" w:hAnsi="Calibri" w:eastAsia="仿宋_GB2312" w:cs="仿宋"/>
          <w:color w:val="000000"/>
          <w:kern w:val="0"/>
          <w:sz w:val="32"/>
          <w:szCs w:val="32"/>
          <w:lang w:eastAsia="zh-CN"/>
        </w:rPr>
        <w:t>政府办</w:t>
      </w:r>
      <w:r>
        <w:rPr>
          <w:rFonts w:hint="eastAsia" w:ascii="仿宋_GB2312" w:hAnsi="Calibri" w:eastAsia="仿宋_GB2312" w:cs="仿宋"/>
          <w:color w:val="000000"/>
          <w:kern w:val="0"/>
          <w:sz w:val="32"/>
          <w:szCs w:val="32"/>
        </w:rPr>
        <w:t>人员工资和社保就业保障经费。日常公用支出包括办公费、印刷费、水电费、“三公经费”等日常公用经费。项目支出，是用于</w:t>
      </w:r>
      <w:r>
        <w:rPr>
          <w:rFonts w:hint="eastAsia" w:ascii="仿宋_GB2312" w:hAnsi="Calibri" w:eastAsia="仿宋_GB2312" w:cs="仿宋"/>
          <w:color w:val="000000"/>
          <w:kern w:val="0"/>
          <w:sz w:val="32"/>
          <w:szCs w:val="32"/>
          <w:lang w:eastAsia="zh-CN"/>
        </w:rPr>
        <w:t>政府办</w:t>
      </w:r>
      <w:r>
        <w:rPr>
          <w:rFonts w:hint="eastAsia" w:ascii="仿宋_GB2312" w:hAnsi="Calibri" w:eastAsia="仿宋_GB2312" w:cs="仿宋"/>
          <w:color w:val="000000"/>
          <w:kern w:val="0"/>
          <w:sz w:val="32"/>
          <w:szCs w:val="32"/>
        </w:rPr>
        <w:t>办公设备购置。</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三、部门整体预算绩效管理情况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（一）部门预算项目绩效管理。</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预算编制按照规定做到了细化，内容真实、完整。各项收入均列入部门预算，按要求编制了政府采购预算，结余结转资金规范化管理，按规定及时公开了部门预算。</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我办通过建立完善的内控制度，</w:t>
      </w:r>
      <w:r>
        <w:rPr>
          <w:rFonts w:ascii="Times New Roman" w:hAnsi="Times New Roman" w:eastAsia="仿宋_GB2312" w:cs="Times New Roman"/>
          <w:bCs/>
          <w:kern w:val="0"/>
          <w:sz w:val="32"/>
          <w:szCs w:val="32"/>
          <w:shd w:val="clear" w:color="auto" w:fill="FFFFFF"/>
          <w:lang w:val="zh-CN"/>
        </w:rPr>
        <w:t>所有</w:t>
      </w:r>
      <w:r>
        <w:rPr>
          <w:rFonts w:ascii="Times New Roman" w:hAnsi="Times New Roman" w:eastAsia="仿宋_GB2312" w:cs="Times New Roman"/>
          <w:bCs/>
          <w:kern w:val="0"/>
          <w:sz w:val="32"/>
          <w:szCs w:val="32"/>
          <w:shd w:val="clear" w:color="auto" w:fill="FFFFFF"/>
          <w:lang w:val="zh-CN" w:eastAsia="zh-CN"/>
        </w:rPr>
        <w:t>经费</w:t>
      </w:r>
      <w:r>
        <w:rPr>
          <w:rFonts w:ascii="Times New Roman" w:hAnsi="Times New Roman" w:eastAsia="仿宋_GB2312" w:cs="Times New Roman"/>
          <w:bCs/>
          <w:kern w:val="0"/>
          <w:sz w:val="32"/>
          <w:szCs w:val="32"/>
          <w:shd w:val="clear" w:color="auto" w:fill="FFFFFF"/>
          <w:lang w:val="zh-CN"/>
        </w:rPr>
        <w:t>支出均</w:t>
      </w:r>
      <w:r>
        <w:rPr>
          <w:rFonts w:ascii="Times New Roman" w:hAnsi="Times New Roman" w:eastAsia="仿宋_GB2312" w:cs="Times New Roman"/>
          <w:bCs/>
          <w:kern w:val="0"/>
          <w:sz w:val="32"/>
          <w:szCs w:val="32"/>
          <w:shd w:val="clear" w:color="auto" w:fill="FFFFFF"/>
          <w:lang w:val="zh-CN" w:eastAsia="zh-CN"/>
        </w:rPr>
        <w:t>严格</w:t>
      </w:r>
      <w:r>
        <w:rPr>
          <w:rFonts w:ascii="Times New Roman" w:hAnsi="Times New Roman" w:eastAsia="仿宋_GB2312" w:cs="Times New Roman"/>
          <w:bCs/>
          <w:kern w:val="0"/>
          <w:sz w:val="32"/>
          <w:szCs w:val="32"/>
          <w:shd w:val="clear" w:color="auto" w:fill="FFFFFF"/>
          <w:lang w:val="zh-CN"/>
        </w:rPr>
        <w:t>履行</w:t>
      </w:r>
      <w:r>
        <w:rPr>
          <w:rFonts w:ascii="Times New Roman" w:hAnsi="Times New Roman" w:eastAsia="仿宋_GB2312" w:cs="Times New Roman"/>
          <w:bCs/>
          <w:kern w:val="0"/>
          <w:sz w:val="32"/>
          <w:szCs w:val="32"/>
          <w:shd w:val="clear" w:color="auto" w:fill="FFFFFF"/>
          <w:lang w:val="zh-CN" w:eastAsia="zh-CN"/>
        </w:rPr>
        <w:t>报账</w:t>
      </w:r>
      <w:r>
        <w:rPr>
          <w:rFonts w:ascii="Times New Roman" w:hAnsi="Times New Roman" w:eastAsia="仿宋_GB2312" w:cs="Times New Roman"/>
          <w:bCs/>
          <w:kern w:val="0"/>
          <w:sz w:val="32"/>
          <w:szCs w:val="32"/>
          <w:shd w:val="clear" w:color="auto" w:fill="FFFFFF"/>
          <w:lang w:val="zh-CN"/>
        </w:rPr>
        <w:t>审批手续。基本支出严格执行国家的有关政策及规定，无</w:t>
      </w:r>
      <w:r>
        <w:rPr>
          <w:rFonts w:ascii="Times New Roman" w:hAnsi="Times New Roman" w:eastAsia="仿宋_GB2312" w:cs="Times New Roman"/>
          <w:bCs/>
          <w:kern w:val="0"/>
          <w:sz w:val="32"/>
          <w:szCs w:val="32"/>
          <w:shd w:val="clear" w:color="auto" w:fill="FFFFFF"/>
          <w:lang w:val="zh-CN" w:eastAsia="zh-CN"/>
        </w:rPr>
        <w:t>违规</w:t>
      </w:r>
      <w:r>
        <w:rPr>
          <w:rFonts w:ascii="Times New Roman" w:hAnsi="Times New Roman" w:eastAsia="仿宋_GB2312" w:cs="Times New Roman"/>
          <w:bCs/>
          <w:kern w:val="0"/>
          <w:sz w:val="32"/>
          <w:szCs w:val="32"/>
          <w:shd w:val="clear" w:color="auto" w:fill="FFFFFF"/>
          <w:lang w:val="zh-CN"/>
        </w:rPr>
        <w:t>扩大开支范围和提高开支标准</w:t>
      </w:r>
      <w:r>
        <w:rPr>
          <w:rFonts w:ascii="Times New Roman" w:hAnsi="Times New Roman" w:eastAsia="仿宋_GB2312" w:cs="Times New Roman"/>
          <w:bCs/>
          <w:kern w:val="0"/>
          <w:sz w:val="32"/>
          <w:szCs w:val="32"/>
          <w:shd w:val="clear" w:color="auto" w:fill="FFFFFF"/>
          <w:lang w:val="zh-CN" w:eastAsia="zh-CN"/>
        </w:rPr>
        <w:t>的情况</w:t>
      </w:r>
      <w:r>
        <w:rPr>
          <w:rFonts w:ascii="Times New Roman" w:hAnsi="Times New Roman" w:eastAsia="仿宋_GB2312" w:cs="Times New Roman"/>
          <w:bCs/>
          <w:kern w:val="0"/>
          <w:sz w:val="32"/>
          <w:szCs w:val="32"/>
          <w:shd w:val="clear" w:color="auto" w:fill="FFFFFF"/>
          <w:lang w:val="zh-CN"/>
        </w:rPr>
        <w:t>，单位津补贴、奖金和福利均按照国家或地方的规定发放，无滥发奖金、补贴或福利现象。项目支出均按照批准的项目和用途以及项目实施方案执行</w:t>
      </w:r>
      <w:r>
        <w:rPr>
          <w:rFonts w:ascii="Times New Roman" w:hAnsi="Times New Roman" w:eastAsia="仿宋_GB2312" w:cs="Times New Roman"/>
          <w:bCs/>
          <w:kern w:val="0"/>
          <w:sz w:val="32"/>
          <w:szCs w:val="32"/>
          <w:shd w:val="clear" w:color="auto" w:fill="FFFFFF"/>
          <w:lang w:val="zh-CN" w:eastAsia="zh-CN"/>
        </w:rPr>
        <w:t>。按照国家相关法律规定真实完整的进行预决算编报和信息公开，根据预算执行进度及时进行部门绩效自我评价并依法接受财政监督审查。</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（二）结果应用情况。</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我办202</w:t>
      </w:r>
      <w:r>
        <w:rPr>
          <w:rFonts w:hint="eastAsia" w:eastAsia="仿宋_GB2312" w:cs="Times New Roman"/>
          <w:bCs/>
          <w:kern w:val="0"/>
          <w:sz w:val="32"/>
          <w:szCs w:val="32"/>
          <w:shd w:val="clear" w:color="auto" w:fill="FFFFFF"/>
          <w:lang w:val="en-US" w:eastAsia="zh-CN"/>
        </w:rPr>
        <w:t>2</w:t>
      </w:r>
      <w:r>
        <w:rPr>
          <w:rFonts w:ascii="Times New Roman" w:hAnsi="Times New Roman" w:eastAsia="仿宋_GB2312" w:cs="Times New Roman"/>
          <w:bCs/>
          <w:kern w:val="0"/>
          <w:sz w:val="32"/>
          <w:szCs w:val="32"/>
          <w:shd w:val="clear" w:color="auto" w:fill="FFFFFF"/>
          <w:lang w:val="zh-CN"/>
        </w:rPr>
        <w:t>年度整体支出绩效评价合格，并按规定将自评情况及时报送财政部门备案，对于自评过程中发现的不足及问题，我办积极整改，力求下一年度通过完善相关政策制度，建立更加切合实际的绩效评价体系。</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（三）自评质量</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eastAsia="zh-CN"/>
        </w:rPr>
        <w:t>1.预算编制。</w:t>
      </w:r>
      <w:r>
        <w:rPr>
          <w:rFonts w:ascii="Times New Roman" w:hAnsi="Times New Roman" w:eastAsia="仿宋_GB2312" w:cs="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w:t>
      </w:r>
      <w:r>
        <w:rPr>
          <w:rFonts w:hint="eastAsia" w:ascii="Times New Roman" w:hAnsi="Times New Roman" w:eastAsia="仿宋_GB2312" w:cs="Times New Roman"/>
          <w:bCs/>
          <w:kern w:val="0"/>
          <w:sz w:val="32"/>
          <w:szCs w:val="32"/>
          <w:shd w:val="clear" w:color="auto" w:fill="FFFFFF"/>
          <w:lang w:val="en-US" w:eastAsia="zh-CN"/>
        </w:rPr>
        <w:t>10</w:t>
      </w:r>
      <w:r>
        <w:rPr>
          <w:rFonts w:ascii="Times New Roman" w:hAnsi="Times New Roman" w:eastAsia="仿宋_GB2312" w:cs="Times New Roman"/>
          <w:bCs/>
          <w:kern w:val="0"/>
          <w:sz w:val="32"/>
          <w:szCs w:val="32"/>
          <w:shd w:val="clear" w:color="auto" w:fill="FFFFFF"/>
          <w:lang w:val="zh-CN" w:eastAsia="zh-CN"/>
        </w:rPr>
        <w:t>%，全年整体效应良好；三是做到了年初预算编制科学合理，全年预算调剂金额占比有效控制在</w:t>
      </w:r>
      <w:r>
        <w:rPr>
          <w:rFonts w:hint="eastAsia" w:ascii="Times New Roman" w:hAnsi="Times New Roman" w:eastAsia="仿宋_GB2312" w:cs="Times New Roman"/>
          <w:bCs/>
          <w:kern w:val="0"/>
          <w:sz w:val="32"/>
          <w:szCs w:val="32"/>
          <w:shd w:val="clear" w:color="auto" w:fill="FFFFFF"/>
          <w:lang w:val="en-US" w:eastAsia="zh-CN"/>
        </w:rPr>
        <w:t>50</w:t>
      </w:r>
      <w:r>
        <w:rPr>
          <w:rFonts w:ascii="Times New Roman" w:hAnsi="Times New Roman" w:eastAsia="仿宋_GB2312" w:cs="Times New Roman"/>
          <w:bCs/>
          <w:kern w:val="0"/>
          <w:sz w:val="32"/>
          <w:szCs w:val="32"/>
          <w:shd w:val="clear" w:color="auto" w:fill="FFFFFF"/>
          <w:lang w:val="zh-CN" w:eastAsia="zh-CN"/>
        </w:rPr>
        <w:t>%以内，预算编制准确率</w:t>
      </w:r>
      <w:r>
        <w:rPr>
          <w:rFonts w:hint="eastAsia" w:ascii="Times New Roman" w:hAnsi="Times New Roman" w:eastAsia="仿宋_GB2312" w:cs="Times New Roman"/>
          <w:bCs/>
          <w:kern w:val="0"/>
          <w:sz w:val="32"/>
          <w:szCs w:val="32"/>
          <w:shd w:val="clear" w:color="auto" w:fill="FFFFFF"/>
          <w:lang w:val="en-US" w:eastAsia="zh-CN"/>
        </w:rPr>
        <w:t>不</w:t>
      </w:r>
      <w:r>
        <w:rPr>
          <w:rFonts w:ascii="Times New Roman" w:hAnsi="Times New Roman" w:eastAsia="仿宋_GB2312" w:cs="Times New Roman"/>
          <w:bCs/>
          <w:kern w:val="0"/>
          <w:sz w:val="32"/>
          <w:szCs w:val="32"/>
          <w:shd w:val="clear" w:color="auto" w:fill="FFFFFF"/>
          <w:lang w:val="zh-CN" w:eastAsia="zh-CN"/>
        </w:rPr>
        <w:t>达标</w:t>
      </w:r>
      <w:r>
        <w:rPr>
          <w:rFonts w:hint="eastAsia" w:ascii="Times New Roman" w:hAnsi="Times New Roman" w:eastAsia="仿宋_GB2312" w:cs="Times New Roman"/>
          <w:bCs/>
          <w:kern w:val="0"/>
          <w:sz w:val="32"/>
          <w:szCs w:val="32"/>
          <w:shd w:val="clear" w:color="auto" w:fill="FFFFFF"/>
          <w:lang w:val="zh-CN" w:eastAsia="zh-CN"/>
        </w:rPr>
        <w:t>，</w:t>
      </w:r>
      <w:r>
        <w:rPr>
          <w:rFonts w:hint="eastAsia" w:ascii="Times New Roman" w:hAnsi="Times New Roman" w:eastAsia="仿宋_GB2312" w:cs="Times New Roman"/>
          <w:bCs/>
          <w:kern w:val="0"/>
          <w:sz w:val="32"/>
          <w:szCs w:val="32"/>
          <w:shd w:val="clear" w:color="auto" w:fill="FFFFFF"/>
          <w:lang w:val="en-US" w:eastAsia="zh-CN"/>
        </w:rPr>
        <w:t>其原因是县级领导干部工作经费和10余公务用车的车辆运行经费未纳入年初预算</w:t>
      </w:r>
      <w:r>
        <w:rPr>
          <w:rFonts w:ascii="Times New Roman" w:hAnsi="Times New Roman" w:eastAsia="仿宋_GB2312" w:cs="Times New Roman"/>
          <w:bCs/>
          <w:kern w:val="0"/>
          <w:sz w:val="32"/>
          <w:szCs w:val="32"/>
          <w:shd w:val="clear" w:color="auto" w:fill="FFFFFF"/>
          <w:lang w:val="zh-CN" w:eastAsia="zh-CN"/>
        </w:rPr>
        <w:t>。</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rPr>
        <w:t>2.预算执行。</w:t>
      </w:r>
      <w:r>
        <w:rPr>
          <w:rFonts w:ascii="Times New Roman" w:hAnsi="Times New Roman" w:eastAsia="仿宋_GB2312" w:cs="Times New Roman"/>
          <w:bCs/>
          <w:kern w:val="0"/>
          <w:sz w:val="32"/>
          <w:szCs w:val="32"/>
          <w:shd w:val="clear" w:color="auto" w:fill="FFFFFF"/>
          <w:lang w:val="zh-CN" w:eastAsia="zh-CN"/>
        </w:rPr>
        <w:t>支出控制方面，日常公用经费、项目支出中“办公费、印刷费、水费、电费、物业管理费”等科目预决算偏差度为</w:t>
      </w:r>
      <w:r>
        <w:rPr>
          <w:rFonts w:hint="eastAsia" w:ascii="Times New Roman" w:hAnsi="Times New Roman" w:eastAsia="仿宋_GB2312" w:cs="Times New Roman"/>
          <w:bCs/>
          <w:kern w:val="0"/>
          <w:sz w:val="32"/>
          <w:szCs w:val="32"/>
          <w:shd w:val="clear" w:color="auto" w:fill="FFFFFF"/>
          <w:lang w:val="en-US" w:eastAsia="zh-CN"/>
        </w:rPr>
        <w:t>1.19</w:t>
      </w:r>
      <w:r>
        <w:rPr>
          <w:rFonts w:ascii="Times New Roman" w:hAnsi="Times New Roman" w:eastAsia="仿宋_GB2312" w:cs="Times New Roman"/>
          <w:bCs/>
          <w:kern w:val="0"/>
          <w:sz w:val="32"/>
          <w:szCs w:val="32"/>
          <w:shd w:val="clear" w:color="auto" w:fill="FFFFFF"/>
          <w:lang w:val="zh-CN" w:eastAsia="zh-CN"/>
        </w:rPr>
        <w:t>%，小于10%控制标准，支出控制科学合理；执行进度方面，全年在6月、9月、11月进行测算，实际支出进度分别达到</w:t>
      </w:r>
      <w:r>
        <w:rPr>
          <w:rFonts w:hint="eastAsia" w:ascii="Times New Roman" w:hAnsi="Times New Roman" w:eastAsia="仿宋_GB2312" w:cs="Times New Roman"/>
          <w:bCs/>
          <w:kern w:val="0"/>
          <w:sz w:val="32"/>
          <w:szCs w:val="32"/>
          <w:shd w:val="clear" w:color="auto" w:fill="FFFFFF"/>
          <w:lang w:val="en-US" w:eastAsia="zh-CN"/>
        </w:rPr>
        <w:t>75</w:t>
      </w:r>
      <w:r>
        <w:rPr>
          <w:rFonts w:ascii="Times New Roman" w:hAnsi="Times New Roman" w:eastAsia="仿宋_GB2312" w:cs="Times New Roman"/>
          <w:bCs/>
          <w:kern w:val="0"/>
          <w:sz w:val="32"/>
          <w:szCs w:val="32"/>
          <w:shd w:val="clear" w:color="auto" w:fill="FFFFFF"/>
          <w:lang w:val="zh-CN" w:eastAsia="zh-CN"/>
        </w:rPr>
        <w:t>%、</w:t>
      </w:r>
      <w:r>
        <w:rPr>
          <w:rFonts w:hint="eastAsia" w:ascii="Times New Roman" w:hAnsi="Times New Roman" w:eastAsia="仿宋_GB2312" w:cs="Times New Roman"/>
          <w:bCs/>
          <w:kern w:val="0"/>
          <w:sz w:val="32"/>
          <w:szCs w:val="32"/>
          <w:shd w:val="clear" w:color="auto" w:fill="FFFFFF"/>
          <w:lang w:val="en-US" w:eastAsia="zh-CN"/>
        </w:rPr>
        <w:t>84</w:t>
      </w:r>
      <w:r>
        <w:rPr>
          <w:rFonts w:ascii="Times New Roman" w:hAnsi="Times New Roman" w:eastAsia="仿宋_GB2312" w:cs="Times New Roman"/>
          <w:bCs/>
          <w:kern w:val="0"/>
          <w:sz w:val="32"/>
          <w:szCs w:val="32"/>
          <w:shd w:val="clear" w:color="auto" w:fill="FFFFFF"/>
          <w:lang w:val="zh-CN" w:eastAsia="zh-CN"/>
        </w:rPr>
        <w:t>%、</w:t>
      </w:r>
      <w:r>
        <w:rPr>
          <w:rFonts w:hint="eastAsia" w:ascii="Times New Roman" w:hAnsi="Times New Roman" w:eastAsia="仿宋_GB2312" w:cs="Times New Roman"/>
          <w:bCs/>
          <w:kern w:val="0"/>
          <w:sz w:val="32"/>
          <w:szCs w:val="32"/>
          <w:shd w:val="clear" w:color="auto" w:fill="FFFFFF"/>
          <w:lang w:val="en-US" w:eastAsia="zh-CN"/>
        </w:rPr>
        <w:t>89</w:t>
      </w:r>
      <w:r>
        <w:rPr>
          <w:rFonts w:ascii="Times New Roman" w:hAnsi="Times New Roman" w:eastAsia="仿宋_GB2312" w:cs="Times New Roman"/>
          <w:bCs/>
          <w:kern w:val="0"/>
          <w:sz w:val="32"/>
          <w:szCs w:val="32"/>
          <w:shd w:val="clear" w:color="auto" w:fill="FFFFFF"/>
          <w:lang w:val="zh-CN" w:eastAsia="zh-CN"/>
        </w:rPr>
        <w:t>%，执行进度完全高于阶段性量化指标，预算执行良好。</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
          <w:bCs/>
          <w:kern w:val="0"/>
          <w:sz w:val="32"/>
          <w:szCs w:val="32"/>
          <w:shd w:val="clear" w:color="auto" w:fill="FFFFFF"/>
          <w:lang w:val="zh-CN"/>
        </w:rPr>
        <w:t>3.预算完成。</w:t>
      </w:r>
      <w:r>
        <w:rPr>
          <w:rFonts w:ascii="Times New Roman" w:hAnsi="Times New Roman" w:eastAsia="仿宋_GB2312" w:cs="Times New Roman"/>
          <w:bCs/>
          <w:kern w:val="0"/>
          <w:sz w:val="32"/>
          <w:szCs w:val="32"/>
          <w:shd w:val="clear" w:color="auto" w:fill="FFFFFF"/>
          <w:lang w:val="zh-CN" w:eastAsia="zh-CN"/>
        </w:rPr>
        <w:t>截止202</w:t>
      </w:r>
      <w:r>
        <w:rPr>
          <w:rFonts w:hint="eastAsia" w:ascii="Times New Roman" w:hAnsi="Times New Roman" w:eastAsia="仿宋_GB2312" w:cs="Times New Roman"/>
          <w:bCs/>
          <w:kern w:val="0"/>
          <w:sz w:val="32"/>
          <w:szCs w:val="32"/>
          <w:shd w:val="clear" w:color="auto" w:fill="FFFFFF"/>
          <w:lang w:val="en-US" w:eastAsia="zh-CN"/>
        </w:rPr>
        <w:t>2</w:t>
      </w:r>
      <w:r>
        <w:rPr>
          <w:rFonts w:ascii="Times New Roman" w:hAnsi="Times New Roman" w:eastAsia="仿宋_GB2312" w:cs="Times New Roman"/>
          <w:bCs/>
          <w:kern w:val="0"/>
          <w:sz w:val="32"/>
          <w:szCs w:val="32"/>
          <w:shd w:val="clear" w:color="auto" w:fill="FFFFFF"/>
          <w:lang w:val="zh-CN" w:eastAsia="zh-CN"/>
        </w:rPr>
        <w:t>年12月31日，全年预算完成率达到</w:t>
      </w:r>
      <w:r>
        <w:rPr>
          <w:rFonts w:hint="eastAsia" w:ascii="Times New Roman" w:hAnsi="Times New Roman" w:eastAsia="仿宋_GB2312" w:cs="Times New Roman"/>
          <w:bCs/>
          <w:kern w:val="0"/>
          <w:sz w:val="32"/>
          <w:szCs w:val="32"/>
          <w:shd w:val="clear" w:color="auto" w:fill="FFFFFF"/>
          <w:lang w:val="en-US" w:eastAsia="zh-CN"/>
        </w:rPr>
        <w:t>98.8</w:t>
      </w:r>
      <w:r>
        <w:rPr>
          <w:rFonts w:ascii="Times New Roman" w:hAnsi="Times New Roman" w:eastAsia="仿宋_GB2312" w:cs="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我办对202</w:t>
      </w:r>
      <w:r>
        <w:rPr>
          <w:rFonts w:hint="eastAsia" w:ascii="Times New Roman" w:hAnsi="Times New Roman" w:eastAsia="仿宋_GB2312" w:cs="Times New Roman"/>
          <w:bCs/>
          <w:kern w:val="0"/>
          <w:sz w:val="32"/>
          <w:szCs w:val="32"/>
          <w:shd w:val="clear" w:color="auto" w:fill="FFFFFF"/>
          <w:lang w:val="en-US" w:eastAsia="zh-CN"/>
        </w:rPr>
        <w:t>2</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ascii="Times New Roman" w:hAnsi="Times New Roman" w:eastAsia="仿宋_GB2312" w:cs="Times New Roman"/>
          <w:bCs/>
          <w:kern w:val="0"/>
          <w:sz w:val="32"/>
          <w:szCs w:val="32"/>
          <w:shd w:val="clear" w:color="auto" w:fill="FFFFFF"/>
          <w:lang w:val="en-US" w:eastAsia="zh-CN"/>
        </w:rPr>
        <w:t>76</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分。从总体性分析评价，全年整体支出较优，实现了年初绩效目标。从结构性分析评价，一般公共预算基本支出完成预算的9</w:t>
      </w:r>
      <w:r>
        <w:rPr>
          <w:rFonts w:hint="eastAsia" w:ascii="Times New Roman" w:hAnsi="Times New Roman" w:eastAsia="仿宋_GB2312" w:cs="Times New Roman"/>
          <w:bCs/>
          <w:kern w:val="0"/>
          <w:sz w:val="32"/>
          <w:szCs w:val="32"/>
          <w:shd w:val="clear" w:color="auto" w:fill="FFFFFF"/>
          <w:lang w:val="en-US" w:eastAsia="zh-CN"/>
        </w:rPr>
        <w:t>9</w:t>
      </w:r>
      <w:r>
        <w:rPr>
          <w:rFonts w:ascii="Times New Roman" w:hAnsi="Times New Roman" w:eastAsia="仿宋_GB2312" w:cs="Times New Roman"/>
          <w:bCs/>
          <w:kern w:val="0"/>
          <w:sz w:val="32"/>
          <w:szCs w:val="32"/>
          <w:shd w:val="clear" w:color="auto" w:fill="FFFFFF"/>
          <w:lang w:val="zh-CN" w:eastAsia="zh-CN"/>
        </w:rPr>
        <w:t>%，一般公共预算项目支出完成预算的9</w:t>
      </w:r>
      <w:r>
        <w:rPr>
          <w:rFonts w:hint="eastAsia" w:ascii="Times New Roman" w:hAnsi="Times New Roman" w:eastAsia="仿宋_GB2312" w:cs="Times New Roman"/>
          <w:bCs/>
          <w:kern w:val="0"/>
          <w:sz w:val="32"/>
          <w:szCs w:val="32"/>
          <w:shd w:val="clear" w:color="auto" w:fill="FFFFFF"/>
          <w:lang w:val="en-US" w:eastAsia="zh-CN"/>
        </w:rPr>
        <w:t>9</w:t>
      </w:r>
      <w:r>
        <w:rPr>
          <w:rFonts w:ascii="Times New Roman" w:hAnsi="Times New Roman" w:eastAsia="仿宋_GB2312" w:cs="Times New Roman"/>
          <w:bCs/>
          <w:kern w:val="0"/>
          <w:sz w:val="32"/>
          <w:szCs w:val="32"/>
          <w:shd w:val="clear" w:color="auto" w:fill="FFFFFF"/>
          <w:lang w:val="zh-CN" w:eastAsia="zh-CN"/>
        </w:rPr>
        <w:t>%，整体绩效管理合理合规。202</w:t>
      </w:r>
      <w:r>
        <w:rPr>
          <w:rFonts w:hint="eastAsia" w:ascii="Times New Roman" w:hAnsi="Times New Roman" w:eastAsia="仿宋_GB2312" w:cs="Times New Roman"/>
          <w:bCs/>
          <w:kern w:val="0"/>
          <w:sz w:val="32"/>
          <w:szCs w:val="32"/>
          <w:shd w:val="clear" w:color="auto" w:fill="FFFFFF"/>
          <w:lang w:val="en-US" w:eastAsia="zh-CN"/>
        </w:rPr>
        <w:t>2</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个别人员经费和公用经费测算标准及套用公式不够科学精准，部分经济科目在预算执行中存在较早亮红灯或年度终了仍有结余的现象。个别项目支出存在预算编制不够精准，不能够按照绩效目标及时组织实施，整个年度不启动使用等不良情况。</w:t>
      </w:r>
    </w:p>
    <w:p>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（三）改进建议。</w:t>
      </w:r>
    </w:p>
    <w:p>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我办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lang w:val="zh-CN"/>
        </w:rPr>
      </w:pPr>
      <w:r>
        <w:rPr>
          <w:rFonts w:ascii="Times New Roman" w:hAnsi="Times New Roman" w:cs="Times New Roman"/>
          <w:sz w:val="32"/>
          <w:szCs w:val="32"/>
          <w:shd w:val="clear" w:color="auto" w:fill="FFFFFF"/>
          <w:lang w:val="zh-CN"/>
        </w:rPr>
        <w:t>附件</w:t>
      </w:r>
    </w:p>
    <w:p>
      <w:pPr>
        <w:pageBreakBefore w:val="0"/>
        <w:widowControl w:val="0"/>
        <w:kinsoku/>
        <w:wordWrap/>
        <w:overflowPunct/>
        <w:topLinePunct w:val="0"/>
        <w:bidi w:val="0"/>
        <w:spacing w:line="576" w:lineRule="exact"/>
        <w:jc w:val="center"/>
        <w:rPr>
          <w:rFonts w:ascii="Times New Roman" w:hAnsi="Times New Roman" w:eastAsia="方正小标宋简体" w:cs="Times New Roman"/>
          <w:sz w:val="40"/>
          <w:szCs w:val="40"/>
          <w:lang w:val="zh-CN"/>
        </w:rPr>
      </w:pPr>
      <w:r>
        <w:rPr>
          <w:rFonts w:ascii="Times New Roman" w:hAnsi="Times New Roman" w:eastAsia="方正小标宋简体" w:cs="Times New Roman"/>
          <w:sz w:val="40"/>
          <w:szCs w:val="40"/>
        </w:rPr>
        <w:t>2022年</w:t>
      </w:r>
      <w:r>
        <w:rPr>
          <w:rFonts w:ascii="Times New Roman" w:hAnsi="Times New Roman" w:eastAsia="方正小标宋简体" w:cs="Times New Roman"/>
          <w:sz w:val="40"/>
          <w:szCs w:val="40"/>
          <w:lang w:val="zh-CN"/>
        </w:rPr>
        <w:t>专项预算项目支出绩效自评报告</w:t>
      </w:r>
    </w:p>
    <w:p>
      <w:pPr>
        <w:pageBreakBefore w:val="0"/>
        <w:widowControl w:val="0"/>
        <w:kinsoku/>
        <w:wordWrap/>
        <w:overflowPunct/>
        <w:topLinePunct w:val="0"/>
        <w:bidi w:val="0"/>
        <w:spacing w:line="576" w:lineRule="exact"/>
        <w:ind w:firstLine="640"/>
        <w:jc w:val="center"/>
        <w:rPr>
          <w:rFonts w:ascii="Times New Roman" w:hAnsi="Times New Roman" w:cs="Times New Roman"/>
          <w:sz w:val="32"/>
          <w:szCs w:val="32"/>
          <w:lang w:val="zh-CN"/>
        </w:rPr>
      </w:pPr>
      <w:r>
        <w:rPr>
          <w:rFonts w:ascii="Times New Roman" w:hAnsi="Times New Roman" w:cs="Times New Roman"/>
          <w:sz w:val="32"/>
          <w:szCs w:val="32"/>
          <w:lang w:val="zh-CN"/>
        </w:rPr>
        <w:t>（</w:t>
      </w:r>
      <w:r>
        <w:rPr>
          <w:rFonts w:hint="eastAsia" w:ascii="Times New Roman" w:hAnsi="Times New Roman" w:cs="Times New Roman"/>
          <w:sz w:val="32"/>
          <w:szCs w:val="32"/>
          <w:lang w:val="en-US" w:eastAsia="zh-CN"/>
        </w:rPr>
        <w:t>电子政务外网升级改造</w:t>
      </w:r>
      <w:r>
        <w:rPr>
          <w:rFonts w:ascii="Times New Roman" w:hAnsi="Times New Roman" w:cs="Times New Roman"/>
          <w:sz w:val="32"/>
          <w:szCs w:val="32"/>
          <w:lang w:val="zh-CN"/>
        </w:rPr>
        <w:t>）</w:t>
      </w:r>
    </w:p>
    <w:p>
      <w:pPr>
        <w:pStyle w:val="2"/>
        <w:pageBreakBefore w:val="0"/>
        <w:widowControl w:val="0"/>
        <w:bidi w:val="0"/>
        <w:rPr>
          <w:rFonts w:ascii="Times New Roman" w:hAnsi="Times New Roman" w:cs="Times New Roman"/>
        </w:rPr>
      </w:pP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pageBreakBefore w:val="0"/>
        <w:widowControl/>
        <w:kinsoku/>
        <w:wordWrap/>
        <w:overflowPunct/>
        <w:topLinePunct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
          <w:bCs/>
          <w:kern w:val="0"/>
          <w:sz w:val="32"/>
          <w:szCs w:val="32"/>
          <w:shd w:val="clear" w:color="auto" w:fill="FFFFFF"/>
          <w:lang w:val="zh-CN"/>
        </w:rPr>
        <w:t>1.基本职能。</w:t>
      </w:r>
      <w:r>
        <w:rPr>
          <w:rFonts w:ascii="Times New Roman" w:hAnsi="Times New Roman" w:eastAsia="仿宋_GB2312" w:cs="Times New Roman"/>
          <w:bCs/>
          <w:kern w:val="0"/>
          <w:sz w:val="32"/>
          <w:szCs w:val="32"/>
          <w:shd w:val="clear" w:color="auto" w:fill="FFFFFF"/>
          <w:lang w:val="zh-CN"/>
        </w:rPr>
        <w:t>负责</w:t>
      </w:r>
      <w:r>
        <w:rPr>
          <w:rFonts w:hint="eastAsia" w:ascii="Times New Roman" w:hAnsi="Times New Roman" w:eastAsia="仿宋_GB2312" w:cs="Times New Roman"/>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bidi w:val="0"/>
        <w:adjustRightInd w:val="0"/>
        <w:snapToGrid w:val="0"/>
        <w:spacing w:line="576" w:lineRule="exact"/>
        <w:ind w:firstLine="720"/>
        <w:rPr>
          <w:rFonts w:hint="default" w:ascii="Times New Roman" w:hAnsi="Times New Roman" w:eastAsia="仿宋_GB2312" w:cs="Times New Roman"/>
          <w:sz w:val="32"/>
          <w:szCs w:val="32"/>
          <w:lang w:val="en-US"/>
        </w:rPr>
      </w:pPr>
      <w:r>
        <w:rPr>
          <w:rFonts w:ascii="Times New Roman" w:hAnsi="Times New Roman" w:eastAsia="仿宋_GB2312" w:cs="Times New Roman"/>
          <w:b/>
          <w:bCs/>
          <w:sz w:val="32"/>
          <w:szCs w:val="32"/>
          <w:lang w:val="zh-CN"/>
        </w:rPr>
        <w:t>2．项目立项、资金申报的依据。</w:t>
      </w:r>
      <w:r>
        <w:rPr>
          <w:rFonts w:ascii="Times New Roman" w:hAnsi="Times New Roman" w:eastAsia="仿宋_GB2312" w:cs="Times New Roman"/>
          <w:sz w:val="32"/>
          <w:szCs w:val="32"/>
          <w:lang w:val="zh-CN"/>
        </w:rPr>
        <w:t>经</w:t>
      </w:r>
      <w:r>
        <w:rPr>
          <w:rFonts w:hint="eastAsia" w:ascii="Times New Roman" w:hAnsi="Times New Roman" w:eastAsia="仿宋_GB2312" w:cs="Times New Roman"/>
          <w:sz w:val="32"/>
          <w:szCs w:val="32"/>
          <w:lang w:val="en-US" w:eastAsia="zh-CN"/>
        </w:rPr>
        <w:t>州政府统一要求，县政府办采购，每年追加预算资金44.9万元。</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b/>
          <w:bCs/>
          <w:sz w:val="32"/>
          <w:szCs w:val="32"/>
          <w:lang w:val="zh-CN"/>
        </w:rPr>
        <w:t>3．资金管理办法制定情况。</w:t>
      </w:r>
      <w:r>
        <w:rPr>
          <w:rFonts w:ascii="Times New Roman" w:hAnsi="Times New Roman" w:eastAsia="仿宋_GB2312" w:cs="Times New Roman"/>
          <w:sz w:val="32"/>
          <w:szCs w:val="32"/>
          <w:lang w:val="zh-CN"/>
        </w:rPr>
        <w:t>资金</w:t>
      </w:r>
      <w:r>
        <w:rPr>
          <w:rFonts w:hint="eastAsia" w:ascii="Times New Roman" w:hAnsi="Times New Roman" w:eastAsia="仿宋_GB2312" w:cs="Times New Roman"/>
          <w:sz w:val="32"/>
          <w:szCs w:val="32"/>
          <w:lang w:val="en-US" w:eastAsia="zh-CN"/>
        </w:rPr>
        <w:t>按政府采购，项目期限约定为3年，每年</w:t>
      </w:r>
      <w:r>
        <w:rPr>
          <w:rFonts w:hint="eastAsia" w:eastAsia="仿宋_GB2312" w:cs="Times New Roman"/>
          <w:sz w:val="32"/>
          <w:szCs w:val="32"/>
          <w:lang w:val="en-US" w:eastAsia="zh-CN"/>
        </w:rPr>
        <w:t>签订合同</w:t>
      </w:r>
      <w:r>
        <w:rPr>
          <w:rFonts w:hint="eastAsia" w:ascii="Times New Roman" w:hAnsi="Times New Roman" w:eastAsia="仿宋_GB2312" w:cs="Times New Roman"/>
          <w:sz w:val="32"/>
          <w:szCs w:val="32"/>
          <w:lang w:val="en-US" w:eastAsia="zh-CN"/>
        </w:rPr>
        <w:t>，合同金额为44.9万元/年</w:t>
      </w:r>
      <w:r>
        <w:rPr>
          <w:rFonts w:ascii="Times New Roman" w:hAnsi="Times New Roman" w:eastAsia="仿宋_GB2312" w:cs="Times New Roman"/>
          <w:sz w:val="32"/>
          <w:szCs w:val="32"/>
          <w:lang w:val="zh-CN"/>
        </w:rPr>
        <w:t>结算费用。</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b/>
          <w:bCs/>
          <w:sz w:val="32"/>
          <w:szCs w:val="32"/>
          <w:lang w:val="zh-CN"/>
        </w:rPr>
        <w:t>4．资金分配的原则及考虑因素。</w:t>
      </w:r>
      <w:r>
        <w:rPr>
          <w:rFonts w:ascii="Times New Roman" w:hAnsi="Times New Roman" w:eastAsia="仿宋_GB2312" w:cs="Times New Roman"/>
          <w:sz w:val="32"/>
          <w:szCs w:val="32"/>
          <w:lang w:val="zh-CN"/>
        </w:rPr>
        <w:t>按照预算批复资金用途，合理合规进行使用。</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pageBreakBefore w:val="0"/>
        <w:widowControl/>
        <w:kinsoku/>
        <w:wordWrap/>
        <w:overflowPunct/>
        <w:topLinePunct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
          <w:bCs/>
          <w:sz w:val="32"/>
          <w:szCs w:val="32"/>
          <w:lang w:val="zh-CN"/>
        </w:rPr>
        <w:t>1．项目主要内容。</w:t>
      </w:r>
      <w:r>
        <w:rPr>
          <w:rFonts w:ascii="Times New Roman" w:hAnsi="Times New Roman" w:eastAsia="仿宋_GB2312" w:cs="Times New Roman"/>
          <w:bCs/>
          <w:kern w:val="0"/>
          <w:sz w:val="32"/>
          <w:szCs w:val="32"/>
          <w:shd w:val="clear" w:color="auto" w:fill="FFFFFF"/>
          <w:lang w:val="zh-CN"/>
        </w:rPr>
        <w:t>负责</w:t>
      </w:r>
      <w:r>
        <w:rPr>
          <w:rFonts w:hint="eastAsia" w:ascii="Times New Roman" w:hAnsi="Times New Roman" w:eastAsia="仿宋_GB2312" w:cs="Times New Roman"/>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b/>
          <w:bCs/>
          <w:sz w:val="32"/>
          <w:szCs w:val="32"/>
          <w:lang w:val="zh-CN"/>
        </w:rPr>
        <w:t>2．项目具体实施情况。</w:t>
      </w:r>
      <w:r>
        <w:rPr>
          <w:rFonts w:ascii="Times New Roman" w:hAnsi="Times New Roman" w:eastAsia="仿宋_GB2312" w:cs="Times New Roman"/>
          <w:sz w:val="32"/>
          <w:szCs w:val="32"/>
          <w:lang w:val="zh-CN"/>
        </w:rPr>
        <w:t>项目已于20</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lang w:val="zh-CN"/>
        </w:rPr>
        <w:t>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val="zh-CN"/>
        </w:rPr>
        <w:t>月完成</w:t>
      </w:r>
      <w:r>
        <w:rPr>
          <w:rFonts w:hint="eastAsia" w:ascii="Times New Roman" w:hAnsi="Times New Roman" w:eastAsia="仿宋_GB2312" w:cs="Times New Roman"/>
          <w:sz w:val="32"/>
          <w:szCs w:val="32"/>
          <w:lang w:val="en-US" w:eastAsia="zh-CN"/>
        </w:rPr>
        <w:t>采购并</w:t>
      </w:r>
      <w:r>
        <w:rPr>
          <w:rFonts w:hint="eastAsia" w:eastAsia="仿宋_GB2312" w:cs="Times New Roman"/>
          <w:sz w:val="32"/>
          <w:szCs w:val="32"/>
          <w:lang w:val="en-US" w:eastAsia="zh-CN"/>
        </w:rPr>
        <w:t>签订合同</w:t>
      </w:r>
      <w:r>
        <w:rPr>
          <w:rFonts w:ascii="Times New Roman" w:hAnsi="Times New Roman" w:eastAsia="仿宋_GB2312" w:cs="Times New Roman"/>
          <w:sz w:val="32"/>
          <w:szCs w:val="32"/>
          <w:lang w:val="zh-CN"/>
        </w:rPr>
        <w:t>，预计于2022年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w:t>
      </w:r>
      <w:r>
        <w:rPr>
          <w:rFonts w:hint="eastAsia" w:ascii="Times New Roman" w:hAnsi="Times New Roman" w:eastAsia="仿宋_GB2312" w:cs="Times New Roman"/>
          <w:sz w:val="32"/>
          <w:szCs w:val="32"/>
          <w:lang w:val="en-US" w:eastAsia="zh-CN"/>
        </w:rPr>
        <w:t>结束</w:t>
      </w:r>
      <w:r>
        <w:rPr>
          <w:rFonts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合同签定之日</w:t>
      </w:r>
      <w:r>
        <w:rPr>
          <w:rFonts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保障网络</w:t>
      </w:r>
      <w:r>
        <w:rPr>
          <w:rFonts w:ascii="Times New Roman" w:hAnsi="Times New Roman" w:eastAsia="仿宋_GB2312" w:cs="Times New Roman"/>
          <w:sz w:val="32"/>
          <w:szCs w:val="32"/>
          <w:lang w:val="zh-CN"/>
        </w:rPr>
        <w:t>正常运行，</w:t>
      </w:r>
      <w:r>
        <w:rPr>
          <w:rFonts w:hint="eastAsia" w:ascii="Times New Roman" w:hAnsi="Times New Roman" w:eastAsia="仿宋_GB2312" w:cs="Times New Roman"/>
          <w:sz w:val="32"/>
          <w:szCs w:val="32"/>
          <w:lang w:val="en-US" w:eastAsia="zh-CN"/>
        </w:rPr>
        <w:t>负责维护网络畅通</w:t>
      </w:r>
      <w:r>
        <w:rPr>
          <w:rFonts w:ascii="Times New Roman" w:hAnsi="Times New Roman" w:eastAsia="仿宋_GB2312" w:cs="Times New Roman"/>
          <w:kern w:val="2"/>
          <w:sz w:val="32"/>
          <w:szCs w:val="32"/>
          <w:lang w:val="en-US" w:eastAsia="zh-CN" w:bidi="ar-SA"/>
        </w:rPr>
        <w:t>。</w:t>
      </w:r>
    </w:p>
    <w:p>
      <w:pPr>
        <w:pageBreakBefore w:val="0"/>
        <w:widowControl w:val="0"/>
        <w:kinsoku/>
        <w:wordWrap/>
        <w:overflowPunct/>
        <w:topLinePunct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3．项目资金申报相符性。</w:t>
      </w:r>
      <w:r>
        <w:rPr>
          <w:rFonts w:hint="eastAsia" w:ascii="Times New Roman" w:hAnsi="Times New Roman" w:eastAsia="仿宋_GB2312" w:cs="Times New Roman"/>
          <w:sz w:val="32"/>
          <w:szCs w:val="32"/>
          <w:lang w:val="en-US" w:eastAsia="zh-CN"/>
        </w:rPr>
        <w:t>预算追加</w:t>
      </w:r>
      <w:r>
        <w:rPr>
          <w:rFonts w:ascii="Times New Roman" w:hAnsi="Times New Roman" w:eastAsia="仿宋_GB2312" w:cs="Times New Roman"/>
          <w:sz w:val="32"/>
          <w:szCs w:val="32"/>
          <w:lang w:val="zh-CN"/>
        </w:rPr>
        <w:t>申报内容与实际一致，按照</w:t>
      </w:r>
      <w:r>
        <w:rPr>
          <w:rFonts w:hint="eastAsia" w:ascii="Times New Roman" w:hAnsi="Times New Roman" w:eastAsia="仿宋_GB2312" w:cs="Times New Roman"/>
          <w:sz w:val="32"/>
          <w:szCs w:val="32"/>
          <w:lang w:val="en-US" w:eastAsia="zh-CN"/>
        </w:rPr>
        <w:t>采购合同</w:t>
      </w:r>
      <w:r>
        <w:rPr>
          <w:rFonts w:ascii="Times New Roman" w:hAnsi="Times New Roman" w:eastAsia="仿宋_GB2312" w:cs="Times New Roman"/>
          <w:sz w:val="32"/>
          <w:szCs w:val="32"/>
          <w:lang w:val="zh-CN"/>
        </w:rPr>
        <w:t>既定绩效目标进行，严守标准，严格按照时效、质量、满意度等指标进行验收。</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评价小组根据单位批准的评价方案，参照《</w:t>
      </w:r>
      <w:r>
        <w:rPr>
          <w:rFonts w:hint="eastAsia" w:eastAsia="仿宋_GB2312" w:cs="Times New Roman"/>
          <w:sz w:val="32"/>
          <w:szCs w:val="32"/>
          <w:lang w:val="en-US" w:eastAsia="zh-CN"/>
        </w:rPr>
        <w:t>金</w:t>
      </w:r>
      <w:r>
        <w:rPr>
          <w:rFonts w:ascii="Times New Roman" w:hAnsi="Times New Roman" w:eastAsia="仿宋_GB2312" w:cs="Times New Roman"/>
          <w:sz w:val="32"/>
          <w:szCs w:val="32"/>
          <w:lang w:val="zh-CN"/>
        </w:rPr>
        <w:t>办公室内部控制手册》规定的内容和要求，选取全面测试法或流程测试法，获取充分、相关、可靠的证据进行有效的评价，并作出书面记录。</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pageBreakBefore w:val="0"/>
        <w:widowControl w:val="0"/>
        <w:kinsoku/>
        <w:wordWrap/>
        <w:overflowPunct/>
        <w:topLinePunct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项目资金</w:t>
      </w:r>
      <w:r>
        <w:rPr>
          <w:rFonts w:hint="eastAsia" w:ascii="Times New Roman" w:hAnsi="Times New Roman" w:eastAsia="仿宋_GB2312" w:cs="Times New Roman"/>
          <w:sz w:val="32"/>
          <w:szCs w:val="32"/>
          <w:lang w:val="en-US" w:eastAsia="zh-CN"/>
        </w:rPr>
        <w:t>年度追加预算内资金，文号金财预A240号</w:t>
      </w:r>
      <w:r>
        <w:rPr>
          <w:rFonts w:ascii="Times New Roman" w:hAnsi="Times New Roman" w:eastAsia="仿宋_GB2312" w:cs="Times New Roman"/>
          <w:sz w:val="32"/>
          <w:szCs w:val="32"/>
          <w:lang w:val="zh-CN"/>
        </w:rPr>
        <w:t>。</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（二）资金计划、到位及使用情况。</w:t>
      </w:r>
    </w:p>
    <w:p>
      <w:pPr>
        <w:pageBreakBefore w:val="0"/>
        <w:widowControl w:val="0"/>
        <w:kinsoku/>
        <w:wordWrap/>
        <w:overflowPunct/>
        <w:topLinePunct w:val="0"/>
        <w:bidi w:val="0"/>
        <w:adjustRightInd w:val="0"/>
        <w:snapToGrid w:val="0"/>
        <w:spacing w:line="576" w:lineRule="exact"/>
        <w:ind w:firstLine="643" w:firstLineChars="200"/>
        <w:rPr>
          <w:rFonts w:ascii="Times New Roman" w:hAnsi="Times New Roman" w:eastAsia="楷体_GB2312" w:cs="Times New Roman"/>
          <w:sz w:val="32"/>
          <w:szCs w:val="32"/>
          <w:lang w:val="zh-CN"/>
        </w:rPr>
      </w:pPr>
      <w:r>
        <w:rPr>
          <w:rFonts w:ascii="Times New Roman" w:hAnsi="Times New Roman" w:eastAsia="楷体_GB2312" w:cs="Times New Roman"/>
          <w:b/>
          <w:bCs/>
          <w:sz w:val="32"/>
          <w:szCs w:val="32"/>
          <w:lang w:val="zh-CN"/>
        </w:rPr>
        <w:t>1．资金计划。</w:t>
      </w:r>
      <w:r>
        <w:rPr>
          <w:rFonts w:ascii="Times New Roman" w:hAnsi="Times New Roman" w:eastAsia="楷体_GB2312" w:cs="Times New Roman"/>
          <w:sz w:val="32"/>
          <w:szCs w:val="32"/>
          <w:lang w:val="zh-CN"/>
        </w:rPr>
        <w:t>项目资金</w:t>
      </w:r>
      <w:r>
        <w:rPr>
          <w:rFonts w:hint="eastAsia" w:ascii="Times New Roman" w:hAnsi="Times New Roman" w:eastAsia="楷体_GB2312" w:cs="Times New Roman"/>
          <w:sz w:val="32"/>
          <w:szCs w:val="32"/>
          <w:lang w:val="en-US" w:eastAsia="zh-CN"/>
        </w:rPr>
        <w:t>44.90</w:t>
      </w:r>
      <w:r>
        <w:rPr>
          <w:rFonts w:ascii="Times New Roman" w:hAnsi="Times New Roman" w:eastAsia="楷体_GB2312" w:cs="Times New Roman"/>
          <w:sz w:val="32"/>
          <w:szCs w:val="32"/>
          <w:lang w:val="zh-CN"/>
        </w:rPr>
        <w:t>万元全部为一般公共预算财政拨款资金。</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sz w:val="32"/>
          <w:szCs w:val="32"/>
          <w:lang w:val="zh-CN"/>
        </w:rPr>
      </w:pPr>
      <w:r>
        <w:rPr>
          <w:rFonts w:ascii="Times New Roman" w:hAnsi="Times New Roman" w:eastAsia="楷体_GB2312" w:cs="Times New Roman"/>
          <w:b/>
          <w:bCs/>
          <w:sz w:val="32"/>
          <w:szCs w:val="32"/>
          <w:lang w:val="zh-CN"/>
        </w:rPr>
        <w:t>2．资金到位。</w:t>
      </w:r>
      <w:r>
        <w:rPr>
          <w:rFonts w:ascii="Times New Roman" w:hAnsi="Times New Roman" w:eastAsia="楷体_GB2312" w:cs="Times New Roman"/>
          <w:sz w:val="32"/>
          <w:szCs w:val="32"/>
          <w:lang w:val="zh-CN"/>
        </w:rPr>
        <w:t>项目申报资金</w:t>
      </w:r>
      <w:r>
        <w:rPr>
          <w:rFonts w:hint="eastAsia" w:ascii="Times New Roman" w:hAnsi="Times New Roman" w:eastAsia="楷体_GB2312" w:cs="Times New Roman"/>
          <w:sz w:val="32"/>
          <w:szCs w:val="32"/>
          <w:lang w:val="en-US" w:eastAsia="zh-CN"/>
        </w:rPr>
        <w:t>44.9</w:t>
      </w:r>
      <w:r>
        <w:rPr>
          <w:rFonts w:ascii="Times New Roman" w:hAnsi="Times New Roman" w:eastAsia="楷体_GB2312" w:cs="Times New Roman"/>
          <w:sz w:val="32"/>
          <w:szCs w:val="32"/>
          <w:lang w:val="zh-CN"/>
        </w:rPr>
        <w:t>0万元，截至目前，资金已全部到位，资金到位率达100%。</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sz w:val="32"/>
          <w:szCs w:val="32"/>
          <w:lang w:val="zh-CN"/>
        </w:rPr>
      </w:pPr>
      <w:r>
        <w:rPr>
          <w:rFonts w:ascii="Times New Roman" w:hAnsi="Times New Roman" w:eastAsia="楷体_GB2312" w:cs="Times New Roman"/>
          <w:b/>
          <w:bCs/>
          <w:sz w:val="32"/>
          <w:szCs w:val="32"/>
          <w:lang w:val="zh-CN"/>
        </w:rPr>
        <w:t>3．资金使用。</w:t>
      </w:r>
      <w:r>
        <w:rPr>
          <w:rFonts w:ascii="Times New Roman" w:hAnsi="Times New Roman" w:eastAsia="楷体_GB2312" w:cs="Times New Roman"/>
          <w:sz w:val="32"/>
          <w:szCs w:val="32"/>
          <w:lang w:val="zh-CN"/>
        </w:rPr>
        <w:t>截至目前，</w:t>
      </w:r>
      <w:r>
        <w:rPr>
          <w:rFonts w:hint="eastAsia" w:ascii="Times New Roman" w:hAnsi="Times New Roman" w:eastAsia="楷体_GB2312" w:cs="Times New Roman"/>
          <w:sz w:val="32"/>
          <w:szCs w:val="32"/>
          <w:lang w:val="en-US" w:eastAsia="zh-CN"/>
        </w:rPr>
        <w:t>项目资金44.9万元/年，已兑现，兑现时间段为2021年7月至2022年6月</w:t>
      </w:r>
      <w:r>
        <w:rPr>
          <w:rFonts w:ascii="Times New Roman" w:hAnsi="Times New Roman" w:eastAsia="楷体_GB2312" w:cs="Times New Roman"/>
          <w:sz w:val="32"/>
          <w:szCs w:val="32"/>
          <w:lang w:val="zh-CN"/>
        </w:rPr>
        <w:t>，与预算相符。</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中央空调运行维护专项经费严格执行财经相关制度，</w:t>
      </w:r>
      <w:r>
        <w:rPr>
          <w:rFonts w:ascii="Times New Roman" w:hAnsi="Times New Roman" w:eastAsia="仿宋_GB2312" w:cs="Times New Roman"/>
          <w:sz w:val="32"/>
          <w:szCs w:val="32"/>
          <w:lang w:val="zh-CN" w:eastAsia="zh-CN"/>
        </w:rPr>
        <w:t>资金拨付、</w:t>
      </w:r>
      <w:r>
        <w:rPr>
          <w:rFonts w:ascii="Times New Roman" w:hAnsi="Times New Roman" w:eastAsia="仿宋_GB2312" w:cs="Times New Roman"/>
          <w:sz w:val="32"/>
          <w:szCs w:val="32"/>
          <w:lang w:val="zh-CN"/>
        </w:rPr>
        <w:t>会计核算规范。政府采购严格按照政府采购相关要求执行。</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此项目经费下达对2022年州委工作开展提供了有力的经费保障，为州委办全力做好后勤保障工作起到了提质增效的有力助推作用。</w:t>
      </w:r>
    </w:p>
    <w:p>
      <w:pPr>
        <w:pageBreakBefore w:val="0"/>
        <w:widowControl w:val="0"/>
        <w:numPr>
          <w:ilvl w:val="0"/>
          <w:numId w:val="7"/>
        </w:numPr>
        <w:kinsoku/>
        <w:wordWrap/>
        <w:overflowPunct/>
        <w:topLinePunct w:val="0"/>
        <w:bidi w:val="0"/>
        <w:adjustRightInd w:val="0"/>
        <w:snapToGrid w:val="0"/>
        <w:spacing w:line="576" w:lineRule="exact"/>
        <w:ind w:left="0"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项目组织架构及实施流程。</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textAlignment w:val="auto"/>
        <w:rPr>
          <w:rFonts w:ascii="Times New Roman" w:hAnsi="Times New Roman" w:eastAsia="楷体_GB2312" w:cs="Times New Roman"/>
          <w:b/>
          <w:color w:val="FF0000"/>
          <w:sz w:val="32"/>
          <w:szCs w:val="32"/>
          <w:lang w:val="zh-CN"/>
        </w:rPr>
      </w:pPr>
      <w:r>
        <w:rPr>
          <w:rFonts w:ascii="Times New Roman" w:hAnsi="Times New Roman" w:eastAsia="仿宋_GB2312" w:cs="Times New Roman"/>
          <w:bCs/>
          <w:kern w:val="0"/>
          <w:sz w:val="32"/>
          <w:szCs w:val="32"/>
          <w:shd w:val="clear" w:color="auto" w:fill="FFFFFF"/>
          <w:lang w:val="zh-CN"/>
        </w:rPr>
        <w:t>由人事行财科负责项目预算编制，采购领导小组负责项目挂网、招标、签订合同、验收等具体事宜，验收合格后，人事行财科负责资金拨付。</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bCs/>
          <w:kern w:val="0"/>
          <w:sz w:val="32"/>
          <w:szCs w:val="32"/>
          <w:shd w:val="clear" w:color="auto" w:fill="FFFFFF"/>
          <w:lang w:val="zh-CN"/>
        </w:rPr>
      </w:pPr>
      <w:r>
        <w:rPr>
          <w:rFonts w:ascii="Times New Roman" w:hAnsi="Times New Roman" w:eastAsia="楷体_GB2312" w:cs="Times New Roman"/>
          <w:b/>
          <w:sz w:val="32"/>
          <w:szCs w:val="32"/>
          <w:lang w:val="zh-CN"/>
        </w:rPr>
        <w:t>（二）项目管理情况</w:t>
      </w:r>
      <w:r>
        <w:rPr>
          <w:rFonts w:ascii="Times New Roman" w:hAnsi="Times New Roman" w:eastAsia="仿宋_GB2312" w:cs="Times New Roman"/>
          <w:bCs/>
          <w:kern w:val="0"/>
          <w:sz w:val="32"/>
          <w:szCs w:val="32"/>
          <w:shd w:val="clear" w:color="auto" w:fill="FFFFFF"/>
          <w:lang w:val="zh-CN"/>
        </w:rPr>
        <w:t>。</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color w:val="FF0000"/>
          <w:sz w:val="32"/>
          <w:szCs w:val="32"/>
          <w:lang w:val="zh-CN"/>
        </w:rPr>
      </w:pPr>
      <w:r>
        <w:rPr>
          <w:rFonts w:ascii="Times New Roman" w:hAnsi="Times New Roman" w:eastAsia="仿宋_GB2312" w:cs="Times New Roman"/>
          <w:bCs/>
          <w:kern w:val="0"/>
          <w:sz w:val="32"/>
          <w:szCs w:val="32"/>
          <w:shd w:val="clear" w:color="auto" w:fill="FFFFFF"/>
          <w:lang w:val="zh-CN"/>
        </w:rPr>
        <w:t>项目维修（护）招投标严格按照政府采购一体化相关要求开展编制预算、下达预算、备案、确定招投标形式、公开采购意向、公开招标等程序，所有流程均在一体化项目中完成。采购过程中，严格遵循《中华人民共和国政府采购法》、《进一步加大政府采购支持中小企业力度的通知》、《阿坝州财政局关于开展政府采购意向公开工作的通知》等相关文件。</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州委办公室严格按照年初既定绩效目标开展相关采购工作。在资金支付过程中，积极履行监管义务，做到资金支付合理合法，进一步提高了资金的安全性。</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黑体" w:cs="Times New Roman"/>
          <w:sz w:val="32"/>
          <w:szCs w:val="32"/>
          <w:lang w:val="zh-CN"/>
        </w:rPr>
        <w:tab/>
      </w:r>
    </w:p>
    <w:p>
      <w:pPr>
        <w:pageBreakBefore w:val="0"/>
        <w:widowControl w:val="0"/>
        <w:kinsoku/>
        <w:wordWrap/>
        <w:overflowPunct/>
        <w:topLinePunct w:val="0"/>
        <w:adjustRightInd w:val="0"/>
        <w:snapToGrid w:val="0"/>
        <w:spacing w:line="576" w:lineRule="exact"/>
        <w:ind w:firstLine="720"/>
        <w:rPr>
          <w:rFonts w:ascii="Times New Roman" w:hAnsi="Times New Roman" w:eastAsia="仿宋_GB2312" w:cs="Times New Roman"/>
          <w:b/>
          <w:bCs/>
          <w:sz w:val="32"/>
          <w:szCs w:val="32"/>
          <w:lang w:val="zh-CN"/>
        </w:rPr>
      </w:pPr>
      <w:r>
        <w:rPr>
          <w:rFonts w:ascii="Times New Roman" w:hAnsi="Times New Roman" w:eastAsia="仿宋_GB2312" w:cs="Times New Roman"/>
          <w:b/>
          <w:bCs/>
          <w:sz w:val="32"/>
          <w:szCs w:val="32"/>
          <w:lang w:val="zh-CN"/>
        </w:rPr>
        <w:t>（一）项目完成情况。</w:t>
      </w:r>
    </w:p>
    <w:p>
      <w:pPr>
        <w:pageBreakBefore w:val="0"/>
        <w:widowControl/>
        <w:kinsoku/>
        <w:wordWrap/>
        <w:overflowPunct/>
        <w:topLinePunct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color w:val="auto"/>
          <w:sz w:val="32"/>
          <w:szCs w:val="32"/>
          <w:lang w:val="zh-CN"/>
        </w:rPr>
        <w:t>为更好发挥效能，</w:t>
      </w:r>
      <w:r>
        <w:rPr>
          <w:rFonts w:ascii="Times New Roman" w:hAnsi="Times New Roman" w:eastAsia="仿宋_GB2312" w:cs="Times New Roman"/>
          <w:color w:val="auto"/>
          <w:sz w:val="32"/>
          <w:szCs w:val="32"/>
          <w:lang w:val="en-US" w:eastAsia="zh-CN"/>
        </w:rPr>
        <w:t>2022年调剂预算资金</w:t>
      </w:r>
      <w:r>
        <w:rPr>
          <w:rFonts w:hint="eastAsia" w:ascii="Times New Roman" w:hAnsi="Times New Roman" w:eastAsia="仿宋_GB2312" w:cs="Times New Roman"/>
          <w:color w:val="auto"/>
          <w:sz w:val="32"/>
          <w:szCs w:val="32"/>
          <w:lang w:val="en-US" w:eastAsia="zh-CN"/>
        </w:rPr>
        <w:t>44.9</w:t>
      </w:r>
      <w:r>
        <w:rPr>
          <w:rFonts w:ascii="Times New Roman" w:hAnsi="Times New Roman" w:eastAsia="仿宋_GB2312" w:cs="Times New Roman"/>
          <w:color w:val="auto"/>
          <w:sz w:val="32"/>
          <w:szCs w:val="32"/>
          <w:lang w:val="en-US" w:eastAsia="zh-CN"/>
        </w:rPr>
        <w:t>万元用于</w:t>
      </w:r>
      <w:r>
        <w:rPr>
          <w:rFonts w:hint="eastAsia" w:ascii="Times New Roman" w:hAnsi="Times New Roman" w:eastAsia="仿宋_GB2312" w:cs="Times New Roman"/>
          <w:color w:val="auto"/>
          <w:sz w:val="32"/>
          <w:szCs w:val="32"/>
          <w:lang w:val="en-US" w:eastAsia="zh-CN"/>
        </w:rPr>
        <w:t>政府外网升级改造，</w:t>
      </w:r>
      <w:r>
        <w:rPr>
          <w:rFonts w:ascii="Times New Roman" w:hAnsi="Times New Roman" w:eastAsia="仿宋_GB2312" w:cs="Times New Roman"/>
          <w:bCs/>
          <w:kern w:val="0"/>
          <w:sz w:val="32"/>
          <w:szCs w:val="32"/>
          <w:shd w:val="clear" w:color="auto" w:fill="FFFFFF"/>
          <w:lang w:val="zh-CN"/>
        </w:rPr>
        <w:t>负责</w:t>
      </w:r>
      <w:r>
        <w:rPr>
          <w:rFonts w:hint="eastAsia" w:ascii="Times New Roman" w:hAnsi="Times New Roman" w:eastAsia="仿宋_GB2312" w:cs="Times New Roman"/>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（二）项目效益情况。</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仿宋_GB2312" w:cs="Times New Roman"/>
          <w:color w:val="FF0000"/>
          <w:sz w:val="32"/>
          <w:szCs w:val="32"/>
          <w:lang w:val="zh-CN"/>
        </w:rPr>
      </w:pPr>
      <w:r>
        <w:rPr>
          <w:rFonts w:ascii="Times New Roman" w:hAnsi="Times New Roman" w:eastAsia="仿宋_GB2312" w:cs="Times New Roman"/>
          <w:color w:val="auto"/>
          <w:sz w:val="32"/>
          <w:szCs w:val="32"/>
          <w:lang w:val="zh-CN"/>
        </w:rPr>
        <w:t>项目不会直接产生经济效益、社会效益等，但服务效能直接对社会效益、经济效益产生提质增效作用，进一步提供工作效率。</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五、评价结论及建议</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（一）评价结论。</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cs="Times New Roman"/>
          <w:lang w:val="zh-CN"/>
        </w:rPr>
      </w:pPr>
      <w:r>
        <w:rPr>
          <w:rFonts w:ascii="Times New Roman" w:hAnsi="Times New Roman" w:eastAsia="仿宋_GB2312" w:cs="Times New Roman"/>
          <w:color w:val="auto"/>
          <w:kern w:val="2"/>
          <w:sz w:val="32"/>
          <w:szCs w:val="32"/>
          <w:lang w:val="zh-CN" w:eastAsia="zh-CN" w:bidi="ar-SA"/>
        </w:rPr>
        <w:t>通过对20</w:t>
      </w:r>
      <w:r>
        <w:rPr>
          <w:rFonts w:ascii="Times New Roman" w:hAnsi="Times New Roman" w:eastAsia="仿宋_GB2312" w:cs="Times New Roman"/>
          <w:color w:val="auto"/>
          <w:kern w:val="2"/>
          <w:sz w:val="32"/>
          <w:szCs w:val="32"/>
          <w:lang w:val="en-US" w:eastAsia="zh-CN" w:bidi="ar-SA"/>
        </w:rPr>
        <w:t>22</w:t>
      </w:r>
      <w:r>
        <w:rPr>
          <w:rFonts w:ascii="Times New Roman" w:hAnsi="Times New Roman" w:eastAsia="仿宋_GB2312" w:cs="Times New Roman"/>
          <w:color w:val="auto"/>
          <w:kern w:val="2"/>
          <w:sz w:val="32"/>
          <w:szCs w:val="32"/>
          <w:lang w:val="zh-CN" w:eastAsia="zh-CN" w:bidi="ar-SA"/>
        </w:rPr>
        <w:t>年度</w:t>
      </w:r>
      <w:r>
        <w:rPr>
          <w:rFonts w:hint="eastAsia" w:ascii="Times New Roman" w:hAnsi="Times New Roman" w:cs="Times New Roman"/>
          <w:color w:val="auto"/>
          <w:kern w:val="2"/>
          <w:sz w:val="32"/>
          <w:szCs w:val="32"/>
          <w:lang w:val="en-US" w:eastAsia="zh-CN" w:bidi="ar-SA"/>
        </w:rPr>
        <w:t>政府外网升级改造费的</w:t>
      </w:r>
      <w:r>
        <w:rPr>
          <w:rFonts w:ascii="Times New Roman" w:hAnsi="Times New Roman" w:eastAsia="仿宋_GB2312" w:cs="Times New Roman"/>
          <w:color w:val="auto"/>
          <w:kern w:val="2"/>
          <w:sz w:val="32"/>
          <w:szCs w:val="32"/>
          <w:lang w:val="zh-CN" w:eastAsia="zh-CN" w:bidi="ar-SA"/>
        </w:rPr>
        <w:t>使用，实施绩效指标评</w:t>
      </w:r>
      <w:r>
        <w:rPr>
          <w:rFonts w:ascii="Times New Roman" w:hAnsi="Times New Roman" w:eastAsia="仿宋_GB2312" w:cs="Times New Roman"/>
          <w:i w:val="0"/>
          <w:iCs w:val="0"/>
          <w:caps w:val="0"/>
          <w:smallCaps w:val="0"/>
          <w:color w:val="333333"/>
          <w:spacing w:val="0"/>
          <w:sz w:val="32"/>
          <w:szCs w:val="32"/>
          <w:shd w:val="clear" w:color="auto" w:fill="FFFFFF"/>
        </w:rPr>
        <w:t>价，该专项经费为</w:t>
      </w:r>
      <w:r>
        <w:rPr>
          <w:rFonts w:ascii="Times New Roman" w:hAnsi="Times New Roman" w:cs="Times New Roman"/>
          <w:i w:val="0"/>
          <w:iCs w:val="0"/>
          <w:caps w:val="0"/>
          <w:smallCaps w:val="0"/>
          <w:color w:val="333333"/>
          <w:spacing w:val="0"/>
          <w:sz w:val="32"/>
          <w:szCs w:val="32"/>
          <w:shd w:val="clear" w:color="auto" w:fill="FFFFFF"/>
          <w:lang w:eastAsia="zh-CN"/>
        </w:rPr>
        <w:t>干部职工办文办会办事</w:t>
      </w:r>
      <w:r>
        <w:rPr>
          <w:rFonts w:ascii="Times New Roman" w:hAnsi="Times New Roman" w:eastAsia="仿宋_GB2312" w:cs="Times New Roman"/>
          <w:i w:val="0"/>
          <w:iCs w:val="0"/>
          <w:caps w:val="0"/>
          <w:smallCaps w:val="0"/>
          <w:color w:val="333333"/>
          <w:spacing w:val="0"/>
          <w:sz w:val="32"/>
          <w:szCs w:val="32"/>
          <w:shd w:val="clear" w:color="auto" w:fill="FFFFFF"/>
        </w:rPr>
        <w:t>提供有效资金保障，评论结论为“好”。</w:t>
      </w:r>
    </w:p>
    <w:p>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（二）存在的问题。</w:t>
      </w:r>
    </w:p>
    <w:p>
      <w:pPr>
        <w:pageBreakBefore w:val="0"/>
        <w:widowControl w:val="0"/>
        <w:kinsoku/>
        <w:wordWrap/>
        <w:overflowPunct/>
        <w:topLinePunct w:val="0"/>
        <w:bidi w:val="0"/>
        <w:adjustRightInd w:val="0"/>
        <w:snapToGrid w:val="0"/>
        <w:spacing w:line="576" w:lineRule="exact"/>
        <w:ind w:firstLine="640" w:firstLineChars="200"/>
        <w:rPr>
          <w:rFonts w:ascii="Times New Roman" w:hAnsi="Times New Roman" w:eastAsia="仿宋_GB2312" w:cs="Times New Roman"/>
          <w:color w:val="FF0000"/>
          <w:sz w:val="32"/>
          <w:szCs w:val="32"/>
          <w:lang w:val="zh-CN"/>
        </w:rPr>
      </w:pPr>
      <w:r>
        <w:rPr>
          <w:rFonts w:ascii="Times New Roman" w:hAnsi="Times New Roman" w:eastAsia="仿宋_GB2312" w:cs="Times New Roman"/>
          <w:i w:val="0"/>
          <w:iCs w:val="0"/>
          <w:caps w:val="0"/>
          <w:smallCaps w:val="0"/>
          <w:color w:val="333333"/>
          <w:spacing w:val="0"/>
          <w:sz w:val="32"/>
          <w:szCs w:val="32"/>
          <w:shd w:val="clear" w:color="auto" w:fill="FFFFFF"/>
        </w:rPr>
        <w:t>绩效目标编制有待进一步完善。在编制绩效目标时对绩效指标进行</w:t>
      </w:r>
      <w:r>
        <w:rPr>
          <w:rFonts w:ascii="Times New Roman" w:hAnsi="Times New Roman" w:eastAsia="仿宋_GB2312" w:cs="Times New Roman"/>
          <w:i w:val="0"/>
          <w:iCs w:val="0"/>
          <w:caps w:val="0"/>
          <w:smallCaps w:val="0"/>
          <w:color w:val="333333"/>
          <w:spacing w:val="0"/>
          <w:sz w:val="32"/>
          <w:szCs w:val="32"/>
          <w:shd w:val="clear" w:color="auto" w:fill="FFFFFF"/>
          <w:lang w:eastAsia="zh-CN"/>
        </w:rPr>
        <w:t>细化</w:t>
      </w:r>
      <w:r>
        <w:rPr>
          <w:rFonts w:ascii="Times New Roman" w:hAnsi="Times New Roman" w:eastAsia="仿宋_GB2312" w:cs="Times New Roman"/>
          <w:i w:val="0"/>
          <w:iCs w:val="0"/>
          <w:caps w:val="0"/>
          <w:smallCaps w:val="0"/>
          <w:color w:val="333333"/>
          <w:spacing w:val="0"/>
          <w:sz w:val="32"/>
          <w:szCs w:val="32"/>
          <w:shd w:val="clear" w:color="auto" w:fill="FFFFFF"/>
        </w:rPr>
        <w:t>，设立</w:t>
      </w:r>
      <w:r>
        <w:rPr>
          <w:rFonts w:ascii="Times New Roman" w:hAnsi="Times New Roman" w:eastAsia="仿宋_GB2312" w:cs="Times New Roman"/>
          <w:i w:val="0"/>
          <w:iCs w:val="0"/>
          <w:caps w:val="0"/>
          <w:smallCaps w:val="0"/>
          <w:color w:val="333333"/>
          <w:spacing w:val="0"/>
          <w:sz w:val="32"/>
          <w:szCs w:val="32"/>
          <w:shd w:val="clear" w:color="auto" w:fill="FFFFFF"/>
          <w:lang w:eastAsia="zh-CN"/>
        </w:rPr>
        <w:t>更明确的</w:t>
      </w:r>
      <w:r>
        <w:rPr>
          <w:rFonts w:ascii="Times New Roman" w:hAnsi="Times New Roman" w:eastAsia="仿宋_GB2312" w:cs="Times New Roman"/>
          <w:i w:val="0"/>
          <w:iCs w:val="0"/>
          <w:caps w:val="0"/>
          <w:smallCaps w:val="0"/>
          <w:color w:val="333333"/>
          <w:spacing w:val="0"/>
          <w:sz w:val="32"/>
          <w:szCs w:val="32"/>
          <w:shd w:val="clear" w:color="auto" w:fill="FFFFFF"/>
        </w:rPr>
        <w:t>绩效指标，以便于进行绩效考核。</w:t>
      </w:r>
      <w:r>
        <w:rPr>
          <w:rFonts w:ascii="Times New Roman" w:hAnsi="Times New Roman" w:eastAsia="仿宋_GB2312" w:cs="Times New Roman"/>
          <w:color w:val="FF0000"/>
          <w:sz w:val="32"/>
          <w:szCs w:val="32"/>
          <w:lang w:val="zh-CN"/>
        </w:rPr>
        <w:tab/>
      </w:r>
    </w:p>
    <w:p>
      <w:pPr>
        <w:spacing w:line="600" w:lineRule="exact"/>
        <w:jc w:val="both"/>
        <w:outlineLvl w:val="0"/>
        <w:rPr>
          <w:rFonts w:hint="eastAsia" w:ascii="黑体" w:hAnsi="黑体" w:eastAsia="黑体"/>
          <w:color w:val="000000"/>
          <w:sz w:val="44"/>
          <w:szCs w:val="44"/>
        </w:rPr>
      </w:pPr>
      <w:bookmarkStart w:id="64" w:name="_Toc994"/>
    </w:p>
    <w:p>
      <w:pPr>
        <w:spacing w:line="600" w:lineRule="exact"/>
        <w:ind w:firstLine="2640" w:firstLineChars="600"/>
        <w:jc w:val="both"/>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bookmarkStart w:id="79" w:name="_GoBack"/>
      <w:bookmarkEnd w:id="79"/>
    </w:p>
    <w:p>
      <w:pPr>
        <w:pStyle w:val="2"/>
        <w:rPr>
          <w:rFonts w:hint="eastAsia" w:ascii="黑体" w:hAnsi="黑体" w:eastAsia="黑体"/>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64"/>
    </w:p>
    <w:p>
      <w:pPr>
        <w:pStyle w:val="4"/>
        <w:rPr>
          <w:rFonts w:ascii="仿宋" w:hAnsi="仿宋" w:eastAsia="仿宋"/>
          <w:color w:val="000000"/>
        </w:rPr>
      </w:pPr>
      <w:bookmarkStart w:id="65" w:name="_Toc12803"/>
      <w:r>
        <w:rPr>
          <w:rFonts w:hint="eastAsia" w:ascii="仿宋" w:hAnsi="仿宋" w:eastAsia="仿宋"/>
          <w:b w:val="0"/>
          <w:color w:val="000000"/>
        </w:rPr>
        <w:t>一、收</w:t>
      </w:r>
      <w:r>
        <w:rPr>
          <w:rStyle w:val="30"/>
          <w:rFonts w:hint="eastAsia" w:ascii="仿宋" w:hAnsi="仿宋" w:eastAsia="仿宋"/>
          <w:b w:val="0"/>
          <w:bCs w:val="0"/>
        </w:rPr>
        <w:t>入支出决算总表</w:t>
      </w:r>
      <w:bookmarkEnd w:id="65"/>
    </w:p>
    <w:p>
      <w:pPr>
        <w:pStyle w:val="4"/>
        <w:rPr>
          <w:rFonts w:ascii="仿宋" w:hAnsi="仿宋" w:eastAsia="仿宋"/>
          <w:color w:val="000000"/>
        </w:rPr>
      </w:pPr>
      <w:bookmarkStart w:id="66" w:name="_Toc5174"/>
      <w:r>
        <w:rPr>
          <w:rFonts w:hint="eastAsia" w:ascii="仿宋" w:hAnsi="仿宋" w:eastAsia="仿宋"/>
          <w:b w:val="0"/>
          <w:color w:val="000000"/>
        </w:rPr>
        <w:t>二、收</w:t>
      </w:r>
      <w:r>
        <w:rPr>
          <w:rStyle w:val="30"/>
          <w:rFonts w:hint="eastAsia" w:ascii="仿宋" w:hAnsi="仿宋" w:eastAsia="仿宋"/>
          <w:b w:val="0"/>
          <w:bCs w:val="0"/>
        </w:rPr>
        <w:t>入总表</w:t>
      </w:r>
      <w:bookmarkEnd w:id="66"/>
    </w:p>
    <w:p>
      <w:pPr>
        <w:pStyle w:val="4"/>
        <w:rPr>
          <w:rFonts w:ascii="仿宋" w:hAnsi="仿宋" w:eastAsia="仿宋"/>
          <w:color w:val="000000"/>
        </w:rPr>
      </w:pPr>
      <w:bookmarkStart w:id="67" w:name="_Toc1671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出总表</w:t>
      </w:r>
      <w:bookmarkEnd w:id="67"/>
    </w:p>
    <w:p>
      <w:pPr>
        <w:pStyle w:val="4"/>
        <w:rPr>
          <w:rFonts w:ascii="仿宋" w:hAnsi="仿宋" w:eastAsia="仿宋"/>
          <w:b w:val="0"/>
          <w:color w:val="000000"/>
        </w:rPr>
      </w:pPr>
      <w:bookmarkStart w:id="68" w:name="_Toc13000"/>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8"/>
    </w:p>
    <w:p>
      <w:pPr>
        <w:pStyle w:val="4"/>
        <w:rPr>
          <w:rFonts w:ascii="仿宋" w:hAnsi="仿宋" w:eastAsia="仿宋"/>
          <w:color w:val="000000"/>
        </w:rPr>
      </w:pPr>
      <w:bookmarkStart w:id="69" w:name="_Toc22808"/>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政拨款支出决算明细表（政府经济分类科目）</w:t>
      </w:r>
      <w:bookmarkEnd w:id="69"/>
    </w:p>
    <w:p>
      <w:pPr>
        <w:pStyle w:val="4"/>
        <w:rPr>
          <w:rFonts w:ascii="仿宋" w:hAnsi="仿宋" w:eastAsia="仿宋"/>
          <w:color w:val="000000"/>
        </w:rPr>
      </w:pPr>
      <w:bookmarkStart w:id="70" w:name="_Toc1759"/>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70"/>
    </w:p>
    <w:p>
      <w:pPr>
        <w:pStyle w:val="4"/>
        <w:rPr>
          <w:rFonts w:ascii="仿宋" w:hAnsi="仿宋" w:eastAsia="仿宋"/>
          <w:color w:val="000000"/>
        </w:rPr>
      </w:pPr>
      <w:bookmarkStart w:id="71" w:name="_Toc1019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71"/>
    </w:p>
    <w:p>
      <w:pPr>
        <w:pStyle w:val="4"/>
        <w:rPr>
          <w:rFonts w:ascii="仿宋" w:hAnsi="仿宋" w:eastAsia="仿宋"/>
          <w:color w:val="000000"/>
        </w:rPr>
      </w:pPr>
      <w:bookmarkStart w:id="72" w:name="_Toc24785"/>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72"/>
    </w:p>
    <w:p>
      <w:pPr>
        <w:pStyle w:val="4"/>
        <w:rPr>
          <w:rFonts w:ascii="仿宋" w:hAnsi="仿宋" w:eastAsia="仿宋"/>
          <w:color w:val="000000"/>
        </w:rPr>
      </w:pPr>
      <w:bookmarkStart w:id="73" w:name="_Toc21045"/>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73"/>
    </w:p>
    <w:p>
      <w:pPr>
        <w:pStyle w:val="4"/>
        <w:rPr>
          <w:rFonts w:ascii="仿宋" w:hAnsi="仿宋" w:eastAsia="仿宋"/>
          <w:color w:val="000000"/>
        </w:rPr>
      </w:pPr>
      <w:bookmarkStart w:id="74" w:name="_Toc6430"/>
      <w:r>
        <w:rPr>
          <w:rStyle w:val="30"/>
          <w:rFonts w:hint="eastAsia" w:ascii="仿宋" w:hAnsi="仿宋" w:eastAsia="仿宋"/>
          <w:b w:val="0"/>
          <w:bCs w:val="0"/>
        </w:rPr>
        <w:t>十、</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p>
    <w:bookmarkEnd w:id="74"/>
    <w:p>
      <w:pPr>
        <w:pStyle w:val="4"/>
        <w:rPr>
          <w:rFonts w:ascii="仿宋" w:hAnsi="仿宋" w:eastAsia="仿宋"/>
          <w:color w:val="000000"/>
        </w:rPr>
      </w:pPr>
      <w:bookmarkStart w:id="75" w:name="_Toc7502"/>
      <w:bookmarkStart w:id="76" w:name="_Toc15396630"/>
      <w:r>
        <w:rPr>
          <w:rFonts w:hint="eastAsia" w:ascii="仿宋" w:hAnsi="仿宋" w:eastAsia="仿宋"/>
          <w:b w:val="0"/>
          <w:color w:val="000000"/>
          <w:lang w:val="en-US" w:eastAsia="zh-CN"/>
        </w:rPr>
        <w:t>十一、</w:t>
      </w:r>
      <w:r>
        <w:rPr>
          <w:rFonts w:hint="eastAsia" w:ascii="仿宋" w:hAnsi="仿宋" w:eastAsia="仿宋"/>
          <w:b w:val="0"/>
          <w:color w:val="000000"/>
        </w:rPr>
        <w:t>国</w:t>
      </w:r>
      <w:r>
        <w:rPr>
          <w:rStyle w:val="30"/>
          <w:rFonts w:hint="eastAsia" w:ascii="仿宋" w:hAnsi="仿宋" w:eastAsia="仿宋"/>
          <w:b w:val="0"/>
          <w:bCs w:val="0"/>
        </w:rPr>
        <w:t>有资本经营预算</w:t>
      </w:r>
      <w:r>
        <w:rPr>
          <w:rStyle w:val="30"/>
          <w:rFonts w:hint="eastAsia" w:ascii="仿宋" w:hAnsi="仿宋" w:eastAsia="仿宋"/>
          <w:b w:val="0"/>
          <w:bCs w:val="0"/>
          <w:lang w:val="en-US" w:eastAsia="zh-CN"/>
        </w:rPr>
        <w:t>财政拨款收入支出决算表</w:t>
      </w:r>
    </w:p>
    <w:p>
      <w:pPr>
        <w:pStyle w:val="4"/>
        <w:numPr>
          <w:ilvl w:val="0"/>
          <w:numId w:val="0"/>
        </w:numPr>
        <w:rPr>
          <w:rStyle w:val="30"/>
          <w:rFonts w:hint="eastAsia" w:ascii="仿宋" w:hAnsi="仿宋" w:eastAsia="仿宋"/>
          <w:b w:val="0"/>
          <w:bCs w:val="0"/>
        </w:rPr>
      </w:pPr>
      <w:r>
        <w:rPr>
          <w:rStyle w:val="30"/>
          <w:rFonts w:hint="eastAsia" w:ascii="仿宋" w:hAnsi="仿宋" w:eastAsia="仿宋"/>
          <w:b w:val="0"/>
          <w:bCs w:val="0"/>
        </w:rPr>
        <w:t>十二、</w:t>
      </w:r>
      <w:r>
        <w:rPr>
          <w:rFonts w:hint="eastAsia" w:ascii="仿宋" w:hAnsi="仿宋" w:eastAsia="仿宋"/>
          <w:b w:val="0"/>
          <w:color w:val="000000"/>
        </w:rPr>
        <w:t>国</w:t>
      </w:r>
      <w:r>
        <w:rPr>
          <w:rStyle w:val="30"/>
          <w:rFonts w:hint="eastAsia" w:ascii="仿宋" w:hAnsi="仿宋" w:eastAsia="仿宋"/>
          <w:b w:val="0"/>
          <w:bCs w:val="0"/>
        </w:rPr>
        <w:t>有资本经营预算</w:t>
      </w:r>
      <w:r>
        <w:rPr>
          <w:rStyle w:val="30"/>
          <w:rFonts w:hint="eastAsia" w:ascii="仿宋" w:hAnsi="仿宋" w:eastAsia="仿宋"/>
          <w:b w:val="0"/>
          <w:bCs w:val="0"/>
          <w:lang w:val="en-US" w:eastAsia="zh-CN"/>
        </w:rPr>
        <w:t>财政拨款支出决算表</w:t>
      </w:r>
    </w:p>
    <w:bookmarkEnd w:id="75"/>
    <w:bookmarkEnd w:id="76"/>
    <w:p>
      <w:pPr>
        <w:pStyle w:val="4"/>
        <w:rPr>
          <w:rStyle w:val="30"/>
          <w:rFonts w:hint="eastAsia" w:ascii="仿宋" w:hAnsi="仿宋" w:eastAsia="仿宋"/>
          <w:b w:val="0"/>
          <w:bCs w:val="0"/>
        </w:rPr>
      </w:pPr>
      <w:bookmarkStart w:id="77" w:name="_Toc4792"/>
      <w:bookmarkStart w:id="78" w:name="_Toc15396631"/>
      <w:r>
        <w:rPr>
          <w:rStyle w:val="30"/>
          <w:rFonts w:hint="eastAsia" w:ascii="仿宋" w:hAnsi="仿宋" w:eastAsia="仿宋"/>
          <w:b w:val="0"/>
          <w:bCs w:val="0"/>
        </w:rPr>
        <w:t>十三、财政拨款“三公”经费支出决算表</w:t>
      </w:r>
    </w:p>
    <w:bookmarkEnd w:id="77"/>
    <w:bookmarkEnd w:id="78"/>
    <w:p>
      <w:pPr>
        <w:pStyle w:val="4"/>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26</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9B48B"/>
    <w:multiLevelType w:val="singleLevel"/>
    <w:tmpl w:val="AF59B48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540C536"/>
    <w:multiLevelType w:val="singleLevel"/>
    <w:tmpl w:val="1540C536"/>
    <w:lvl w:ilvl="0" w:tentative="0">
      <w:start w:val="2"/>
      <w:numFmt w:val="chineseCounting"/>
      <w:suff w:val="nothing"/>
      <w:lvlText w:val="（%1）"/>
      <w:lvlJc w:val="left"/>
      <w:rPr>
        <w:rFonts w:hint="eastAsia"/>
      </w:rPr>
    </w:lvl>
  </w:abstractNum>
  <w:abstractNum w:abstractNumId="4">
    <w:nsid w:val="578F6F53"/>
    <w:multiLevelType w:val="singleLevel"/>
    <w:tmpl w:val="578F6F53"/>
    <w:lvl w:ilvl="0" w:tentative="0">
      <w:start w:val="1"/>
      <w:numFmt w:val="decimal"/>
      <w:pStyle w:val="9"/>
      <w:lvlText w:val="%1."/>
      <w:lvlJc w:val="left"/>
      <w:pPr>
        <w:tabs>
          <w:tab w:val="left" w:pos="2040"/>
        </w:tabs>
        <w:ind w:left="2040" w:hanging="360"/>
      </w:pPr>
    </w:lvl>
  </w:abstractNum>
  <w:abstractNum w:abstractNumId="5">
    <w:nsid w:val="61DAC19C"/>
    <w:multiLevelType w:val="singleLevel"/>
    <w:tmpl w:val="61DAC19C"/>
    <w:lvl w:ilvl="0" w:tentative="0">
      <w:start w:val="1"/>
      <w:numFmt w:val="chineseCounting"/>
      <w:suff w:val="nothing"/>
      <w:lvlText w:val="（%1）"/>
      <w:lvlJc w:val="left"/>
      <w:pPr>
        <w:ind w:left="0" w:firstLine="0"/>
      </w:pPr>
      <w:rPr>
        <w:rFonts w:hint="eastAsia"/>
      </w:rPr>
    </w:lvl>
  </w:abstractNum>
  <w:abstractNum w:abstractNumId="6">
    <w:nsid w:val="78D72DD4"/>
    <w:multiLevelType w:val="singleLevel"/>
    <w:tmpl w:val="78D72DD4"/>
    <w:lvl w:ilvl="0" w:tentative="0">
      <w:start w:val="3"/>
      <w:numFmt w:val="decimal"/>
      <w:lvlText w:val="%1."/>
      <w:lvlJc w:val="left"/>
      <w:pPr>
        <w:tabs>
          <w:tab w:val="left" w:pos="312"/>
        </w:tabs>
      </w:pPr>
    </w:lvl>
  </w:abstractNum>
  <w:num w:numId="1">
    <w:abstractNumId w:val="4"/>
  </w:num>
  <w:num w:numId="2">
    <w:abstractNumId w:val="0"/>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104F"/>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0D06"/>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2338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29C1"/>
    <w:rsid w:val="00C159EF"/>
    <w:rsid w:val="00C33E72"/>
    <w:rsid w:val="00C354B2"/>
    <w:rsid w:val="00C35554"/>
    <w:rsid w:val="00C42709"/>
    <w:rsid w:val="00C533CC"/>
    <w:rsid w:val="00C5751C"/>
    <w:rsid w:val="00C61BFC"/>
    <w:rsid w:val="00C62B85"/>
    <w:rsid w:val="00C65438"/>
    <w:rsid w:val="00C71927"/>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A1CAE"/>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3002AB"/>
    <w:rsid w:val="02E1730F"/>
    <w:rsid w:val="043E4C13"/>
    <w:rsid w:val="044C6E68"/>
    <w:rsid w:val="04601E12"/>
    <w:rsid w:val="0493716E"/>
    <w:rsid w:val="04CF36B4"/>
    <w:rsid w:val="05C25B80"/>
    <w:rsid w:val="05E45580"/>
    <w:rsid w:val="068951A7"/>
    <w:rsid w:val="06E27DD7"/>
    <w:rsid w:val="071A426C"/>
    <w:rsid w:val="0744651C"/>
    <w:rsid w:val="0764271A"/>
    <w:rsid w:val="079348CC"/>
    <w:rsid w:val="07D36549"/>
    <w:rsid w:val="07E5395F"/>
    <w:rsid w:val="07EB1A01"/>
    <w:rsid w:val="08F67BF7"/>
    <w:rsid w:val="0A7E337D"/>
    <w:rsid w:val="0A8E656B"/>
    <w:rsid w:val="0CA74428"/>
    <w:rsid w:val="0CCD0C03"/>
    <w:rsid w:val="0CD30126"/>
    <w:rsid w:val="0CFB0A8A"/>
    <w:rsid w:val="0D0F334A"/>
    <w:rsid w:val="0D8172A3"/>
    <w:rsid w:val="0E1815C8"/>
    <w:rsid w:val="0EAA5C5A"/>
    <w:rsid w:val="0EB302A1"/>
    <w:rsid w:val="0EC403E8"/>
    <w:rsid w:val="0F2121FB"/>
    <w:rsid w:val="0F2F5154"/>
    <w:rsid w:val="0F730F9A"/>
    <w:rsid w:val="10842AE1"/>
    <w:rsid w:val="109B7BB5"/>
    <w:rsid w:val="10AA5720"/>
    <w:rsid w:val="10C055FF"/>
    <w:rsid w:val="11251ED6"/>
    <w:rsid w:val="11405FA6"/>
    <w:rsid w:val="114F61E9"/>
    <w:rsid w:val="11AD5A15"/>
    <w:rsid w:val="11DA19EF"/>
    <w:rsid w:val="122F4F42"/>
    <w:rsid w:val="12754917"/>
    <w:rsid w:val="1308721F"/>
    <w:rsid w:val="135768EF"/>
    <w:rsid w:val="13FB2AD9"/>
    <w:rsid w:val="14073825"/>
    <w:rsid w:val="14B45E63"/>
    <w:rsid w:val="16BB723D"/>
    <w:rsid w:val="175B5220"/>
    <w:rsid w:val="18266E24"/>
    <w:rsid w:val="183F2B14"/>
    <w:rsid w:val="185518FD"/>
    <w:rsid w:val="185B4C17"/>
    <w:rsid w:val="19586DBB"/>
    <w:rsid w:val="197A69C6"/>
    <w:rsid w:val="197E3626"/>
    <w:rsid w:val="1A002162"/>
    <w:rsid w:val="1A6C163D"/>
    <w:rsid w:val="1B06268F"/>
    <w:rsid w:val="1B3A7ABE"/>
    <w:rsid w:val="1B97182E"/>
    <w:rsid w:val="1B9E3D8A"/>
    <w:rsid w:val="1C163B8C"/>
    <w:rsid w:val="1C6D1313"/>
    <w:rsid w:val="1C772638"/>
    <w:rsid w:val="1C890801"/>
    <w:rsid w:val="1DFB74DD"/>
    <w:rsid w:val="1E2456B4"/>
    <w:rsid w:val="1E284F2D"/>
    <w:rsid w:val="1E420C3F"/>
    <w:rsid w:val="1E48348B"/>
    <w:rsid w:val="1EC86353"/>
    <w:rsid w:val="1EE73062"/>
    <w:rsid w:val="1FF24AAB"/>
    <w:rsid w:val="1FFB35E4"/>
    <w:rsid w:val="21715B9A"/>
    <w:rsid w:val="21B24356"/>
    <w:rsid w:val="22311A74"/>
    <w:rsid w:val="224A0538"/>
    <w:rsid w:val="22750CD4"/>
    <w:rsid w:val="23503E27"/>
    <w:rsid w:val="2371487D"/>
    <w:rsid w:val="240371BF"/>
    <w:rsid w:val="247955FF"/>
    <w:rsid w:val="24842D35"/>
    <w:rsid w:val="24CE2829"/>
    <w:rsid w:val="24DB3BC4"/>
    <w:rsid w:val="24EF5C54"/>
    <w:rsid w:val="25002D08"/>
    <w:rsid w:val="25361855"/>
    <w:rsid w:val="25793C80"/>
    <w:rsid w:val="26393A97"/>
    <w:rsid w:val="263C55EC"/>
    <w:rsid w:val="2669691D"/>
    <w:rsid w:val="27576F14"/>
    <w:rsid w:val="27710D5F"/>
    <w:rsid w:val="27E15995"/>
    <w:rsid w:val="27FA684D"/>
    <w:rsid w:val="2822183A"/>
    <w:rsid w:val="28506677"/>
    <w:rsid w:val="287A776B"/>
    <w:rsid w:val="288A51BE"/>
    <w:rsid w:val="29001E4B"/>
    <w:rsid w:val="29893551"/>
    <w:rsid w:val="299F2350"/>
    <w:rsid w:val="29A06765"/>
    <w:rsid w:val="29FD04D3"/>
    <w:rsid w:val="2A3753A8"/>
    <w:rsid w:val="2A7863AA"/>
    <w:rsid w:val="2ABC6246"/>
    <w:rsid w:val="2AE352DA"/>
    <w:rsid w:val="2BA3678D"/>
    <w:rsid w:val="2C36234E"/>
    <w:rsid w:val="2C4E325A"/>
    <w:rsid w:val="2C536B21"/>
    <w:rsid w:val="2C981E3E"/>
    <w:rsid w:val="2CC441EC"/>
    <w:rsid w:val="2CF53180"/>
    <w:rsid w:val="2D7860CA"/>
    <w:rsid w:val="2DDF321A"/>
    <w:rsid w:val="2E344C7E"/>
    <w:rsid w:val="2E7975BA"/>
    <w:rsid w:val="2EAB657C"/>
    <w:rsid w:val="2ED7539C"/>
    <w:rsid w:val="2F68699C"/>
    <w:rsid w:val="2F7D0076"/>
    <w:rsid w:val="2F8C0ED7"/>
    <w:rsid w:val="2F8C4439"/>
    <w:rsid w:val="30C85944"/>
    <w:rsid w:val="319F7F4E"/>
    <w:rsid w:val="32D3007A"/>
    <w:rsid w:val="33057D8B"/>
    <w:rsid w:val="33AA61A1"/>
    <w:rsid w:val="34EA6956"/>
    <w:rsid w:val="354F134F"/>
    <w:rsid w:val="3567173A"/>
    <w:rsid w:val="35815A27"/>
    <w:rsid w:val="358931C8"/>
    <w:rsid w:val="358D6C31"/>
    <w:rsid w:val="378731D3"/>
    <w:rsid w:val="37A14871"/>
    <w:rsid w:val="383D334F"/>
    <w:rsid w:val="385B2116"/>
    <w:rsid w:val="38C37F12"/>
    <w:rsid w:val="38C55A4D"/>
    <w:rsid w:val="39DE1B1E"/>
    <w:rsid w:val="3ACA748E"/>
    <w:rsid w:val="3B3B302A"/>
    <w:rsid w:val="3B47324A"/>
    <w:rsid w:val="3B9B5779"/>
    <w:rsid w:val="3C1A2DCC"/>
    <w:rsid w:val="3C223539"/>
    <w:rsid w:val="3D355B1E"/>
    <w:rsid w:val="3D3673A8"/>
    <w:rsid w:val="3D4A0C57"/>
    <w:rsid w:val="3D631537"/>
    <w:rsid w:val="3D8726E3"/>
    <w:rsid w:val="3E9441A7"/>
    <w:rsid w:val="3EC4545A"/>
    <w:rsid w:val="3EC84D62"/>
    <w:rsid w:val="3F0D4E6A"/>
    <w:rsid w:val="3F676B92"/>
    <w:rsid w:val="3FAB3F97"/>
    <w:rsid w:val="3FBF7EF4"/>
    <w:rsid w:val="3FF87917"/>
    <w:rsid w:val="400301DF"/>
    <w:rsid w:val="401D6D1E"/>
    <w:rsid w:val="40441CD0"/>
    <w:rsid w:val="412648F7"/>
    <w:rsid w:val="41D64E14"/>
    <w:rsid w:val="42407D1A"/>
    <w:rsid w:val="43A941DF"/>
    <w:rsid w:val="43CC0E50"/>
    <w:rsid w:val="44D14963"/>
    <w:rsid w:val="44D3044B"/>
    <w:rsid w:val="469D4446"/>
    <w:rsid w:val="46AB7443"/>
    <w:rsid w:val="46B70187"/>
    <w:rsid w:val="47693C2B"/>
    <w:rsid w:val="495A2761"/>
    <w:rsid w:val="49706721"/>
    <w:rsid w:val="498F750F"/>
    <w:rsid w:val="4A223C7E"/>
    <w:rsid w:val="4A676625"/>
    <w:rsid w:val="4A696211"/>
    <w:rsid w:val="4B6A4556"/>
    <w:rsid w:val="4C1118F0"/>
    <w:rsid w:val="4C146CF0"/>
    <w:rsid w:val="4DCC1F46"/>
    <w:rsid w:val="4DFD6394"/>
    <w:rsid w:val="4E277AA2"/>
    <w:rsid w:val="4F6E331E"/>
    <w:rsid w:val="4FE015FC"/>
    <w:rsid w:val="501E58DE"/>
    <w:rsid w:val="51050403"/>
    <w:rsid w:val="5112500D"/>
    <w:rsid w:val="511829CC"/>
    <w:rsid w:val="519F6341"/>
    <w:rsid w:val="51CC164C"/>
    <w:rsid w:val="51D75D13"/>
    <w:rsid w:val="51E36239"/>
    <w:rsid w:val="5210264F"/>
    <w:rsid w:val="521A488A"/>
    <w:rsid w:val="521C500A"/>
    <w:rsid w:val="52A478EB"/>
    <w:rsid w:val="52CC7733"/>
    <w:rsid w:val="52F36550"/>
    <w:rsid w:val="535D1D96"/>
    <w:rsid w:val="53A476F3"/>
    <w:rsid w:val="53C700D2"/>
    <w:rsid w:val="546E741E"/>
    <w:rsid w:val="550B692C"/>
    <w:rsid w:val="55686189"/>
    <w:rsid w:val="55911EF9"/>
    <w:rsid w:val="55A35C61"/>
    <w:rsid w:val="55AF2380"/>
    <w:rsid w:val="56724562"/>
    <w:rsid w:val="569E48CE"/>
    <w:rsid w:val="574933D7"/>
    <w:rsid w:val="577E7FD0"/>
    <w:rsid w:val="57815EBF"/>
    <w:rsid w:val="5795202B"/>
    <w:rsid w:val="57E64C14"/>
    <w:rsid w:val="583B3846"/>
    <w:rsid w:val="584414A5"/>
    <w:rsid w:val="586425F8"/>
    <w:rsid w:val="58766736"/>
    <w:rsid w:val="588F57A1"/>
    <w:rsid w:val="589B395F"/>
    <w:rsid w:val="596F586E"/>
    <w:rsid w:val="59765408"/>
    <w:rsid w:val="598853C1"/>
    <w:rsid w:val="5A380B96"/>
    <w:rsid w:val="5A5A73ED"/>
    <w:rsid w:val="5B680900"/>
    <w:rsid w:val="5B78665E"/>
    <w:rsid w:val="5BC81751"/>
    <w:rsid w:val="5C2762A3"/>
    <w:rsid w:val="5CCC5BEA"/>
    <w:rsid w:val="5D105DFA"/>
    <w:rsid w:val="5D181542"/>
    <w:rsid w:val="5DC37E74"/>
    <w:rsid w:val="5E2D5284"/>
    <w:rsid w:val="5E81723F"/>
    <w:rsid w:val="5E8277BF"/>
    <w:rsid w:val="5E87475D"/>
    <w:rsid w:val="5EAF7173"/>
    <w:rsid w:val="5EB30705"/>
    <w:rsid w:val="5F422BEA"/>
    <w:rsid w:val="5F584FE8"/>
    <w:rsid w:val="5FA61A61"/>
    <w:rsid w:val="5FF90DC7"/>
    <w:rsid w:val="61C20AC0"/>
    <w:rsid w:val="625E7F0D"/>
    <w:rsid w:val="62A31291"/>
    <w:rsid w:val="62D11B87"/>
    <w:rsid w:val="6318484B"/>
    <w:rsid w:val="633B32B3"/>
    <w:rsid w:val="64451887"/>
    <w:rsid w:val="67FF9E21"/>
    <w:rsid w:val="681D681A"/>
    <w:rsid w:val="684019E9"/>
    <w:rsid w:val="686512B9"/>
    <w:rsid w:val="68D041D1"/>
    <w:rsid w:val="691C78D4"/>
    <w:rsid w:val="6925704D"/>
    <w:rsid w:val="69303D57"/>
    <w:rsid w:val="69435C9A"/>
    <w:rsid w:val="69461716"/>
    <w:rsid w:val="694A624C"/>
    <w:rsid w:val="69E132A1"/>
    <w:rsid w:val="69E52543"/>
    <w:rsid w:val="6A6C75A6"/>
    <w:rsid w:val="6A8C4FEA"/>
    <w:rsid w:val="6C272236"/>
    <w:rsid w:val="6C293B5F"/>
    <w:rsid w:val="6C663657"/>
    <w:rsid w:val="6C6E3758"/>
    <w:rsid w:val="6CDC1897"/>
    <w:rsid w:val="6CF304BF"/>
    <w:rsid w:val="6D1C198A"/>
    <w:rsid w:val="6DBC08B1"/>
    <w:rsid w:val="6DCF3167"/>
    <w:rsid w:val="6DFA12C5"/>
    <w:rsid w:val="6E096679"/>
    <w:rsid w:val="6E3F0C93"/>
    <w:rsid w:val="6EEA518B"/>
    <w:rsid w:val="6F3DCD84"/>
    <w:rsid w:val="6FE70C3C"/>
    <w:rsid w:val="70A642D7"/>
    <w:rsid w:val="716342F2"/>
    <w:rsid w:val="71A12E95"/>
    <w:rsid w:val="71D452DB"/>
    <w:rsid w:val="7391196E"/>
    <w:rsid w:val="74750FF7"/>
    <w:rsid w:val="74B135C7"/>
    <w:rsid w:val="74C70B47"/>
    <w:rsid w:val="74FE6539"/>
    <w:rsid w:val="7504170E"/>
    <w:rsid w:val="75E54075"/>
    <w:rsid w:val="75F32FC4"/>
    <w:rsid w:val="760F2C9B"/>
    <w:rsid w:val="7634636F"/>
    <w:rsid w:val="766D1496"/>
    <w:rsid w:val="7709409F"/>
    <w:rsid w:val="77433F38"/>
    <w:rsid w:val="777E2099"/>
    <w:rsid w:val="77987EB0"/>
    <w:rsid w:val="7831022F"/>
    <w:rsid w:val="78830398"/>
    <w:rsid w:val="78FC4DCF"/>
    <w:rsid w:val="79114142"/>
    <w:rsid w:val="7A5A006F"/>
    <w:rsid w:val="7A707BCD"/>
    <w:rsid w:val="7B7A2690"/>
    <w:rsid w:val="7BA4534D"/>
    <w:rsid w:val="7BC6647D"/>
    <w:rsid w:val="7CEE15BB"/>
    <w:rsid w:val="7D210A3F"/>
    <w:rsid w:val="7D7457AC"/>
    <w:rsid w:val="7DC600E3"/>
    <w:rsid w:val="7DD520D4"/>
    <w:rsid w:val="7E347559"/>
    <w:rsid w:val="7E536F00"/>
    <w:rsid w:val="7E771F55"/>
    <w:rsid w:val="7EDA5896"/>
    <w:rsid w:val="7EEF2760"/>
    <w:rsid w:val="7F233313"/>
    <w:rsid w:val="7F765CDE"/>
    <w:rsid w:val="7FA17BF2"/>
    <w:rsid w:val="E7DF57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afterLines="0" w:afterAutospacing="0"/>
      <w:ind w:left="420" w:leftChars="200"/>
    </w:pPr>
    <w:rPr>
      <w:rFonts w:ascii="Calibri" w:hAnsi="Calibri" w:eastAsia="宋体" w:cs="Calibri"/>
    </w:rPr>
  </w:style>
  <w:style w:type="paragraph" w:styleId="7">
    <w:name w:val="Body Text First Indent 2"/>
    <w:basedOn w:val="6"/>
    <w:next w:val="8"/>
    <w:qFormat/>
    <w:uiPriority w:val="0"/>
    <w:pPr>
      <w:ind w:firstLine="420" w:firstLineChars="200"/>
    </w:pPr>
    <w:rPr>
      <w:rFonts w:ascii="Times New Roman" w:hAnsi="Times New Roman" w:eastAsia="宋体" w:cs="Times New Roman"/>
      <w:sz w:val="21"/>
      <w:szCs w:val="22"/>
      <w:lang w:val="en-US" w:eastAsia="zh-CN" w:bidi="ar-SA"/>
    </w:rPr>
  </w:style>
  <w:style w:type="paragraph" w:styleId="8">
    <w:name w:val="Plain Text"/>
    <w:basedOn w:val="1"/>
    <w:next w:val="9"/>
    <w:qFormat/>
    <w:uiPriority w:val="0"/>
    <w:pPr>
      <w:adjustRightInd w:val="0"/>
      <w:snapToGrid w:val="0"/>
      <w:spacing w:before="50" w:beforeLines="50" w:after="50" w:afterLines="50"/>
      <w:ind w:firstLine="200" w:firstLineChars="200"/>
    </w:pPr>
    <w:rPr>
      <w:rFonts w:ascii="宋体" w:hAnsi="Courier New"/>
      <w:sz w:val="28"/>
    </w:rPr>
  </w:style>
  <w:style w:type="paragraph" w:styleId="9">
    <w:name w:val="List Number 5"/>
    <w:basedOn w:val="1"/>
    <w:semiHidden/>
    <w:unhideWhenUsed/>
    <w:qFormat/>
    <w:uiPriority w:val="99"/>
    <w:pPr>
      <w:numPr>
        <w:ilvl w:val="0"/>
        <w:numId w:val="1"/>
      </w:numPr>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1"/>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character" w:customStyle="1" w:styleId="34">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35">
    <w:name w:val="heading 2 Char"/>
    <w:basedOn w:val="18"/>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 </c:v>
                </c:pt>
                <c:pt idx="1">
                  <c:v>2021年</c:v>
                </c:pt>
              </c:strCache>
            </c:strRef>
          </c:cat>
          <c:val>
            <c:numRef>
              <c:f>Sheet1!$B$2:$B$3</c:f>
              <c:numCache>
                <c:formatCode>General</c:formatCode>
                <c:ptCount val="2"/>
                <c:pt idx="0">
                  <c:v>1319.04</c:v>
                </c:pt>
                <c:pt idx="1">
                  <c:v>1220.45</c:v>
                </c:pt>
              </c:numCache>
            </c:numRef>
          </c:val>
        </c:ser>
        <c:ser>
          <c:idx val="1"/>
          <c:order val="1"/>
          <c:tx>
            <c:strRef>
              <c:f>Sheet1!$C$1</c:f>
              <c:strCache>
                <c:ptCount val="1"/>
                <c:pt idx="0">
                  <c:v>总支出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 </c:v>
                </c:pt>
                <c:pt idx="1">
                  <c:v>2021年</c:v>
                </c:pt>
              </c:strCache>
            </c:strRef>
          </c:cat>
          <c:val>
            <c:numRef>
              <c:f>Sheet1!$C$2:$C$3</c:f>
              <c:numCache>
                <c:formatCode>General</c:formatCode>
                <c:ptCount val="2"/>
                <c:pt idx="0">
                  <c:v>1319.04</c:v>
                </c:pt>
                <c:pt idx="1">
                  <c:v>1220.45</c:v>
                </c:pt>
              </c:numCache>
            </c:numRef>
          </c:val>
        </c:ser>
        <c:dLbls>
          <c:showLegendKey val="0"/>
          <c:showVal val="1"/>
          <c:showCatName val="0"/>
          <c:showSerName val="0"/>
          <c:showPercent val="0"/>
          <c:showBubbleSize val="0"/>
        </c:dLbls>
        <c:gapWidth val="219"/>
        <c:overlap val="-27"/>
        <c:axId val="44684032"/>
        <c:axId val="44685568"/>
      </c:barChart>
      <c:catAx>
        <c:axId val="44684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85568"/>
        <c:crosses val="autoZero"/>
        <c:auto val="1"/>
        <c:lblAlgn val="ctr"/>
        <c:lblOffset val="100"/>
        <c:noMultiLvlLbl val="0"/>
      </c:catAx>
      <c:valAx>
        <c:axId val="44685568"/>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84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1319.04</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72563041"/>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854.72</c:v>
                </c:pt>
                <c:pt idx="1">
                  <c:v>464.32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2021年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1220.45</c:v>
                </c:pt>
                <c:pt idx="1">
                  <c:v>1220.45</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1319.04</c:v>
                </c:pt>
                <c:pt idx="1">
                  <c:v>1319.04</c:v>
                </c:pt>
              </c:numCache>
            </c:numRef>
          </c:val>
        </c:ser>
        <c:dLbls>
          <c:showLegendKey val="0"/>
          <c:showVal val="1"/>
          <c:showCatName val="0"/>
          <c:showSerName val="0"/>
          <c:showPercent val="0"/>
          <c:showBubbleSize val="0"/>
        </c:dLbls>
        <c:gapWidth val="219"/>
        <c:overlap val="-27"/>
        <c:axId val="51493504"/>
        <c:axId val="51597696"/>
      </c:barChart>
      <c:catAx>
        <c:axId val="5149350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97696"/>
        <c:crosses val="autoZero"/>
        <c:auto val="1"/>
        <c:lblAlgn val="ctr"/>
        <c:lblOffset val="100"/>
        <c:noMultiLvlLbl val="0"/>
      </c:catAx>
      <c:valAx>
        <c:axId val="51597696"/>
        <c:scaling>
          <c:orientation val="minMax"/>
          <c:max val="4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4935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1220.45</c:v>
                </c:pt>
                <c:pt idx="1">
                  <c:v>1319.04</c:v>
                </c:pt>
              </c:numCache>
            </c:numRef>
          </c:val>
        </c:ser>
        <c:dLbls>
          <c:showLegendKey val="0"/>
          <c:showVal val="1"/>
          <c:showCatName val="0"/>
          <c:showSerName val="0"/>
          <c:showPercent val="0"/>
          <c:showBubbleSize val="0"/>
        </c:dLbls>
        <c:gapWidth val="219"/>
        <c:overlap val="-27"/>
        <c:axId val="94130560"/>
        <c:axId val="94132096"/>
      </c:barChart>
      <c:catAx>
        <c:axId val="941305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32096"/>
        <c:crosses val="autoZero"/>
        <c:auto val="1"/>
        <c:lblAlgn val="ctr"/>
        <c:lblOffset val="100"/>
        <c:noMultiLvlLbl val="0"/>
      </c:catAx>
      <c:valAx>
        <c:axId val="94132096"/>
        <c:scaling>
          <c:orientation val="minMax"/>
          <c:max val="4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305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95694444444444"/>
          <c:y val="0.03254678600488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0209736443574976"/>
                  <c:y val="0.04419082456707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3313939"/>
                  <c:y val="0.0049657079999966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50300872"/>
                  <c:y val="-0.04169033279472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84661244896157"/>
                  <c:y val="0.144930062405586"/>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734722222222222"/>
                      <c:h val="0.0886899918633035"/>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一般公共服务</c:v>
                </c:pt>
                <c:pt idx="1">
                  <c:v>教育支出</c:v>
                </c:pt>
                <c:pt idx="2">
                  <c:v>社会保障和就业</c:v>
                </c:pt>
                <c:pt idx="3">
                  <c:v>医疗卫生支出</c:v>
                </c:pt>
                <c:pt idx="4">
                  <c:v>住房保障支出</c:v>
                </c:pt>
              </c:strCache>
            </c:strRef>
          </c:cat>
          <c:val>
            <c:numRef>
              <c:f>Sheet1!$B$2:$B$6</c:f>
              <c:numCache>
                <c:formatCode>General</c:formatCode>
                <c:ptCount val="5"/>
                <c:pt idx="0">
                  <c:v>1024.35</c:v>
                </c:pt>
                <c:pt idx="1">
                  <c:v>0.18</c:v>
                </c:pt>
                <c:pt idx="2">
                  <c:v>80.51</c:v>
                </c:pt>
                <c:pt idx="3">
                  <c:v>34.41</c:v>
                </c:pt>
                <c:pt idx="4">
                  <c:v>45.49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gradFill>
                <a:gsLst>
                  <a:gs pos="0">
                    <a:srgbClr val="FE4444"/>
                  </a:gs>
                  <a:gs pos="100000">
                    <a:srgbClr val="832B2B"/>
                  </a:gs>
                </a:gsLst>
                <a:lin ang="5400000" scaled="0"/>
              </a:gradFill>
              <a:ln w="19050">
                <a:solidFill>
                  <a:schemeClr val="lt1"/>
                </a:solidFill>
              </a:ln>
              <a:effectLst/>
            </c:spPr>
          </c:dPt>
          <c:dPt>
            <c:idx val="1"/>
            <c:bubble3D val="0"/>
            <c:spPr>
              <a:solidFill>
                <a:schemeClr val="accent1"/>
              </a:solidFill>
              <a:ln w="19050">
                <a:solidFill>
                  <a:schemeClr val="lt1"/>
                </a:solidFill>
              </a:ln>
              <a:effectLst/>
            </c:spPr>
          </c:dPt>
          <c:dPt>
            <c:idx val="2"/>
            <c:bubble3D val="0"/>
            <c:spPr>
              <a:solidFill>
                <a:schemeClr val="accent3"/>
              </a:solidFill>
              <a:ln w="19050">
                <a:solidFill>
                  <a:schemeClr val="lt1"/>
                </a:solidFill>
              </a:ln>
              <a:effectLst/>
            </c:spPr>
          </c:dPt>
          <c:dLbls>
            <c:dLbl>
              <c:idx val="2"/>
              <c:layout>
                <c:manualLayout>
                  <c:x val="-0.0703521624491327"/>
                  <c:y val="0.005202266206235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180.92</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9442</Words>
  <Characters>10370</Characters>
  <Lines>79</Lines>
  <Paragraphs>22</Paragraphs>
  <TotalTime>17</TotalTime>
  <ScaleCrop>false</ScaleCrop>
  <LinksUpToDate>false</LinksUpToDate>
  <CharactersWithSpaces>10946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平淡无奇</cp:lastModifiedBy>
  <cp:lastPrinted>2023-08-28T16:26:00Z</cp:lastPrinted>
  <dcterms:modified xsi:type="dcterms:W3CDTF">2023-08-30T02:20:37Z</dcterms:modified>
  <dc:title>四川省***</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26D2B57BAF10414093464C7B5AC479EB_13</vt:lpwstr>
  </property>
</Properties>
</file>