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96597"/>
      <w:bookmarkStart w:id="3" w:name="_Toc27643"/>
      <w:bookmarkStart w:id="4" w:name="_Toc15378441"/>
      <w:bookmarkStart w:id="5" w:name="_Toc15377425"/>
      <w:bookmarkStart w:id="6" w:name="_Toc15396475"/>
      <w:bookmarkStart w:id="7" w:name="_Toc15377193"/>
      <w:bookmarkStart w:id="8" w:name="_Toc8530"/>
      <w:bookmarkStart w:id="9" w:name="_Toc31749"/>
      <w:r>
        <w:rPr>
          <w:rFonts w:ascii="黑体" w:eastAsia="黑体"/>
          <w:color w:val="000000"/>
          <w:sz w:val="72"/>
          <w:szCs w:val="72"/>
        </w:rPr>
        <w:t>20</w:t>
      </w:r>
      <w:r>
        <w:rPr>
          <w:rFonts w:ascii="黑体" w:eastAsia="黑体" w:hint="eastAsia"/>
          <w:color w:val="000000"/>
          <w:sz w:val="72"/>
          <w:szCs w:val="72"/>
        </w:rPr>
        <w:t>21</w:t>
      </w:r>
      <w:r>
        <w:rPr>
          <w:rFonts w:ascii="方正小标宋简体" w:eastAsia="方正小标宋简体" w:hint="eastAsia"/>
          <w:color w:val="000000"/>
          <w:sz w:val="72"/>
          <w:szCs w:val="72"/>
        </w:rPr>
        <w:t>年度</w:t>
      </w:r>
      <w:bookmarkEnd w:id="2"/>
      <w:bookmarkEnd w:id="3"/>
      <w:bookmarkEnd w:id="4"/>
      <w:bookmarkEnd w:id="5"/>
      <w:bookmarkEnd w:id="6"/>
      <w:bookmarkEnd w:id="7"/>
      <w:bookmarkEnd w:id="8"/>
      <w:bookmarkEnd w:id="9"/>
    </w:p>
    <w:p>
      <w:pPr>
        <w:adjustRightInd w:val="0"/>
        <w:snapToGrid w:val="0"/>
        <w:spacing w:line="360" w:lineRule="auto"/>
        <w:jc w:val="center"/>
        <w:outlineLvl w:val="0"/>
        <w:rPr>
          <w:rFonts w:ascii="方正小标宋简体" w:eastAsia="方正小标宋简体"/>
          <w:color w:val="000000"/>
          <w:sz w:val="72"/>
          <w:szCs w:val="72"/>
        </w:rPr>
      </w:pPr>
      <w:bookmarkStart w:id="10" w:name="_Toc15378442"/>
      <w:bookmarkStart w:id="11" w:name="_Toc15377426"/>
      <w:bookmarkStart w:id="12" w:name="_Toc15377194"/>
      <w:bookmarkStart w:id="13" w:name="_Toc15306268"/>
      <w:bookmarkStart w:id="14" w:name="_Toc28566"/>
      <w:bookmarkStart w:id="15" w:name="_Toc24702"/>
      <w:bookmarkStart w:id="16" w:name="_Toc15396476"/>
      <w:bookmarkStart w:id="17" w:name="_Toc15396598"/>
      <w:bookmarkStart w:id="18" w:name="_Toc28678"/>
      <w:bookmarkEnd w:id="0"/>
      <w:r>
        <w:rPr>
          <w:rFonts w:ascii="方正小标宋简体" w:eastAsia="方正小标宋简体" w:hint="eastAsia"/>
          <w:color w:val="000000"/>
          <w:sz w:val="72"/>
          <w:szCs w:val="72"/>
        </w:rPr>
        <w:t>金川县人民政府办公室  部门决算</w:t>
      </w:r>
      <w:bookmarkEnd w:id="10"/>
      <w:bookmarkEnd w:id="11"/>
      <w:bookmarkEnd w:id="12"/>
      <w:bookmarkEnd w:id="13"/>
      <w:bookmarkEnd w:id="14"/>
      <w:bookmarkEnd w:id="15"/>
      <w:bookmarkEnd w:id="16"/>
      <w:bookmarkEnd w:id="17"/>
      <w:r>
        <w:rPr>
          <w:rFonts w:ascii="方正小标宋简体" w:eastAsia="方正小标宋简体" w:hint="eastAsia"/>
          <w:color w:val="000000"/>
          <w:sz w:val="72"/>
          <w:szCs w:val="72"/>
        </w:rPr>
        <w:t>公开</w:t>
      </w:r>
      <w:bookmarkEnd w:id="18"/>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p>
    <w:p>
      <w:pPr>
        <w:widowControl/>
        <w:jc w:val="center"/>
        <w:rPr>
          <w:rFonts w:ascii="黑体" w:eastAsia="黑体"/>
          <w:color w:val="000000"/>
          <w:sz w:val="48"/>
          <w:szCs w:val="48"/>
        </w:rPr>
      </w:pPr>
      <w:bookmarkStart w:id="19" w:name="_Toc15377196"/>
      <w:r>
        <w:rPr>
          <w:rFonts w:ascii="黑体" w:eastAsia="黑体" w:hint="eastAsia"/>
          <w:color w:val="000000"/>
          <w:sz w:val="48"/>
          <w:szCs w:val="48"/>
        </w:rPr>
        <w:t>目录</w:t>
      </w:r>
    </w:p>
    <w:p>
      <w:pPr>
        <w:pStyle w:val="20"/>
        <w:tabs>
          <w:tab w:val="right" w:leader="dot" w:pos="8296"/>
        </w:tabs>
        <w:rPr>
          <w:rFonts w:ascii="黑体" w:eastAsia="黑体"/>
          <w:color w:val="000000"/>
        </w:rPr>
      </w:pPr>
      <w:r>
        <w:rPr>
          <w:rFonts w:ascii="黑体" w:eastAsia="黑体" w:hint="eastAsia"/>
          <w:color w:val="000000"/>
        </w:rPr>
        <w:t>公开时间：2022年 8月</w:t>
      </w:r>
      <w:r>
        <w:rPr>
          <w:rFonts w:ascii="黑体" w:eastAsia="黑体"/>
          <w:color w:val="000000"/>
        </w:rPr>
        <w:t>25</w:t>
      </w:r>
      <w:r>
        <w:rPr>
          <w:rFonts w:ascii="黑体" w:eastAsia="黑体" w:hint="eastAsia"/>
          <w:color w:val="000000"/>
        </w:rPr>
        <w:t xml:space="preserve"> 日</w:t>
      </w:r>
    </w:p>
    <w:p>
      <w:pPr>
        <w:pStyle w:val="20"/>
        <w:tabs>
          <w:tab w:val="clear" w:pos="8296"/>
          <w:tab w:val="right" w:leader="dot" w:pos="8306"/>
        </w:tabs>
      </w:pPr>
      <w:r>
        <w:rPr>
          <w:rFonts w:hint="eastAsia"/>
          <w:color w:val="000000"/>
          <w:sz w:val="24"/>
          <w:szCs w:val="24"/>
        </w:rPr>
        <w:fldChar w:fldCharType="begin"/>
      </w:r>
      <w:r>
        <w:rPr>
          <w:rFonts w:hint="eastAsia"/>
          <w:color w:val="000000"/>
          <w:sz w:val="24"/>
          <w:szCs w:val="24"/>
        </w:rPr>
        <w:instrText xml:space="preserve"> TOC \o \u </w:instrText>
      </w:r>
      <w:r>
        <w:rPr>
          <w:rFonts w:hint="eastAsia"/>
          <w:color w:val="000000"/>
          <w:sz w:val="24"/>
          <w:szCs w:val="24"/>
        </w:rPr>
        <w:fldChar w:fldCharType="separate"/>
      </w:r>
      <w:r>
        <w:rPr>
          <w:rFonts w:ascii="黑体" w:eastAsia="黑体"/>
          <w:color w:val="000000"/>
          <w:szCs w:val="72"/>
        </w:rPr>
        <w:t>20</w:t>
      </w:r>
      <w:r>
        <w:rPr>
          <w:rFonts w:ascii="黑体" w:eastAsia="黑体" w:hint="eastAsia"/>
          <w:color w:val="000000"/>
          <w:szCs w:val="72"/>
        </w:rPr>
        <w:t>21</w:t>
      </w:r>
      <w:r>
        <w:rPr>
          <w:rFonts w:ascii="方正小标宋简体" w:eastAsia="方正小标宋简体" w:hint="eastAsia"/>
          <w:color w:val="000000"/>
          <w:szCs w:val="72"/>
        </w:rPr>
        <w:t>年度</w:t>
      </w:r>
      <w:r>
        <w:tab/>
      </w:r>
      <w:r>
        <w:fldChar w:fldCharType="begin"/>
      </w:r>
      <w:r>
        <w:instrText xml:space="preserve"> PAGEREF _Toc31749 \h </w:instrText>
      </w:r>
      <w:r>
        <w:fldChar w:fldCharType="separate"/>
      </w:r>
      <w:r>
        <w:t>1</w:t>
      </w:r>
      <w:r>
        <w:fldChar w:fldCharType="end"/>
      </w:r>
    </w:p>
    <w:p>
      <w:pPr>
        <w:pStyle w:val="20"/>
        <w:tabs>
          <w:tab w:val="clear" w:pos="8296"/>
          <w:tab w:val="right" w:leader="dot" w:pos="8306"/>
        </w:tabs>
      </w:pPr>
      <w:r>
        <w:rPr>
          <w:rFonts w:ascii="方正小标宋简体" w:eastAsia="方正小标宋简体" w:hint="eastAsia"/>
          <w:color w:val="000000"/>
          <w:szCs w:val="72"/>
        </w:rPr>
        <w:t>金川县人民政府办公室  部门决算公开</w:t>
      </w:r>
      <w:r>
        <w:tab/>
      </w:r>
      <w:r>
        <w:fldChar w:fldCharType="begin"/>
      </w:r>
      <w:r>
        <w:instrText xml:space="preserve"> PAGEREF _Toc28678 \h </w:instrText>
      </w:r>
      <w:r>
        <w:fldChar w:fldCharType="separate"/>
      </w:r>
      <w:r>
        <w:t>1</w:t>
      </w:r>
      <w:r>
        <w:fldChar w:fldCharType="end"/>
      </w:r>
    </w:p>
    <w:p>
      <w:pPr>
        <w:pStyle w:val="20"/>
        <w:tabs>
          <w:tab w:val="clear" w:pos="8296"/>
          <w:tab w:val="right" w:leader="dot" w:pos="8306"/>
        </w:tabs>
      </w:pPr>
      <w:r>
        <w:rPr>
          <w:rFonts w:ascii="黑体" w:eastAsia="黑体" w:hint="eastAsia"/>
        </w:rPr>
        <w:t xml:space="preserve">第一部分 </w:t>
      </w:r>
      <w:r>
        <w:rPr>
          <w:rFonts w:ascii="黑体" w:eastAsia="黑体" w:hint="eastAsia"/>
          <w:bCs w:val="0"/>
        </w:rPr>
        <w:t>部门概况</w:t>
      </w:r>
      <w:r>
        <w:tab/>
      </w:r>
      <w:r>
        <w:fldChar w:fldCharType="begin"/>
      </w:r>
      <w:r>
        <w:instrText xml:space="preserve"> PAGEREF _Toc31289 \h </w:instrText>
      </w:r>
      <w:r>
        <w:fldChar w:fldCharType="separate"/>
      </w:r>
      <w:r>
        <w:t>4</w:t>
      </w:r>
      <w:r>
        <w:fldChar w:fldCharType="end"/>
      </w:r>
    </w:p>
    <w:p>
      <w:pPr>
        <w:pStyle w:val="21"/>
        <w:tabs>
          <w:tab w:val="clear" w:pos="8296"/>
          <w:tab w:val="right" w:leader="dot" w:pos="8306"/>
        </w:tabs>
      </w:pPr>
      <w:r>
        <w:rPr>
          <w:rFonts w:ascii="黑体" w:eastAsia="黑体" w:hint="eastAsia"/>
          <w:color w:val="000000"/>
        </w:rPr>
        <w:t>一、基</w:t>
      </w:r>
      <w:r>
        <w:rPr>
          <w:rFonts w:ascii="黑体" w:eastAsia="黑体" w:hint="eastAsia"/>
          <w:bCs w:val="0"/>
        </w:rPr>
        <w:t>本职能及主要工作</w:t>
      </w:r>
      <w:r>
        <w:tab/>
      </w:r>
      <w:r>
        <w:fldChar w:fldCharType="begin"/>
      </w:r>
      <w:r>
        <w:instrText xml:space="preserve"> PAGEREF _Toc13615 \h </w:instrText>
      </w:r>
      <w:r>
        <w:fldChar w:fldCharType="separate"/>
      </w:r>
      <w:r>
        <w:t>4</w:t>
      </w:r>
      <w:r>
        <w:fldChar w:fldCharType="end"/>
      </w:r>
    </w:p>
    <w:p>
      <w:pPr>
        <w:pStyle w:val="21"/>
        <w:tabs>
          <w:tab w:val="clear" w:pos="8296"/>
          <w:tab w:val="right" w:leader="dot" w:pos="8306"/>
        </w:tabs>
      </w:pPr>
      <w:r>
        <w:rPr>
          <w:rFonts w:ascii="楷体" w:eastAsia="楷体" w:cs="楷体" w:hint="eastAsia"/>
          <w:color w:val="000000"/>
        </w:rPr>
        <w:t>（一）主要职能</w:t>
      </w:r>
      <w:r>
        <w:tab/>
      </w:r>
      <w:r>
        <w:fldChar w:fldCharType="begin"/>
      </w:r>
      <w:r>
        <w:instrText xml:space="preserve"> PAGEREF _Toc4878 \h </w:instrText>
      </w:r>
      <w:r>
        <w:fldChar w:fldCharType="separate"/>
      </w:r>
      <w:r>
        <w:t>4</w:t>
      </w:r>
      <w:r>
        <w:fldChar w:fldCharType="end"/>
      </w:r>
    </w:p>
    <w:p>
      <w:pPr>
        <w:pStyle w:val="21"/>
        <w:tabs>
          <w:tab w:val="clear" w:pos="8296"/>
          <w:tab w:val="right" w:leader="dot" w:pos="8306"/>
        </w:tabs>
      </w:pPr>
      <w:r>
        <w:rPr>
          <w:rFonts w:ascii="楷体" w:eastAsia="楷体" w:cs="楷体" w:hint="eastAsia"/>
          <w:color w:val="000000"/>
        </w:rPr>
        <w:t>（二）2021年重点工作完成情况</w:t>
      </w:r>
      <w:r>
        <w:tab/>
      </w:r>
      <w:r>
        <w:fldChar w:fldCharType="begin"/>
      </w:r>
      <w:r>
        <w:instrText xml:space="preserve"> PAGEREF _Toc15073 \h </w:instrText>
      </w:r>
      <w:r>
        <w:fldChar w:fldCharType="separate"/>
      </w:r>
      <w:r>
        <w:t>5</w:t>
      </w:r>
      <w:r>
        <w:fldChar w:fldCharType="end"/>
      </w:r>
    </w:p>
    <w:p>
      <w:pPr>
        <w:pStyle w:val="21"/>
        <w:tabs>
          <w:tab w:val="clear" w:pos="8296"/>
          <w:tab w:val="right" w:leader="dot" w:pos="8306"/>
        </w:tabs>
      </w:pPr>
      <w:r>
        <w:rPr>
          <w:rFonts w:ascii="黑体" w:eastAsia="黑体" w:hint="eastAsia"/>
          <w:bCs w:val="0"/>
        </w:rPr>
        <w:t>二、机构设置</w:t>
      </w:r>
      <w:r>
        <w:tab/>
      </w:r>
      <w:r>
        <w:fldChar w:fldCharType="begin"/>
      </w:r>
      <w:r>
        <w:instrText xml:space="preserve"> PAGEREF _Toc30213 \h </w:instrText>
      </w:r>
      <w:r>
        <w:fldChar w:fldCharType="separate"/>
      </w:r>
      <w:r>
        <w:t>5</w:t>
      </w:r>
      <w:r>
        <w:fldChar w:fldCharType="end"/>
      </w:r>
    </w:p>
    <w:p>
      <w:pPr>
        <w:pStyle w:val="20"/>
        <w:tabs>
          <w:tab w:val="clear" w:pos="8296"/>
          <w:tab w:val="right" w:leader="dot" w:pos="8306"/>
        </w:tabs>
      </w:pPr>
      <w:r>
        <w:rPr>
          <w:rFonts w:ascii="黑体" w:eastAsia="黑体" w:hint="eastAsia"/>
          <w:color w:val="000000"/>
        </w:rPr>
        <w:t xml:space="preserve">第二部分 </w:t>
      </w:r>
      <w:r>
        <w:rPr>
          <w:rFonts w:ascii="黑体" w:eastAsia="黑体" w:hint="eastAsia"/>
          <w:bCs w:val="0"/>
        </w:rPr>
        <w:t>2021年度部门决算情况说明</w:t>
      </w:r>
      <w:r>
        <w:tab/>
      </w:r>
      <w:r>
        <w:fldChar w:fldCharType="begin"/>
      </w:r>
      <w:r>
        <w:instrText xml:space="preserve"> PAGEREF _Toc2034 \h </w:instrText>
      </w:r>
      <w:r>
        <w:fldChar w:fldCharType="separate"/>
      </w:r>
      <w:r>
        <w:t>6</w:t>
      </w:r>
      <w:r>
        <w:fldChar w:fldCharType="end"/>
      </w:r>
    </w:p>
    <w:p>
      <w:pPr>
        <w:pStyle w:val="21"/>
        <w:tabs>
          <w:tab w:val="clear" w:pos="8296"/>
          <w:tab w:val="right" w:leader="dot" w:pos="8306"/>
        </w:tabs>
      </w:pPr>
      <w:r>
        <w:rPr>
          <w:rFonts w:ascii="黑体" w:eastAsia="黑体" w:hint="eastAsia"/>
          <w:color w:val="000000"/>
          <w:szCs w:val="32"/>
        </w:rPr>
        <w:t>一、收</w:t>
      </w:r>
      <w:r>
        <w:rPr>
          <w:rFonts w:ascii="黑体" w:eastAsia="黑体" w:hint="eastAsia"/>
        </w:rPr>
        <w:t>入支出决算总体情况说明</w:t>
      </w:r>
      <w:r>
        <w:tab/>
      </w:r>
      <w:r>
        <w:fldChar w:fldCharType="begin"/>
      </w:r>
      <w:r>
        <w:instrText xml:space="preserve"> PAGEREF _Toc13968 \h </w:instrText>
      </w:r>
      <w:r>
        <w:fldChar w:fldCharType="separate"/>
      </w:r>
      <w:r>
        <w:t>6</w:t>
      </w:r>
      <w:r>
        <w:fldChar w:fldCharType="end"/>
      </w:r>
    </w:p>
    <w:p>
      <w:pPr>
        <w:pStyle w:val="21"/>
        <w:tabs>
          <w:tab w:val="clear" w:pos="8296"/>
          <w:tab w:val="right" w:leader="dot" w:pos="8306"/>
        </w:tabs>
      </w:pPr>
      <w:r>
        <w:rPr>
          <w:rFonts w:ascii="仿宋" w:eastAsia="仿宋"/>
          <w:color w:val="000000"/>
          <w:szCs w:val="32"/>
        </w:rPr>
        <w:t>20</w:t>
      </w:r>
      <w:r>
        <w:rPr>
          <w:rFonts w:ascii="仿宋" w:eastAsia="仿宋" w:hint="eastAsia"/>
          <w:color w:val="000000"/>
          <w:szCs w:val="32"/>
        </w:rPr>
        <w:t>21年总收入</w:t>
      </w:r>
      <w:r>
        <w:rPr>
          <w:rFonts w:ascii="仿宋_GB2312" w:eastAsia="仿宋_GB2312" w:hint="eastAsia"/>
          <w:color w:val="000000"/>
          <w:szCs w:val="32"/>
        </w:rPr>
        <w:t>1220.45</w:t>
      </w:r>
      <w:r>
        <w:rPr>
          <w:rFonts w:ascii="仿宋" w:eastAsia="仿宋" w:hint="eastAsia"/>
          <w:color w:val="000000"/>
          <w:szCs w:val="32"/>
        </w:rPr>
        <w:t>万元，其中：一般公共预算财政拨款收入</w:t>
      </w:r>
      <w:r>
        <w:rPr>
          <w:rFonts w:ascii="仿宋_GB2312" w:eastAsia="仿宋_GB2312" w:hint="eastAsia"/>
          <w:color w:val="000000"/>
          <w:szCs w:val="32"/>
        </w:rPr>
        <w:t>1220.45</w:t>
      </w:r>
      <w:r>
        <w:rPr>
          <w:rFonts w:ascii="仿宋" w:eastAsia="仿宋" w:hint="eastAsia"/>
          <w:color w:val="000000"/>
          <w:szCs w:val="32"/>
        </w:rPr>
        <w:t>万元，占100</w:t>
      </w:r>
      <w:r>
        <w:rPr>
          <w:rFonts w:ascii="仿宋" w:eastAsia="仿宋"/>
          <w:color w:val="000000"/>
          <w:szCs w:val="32"/>
        </w:rPr>
        <w:t>%</w:t>
      </w:r>
      <w:r>
        <w:rPr>
          <w:rFonts w:ascii="仿宋" w:eastAsia="仿宋" w:hint="eastAsia"/>
          <w:color w:val="000000"/>
          <w:szCs w:val="32"/>
        </w:rPr>
        <w:t>；政府性基金预算财政拨款收入0万元，占0</w:t>
      </w:r>
      <w:r>
        <w:rPr>
          <w:rFonts w:ascii="仿宋" w:eastAsia="仿宋"/>
          <w:color w:val="000000"/>
          <w:szCs w:val="32"/>
        </w:rPr>
        <w:t>%</w:t>
      </w:r>
      <w:r>
        <w:rPr>
          <w:rFonts w:ascii="仿宋" w:eastAsia="仿宋" w:hint="eastAsia"/>
          <w:color w:val="000000"/>
          <w:szCs w:val="32"/>
        </w:rPr>
        <w:t>；国有资本经营预算财政拨款收入0万元，占0</w:t>
      </w:r>
      <w:r>
        <w:rPr>
          <w:rFonts w:ascii="仿宋" w:eastAsia="仿宋"/>
          <w:color w:val="000000"/>
          <w:szCs w:val="32"/>
        </w:rPr>
        <w:t>%</w:t>
      </w:r>
      <w:r>
        <w:rPr>
          <w:rFonts w:ascii="仿宋" w:eastAsia="仿宋" w:hint="eastAsia"/>
          <w:color w:val="000000"/>
          <w:szCs w:val="32"/>
        </w:rPr>
        <w:t>；事业收入0万元，占0</w:t>
      </w:r>
      <w:r>
        <w:rPr>
          <w:rFonts w:ascii="仿宋" w:eastAsia="仿宋"/>
          <w:color w:val="000000"/>
          <w:szCs w:val="32"/>
        </w:rPr>
        <w:t>%</w:t>
      </w:r>
      <w:r>
        <w:rPr>
          <w:rFonts w:ascii="仿宋" w:eastAsia="仿宋" w:hint="eastAsia"/>
          <w:color w:val="000000"/>
          <w:szCs w:val="32"/>
        </w:rPr>
        <w:t>；经营收入0万元，占0</w:t>
      </w:r>
      <w:r>
        <w:rPr>
          <w:rFonts w:ascii="仿宋" w:eastAsia="仿宋"/>
          <w:color w:val="000000"/>
          <w:szCs w:val="32"/>
        </w:rPr>
        <w:t>%</w:t>
      </w:r>
      <w:r>
        <w:rPr>
          <w:rFonts w:ascii="仿宋" w:eastAsia="仿宋" w:hint="eastAsia"/>
          <w:color w:val="000000"/>
          <w:szCs w:val="32"/>
        </w:rPr>
        <w:t>；附属单位上缴收入0万元，占0</w:t>
      </w:r>
      <w:r>
        <w:rPr>
          <w:rFonts w:ascii="仿宋" w:eastAsia="仿宋"/>
          <w:color w:val="000000"/>
          <w:szCs w:val="32"/>
        </w:rPr>
        <w:t>%</w:t>
      </w:r>
      <w:r>
        <w:rPr>
          <w:rFonts w:ascii="仿宋" w:eastAsia="仿宋" w:hint="eastAsia"/>
          <w:color w:val="000000"/>
          <w:szCs w:val="32"/>
        </w:rPr>
        <w:t>；其他收入0万元，占0% 。</w:t>
      </w:r>
      <w:r>
        <w:tab/>
      </w:r>
      <w:r>
        <w:fldChar w:fldCharType="begin"/>
      </w:r>
      <w:r>
        <w:instrText xml:space="preserve"> PAGEREF _Toc12854 \h </w:instrText>
      </w:r>
      <w:r>
        <w:fldChar w:fldCharType="separate"/>
      </w:r>
      <w:r>
        <w:t>6</w:t>
      </w:r>
      <w:r>
        <w:fldChar w:fldCharType="end"/>
      </w:r>
    </w:p>
    <w:p>
      <w:pPr>
        <w:pStyle w:val="21"/>
        <w:tabs>
          <w:tab w:val="clear" w:pos="8296"/>
          <w:tab w:val="right" w:leader="dot" w:pos="8306"/>
        </w:tabs>
      </w:pPr>
      <w:r>
        <w:rPr>
          <w:rFonts w:ascii="黑体" w:eastAsia="黑体" w:hint="eastAsia"/>
          <w:color w:val="000000"/>
          <w:szCs w:val="32"/>
        </w:rPr>
        <w:t>三、支出决</w:t>
      </w:r>
      <w:r>
        <w:rPr>
          <w:rFonts w:ascii="黑体" w:eastAsia="黑体" w:hint="eastAsia"/>
        </w:rPr>
        <w:t>算情况说明</w:t>
      </w:r>
      <w:r>
        <w:tab/>
      </w:r>
      <w:r>
        <w:fldChar w:fldCharType="begin"/>
      </w:r>
      <w:r>
        <w:instrText xml:space="preserve"> PAGEREF _Toc19125 \h </w:instrText>
      </w:r>
      <w:r>
        <w:fldChar w:fldCharType="separate"/>
      </w:r>
      <w:r>
        <w:t>7</w:t>
      </w:r>
      <w:r>
        <w:fldChar w:fldCharType="end"/>
      </w:r>
    </w:p>
    <w:p>
      <w:pPr>
        <w:pStyle w:val="16"/>
        <w:tabs>
          <w:tab w:val="clear" w:pos="8296"/>
          <w:tab w:val="right" w:leader="dot" w:pos="8306"/>
        </w:tabs>
      </w:pPr>
      <w:r>
        <w:rPr>
          <w:rFonts w:ascii="仿宋" w:eastAsia="仿宋" w:hint="eastAsia"/>
          <w:color w:val="000000"/>
          <w:szCs w:val="32"/>
        </w:rPr>
        <w:t>（一）一般公共预算财政拨款支出决算总体情况</w:t>
      </w:r>
      <w:r>
        <w:tab/>
      </w:r>
      <w:r>
        <w:fldChar w:fldCharType="begin"/>
      </w:r>
      <w:r>
        <w:instrText xml:space="preserve"> PAGEREF _Toc14612 \h </w:instrText>
      </w:r>
      <w:r>
        <w:fldChar w:fldCharType="separate"/>
      </w:r>
      <w:r>
        <w:t>8</w:t>
      </w:r>
      <w:r>
        <w:fldChar w:fldCharType="end"/>
      </w:r>
    </w:p>
    <w:p>
      <w:pPr>
        <w:pStyle w:val="16"/>
        <w:tabs>
          <w:tab w:val="clear" w:pos="8296"/>
          <w:tab w:val="right" w:leader="dot" w:pos="8306"/>
        </w:tabs>
      </w:pPr>
      <w:r>
        <w:rPr>
          <w:rFonts w:ascii="仿宋" w:eastAsia="仿宋" w:hint="eastAsia"/>
          <w:color w:val="000000"/>
          <w:szCs w:val="32"/>
        </w:rPr>
        <w:t>（三）一般公共预算财政拨款支出决算具体情况</w:t>
      </w:r>
      <w:r>
        <w:tab/>
      </w:r>
      <w:r>
        <w:fldChar w:fldCharType="begin"/>
      </w:r>
      <w:r>
        <w:instrText xml:space="preserve"> PAGEREF _Toc18886 \h </w:instrText>
      </w:r>
      <w:r>
        <w:fldChar w:fldCharType="separate"/>
      </w:r>
      <w:r>
        <w:t>9</w:t>
      </w:r>
      <w:r>
        <w:fldChar w:fldCharType="end"/>
      </w:r>
    </w:p>
    <w:p>
      <w:pPr>
        <w:pStyle w:val="16"/>
        <w:tabs>
          <w:tab w:val="clear" w:pos="8296"/>
          <w:tab w:val="right" w:leader="dot" w:pos="8306"/>
        </w:tabs>
      </w:pPr>
      <w:r>
        <w:rPr>
          <w:rFonts w:ascii="仿宋" w:eastAsia="仿宋" w:hint="eastAsia"/>
          <w:bCs/>
          <w:color w:val="000000"/>
          <w:szCs w:val="32"/>
        </w:rPr>
        <w:t>2021年一般公共预算数为1220.45万元，支出决算数为1220.45万元，完成预算100</w:t>
      </w:r>
      <w:r>
        <w:rPr>
          <w:rFonts w:ascii="仿宋" w:eastAsia="仿宋"/>
          <w:bCs/>
          <w:color w:val="000000"/>
          <w:szCs w:val="32"/>
        </w:rPr>
        <w:t>%</w:t>
      </w:r>
      <w:r>
        <w:rPr>
          <w:rFonts w:ascii="仿宋" w:eastAsia="仿宋" w:hint="eastAsia"/>
          <w:bCs/>
          <w:color w:val="000000"/>
          <w:szCs w:val="32"/>
        </w:rPr>
        <w:t>。其中：</w:t>
      </w:r>
      <w:r>
        <w:tab/>
      </w:r>
      <w:r>
        <w:fldChar w:fldCharType="begin"/>
      </w:r>
      <w:r>
        <w:instrText xml:space="preserve"> PAGEREF _Toc26197 \h </w:instrText>
      </w:r>
      <w:r>
        <w:fldChar w:fldCharType="separate"/>
      </w:r>
      <w:r>
        <w:t>9</w:t>
      </w:r>
      <w:r>
        <w:fldChar w:fldCharType="end"/>
      </w:r>
    </w:p>
    <w:p>
      <w:pPr>
        <w:pStyle w:val="21"/>
        <w:tabs>
          <w:tab w:val="clear" w:pos="8296"/>
          <w:tab w:val="right" w:leader="dot" w:pos="8306"/>
        </w:tabs>
      </w:pPr>
      <w:r>
        <w:rPr>
          <w:rFonts w:ascii="仿宋" w:eastAsia="仿宋"/>
          <w:color w:val="000000"/>
          <w:szCs w:val="32"/>
        </w:rPr>
        <w:t>20</w:t>
      </w:r>
      <w:r>
        <w:rPr>
          <w:rFonts w:ascii="仿宋" w:eastAsia="仿宋" w:hint="eastAsia"/>
          <w:color w:val="000000"/>
          <w:szCs w:val="32"/>
        </w:rPr>
        <w:t>21年一般公共预算财政拨款</w:t>
      </w:r>
      <w:r>
        <w:rPr>
          <w:rFonts w:ascii="仿宋_GB2312" w:eastAsia="仿宋_GB2312" w:hint="eastAsia"/>
          <w:color w:val="000000"/>
          <w:szCs w:val="32"/>
        </w:rPr>
        <w:t>项目支出223.21万元，其中：培训费0.29万元、国防支出50万元、其他政府办公厅（室）及相关机构事务支出（公务用车运行费、维修房顶、网络更新、办公运转等）172.92万元。</w:t>
      </w:r>
      <w:r>
        <w:tab/>
      </w:r>
      <w:r>
        <w:fldChar w:fldCharType="begin"/>
      </w:r>
      <w:r>
        <w:instrText xml:space="preserve"> PAGEREF _Toc25223 \h </w:instrText>
      </w:r>
      <w:r>
        <w:fldChar w:fldCharType="separate"/>
      </w:r>
      <w:r>
        <w:t>11</w:t>
      </w:r>
      <w:r>
        <w:fldChar w:fldCharType="end"/>
      </w:r>
    </w:p>
    <w:p>
      <w:pPr>
        <w:pStyle w:val="21"/>
        <w:tabs>
          <w:tab w:val="clear" w:pos="8296"/>
          <w:tab w:val="right" w:leader="dot" w:pos="8306"/>
        </w:tabs>
      </w:pPr>
      <w:r>
        <w:rPr>
          <w:rFonts w:ascii="黑体" w:eastAsia="黑体" w:hint="eastAsia"/>
          <w:color w:val="000000"/>
          <w:szCs w:val="32"/>
        </w:rPr>
        <w:t>七、</w:t>
      </w:r>
      <w:r>
        <w:rPr>
          <w:rFonts w:ascii="黑体" w:eastAsia="黑体" w:hint="eastAsia"/>
        </w:rPr>
        <w:t>“三公”经费财政拨款支出决算情况说明</w:t>
      </w:r>
      <w:r>
        <w:tab/>
      </w:r>
      <w:r>
        <w:fldChar w:fldCharType="begin"/>
      </w:r>
      <w:r>
        <w:instrText xml:space="preserve"> PAGEREF _Toc7366 \h </w:instrText>
      </w:r>
      <w:r>
        <w:fldChar w:fldCharType="separate"/>
      </w:r>
      <w:r>
        <w:t>11</w:t>
      </w:r>
      <w:r>
        <w:fldChar w:fldCharType="end"/>
      </w:r>
    </w:p>
    <w:p>
      <w:pPr>
        <w:pStyle w:val="16"/>
        <w:tabs>
          <w:tab w:val="clear" w:pos="8296"/>
          <w:tab w:val="right" w:leader="dot" w:pos="8306"/>
        </w:tabs>
      </w:pPr>
      <w:r>
        <w:rPr>
          <w:rFonts w:ascii="仿宋" w:eastAsia="仿宋" w:hint="eastAsia"/>
          <w:color w:val="000000"/>
          <w:szCs w:val="32"/>
        </w:rPr>
        <w:t>（一）“三公”经费财政拨款支出决算总体情况说明</w:t>
      </w:r>
      <w:r>
        <w:tab/>
      </w:r>
      <w:r>
        <w:fldChar w:fldCharType="begin"/>
      </w:r>
      <w:r>
        <w:instrText xml:space="preserve"> PAGEREF _Toc13370 \h </w:instrText>
      </w:r>
      <w:r>
        <w:fldChar w:fldCharType="separate"/>
      </w:r>
      <w:r>
        <w:t>11</w:t>
      </w:r>
      <w:r>
        <w:fldChar w:fldCharType="end"/>
      </w:r>
    </w:p>
    <w:p>
      <w:pPr>
        <w:pStyle w:val="16"/>
        <w:tabs>
          <w:tab w:val="clear" w:pos="8296"/>
          <w:tab w:val="right" w:leader="dot" w:pos="8306"/>
        </w:tabs>
      </w:pPr>
      <w:r>
        <w:rPr>
          <w:rFonts w:ascii="仿宋" w:eastAsia="仿宋" w:hint="eastAsia"/>
          <w:color w:val="000000"/>
          <w:szCs w:val="32"/>
        </w:rPr>
        <w:t>（二）“三公”经费财政拨款支出决算具体情况说明</w:t>
      </w:r>
      <w:r>
        <w:tab/>
      </w:r>
      <w:r>
        <w:fldChar w:fldCharType="begin"/>
      </w:r>
      <w:r>
        <w:instrText xml:space="preserve"> PAGEREF _Toc25402 \h </w:instrText>
      </w:r>
      <w:r>
        <w:fldChar w:fldCharType="separate"/>
      </w:r>
      <w:r>
        <w:t>11</w:t>
      </w:r>
      <w:r>
        <w:fldChar w:fldCharType="end"/>
      </w:r>
    </w:p>
    <w:p>
      <w:pPr>
        <w:pStyle w:val="21"/>
        <w:tabs>
          <w:tab w:val="clear" w:pos="8296"/>
          <w:tab w:val="right" w:leader="dot" w:pos="8306"/>
        </w:tabs>
      </w:pPr>
      <w:r>
        <w:rPr>
          <w:rFonts w:ascii="黑体" w:eastAsia="黑体" w:hint="eastAsia"/>
          <w:color w:val="000000"/>
          <w:szCs w:val="32"/>
        </w:rPr>
        <w:t>八、</w:t>
      </w:r>
      <w:r>
        <w:rPr>
          <w:rFonts w:ascii="黑体" w:eastAsia="黑体" w:hint="eastAsia"/>
        </w:rPr>
        <w:t>政府性基金预算支出决算情况说明</w:t>
      </w:r>
      <w:r>
        <w:tab/>
      </w:r>
      <w:r>
        <w:fldChar w:fldCharType="begin"/>
      </w:r>
      <w:r>
        <w:instrText xml:space="preserve"> PAGEREF _Toc24150 \h </w:instrText>
      </w:r>
      <w:r>
        <w:fldChar w:fldCharType="separate"/>
      </w:r>
      <w:r>
        <w:t>12</w:t>
      </w:r>
      <w:r>
        <w:fldChar w:fldCharType="end"/>
      </w:r>
    </w:p>
    <w:p>
      <w:pPr>
        <w:pStyle w:val="21"/>
        <w:tabs>
          <w:tab w:val="clear" w:pos="8296"/>
          <w:tab w:val="right" w:leader="dot" w:pos="8306"/>
        </w:tabs>
      </w:pPr>
      <w:r>
        <w:rPr>
          <w:rFonts w:ascii="黑体" w:eastAsia="黑体" w:hint="eastAsia"/>
        </w:rPr>
        <w:t>九、 国有资本经营预算支出决算情况说明</w:t>
      </w:r>
      <w:r>
        <w:tab/>
      </w:r>
      <w:r>
        <w:fldChar w:fldCharType="begin"/>
      </w:r>
      <w:r>
        <w:instrText xml:space="preserve"> PAGEREF _Toc23584 \h </w:instrText>
      </w:r>
      <w:r>
        <w:fldChar w:fldCharType="separate"/>
      </w:r>
      <w:r>
        <w:t>12</w:t>
      </w:r>
      <w:r>
        <w:fldChar w:fldCharType="end"/>
      </w:r>
    </w:p>
    <w:p>
      <w:pPr>
        <w:pStyle w:val="21"/>
        <w:tabs>
          <w:tab w:val="clear" w:pos="8296"/>
          <w:tab w:val="right" w:leader="dot" w:pos="8306"/>
        </w:tabs>
      </w:pPr>
      <w:r>
        <w:rPr>
          <w:rFonts w:ascii="黑体" w:eastAsia="黑体" w:hint="eastAsia"/>
          <w:color w:val="000000"/>
          <w:szCs w:val="32"/>
        </w:rPr>
        <w:t>十</w:t>
      </w:r>
      <w:r>
        <w:rPr>
          <w:rFonts w:ascii="黑体" w:eastAsia="黑体" w:hint="eastAsia"/>
        </w:rPr>
        <w:t>、其他重要事项的情况说明</w:t>
      </w:r>
      <w:r>
        <w:tab/>
      </w:r>
      <w:r>
        <w:fldChar w:fldCharType="begin"/>
      </w:r>
      <w:r>
        <w:instrText xml:space="preserve"> PAGEREF _Toc16148 \h </w:instrText>
      </w:r>
      <w:r>
        <w:fldChar w:fldCharType="separate"/>
      </w:r>
      <w:r>
        <w:t>12</w:t>
      </w:r>
      <w:r>
        <w:fldChar w:fldCharType="end"/>
      </w:r>
    </w:p>
    <w:p>
      <w:pPr>
        <w:pStyle w:val="16"/>
        <w:tabs>
          <w:tab w:val="clear" w:pos="8296"/>
          <w:tab w:val="right" w:leader="dot" w:pos="8306"/>
        </w:tabs>
      </w:pPr>
      <w:r>
        <w:rPr>
          <w:rFonts w:ascii="仿宋" w:eastAsia="仿宋" w:hint="eastAsia"/>
          <w:color w:val="000000"/>
          <w:szCs w:val="32"/>
        </w:rPr>
        <w:t>（一）机关运行经费支出情况</w:t>
      </w:r>
      <w:r>
        <w:tab/>
      </w:r>
      <w:r>
        <w:fldChar w:fldCharType="begin"/>
      </w:r>
      <w:r>
        <w:instrText xml:space="preserve"> PAGEREF _Toc17452 \h </w:instrText>
      </w:r>
      <w:r>
        <w:fldChar w:fldCharType="separate"/>
      </w:r>
      <w:r>
        <w:t>12</w:t>
      </w:r>
      <w:r>
        <w:fldChar w:fldCharType="end"/>
      </w:r>
    </w:p>
    <w:p>
      <w:pPr>
        <w:pStyle w:val="16"/>
        <w:tabs>
          <w:tab w:val="clear" w:pos="8296"/>
          <w:tab w:val="right" w:leader="dot" w:pos="8306"/>
        </w:tabs>
      </w:pPr>
      <w:r>
        <w:rPr>
          <w:rFonts w:ascii="仿宋" w:eastAsia="仿宋" w:hint="eastAsia"/>
          <w:color w:val="000000"/>
          <w:szCs w:val="32"/>
        </w:rPr>
        <w:t>（二）政府采购支出情况</w:t>
      </w:r>
      <w:r>
        <w:tab/>
      </w:r>
      <w:r>
        <w:fldChar w:fldCharType="begin"/>
      </w:r>
      <w:r>
        <w:instrText xml:space="preserve"> PAGEREF _Toc8760 \h </w:instrText>
      </w:r>
      <w:r>
        <w:fldChar w:fldCharType="separate"/>
      </w:r>
      <w:r>
        <w:t>12</w:t>
      </w:r>
      <w:r>
        <w:fldChar w:fldCharType="end"/>
      </w:r>
    </w:p>
    <w:p>
      <w:pPr>
        <w:pStyle w:val="16"/>
        <w:tabs>
          <w:tab w:val="clear" w:pos="8296"/>
          <w:tab w:val="right" w:leader="dot" w:pos="8306"/>
        </w:tabs>
      </w:pPr>
      <w:r>
        <w:rPr>
          <w:rFonts w:ascii="仿宋" w:eastAsia="仿宋" w:hint="eastAsia"/>
          <w:color w:val="000000"/>
          <w:szCs w:val="32"/>
        </w:rPr>
        <w:t>（三）国有资产占有使用情况</w:t>
      </w:r>
      <w:r>
        <w:tab/>
      </w:r>
      <w:r>
        <w:fldChar w:fldCharType="begin"/>
      </w:r>
      <w:r>
        <w:instrText xml:space="preserve"> PAGEREF _Toc6794 \h </w:instrText>
      </w:r>
      <w:r>
        <w:fldChar w:fldCharType="separate"/>
      </w:r>
      <w:r>
        <w:t>13</w:t>
      </w:r>
      <w:r>
        <w:fldChar w:fldCharType="end"/>
      </w:r>
    </w:p>
    <w:p>
      <w:pPr>
        <w:pStyle w:val="16"/>
        <w:tabs>
          <w:tab w:val="clear" w:pos="8296"/>
          <w:tab w:val="right" w:leader="dot" w:pos="8306"/>
        </w:tabs>
      </w:pPr>
      <w:r>
        <w:rPr>
          <w:rFonts w:ascii="仿宋" w:eastAsia="仿宋" w:hint="eastAsia"/>
          <w:color w:val="000000"/>
          <w:szCs w:val="32"/>
        </w:rPr>
        <w:t>（四）预算绩效管理情况。</w:t>
      </w:r>
      <w:r>
        <w:tab/>
      </w:r>
      <w:r>
        <w:fldChar w:fldCharType="begin"/>
      </w:r>
      <w:r>
        <w:instrText xml:space="preserve"> PAGEREF _Toc10982 \h </w:instrText>
      </w:r>
      <w:r>
        <w:fldChar w:fldCharType="separate"/>
      </w:r>
      <w:r>
        <w:t>13</w:t>
      </w:r>
      <w:r>
        <w:fldChar w:fldCharType="end"/>
      </w:r>
    </w:p>
    <w:p>
      <w:pPr>
        <w:pStyle w:val="20"/>
        <w:tabs>
          <w:tab w:val="clear" w:pos="8296"/>
          <w:tab w:val="right" w:leader="dot" w:pos="8306"/>
        </w:tabs>
      </w:pPr>
      <w:r>
        <w:rPr>
          <w:rFonts w:ascii="黑体" w:eastAsia="黑体" w:hint="eastAsia"/>
        </w:rPr>
        <w:t xml:space="preserve">第三部分 </w:t>
      </w:r>
      <w:r>
        <w:rPr>
          <w:rFonts w:ascii="黑体" w:eastAsia="黑体" w:hint="eastAsia"/>
          <w:color w:val="000000"/>
          <w:szCs w:val="44"/>
        </w:rPr>
        <w:t>名</w:t>
      </w:r>
      <w:r>
        <w:rPr>
          <w:rFonts w:ascii="黑体" w:eastAsia="黑体" w:hint="eastAsia"/>
        </w:rPr>
        <w:t>词解释</w:t>
      </w:r>
      <w:r>
        <w:tab/>
      </w:r>
      <w:r>
        <w:fldChar w:fldCharType="begin"/>
      </w:r>
      <w:r>
        <w:instrText xml:space="preserve"> PAGEREF _Toc15307 \h </w:instrText>
      </w:r>
      <w:r>
        <w:fldChar w:fldCharType="separate"/>
      </w:r>
      <w:r>
        <w:t>16</w:t>
      </w:r>
      <w:r>
        <w:fldChar w:fldCharType="end"/>
      </w:r>
    </w:p>
    <w:p>
      <w:pPr>
        <w:pStyle w:val="21"/>
        <w:tabs>
          <w:tab w:val="clear" w:pos="8296"/>
          <w:tab w:val="right" w:leader="dot" w:pos="8306"/>
        </w:tabs>
      </w:pPr>
      <w:r>
        <w:rPr>
          <w:rFonts w:ascii="仿宋" w:eastAsia="仿宋" w:hint="eastAsia"/>
          <w:bCs w:val="0"/>
          <w:szCs w:val="32"/>
        </w:rPr>
        <w:t>附件1</w:t>
      </w:r>
      <w:r>
        <w:tab/>
      </w:r>
      <w:r>
        <w:fldChar w:fldCharType="begin"/>
      </w:r>
      <w:r>
        <w:instrText xml:space="preserve"> PAGEREF _Toc31077 \h </w:instrText>
      </w:r>
      <w:r>
        <w:fldChar w:fldCharType="separate"/>
      </w:r>
      <w:r>
        <w:t>18</w:t>
      </w:r>
      <w:r>
        <w:fldChar w:fldCharType="end"/>
      </w:r>
    </w:p>
    <w:p>
      <w:pPr>
        <w:pStyle w:val="20"/>
        <w:tabs>
          <w:tab w:val="clear" w:pos="8296"/>
          <w:tab w:val="right" w:leader="dot" w:pos="8306"/>
        </w:tabs>
      </w:pPr>
      <w:r>
        <w:rPr>
          <w:rFonts w:ascii="黑体" w:eastAsia="黑体" w:hint="eastAsia"/>
        </w:rPr>
        <w:t>第四部分 附件</w:t>
      </w:r>
      <w:r>
        <w:tab/>
      </w:r>
      <w:r>
        <w:fldChar w:fldCharType="begin"/>
      </w:r>
      <w:r>
        <w:instrText xml:space="preserve"> PAGEREF _Toc3373 \h </w:instrText>
      </w:r>
      <w:r>
        <w:fldChar w:fldCharType="separate"/>
      </w:r>
      <w:r>
        <w:t>18</w:t>
      </w:r>
      <w:r>
        <w:fldChar w:fldCharType="end"/>
      </w:r>
    </w:p>
    <w:p>
      <w:pPr>
        <w:pStyle w:val="20"/>
        <w:tabs>
          <w:tab w:val="clear" w:pos="8296"/>
          <w:tab w:val="right" w:leader="dot" w:pos="8306"/>
        </w:tabs>
      </w:pPr>
      <w:r>
        <w:rPr>
          <w:rFonts w:ascii="方正小标宋简体" w:eastAsia="方正小标宋简体" w:hint="eastAsia"/>
          <w:color w:val="000000"/>
          <w:szCs w:val="44"/>
        </w:rPr>
        <w:t>第</w:t>
      </w:r>
      <w:r>
        <w:rPr>
          <w:rFonts w:ascii="方正小标宋简体" w:eastAsia="方正小标宋简体" w:hint="eastAsia"/>
        </w:rPr>
        <w:t>五部分 附表</w:t>
      </w:r>
      <w:r>
        <w:tab/>
      </w:r>
      <w:r>
        <w:fldChar w:fldCharType="begin"/>
      </w:r>
      <w:r>
        <w:instrText xml:space="preserve"> PAGEREF _Toc21441 \h </w:instrText>
      </w:r>
      <w:r>
        <w:fldChar w:fldCharType="separate"/>
      </w:r>
      <w:r>
        <w:t>24</w:t>
      </w:r>
      <w:r>
        <w:fldChar w:fldCharType="end"/>
      </w:r>
    </w:p>
    <w:p>
      <w:pPr>
        <w:pStyle w:val="21"/>
        <w:tabs>
          <w:tab w:val="clear" w:pos="8296"/>
          <w:tab w:val="right" w:leader="dot" w:pos="8306"/>
        </w:tabs>
      </w:pPr>
      <w:r>
        <w:rPr>
          <w:rFonts w:ascii="仿宋" w:eastAsia="仿宋" w:hint="eastAsia"/>
          <w:color w:val="000000"/>
        </w:rPr>
        <w:t>一、收</w:t>
      </w:r>
      <w:r>
        <w:rPr>
          <w:rFonts w:ascii="仿宋" w:eastAsia="仿宋" w:hint="eastAsia"/>
          <w:bCs/>
        </w:rPr>
        <w:t>入支出决算总表</w:t>
      </w:r>
      <w:r>
        <w:tab/>
      </w:r>
      <w:r>
        <w:fldChar w:fldCharType="begin"/>
      </w:r>
      <w:r>
        <w:instrText xml:space="preserve"> PAGEREF _Toc811 \h </w:instrText>
      </w:r>
      <w:r>
        <w:fldChar w:fldCharType="separate"/>
      </w:r>
      <w:r>
        <w:t>24</w:t>
      </w:r>
      <w:r>
        <w:fldChar w:fldCharType="end"/>
      </w:r>
    </w:p>
    <w:p>
      <w:pPr>
        <w:pStyle w:val="21"/>
        <w:tabs>
          <w:tab w:val="clear" w:pos="8296"/>
          <w:tab w:val="right" w:leader="dot" w:pos="8306"/>
        </w:tabs>
      </w:pPr>
      <w:r>
        <w:rPr>
          <w:rFonts w:ascii="仿宋" w:eastAsia="仿宋" w:hint="eastAsia"/>
          <w:color w:val="000000"/>
        </w:rPr>
        <w:t>二、收</w:t>
      </w:r>
      <w:r>
        <w:rPr>
          <w:rFonts w:ascii="仿宋" w:eastAsia="仿宋" w:hint="eastAsia"/>
          <w:bCs/>
        </w:rPr>
        <w:t>入决算表</w:t>
      </w:r>
      <w:r>
        <w:tab/>
      </w:r>
      <w:r>
        <w:fldChar w:fldCharType="begin"/>
      </w:r>
      <w:r>
        <w:instrText xml:space="preserve"> PAGEREF _Toc4264 \h </w:instrText>
      </w:r>
      <w:r>
        <w:fldChar w:fldCharType="separate"/>
      </w:r>
      <w:r>
        <w:t>24</w:t>
      </w:r>
      <w:r>
        <w:fldChar w:fldCharType="end"/>
      </w:r>
    </w:p>
    <w:p>
      <w:pPr>
        <w:pStyle w:val="21"/>
        <w:tabs>
          <w:tab w:val="clear" w:pos="8296"/>
          <w:tab w:val="right" w:leader="dot" w:pos="8306"/>
        </w:tabs>
      </w:pPr>
      <w:r>
        <w:rPr>
          <w:rFonts w:ascii="仿宋" w:eastAsia="仿宋" w:hint="eastAsia"/>
          <w:bCs/>
        </w:rPr>
        <w:t>三、</w:t>
      </w:r>
      <w:r>
        <w:rPr>
          <w:rFonts w:ascii="仿宋" w:eastAsia="仿宋" w:hint="eastAsia"/>
          <w:color w:val="000000"/>
        </w:rPr>
        <w:t>支</w:t>
      </w:r>
      <w:r>
        <w:rPr>
          <w:rFonts w:ascii="仿宋" w:eastAsia="仿宋" w:hint="eastAsia"/>
          <w:bCs/>
        </w:rPr>
        <w:t>出决算表</w:t>
      </w:r>
      <w:r>
        <w:tab/>
      </w:r>
      <w:r>
        <w:fldChar w:fldCharType="begin"/>
      </w:r>
      <w:r>
        <w:instrText xml:space="preserve"> PAGEREF _Toc25973 \h </w:instrText>
      </w:r>
      <w:r>
        <w:fldChar w:fldCharType="separate"/>
      </w:r>
      <w:r>
        <w:t>24</w:t>
      </w:r>
      <w:r>
        <w:fldChar w:fldCharType="end"/>
      </w:r>
    </w:p>
    <w:p>
      <w:pPr>
        <w:pStyle w:val="21"/>
        <w:tabs>
          <w:tab w:val="clear" w:pos="8296"/>
          <w:tab w:val="right" w:leader="dot" w:pos="8306"/>
        </w:tabs>
      </w:pPr>
      <w:r>
        <w:rPr>
          <w:rFonts w:ascii="仿宋" w:eastAsia="仿宋" w:hint="eastAsia"/>
          <w:bCs/>
        </w:rPr>
        <w:t>四、</w:t>
      </w:r>
      <w:r>
        <w:rPr>
          <w:rFonts w:ascii="仿宋" w:eastAsia="仿宋" w:hint="eastAsia"/>
          <w:color w:val="000000"/>
        </w:rPr>
        <w:t>财</w:t>
      </w:r>
      <w:r>
        <w:rPr>
          <w:rFonts w:ascii="仿宋" w:eastAsia="仿宋" w:hint="eastAsia"/>
          <w:bCs/>
        </w:rPr>
        <w:t>政拨款收入支出决算总表</w:t>
      </w:r>
      <w:r>
        <w:tab/>
      </w:r>
      <w:r>
        <w:fldChar w:fldCharType="begin"/>
      </w:r>
      <w:r>
        <w:instrText xml:space="preserve"> PAGEREF _Toc15857 \h </w:instrText>
      </w:r>
      <w:r>
        <w:fldChar w:fldCharType="separate"/>
      </w:r>
      <w:r>
        <w:t>24</w:t>
      </w:r>
      <w:r>
        <w:fldChar w:fldCharType="end"/>
      </w:r>
    </w:p>
    <w:p>
      <w:pPr>
        <w:pStyle w:val="21"/>
        <w:tabs>
          <w:tab w:val="clear" w:pos="8296"/>
          <w:tab w:val="right" w:leader="dot" w:pos="8306"/>
        </w:tabs>
      </w:pPr>
      <w:r>
        <w:rPr>
          <w:rFonts w:ascii="仿宋" w:eastAsia="仿宋" w:hint="eastAsia"/>
          <w:bCs/>
        </w:rPr>
        <w:t>五、</w:t>
      </w:r>
      <w:r>
        <w:rPr>
          <w:rFonts w:ascii="仿宋" w:eastAsia="仿宋" w:hint="eastAsia"/>
          <w:color w:val="000000"/>
        </w:rPr>
        <w:t>财</w:t>
      </w:r>
      <w:r>
        <w:rPr>
          <w:rFonts w:ascii="仿宋" w:eastAsia="仿宋" w:hint="eastAsia"/>
          <w:bCs/>
        </w:rPr>
        <w:t>政拨款支出决算明细表</w:t>
      </w:r>
      <w:r>
        <w:tab/>
      </w:r>
      <w:r>
        <w:fldChar w:fldCharType="begin"/>
      </w:r>
      <w:r>
        <w:instrText xml:space="preserve"> PAGEREF _Toc962 \h </w:instrText>
      </w:r>
      <w:r>
        <w:fldChar w:fldCharType="separate"/>
      </w:r>
      <w:r>
        <w:t>24</w:t>
      </w:r>
      <w:r>
        <w:fldChar w:fldCharType="end"/>
      </w:r>
    </w:p>
    <w:p>
      <w:pPr>
        <w:pStyle w:val="21"/>
        <w:tabs>
          <w:tab w:val="clear" w:pos="8296"/>
          <w:tab w:val="right" w:leader="dot" w:pos="8306"/>
        </w:tabs>
      </w:pPr>
      <w:r>
        <w:rPr>
          <w:rFonts w:ascii="仿宋" w:eastAsia="仿宋" w:hint="eastAsia"/>
          <w:bCs/>
        </w:rPr>
        <w:t>六、</w:t>
      </w:r>
      <w:r>
        <w:rPr>
          <w:rFonts w:ascii="仿宋" w:eastAsia="仿宋" w:hint="eastAsia"/>
          <w:color w:val="000000"/>
        </w:rPr>
        <w:t>一</w:t>
      </w:r>
      <w:r>
        <w:rPr>
          <w:rFonts w:ascii="仿宋" w:eastAsia="仿宋" w:hint="eastAsia"/>
          <w:bCs/>
        </w:rPr>
        <w:t>般公共预算财政拨款支出决算表</w:t>
      </w:r>
      <w:r>
        <w:tab/>
      </w:r>
      <w:r>
        <w:fldChar w:fldCharType="begin"/>
      </w:r>
      <w:r>
        <w:instrText xml:space="preserve"> PAGEREF _Toc2229 \h </w:instrText>
      </w:r>
      <w:r>
        <w:fldChar w:fldCharType="separate"/>
      </w:r>
      <w:r>
        <w:t>24</w:t>
      </w:r>
      <w:r>
        <w:fldChar w:fldCharType="end"/>
      </w:r>
    </w:p>
    <w:p>
      <w:pPr>
        <w:pStyle w:val="21"/>
        <w:tabs>
          <w:tab w:val="clear" w:pos="8296"/>
          <w:tab w:val="right" w:leader="dot" w:pos="8306"/>
        </w:tabs>
      </w:pPr>
      <w:r>
        <w:rPr>
          <w:rFonts w:ascii="仿宋" w:eastAsia="仿宋" w:hint="eastAsia"/>
          <w:bCs/>
        </w:rPr>
        <w:t>七、</w:t>
      </w:r>
      <w:r>
        <w:rPr>
          <w:rFonts w:ascii="仿宋" w:eastAsia="仿宋" w:hint="eastAsia"/>
          <w:color w:val="000000"/>
        </w:rPr>
        <w:t>一</w:t>
      </w:r>
      <w:r>
        <w:rPr>
          <w:rFonts w:ascii="仿宋" w:eastAsia="仿宋" w:hint="eastAsia"/>
          <w:bCs/>
        </w:rPr>
        <w:t>般公共预算财政拨款支出决算明细表</w:t>
      </w:r>
      <w:r>
        <w:tab/>
      </w:r>
      <w:r>
        <w:fldChar w:fldCharType="begin"/>
      </w:r>
      <w:r>
        <w:instrText xml:space="preserve"> PAGEREF _Toc27160 \h </w:instrText>
      </w:r>
      <w:r>
        <w:fldChar w:fldCharType="separate"/>
      </w:r>
      <w:r>
        <w:t>24</w:t>
      </w:r>
      <w:r>
        <w:fldChar w:fldCharType="end"/>
      </w:r>
    </w:p>
    <w:p>
      <w:pPr>
        <w:pStyle w:val="21"/>
        <w:tabs>
          <w:tab w:val="clear" w:pos="8296"/>
          <w:tab w:val="right" w:leader="dot" w:pos="8306"/>
        </w:tabs>
      </w:pPr>
      <w:r>
        <w:rPr>
          <w:rFonts w:ascii="仿宋" w:eastAsia="仿宋" w:hint="eastAsia"/>
          <w:bCs/>
        </w:rPr>
        <w:t>八、</w:t>
      </w:r>
      <w:r>
        <w:rPr>
          <w:rFonts w:ascii="仿宋" w:eastAsia="仿宋" w:hint="eastAsia"/>
          <w:color w:val="000000"/>
        </w:rPr>
        <w:t>一</w:t>
      </w:r>
      <w:r>
        <w:rPr>
          <w:rFonts w:ascii="仿宋" w:eastAsia="仿宋" w:hint="eastAsia"/>
          <w:bCs/>
        </w:rPr>
        <w:t>般公共预算财政拨款基本支出决算表</w:t>
      </w:r>
      <w:r>
        <w:tab/>
      </w:r>
      <w:r>
        <w:fldChar w:fldCharType="begin"/>
      </w:r>
      <w:r>
        <w:instrText xml:space="preserve"> PAGEREF _Toc23271 \h </w:instrText>
      </w:r>
      <w:r>
        <w:fldChar w:fldCharType="separate"/>
      </w:r>
      <w:r>
        <w:t>24</w:t>
      </w:r>
      <w:r>
        <w:fldChar w:fldCharType="end"/>
      </w:r>
    </w:p>
    <w:p>
      <w:pPr>
        <w:pStyle w:val="21"/>
        <w:tabs>
          <w:tab w:val="clear" w:pos="8296"/>
          <w:tab w:val="right" w:leader="dot" w:pos="8306"/>
        </w:tabs>
      </w:pPr>
      <w:r>
        <w:rPr>
          <w:rFonts w:ascii="仿宋" w:eastAsia="仿宋" w:hint="eastAsia"/>
          <w:bCs/>
        </w:rPr>
        <w:t>九、</w:t>
      </w:r>
      <w:r>
        <w:rPr>
          <w:rFonts w:ascii="仿宋" w:eastAsia="仿宋" w:hint="eastAsia"/>
          <w:color w:val="000000"/>
        </w:rPr>
        <w:t>一</w:t>
      </w:r>
      <w:r>
        <w:rPr>
          <w:rFonts w:ascii="仿宋" w:eastAsia="仿宋" w:hint="eastAsia"/>
          <w:bCs/>
        </w:rPr>
        <w:t>般公共预算财政拨款项目支出决算表</w:t>
      </w:r>
      <w:r>
        <w:tab/>
      </w:r>
      <w:r>
        <w:fldChar w:fldCharType="begin"/>
      </w:r>
      <w:r>
        <w:instrText xml:space="preserve"> PAGEREF _Toc22660 \h </w:instrText>
      </w:r>
      <w:r>
        <w:fldChar w:fldCharType="separate"/>
      </w:r>
      <w:r>
        <w:t>24</w:t>
      </w:r>
      <w:r>
        <w:fldChar w:fldCharType="end"/>
      </w:r>
    </w:p>
    <w:p>
      <w:pPr>
        <w:pStyle w:val="21"/>
        <w:tabs>
          <w:tab w:val="clear" w:pos="8296"/>
          <w:tab w:val="right" w:leader="dot" w:pos="8306"/>
        </w:tabs>
      </w:pPr>
      <w:r>
        <w:rPr>
          <w:rFonts w:ascii="仿宋" w:eastAsia="仿宋" w:hint="eastAsia"/>
          <w:bCs/>
        </w:rPr>
        <w:t>十、</w:t>
      </w:r>
      <w:r>
        <w:rPr>
          <w:rFonts w:ascii="仿宋" w:eastAsia="仿宋" w:hint="eastAsia"/>
          <w:color w:val="000000"/>
        </w:rPr>
        <w:t>一</w:t>
      </w:r>
      <w:r>
        <w:rPr>
          <w:rFonts w:ascii="仿宋" w:eastAsia="仿宋" w:hint="eastAsia"/>
          <w:bCs/>
        </w:rPr>
        <w:t>般公共预算财政拨款“三公”经费支出决算表</w:t>
      </w:r>
      <w:r>
        <w:tab/>
      </w:r>
      <w:r>
        <w:fldChar w:fldCharType="begin"/>
      </w:r>
      <w:r>
        <w:instrText xml:space="preserve"> PAGEREF _Toc702 \h </w:instrText>
      </w:r>
      <w:r>
        <w:fldChar w:fldCharType="separate"/>
      </w:r>
      <w:r>
        <w:t>24</w:t>
      </w:r>
      <w:r>
        <w:fldChar w:fldCharType="end"/>
      </w:r>
    </w:p>
    <w:p>
      <w:pPr>
        <w:pStyle w:val="21"/>
        <w:tabs>
          <w:tab w:val="clear" w:pos="8296"/>
          <w:tab w:val="right" w:leader="dot" w:pos="8306"/>
        </w:tabs>
      </w:pPr>
      <w:r>
        <w:rPr>
          <w:rFonts w:ascii="仿宋" w:eastAsia="仿宋" w:hint="eastAsia"/>
          <w:bCs/>
        </w:rPr>
        <w:t>十一、</w:t>
      </w:r>
      <w:r>
        <w:rPr>
          <w:rFonts w:ascii="仿宋" w:eastAsia="仿宋" w:hint="eastAsia"/>
          <w:color w:val="000000"/>
        </w:rPr>
        <w:t>政</w:t>
      </w:r>
      <w:r>
        <w:rPr>
          <w:rFonts w:ascii="仿宋" w:eastAsia="仿宋" w:hint="eastAsia"/>
          <w:bCs/>
        </w:rPr>
        <w:t>府性基金预算财政拨款收入支出决算表</w:t>
      </w:r>
      <w:r>
        <w:tab/>
      </w:r>
      <w:r>
        <w:fldChar w:fldCharType="begin"/>
      </w:r>
      <w:r>
        <w:instrText xml:space="preserve"> PAGEREF _Toc8532 \h </w:instrText>
      </w:r>
      <w:r>
        <w:fldChar w:fldCharType="separate"/>
      </w:r>
      <w:r>
        <w:t>24</w:t>
      </w:r>
      <w:r>
        <w:fldChar w:fldCharType="end"/>
      </w:r>
    </w:p>
    <w:p>
      <w:pPr>
        <w:pStyle w:val="21"/>
        <w:tabs>
          <w:tab w:val="clear" w:pos="8296"/>
          <w:tab w:val="right" w:leader="dot" w:pos="8306"/>
        </w:tabs>
      </w:pPr>
      <w:r>
        <w:rPr>
          <w:rFonts w:ascii="仿宋" w:eastAsia="仿宋" w:hint="eastAsia"/>
          <w:bCs/>
        </w:rPr>
        <w:t>十二、</w:t>
      </w:r>
      <w:r>
        <w:rPr>
          <w:rFonts w:ascii="仿宋" w:eastAsia="仿宋" w:hint="eastAsia"/>
          <w:color w:val="000000"/>
        </w:rPr>
        <w:t>政</w:t>
      </w:r>
      <w:r>
        <w:rPr>
          <w:rFonts w:ascii="仿宋" w:eastAsia="仿宋" w:hint="eastAsia"/>
          <w:bCs/>
        </w:rPr>
        <w:t>府性基金预算财政拨款“三公”经费支出决算表</w:t>
      </w:r>
      <w:r>
        <w:tab/>
      </w:r>
      <w:r>
        <w:fldChar w:fldCharType="begin"/>
      </w:r>
      <w:r>
        <w:instrText xml:space="preserve"> PAGEREF _Toc6775 \h </w:instrText>
      </w:r>
      <w:r>
        <w:fldChar w:fldCharType="separate"/>
      </w:r>
      <w:r>
        <w:t>24</w:t>
      </w:r>
      <w:r>
        <w:fldChar w:fldCharType="end"/>
      </w:r>
    </w:p>
    <w:p>
      <w:pPr>
        <w:pStyle w:val="21"/>
        <w:tabs>
          <w:tab w:val="clear" w:pos="8296"/>
          <w:tab w:val="right" w:leader="dot" w:pos="8306"/>
        </w:tabs>
      </w:pPr>
      <w:r>
        <w:rPr>
          <w:rFonts w:ascii="仿宋" w:eastAsia="仿宋" w:hint="eastAsia"/>
          <w:bCs/>
        </w:rPr>
        <w:t>十三、</w:t>
      </w:r>
      <w:r>
        <w:rPr>
          <w:rFonts w:ascii="仿宋" w:eastAsia="仿宋" w:hint="eastAsia"/>
          <w:color w:val="000000"/>
        </w:rPr>
        <w:t>国</w:t>
      </w:r>
      <w:r>
        <w:rPr>
          <w:rFonts w:ascii="仿宋" w:eastAsia="仿宋" w:hint="eastAsia"/>
          <w:bCs/>
        </w:rPr>
        <w:t>有资本经营预算财政拨款支出决算表</w:t>
      </w:r>
      <w:r>
        <w:tab/>
      </w:r>
      <w:r>
        <w:fldChar w:fldCharType="begin"/>
      </w:r>
      <w:r>
        <w:instrText xml:space="preserve"> PAGEREF _Toc27212 \h </w:instrText>
      </w:r>
      <w:r>
        <w:fldChar w:fldCharType="separate"/>
      </w:r>
      <w:r>
        <w:t>24</w:t>
      </w:r>
      <w:r>
        <w:fldChar w:fldCharType="end"/>
      </w:r>
    </w:p>
    <w:p>
      <w:pPr>
        <w:pStyle w:val="21"/>
        <w:tabs>
          <w:tab w:val="clear" w:pos="8296"/>
          <w:tab w:val="right" w:leader="dot" w:pos="8306"/>
        </w:tabs>
      </w:pPr>
      <w:r>
        <w:rPr>
          <w:rFonts w:ascii="仿宋" w:eastAsia="仿宋" w:hint="eastAsia"/>
          <w:bCs/>
        </w:rPr>
        <w:t>十四、国有资本经营预算财政拨款支出决算表</w:t>
      </w:r>
      <w:r>
        <w:tab/>
      </w:r>
      <w:r>
        <w:fldChar w:fldCharType="begin"/>
      </w:r>
      <w:r>
        <w:instrText xml:space="preserve"> PAGEREF _Toc23361 \h </w:instrText>
      </w:r>
      <w:r>
        <w:fldChar w:fldCharType="separate"/>
      </w:r>
      <w:r>
        <w:t>24</w:t>
      </w:r>
      <w:r>
        <w:fldChar w:fldCharType="end"/>
      </w:r>
    </w:p>
    <w:p>
      <w:pPr>
        <w:pStyle w:val="20"/>
        <w:tabs>
          <w:tab w:val="right" w:leader="dot" w:pos="8296"/>
        </w:tabs>
        <w:rPr>
          <w:rFonts w:hint="eastAsia"/>
          <w:sz w:val="24"/>
          <w:szCs w:val="24"/>
        </w:rPr>
      </w:pPr>
      <w:r>
        <w:rPr>
          <w:rFonts w:hint="eastAsia"/>
          <w:color w:val="000000"/>
          <w:szCs w:val="24"/>
        </w:rPr>
        <w:fldChar w:fldCharType="end"/>
      </w:r>
      <w:r>
        <w:rPr>
          <w:rFonts w:hint="eastAsia"/>
          <w:sz w:val="24"/>
          <w:szCs w:val="24"/>
        </w:rPr>
        <w:br w:type="page"/>
      </w:r>
    </w:p>
    <w:p>
      <w:pPr>
        <w:pStyle w:val="1"/>
        <w:spacing w:line="500" w:lineRule="exact"/>
        <w:jc w:val="center"/>
        <w:rPr>
          <w:rFonts w:ascii="黑体" w:eastAsia="黑体"/>
          <w:color w:val="000000"/>
          <w:sz w:val="32"/>
          <w:szCs w:val="32"/>
        </w:rPr>
      </w:pPr>
      <w:bookmarkStart w:id="20" w:name="_Toc16429"/>
      <w:bookmarkStart w:id="21" w:name="_Toc31289"/>
      <w:r>
        <w:rPr>
          <w:rFonts w:ascii="黑体" w:eastAsia="黑体" w:hint="eastAsia"/>
          <w:b w:val="0"/>
        </w:rPr>
        <w:t xml:space="preserve">第一部分 </w:t>
      </w:r>
      <w:r>
        <w:rPr>
          <w:rStyle w:val="1Char"/>
          <w:rFonts w:ascii="黑体" w:eastAsia="黑体" w:hint="eastAsia"/>
          <w:b w:val="0"/>
          <w:bCs w:val="0"/>
        </w:rPr>
        <w:t>部门概况</w:t>
      </w:r>
      <w:bookmarkEnd w:id="19"/>
      <w:bookmarkEnd w:id="20"/>
      <w:bookmarkEnd w:id="21"/>
    </w:p>
    <w:p>
      <w:pPr>
        <w:pStyle w:val="2"/>
        <w:spacing w:before="0" w:after="0" w:line="500" w:lineRule="exact"/>
        <w:ind w:left="640" w:hangingChars="200" w:hanging="640"/>
        <w:rPr>
          <w:rStyle w:val="2Char"/>
          <w:rFonts w:ascii="黑体" w:eastAsia="黑体"/>
          <w:b w:val="0"/>
          <w:bCs w:val="0"/>
        </w:rPr>
      </w:pPr>
      <w:bookmarkStart w:id="22" w:name="_Toc21480"/>
      <w:bookmarkStart w:id="23" w:name="_Toc15377197"/>
      <w:bookmarkStart w:id="24" w:name="_Toc13615"/>
      <w:r>
        <w:rPr>
          <w:rFonts w:ascii="黑体" w:eastAsia="黑体" w:hint="eastAsia"/>
          <w:b w:val="0"/>
          <w:color w:val="000000"/>
        </w:rPr>
        <w:t>一、基</w:t>
      </w:r>
      <w:r>
        <w:rPr>
          <w:rStyle w:val="2Char"/>
          <w:rFonts w:ascii="黑体" w:eastAsia="黑体" w:hint="eastAsia"/>
          <w:b w:val="0"/>
          <w:bCs w:val="0"/>
        </w:rPr>
        <w:t>本职能及主要工作</w:t>
      </w:r>
      <w:bookmarkStart w:id="25" w:name="_Toc15378445"/>
      <w:bookmarkStart w:id="26" w:name="_Toc15377198"/>
      <w:bookmarkEnd w:id="22"/>
      <w:bookmarkEnd w:id="23"/>
      <w:bookmarkEnd w:id="24"/>
    </w:p>
    <w:p>
      <w:pPr>
        <w:pStyle w:val="2"/>
        <w:spacing w:before="0" w:after="0" w:line="500" w:lineRule="exact"/>
        <w:ind w:leftChars="153" w:left="641" w:hangingChars="100" w:hanging="320"/>
        <w:rPr>
          <w:rFonts w:ascii="楷体" w:eastAsia="楷体" w:cs="楷体"/>
          <w:color w:val="000000"/>
        </w:rPr>
      </w:pPr>
      <w:bookmarkStart w:id="27" w:name="_Toc272"/>
      <w:bookmarkStart w:id="28" w:name="_Toc4878"/>
      <w:r>
        <w:rPr>
          <w:rFonts w:ascii="楷体" w:eastAsia="楷体" w:cs="楷体" w:hint="eastAsia"/>
          <w:color w:val="000000"/>
        </w:rPr>
        <w:t>（一）主要职能</w:t>
      </w:r>
      <w:bookmarkStart w:id="29" w:name="_Toc15377199"/>
      <w:bookmarkStart w:id="30" w:name="_Toc15378446"/>
      <w:bookmarkEnd w:id="25"/>
      <w:bookmarkEnd w:id="26"/>
      <w:bookmarkEnd w:id="27"/>
      <w:bookmarkEnd w:id="28"/>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１协助县政府领导同志组织起草或审核以县政府、金川县人民政府办公室名义发布的公文。办理州政府、州政府办公室及各部委局发送县政府的文电。指导全县行政机关公文处理工作。</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2研究县政府部门和各乡镇人民政府请示县政府事项，提出审核意见，报县政府领导同志审批。</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3负责县政府会议准备工作，协助县政府领导组织实施会议决定事项。</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4根据县政府领导同志的指示，对县政府部门间争议问题提出处理意见和建议，报县政府领导同志决定。</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5督促检查县政府各部门和各乡镇人民政府对县政府决定事项及县政府领导同志指示的贯彻落实情况，及时向县政府领导同志报告。</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6负责县政府值班工作，指导乡镇人民政府和县政府部门值班工作，及时报告重要情况。</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7指导、监督全县政府信息公开工作和机关行政效能建设工作，指导、监督全县政府系统电子政务工作和政府网站建设。</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8组织办理涉及县政府工作的人大代表议案、批评、建议和政协委员提案、建议案工作。</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9负责县政府人民防空和民防工作。</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10负责全县机关事业单位小汽车编制审批事项。</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11负责外事侨务工作。</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12监督、指导县人民政府驻成都办事处工作。</w:t>
      </w:r>
    </w:p>
    <w:p>
      <w:pPr>
        <w:pStyle w:val="15"/>
        <w:adjustRightInd w:val="0"/>
        <w:snapToGrid w:val="0"/>
        <w:spacing w:beforeLines="0" w:before="93" w:line="500" w:lineRule="exact"/>
        <w:ind w:firstLineChars="208" w:firstLine="666"/>
        <w:rPr>
          <w:bCs/>
          <w:color w:val="000000"/>
          <w:sz w:val="32"/>
          <w:szCs w:val="32"/>
        </w:rPr>
      </w:pPr>
      <w:r>
        <w:rPr>
          <w:rFonts w:hint="eastAsia"/>
          <w:bCs/>
          <w:color w:val="000000"/>
          <w:sz w:val="32"/>
          <w:szCs w:val="32"/>
        </w:rPr>
        <w:t>13承办县政府和县政府领导交办的其他事项。　</w:t>
      </w:r>
    </w:p>
    <w:p>
      <w:pPr>
        <w:pStyle w:val="2"/>
        <w:spacing w:before="0" w:after="0" w:line="500" w:lineRule="exact"/>
        <w:ind w:firstLineChars="200" w:firstLine="640"/>
        <w:rPr>
          <w:rFonts w:ascii="楷体" w:eastAsia="楷体" w:cs="楷体"/>
          <w:color w:val="000000"/>
        </w:rPr>
      </w:pPr>
      <w:bookmarkStart w:id="31" w:name="_Toc32388"/>
      <w:bookmarkStart w:id="32" w:name="_Toc15073"/>
      <w:r>
        <w:rPr>
          <w:rFonts w:ascii="楷体" w:eastAsia="楷体" w:cs="楷体" w:hint="eastAsia"/>
          <w:color w:val="000000"/>
        </w:rPr>
        <w:t>（二）2021年重点工作完成情况</w:t>
      </w:r>
      <w:bookmarkEnd w:id="29"/>
      <w:bookmarkEnd w:id="30"/>
      <w:bookmarkEnd w:id="31"/>
      <w:bookmarkEnd w:id="32"/>
    </w:p>
    <w:p>
      <w:pPr>
        <w:widowControl/>
        <w:spacing w:line="500" w:lineRule="exact"/>
        <w:ind w:firstLineChars="200" w:firstLine="640"/>
        <w:jc w:val="left"/>
        <w:rPr>
          <w:rFonts w:ascii="仿宋_GB2312" w:eastAsia="仿宋_GB2312"/>
          <w:bCs/>
          <w:color w:val="000000"/>
          <w:sz w:val="32"/>
          <w:szCs w:val="32"/>
        </w:rPr>
      </w:pPr>
      <w:bookmarkStart w:id="33" w:name="_Toc15377200"/>
      <w:r>
        <w:rPr>
          <w:rFonts w:ascii="仿宋_GB2312" w:eastAsia="仿宋_GB2312" w:hint="eastAsia"/>
          <w:bCs/>
          <w:color w:val="000000"/>
          <w:sz w:val="32"/>
          <w:szCs w:val="32"/>
        </w:rPr>
        <w:t>我办围绕全县中心工作，不断拓宽思路，创新机制，强化措施，切实履行职责全面完成了年度工作任务。坚持立足全局，协调工作成效明显；坚持精益求精，辅政能力明显提升；坚持依法行政，政务环境持续优化；坚持厉行节约，努力降低行政成本；坚持改革创新，着力提高财政绩效。全面完成2021年各项工作，取得了实效。</w:t>
      </w:r>
    </w:p>
    <w:p>
      <w:pPr>
        <w:spacing w:line="500" w:lineRule="exact"/>
        <w:ind w:firstLineChars="200" w:firstLine="640"/>
        <w:rPr>
          <w:rStyle w:val="2Char"/>
          <w:b w:val="0"/>
          <w:bCs w:val="0"/>
        </w:rPr>
      </w:pPr>
      <w:bookmarkStart w:id="34" w:name="_Toc32147"/>
      <w:bookmarkStart w:id="35" w:name="_Toc30213"/>
      <w:r>
        <w:rPr>
          <w:rStyle w:val="2Char"/>
          <w:rFonts w:ascii="黑体" w:eastAsia="黑体" w:hint="eastAsia"/>
          <w:b w:val="0"/>
          <w:bCs w:val="0"/>
        </w:rPr>
        <w:t>二、机构设置</w:t>
      </w:r>
      <w:bookmarkEnd w:id="33"/>
    </w:p>
    <w:p>
      <w:pPr>
        <w:spacing w:line="500" w:lineRule="exact"/>
        <w:ind w:firstLineChars="196" w:firstLine="627"/>
        <w:rPr>
          <w:rFonts w:ascii="仿宋_GB2312" w:eastAsia="仿宋_GB2312"/>
          <w:sz w:val="32"/>
          <w:szCs w:val="32"/>
        </w:rPr>
      </w:pPr>
      <w:bookmarkEnd w:id="34"/>
      <w:bookmarkEnd w:id="35"/>
      <w:r>
        <w:rPr>
          <w:rFonts w:ascii="仿宋_GB2312" w:eastAsia="仿宋_GB2312" w:hint="eastAsia"/>
          <w:color w:val="000000"/>
          <w:sz w:val="32"/>
          <w:szCs w:val="32"/>
        </w:rPr>
        <w:t>金川县人民政府办公室是</w:t>
      </w:r>
      <w:r>
        <w:rPr>
          <w:rFonts w:ascii="仿宋_GB2312" w:eastAsia="仿宋_GB2312" w:hint="eastAsia"/>
          <w:bCs/>
          <w:color w:val="000000"/>
          <w:sz w:val="32"/>
          <w:szCs w:val="32"/>
        </w:rPr>
        <w:t>政府组成部门，由县政府办公室、县人防办、县信息中心组成，设</w:t>
      </w:r>
      <w:r>
        <w:rPr>
          <w:rFonts w:ascii="仿宋_GB2312" w:eastAsia="仿宋_GB2312" w:hint="eastAsia"/>
          <w:color w:val="000000"/>
          <w:sz w:val="32"/>
          <w:szCs w:val="32"/>
        </w:rPr>
        <w:t>统一核算机构为1个，独立编制机构3个，其中:行政单位1个，事业单位2个。</w:t>
      </w:r>
      <w:r>
        <w:rPr>
          <w:rFonts w:ascii="仿宋_GB2312" w:eastAsia="仿宋_GB2312" w:hint="eastAsia"/>
          <w:sz w:val="32"/>
          <w:szCs w:val="32"/>
        </w:rPr>
        <w:t>单位编制数36个，其中：公务员编制23个、行政工勤编制7个、事业编制8个； 2021年末，单位实有人数36人，其中：在职36人（公务员18人、行政工勤11人、其他事业人员7人）。</w:t>
      </w:r>
    </w:p>
    <w:p>
      <w:pPr>
        <w:widowControl/>
        <w:spacing w:line="500" w:lineRule="exact"/>
        <w:ind w:firstLineChars="200" w:firstLine="640"/>
        <w:jc w:val="left"/>
        <w:rPr>
          <w:rFonts w:ascii="仿宋" w:eastAsia="仿宋_GB2312" w:hAnsi="仿宋"/>
          <w:color w:val="000000"/>
          <w:kern w:val="0"/>
          <w:sz w:val="32"/>
          <w:szCs w:val="32"/>
        </w:rPr>
      </w:pPr>
    </w:p>
    <w:p>
      <w:pPr>
        <w:pStyle w:val="1"/>
        <w:spacing w:line="500" w:lineRule="exact"/>
        <w:ind w:right="440"/>
        <w:jc w:val="center"/>
        <w:rPr>
          <w:rFonts w:ascii="黑体" w:eastAsia="黑体"/>
          <w:b w:val="0"/>
          <w:color w:val="000000"/>
        </w:rPr>
      </w:pPr>
      <w:bookmarkStart w:id="36" w:name="_Toc18319"/>
      <w:bookmarkStart w:id="37" w:name="_Toc15377204"/>
    </w:p>
    <w:p>
      <w:pPr>
        <w:rPr>
          <w:rFonts w:ascii="黑体" w:eastAsia="黑体"/>
          <w:color w:val="000000"/>
        </w:rPr>
      </w:pPr>
    </w:p>
    <w:p>
      <w:pPr>
        <w:rPr>
          <w:rFonts w:ascii="黑体" w:eastAsia="黑体"/>
          <w:color w:val="000000"/>
        </w:rPr>
      </w:pPr>
    </w:p>
    <w:p>
      <w:pPr>
        <w:rPr>
          <w:rFonts w:ascii="黑体" w:eastAsia="黑体"/>
          <w:color w:val="000000"/>
        </w:rPr>
      </w:pPr>
    </w:p>
    <w:p>
      <w:pPr>
        <w:rPr>
          <w:rFonts w:ascii="黑体" w:eastAsia="黑体"/>
          <w:color w:val="000000"/>
        </w:rPr>
      </w:pPr>
    </w:p>
    <w:p>
      <w:pPr>
        <w:rPr>
          <w:rFonts w:ascii="黑体" w:eastAsia="黑体"/>
          <w:color w:val="000000"/>
        </w:rPr>
      </w:pPr>
    </w:p>
    <w:p>
      <w:pPr>
        <w:pStyle w:val="1"/>
        <w:spacing w:line="500" w:lineRule="exact"/>
        <w:ind w:right="440"/>
        <w:jc w:val="center"/>
      </w:pPr>
      <w:r>
        <w:rPr>
          <w:rFonts w:ascii="黑体" w:eastAsia="黑体" w:hint="eastAsia"/>
          <w:b w:val="0"/>
          <w:color w:val="000000"/>
        </w:rPr>
        <w:t xml:space="preserve">  </w:t>
      </w:r>
      <w:bookmarkStart w:id="38" w:name="_Toc2034"/>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2021年度部门决算情况说明</w:t>
      </w:r>
      <w:bookmarkEnd w:id="36"/>
      <w:bookmarkEnd w:id="37"/>
      <w:bookmarkEnd w:id="38"/>
    </w:p>
    <w:p>
      <w:pPr>
        <w:pStyle w:val="28"/>
        <w:spacing w:line="500" w:lineRule="exact"/>
        <w:outlineLvl w:val="1"/>
        <w:rPr>
          <w:rStyle w:val="2Char"/>
          <w:rFonts w:ascii="黑体" w:eastAsia="黑体"/>
          <w:b w:val="0"/>
        </w:rPr>
      </w:pPr>
      <w:bookmarkStart w:id="39" w:name="_Toc19406"/>
      <w:bookmarkStart w:id="40" w:name="_Toc15377205"/>
      <w:bookmarkStart w:id="41" w:name="_Toc13968"/>
      <w:r>
        <w:rPr>
          <w:rFonts w:ascii="黑体" w:eastAsia="黑体" w:hint="eastAsia"/>
          <w:color w:val="000000"/>
          <w:sz w:val="32"/>
          <w:szCs w:val="32"/>
        </w:rPr>
        <w:t>一、收</w:t>
      </w:r>
      <w:r>
        <w:rPr>
          <w:rStyle w:val="2Char"/>
          <w:rFonts w:ascii="黑体" w:eastAsia="黑体" w:hint="eastAsia"/>
          <w:b w:val="0"/>
        </w:rPr>
        <w:t>入支出决算总体情况说明</w:t>
      </w:r>
      <w:bookmarkEnd w:id="39"/>
      <w:bookmarkEnd w:id="40"/>
      <w:bookmarkEnd w:id="41"/>
    </w:p>
    <w:p>
      <w:pPr>
        <w:snapToGrid w:val="0"/>
        <w:spacing w:line="50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rPr>
        <w:t>2021年度总收入</w:t>
      </w:r>
      <w:r>
        <w:rPr>
          <w:rFonts w:ascii="仿宋_GB2312" w:eastAsia="仿宋_GB2312" w:hint="eastAsia"/>
          <w:color w:val="000000"/>
          <w:sz w:val="32"/>
          <w:szCs w:val="32"/>
        </w:rPr>
        <w:t>1220.45</w:t>
      </w:r>
      <w:r>
        <w:rPr>
          <w:rFonts w:ascii="仿宋_GB2312" w:eastAsia="仿宋_GB2312" w:hint="eastAsia"/>
          <w:color w:val="000000"/>
          <w:spacing w:val="-2"/>
          <w:sz w:val="32"/>
          <w:szCs w:val="32"/>
        </w:rPr>
        <w:t>万元，较上年收入增加466.88万元，增加62%。与2020年相比</w:t>
      </w:r>
      <w:r>
        <w:rPr>
          <w:rFonts w:ascii="仿宋_GB2312" w:eastAsia="仿宋_GB2312" w:hint="eastAsia"/>
          <w:spacing w:val="-2"/>
          <w:sz w:val="32"/>
          <w:szCs w:val="32"/>
        </w:rPr>
        <w:t>主要原因</w:t>
      </w:r>
      <w:r>
        <w:rPr>
          <w:rFonts w:ascii="仿宋_GB2312" w:eastAsia="仿宋_GB2312" w:hint="eastAsia"/>
          <w:color w:val="000000"/>
          <w:spacing w:val="-2"/>
          <w:sz w:val="32"/>
          <w:szCs w:val="32"/>
        </w:rPr>
        <w:t>2021年县级领导工作经费部分纳入超税收收入。</w:t>
      </w:r>
    </w:p>
    <w:p>
      <w:pPr>
        <w:snapToGrid w:val="0"/>
        <w:spacing w:line="500" w:lineRule="exact"/>
        <w:ind w:firstLineChars="200" w:firstLine="632"/>
        <w:rPr>
          <w:rFonts w:ascii="仿宋_GB2312" w:eastAsia="仿宋_GB2312"/>
          <w:color w:val="000000"/>
          <w:spacing w:val="-2"/>
          <w:sz w:val="32"/>
          <w:szCs w:val="32"/>
        </w:rPr>
      </w:pPr>
      <w:r>
        <w:rPr>
          <w:rFonts w:ascii="仿宋_GB2312" w:eastAsia="仿宋_GB2312" w:hint="eastAsia"/>
          <w:spacing w:val="-2"/>
          <w:sz w:val="32"/>
          <w:szCs w:val="32"/>
        </w:rPr>
        <w:t>2021年总支出1220.45万元，较上年支出</w:t>
      </w:r>
      <w:r>
        <w:rPr>
          <w:rFonts w:ascii="仿宋_GB2312" w:eastAsia="仿宋_GB2312" w:hint="eastAsia"/>
          <w:color w:val="000000"/>
          <w:spacing w:val="-2"/>
          <w:sz w:val="32"/>
          <w:szCs w:val="32"/>
        </w:rPr>
        <w:t>增加466.88万元，增加62%</w:t>
      </w:r>
      <w:r>
        <w:rPr>
          <w:rFonts w:ascii="仿宋_GB2312" w:eastAsia="仿宋_GB2312" w:hint="eastAsia"/>
          <w:spacing w:val="-2"/>
          <w:sz w:val="32"/>
          <w:szCs w:val="32"/>
        </w:rPr>
        <w:t>。</w:t>
      </w:r>
      <w:r>
        <w:rPr>
          <w:rFonts w:ascii="仿宋_GB2312" w:eastAsia="仿宋_GB2312" w:hint="eastAsia"/>
          <w:color w:val="000000"/>
          <w:spacing w:val="-2"/>
          <w:sz w:val="32"/>
          <w:szCs w:val="32"/>
        </w:rPr>
        <w:t>与2020年相比</w:t>
      </w:r>
      <w:r>
        <w:rPr>
          <w:rFonts w:ascii="仿宋_GB2312" w:eastAsia="仿宋_GB2312" w:hint="eastAsia"/>
          <w:spacing w:val="-2"/>
          <w:sz w:val="32"/>
          <w:szCs w:val="32"/>
        </w:rPr>
        <w:t>主要原因</w:t>
      </w:r>
      <w:r>
        <w:rPr>
          <w:rFonts w:ascii="仿宋_GB2312" w:eastAsia="仿宋_GB2312" w:hint="eastAsia"/>
          <w:color w:val="000000"/>
          <w:spacing w:val="-2"/>
          <w:sz w:val="32"/>
          <w:szCs w:val="32"/>
        </w:rPr>
        <w:t>2021年县级领导工作经费部分纳入超税收收入。</w:t>
      </w:r>
    </w:p>
    <w:p>
      <w:pPr>
        <w:spacing w:line="500" w:lineRule="exact"/>
        <w:ind w:firstLineChars="100" w:firstLine="320"/>
        <w:rPr>
          <w:rStyle w:val="2Char"/>
          <w:rFonts w:ascii="黑体" w:eastAsia="黑体"/>
          <w:b w:val="0"/>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314960</wp:posOffset>
            </wp:positionH>
            <wp:positionV relativeFrom="paragraph">
              <wp:posOffset>45720</wp:posOffset>
            </wp:positionV>
            <wp:extent cx="5079998"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42" w:name="_Toc15377206"/>
      <w:r>
        <w:rPr>
          <w:rFonts w:ascii="黑体" w:eastAsia="黑体" w:hint="eastAsia"/>
          <w:color w:val="000000"/>
          <w:sz w:val="32"/>
          <w:szCs w:val="32"/>
        </w:rPr>
        <w:t>二、收入决</w:t>
      </w:r>
      <w:r>
        <w:rPr>
          <w:rStyle w:val="2Char"/>
          <w:rFonts w:ascii="黑体" w:eastAsia="黑体" w:hint="eastAsia"/>
          <w:b w:val="0"/>
        </w:rPr>
        <w:t>算情况说明</w:t>
      </w:r>
      <w:bookmarkEnd w:id="42"/>
    </w:p>
    <w:p>
      <w:pPr>
        <w:spacing w:line="500" w:lineRule="exact"/>
        <w:ind w:firstLineChars="200" w:firstLine="640"/>
        <w:outlineLvl w:val="1"/>
        <w:rPr>
          <w:rFonts w:ascii="仿宋" w:eastAsia="仿宋"/>
          <w:color w:val="000000"/>
          <w:sz w:val="32"/>
          <w:szCs w:val="32"/>
        </w:rPr>
      </w:pPr>
      <w:bookmarkStart w:id="43" w:name="_Toc12653"/>
      <w:bookmarkStart w:id="44" w:name="_Toc12854"/>
      <w:r>
        <w:rPr>
          <w:rFonts w:ascii="仿宋" w:eastAsia="仿宋"/>
          <w:color w:val="000000"/>
          <w:sz w:val="32"/>
          <w:szCs w:val="32"/>
        </w:rPr>
        <w:t>20</w:t>
      </w:r>
      <w:r>
        <w:rPr>
          <w:rFonts w:ascii="仿宋" w:eastAsia="仿宋" w:hint="eastAsia"/>
          <w:color w:val="000000"/>
          <w:sz w:val="32"/>
          <w:szCs w:val="32"/>
        </w:rPr>
        <w:t>21年总收入</w:t>
      </w:r>
      <w:r>
        <w:rPr>
          <w:rFonts w:ascii="仿宋_GB2312" w:eastAsia="仿宋_GB2312" w:hint="eastAsia"/>
          <w:color w:val="000000"/>
          <w:sz w:val="32"/>
          <w:szCs w:val="32"/>
        </w:rPr>
        <w:t>1220.45</w:t>
      </w:r>
      <w:r>
        <w:rPr>
          <w:rFonts w:ascii="仿宋" w:eastAsia="仿宋" w:hint="eastAsia"/>
          <w:color w:val="000000"/>
          <w:sz w:val="32"/>
          <w:szCs w:val="32"/>
        </w:rPr>
        <w:t>万元，其中：一般公共预算财政拨款收入</w:t>
      </w:r>
      <w:r>
        <w:rPr>
          <w:rFonts w:ascii="仿宋_GB2312" w:eastAsia="仿宋_GB2312" w:hint="eastAsia"/>
          <w:color w:val="000000"/>
          <w:sz w:val="32"/>
          <w:szCs w:val="32"/>
        </w:rPr>
        <w:t>1220.45</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45" w:name="_Toc15377207"/>
      <w:r>
        <w:rPr>
          <w:rFonts w:ascii="仿宋" w:eastAsia="仿宋" w:hint="eastAsia"/>
          <w:color w:val="000000"/>
          <w:sz w:val="32"/>
          <w:szCs w:val="32"/>
        </w:rPr>
        <w:t xml:space="preserve"> 。</w:t>
      </w:r>
      <w:bookmarkEnd w:id="43"/>
      <w:bookmarkEnd w:id="44"/>
    </w:p>
    <w:p>
      <w:pPr>
        <w:spacing w:line="500" w:lineRule="exact"/>
        <w:ind w:firstLineChars="200" w:firstLine="640"/>
        <w:outlineLvl w:val="1"/>
        <w:rPr>
          <w:rStyle w:val="2Char"/>
          <w:rFonts w:ascii="黑体" w:eastAsia="黑体"/>
          <w:b w:val="0"/>
        </w:rPr>
      </w:pPr>
      <w:bookmarkStart w:id="46" w:name="_Toc7854"/>
      <w:bookmarkStart w:id="47" w:name="_Toc19125"/>
      <w:r>
        <w:rPr>
          <w:rFonts w:ascii="黑体" w:eastAsia="黑体" w:hint="eastAsia"/>
          <w:color w:val="000000"/>
          <w:sz w:val="32"/>
          <w:szCs w:val="32"/>
        </w:rPr>
        <w:t>三、支出决</w:t>
      </w:r>
      <w:r>
        <w:rPr>
          <w:rStyle w:val="2Char"/>
          <w:rFonts w:ascii="黑体" w:eastAsia="黑体" w:hint="eastAsia"/>
          <w:b w:val="0"/>
        </w:rPr>
        <w:t>算情况说明</w:t>
      </w:r>
      <w:bookmarkEnd w:id="45"/>
      <w:bookmarkEnd w:id="46"/>
      <w:bookmarkEnd w:id="47"/>
    </w:p>
    <w:p>
      <w:pPr>
        <w:spacing w:line="500" w:lineRule="exact"/>
        <w:ind w:firstLine="640"/>
        <w:rPr>
          <w:rFonts w:ascii="仿宋" w:eastAsia="仿宋"/>
          <w:color w:val="000000"/>
          <w:sz w:val="32"/>
          <w:szCs w:val="32"/>
          <w:shd w:val="pct10" w:color="auto" w:fill="FFFFFF"/>
        </w:rPr>
      </w:pPr>
      <w:r>
        <w:rPr>
          <w:rFonts w:ascii="仿宋" w:eastAsia="仿宋" w:hint="eastAsia"/>
          <w:color w:val="000000"/>
          <w:sz w:val="32"/>
          <w:szCs w:val="32"/>
        </w:rPr>
        <w:t>2021年本年总支出</w:t>
      </w:r>
      <w:r>
        <w:rPr>
          <w:rFonts w:ascii="仿宋_GB2312" w:eastAsia="仿宋_GB2312" w:hint="eastAsia"/>
          <w:color w:val="000000"/>
          <w:sz w:val="32"/>
          <w:szCs w:val="32"/>
        </w:rPr>
        <w:t>1220.45</w:t>
      </w:r>
      <w:r>
        <w:rPr>
          <w:rFonts w:ascii="仿宋" w:eastAsia="仿宋" w:hint="eastAsia"/>
          <w:color w:val="000000"/>
          <w:sz w:val="32"/>
          <w:szCs w:val="32"/>
        </w:rPr>
        <w:t>万元，其中：基本支出997.24万元，占82%；项目支出223.21万元，占18%；上缴上级支出0万元，占0%；经营支出0万元，占0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500" w:lineRule="exact"/>
        <w:ind w:firstLineChars="200" w:firstLine="640"/>
        <w:rPr>
          <w:rStyle w:val="2Char"/>
          <w:rFonts w:ascii="黑体" w:eastAsia="黑体"/>
          <w:b w:val="0"/>
        </w:rPr>
      </w:pPr>
      <w:r>
        <w:rPr>
          <w:rFonts w:ascii="仿宋_GB2312" w:eastAsia="仿宋_GB2312" w:hint="eastAsia"/>
          <w:color w:val="FF0000"/>
          <w:sz w:val="32"/>
          <w:szCs w:val="32"/>
        </w:rPr>
        <w:drawing>
          <wp:anchor distT="0" distB="0" distL="114300" distR="114300" simplePos="0" relativeHeight="22" behindDoc="0" locked="0" layoutInCell="1" hidden="0" allowOverlap="1">
            <wp:simplePos x="0" y="0"/>
            <wp:positionH relativeFrom="column">
              <wp:posOffset>26670</wp:posOffset>
            </wp:positionH>
            <wp:positionV relativeFrom="paragraph">
              <wp:posOffset>146050</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bookmarkStart w:id="48"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8"/>
    </w:p>
    <w:p>
      <w:pPr>
        <w:snapToGrid w:val="0"/>
        <w:spacing w:line="50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rPr>
        <w:t>2021年财政拨款收入</w:t>
      </w:r>
      <w:r>
        <w:rPr>
          <w:rFonts w:ascii="仿宋_GB2312" w:eastAsia="仿宋_GB2312" w:hint="eastAsia"/>
          <w:color w:val="000000"/>
          <w:sz w:val="32"/>
          <w:szCs w:val="32"/>
        </w:rPr>
        <w:t>1220.45</w:t>
      </w:r>
      <w:r>
        <w:rPr>
          <w:rFonts w:ascii="仿宋" w:eastAsia="仿宋" w:hint="eastAsia"/>
          <w:color w:val="000000"/>
          <w:sz w:val="32"/>
          <w:szCs w:val="32"/>
        </w:rPr>
        <w:t>万元。与2020年相比，一般公共预算财政拨款收入较上年增加466.88万元，</w:t>
      </w:r>
      <w:r>
        <w:rPr>
          <w:rFonts w:ascii="仿宋_GB2312" w:eastAsia="仿宋_GB2312" w:hint="eastAsia"/>
          <w:color w:val="000000"/>
          <w:spacing w:val="-2"/>
          <w:sz w:val="32"/>
          <w:szCs w:val="32"/>
        </w:rPr>
        <w:t>与2020年相比</w:t>
      </w:r>
      <w:r>
        <w:rPr>
          <w:rFonts w:ascii="仿宋_GB2312" w:eastAsia="仿宋_GB2312" w:hint="eastAsia"/>
          <w:spacing w:val="-2"/>
          <w:sz w:val="32"/>
          <w:szCs w:val="32"/>
        </w:rPr>
        <w:t>主要原因</w:t>
      </w:r>
      <w:r>
        <w:rPr>
          <w:rFonts w:ascii="仿宋_GB2312" w:eastAsia="仿宋_GB2312" w:hint="eastAsia"/>
          <w:color w:val="000000"/>
          <w:spacing w:val="-2"/>
          <w:sz w:val="32"/>
          <w:szCs w:val="32"/>
        </w:rPr>
        <w:t>2021年县级领导工作经费部分纳入超税收收入。</w:t>
      </w:r>
      <w:r>
        <w:rPr>
          <w:rFonts w:ascii="仿宋_GB2312" w:eastAsia="仿宋_GB2312" w:hint="eastAsia"/>
          <w:spacing w:val="-2"/>
          <w:sz w:val="32"/>
          <w:szCs w:val="32"/>
        </w:rPr>
        <w:t>总支出1220.45万元，较上年支出</w:t>
      </w:r>
      <w:r>
        <w:rPr>
          <w:rFonts w:ascii="仿宋_GB2312" w:eastAsia="仿宋_GB2312" w:hint="eastAsia"/>
          <w:color w:val="000000"/>
          <w:spacing w:val="-2"/>
          <w:sz w:val="32"/>
          <w:szCs w:val="32"/>
        </w:rPr>
        <w:t>增加466.89万元，增加62%</w:t>
      </w:r>
      <w:r>
        <w:rPr>
          <w:rFonts w:ascii="仿宋_GB2312" w:eastAsia="仿宋_GB2312" w:hint="eastAsia"/>
          <w:spacing w:val="-2"/>
          <w:sz w:val="32"/>
          <w:szCs w:val="32"/>
        </w:rPr>
        <w:t>。</w:t>
      </w:r>
      <w:r>
        <w:rPr>
          <w:rFonts w:ascii="仿宋_GB2312" w:eastAsia="仿宋_GB2312" w:hint="eastAsia"/>
          <w:color w:val="000000"/>
          <w:spacing w:val="-2"/>
          <w:sz w:val="32"/>
          <w:szCs w:val="32"/>
        </w:rPr>
        <w:t>与2020年相比</w:t>
      </w:r>
      <w:r>
        <w:rPr>
          <w:rFonts w:ascii="仿宋_GB2312" w:eastAsia="仿宋_GB2312" w:hint="eastAsia"/>
          <w:spacing w:val="-2"/>
          <w:sz w:val="32"/>
          <w:szCs w:val="32"/>
        </w:rPr>
        <w:t>主要原因</w:t>
      </w:r>
      <w:r>
        <w:rPr>
          <w:rFonts w:ascii="仿宋_GB2312" w:eastAsia="仿宋_GB2312" w:hint="eastAsia"/>
          <w:color w:val="000000"/>
          <w:spacing w:val="-2"/>
          <w:sz w:val="32"/>
          <w:szCs w:val="32"/>
        </w:rPr>
        <w:t>2021年县级领导工作经费部分纳入超税收收入。</w:t>
      </w:r>
    </w:p>
    <w:p>
      <w:pPr>
        <w:spacing w:line="5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49"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49"/>
    </w:p>
    <w:p>
      <w:pPr>
        <w:spacing w:line="500" w:lineRule="exact"/>
        <w:ind w:firstLineChars="200" w:firstLine="640"/>
        <w:outlineLvl w:val="2"/>
        <w:rPr>
          <w:rFonts w:ascii="仿宋" w:eastAsia="仿宋"/>
          <w:b/>
          <w:color w:val="000000"/>
          <w:sz w:val="32"/>
          <w:szCs w:val="32"/>
        </w:rPr>
      </w:pPr>
      <w:bookmarkStart w:id="50" w:name="_Toc15377210"/>
      <w:bookmarkStart w:id="51" w:name="_Toc14612"/>
      <w:r>
        <w:rPr>
          <w:rFonts w:ascii="仿宋" w:eastAsia="仿宋" w:hint="eastAsia"/>
          <w:b/>
          <w:color w:val="000000"/>
          <w:sz w:val="32"/>
          <w:szCs w:val="32"/>
        </w:rPr>
        <w:t>（一）一般公共预算财政拨款支出决算总体情况</w:t>
      </w:r>
      <w:bookmarkEnd w:id="50"/>
      <w:bookmarkEnd w:id="51"/>
    </w:p>
    <w:p>
      <w:pPr>
        <w:snapToGrid w:val="0"/>
        <w:spacing w:line="500" w:lineRule="exact"/>
        <w:ind w:firstLineChars="200" w:firstLine="640"/>
        <w:rPr>
          <w:rFonts w:ascii="仿宋_GB2312" w:eastAsia="仿宋_GB2312"/>
          <w:color w:val="000000"/>
          <w:spacing w:val="-2"/>
          <w:sz w:val="32"/>
          <w:szCs w:val="32"/>
        </w:rPr>
      </w:pPr>
      <w:r>
        <w:rPr>
          <w:rFonts w:ascii="仿宋" w:eastAsia="仿宋"/>
          <w:color w:val="000000"/>
          <w:sz w:val="32"/>
          <w:szCs w:val="32"/>
        </w:rPr>
        <w:t>20</w:t>
      </w:r>
      <w:r>
        <w:rPr>
          <w:rFonts w:ascii="仿宋" w:eastAsia="仿宋" w:hint="eastAsia"/>
          <w:color w:val="000000"/>
          <w:sz w:val="32"/>
          <w:szCs w:val="32"/>
        </w:rPr>
        <w:t>2１年</w:t>
      </w:r>
      <w:r>
        <w:rPr>
          <w:rFonts w:ascii="仿宋_GB2312" w:eastAsia="仿宋_GB2312" w:hint="eastAsia"/>
          <w:spacing w:val="-2"/>
          <w:sz w:val="32"/>
          <w:szCs w:val="32"/>
        </w:rPr>
        <w:t>一般公共预算财政拨款支出1220.45万元，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20年相比，一般公共预算财政拨款</w:t>
      </w:r>
      <w:r>
        <w:rPr>
          <w:rFonts w:ascii="仿宋_GB2312" w:eastAsia="仿宋_GB2312" w:hint="eastAsia"/>
          <w:spacing w:val="-2"/>
          <w:sz w:val="32"/>
          <w:szCs w:val="32"/>
        </w:rPr>
        <w:t>支出</w:t>
      </w:r>
      <w:r>
        <w:rPr>
          <w:rFonts w:ascii="仿宋" w:eastAsia="仿宋" w:hint="eastAsia"/>
          <w:color w:val="000000"/>
          <w:sz w:val="32"/>
          <w:szCs w:val="32"/>
        </w:rPr>
        <w:t>增加466.89万元，</w:t>
      </w:r>
      <w:r>
        <w:rPr>
          <w:rFonts w:ascii="仿宋_GB2312" w:eastAsia="仿宋_GB2312" w:hint="eastAsia"/>
          <w:color w:val="000000"/>
          <w:spacing w:val="-2"/>
          <w:sz w:val="32"/>
          <w:szCs w:val="32"/>
        </w:rPr>
        <w:t>增加62%</w:t>
      </w:r>
      <w:r>
        <w:rPr>
          <w:rFonts w:ascii="仿宋_GB2312" w:eastAsia="仿宋_GB2312" w:hint="eastAsia"/>
          <w:spacing w:val="-2"/>
          <w:sz w:val="32"/>
          <w:szCs w:val="32"/>
        </w:rPr>
        <w:t>。</w:t>
      </w:r>
      <w:r>
        <w:rPr>
          <w:rFonts w:ascii="仿宋_GB2312" w:eastAsia="仿宋_GB2312" w:hint="eastAsia"/>
          <w:color w:val="000000"/>
          <w:spacing w:val="-2"/>
          <w:sz w:val="32"/>
          <w:szCs w:val="32"/>
        </w:rPr>
        <w:t>与2020年相比</w:t>
      </w:r>
      <w:r>
        <w:rPr>
          <w:rFonts w:ascii="仿宋_GB2312" w:eastAsia="仿宋_GB2312" w:hint="eastAsia"/>
          <w:spacing w:val="-2"/>
          <w:sz w:val="32"/>
          <w:szCs w:val="32"/>
        </w:rPr>
        <w:t>主要原因</w:t>
      </w:r>
      <w:r>
        <w:rPr>
          <w:rFonts w:ascii="仿宋_GB2312" w:eastAsia="仿宋_GB2312" w:hint="eastAsia"/>
          <w:color w:val="000000"/>
          <w:spacing w:val="-2"/>
          <w:sz w:val="32"/>
          <w:szCs w:val="32"/>
        </w:rPr>
        <w:t>2021年县级领导工作经费部分纳入超税收收入。</w:t>
      </w:r>
    </w:p>
    <w:p>
      <w:pPr>
        <w:snapToGrid w:val="0"/>
        <w:spacing w:line="500" w:lineRule="exact"/>
        <w:ind w:firstLineChars="200" w:firstLine="632"/>
        <w:rPr>
          <w:rFonts w:ascii="仿宋_GB2312" w:eastAsia="仿宋_GB2312"/>
          <w:color w:val="FF0000"/>
          <w:spacing w:val="-2"/>
          <w:sz w:val="32"/>
          <w:szCs w:val="32"/>
        </w:rPr>
      </w:pPr>
    </w:p>
    <w:p>
      <w:pPr>
        <w:snapToGrid w:val="0"/>
        <w:spacing w:line="500" w:lineRule="exact"/>
        <w:ind w:firstLineChars="200" w:firstLine="632"/>
        <w:rPr>
          <w:rFonts w:ascii="仿宋_GB2312" w:eastAsia="仿宋_GB2312"/>
          <w:spacing w:val="-2"/>
          <w:sz w:val="32"/>
          <w:szCs w:val="32"/>
        </w:rPr>
      </w:pPr>
    </w:p>
    <w:p>
      <w:pPr>
        <w:snapToGrid w:val="0"/>
        <w:spacing w:line="50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6"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52" w:name="_Toc15377211"/>
      <w:r>
        <w:rPr>
          <w:rFonts w:ascii="仿宋" w:eastAsia="仿宋" w:hint="eastAsia"/>
          <w:b/>
          <w:color w:val="000000"/>
          <w:sz w:val="32"/>
          <w:szCs w:val="32"/>
        </w:rPr>
        <w:t>（二）一般公共预算财政拨款支出决算结构情况</w:t>
      </w:r>
      <w:bookmarkEnd w:id="52"/>
    </w:p>
    <w:p>
      <w:pPr>
        <w:spacing w:line="5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21年一般公共预算财政拨款支出1220.45万元，主要用于以下方面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支出991.02万元，占81</w:t>
      </w:r>
      <w:r>
        <w:rPr>
          <w:rFonts w:ascii="仿宋" w:eastAsia="仿宋"/>
          <w:color w:val="000000"/>
          <w:sz w:val="32"/>
          <w:szCs w:val="32"/>
        </w:rPr>
        <w:t>%</w:t>
      </w:r>
      <w:r>
        <w:rPr>
          <w:rFonts w:ascii="仿宋" w:eastAsia="仿宋" w:hint="eastAsia"/>
          <w:color w:val="000000"/>
          <w:sz w:val="32"/>
          <w:szCs w:val="32"/>
        </w:rPr>
        <w:t>；国防支出50万元，占4%；教育支出0.28万元，占0.00%；</w:t>
      </w:r>
      <w:r>
        <w:rPr>
          <w:rFonts w:ascii="仿宋" w:eastAsia="仿宋" w:hint="eastAsia"/>
          <w:b/>
          <w:color w:val="000000"/>
          <w:sz w:val="32"/>
          <w:szCs w:val="32"/>
        </w:rPr>
        <w:t>社会保障和就业（类）</w:t>
      </w:r>
      <w:r>
        <w:rPr>
          <w:rFonts w:ascii="仿宋" w:eastAsia="仿宋" w:hint="eastAsia"/>
          <w:color w:val="000000"/>
          <w:sz w:val="32"/>
          <w:szCs w:val="32"/>
        </w:rPr>
        <w:t>支出82.84万元，占7</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卫生健康支出36.86</w:t>
      </w:r>
      <w:r>
        <w:rPr>
          <w:rFonts w:ascii="仿宋" w:eastAsia="仿宋" w:hint="eastAsia"/>
          <w:color w:val="000000"/>
          <w:sz w:val="32"/>
          <w:szCs w:val="32"/>
        </w:rPr>
        <w:t>万元，占3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rPr>
        <w:t>59.45万元，占5</w:t>
      </w:r>
      <w:r>
        <w:rPr>
          <w:rFonts w:ascii="仿宋" w:eastAsia="仿宋"/>
          <w:color w:val="000000"/>
          <w:sz w:val="32"/>
          <w:szCs w:val="32"/>
        </w:rPr>
        <w:t>%</w:t>
      </w:r>
      <w:r>
        <w:rPr>
          <w:rFonts w:ascii="仿宋" w:eastAsia="仿宋" w:hint="eastAsia"/>
          <w:color w:val="000000"/>
          <w:sz w:val="32"/>
          <w:szCs w:val="32"/>
        </w:rPr>
        <w:t>。</w:t>
      </w:r>
    </w:p>
    <w:p>
      <w:pPr>
        <w:spacing w:line="500" w:lineRule="exact"/>
        <w:ind w:firstLineChars="2600" w:firstLine="8320"/>
        <w:outlineLvl w:val="2"/>
        <w:rPr>
          <w:rFonts w:ascii="仿宋" w:eastAsia="仿宋"/>
          <w:b/>
          <w:color w:val="000000"/>
          <w:sz w:val="32"/>
          <w:szCs w:val="32"/>
        </w:rPr>
      </w:pPr>
      <w:bookmarkStart w:id="53" w:name="_Toc15377444"/>
      <w:bookmarkStart w:id="54" w:name="_Toc15377213"/>
      <w:bookmarkStart w:id="55" w:name="_Toc15378460"/>
      <w:r>
        <w:rPr>
          <w:rFonts w:ascii="仿宋" w:eastAsia="仿宋" w:hint="eastAsia"/>
          <w:color w:val="000000"/>
          <w:sz w:val="32"/>
          <w:szCs w:val="32"/>
        </w:rPr>
        <w:drawing>
          <wp:anchor distT="0" distB="0" distL="114300" distR="114300" simplePos="0" relativeHeight="28" behindDoc="0" locked="0" layoutInCell="1" hidden="0" allowOverlap="1">
            <wp:simplePos x="0" y="0"/>
            <wp:positionH relativeFrom="column">
              <wp:posOffset>549910</wp:posOffset>
            </wp:positionH>
            <wp:positionV relativeFrom="paragraph">
              <wp:posOffset>309245</wp:posOffset>
            </wp:positionV>
            <wp:extent cx="4571998" cy="2341245"/>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500" w:lineRule="exact"/>
        <w:ind w:firstLineChars="2600" w:firstLine="8320"/>
        <w:outlineLvl w:val="2"/>
        <w:rPr>
          <w:rFonts w:ascii="仿宋" w:eastAsia="仿宋"/>
          <w:b/>
          <w:color w:val="000000"/>
          <w:sz w:val="32"/>
          <w:szCs w:val="32"/>
        </w:rPr>
      </w:pPr>
    </w:p>
    <w:p>
      <w:pPr>
        <w:spacing w:line="500" w:lineRule="exact"/>
        <w:ind w:firstLineChars="200" w:firstLine="640"/>
        <w:outlineLvl w:val="2"/>
        <w:rPr>
          <w:rFonts w:ascii="仿宋" w:eastAsia="仿宋"/>
          <w:b/>
          <w:color w:val="000000"/>
          <w:sz w:val="32"/>
          <w:szCs w:val="32"/>
        </w:rPr>
      </w:pPr>
      <w:bookmarkStart w:id="56" w:name="_Toc15377212"/>
      <w:bookmarkStart w:id="57" w:name="_Toc18886"/>
      <w:r>
        <w:rPr>
          <w:rFonts w:ascii="仿宋" w:eastAsia="仿宋" w:hint="eastAsia"/>
          <w:b/>
          <w:color w:val="000000"/>
          <w:sz w:val="32"/>
          <w:szCs w:val="32"/>
        </w:rPr>
        <w:t>（三）一般公共预算财政拨款支出决算具体情况</w:t>
      </w:r>
      <w:bookmarkEnd w:id="56"/>
      <w:bookmarkEnd w:id="57"/>
    </w:p>
    <w:p>
      <w:pPr>
        <w:spacing w:line="500" w:lineRule="exact"/>
        <w:outlineLvl w:val="2"/>
        <w:rPr>
          <w:rFonts w:ascii="仿宋" w:eastAsia="仿宋"/>
          <w:bCs/>
          <w:color w:val="FF0000"/>
          <w:sz w:val="32"/>
          <w:szCs w:val="32"/>
        </w:rPr>
      </w:pPr>
      <w:r>
        <w:rPr>
          <w:rFonts w:ascii="仿宋" w:eastAsia="仿宋" w:hint="eastAsia"/>
          <w:bCs/>
          <w:color w:val="000000"/>
          <w:sz w:val="32"/>
          <w:szCs w:val="32"/>
        </w:rPr>
        <w:t xml:space="preserve">    </w:t>
      </w:r>
      <w:bookmarkStart w:id="58" w:name="_Toc26197"/>
      <w:r>
        <w:rPr>
          <w:rFonts w:ascii="仿宋" w:eastAsia="仿宋" w:hint="eastAsia"/>
          <w:bCs/>
          <w:color w:val="000000"/>
          <w:sz w:val="32"/>
          <w:szCs w:val="32"/>
        </w:rPr>
        <w:t>2021年一般公共预算数为1220.45万元，支出决算数为1220.45万元，完</w:t>
      </w:r>
      <w:r>
        <w:rPr>
          <w:rStyle w:val="22"/>
          <w:rFonts w:ascii="仿宋" w:eastAsia="仿宋" w:hint="eastAsia"/>
          <w:b w:val="0"/>
          <w:bCs/>
          <w:color w:val="000000"/>
          <w:sz w:val="32"/>
          <w:szCs w:val="32"/>
        </w:rPr>
        <w:t>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。其中：</w:t>
      </w:r>
      <w:bookmarkEnd w:id="53"/>
      <w:bookmarkEnd w:id="54"/>
      <w:bookmarkEnd w:id="55"/>
      <w:bookmarkEnd w:id="58"/>
    </w:p>
    <w:p>
      <w:pPr>
        <w:numPr>
          <w:ilvl w:val="0"/>
          <w:numId w:val="1"/>
        </w:numPr>
        <w:spacing w:line="500" w:lineRule="exact"/>
        <w:ind w:left="0" w:firstLineChars="200" w:firstLine="640"/>
        <w:rPr>
          <w:rStyle w:val="22"/>
          <w:rFonts w:ascii="仿宋" w:eastAsia="仿宋"/>
          <w:b w:val="0"/>
          <w:bCs/>
          <w:color w:val="000000"/>
          <w:sz w:val="32"/>
          <w:szCs w:val="32"/>
        </w:rPr>
      </w:pPr>
      <w:r>
        <w:rPr>
          <w:rStyle w:val="22"/>
          <w:rFonts w:ascii="仿宋" w:eastAsia="仿宋" w:hint="eastAsia"/>
          <w:bCs/>
          <w:color w:val="000000"/>
          <w:sz w:val="32"/>
          <w:szCs w:val="32"/>
        </w:rPr>
        <w:t>一般公共服务（类）政府办公厅（室）及相关机构事务（款）行政运行（项）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支出决算为991.02万元，完成预算100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500" w:lineRule="exact"/>
        <w:ind w:firstLineChars="200" w:firstLine="640"/>
        <w:rPr>
          <w:rStyle w:val="22"/>
          <w:rFonts w:ascii="仿宋" w:eastAsia="仿宋"/>
          <w:b w:val="0"/>
          <w:bCs/>
          <w:color w:val="000000"/>
          <w:sz w:val="32"/>
          <w:szCs w:val="32"/>
        </w:rPr>
      </w:pPr>
      <w:r>
        <w:rPr>
          <w:rStyle w:val="22"/>
          <w:rFonts w:ascii="仿宋_GB2312" w:eastAsia="仿宋_GB2312" w:hint="eastAsia"/>
          <w:sz w:val="32"/>
          <w:szCs w:val="32"/>
        </w:rPr>
        <w:t>2</w:t>
      </w:r>
      <w:r>
        <w:rPr>
          <w:rStyle w:val="22"/>
          <w:rFonts w:hint="eastAsia"/>
        </w:rPr>
        <w:t>、</w:t>
      </w:r>
      <w:r>
        <w:rPr>
          <w:rFonts w:ascii="仿宋_GB2312" w:eastAsia="仿宋_GB2312" w:hint="eastAsia"/>
          <w:b/>
          <w:color w:val="000000"/>
          <w:sz w:val="32"/>
          <w:szCs w:val="32"/>
        </w:rPr>
        <w:t>国防支出203（类）国防动员06（款）人民防空03（项）</w:t>
      </w:r>
      <w:r>
        <w:rPr>
          <w:rFonts w:ascii="仿宋_GB2312" w:eastAsia="仿宋_GB2312" w:hint="eastAsia"/>
          <w:b/>
          <w:sz w:val="32"/>
          <w:szCs w:val="32"/>
        </w:rPr>
        <w:t>：</w:t>
      </w:r>
      <w:r>
        <w:rPr>
          <w:rFonts w:ascii="仿宋_GB2312" w:eastAsia="仿宋_GB2312" w:hint="eastAsia"/>
          <w:sz w:val="32"/>
          <w:szCs w:val="32"/>
        </w:rPr>
        <w:t>支出决算数为50万元，完成初预算100%。</w:t>
      </w:r>
    </w:p>
    <w:p>
      <w:pPr>
        <w:spacing w:line="500" w:lineRule="exact"/>
        <w:ind w:firstLineChars="200" w:firstLine="640"/>
        <w:rPr>
          <w:rStyle w:val="22"/>
          <w:rFonts w:ascii="仿宋" w:eastAsia="仿宋"/>
          <w:b w:val="0"/>
          <w:bCs/>
          <w:color w:val="000000"/>
          <w:sz w:val="32"/>
          <w:szCs w:val="32"/>
        </w:rPr>
      </w:pPr>
      <w:r>
        <w:rPr>
          <w:rStyle w:val="22"/>
          <w:rFonts w:ascii="仿宋" w:eastAsia="仿宋" w:hint="eastAsia"/>
          <w:bCs/>
          <w:color w:val="000000"/>
          <w:sz w:val="32"/>
          <w:szCs w:val="32"/>
        </w:rPr>
        <w:t>3</w:t>
      </w:r>
      <w:r>
        <w:rPr>
          <w:rStyle w:val="22"/>
          <w:rFonts w:ascii="仿宋" w:eastAsia="仿宋"/>
          <w:bCs/>
          <w:color w:val="000000"/>
          <w:sz w:val="32"/>
          <w:szCs w:val="32"/>
        </w:rPr>
        <w:t>.</w:t>
      </w:r>
      <w:r>
        <w:rPr>
          <w:rStyle w:val="22"/>
          <w:rFonts w:ascii="仿宋" w:eastAsia="仿宋" w:hint="eastAsia"/>
          <w:bCs/>
          <w:color w:val="000000"/>
          <w:sz w:val="32"/>
          <w:szCs w:val="32"/>
        </w:rPr>
        <w:t>教育支出（款）进修及培训（项）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支出决算为0.29万元，完成预算100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500" w:lineRule="exact"/>
        <w:ind w:firstLineChars="200" w:firstLine="640"/>
        <w:rPr>
          <w:rFonts w:ascii="仿宋" w:eastAsia="仿宋"/>
          <w:b/>
          <w:color w:val="000000"/>
          <w:sz w:val="32"/>
          <w:szCs w:val="32"/>
        </w:rPr>
      </w:pPr>
      <w:r>
        <w:rPr>
          <w:rStyle w:val="22"/>
          <w:rFonts w:ascii="仿宋" w:eastAsia="仿宋" w:hint="eastAsia"/>
          <w:bCs/>
          <w:color w:val="000000"/>
          <w:sz w:val="32"/>
          <w:szCs w:val="32"/>
        </w:rPr>
        <w:t>4</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Cs/>
          <w:color w:val="000000"/>
          <w:sz w:val="32"/>
          <w:szCs w:val="32"/>
        </w:rPr>
        <w:t>社会保障和就业（类）行政事业单位离退休（款）机关事业单位基本养老保险缴费支出（项）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支出决算为55.26万元，完成预算100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500" w:lineRule="exact"/>
        <w:ind w:firstLineChars="200" w:firstLine="640"/>
        <w:rPr>
          <w:rStyle w:val="22"/>
          <w:rFonts w:ascii="仿宋" w:eastAsia="仿宋"/>
          <w:b w:val="0"/>
          <w:bCs/>
          <w:color w:val="000000"/>
          <w:sz w:val="32"/>
          <w:szCs w:val="32"/>
        </w:rPr>
      </w:pPr>
      <w:r>
        <w:rPr>
          <w:rStyle w:val="22"/>
          <w:rFonts w:ascii="仿宋" w:eastAsia="仿宋" w:hint="eastAsia"/>
          <w:bCs/>
          <w:color w:val="000000"/>
          <w:sz w:val="32"/>
          <w:szCs w:val="32"/>
        </w:rPr>
        <w:t>5</w:t>
      </w:r>
      <w:r>
        <w:rPr>
          <w:rStyle w:val="22"/>
          <w:rFonts w:ascii="仿宋" w:eastAsia="仿宋"/>
          <w:bCs/>
          <w:color w:val="000000"/>
          <w:sz w:val="32"/>
          <w:szCs w:val="32"/>
        </w:rPr>
        <w:t>.</w:t>
      </w:r>
      <w:r>
        <w:rPr>
          <w:rStyle w:val="22"/>
          <w:rFonts w:ascii="仿宋" w:eastAsia="仿宋" w:hint="eastAsia"/>
          <w:bCs/>
          <w:color w:val="000000"/>
          <w:sz w:val="32"/>
          <w:szCs w:val="32"/>
        </w:rPr>
        <w:t>社会保障和就业（类）行政事业单位离退休（款）机关事业单位基本职业年金缴费支出（项）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支出决算为27.58万元，完成预算100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500" w:lineRule="exact"/>
        <w:ind w:firstLineChars="200" w:firstLine="640"/>
        <w:rPr>
          <w:rFonts w:ascii="仿宋" w:eastAsia="仿宋"/>
          <w:color w:val="000000"/>
          <w:sz w:val="32"/>
          <w:szCs w:val="32"/>
        </w:rPr>
      </w:pPr>
      <w:r>
        <w:rPr>
          <w:rStyle w:val="22"/>
          <w:rFonts w:ascii="仿宋" w:eastAsia="仿宋" w:hint="eastAsia"/>
          <w:bCs/>
          <w:color w:val="000000"/>
          <w:sz w:val="32"/>
          <w:szCs w:val="32"/>
        </w:rPr>
        <w:t>6.卫生健康支出（类）行政事业单位医疗（款）行政单位医疗（项）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支出决算为25.51万元，完成预算100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500" w:lineRule="exact"/>
        <w:ind w:firstLineChars="200" w:firstLine="640"/>
        <w:rPr>
          <w:rFonts w:ascii="仿宋" w:eastAsia="仿宋"/>
          <w:color w:val="000000"/>
          <w:sz w:val="32"/>
          <w:szCs w:val="32"/>
        </w:rPr>
      </w:pPr>
      <w:r>
        <w:rPr>
          <w:rStyle w:val="22"/>
          <w:rFonts w:ascii="仿宋" w:eastAsia="仿宋" w:hint="eastAsia"/>
          <w:bCs/>
          <w:color w:val="000000"/>
          <w:sz w:val="32"/>
          <w:szCs w:val="32"/>
        </w:rPr>
        <w:t>7.卫生健康支出（类）行政事业单位医疗（款）公务员医疗补助（项）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支出决算为11.35万元，完成预算100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500" w:lineRule="exact"/>
        <w:ind w:firstLineChars="200" w:firstLine="640"/>
        <w:rPr>
          <w:rStyle w:val="22"/>
          <w:rFonts w:ascii="仿宋" w:eastAsia="仿宋"/>
          <w:b w:val="0"/>
          <w:bCs/>
          <w:color w:val="000000"/>
          <w:sz w:val="32"/>
          <w:szCs w:val="32"/>
        </w:rPr>
      </w:pPr>
      <w:bookmarkStart w:id="59" w:name="_Toc15377214"/>
      <w:r>
        <w:rPr>
          <w:rStyle w:val="22"/>
          <w:rFonts w:ascii="仿宋" w:eastAsia="仿宋" w:hint="eastAsia"/>
          <w:bCs/>
          <w:color w:val="000000"/>
          <w:sz w:val="32"/>
          <w:szCs w:val="32"/>
        </w:rPr>
        <w:t>8.住房保障（类）住房改革支出（款）住房公积金（项）：</w:t>
      </w:r>
      <w:r>
        <w:rPr>
          <w:rStyle w:val="22"/>
          <w:rFonts w:ascii="仿宋" w:eastAsia="仿宋" w:hint="eastAsia"/>
          <w:b w:val="0"/>
          <w:bCs/>
          <w:color w:val="000000"/>
          <w:sz w:val="32"/>
          <w:szCs w:val="32"/>
        </w:rPr>
        <w:t>支出决算为58.22万元，完成预算100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500" w:lineRule="exact"/>
        <w:ind w:firstLineChars="200" w:firstLine="640"/>
        <w:rPr>
          <w:rStyle w:val="22"/>
          <w:rFonts w:ascii="仿宋" w:eastAsia="仿宋"/>
          <w:bCs/>
          <w:color w:val="000000"/>
          <w:sz w:val="32"/>
          <w:szCs w:val="32"/>
        </w:rPr>
      </w:pPr>
      <w:r>
        <w:rPr>
          <w:rStyle w:val="22"/>
          <w:rFonts w:ascii="仿宋" w:eastAsia="仿宋" w:hint="eastAsia"/>
          <w:bCs/>
          <w:color w:val="000000"/>
          <w:sz w:val="32"/>
          <w:szCs w:val="32"/>
        </w:rPr>
        <w:t>9.住房保障（类）住房改革支出（款）购房补贴（项）：</w:t>
      </w:r>
      <w:r>
        <w:rPr>
          <w:rStyle w:val="22"/>
          <w:rFonts w:ascii="仿宋" w:eastAsia="仿宋" w:hint="eastAsia"/>
          <w:b w:val="0"/>
          <w:bCs/>
          <w:color w:val="000000"/>
          <w:sz w:val="32"/>
          <w:szCs w:val="32"/>
        </w:rPr>
        <w:t>支出决算为1.23万元，完成预算100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500" w:lineRule="exact"/>
        <w:ind w:firstLineChars="200"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59"/>
      <w:r>
        <w:rPr>
          <w:rStyle w:val="2Char"/>
          <w:rFonts w:ascii="黑体" w:eastAsia="黑体"/>
          <w:b w:val="0"/>
        </w:rPr>
        <w:tab/>
      </w:r>
    </w:p>
    <w:p>
      <w:pPr>
        <w:spacing w:line="5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21年一般公共预算财政拨款基本支出997.24万元，其中：</w:t>
      </w:r>
      <w:bookmarkStart w:id="60" w:name="_Toc15377215"/>
    </w:p>
    <w:p>
      <w:pPr>
        <w:spacing w:line="500" w:lineRule="exact"/>
        <w:ind w:firstLine="645"/>
        <w:rPr>
          <w:rFonts w:ascii="仿宋_GB2312" w:eastAsia="仿宋_GB2312"/>
          <w:sz w:val="32"/>
          <w:szCs w:val="32"/>
        </w:rPr>
      </w:pPr>
      <w:r>
        <w:rPr>
          <w:rFonts w:ascii="仿宋_GB2312" w:eastAsia="仿宋_GB2312" w:hint="eastAsia"/>
          <w:color w:val="000000"/>
          <w:sz w:val="32"/>
          <w:szCs w:val="32"/>
        </w:rPr>
        <w:t>人员经费839.59万元，主要包括：基本工资152.94万元、津贴补贴191.55万元、奖金12.74万元、</w:t>
      </w:r>
      <w:r>
        <w:rPr>
          <w:rFonts w:ascii="仿宋_GB2312" w:eastAsia="仿宋_GB2312" w:hint="eastAsia"/>
          <w:sz w:val="32"/>
          <w:szCs w:val="32"/>
        </w:rPr>
        <w:t>其他社会保障缴费6.29万元、生活补助38.28万元、奖励金259.87万元、</w:t>
      </w:r>
      <w:r>
        <w:rPr>
          <w:rFonts w:ascii="仿宋_GB2312" w:eastAsia="仿宋_GB2312" w:hint="eastAsia"/>
          <w:color w:val="000000"/>
          <w:sz w:val="32"/>
          <w:szCs w:val="32"/>
        </w:rPr>
        <w:t>机关事业单位基本养老保险缴费55.26万元、职业年金缴费27.57万元、</w:t>
      </w:r>
      <w:r>
        <w:rPr>
          <w:rFonts w:ascii="仿宋_GB2312" w:eastAsia="仿宋_GB2312" w:hint="eastAsia"/>
          <w:sz w:val="32"/>
          <w:szCs w:val="32"/>
        </w:rPr>
        <w:t>职工基本医疗保险缴费25.51元、公务员医疗补助11.35万元，住房公积金58.22万元；</w:t>
      </w:r>
    </w:p>
    <w:p>
      <w:pPr>
        <w:spacing w:line="500" w:lineRule="exact"/>
        <w:ind w:firstLine="645"/>
        <w:rPr>
          <w:rFonts w:ascii="仿宋_GB2312" w:eastAsia="仿宋_GB2312"/>
          <w:color w:val="000000"/>
          <w:sz w:val="32"/>
          <w:szCs w:val="32"/>
        </w:rPr>
      </w:pPr>
      <w:r>
        <w:rPr>
          <w:rFonts w:ascii="仿宋_GB2312" w:eastAsia="仿宋_GB2312" w:hint="eastAsia"/>
          <w:color w:val="000000"/>
          <w:sz w:val="32"/>
          <w:szCs w:val="32"/>
        </w:rPr>
        <w:t>公用经费157.65万元，主要包括：办公费12.28万元、手续费0.1万元、水费0.3万元、电费3.5万元、邮电费11万元、物业管理费3.02万元、取暖费0万元、差旅费55万元、维修（护）费0.5万元、租赁费0万元、会议费1万元、公务接待费0万元、劳务费0.5万元、公务用车运行维护费70万元、其他交通费0.45元。</w:t>
      </w:r>
    </w:p>
    <w:p>
      <w:pPr>
        <w:spacing w:line="500" w:lineRule="exact"/>
        <w:ind w:firstLineChars="200" w:firstLine="640"/>
        <w:outlineLvl w:val="1"/>
        <w:rPr>
          <w:rFonts w:ascii="仿宋_GB2312" w:eastAsia="仿宋_GB2312"/>
          <w:color w:val="000000"/>
          <w:sz w:val="32"/>
          <w:szCs w:val="32"/>
        </w:rPr>
      </w:pPr>
      <w:bookmarkStart w:id="61" w:name="_Toc23811"/>
      <w:bookmarkStart w:id="62" w:name="_Toc25223"/>
      <w:r>
        <w:rPr>
          <w:rFonts w:ascii="仿宋" w:eastAsia="仿宋"/>
          <w:color w:val="000000"/>
          <w:sz w:val="32"/>
          <w:szCs w:val="32"/>
        </w:rPr>
        <w:t>20</w:t>
      </w:r>
      <w:r>
        <w:rPr>
          <w:rFonts w:ascii="仿宋" w:eastAsia="仿宋" w:hint="eastAsia"/>
          <w:color w:val="000000"/>
          <w:sz w:val="32"/>
          <w:szCs w:val="32"/>
        </w:rPr>
        <w:t>21年一般公共预算财政拨款</w:t>
      </w:r>
      <w:r>
        <w:rPr>
          <w:rFonts w:ascii="仿宋_GB2312" w:eastAsia="仿宋_GB2312" w:hint="eastAsia"/>
          <w:color w:val="000000"/>
          <w:sz w:val="32"/>
          <w:szCs w:val="32"/>
        </w:rPr>
        <w:t>项目支出223.21万元，其中：培训费0.29万元、国防支出50万元、其他政府办公厅（室）及相关机构事务支出（公务用车运行费、维修房顶、网络更新、办公运转等）172.92万元。</w:t>
      </w:r>
      <w:bookmarkEnd w:id="61"/>
      <w:bookmarkEnd w:id="62"/>
    </w:p>
    <w:p>
      <w:pPr>
        <w:spacing w:line="500" w:lineRule="exact"/>
        <w:ind w:firstLineChars="200" w:firstLine="640"/>
        <w:outlineLvl w:val="1"/>
        <w:rPr>
          <w:rStyle w:val="2Char"/>
          <w:rFonts w:ascii="黑体" w:eastAsia="黑体"/>
          <w:b w:val="0"/>
        </w:rPr>
      </w:pPr>
      <w:bookmarkStart w:id="63" w:name="_Toc11884"/>
      <w:bookmarkStart w:id="64" w:name="_Toc7366"/>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60"/>
      <w:bookmarkEnd w:id="63"/>
      <w:bookmarkEnd w:id="64"/>
    </w:p>
    <w:p>
      <w:pPr>
        <w:spacing w:line="500" w:lineRule="exact"/>
        <w:ind w:firstLine="640"/>
        <w:outlineLvl w:val="2"/>
        <w:rPr>
          <w:rFonts w:ascii="仿宋" w:eastAsia="仿宋"/>
          <w:b/>
          <w:color w:val="000000"/>
          <w:sz w:val="32"/>
          <w:szCs w:val="32"/>
        </w:rPr>
      </w:pPr>
      <w:bookmarkStart w:id="65" w:name="_Toc15377216"/>
      <w:bookmarkStart w:id="66" w:name="_Toc13370"/>
      <w:r>
        <w:rPr>
          <w:rFonts w:ascii="仿宋" w:eastAsia="仿宋" w:hint="eastAsia"/>
          <w:b/>
          <w:color w:val="000000"/>
          <w:sz w:val="32"/>
          <w:szCs w:val="32"/>
        </w:rPr>
        <w:t>（一）“三公”经费财政拨款支出决算总体情况说明</w:t>
      </w:r>
      <w:bookmarkEnd w:id="65"/>
      <w:bookmarkEnd w:id="66"/>
    </w:p>
    <w:p>
      <w:pPr>
        <w:spacing w:line="5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21年“三公”经费财政拨款支出决算为107.58万元，完成预算100</w:t>
      </w:r>
      <w:r>
        <w:rPr>
          <w:rFonts w:ascii="仿宋" w:eastAsia="仿宋"/>
          <w:color w:val="000000"/>
          <w:sz w:val="32"/>
          <w:szCs w:val="32"/>
        </w:rPr>
        <w:t>%</w:t>
      </w:r>
      <w:r>
        <w:rPr>
          <w:rFonts w:ascii="仿宋" w:eastAsia="仿宋" w:hint="eastAsia"/>
          <w:color w:val="000000"/>
          <w:sz w:val="32"/>
          <w:szCs w:val="32"/>
        </w:rPr>
        <w:t>，决算数107.58万元(包括年初预算数10万元,超税收收入97.58万元)。</w:t>
      </w:r>
      <w:r>
        <w:rPr>
          <w:rFonts w:ascii="仿宋" w:eastAsia="仿宋"/>
          <w:color w:val="000000"/>
          <w:sz w:val="32"/>
          <w:szCs w:val="32"/>
        </w:rPr>
        <w:t>其原因是年初预算只有预算人员经费金额30余万元，其中公务用车运行经费就预算10万元。没有包涵县级领导工作经费和16台车辆运行经费。</w:t>
      </w:r>
    </w:p>
    <w:p>
      <w:pPr>
        <w:spacing w:line="500" w:lineRule="exact"/>
        <w:ind w:firstLine="640"/>
        <w:outlineLvl w:val="2"/>
        <w:rPr>
          <w:rFonts w:ascii="仿宋" w:eastAsia="仿宋"/>
          <w:b/>
          <w:color w:val="000000"/>
          <w:sz w:val="32"/>
          <w:szCs w:val="32"/>
        </w:rPr>
      </w:pPr>
      <w:bookmarkStart w:id="67" w:name="_Toc15377217"/>
      <w:bookmarkStart w:id="68" w:name="_Toc25402"/>
      <w:r>
        <w:rPr>
          <w:rFonts w:ascii="仿宋" w:eastAsia="仿宋" w:hint="eastAsia"/>
          <w:b/>
          <w:color w:val="000000"/>
          <w:sz w:val="32"/>
          <w:szCs w:val="32"/>
        </w:rPr>
        <w:t>（二）“三公”经费财政拨款支出决算具体情况说明</w:t>
      </w:r>
      <w:bookmarkEnd w:id="67"/>
      <w:bookmarkEnd w:id="68"/>
    </w:p>
    <w:p>
      <w:pPr>
        <w:spacing w:line="5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w:t>
      </w:r>
      <w:r>
        <w:rPr>
          <w:rFonts w:ascii="仿宋" w:eastAsia="仿宋" w:hint="eastAsia"/>
          <w:sz w:val="32"/>
          <w:szCs w:val="32"/>
        </w:rPr>
        <w:t>决算107.58万元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；公务用车购置及运行维护费支出决算10万元，占100</w:t>
      </w:r>
      <w:r>
        <w:rPr>
          <w:rFonts w:ascii="仿宋" w:eastAsia="仿宋"/>
          <w:color w:val="000000"/>
          <w:sz w:val="32"/>
          <w:szCs w:val="32"/>
        </w:rPr>
        <w:t>%</w:t>
      </w:r>
      <w:r>
        <w:rPr>
          <w:rFonts w:ascii="仿宋" w:eastAsia="仿宋" w:hint="eastAsia"/>
          <w:color w:val="000000"/>
          <w:sz w:val="32"/>
          <w:szCs w:val="32"/>
        </w:rPr>
        <w:t>；公务接待费支出决算0万元，占0</w:t>
      </w:r>
      <w:r>
        <w:rPr>
          <w:rFonts w:ascii="仿宋" w:eastAsia="仿宋"/>
          <w:color w:val="000000"/>
          <w:sz w:val="32"/>
          <w:szCs w:val="32"/>
        </w:rPr>
        <w:t>%</w:t>
      </w:r>
      <w:r>
        <w:rPr>
          <w:rFonts w:ascii="仿宋" w:eastAsia="仿宋" w:hint="eastAsia"/>
          <w:color w:val="000000"/>
          <w:sz w:val="32"/>
          <w:szCs w:val="32"/>
        </w:rPr>
        <w:t>。具体情况如下：</w:t>
      </w:r>
    </w:p>
    <w:p>
      <w:pPr>
        <w:spacing w:line="500" w:lineRule="exact"/>
        <w:ind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30" behindDoc="0" locked="0" layoutInCell="1" hidden="0" allowOverlap="1">
            <wp:simplePos x="0" y="0"/>
            <wp:positionH relativeFrom="column">
              <wp:posOffset>239395</wp:posOffset>
            </wp:positionH>
            <wp:positionV relativeFrom="paragraph">
              <wp:posOffset>147320</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500" w:lineRule="exact"/>
        <w:ind w:firstLineChars="200" w:firstLine="640"/>
        <w:rPr>
          <w:rStyle w:val="22"/>
          <w:rFonts w:ascii="仿宋" w:eastAsia="仿宋"/>
          <w:b w:val="0"/>
          <w:bCs/>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2"/>
          <w:rFonts w:ascii="仿宋" w:eastAsia="仿宋" w:hint="eastAsia"/>
          <w:b w:val="0"/>
          <w:bCs/>
          <w:color w:val="000000"/>
          <w:sz w:val="32"/>
          <w:szCs w:val="32"/>
        </w:rPr>
        <w:t>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500" w:lineRule="exact"/>
        <w:ind w:firstLineChars="200" w:firstLine="640"/>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hint="eastAsia"/>
          <w:sz w:val="32"/>
          <w:szCs w:val="32"/>
        </w:rPr>
        <w:t>107.58</w:t>
      </w:r>
      <w:r>
        <w:rPr>
          <w:rFonts w:ascii="仿宋_GB2312" w:eastAsia="仿宋_GB2312" w:hint="eastAsia"/>
          <w:color w:val="000000"/>
          <w:sz w:val="32"/>
          <w:szCs w:val="32"/>
        </w:rPr>
        <w:t>万元,</w:t>
      </w:r>
      <w:r>
        <w:rPr>
          <w:rStyle w:val="22"/>
          <w:rFonts w:ascii="仿宋" w:eastAsia="仿宋" w:hint="eastAsia"/>
          <w:b w:val="0"/>
          <w:bCs/>
          <w:color w:val="000000"/>
          <w:sz w:val="32"/>
          <w:szCs w:val="32"/>
        </w:rPr>
        <w:t>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公务用车购置及运行维护费支出决算比2020年</w:t>
      </w:r>
      <w:r>
        <w:rPr>
          <w:rFonts w:ascii="仿宋_GB2312" w:eastAsia="仿宋_GB2312" w:hint="eastAsia"/>
          <w:color w:val="333333"/>
          <w:sz w:val="32"/>
          <w:szCs w:val="32"/>
        </w:rPr>
        <w:t>公务用车购置及运行维护费支出决算</w:t>
      </w:r>
      <w:r>
        <w:rPr>
          <w:rFonts w:ascii="仿宋_GB2312" w:eastAsia="仿宋_GB2312" w:hint="eastAsia"/>
          <w:color w:val="000000"/>
          <w:sz w:val="32"/>
          <w:szCs w:val="32"/>
        </w:rPr>
        <w:t>增加97.58万元</w:t>
      </w:r>
      <w:r>
        <w:rPr>
          <w:rFonts w:ascii="仿宋_GB2312" w:eastAsia="仿宋_GB2312" w:hint="eastAsia"/>
          <w:color w:val="333333"/>
          <w:sz w:val="32"/>
          <w:szCs w:val="32"/>
        </w:rPr>
        <w:t>，</w:t>
      </w:r>
      <w:r>
        <w:rPr>
          <w:rFonts w:ascii="仿宋_GB2312" w:eastAsia="仿宋_GB2312" w:hint="eastAsia"/>
          <w:color w:val="000000"/>
          <w:spacing w:val="-2"/>
          <w:sz w:val="32"/>
          <w:szCs w:val="32"/>
        </w:rPr>
        <w:t>2021年县级领导工作经费部分纳入超税收收入。</w:t>
      </w: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日，共有车辆16辆，其中：部级领导干部用车0辆、主要领导干部用车0辆、机要通信用车0辆、应急保障用车16辆、执法执勤用车0辆、特种专业技术用车0辆、离退休干部用车0辆、其他用车0辆；</w:t>
      </w:r>
      <w:r>
        <w:rPr>
          <w:rFonts w:ascii="仿宋_GB2312" w:eastAsia="仿宋_GB2312" w:hint="eastAsia"/>
          <w:b/>
          <w:color w:val="000000"/>
          <w:sz w:val="32"/>
          <w:szCs w:val="32"/>
        </w:rPr>
        <w:t>公务用车运行维护费支出</w:t>
      </w:r>
      <w:r>
        <w:rPr>
          <w:rFonts w:ascii="仿宋_GB2312" w:eastAsia="仿宋_GB2312" w:hint="eastAsia"/>
          <w:sz w:val="32"/>
          <w:szCs w:val="32"/>
        </w:rPr>
        <w:t>107.58万元。</w:t>
      </w:r>
      <w:r>
        <w:rPr>
          <w:rFonts w:ascii="仿宋_GB2312" w:eastAsia="仿宋_GB2312" w:hint="eastAsia"/>
          <w:color w:val="000000"/>
          <w:sz w:val="32"/>
          <w:szCs w:val="32"/>
        </w:rPr>
        <w:t>主要用我单位所需的公务用车燃料费、维修费、过路过桥费、保险费等支出。</w:t>
      </w:r>
    </w:p>
    <w:p>
      <w:pPr>
        <w:numPr>
          <w:ilvl w:val="0"/>
          <w:numId w:val="2"/>
        </w:numPr>
        <w:spacing w:line="500" w:lineRule="exact"/>
        <w:ind w:left="0" w:firstLine="640"/>
        <w:rPr>
          <w:rFonts w:ascii="仿宋_GB2312" w:eastAsia="仿宋_GB2312"/>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2"/>
          <w:rFonts w:ascii="仿宋" w:eastAsia="仿宋" w:hint="eastAsia"/>
          <w:b w:val="0"/>
          <w:bCs/>
          <w:color w:val="000000"/>
          <w:sz w:val="32"/>
          <w:szCs w:val="32"/>
        </w:rPr>
        <w:t>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r>
        <w:rPr>
          <w:rFonts w:ascii="仿宋_GB2312" w:eastAsia="仿宋_GB2312" w:cs="仿宋" w:hint="eastAsia"/>
          <w:color w:val="000000"/>
          <w:sz w:val="32"/>
          <w:szCs w:val="32"/>
        </w:rPr>
        <w:t>公务接待费0万元，较上年一致。</w:t>
      </w: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69" w:name="_Toc15377218"/>
    </w:p>
    <w:p>
      <w:pPr>
        <w:spacing w:line="500" w:lineRule="exact"/>
        <w:ind w:firstLine="640"/>
        <w:outlineLvl w:val="1"/>
        <w:rPr>
          <w:rStyle w:val="2Char"/>
          <w:rFonts w:ascii="黑体" w:eastAsia="黑体"/>
        </w:rPr>
      </w:pPr>
      <w:bookmarkStart w:id="70" w:name="_Toc30952"/>
      <w:bookmarkStart w:id="71" w:name="_Toc24150"/>
      <w:r>
        <w:rPr>
          <w:rFonts w:ascii="黑体" w:eastAsia="黑体" w:hint="eastAsia"/>
          <w:color w:val="000000"/>
          <w:sz w:val="32"/>
          <w:szCs w:val="32"/>
        </w:rPr>
        <w:t>八、</w:t>
      </w:r>
      <w:r>
        <w:rPr>
          <w:rStyle w:val="2Char"/>
          <w:rFonts w:ascii="黑体" w:eastAsia="黑体" w:hint="eastAsia"/>
          <w:b w:val="0"/>
        </w:rPr>
        <w:t>政府性基金预算支出决算情况说明</w:t>
      </w:r>
      <w:bookmarkEnd w:id="69"/>
      <w:bookmarkEnd w:id="70"/>
      <w:bookmarkEnd w:id="71"/>
    </w:p>
    <w:p>
      <w:pPr>
        <w:spacing w:line="5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21年政府性基金预算拨款支出0万元。</w:t>
      </w:r>
    </w:p>
    <w:p>
      <w:pPr>
        <w:numPr>
          <w:ilvl w:val="0"/>
          <w:numId w:val="3"/>
        </w:numPr>
        <w:spacing w:line="500" w:lineRule="exact"/>
        <w:ind w:left="0" w:firstLine="640"/>
        <w:outlineLvl w:val="1"/>
        <w:rPr>
          <w:rStyle w:val="2Char"/>
          <w:rFonts w:ascii="黑体" w:eastAsia="黑体"/>
          <w:b w:val="0"/>
        </w:rPr>
      </w:pPr>
      <w:bookmarkStart w:id="72" w:name="_Toc29052"/>
      <w:bookmarkStart w:id="73" w:name="_Toc15377219"/>
      <w:bookmarkStart w:id="74" w:name="_Toc23584"/>
      <w:r>
        <w:rPr>
          <w:rStyle w:val="2Char"/>
          <w:rFonts w:ascii="黑体" w:eastAsia="黑体" w:hint="eastAsia"/>
          <w:b w:val="0"/>
        </w:rPr>
        <w:t>国有资本经营预算支出决算情况说明</w:t>
      </w:r>
      <w:bookmarkEnd w:id="72"/>
      <w:bookmarkEnd w:id="73"/>
      <w:bookmarkEnd w:id="74"/>
    </w:p>
    <w:p>
      <w:pPr>
        <w:spacing w:line="5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21年国有资本经营预算拨款支出0万元。</w:t>
      </w:r>
    </w:p>
    <w:p>
      <w:pPr>
        <w:spacing w:line="560" w:lineRule="exact"/>
        <w:ind w:firstLineChars="250" w:firstLine="800"/>
        <w:outlineLvl w:val="1"/>
        <w:rPr>
          <w:rStyle w:val="2Char"/>
          <w:rFonts w:ascii="黑体" w:eastAsia="黑体"/>
        </w:rPr>
      </w:pPr>
      <w:bookmarkStart w:id="75" w:name="_Toc15396612"/>
      <w:bookmarkStart w:id="76" w:name="_Toc79163624"/>
      <w:bookmarkStart w:id="77" w:name="_Toc16148"/>
      <w:bookmarkStart w:id="78" w:name="_Toc787"/>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75"/>
      <w:bookmarkEnd w:id="76"/>
      <w:bookmarkEnd w:id="77"/>
    </w:p>
    <w:p>
      <w:pPr>
        <w:spacing w:line="500" w:lineRule="exact"/>
        <w:ind w:firstLineChars="200" w:firstLine="640"/>
        <w:outlineLvl w:val="2"/>
        <w:rPr>
          <w:rFonts w:ascii="仿宋" w:eastAsia="仿宋"/>
          <w:color w:val="000000"/>
          <w:sz w:val="32"/>
          <w:szCs w:val="32"/>
        </w:rPr>
      </w:pPr>
      <w:bookmarkStart w:id="79" w:name="_Toc17452"/>
      <w:r>
        <w:rPr>
          <w:rFonts w:ascii="仿宋" w:eastAsia="仿宋" w:hint="eastAsia"/>
          <w:b/>
          <w:color w:val="000000"/>
          <w:sz w:val="32"/>
          <w:szCs w:val="32"/>
        </w:rPr>
        <w:t>（一）机关运行经费支出情况</w:t>
      </w:r>
      <w:bookmarkEnd w:id="79"/>
    </w:p>
    <w:p>
      <w:pPr>
        <w:spacing w:line="500" w:lineRule="exact"/>
        <w:ind w:firstLineChars="200" w:firstLine="640"/>
        <w:rPr>
          <w:rFonts w:ascii="仿宋_GB2312" w:eastAsia="仿宋_GB2312"/>
          <w:sz w:val="32"/>
          <w:szCs w:val="32"/>
        </w:rPr>
      </w:pPr>
      <w:r>
        <w:rPr>
          <w:rFonts w:ascii="仿宋_GB2312" w:eastAsia="仿宋_GB2312" w:hint="eastAsia"/>
          <w:color w:val="000000"/>
          <w:sz w:val="32"/>
          <w:szCs w:val="32"/>
        </w:rPr>
        <w:t>2021年度，金川县人民政府办机关运行经费支出157.65万元，2020年机关运行经费支出41.95万元，比2020年115.7万元。主要是办公费、租赁费、邮电费、差旅费、公务用车运行维护费等。</w:t>
      </w:r>
    </w:p>
    <w:p>
      <w:pPr>
        <w:autoSpaceDE w:val="0"/>
        <w:autoSpaceDN w:val="0"/>
        <w:adjustRightInd w:val="0"/>
        <w:spacing w:line="500" w:lineRule="exact"/>
        <w:ind w:firstLineChars="200" w:firstLine="640"/>
        <w:jc w:val="left"/>
        <w:outlineLvl w:val="2"/>
        <w:rPr>
          <w:rFonts w:ascii="仿宋" w:eastAsia="仿宋"/>
          <w:b/>
          <w:color w:val="000000"/>
          <w:sz w:val="32"/>
          <w:szCs w:val="32"/>
        </w:rPr>
      </w:pPr>
      <w:bookmarkStart w:id="80" w:name="_Toc15377223"/>
      <w:bookmarkStart w:id="81" w:name="_Toc8760"/>
      <w:r>
        <w:rPr>
          <w:rFonts w:ascii="仿宋" w:eastAsia="仿宋" w:hint="eastAsia"/>
          <w:b/>
          <w:color w:val="000000"/>
          <w:sz w:val="32"/>
          <w:szCs w:val="32"/>
        </w:rPr>
        <w:t>（二）政府采购支出情况</w:t>
      </w:r>
      <w:bookmarkEnd w:id="80"/>
      <w:bookmarkEnd w:id="81"/>
    </w:p>
    <w:p>
      <w:pPr>
        <w:spacing w:line="500" w:lineRule="exact"/>
        <w:ind w:firstLineChars="200" w:firstLine="640"/>
        <w:rPr>
          <w:rFonts w:ascii="仿宋_GB2312" w:eastAsia="仿宋_GB2312"/>
          <w:color w:val="000000"/>
          <w:sz w:val="32"/>
          <w:szCs w:val="32"/>
        </w:rPr>
      </w:pPr>
      <w:bookmarkStart w:id="82" w:name="_Toc15377224"/>
      <w:r>
        <w:rPr>
          <w:rFonts w:ascii="仿宋_GB2312" w:eastAsia="仿宋_GB2312" w:hint="eastAsia"/>
          <w:color w:val="000000"/>
          <w:sz w:val="32"/>
          <w:szCs w:val="32"/>
        </w:rPr>
        <w:t>2021年度，金川县人民政府办政府采购合同总价格77.15万元，其中：办公设备购置50万元，信息网络及软件购置更新27.15万元。</w:t>
      </w:r>
      <w:r>
        <w:rPr>
          <w:rFonts w:ascii="仿宋_GB2312" w:eastAsia="仿宋_GB2312"/>
          <w:color w:val="000000"/>
          <w:sz w:val="32"/>
          <w:szCs w:val="32"/>
        </w:rPr>
        <w:t>其中：中小型企业为27.15元，占采购总额35%。</w:t>
      </w:r>
    </w:p>
    <w:p>
      <w:pPr>
        <w:autoSpaceDE w:val="0"/>
        <w:autoSpaceDN w:val="0"/>
        <w:adjustRightInd w:val="0"/>
        <w:spacing w:line="500" w:lineRule="exact"/>
        <w:ind w:firstLineChars="200" w:firstLine="640"/>
        <w:jc w:val="left"/>
        <w:outlineLvl w:val="2"/>
        <w:rPr>
          <w:rFonts w:ascii="仿宋" w:eastAsia="仿宋"/>
          <w:b/>
          <w:color w:val="000000"/>
          <w:sz w:val="32"/>
          <w:szCs w:val="32"/>
        </w:rPr>
      </w:pPr>
      <w:bookmarkStart w:id="83" w:name="_Toc6794"/>
      <w:r>
        <w:rPr>
          <w:rFonts w:ascii="仿宋" w:eastAsia="仿宋" w:hint="eastAsia"/>
          <w:b/>
          <w:color w:val="000000"/>
          <w:sz w:val="32"/>
          <w:szCs w:val="32"/>
        </w:rPr>
        <w:t>（三）国有资产占有使用情况</w:t>
      </w:r>
      <w:bookmarkEnd w:id="82"/>
      <w:bookmarkEnd w:id="83"/>
    </w:p>
    <w:p>
      <w:pPr>
        <w:widowControl/>
        <w:spacing w:line="5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日，共有车辆16辆，为日常工作及应急保障用车。</w:t>
      </w:r>
      <w:bookmarkEnd w:id="78"/>
    </w:p>
    <w:p>
      <w:pPr>
        <w:autoSpaceDE w:val="0"/>
        <w:autoSpaceDN w:val="0"/>
        <w:adjustRightInd w:val="0"/>
        <w:spacing w:line="560" w:lineRule="exact"/>
        <w:ind w:firstLineChars="200" w:firstLine="640"/>
        <w:jc w:val="left"/>
        <w:outlineLvl w:val="2"/>
        <w:rPr>
          <w:rFonts w:ascii="仿宋" w:eastAsia="仿宋"/>
          <w:b/>
          <w:color w:val="000000"/>
          <w:sz w:val="32"/>
          <w:szCs w:val="32"/>
        </w:rPr>
      </w:pPr>
      <w:bookmarkStart w:id="84" w:name="_Toc79163628"/>
      <w:bookmarkStart w:id="85" w:name="_Toc10982"/>
      <w:r>
        <w:rPr>
          <w:rFonts w:ascii="仿宋" w:eastAsia="仿宋" w:hint="eastAsia"/>
          <w:b/>
          <w:color w:val="000000"/>
          <w:sz w:val="32"/>
          <w:szCs w:val="32"/>
        </w:rPr>
        <w:t>（四）预算绩效管理情况。</w:t>
      </w:r>
      <w:bookmarkEnd w:id="84"/>
      <w:bookmarkEnd w:id="85"/>
    </w:p>
    <w:p>
      <w:pPr>
        <w:spacing w:line="500" w:lineRule="exact"/>
        <w:ind w:firstLineChars="300" w:firstLine="96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对1个项目编制了绩效目标，预算执行过程中，选取1个项目开展绩效监控，年终执行完毕后，对1个项目开展了绩效目标完成情况梳理填报。</w:t>
      </w:r>
    </w:p>
    <w:p>
      <w:pPr>
        <w:spacing w:line="5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本部门按要求对2021年部门整体支出开展绩效自评，</w:t>
      </w:r>
      <w:r>
        <w:rPr>
          <w:rFonts w:ascii="仿宋_GB2312" w:eastAsia="仿宋_GB2312" w:hint="eastAsia"/>
          <w:sz w:val="32"/>
          <w:szCs w:val="32"/>
        </w:rPr>
        <w:t>经全面综合评价，我单位预算支出绩效自评得分75</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61.95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。本单位还自行组织了1个项目绩效评价，从评价情况来看我单位年初预算项目基本按照绩效目标完成支付，合同期限为3年分季度进行支付。</w:t>
      </w:r>
    </w:p>
    <w:p>
      <w:pPr>
        <w:spacing w:line="500" w:lineRule="exact"/>
        <w:ind w:firstLineChars="200" w:firstLine="640"/>
        <w:rPr>
          <w:rFonts w:ascii="仿宋_GB2312" w:eastAsia="仿宋_GB2312" w:cs="仿宋_GB2312"/>
          <w:sz w:val="32"/>
          <w:szCs w:val="32"/>
        </w:rPr>
      </w:pPr>
      <w:r>
        <w:rPr>
          <w:rFonts w:ascii="仿宋" w:eastAsia="仿宋" w:cs="楷体_GB2312" w:hint="eastAsia"/>
          <w:b/>
          <w:bCs/>
          <w:sz w:val="32"/>
          <w:szCs w:val="32"/>
        </w:rPr>
        <w:t>1.项目绩效目标完成情况。</w:t>
      </w:r>
    </w:p>
    <w:p>
      <w:pPr>
        <w:spacing w:line="500" w:lineRule="exact"/>
        <w:rPr>
          <w:rFonts w:ascii="仿宋_GB2312" w:eastAsia="仿宋_GB2312" w:cs="仿宋_GB2312"/>
          <w:sz w:val="32"/>
          <w:szCs w:val="32"/>
        </w:rPr>
      </w:pPr>
      <w:r>
        <w:rPr>
          <w:rFonts w:ascii="仿宋_GB2312" w:eastAsia="仿宋_GB2312" w:cs="仿宋_GB2312" w:hint="eastAsia"/>
          <w:sz w:val="32"/>
          <w:szCs w:val="32"/>
        </w:rPr>
        <w:t>本部门在2021年度部门决算中有个项目反映四川省政府视频会议系统终端更新。</w:t>
      </w:r>
    </w:p>
    <w:p>
      <w:pPr>
        <w:spacing w:line="5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四川省政府视频会议系统终端更新项目绩效目标完成情况综述。项目预算数5万元，执行数为4.7万元，完成预算的94%。</w:t>
      </w:r>
    </w:p>
    <w:p>
      <w:pPr>
        <w:spacing w:line="500" w:lineRule="exact"/>
        <w:ind w:firstLineChars="200" w:firstLine="640"/>
        <w:rPr>
          <w:rFonts w:ascii="仿宋_GB2312" w:eastAsia="仿宋_GB2312" w:cs="仿宋_GB2312"/>
          <w:sz w:val="32"/>
          <w:szCs w:val="32"/>
        </w:rPr>
      </w:pPr>
    </w:p>
    <w:p>
      <w:pPr>
        <w:spacing w:line="500" w:lineRule="exact"/>
        <w:ind w:firstLineChars="200" w:firstLine="640"/>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8"/>
              <w:widowControl/>
              <w:spacing w:line="500" w:lineRule="exact"/>
              <w:ind w:leftChars="1310" w:left="4173" w:hangingChars="395" w:hanging="1422"/>
              <w:textAlignment w:val="center"/>
              <w:rPr>
                <w:rFonts w:ascii="黑体" w:eastAsia="黑体" w:cs="宋体"/>
                <w:bCs/>
                <w:color w:val="000000"/>
                <w:kern w:val="0"/>
                <w:sz w:val="36"/>
                <w:szCs w:val="36"/>
              </w:rPr>
            </w:pPr>
            <w:r>
              <w:rPr>
                <w:rFonts w:ascii="黑体" w:eastAsia="黑体" w:cs="宋体" w:hint="eastAsia"/>
                <w:bCs/>
                <w:color w:val="000000"/>
                <w:kern w:val="0"/>
                <w:sz w:val="36"/>
                <w:szCs w:val="36"/>
              </w:rPr>
              <w:t>项目支出绩效目标完成情况表</w:t>
            </w:r>
          </w:p>
          <w:p>
            <w:pPr>
              <w:pStyle w:val="28"/>
              <w:widowControl/>
              <w:spacing w:line="500" w:lineRule="exact"/>
              <w:ind w:leftChars="1823" w:left="4170" w:hangingChars="95" w:hanging="342"/>
              <w:textAlignment w:val="center"/>
              <w:rPr>
                <w:rFonts w:ascii="宋体" w:cs="宋体"/>
                <w:color w:val="000000"/>
                <w:sz w:val="36"/>
                <w:szCs w:val="36"/>
              </w:rPr>
            </w:pPr>
            <w:r>
              <w:rPr>
                <w:rFonts w:ascii="宋体" w:cs="宋体" w:hint="eastAsia"/>
                <w:color w:val="000000"/>
                <w:kern w:val="0"/>
                <w:sz w:val="36"/>
                <w:szCs w:val="36"/>
              </w:rPr>
              <w:t>(2021年度)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仿宋_GB2312" w:eastAsia="仿宋_GB2312" w:cs="仿宋_GB2312" w:hint="eastAsia"/>
                <w:sz w:val="32"/>
                <w:szCs w:val="32"/>
              </w:rPr>
              <w:t>四川省政府视频会议系统终端更新</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金川县人民政府办公室</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4.7万元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4.7万元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其他资金: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0万元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其他资金: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spacing w:line="500" w:lineRule="exact"/>
              <w:rPr>
                <w:rFonts w:ascii="宋体" w:cs="宋体"/>
                <w:color w:val="000000"/>
                <w:sz w:val="24"/>
              </w:rPr>
            </w:pPr>
            <w:r>
              <w:rPr>
                <w:rFonts w:ascii="宋体" w:cs="宋体" w:hint="eastAsia"/>
                <w:color w:val="000000"/>
                <w:sz w:val="24"/>
              </w:rPr>
              <w:t>0万元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实际完成目标</w:t>
            </w:r>
          </w:p>
        </w:tc>
      </w:tr>
      <w:tr>
        <w:trPr>
          <w:trHeight w:val="204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textAlignment w:val="center"/>
              <w:rPr>
                <w:rFonts w:ascii="宋体" w:cs="宋体"/>
                <w:color w:val="000000"/>
                <w:sz w:val="24"/>
              </w:rPr>
            </w:pPr>
            <w:r>
              <w:rPr>
                <w:rFonts w:ascii="宋体" w:cs="宋体" w:hint="eastAsia"/>
                <w:color w:val="000000"/>
                <w:sz w:val="24"/>
              </w:rPr>
              <w:t>保障省、州政府远程视频指挥调度，各类会议视频正常使用。</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视频会议系统终端更新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1次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1次</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2021年9月</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sz w:val="24"/>
              </w:rPr>
              <w:t>保障各类会议正常调度</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终端更新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4.7万元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ascii="宋体" w:cs="宋体" w:hint="eastAsia"/>
                <w:color w:val="000000"/>
                <w:sz w:val="24"/>
              </w:rPr>
              <w:t>满意</w:t>
            </w:r>
          </w:p>
        </w:tc>
      </w:tr>
    </w:tbl>
    <w:p>
      <w:pPr>
        <w:spacing w:line="500" w:lineRule="exact"/>
        <w:rPr>
          <w:rFonts w:ascii="Calibri" w:hAnsi="Calibri"/>
        </w:rPr>
      </w:pPr>
    </w:p>
    <w:p>
      <w:pPr>
        <w:spacing w:line="500" w:lineRule="exact"/>
        <w:ind w:firstLineChars="200" w:firstLine="640"/>
        <w:jc w:val="left"/>
        <w:rPr>
          <w:rFonts w:ascii="仿宋" w:eastAsia="仿宋" w:cs="仿宋_GB2312"/>
          <w:sz w:val="32"/>
          <w:szCs w:val="32"/>
        </w:rPr>
      </w:pPr>
      <w:r>
        <w:rPr>
          <w:rFonts w:ascii="仿宋" w:eastAsia="仿宋" w:cs="楷体_GB2312" w:hint="eastAsia"/>
          <w:b/>
          <w:bCs/>
          <w:sz w:val="32"/>
          <w:szCs w:val="32"/>
        </w:rPr>
        <w:t>2.部门开展绩效评价结果。</w:t>
      </w:r>
    </w:p>
    <w:p>
      <w:pPr>
        <w:spacing w:line="5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本部门按要求对2021年部门整体支出绩效评价情况开展自评，</w:t>
      </w:r>
      <w:r>
        <w:rPr>
          <w:rFonts w:ascii="仿宋_GB2312" w:eastAsia="仿宋_GB2312" w:hint="eastAsia"/>
          <w:sz w:val="32"/>
          <w:szCs w:val="32"/>
        </w:rPr>
        <w:t>《金川县人民政府办公室2021年部门预算整体支出绩效评价报告》</w:t>
      </w:r>
      <w:r>
        <w:rPr>
          <w:rFonts w:ascii="仿宋_GB2312" w:eastAsia="仿宋_GB2312" w:cs="仿宋_GB2312" w:hint="eastAsia"/>
          <w:sz w:val="32"/>
          <w:szCs w:val="32"/>
        </w:rPr>
        <w:t>见附件。</w:t>
      </w:r>
    </w:p>
    <w:p>
      <w:pPr>
        <w:widowControl/>
        <w:spacing w:line="500" w:lineRule="exact"/>
        <w:jc w:val="left"/>
        <w:rPr>
          <w:rFonts w:ascii="仿宋_GB2312" w:eastAsia="仿宋_GB2312"/>
          <w:color w:val="000000"/>
          <w:sz w:val="32"/>
          <w:szCs w:val="32"/>
        </w:rPr>
      </w:pPr>
    </w:p>
    <w:p>
      <w:pPr>
        <w:widowControl/>
        <w:spacing w:line="500" w:lineRule="exact"/>
        <w:jc w:val="left"/>
        <w:rPr>
          <w:rFonts w:ascii="仿宋_GB2312" w:eastAsia="仿宋_GB2312"/>
          <w:color w:val="000000"/>
          <w:sz w:val="32"/>
          <w:szCs w:val="32"/>
        </w:rPr>
      </w:pPr>
    </w:p>
    <w:p>
      <w:pPr>
        <w:widowControl/>
        <w:spacing w:line="500" w:lineRule="exact"/>
        <w:jc w:val="left"/>
        <w:rPr>
          <w:rFonts w:ascii="仿宋_GB2312" w:eastAsia="仿宋_GB2312"/>
          <w:color w:val="000000"/>
          <w:sz w:val="32"/>
          <w:szCs w:val="32"/>
        </w:rPr>
      </w:pPr>
      <w:r>
        <w:rPr>
          <w:rFonts w:ascii="仿宋_GB2312" w:eastAsia="仿宋_GB2312" w:hint="eastAsia"/>
          <w:color w:val="000000"/>
          <w:sz w:val="32"/>
          <w:szCs w:val="32"/>
        </w:rPr>
        <w:t>、</w:t>
      </w: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color w:val="000000"/>
          <w:sz w:val="32"/>
          <w:szCs w:val="32"/>
        </w:rPr>
      </w:pPr>
    </w:p>
    <w:p>
      <w:pPr>
        <w:widowControl/>
        <w:spacing w:line="500" w:lineRule="exact"/>
        <w:ind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numPr>
          <w:ilvl w:val="0"/>
          <w:numId w:val="4"/>
        </w:numPr>
        <w:spacing w:line="500" w:lineRule="exact"/>
        <w:ind w:left="0" w:firstLineChars="150" w:firstLine="660"/>
        <w:jc w:val="center"/>
        <w:outlineLvl w:val="0"/>
        <w:rPr>
          <w:rStyle w:val="1Char"/>
          <w:rFonts w:ascii="黑体" w:eastAsia="黑体"/>
          <w:b w:val="0"/>
        </w:rPr>
      </w:pPr>
      <w:bookmarkStart w:id="86" w:name="_Toc15377225"/>
      <w:bookmarkStart w:id="87" w:name="_Toc14568"/>
      <w:bookmarkStart w:id="88" w:name="_Toc15307"/>
      <w:r>
        <w:rPr>
          <w:rFonts w:ascii="黑体" w:eastAsia="黑体" w:hint="eastAsia"/>
          <w:b/>
          <w:color w:val="000000"/>
          <w:sz w:val="44"/>
          <w:szCs w:val="44"/>
        </w:rPr>
        <w:t>名</w:t>
      </w:r>
      <w:r>
        <w:rPr>
          <w:rStyle w:val="1Char"/>
          <w:rFonts w:ascii="黑体" w:eastAsia="黑体" w:hint="eastAsia"/>
          <w:b w:val="0"/>
        </w:rPr>
        <w:t>词解释</w:t>
      </w:r>
      <w:bookmarkEnd w:id="86"/>
      <w:bookmarkEnd w:id="87"/>
      <w:bookmarkEnd w:id="88"/>
    </w:p>
    <w:p>
      <w:pPr>
        <w:pStyle w:val="27"/>
        <w:spacing w:line="50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7"/>
        <w:spacing w:line="50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7"/>
        <w:spacing w:line="50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7"/>
        <w:spacing w:line="50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7"/>
        <w:spacing w:line="50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0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7"/>
        <w:spacing w:line="50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除上述项目以外用于教育管理事务方面的支出。</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0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0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00" w:lineRule="exact"/>
        <w:jc w:val="center"/>
        <w:outlineLvl w:val="0"/>
        <w:rPr>
          <w:rFonts w:ascii="黑体" w:eastAsia="黑体"/>
          <w:color w:val="000000"/>
          <w:sz w:val="44"/>
          <w:szCs w:val="44"/>
        </w:rPr>
      </w:pPr>
      <w:bookmarkStart w:id="89" w:name="_Toc15377226"/>
    </w:p>
    <w:p>
      <w:pPr>
        <w:pStyle w:val="2"/>
        <w:spacing w:line="500" w:lineRule="exact"/>
        <w:rPr>
          <w:rStyle w:val="1Char"/>
          <w:rFonts w:ascii="仿宋" w:eastAsia="仿宋"/>
          <w:b w:val="0"/>
          <w:bCs w:val="0"/>
          <w:sz w:val="32"/>
          <w:szCs w:val="32"/>
        </w:rPr>
      </w:pPr>
      <w:bookmarkStart w:id="90" w:name="_Toc11323"/>
      <w:bookmarkStart w:id="91" w:name="_Toc31077"/>
      <w:r>
        <w:rPr>
          <w:rStyle w:val="1Char"/>
          <w:rFonts w:ascii="仿宋" w:eastAsia="仿宋" w:hint="eastAsia"/>
          <w:b w:val="0"/>
          <w:bCs w:val="0"/>
          <w:sz w:val="32"/>
          <w:szCs w:val="32"/>
        </w:rPr>
        <w:t>附件1</w:t>
      </w:r>
      <w:bookmarkEnd w:id="90"/>
      <w:bookmarkEnd w:id="91"/>
    </w:p>
    <w:p>
      <w:pPr>
        <w:numPr>
          <w:ilvl w:val="0"/>
          <w:numId w:val="4"/>
        </w:numPr>
        <w:spacing w:line="500" w:lineRule="exact"/>
        <w:ind w:left="0" w:firstLineChars="150" w:firstLine="660"/>
        <w:jc w:val="center"/>
        <w:outlineLvl w:val="0"/>
        <w:rPr>
          <w:rStyle w:val="1Char"/>
          <w:rFonts w:ascii="黑体" w:eastAsia="黑体"/>
          <w:b w:val="0"/>
        </w:rPr>
      </w:pPr>
      <w:bookmarkStart w:id="92" w:name="_Toc12508"/>
      <w:bookmarkStart w:id="93" w:name="_Toc3373"/>
      <w:r>
        <w:rPr>
          <w:rStyle w:val="1Char"/>
          <w:rFonts w:ascii="黑体" w:eastAsia="黑体" w:hint="eastAsia"/>
          <w:b w:val="0"/>
        </w:rPr>
        <w:t>附件</w:t>
      </w:r>
      <w:bookmarkEnd w:id="92"/>
      <w:bookmarkEnd w:id="93"/>
    </w:p>
    <w:p>
      <w:pPr>
        <w:spacing w:line="500" w:lineRule="exact"/>
        <w:outlineLvl w:val="0"/>
        <w:rPr>
          <w:rStyle w:val="1Char"/>
          <w:rFonts w:ascii="黑体" w:eastAsia="黑体"/>
          <w:b w:val="0"/>
        </w:rPr>
      </w:pPr>
    </w:p>
    <w:p>
      <w:pPr>
        <w:widowControl/>
        <w:spacing w:line="500" w:lineRule="exact"/>
        <w:jc w:val="center"/>
        <w:rPr>
          <w:rFonts w:ascii="宋体" w:cs="宋体"/>
          <w:b/>
          <w:sz w:val="44"/>
          <w:szCs w:val="44"/>
        </w:rPr>
      </w:pPr>
      <w:bookmarkEnd w:id="89"/>
      <w:r>
        <w:rPr>
          <w:rFonts w:ascii="宋体" w:cs="宋体" w:hint="eastAsia"/>
          <w:b/>
          <w:sz w:val="44"/>
          <w:szCs w:val="44"/>
        </w:rPr>
        <w:t>金川县人民政府办</w:t>
      </w:r>
    </w:p>
    <w:p>
      <w:pPr>
        <w:widowControl/>
        <w:spacing w:line="500" w:lineRule="exact"/>
        <w:jc w:val="center"/>
        <w:rPr>
          <w:rFonts w:ascii="宋体" w:cs="宋体"/>
          <w:b/>
          <w:sz w:val="44"/>
          <w:szCs w:val="44"/>
        </w:rPr>
      </w:pPr>
      <w:r>
        <w:rPr>
          <w:rFonts w:ascii="宋体" w:cs="宋体" w:hint="eastAsia"/>
          <w:b/>
          <w:sz w:val="44"/>
          <w:szCs w:val="44"/>
        </w:rPr>
        <w:t>关于2021年部门整体支出绩效评价报告</w:t>
      </w:r>
    </w:p>
    <w:p>
      <w:pPr>
        <w:widowControl/>
        <w:adjustRightInd w:val="0"/>
        <w:snapToGrid w:val="0"/>
        <w:spacing w:line="500" w:lineRule="exact"/>
        <w:jc w:val="left"/>
        <w:rPr>
          <w:rFonts w:ascii="仿宋_GB2312" w:hAnsi="仿宋_GB2312"/>
          <w:color w:val="000000"/>
          <w:kern w:val="0"/>
          <w:shd w:val="clear" w:color="auto" w:fill="FFFFFF"/>
        </w:rPr>
      </w:pP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根据《金川县财政局关于开展2021年部门、政策和项目支出绩效评价工作的通知》（金财监绩〔2021〕26号）文件要求，结合本单位的实际涉及到部门整体支出绩效评价工作，我办庚及认真开展部门整体支出绩效自评工作，现将2021年部门预算支出绩效自评工作报告如下：</w:t>
      </w:r>
    </w:p>
    <w:p>
      <w:pPr>
        <w:spacing w:line="500" w:lineRule="exact"/>
        <w:ind w:firstLineChars="200" w:firstLine="640"/>
        <w:rPr>
          <w:rFonts w:ascii="仿宋_GB2312" w:eastAsia="仿宋_GB2312"/>
          <w:color w:val="000000"/>
          <w:sz w:val="32"/>
          <w:szCs w:val="32"/>
          <w:lang w:val="zh-CN"/>
        </w:rPr>
      </w:pPr>
      <w:r>
        <w:rPr>
          <w:rFonts w:ascii="仿宋_GB2312" w:eastAsia="仿宋_GB2312" w:hint="eastAsia"/>
          <w:color w:val="000000"/>
          <w:sz w:val="32"/>
          <w:szCs w:val="32"/>
        </w:rPr>
        <w:t>一、</w:t>
      </w:r>
      <w:r>
        <w:rPr>
          <w:rFonts w:ascii="仿宋_GB2312" w:eastAsia="仿宋_GB2312" w:hint="eastAsia"/>
          <w:color w:val="000000"/>
          <w:sz w:val="32"/>
          <w:szCs w:val="32"/>
          <w:lang w:val="zh-CN"/>
        </w:rPr>
        <w:t>单位概况</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zh-CN"/>
        </w:rPr>
        <w:t>（一）机构组成:</w:t>
      </w:r>
      <w:r>
        <w:rPr>
          <w:rFonts w:ascii="仿宋_GB2312" w:eastAsia="仿宋_GB2312" w:hint="eastAsia"/>
          <w:color w:val="000000"/>
          <w:sz w:val="32"/>
          <w:szCs w:val="32"/>
        </w:rPr>
        <w:t>行政单位1个。</w:t>
      </w:r>
    </w:p>
    <w:p>
      <w:pPr>
        <w:spacing w:line="500" w:lineRule="exact"/>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（二）机构职能:</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 1、协助县政府领导同志组织起草或审核以县政府、县政府办公室名义发布的公文。办理州政府、州政府办公室及各部委局发送县政府的文电。指导全县行政机关公文处理工作。</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2、研究县政府部门和各乡镇人民政府请示县政府事项，提出审核意见，报县政府领导同志审批。</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3、负责县政府会议准备工作，协助县政府领导组织实施会议决定事项。</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4、根据县政府领导同志的指示，对县政府部门间争议问题提出处理意见和建议，报县政府领导同志决定。</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5、督促检查县政府各部门和各乡镇人民政府对县政府决定事项及县政府领导同志指示的贯彻落实情况，及时向县政府领导同志报告。</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6、负责县政府值班工作，指导乡镇人民政府和县政府部门值班工作，及时报告重要情况。</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7、指导、监督全县政府信息公开工作和机关行政效能建设工作，指导、监督全县政府系统电子政务工作和政府网站建设。</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8、组织办理涉及县政府工作的人大代表议案、批评、建议和政协委员提案、建议案工作。</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9、指导全县应急管理工作，协助县政府领导同志做好需由县政府组织处理的突发事件的应急处置工作。</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10、围绕县政府中心工作和县政府领导同志的指示，组织专题调查研究，及时反映情况，提出政策性建议。</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11、负责县政府人民防空和民防工作。</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12、负责外事侨务工作。</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13、组织实施县政府法制工作。</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14、监督、指导县人民政府驻成都办事处工作。</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15、承办县政府和县政府领导交办的其他事项。</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zh-CN"/>
        </w:rPr>
        <w:t>（三）人员概况:</w:t>
      </w:r>
      <w:r>
        <w:rPr>
          <w:rFonts w:ascii="仿宋_GB2312" w:eastAsia="仿宋_GB2312" w:hint="eastAsia"/>
          <w:color w:val="000000"/>
          <w:sz w:val="32"/>
          <w:szCs w:val="32"/>
        </w:rPr>
        <w:t xml:space="preserve"> </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金川县人民政府办是行政单位， 2021年财政供养人员为36人,其中公务员18人、工勤11人，事业管理7人；与去年相比减少2人。</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二、预算编制</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2021年3月11日在县十四届人民代表大会第五次会议上通过审议，2021年3月19日金川县财政局预算批复《关于下达2021年部门预算的通知》（金财预[2021]1号），要求预算单位应在收到财政部门批复20日内进行预算公开， 公开材料包括： 预算编制说明、 预算公开表、“三公”经费预算情况说明等。</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政府办单位2021年经公开的部门年初收入预算数为576.87万元，其中：基本支出576.87万元，包括工资福利支出528.75万元，商品和服务支出38.59万元，对个人和家庭补助支出9.53元；无项目预算支出。</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政府办单位2021年大平台全年指标下达数为1229.65万元。</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三、部门财政资金决算收支情况</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zh-CN"/>
        </w:rPr>
        <w:t>（一）部门财政资金收入:</w:t>
      </w:r>
      <w:r>
        <w:rPr>
          <w:rFonts w:ascii="仿宋_GB2312" w:eastAsia="仿宋_GB2312" w:hint="eastAsia"/>
          <w:color w:val="000000"/>
          <w:sz w:val="32"/>
          <w:szCs w:val="32"/>
        </w:rPr>
        <w:t xml:space="preserve"> </w:t>
      </w:r>
    </w:p>
    <w:p>
      <w:pPr>
        <w:spacing w:line="500" w:lineRule="exact"/>
        <w:ind w:firstLineChars="200" w:firstLine="640"/>
        <w:rPr>
          <w:rFonts w:ascii="仿宋_GB2312" w:eastAsia="仿宋_GB2312"/>
          <w:color w:val="000000"/>
          <w:sz w:val="32"/>
          <w:szCs w:val="32"/>
          <w:lang w:val="zh-CN"/>
        </w:rPr>
      </w:pPr>
      <w:r>
        <w:rPr>
          <w:rFonts w:ascii="仿宋_GB2312" w:eastAsia="仿宋_GB2312" w:hint="eastAsia"/>
          <w:color w:val="000000"/>
          <w:sz w:val="32"/>
          <w:szCs w:val="32"/>
        </w:rPr>
        <w:t>2021年部门预算收入1220.45万元，上年结转0万元，总收入1220.45万元</w:t>
      </w:r>
      <w:r>
        <w:rPr>
          <w:rFonts w:ascii="仿宋_GB2312" w:eastAsia="仿宋_GB2312" w:hint="eastAsia"/>
          <w:color w:val="000000"/>
          <w:sz w:val="32"/>
          <w:szCs w:val="32"/>
          <w:lang w:val="zh-CN"/>
        </w:rPr>
        <w:t>。</w:t>
      </w:r>
    </w:p>
    <w:p>
      <w:pPr>
        <w:spacing w:line="500" w:lineRule="exact"/>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部门财政资金支出情况:</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2021年一般公共预算财政拨款基本支出997.24万元，其中：</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人员经费839.59万元，主要包括：基本工资152.94万元、津贴补贴191.55万元、奖金12.74万元、其他社会保障缴费6.29万元、生活补助38.28万元、奖励金259.87万元、机关事业单位基本养老保险缴费55.26万元、职业年金缴费27.57万元、职工基本医疗保险缴费25.51元、公务员医疗补助11.35万元，住房公积金58.22万元；</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157.65万元，主要包括：办公费12.28万元、手续费0.1万元、水费0.3万元、电费3.5万元、邮电费11万元、物业管理费3.02万元、取暖费0万元、差旅费55万元、维修（护）费0.5万元、租赁费0万元、会议费1万元、公务接待费0万元、劳务费0.5万元、公务用车运行维护费70万元、其他交通费0.45元。</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2021年一般公共预算财政拨款项目支出223.21万元，其中：培训费0.29万元、国防支出50万元、其他政府办公厅（室）及相关机构事务支出（公务用车运行费、维修房顶、网络更新、办公运转等）172.92万元。</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财政拨款支出主要用于保障本部门机构正常运转、完成日常工作任务。基本人员支出，是用于政府办、应急办、人防办、政务中心、交易中心、等单位人员工资和社保就业保障经费。日常公用支出包括办公费、印刷费、水电费、“三公经费”等日常公用经费。项目支出，是用于政府办办公设备购置、人防办疏散地域建设等。</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四、部门财政支出管理情况</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（一）预算编制情况</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按照综合预算的编制原则，保证预算编制质量，县政府办所有收入和支出均纳入财政预算管理，公用经费按人员数进行编制，其它经费严格按照有关预算法执行。</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1、20</w:t>
      </w:r>
      <w:r>
        <w:rPr>
          <w:rFonts w:ascii="仿宋_GB2312" w:eastAsia="仿宋_GB2312"/>
          <w:color w:val="000000"/>
          <w:sz w:val="32"/>
          <w:szCs w:val="32"/>
        </w:rPr>
        <w:t>2</w:t>
      </w:r>
      <w:r>
        <w:rPr>
          <w:rFonts w:ascii="仿宋_GB2312" w:eastAsia="仿宋_GB2312" w:hint="eastAsia"/>
          <w:color w:val="000000"/>
          <w:sz w:val="32"/>
          <w:szCs w:val="32"/>
        </w:rPr>
        <w:t>1年预算按当年10月实有人数38人，工资福利支出528.75万元.商品和服务支出38.59万元，对个人和家族的补助支出9.53万元。</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 （二）执行预算情况。</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预算执行情况：严格按照县级部门预算编制通知和有关要求，按时完成基础库、项目库报送工作，预算编制中，特别注意对预算编制准确性的把握，并严格按照要求进行预算执行调整。按时完成待批复提前细化。</w:t>
      </w:r>
      <w:r>
        <w:rPr>
          <w:rFonts w:ascii="仿宋_GB2312" w:eastAsia="仿宋_GB2312" w:hint="eastAsia"/>
          <w:color w:val="000000"/>
          <w:sz w:val="32"/>
          <w:szCs w:val="32"/>
          <w:lang w:val="zh-CN"/>
        </w:rPr>
        <w:t>部门预算在财政部门批复后及时填报预算公示报表报财政审核在政府信息公开网上公示。</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2、三公经费预算执行情况：</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2021年公务接待费预算0.6万元，（按2021年编制预算文件，公务接待费按总公务费比例2%计算）；2021年公务用车维护费预算10万元。</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（三）综合管理情况</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1、政府采购方面：进行政府采购的资产严格按采购程序采购并登记入账，零星采购严格按固定资产管理办法进行登记入账。2021年政府采购项目3个，项目名称：金额77.15万元</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固定资产管理方面：本单位固定资产按科学合理、优化资产结构、勤俭节约的原则和专门的资产管理系统进行管理，截止2021年12月30日，年末总资产账面金额23,457,572.23元，固定资产账面数据和固定资产管理系统数据一致。</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内控制度方面:为进一步做好行政事业单位内部控制基础性工作，结合我办实际，特制订预算管理、财务收支管理、政府采购及管理、资产管理、基本建设项目管理、合同管理、财务管理、差旅费报销、公务接待和陪餐、工作岗位职责、考勤请销假、下乡和车辆管理、驾驶员管理工作、会务工作、内部联席工作、保密工作、办公室首问、公室印章管理使用、学习会议等制度草案。</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4、信息公开方面：预算决算公开按财政局的要求在收到财政批复后20个工作日在金川县政府中心的信息网站进行公开。</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5、绩效评价及财政监督情况:按部门支出绩效评价指标体系进行单位自评，按财政要求收支并接受财政的监督管理。</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 （四）、整体绩效</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  根据部门支出绩效评价指标体系进行单位自评。</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1、预算编制总分30分，自评得分20分，扣分10分。</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2、预算执行总分30分，自评得分20分，扣分10分。</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3、完成结果总分20分，自评得19.92分，扣分0.08分。</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4、信息公开总分2分，自评得分2分。</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5、整改反馈总分8分,不涉及不计分。</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6、自评质量总分10分，不涉及不计分。</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四、评价结论及建议</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（一）、评价结论。根据部门支出绩效评价指标体系进行单位自评，圆满完成绩效自评工作，圆满完成中央、省、州委和县的重要工作、目标任务。</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本单位总体评价内容内实际得分61.92分，按计算本单位最后得分75分（注:本单位本次自评总分={61.92/（100-18）}100=75分）。</w:t>
      </w:r>
    </w:p>
    <w:p>
      <w:pPr>
        <w:spacing w:line="500" w:lineRule="exact"/>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（二）存在问题。</w:t>
      </w:r>
    </w:p>
    <w:p>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我办由于涉及工作面广、工作量大、所需运行经费量大、部门预算无法保障所需经费，存在调整预算；预算不精准存在结余追减的情况。</w:t>
      </w:r>
    </w:p>
    <w:p>
      <w:pPr>
        <w:spacing w:line="500" w:lineRule="exact"/>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（三）改进建议。</w:t>
      </w:r>
    </w:p>
    <w:p>
      <w:pPr>
        <w:spacing w:line="500" w:lineRule="exact"/>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我们将进一步重视预算的编制工作，提高预算编制的精确度，提高财政资金使用效率，尽量减少预算执行调整、结余追减的情形。</w:t>
      </w:r>
    </w:p>
    <w:p>
      <w:pPr>
        <w:spacing w:line="500" w:lineRule="exact"/>
        <w:rPr>
          <w:rFonts w:ascii="华文仿宋" w:eastAsia="华文仿宋" w:cs="华文仿宋"/>
        </w:rPr>
      </w:pPr>
    </w:p>
    <w:p>
      <w:pPr>
        <w:spacing w:line="500" w:lineRule="exact"/>
        <w:outlineLvl w:val="0"/>
        <w:rPr>
          <w:rFonts w:ascii="仿宋_GB2312" w:eastAsia="仿宋_GB2312" w:cs="仿宋"/>
          <w:color w:val="000000"/>
          <w:kern w:val="0"/>
          <w:sz w:val="32"/>
          <w:szCs w:val="32"/>
        </w:rPr>
      </w:pPr>
    </w:p>
    <w:p>
      <w:pPr>
        <w:spacing w:line="500" w:lineRule="exact"/>
        <w:jc w:val="center"/>
        <w:outlineLvl w:val="0"/>
        <w:rPr>
          <w:rFonts w:ascii="仿宋_GB2312" w:eastAsia="仿宋_GB2312" w:cs="仿宋"/>
          <w:color w:val="000000"/>
          <w:kern w:val="0"/>
          <w:sz w:val="32"/>
          <w:szCs w:val="32"/>
        </w:rPr>
      </w:pPr>
    </w:p>
    <w:p>
      <w:pPr>
        <w:spacing w:line="500" w:lineRule="exact"/>
        <w:jc w:val="center"/>
        <w:outlineLvl w:val="0"/>
        <w:rPr>
          <w:rFonts w:ascii="仿宋_GB2312" w:eastAsia="仿宋_GB2312" w:cs="仿宋"/>
          <w:color w:val="000000"/>
          <w:kern w:val="0"/>
          <w:sz w:val="32"/>
          <w:szCs w:val="32"/>
        </w:rPr>
      </w:pPr>
    </w:p>
    <w:p>
      <w:pPr>
        <w:spacing w:line="500" w:lineRule="exact"/>
        <w:jc w:val="center"/>
        <w:outlineLvl w:val="0"/>
        <w:rPr>
          <w:rFonts w:ascii="仿宋_GB2312" w:eastAsia="仿宋_GB2312" w:cs="仿宋"/>
          <w:color w:val="000000"/>
          <w:kern w:val="0"/>
          <w:sz w:val="32"/>
          <w:szCs w:val="32"/>
        </w:rPr>
      </w:pPr>
    </w:p>
    <w:p>
      <w:pPr>
        <w:spacing w:line="500" w:lineRule="exact"/>
        <w:jc w:val="center"/>
        <w:outlineLvl w:val="0"/>
        <w:rPr>
          <w:rFonts w:ascii="仿宋_GB2312" w:eastAsia="仿宋_GB2312" w:cs="仿宋"/>
          <w:color w:val="000000"/>
          <w:kern w:val="0"/>
          <w:sz w:val="32"/>
          <w:szCs w:val="32"/>
        </w:rPr>
      </w:pPr>
    </w:p>
    <w:p>
      <w:pPr>
        <w:spacing w:line="500" w:lineRule="exact"/>
        <w:jc w:val="center"/>
        <w:outlineLvl w:val="0"/>
        <w:rPr>
          <w:rFonts w:ascii="仿宋_GB2312" w:eastAsia="仿宋_GB2312" w:cs="仿宋"/>
          <w:color w:val="000000"/>
          <w:kern w:val="0"/>
          <w:sz w:val="32"/>
          <w:szCs w:val="32"/>
        </w:rPr>
      </w:pPr>
    </w:p>
    <w:p>
      <w:pPr>
        <w:spacing w:line="500" w:lineRule="exact"/>
        <w:outlineLvl w:val="0"/>
        <w:rPr>
          <w:rFonts w:ascii="仿宋_GB2312" w:eastAsia="仿宋_GB2312" w:cs="仿宋"/>
          <w:color w:val="000000"/>
          <w:kern w:val="0"/>
          <w:sz w:val="32"/>
          <w:szCs w:val="32"/>
        </w:rPr>
      </w:pPr>
    </w:p>
    <w:p>
      <w:pPr>
        <w:spacing w:line="600" w:lineRule="exact"/>
        <w:jc w:val="center"/>
        <w:outlineLvl w:val="0"/>
        <w:rPr>
          <w:rStyle w:val="1Char"/>
          <w:rFonts w:ascii="方正小标宋简体" w:eastAsia="方正小标宋简体"/>
          <w:b w:val="0"/>
        </w:rPr>
      </w:pPr>
      <w:bookmarkStart w:id="94" w:name="_Toc21441"/>
      <w:r>
        <w:rPr>
          <w:rFonts w:ascii="方正小标宋简体" w:eastAsia="方正小标宋简体" w:hint="eastAsia"/>
          <w:color w:val="000000"/>
          <w:sz w:val="44"/>
          <w:szCs w:val="44"/>
        </w:rPr>
        <w:t>第</w:t>
      </w:r>
      <w:r>
        <w:rPr>
          <w:rStyle w:val="1Char"/>
          <w:rFonts w:ascii="方正小标宋简体" w:eastAsia="方正小标宋简体" w:hint="eastAsia"/>
          <w:b w:val="0"/>
        </w:rPr>
        <w:t>五部分 附表</w:t>
      </w:r>
      <w:bookmarkEnd w:id="94"/>
    </w:p>
    <w:p>
      <w:pPr>
        <w:pStyle w:val="2"/>
        <w:spacing w:before="0" w:after="0" w:line="560" w:lineRule="exact"/>
        <w:rPr>
          <w:rFonts w:ascii="仿宋" w:eastAsia="仿宋"/>
          <w:color w:val="000000"/>
        </w:rPr>
      </w:pPr>
      <w:bookmarkStart w:id="95" w:name="_Toc15396619"/>
      <w:bookmarkStart w:id="96" w:name="_Toc79163636"/>
      <w:bookmarkStart w:id="97" w:name="_Toc811"/>
      <w:r>
        <w:rPr>
          <w:rFonts w:ascii="仿宋" w:eastAsia="仿宋" w:hint="eastAsia"/>
          <w:b w:val="0"/>
          <w:color w:val="000000"/>
        </w:rPr>
        <w:t>一、收</w:t>
      </w:r>
      <w:r>
        <w:rPr>
          <w:rStyle w:val="2Char"/>
          <w:rFonts w:ascii="仿宋" w:eastAsia="仿宋" w:hint="eastAsia"/>
          <w:b/>
          <w:bCs/>
        </w:rPr>
        <w:t>入支出决算总表</w:t>
      </w:r>
      <w:bookmarkEnd w:id="95"/>
      <w:bookmarkEnd w:id="96"/>
      <w:bookmarkEnd w:id="97"/>
    </w:p>
    <w:p>
      <w:pPr>
        <w:pStyle w:val="2"/>
        <w:spacing w:before="0" w:after="0" w:line="560" w:lineRule="exact"/>
        <w:rPr>
          <w:rFonts w:ascii="仿宋" w:eastAsia="仿宋"/>
          <w:color w:val="000000"/>
        </w:rPr>
      </w:pPr>
      <w:bookmarkStart w:id="98" w:name="_Toc79163637"/>
      <w:bookmarkStart w:id="99" w:name="_Toc15396620"/>
      <w:bookmarkStart w:id="100" w:name="_Toc4264"/>
      <w:r>
        <w:rPr>
          <w:rFonts w:ascii="仿宋" w:eastAsia="仿宋" w:hint="eastAsia"/>
          <w:b w:val="0"/>
          <w:color w:val="000000"/>
        </w:rPr>
        <w:t>二、收</w:t>
      </w:r>
      <w:r>
        <w:rPr>
          <w:rStyle w:val="2Char"/>
          <w:rFonts w:ascii="仿宋" w:eastAsia="仿宋" w:hint="eastAsia"/>
          <w:b/>
          <w:bCs/>
        </w:rPr>
        <w:t>入决算表</w:t>
      </w:r>
      <w:bookmarkEnd w:id="98"/>
      <w:bookmarkEnd w:id="99"/>
      <w:bookmarkEnd w:id="100"/>
    </w:p>
    <w:p>
      <w:pPr>
        <w:pStyle w:val="2"/>
        <w:spacing w:before="0" w:after="0" w:line="560" w:lineRule="exact"/>
        <w:rPr>
          <w:rFonts w:ascii="仿宋" w:eastAsia="仿宋"/>
          <w:color w:val="000000"/>
        </w:rPr>
      </w:pPr>
      <w:bookmarkStart w:id="101" w:name="_Toc15396621"/>
      <w:bookmarkStart w:id="102" w:name="_Toc79163638"/>
      <w:bookmarkStart w:id="103" w:name="_Toc25973"/>
      <w:r>
        <w:rPr>
          <w:rStyle w:val="2Char"/>
          <w:rFonts w:ascii="仿宋" w:eastAsia="仿宋" w:hint="eastAsia"/>
          <w:b/>
          <w:bCs/>
        </w:rPr>
        <w:t>三、</w:t>
      </w:r>
      <w:r>
        <w:rPr>
          <w:rFonts w:ascii="仿宋" w:eastAsia="仿宋" w:hint="eastAsia"/>
          <w:b w:val="0"/>
          <w:color w:val="000000"/>
        </w:rPr>
        <w:t>支</w:t>
      </w:r>
      <w:r>
        <w:rPr>
          <w:rStyle w:val="2Char"/>
          <w:rFonts w:ascii="仿宋" w:eastAsia="仿宋" w:hint="eastAsia"/>
          <w:b/>
          <w:bCs/>
        </w:rPr>
        <w:t>出决算表</w:t>
      </w:r>
      <w:bookmarkEnd w:id="101"/>
      <w:bookmarkEnd w:id="102"/>
      <w:bookmarkEnd w:id="103"/>
    </w:p>
    <w:p>
      <w:pPr>
        <w:pStyle w:val="2"/>
        <w:spacing w:before="0" w:after="0" w:line="560" w:lineRule="exact"/>
        <w:rPr>
          <w:rFonts w:ascii="仿宋" w:eastAsia="仿宋"/>
          <w:b w:val="0"/>
          <w:color w:val="000000"/>
        </w:rPr>
      </w:pPr>
      <w:bookmarkStart w:id="104" w:name="_Toc15396622"/>
      <w:bookmarkStart w:id="105" w:name="_Toc79163639"/>
      <w:bookmarkStart w:id="106" w:name="_Toc15857"/>
      <w:r>
        <w:rPr>
          <w:rStyle w:val="2Char"/>
          <w:rFonts w:ascii="仿宋" w:eastAsia="仿宋" w:hint="eastAsia"/>
          <w:b/>
          <w:bCs/>
        </w:rPr>
        <w:t>四、</w:t>
      </w:r>
      <w:r>
        <w:rPr>
          <w:rFonts w:ascii="仿宋" w:eastAsia="仿宋" w:hint="eastAsia"/>
          <w:b w:val="0"/>
          <w:color w:val="000000"/>
        </w:rPr>
        <w:t>财</w:t>
      </w:r>
      <w:r>
        <w:rPr>
          <w:rStyle w:val="2Char"/>
          <w:rFonts w:ascii="仿宋" w:eastAsia="仿宋" w:hint="eastAsia"/>
          <w:b/>
          <w:bCs/>
        </w:rPr>
        <w:t>政拨款收入支出决算总表</w:t>
      </w:r>
      <w:bookmarkEnd w:id="104"/>
      <w:bookmarkEnd w:id="105"/>
      <w:bookmarkEnd w:id="106"/>
    </w:p>
    <w:p>
      <w:pPr>
        <w:pStyle w:val="2"/>
        <w:spacing w:before="0" w:after="0" w:line="560" w:lineRule="exact"/>
        <w:rPr>
          <w:rStyle w:val="2Char"/>
          <w:rFonts w:ascii="仿宋" w:eastAsia="仿宋"/>
          <w:b/>
          <w:bCs/>
        </w:rPr>
      </w:pPr>
      <w:bookmarkStart w:id="107" w:name="_Toc79163640"/>
      <w:bookmarkStart w:id="108" w:name="_Toc15396623"/>
      <w:bookmarkStart w:id="109" w:name="_Toc962"/>
      <w:r>
        <w:rPr>
          <w:rStyle w:val="2Char"/>
          <w:rFonts w:ascii="仿宋" w:eastAsia="仿宋" w:hint="eastAsia"/>
          <w:b/>
          <w:bCs/>
        </w:rPr>
        <w:t>五、</w:t>
      </w:r>
      <w:r>
        <w:rPr>
          <w:rFonts w:ascii="仿宋" w:eastAsia="仿宋" w:hint="eastAsia"/>
          <w:b w:val="0"/>
          <w:color w:val="000000"/>
        </w:rPr>
        <w:t>财</w:t>
      </w:r>
      <w:r>
        <w:rPr>
          <w:rStyle w:val="2Char"/>
          <w:rFonts w:ascii="仿宋" w:eastAsia="仿宋" w:hint="eastAsia"/>
          <w:b/>
          <w:bCs/>
        </w:rPr>
        <w:t>政拨款支出决算明细表</w:t>
      </w:r>
      <w:bookmarkStart w:id="110" w:name="_Toc15396624"/>
      <w:bookmarkEnd w:id="107"/>
      <w:bookmarkEnd w:id="108"/>
      <w:bookmarkEnd w:id="109"/>
    </w:p>
    <w:p>
      <w:pPr>
        <w:pStyle w:val="2"/>
        <w:spacing w:before="0" w:after="0" w:line="560" w:lineRule="exact"/>
        <w:rPr>
          <w:rFonts w:ascii="仿宋" w:eastAsia="仿宋"/>
          <w:color w:val="000000"/>
        </w:rPr>
      </w:pPr>
      <w:bookmarkStart w:id="111" w:name="_Toc79163641"/>
      <w:bookmarkStart w:id="112" w:name="_Toc2229"/>
      <w:r>
        <w:rPr>
          <w:rStyle w:val="2Char"/>
          <w:rFonts w:ascii="仿宋" w:eastAsia="仿宋" w:hint="eastAsia"/>
          <w:b/>
          <w:bCs/>
        </w:rPr>
        <w:t>六、</w:t>
      </w:r>
      <w:r>
        <w:rPr>
          <w:rFonts w:ascii="仿宋" w:eastAsia="仿宋" w:hint="eastAsia"/>
          <w:b w:val="0"/>
          <w:color w:val="000000"/>
        </w:rPr>
        <w:t>一</w:t>
      </w:r>
      <w:r>
        <w:rPr>
          <w:rStyle w:val="2Char"/>
          <w:rFonts w:ascii="仿宋" w:eastAsia="仿宋" w:hint="eastAsia"/>
          <w:b/>
          <w:bCs/>
        </w:rPr>
        <w:t>般公共预算财政拨款支出决算表</w:t>
      </w:r>
      <w:bookmarkEnd w:id="110"/>
      <w:bookmarkEnd w:id="111"/>
      <w:bookmarkEnd w:id="112"/>
    </w:p>
    <w:p>
      <w:pPr>
        <w:pStyle w:val="2"/>
        <w:spacing w:before="0" w:after="0" w:line="560" w:lineRule="exact"/>
        <w:rPr>
          <w:rFonts w:ascii="仿宋" w:eastAsia="仿宋"/>
          <w:color w:val="000000"/>
        </w:rPr>
      </w:pPr>
      <w:bookmarkStart w:id="113" w:name="_Toc79163642"/>
      <w:bookmarkStart w:id="114" w:name="_Toc15396625"/>
      <w:bookmarkStart w:id="115" w:name="_Toc27160"/>
      <w:r>
        <w:rPr>
          <w:rStyle w:val="2Char"/>
          <w:rFonts w:ascii="仿宋" w:eastAsia="仿宋" w:hint="eastAsia"/>
          <w:b/>
          <w:bCs/>
        </w:rPr>
        <w:t>七、</w:t>
      </w:r>
      <w:r>
        <w:rPr>
          <w:rFonts w:ascii="仿宋" w:eastAsia="仿宋" w:hint="eastAsia"/>
          <w:b w:val="0"/>
          <w:color w:val="000000"/>
        </w:rPr>
        <w:t>一</w:t>
      </w:r>
      <w:r>
        <w:rPr>
          <w:rStyle w:val="2Char"/>
          <w:rFonts w:ascii="仿宋" w:eastAsia="仿宋" w:hint="eastAsia"/>
          <w:b/>
          <w:bCs/>
        </w:rPr>
        <w:t>般公共预算财政拨款支出决算明细表</w:t>
      </w:r>
      <w:bookmarkEnd w:id="113"/>
      <w:bookmarkEnd w:id="114"/>
      <w:bookmarkEnd w:id="115"/>
    </w:p>
    <w:p>
      <w:pPr>
        <w:pStyle w:val="2"/>
        <w:spacing w:before="0" w:after="0" w:line="560" w:lineRule="exact"/>
        <w:rPr>
          <w:rFonts w:ascii="仿宋" w:eastAsia="仿宋"/>
          <w:color w:val="000000"/>
        </w:rPr>
      </w:pPr>
      <w:bookmarkStart w:id="116" w:name="_Toc79163643"/>
      <w:bookmarkStart w:id="117" w:name="_Toc15396626"/>
      <w:bookmarkStart w:id="118" w:name="_Toc23271"/>
      <w:r>
        <w:rPr>
          <w:rStyle w:val="2Char"/>
          <w:rFonts w:ascii="仿宋" w:eastAsia="仿宋" w:hint="eastAsia"/>
          <w:b/>
          <w:bCs/>
        </w:rPr>
        <w:t>八、</w:t>
      </w:r>
      <w:r>
        <w:rPr>
          <w:rFonts w:ascii="仿宋" w:eastAsia="仿宋" w:hint="eastAsia"/>
          <w:b w:val="0"/>
          <w:color w:val="000000"/>
        </w:rPr>
        <w:t>一</w:t>
      </w:r>
      <w:r>
        <w:rPr>
          <w:rStyle w:val="2Char"/>
          <w:rFonts w:ascii="仿宋" w:eastAsia="仿宋" w:hint="eastAsia"/>
          <w:b/>
          <w:bCs/>
        </w:rPr>
        <w:t>般公共预算财政拨款基本支出决算表</w:t>
      </w:r>
      <w:bookmarkEnd w:id="116"/>
      <w:bookmarkEnd w:id="117"/>
      <w:bookmarkEnd w:id="118"/>
    </w:p>
    <w:p>
      <w:pPr>
        <w:pStyle w:val="2"/>
        <w:spacing w:before="0" w:after="0" w:line="560" w:lineRule="exact"/>
        <w:rPr>
          <w:rFonts w:ascii="仿宋" w:eastAsia="仿宋"/>
          <w:color w:val="000000"/>
        </w:rPr>
      </w:pPr>
      <w:bookmarkStart w:id="119" w:name="_Toc15396627"/>
      <w:bookmarkStart w:id="120" w:name="_Toc79163644"/>
      <w:bookmarkStart w:id="121" w:name="_Toc22660"/>
      <w:r>
        <w:rPr>
          <w:rStyle w:val="2Char"/>
          <w:rFonts w:ascii="仿宋" w:eastAsia="仿宋" w:hint="eastAsia"/>
          <w:b/>
          <w:bCs/>
        </w:rPr>
        <w:t>九、</w:t>
      </w:r>
      <w:r>
        <w:rPr>
          <w:rFonts w:ascii="仿宋" w:eastAsia="仿宋" w:hint="eastAsia"/>
          <w:b w:val="0"/>
          <w:color w:val="000000"/>
        </w:rPr>
        <w:t>一</w:t>
      </w:r>
      <w:r>
        <w:rPr>
          <w:rStyle w:val="2Char"/>
          <w:rFonts w:ascii="仿宋" w:eastAsia="仿宋" w:hint="eastAsia"/>
          <w:b/>
          <w:bCs/>
        </w:rPr>
        <w:t>般公共预算财政拨款项目支出决算表</w:t>
      </w:r>
      <w:bookmarkEnd w:id="119"/>
      <w:bookmarkEnd w:id="120"/>
      <w:bookmarkEnd w:id="121"/>
    </w:p>
    <w:p>
      <w:pPr>
        <w:pStyle w:val="2"/>
        <w:spacing w:before="0" w:after="0" w:line="560" w:lineRule="exact"/>
        <w:rPr>
          <w:rFonts w:ascii="仿宋" w:eastAsia="仿宋"/>
          <w:color w:val="000000"/>
        </w:rPr>
      </w:pPr>
      <w:bookmarkStart w:id="122" w:name="_Toc79163645"/>
      <w:bookmarkStart w:id="123" w:name="_Toc15396628"/>
      <w:bookmarkStart w:id="124" w:name="_Toc702"/>
      <w:r>
        <w:rPr>
          <w:rStyle w:val="2Char"/>
          <w:rFonts w:ascii="仿宋" w:eastAsia="仿宋" w:hint="eastAsia"/>
          <w:b/>
          <w:bCs/>
        </w:rPr>
        <w:t>十、</w:t>
      </w:r>
      <w:r>
        <w:rPr>
          <w:rFonts w:ascii="仿宋" w:eastAsia="仿宋" w:hint="eastAsia"/>
          <w:b w:val="0"/>
          <w:color w:val="000000"/>
        </w:rPr>
        <w:t>一</w:t>
      </w:r>
      <w:r>
        <w:rPr>
          <w:rStyle w:val="2Char"/>
          <w:rFonts w:ascii="仿宋" w:eastAsia="仿宋" w:hint="eastAsia"/>
          <w:b/>
          <w:bCs/>
        </w:rPr>
        <w:t>般公共预算财政拨款“三公”经费支出决算表</w:t>
      </w:r>
      <w:bookmarkEnd w:id="122"/>
      <w:bookmarkEnd w:id="123"/>
      <w:bookmarkEnd w:id="124"/>
    </w:p>
    <w:p>
      <w:pPr>
        <w:pStyle w:val="2"/>
        <w:spacing w:before="0" w:after="0" w:line="560" w:lineRule="exact"/>
        <w:rPr>
          <w:rFonts w:ascii="仿宋" w:eastAsia="仿宋"/>
          <w:color w:val="000000"/>
        </w:rPr>
      </w:pPr>
      <w:bookmarkStart w:id="125" w:name="_Toc15396629"/>
      <w:bookmarkStart w:id="126" w:name="_Toc79163646"/>
      <w:bookmarkStart w:id="127" w:name="_Toc8532"/>
      <w:r>
        <w:rPr>
          <w:rStyle w:val="2Char"/>
          <w:rFonts w:ascii="仿宋" w:eastAsia="仿宋" w:hint="eastAsia"/>
          <w:b/>
          <w:bCs/>
        </w:rPr>
        <w:t>十一、</w:t>
      </w:r>
      <w:r>
        <w:rPr>
          <w:rFonts w:ascii="仿宋" w:eastAsia="仿宋" w:hint="eastAsia"/>
          <w:b w:val="0"/>
          <w:color w:val="000000"/>
        </w:rPr>
        <w:t>政</w:t>
      </w:r>
      <w:r>
        <w:rPr>
          <w:rStyle w:val="2Char"/>
          <w:rFonts w:ascii="仿宋" w:eastAsia="仿宋" w:hint="eastAsia"/>
          <w:b/>
          <w:bCs/>
        </w:rPr>
        <w:t>府性基金预算财政拨款收入支出决算表</w:t>
      </w:r>
      <w:bookmarkEnd w:id="125"/>
      <w:bookmarkEnd w:id="126"/>
      <w:bookmarkEnd w:id="127"/>
    </w:p>
    <w:p>
      <w:pPr>
        <w:pStyle w:val="2"/>
        <w:spacing w:before="0" w:after="0" w:line="560" w:lineRule="exact"/>
        <w:rPr>
          <w:rFonts w:ascii="仿宋" w:eastAsia="仿宋"/>
          <w:color w:val="000000"/>
        </w:rPr>
      </w:pPr>
      <w:bookmarkStart w:id="128" w:name="_Toc79163647"/>
      <w:bookmarkStart w:id="129" w:name="_Toc15396630"/>
      <w:bookmarkStart w:id="130" w:name="_Toc6775"/>
      <w:r>
        <w:rPr>
          <w:rStyle w:val="2Char"/>
          <w:rFonts w:ascii="仿宋" w:eastAsia="仿宋" w:hint="eastAsia"/>
          <w:b/>
          <w:bCs/>
        </w:rPr>
        <w:t>十二、</w:t>
      </w:r>
      <w:r>
        <w:rPr>
          <w:rFonts w:ascii="仿宋" w:eastAsia="仿宋" w:hint="eastAsia"/>
          <w:b w:val="0"/>
          <w:color w:val="000000"/>
        </w:rPr>
        <w:t>政</w:t>
      </w:r>
      <w:r>
        <w:rPr>
          <w:rStyle w:val="2Char"/>
          <w:rFonts w:ascii="仿宋" w:eastAsia="仿宋" w:hint="eastAsia"/>
          <w:b/>
          <w:bCs/>
        </w:rPr>
        <w:t>府性基金预算财政拨款“三公”经费支出决算表</w:t>
      </w:r>
      <w:bookmarkEnd w:id="128"/>
      <w:bookmarkEnd w:id="129"/>
      <w:bookmarkEnd w:id="130"/>
    </w:p>
    <w:p>
      <w:pPr>
        <w:pStyle w:val="2"/>
        <w:spacing w:before="0" w:after="0" w:line="560" w:lineRule="exact"/>
        <w:rPr>
          <w:rStyle w:val="2Char"/>
          <w:rFonts w:ascii="仿宋" w:eastAsia="仿宋"/>
          <w:b/>
          <w:bCs/>
        </w:rPr>
      </w:pPr>
      <w:bookmarkStart w:id="131" w:name="_Toc15396631"/>
      <w:bookmarkStart w:id="132" w:name="_Toc79163648"/>
      <w:bookmarkStart w:id="133" w:name="_Toc27212"/>
      <w:r>
        <w:rPr>
          <w:rStyle w:val="2Char"/>
          <w:rFonts w:ascii="仿宋" w:eastAsia="仿宋" w:hint="eastAsia"/>
          <w:b/>
          <w:bCs/>
        </w:rPr>
        <w:t>十三、</w:t>
      </w:r>
      <w:r>
        <w:rPr>
          <w:rFonts w:ascii="仿宋" w:eastAsia="仿宋" w:hint="eastAsia"/>
          <w:b w:val="0"/>
          <w:color w:val="000000"/>
        </w:rPr>
        <w:t>国</w:t>
      </w:r>
      <w:r>
        <w:rPr>
          <w:rStyle w:val="2Char"/>
          <w:rFonts w:ascii="仿宋" w:eastAsia="仿宋" w:hint="eastAsia"/>
          <w:b/>
          <w:bCs/>
        </w:rPr>
        <w:t>有资本经营预算财政拨款支出决算表</w:t>
      </w:r>
      <w:bookmarkEnd w:id="131"/>
      <w:bookmarkEnd w:id="132"/>
      <w:bookmarkEnd w:id="133"/>
    </w:p>
    <w:p>
      <w:pPr>
        <w:pStyle w:val="2"/>
        <w:spacing w:before="0" w:after="0" w:line="560" w:lineRule="exact"/>
        <w:rPr>
          <w:rStyle w:val="2Char"/>
          <w:rFonts w:ascii="仿宋" w:eastAsia="仿宋"/>
          <w:b/>
          <w:bCs/>
        </w:rPr>
      </w:pPr>
      <w:bookmarkStart w:id="134" w:name="_Toc79163649"/>
      <w:bookmarkStart w:id="135" w:name="_Toc23361"/>
      <w:r>
        <w:rPr>
          <w:rStyle w:val="2Char"/>
          <w:rFonts w:ascii="仿宋" w:eastAsia="仿宋" w:hint="eastAsia"/>
          <w:b/>
          <w:bCs/>
        </w:rPr>
        <w:t>十四、国有资本经营预算财政拨款支出决算表</w:t>
      </w:r>
      <w:bookmarkEnd w:id="134"/>
      <w:bookmarkEnd w:id="135"/>
    </w:p>
    <w:p>
      <w:pPr>
        <w:pStyle w:val="2"/>
        <w:spacing w:line="500" w:lineRule="exact"/>
        <w:rPr>
          <w:rFonts w:ascii="仿宋" w:eastAsia="仿宋"/>
          <w:color w:val="00000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Calibri">
    <w:altName w:val="DejaVu Sans"/>
    <w:panose1 w:val="020F0502020204030204"/>
    <w:charset w:val="00"/>
    <w:family w:val="swiss"/>
    <w:pitch w:val="variable"/>
    <w:sig w:usb0="E4002EFF" w:usb1="C000247B" w:usb2="00000009" w:usb3="00000000" w:csb0="200001FF" w:csb1="00000000"/>
  </w:font>
  <w:font w:name="华文仿宋">
    <w:altName w:val="方正书宋_GBK"/>
    <w:panose1 w:val="00000000000000000000"/>
    <w:charset w:val="86"/>
    <w:family w:val="auto"/>
    <w:pitch w:val="variable"/>
    <w:sig w:usb0="00000000" w:usb1="00000000" w:usb2="00000000" w:usb3="00000000" w:csb0="0004009F" w:csb1="DFD70000"/>
  </w:font>
  <w:font w:name="Times New Roman">
    <w:altName w:val="DejaVu Sans"/>
    <w:panose1 w:val="02020603050405020304"/>
    <w:charset w:val="01"/>
    <w:family w:val="auto"/>
    <w:pitch w:val="variable"/>
    <w:sig w:usb0="E0002EFF" w:usb1="C000785B" w:usb2="00000009" w:usb3="00000000" w:csb0="400001FF" w:csb1="FFFF0000"/>
  </w:font>
  <w:font w:name="Cambria">
    <w:altName w:val="DejaVu Sans"/>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195092017"/>
    </w:sdtPr>
    <w:sdtContent>
      <w:p>
        <w:pPr>
          <w:pStyle w:val="18"/>
          <w:tabs>
            <w:tab w:val="center" w:pos="4153"/>
            <w:tab w:val="right" w:pos="8306"/>
          </w:tabs>
          <w:jc w:val="center"/>
        </w:pPr>
        <w:r>
          <w:fldChar w:fldCharType="begin"/>
        </w:r>
        <w:r>
          <w:instrText>PAGE   \* MERGEFORMAT</w:instrText>
        </w:r>
        <w:r>
          <w:fldChar w:fldCharType="separate"/>
        </w:r>
        <w:r>
          <w:rPr>
            <w:lang w:val="zh-CN"/>
          </w:rPr>
          <w:t>2</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F59B48B"/>
    <w:multiLevelType w:val="singleLevel"/>
    <w:tmpl w:val="AF59B48B"/>
    <w:lvl w:ilvl="0">
      <w:start w:val="1"/>
      <w:numFmt w:val="decimal"/>
      <w:lvlRestart w:val="0"/>
      <w:lvlText w:val="%1."/>
      <w:lvlJc w:val="left"/>
      <w:pPr>
        <w:tabs>
          <w:tab w:val="num" w:pos="0"/>
        </w:tabs>
        <w:ind w:left="0" w:hanging="0"/>
      </w:pPr>
    </w:lvl>
  </w:abstractNum>
  <w:abstractNum w:abstractNumId="1">
    <w:nsid w:val="78D72DD4"/>
    <w:multiLevelType w:val="singleLevel"/>
    <w:tmpl w:val="78D72DD4"/>
    <w:lvl w:ilvl="0">
      <w:start w:val="3"/>
      <w:numFmt w:val="decimal"/>
      <w:lvlRestart w:val="0"/>
      <w:lvlText w:val="%1."/>
      <w:lvlJc w:val="left"/>
      <w:pPr>
        <w:tabs>
          <w:tab w:val="num" w:pos="0"/>
        </w:tabs>
        <w:ind w:left="0" w:hanging="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jVlZWIxMzI1ODY0YjBiM2MzMTFiM2NlNjkwYjJiYTk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character" w:customStyle="1" w:styleId="24">
    <w:name w:val="Header Char"/>
    <w:basedOn w:val="10"/>
    <w:rPr>
      <w:rFonts w:ascii="Times New Roman" w:hAnsi="Times New Roman"/>
      <w:sz w:val="18"/>
      <w:szCs w:val="18"/>
    </w:rPr>
  </w:style>
  <w:style w:type="character" w:customStyle="1" w:styleId="25">
    <w:name w:val="Footer Char"/>
    <w:basedOn w:val="10"/>
    <w:rPr>
      <w:rFonts w:ascii="Times New Roman" w:hAnsi="Times New Roman"/>
      <w:sz w:val="18"/>
      <w:szCs w:val="18"/>
    </w:rPr>
  </w:style>
  <w:style w:type="character" w:customStyle="1" w:styleId="26">
    <w:name w:val="Body Text Char"/>
    <w:basedOn w:val="10"/>
    <w:rPr>
      <w:rFonts w:ascii="Times New Roman" w:hAnsi="Times New Roman"/>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标题1"/>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收、支决算结构图</a:t>
            </a:r>
          </a:p>
        </c:rich>
      </c:tx>
      <c:layout/>
      <c:overlay val="0"/>
      <c:spPr>
        <a:noFill/>
        <a:ln>
          <a:noFill/>
        </a:ln>
      </c:spPr>
    </c:title>
    <c:autoTitleDeleted val="1"/>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'Sheet1'!$A$2:$A$3</c:f>
              <c:strCache>
                <c:ptCount val="2"/>
                <c:pt idx="0">
                  <c:v>2020年 </c:v>
                </c:pt>
                <c:pt idx="1">
                  <c:v>2021年</c:v>
                </c:pt>
              </c:strCache>
            </c:strRef>
          </c:cat>
          <c:val>
            <c:numRef>
              <c:f>'Sheet1'!$B$2:$B$3</c:f>
              <c:numCache>
                <c:formatCode>General</c:formatCode>
                <c:ptCount val="2"/>
                <c:pt idx="0">
                  <c:v>753.56</c:v>
                </c:pt>
                <c:pt idx="1">
                  <c:v>1220.45</c:v>
                </c:pt>
              </c:numCache>
            </c:numRef>
          </c:val>
        </c:ser>
        <c:ser>
          <c:idx val="1"/>
          <c:order val="1"/>
          <c:tx>
            <c:strRef>
              <c:f>'Sheet1'!$C$1</c:f>
              <c:strCache>
                <c:ptCount val="1"/>
                <c:pt idx="0">
                  <c:v>总支出</c:v>
                </c:pt>
              </c:strCache>
            </c:strRef>
          </c:tx>
          <c:spPr>
            <a:solidFill>
              <a:srgbClr val="C0504D"/>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'Sheet1'!$A$2:$A$3</c:f>
              <c:strCache>
                <c:ptCount val="2"/>
                <c:pt idx="0">
                  <c:v>2020年 </c:v>
                </c:pt>
                <c:pt idx="1">
                  <c:v>2021年</c:v>
                </c:pt>
              </c:strCache>
            </c:strRef>
          </c:cat>
          <c:val>
            <c:numRef>
              <c:f>'Sheet1'!$C$2:$C$3</c:f>
              <c:numCache>
                <c:formatCode>General</c:formatCode>
                <c:ptCount val="2"/>
                <c:pt idx="0">
                  <c:v>753.56</c:v>
                </c:pt>
                <c:pt idx="1">
                  <c:v>1220.45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solidFill>
          <a:srgbClr val="FFFFFF"/>
        </a:solidFill>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1220.45</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layout>
                <c:manualLayout>
                  <c:x val="-0.031990968"/>
                  <c:y val="-0.1824"/>
                </c:manualLayout>
              </c:layout>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997.24</c:v>
                </c:pt>
                <c:pt idx="1">
                  <c:v>223.21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1220.45</c:v>
                </c:pt>
                <c:pt idx="1">
                  <c:v>1220.45</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753.56</c:v>
                </c:pt>
                <c:pt idx="1">
                  <c:v>753.56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2021年</c:v>
                </c:pt>
                <c:pt idx="1">
                  <c:v>2020年</c:v>
                </c:pt>
              </c:strCache>
            </c:strRef>
          </c:cat>
          <c:val>
            <c:numRef>
              <c:f>'Sheet1 (5)'!$B$2:$B$3</c:f>
              <c:numCache>
                <c:formatCode>General</c:formatCode>
                <c:ptCount val="2"/>
                <c:pt idx="0">
                  <c:v>1220.45</c:v>
                </c:pt>
                <c:pt idx="1">
                  <c:v>753.56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DB843D"/>
              </a:solidFill>
              <a:ln>
                <a:noFill/>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1"/>
              <c:layout>
                <c:manualLayout>
                  <c:x val="-0.020973645"/>
                  <c:y val="0.044190824"/>
                </c:manualLayout>
              </c:layout>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dLbl>
              <c:idx val="2"/>
              <c:layout>
                <c:manualLayout>
                  <c:x val="-0.003778876"/>
                  <c:y val="0.004965708"/>
                </c:manualLayout>
              </c:layout>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dLbl>
              <c:idx val="3"/>
              <c:layout>
                <c:manualLayout>
                  <c:x val="0.027582776"/>
                  <c:y val="-0.04169033"/>
                </c:manualLayout>
              </c:layout>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dLbl>
              <c:idx val="4"/>
              <c:layout>
                <c:manualLayout>
                  <c:x val="0.048466124"/>
                  <c:y val="0.14493006"/>
                </c:manualLayout>
              </c:layout>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dLbl>
              <c:idx val="5"/>
              <c:layout>
                <c:manualLayout>
                  <c:x val="0.049029537"/>
                  <c:y val="0.099333696"/>
                </c:manualLayout>
              </c:layout>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(6)'!$A$2:$A$7</c:f>
              <c:strCache>
                <c:ptCount val="6"/>
                <c:pt idx="0">
                  <c:v>一般公共服务</c:v>
                </c:pt>
                <c:pt idx="1">
                  <c:v>国防支出</c:v>
                </c:pt>
                <c:pt idx="2">
                  <c:v>教育支出</c:v>
                </c:pt>
                <c:pt idx="3">
                  <c:v>社会保障和就业</c:v>
                </c:pt>
                <c:pt idx="4">
                  <c:v>医疗卫生支出</c:v>
                </c:pt>
                <c:pt idx="5">
                  <c:v>住房保障支出</c:v>
                </c:pt>
              </c:strCache>
            </c:strRef>
          </c:cat>
          <c:val>
            <c:numRef>
              <c:f>'Sheet1 (6)'!$B$2:$B$7</c:f>
              <c:numCache>
                <c:formatCode>General</c:formatCode>
                <c:ptCount val="6"/>
                <c:pt idx="0">
                  <c:v>991.01</c:v>
                </c:pt>
                <c:pt idx="1">
                  <c:v>50.0</c:v>
                </c:pt>
                <c:pt idx="2">
                  <c:v>0.28</c:v>
                </c:pt>
                <c:pt idx="3">
                  <c:v>82.84</c:v>
                </c:pt>
                <c:pt idx="4">
                  <c:v>36.86</c:v>
                </c:pt>
                <c:pt idx="5">
                  <c:v>59.45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2"/>
              <c:layout>
                <c:manualLayout>
                  <c:x val="-0.07035216"/>
                  <c:y val="0.0052022664"/>
                </c:manualLayout>
              </c:layout>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107.58</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12</TotalTime>
  <Application>Yozo_Office27021597764231179</Application>
  <Pages>24</Pages>
  <Words>9272</Words>
  <Characters>10276</Characters>
  <Lines>603</Lines>
  <Paragraphs>278</Paragraphs>
  <CharactersWithSpaces>10372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34</cp:revision>
  <cp:lastPrinted>2022-08-29T02:36:45Z</cp:lastPrinted>
  <dcterms:created xsi:type="dcterms:W3CDTF">2019-08-01T01:14:00Z</dcterms:created>
  <dcterms:modified xsi:type="dcterms:W3CDTF">2022-08-29T03:56:41Z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2052-11.1.0.12302</vt:lpwstr>
  </property>
  <property fmtid="{D5CDD505-2E9C-101B-9397-08002B2CF9AE}" pid="3" name="ICV">
    <vt:lpwstr>857B4164DF5F41E78370B8562898BC5D</vt:lpwstr>
  </property>
</Properties>
</file>