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8530"/>
      <w:bookmarkStart w:id="4" w:name="_Toc27643"/>
      <w:bookmarkStart w:id="5" w:name="_Toc15378441"/>
      <w:bookmarkStart w:id="6" w:name="_Toc15377193"/>
      <w:bookmarkStart w:id="7" w:name="_Toc15396597"/>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06268"/>
      <w:bookmarkStart w:id="10" w:name="_Toc24702"/>
      <w:bookmarkStart w:id="11" w:name="_Toc15396598"/>
      <w:bookmarkStart w:id="12" w:name="_Toc15377194"/>
      <w:bookmarkStart w:id="13" w:name="_Toc15378442"/>
      <w:bookmarkStart w:id="14" w:name="_Toc15377426"/>
      <w:bookmarkStart w:id="15" w:name="_Toc28566"/>
      <w:r>
        <w:rPr>
          <w:rFonts w:hint="eastAsia" w:ascii="方正小标宋简体" w:hAnsi="宋体" w:eastAsia="方正小标宋简体"/>
          <w:color w:val="000000"/>
          <w:sz w:val="72"/>
          <w:szCs w:val="72"/>
        </w:rPr>
        <w:t>金川县人民政府办公室  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仿宋" w:hAnsi="仿宋" w:eastAsia="仿宋"/>
          <w:sz w:val="28"/>
          <w:szCs w:val="28"/>
        </w:rPr>
      </w:pPr>
      <w:r>
        <w:rPr>
          <w:rFonts w:hint="eastAsia" w:ascii="仿宋" w:hAnsi="仿宋" w:eastAsia="仿宋"/>
          <w:sz w:val="28"/>
          <w:szCs w:val="28"/>
        </w:rPr>
        <w:t>公示时间： 2021年8月3日</w:t>
      </w:r>
    </w:p>
    <w:p>
      <w:pPr>
        <w:pStyle w:val="10"/>
      </w:pPr>
      <w:bookmarkStart w:id="16" w:name="_Toc15377196"/>
      <w:r>
        <w:rPr>
          <w:rFonts w:hint="eastAsia"/>
        </w:rPr>
        <w:fldChar w:fldCharType="begin"/>
      </w:r>
      <w:r>
        <w:rPr>
          <w:rFonts w:hint="eastAsia"/>
        </w:rPr>
        <w:instrText xml:space="preserve"> HYPERLINK \l "_Toc15396599" </w:instrText>
      </w:r>
      <w:r>
        <w:rPr>
          <w:rFonts w:hint="eastAsia"/>
        </w:rPr>
        <w:fldChar w:fldCharType="separate"/>
      </w:r>
      <w:r>
        <w:rPr>
          <w:rFonts w:hint="eastAsia"/>
        </w:rPr>
        <w:t>第一部分 部门概况</w:t>
      </w:r>
      <w:r>
        <w:rPr>
          <w:rFonts w:hint="eastAsia"/>
        </w:rPr>
        <w:tab/>
      </w:r>
      <w:r>
        <w:rPr>
          <w:rFonts w:hint="eastAsia"/>
        </w:rPr>
        <w:t>4</w:t>
      </w:r>
      <w:r>
        <w:rPr>
          <w:rFonts w:hint="eastAsia"/>
        </w:rP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Fonts w:hint="eastAsia" w:ascii="仿宋" w:hAnsi="仿宋" w:eastAsia="仿宋"/>
          <w:sz w:val="28"/>
          <w:szCs w:val="28"/>
        </w:rPr>
        <w:t>一、基本职能及主要工作</w:t>
      </w:r>
      <w:r>
        <w:rPr>
          <w:rFonts w:hint="eastAsia"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Fonts w:hint="eastAsia" w:ascii="仿宋" w:hAnsi="仿宋" w:eastAsia="仿宋"/>
          <w:sz w:val="28"/>
          <w:szCs w:val="28"/>
        </w:rPr>
        <w:t>二、机构设置</w:t>
      </w:r>
      <w:r>
        <w:rPr>
          <w:rFonts w:hint="eastAsia"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 部门决算情况说明</w:t>
      </w:r>
      <w:r>
        <w:rPr>
          <w:rFonts w:hint="eastAsia"/>
        </w:rPr>
        <w:tab/>
      </w:r>
      <w:r>
        <w:rPr>
          <w:rFonts w:hint="eastAsia"/>
        </w:rPr>
        <w:t>5</w:t>
      </w:r>
      <w:r>
        <w:rPr>
          <w:rFonts w:hint="eastAsia"/>
        </w:rP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Fonts w:hint="eastAsia" w:ascii="仿宋" w:hAnsi="仿宋" w:eastAsia="仿宋"/>
          <w:sz w:val="28"/>
          <w:szCs w:val="28"/>
        </w:rPr>
        <w:t>一、收入支出决算总体情况说明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5</w:t>
      </w:r>
    </w:p>
    <w:p>
      <w:pPr>
        <w:pStyle w:val="11"/>
        <w:rPr>
          <w:rFonts w:ascii="仿宋" w:hAnsi="仿宋" w:eastAsia="仿宋"/>
          <w:sz w:val="28"/>
          <w:szCs w:val="28"/>
        </w:rPr>
      </w:pPr>
      <w:r>
        <w:fldChar w:fldCharType="begin"/>
      </w:r>
      <w:r>
        <w:instrText xml:space="preserve"> HYPERLINK \l "_Toc15396604" </w:instrText>
      </w:r>
      <w:r>
        <w:fldChar w:fldCharType="separate"/>
      </w:r>
      <w:r>
        <w:rPr>
          <w:rFonts w:hint="eastAsia" w:ascii="仿宋" w:hAnsi="仿宋" w:eastAsia="仿宋"/>
          <w:sz w:val="28"/>
          <w:szCs w:val="28"/>
        </w:rPr>
        <w:t>二、收入决算情况说明</w:t>
      </w:r>
      <w:r>
        <w:rPr>
          <w:rFonts w:hint="eastAsia"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Fonts w:hint="eastAsia" w:ascii="仿宋" w:hAnsi="仿宋" w:eastAsia="仿宋"/>
          <w:sz w:val="28"/>
          <w:szCs w:val="28"/>
        </w:rPr>
        <w:t>三、支出决算情况说明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7</w:t>
      </w:r>
    </w:p>
    <w:p>
      <w:pPr>
        <w:pStyle w:val="11"/>
        <w:rPr>
          <w:rFonts w:ascii="仿宋" w:hAnsi="仿宋" w:eastAsia="仿宋"/>
          <w:sz w:val="28"/>
          <w:szCs w:val="28"/>
        </w:rPr>
      </w:pPr>
      <w:r>
        <w:fldChar w:fldCharType="begin"/>
      </w:r>
      <w:r>
        <w:instrText xml:space="preserve"> HYPERLINK \l "_Toc15396606" </w:instrText>
      </w:r>
      <w:r>
        <w:fldChar w:fldCharType="separate"/>
      </w:r>
      <w:r>
        <w:rPr>
          <w:rFonts w:hint="eastAsia" w:ascii="仿宋" w:hAnsi="仿宋" w:eastAsia="仿宋"/>
          <w:sz w:val="28"/>
          <w:szCs w:val="28"/>
        </w:rPr>
        <w:t>四、财政拨款收入支出决算总体情况说明</w:t>
      </w:r>
      <w:r>
        <w:rPr>
          <w:rFonts w:hint="eastAsia"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Fonts w:hint="eastAsia" w:ascii="仿宋" w:hAnsi="仿宋" w:eastAsia="仿宋"/>
          <w:sz w:val="28"/>
          <w:szCs w:val="28"/>
        </w:rPr>
        <w:t>五、一般公共预算财政拨款支出决算情况说明</w:t>
      </w:r>
      <w:r>
        <w:rPr>
          <w:rFonts w:hint="eastAsia"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Fonts w:hint="eastAsia" w:ascii="仿宋" w:hAnsi="仿宋" w:eastAsia="仿宋"/>
          <w:sz w:val="28"/>
          <w:szCs w:val="28"/>
        </w:rPr>
        <w:t>六、一般公共预算财政拨款基本支出决算情况说明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11</w:t>
      </w:r>
    </w:p>
    <w:p>
      <w:pPr>
        <w:pStyle w:val="11"/>
        <w:rPr>
          <w:rFonts w:ascii="仿宋" w:hAnsi="仿宋" w:eastAsia="仿宋"/>
          <w:sz w:val="28"/>
          <w:szCs w:val="28"/>
        </w:rPr>
      </w:pPr>
      <w:r>
        <w:fldChar w:fldCharType="begin"/>
      </w:r>
      <w:r>
        <w:instrText xml:space="preserve"> HYPERLINK \l "_Toc15396609" </w:instrText>
      </w:r>
      <w:r>
        <w:fldChar w:fldCharType="separate"/>
      </w:r>
      <w:r>
        <w:rPr>
          <w:rFonts w:hint="eastAsia" w:ascii="仿宋" w:hAnsi="仿宋" w:eastAsia="仿宋"/>
          <w:sz w:val="28"/>
          <w:szCs w:val="28"/>
        </w:rPr>
        <w:t>七、“三公”经费财政拨款支出决算情况说明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1</w:t>
      </w:r>
    </w:p>
    <w:p>
      <w:pPr>
        <w:pStyle w:val="11"/>
        <w:rPr>
          <w:rFonts w:ascii="仿宋" w:hAnsi="仿宋" w:eastAsia="仿宋"/>
          <w:sz w:val="28"/>
          <w:szCs w:val="28"/>
        </w:rPr>
      </w:pPr>
      <w:r>
        <w:fldChar w:fldCharType="begin"/>
      </w:r>
      <w:r>
        <w:instrText xml:space="preserve"> HYPERLINK \l "_Toc15396610" </w:instrText>
      </w:r>
      <w:r>
        <w:fldChar w:fldCharType="separate"/>
      </w:r>
      <w:r>
        <w:rPr>
          <w:rFonts w:hint="eastAsia" w:ascii="仿宋" w:hAnsi="仿宋" w:eastAsia="仿宋"/>
          <w:sz w:val="28"/>
          <w:szCs w:val="28"/>
        </w:rPr>
        <w:t>八、政府性基金预算支出决算情况说明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11"/>
        <w:rPr>
          <w:rFonts w:ascii="仿宋" w:hAnsi="仿宋" w:eastAsia="仿宋"/>
          <w:sz w:val="28"/>
          <w:szCs w:val="28"/>
        </w:rPr>
      </w:pPr>
      <w:r>
        <w:fldChar w:fldCharType="begin"/>
      </w:r>
      <w:r>
        <w:instrText xml:space="preserve"> HYPERLINK \l "_Toc15396611" </w:instrText>
      </w:r>
      <w:r>
        <w:fldChar w:fldCharType="separate"/>
      </w:r>
      <w:r>
        <w:rPr>
          <w:rFonts w:hint="eastAsia" w:ascii="仿宋" w:hAnsi="仿宋" w:eastAsia="仿宋"/>
          <w:sz w:val="28"/>
          <w:szCs w:val="28"/>
        </w:rPr>
        <w:t>九、 国有资本经营预算支出决算情况说明</w:t>
      </w:r>
      <w:r>
        <w:rPr>
          <w:rFonts w:hint="eastAsia"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23"/>
        <w:spacing w:line="580" w:lineRule="exact"/>
        <w:ind w:firstLine="0" w:firstLineChars="0"/>
        <w:rPr>
          <w:rFonts w:ascii="仿宋" w:hAnsi="仿宋" w:eastAsia="仿宋"/>
          <w:sz w:val="28"/>
          <w:szCs w:val="28"/>
        </w:rPr>
      </w:pPr>
      <w:r>
        <w:rPr>
          <w:rFonts w:hint="eastAsia" w:ascii="仿宋" w:hAnsi="仿宋" w:eastAsia="仿宋"/>
          <w:sz w:val="28"/>
          <w:szCs w:val="28"/>
        </w:rPr>
        <w:t xml:space="preserve">   十、预算绩效情况说明..................................13</w:t>
      </w:r>
    </w:p>
    <w:p>
      <w:pPr>
        <w:pStyle w:val="11"/>
        <w:ind w:left="0" w:leftChars="0" w:firstLine="210" w:firstLineChars="100"/>
        <w:rPr>
          <w:rFonts w:ascii="仿宋" w:hAnsi="仿宋" w:eastAsia="仿宋"/>
          <w:sz w:val="28"/>
          <w:szCs w:val="28"/>
        </w:rPr>
      </w:pPr>
      <w:r>
        <w:fldChar w:fldCharType="begin"/>
      </w:r>
      <w:r>
        <w:instrText xml:space="preserve"> HYPERLINK \l "_Toc15396612" </w:instrText>
      </w:r>
      <w:r>
        <w:fldChar w:fldCharType="separate"/>
      </w:r>
      <w:r>
        <w:rPr>
          <w:rFonts w:hint="eastAsia" w:ascii="仿宋" w:hAnsi="仿宋" w:eastAsia="仿宋"/>
          <w:sz w:val="28"/>
          <w:szCs w:val="28"/>
        </w:rPr>
        <w:t>十一、其他重要事项的情况说明</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15</w:t>
      </w:r>
    </w:p>
    <w:p>
      <w:pPr>
        <w:pStyle w:val="10"/>
      </w:pPr>
      <w:r>
        <w:fldChar w:fldCharType="begin"/>
      </w:r>
      <w:r>
        <w:instrText xml:space="preserve"> HYPERLINK \l "_Toc15396613" </w:instrText>
      </w:r>
      <w:r>
        <w:fldChar w:fldCharType="separate"/>
      </w:r>
      <w:r>
        <w:rPr>
          <w:rFonts w:hint="eastAsia"/>
        </w:rPr>
        <w:t>第三部分 名词解释</w:t>
      </w:r>
      <w:r>
        <w:rPr>
          <w:rFonts w:hint="eastAsia"/>
        </w:rPr>
        <w:tab/>
      </w:r>
      <w:r>
        <w:rPr>
          <w:rFonts w:hint="eastAsia"/>
        </w:rPr>
        <w:t>16</w:t>
      </w:r>
      <w:r>
        <w:rPr>
          <w:rFonts w:hint="eastAsia"/>
        </w:rPr>
        <w:fldChar w:fldCharType="end"/>
      </w:r>
    </w:p>
    <w:p>
      <w:pPr>
        <w:pStyle w:val="10"/>
      </w:pPr>
      <w:r>
        <w:fldChar w:fldCharType="begin"/>
      </w:r>
      <w:r>
        <w:instrText xml:space="preserve"> HYPERLINK \l "_Toc15396614" </w:instrText>
      </w:r>
      <w:r>
        <w:fldChar w:fldCharType="separate"/>
      </w:r>
      <w:r>
        <w:rPr>
          <w:rFonts w:hint="eastAsia"/>
        </w:rPr>
        <w:t>第四部分 附件</w:t>
      </w:r>
      <w:r>
        <w:rPr>
          <w:rFonts w:hint="eastAsia"/>
        </w:rPr>
        <w:tab/>
      </w:r>
      <w:r>
        <w:rPr>
          <w:rFonts w:hint="eastAsia"/>
        </w:rPr>
        <w:t>19</w:t>
      </w:r>
      <w:r>
        <w:rPr>
          <w:rFonts w:hint="eastAsia"/>
        </w:rPr>
        <w:fldChar w:fldCharType="end"/>
      </w:r>
    </w:p>
    <w:p>
      <w:pPr>
        <w:pStyle w:val="11"/>
        <w:rPr>
          <w:rFonts w:ascii="仿宋" w:hAnsi="仿宋" w:eastAsia="仿宋"/>
          <w:sz w:val="28"/>
          <w:szCs w:val="28"/>
        </w:rPr>
      </w:pPr>
      <w:r>
        <w:fldChar w:fldCharType="begin"/>
      </w:r>
      <w:r>
        <w:instrText xml:space="preserve"> HYPERLINK \l "_Toc15396615" </w:instrText>
      </w:r>
      <w:r>
        <w:fldChar w:fldCharType="separate"/>
      </w:r>
      <w:r>
        <w:rPr>
          <w:rFonts w:hint="eastAsia" w:ascii="仿宋" w:hAnsi="仿宋" w:eastAsia="仿宋"/>
          <w:sz w:val="28"/>
          <w:szCs w:val="28"/>
        </w:rPr>
        <w:t>附件1</w:t>
      </w:r>
      <w:r>
        <w:rPr>
          <w:rFonts w:hint="eastAsia" w:ascii="仿宋" w:hAnsi="仿宋" w:eastAsia="仿宋"/>
          <w:sz w:val="28"/>
          <w:szCs w:val="28"/>
        </w:rPr>
        <w:tab/>
      </w:r>
      <w:r>
        <w:rPr>
          <w:rFonts w:hint="eastAsia" w:ascii="仿宋" w:hAnsi="仿宋" w:eastAsia="仿宋"/>
          <w:sz w:val="28"/>
          <w:szCs w:val="28"/>
        </w:rPr>
        <w:t>19</w:t>
      </w:r>
      <w:r>
        <w:rPr>
          <w:rFonts w:hint="eastAsia" w:ascii="仿宋" w:hAnsi="仿宋" w:eastAsia="仿宋"/>
          <w:sz w:val="28"/>
          <w:szCs w:val="28"/>
        </w:rPr>
        <w:fldChar w:fldCharType="end"/>
      </w:r>
    </w:p>
    <w:p>
      <w:pPr>
        <w:pStyle w:val="10"/>
      </w:pPr>
      <w:r>
        <w:fldChar w:fldCharType="begin"/>
      </w:r>
      <w:r>
        <w:instrText xml:space="preserve"> HYPERLINK \l "_Toc15396618" </w:instrText>
      </w:r>
      <w:r>
        <w:fldChar w:fldCharType="separate"/>
      </w:r>
      <w:r>
        <w:rPr>
          <w:rFonts w:hint="eastAsia"/>
        </w:rPr>
        <w:t>第五部分 附表</w:t>
      </w:r>
      <w:r>
        <w:rPr>
          <w:rFonts w:hint="eastAsia"/>
        </w:rPr>
        <w:tab/>
      </w:r>
      <w:r>
        <w:rPr>
          <w:rFonts w:hint="eastAsia"/>
        </w:rPr>
        <w:t>19</w:t>
      </w:r>
      <w:r>
        <w:rPr>
          <w:rFonts w:hint="eastAsia"/>
        </w:rPr>
        <w:fldChar w:fldCharType="end"/>
      </w:r>
    </w:p>
    <w:p>
      <w:pPr>
        <w:pStyle w:val="11"/>
        <w:rPr>
          <w:rFonts w:ascii="仿宋" w:hAnsi="仿宋" w:eastAsia="仿宋"/>
          <w:sz w:val="28"/>
          <w:szCs w:val="28"/>
        </w:rPr>
      </w:pPr>
      <w:r>
        <w:rPr>
          <w:rFonts w:hint="eastAsia" w:ascii="仿宋" w:hAnsi="仿宋" w:eastAsia="仿宋"/>
          <w:sz w:val="28"/>
          <w:szCs w:val="28"/>
        </w:rPr>
        <w:t>一、</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"_Toc15396619" </w:instrText>
      </w:r>
      <w:r>
        <w:rPr>
          <w:rFonts w:hint="eastAsia" w:ascii="仿宋" w:hAnsi="仿宋" w:eastAsia="仿宋"/>
          <w:sz w:val="28"/>
          <w:szCs w:val="28"/>
        </w:rPr>
        <w:fldChar w:fldCharType="separate"/>
      </w:r>
      <w:r>
        <w:rPr>
          <w:rFonts w:hint="eastAsia" w:ascii="仿宋" w:hAnsi="仿宋" w:eastAsia="仿宋"/>
          <w:sz w:val="28"/>
          <w:szCs w:val="28"/>
        </w:rPr>
        <w:t>收入支出决算总表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二、</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"_Toc15396620" </w:instrText>
      </w:r>
      <w:r>
        <w:rPr>
          <w:rFonts w:hint="eastAsia" w:ascii="仿宋" w:hAnsi="仿宋" w:eastAsia="仿宋"/>
          <w:sz w:val="28"/>
          <w:szCs w:val="28"/>
        </w:rPr>
        <w:fldChar w:fldCharType="separate"/>
      </w:r>
      <w:r>
        <w:rPr>
          <w:rFonts w:hint="eastAsia" w:ascii="仿宋" w:hAnsi="仿宋" w:eastAsia="仿宋"/>
          <w:sz w:val="28"/>
          <w:szCs w:val="28"/>
        </w:rPr>
        <w:t>收入总表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三、</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"_Toc15396621" </w:instrText>
      </w:r>
      <w:r>
        <w:rPr>
          <w:rFonts w:hint="eastAsia" w:ascii="仿宋" w:hAnsi="仿宋" w:eastAsia="仿宋"/>
          <w:sz w:val="28"/>
          <w:szCs w:val="28"/>
        </w:rPr>
        <w:fldChar w:fldCharType="separate"/>
      </w:r>
      <w:r>
        <w:rPr>
          <w:rFonts w:hint="eastAsia" w:ascii="仿宋" w:hAnsi="仿宋" w:eastAsia="仿宋"/>
          <w:sz w:val="28"/>
          <w:szCs w:val="28"/>
        </w:rPr>
        <w:t>支出总表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四、</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"_Toc15396622" </w:instrText>
      </w:r>
      <w:r>
        <w:rPr>
          <w:rFonts w:hint="eastAsia" w:ascii="仿宋" w:hAnsi="仿宋" w:eastAsia="仿宋"/>
          <w:sz w:val="28"/>
          <w:szCs w:val="28"/>
        </w:rPr>
        <w:fldChar w:fldCharType="separate"/>
      </w:r>
      <w:r>
        <w:rPr>
          <w:rFonts w:hint="eastAsia" w:ascii="仿宋" w:hAnsi="仿宋" w:eastAsia="仿宋"/>
          <w:sz w:val="28"/>
          <w:szCs w:val="28"/>
        </w:rPr>
        <w:t>财政拨款收入支出决算总表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"_Toc15396623" </w:instrText>
      </w:r>
      <w:r>
        <w:rPr>
          <w:rFonts w:hint="eastAsia" w:ascii="仿宋" w:hAnsi="仿宋" w:eastAsia="仿宋"/>
          <w:sz w:val="28"/>
          <w:szCs w:val="28"/>
        </w:rP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六、</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"_Toc15396624"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七、</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"_Toc15396625"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一般公共预算财政拨款支出决算明细表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八、</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"_Toc15396626"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一般公共预算财政拨款基本支出决算表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九、</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"_Toc15396627"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一般公共预算财政拨款项目支出决算表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"_Toc15396628" </w:instrText>
      </w:r>
      <w:r>
        <w:rPr>
          <w:rFonts w:hint="eastAsia" w:ascii="仿宋" w:hAnsi="仿宋" w:eastAsia="仿宋"/>
          <w:sz w:val="28"/>
          <w:szCs w:val="28"/>
        </w:rPr>
        <w:fldChar w:fldCharType="separate"/>
      </w:r>
      <w:r>
        <w:rPr>
          <w:rFonts w:hint="eastAsia" w:ascii="仿宋" w:hAnsi="仿宋" w:eastAsia="仿宋"/>
          <w:sz w:val="28"/>
          <w:szCs w:val="28"/>
        </w:rPr>
        <w:t>一般公共预算财政拨款“三公”经费支出决算表</w:t>
      </w:r>
      <w:r>
        <w:rPr>
          <w:rFonts w:hint="eastAsia" w:ascii="仿宋" w:hAnsi="仿宋" w:eastAsia="仿宋"/>
          <w:sz w:val="28"/>
          <w:szCs w:val="28"/>
        </w:rPr>
        <w:tab/>
      </w:r>
      <w:r>
        <w:rPr>
          <w:rFonts w:hint="eastAsia" w:ascii="仿宋" w:hAnsi="仿宋" w:eastAsia="仿宋"/>
          <w:sz w:val="28"/>
          <w:szCs w:val="28"/>
        </w:rPr>
        <w:t>26</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十一、</w:t>
      </w:r>
      <w:r>
        <w:rPr>
          <w:rFonts w:hint="eastAsia" w:ascii="仿宋" w:hAnsi="仿宋" w:eastAsia="仿宋"/>
          <w:sz w:val="28"/>
          <w:szCs w:val="28"/>
        </w:rPr>
        <w:fldChar w:fldCharType="begin"/>
      </w:r>
      <w:r>
        <w:rPr>
          <w:rFonts w:hint="eastAsia" w:ascii="仿宋" w:hAnsi="仿宋" w:eastAsia="仿宋"/>
          <w:sz w:val="28"/>
          <w:szCs w:val="28"/>
        </w:rPr>
        <w:instrText xml:space="preserve"> HYPERLINK \l "_Toc15396629" </w:instrText>
      </w:r>
      <w:r>
        <w:rPr>
          <w:rFonts w:hint="eastAsia" w:ascii="仿宋" w:hAnsi="仿宋" w:eastAsia="仿宋"/>
          <w:sz w:val="28"/>
          <w:szCs w:val="28"/>
        </w:rPr>
        <w:fldChar w:fldCharType="separate"/>
      </w:r>
      <w:r>
        <w:rPr>
          <w:rFonts w:hint="eastAsia" w:ascii="仿宋" w:hAnsi="仿宋" w:eastAsia="仿宋"/>
          <w:sz w:val="28"/>
          <w:szCs w:val="28"/>
        </w:rPr>
        <w:t>封面代码</w:t>
      </w:r>
      <w:r>
        <w:rPr>
          <w:rFonts w:hint="eastAsia" w:ascii="仿宋" w:hAnsi="仿宋" w:eastAsia="仿宋"/>
          <w:sz w:val="28"/>
          <w:szCs w:val="28"/>
        </w:rPr>
        <w:tab/>
      </w:r>
      <w:r>
        <w:rPr>
          <w:rFonts w:hint="eastAsia" w:ascii="仿宋" w:hAnsi="仿宋" w:eastAsia="仿宋"/>
          <w:sz w:val="28"/>
          <w:szCs w:val="28"/>
        </w:rPr>
        <w:fldChar w:fldCharType="end"/>
      </w:r>
      <w:r>
        <w:rPr>
          <w:rFonts w:hint="eastAsia" w:ascii="仿宋" w:hAnsi="仿宋" w:eastAsia="仿宋"/>
          <w:sz w:val="28"/>
          <w:szCs w:val="28"/>
        </w:rPr>
        <w:t>26</w:t>
      </w:r>
    </w:p>
    <w:p>
      <w:pPr>
        <w:widowControl/>
        <w:jc w:val="left"/>
        <w:rPr>
          <w:rFonts w:ascii="仿宋" w:hAnsi="仿宋" w:eastAsia="仿宋"/>
          <w:sz w:val="28"/>
          <w:szCs w:val="28"/>
        </w:rPr>
      </w:pPr>
      <w:r>
        <w:rPr>
          <w:rFonts w:hint="eastAsia" w:ascii="仿宋" w:hAnsi="仿宋" w:eastAsia="仿宋"/>
          <w:sz w:val="28"/>
          <w:szCs w:val="28"/>
        </w:rPr>
        <w:br w:type="page"/>
      </w:r>
    </w:p>
    <w:p>
      <w:pPr>
        <w:pStyle w:val="2"/>
        <w:jc w:val="center"/>
        <w:rPr>
          <w:rFonts w:ascii="黑体" w:eastAsia="黑体"/>
          <w:color w:val="000000"/>
          <w:sz w:val="32"/>
          <w:szCs w:val="32"/>
        </w:rPr>
      </w:pPr>
      <w:bookmarkStart w:id="17" w:name="_Toc16429"/>
      <w:r>
        <w:rPr>
          <w:rFonts w:hint="eastAsia" w:ascii="黑体" w:hAnsi="黑体" w:eastAsia="黑体"/>
          <w:b w:val="0"/>
        </w:rPr>
        <w:t xml:space="preserve">第一部分 </w:t>
      </w:r>
      <w:r>
        <w:rPr>
          <w:rStyle w:val="24"/>
          <w:rFonts w:hint="eastAsia" w:ascii="黑体" w:hAnsi="黑体" w:eastAsia="黑体"/>
          <w:b w:val="0"/>
          <w:bCs w:val="0"/>
        </w:rPr>
        <w:t>部门概况</w:t>
      </w:r>
      <w:bookmarkEnd w:id="16"/>
      <w:bookmarkEnd w:id="17"/>
    </w:p>
    <w:p>
      <w:pPr>
        <w:pStyle w:val="3"/>
        <w:spacing w:before="0" w:after="0" w:line="240" w:lineRule="auto"/>
        <w:ind w:left="640" w:hanging="640" w:hangingChars="200"/>
        <w:rPr>
          <w:rStyle w:val="25"/>
          <w:rFonts w:ascii="黑体" w:hAnsi="黑体" w:eastAsia="黑体"/>
          <w:b w:val="0"/>
          <w:bCs w:val="0"/>
        </w:rPr>
      </w:pPr>
      <w:bookmarkStart w:id="18" w:name="_Toc21480"/>
      <w:bookmarkStart w:id="19"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8"/>
      <w:bookmarkEnd w:id="19"/>
      <w:bookmarkStart w:id="20" w:name="_Toc15377198"/>
      <w:bookmarkStart w:id="21" w:name="_Toc15378445"/>
    </w:p>
    <w:p>
      <w:pPr>
        <w:pStyle w:val="3"/>
        <w:spacing w:before="0" w:after="0" w:line="240" w:lineRule="auto"/>
        <w:ind w:left="642" w:leftChars="153" w:hanging="321" w:hangingChars="100"/>
        <w:rPr>
          <w:rFonts w:ascii="楷体" w:hAnsi="楷体" w:eastAsia="楷体" w:cs="楷体"/>
          <w:color w:val="000000"/>
        </w:rPr>
      </w:pPr>
      <w:bookmarkStart w:id="22" w:name="_Toc272"/>
      <w:r>
        <w:rPr>
          <w:rFonts w:hint="eastAsia" w:ascii="楷体" w:hAnsi="楷体" w:eastAsia="楷体" w:cs="楷体"/>
          <w:color w:val="000000"/>
        </w:rPr>
        <w:t>（一）主要职能</w:t>
      </w:r>
      <w:bookmarkEnd w:id="20"/>
      <w:bookmarkEnd w:id="21"/>
      <w:bookmarkEnd w:id="22"/>
      <w:bookmarkStart w:id="23" w:name="_Toc15377199"/>
      <w:bookmarkStart w:id="24" w:name="_Toc15378446"/>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１协助县政府领导同志组织起草或审核以县政府、金川县人民政府办公室名义发布的公文。办理州政府、州政府办公室及各部委局发送县政府的文电。指导全县行政机关公文处理工作。</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2研究县政府部门和各乡镇人民政府请示县政府事项，提出审核意见，报县政府领导同志审批。</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3负责县政府会议准备工作，协助县政府领导组织实施会议决定事项。</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4根据县政府领导同志的指示，对县政府部门间争议问题提出处理意见和建议，报县政府领导同志决定。</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5督促检查县政府各部门和各乡镇人民政府对县政府决定事项及县政府领导同志指示的贯彻落实情况，及时向县政府领导同志报告。</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6负责县政府值班工作，指导乡镇人民政府和县政府部门值班工作，及时报告重要情况。</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7指导、监督全县政府信息公开工作和机关行政效能建设工作，指导、监督全县政府系统电子政务工作和政府网站建设。</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8组织办理涉及县政府工作的人大代表议案、批评、建议和政协委员提案、建议案工作。</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9负责县政府人民防空和民防工作。</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10负责全县机关事业单位小汽车编制审批事项。</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11负责外事侨务工作。</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12监督、指导县人民政府驻成都办事处工作。</w:t>
      </w:r>
    </w:p>
    <w:p>
      <w:pPr>
        <w:pStyle w:val="5"/>
        <w:adjustRightInd w:val="0"/>
        <w:snapToGrid w:val="0"/>
        <w:spacing w:before="93" w:line="600" w:lineRule="exact"/>
        <w:ind w:firstLine="672" w:firstLineChars="210"/>
        <w:rPr>
          <w:bCs/>
          <w:color w:val="000000"/>
          <w:sz w:val="32"/>
          <w:szCs w:val="32"/>
        </w:rPr>
      </w:pPr>
      <w:r>
        <w:rPr>
          <w:rFonts w:hint="eastAsia"/>
          <w:bCs/>
          <w:color w:val="000000"/>
          <w:sz w:val="32"/>
          <w:szCs w:val="32"/>
        </w:rPr>
        <w:t>13承办县政府和县政府领导交办的其他事项。　</w:t>
      </w:r>
    </w:p>
    <w:p>
      <w:pPr>
        <w:pStyle w:val="3"/>
        <w:spacing w:before="0" w:after="0" w:line="240" w:lineRule="auto"/>
        <w:ind w:firstLine="643" w:firstLineChars="200"/>
        <w:rPr>
          <w:rFonts w:ascii="楷体" w:hAnsi="楷体" w:eastAsia="楷体" w:cs="楷体"/>
          <w:color w:val="000000"/>
        </w:rPr>
      </w:pPr>
      <w:bookmarkStart w:id="25" w:name="_Toc32388"/>
      <w:r>
        <w:rPr>
          <w:rFonts w:hint="eastAsia" w:ascii="楷体" w:hAnsi="楷体" w:eastAsia="楷体" w:cs="楷体"/>
          <w:color w:val="000000"/>
        </w:rPr>
        <w:t>（二）2020年重点工作完成情况</w:t>
      </w:r>
      <w:bookmarkEnd w:id="23"/>
      <w:bookmarkEnd w:id="24"/>
      <w:bookmarkEnd w:id="25"/>
    </w:p>
    <w:p>
      <w:pPr>
        <w:snapToGrid w:val="0"/>
        <w:spacing w:line="360" w:lineRule="auto"/>
        <w:ind w:firstLine="615"/>
        <w:rPr>
          <w:bCs/>
          <w:color w:val="000000"/>
          <w:sz w:val="32"/>
          <w:szCs w:val="32"/>
        </w:rPr>
      </w:pPr>
      <w:bookmarkStart w:id="26" w:name="_Toc15377200"/>
      <w:r>
        <w:rPr>
          <w:rFonts w:hint="eastAsia"/>
          <w:bCs/>
          <w:color w:val="000000"/>
          <w:sz w:val="32"/>
          <w:szCs w:val="32"/>
        </w:rPr>
        <w:t>我办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2020年各项工作，取得了实效。</w:t>
      </w:r>
    </w:p>
    <w:p>
      <w:pPr>
        <w:spacing w:line="578" w:lineRule="exact"/>
        <w:ind w:firstLine="640" w:firstLineChars="200"/>
        <w:rPr>
          <w:rStyle w:val="25"/>
          <w:b w:val="0"/>
          <w:bCs w:val="0"/>
        </w:rPr>
      </w:pPr>
      <w:bookmarkStart w:id="27" w:name="_Toc32147"/>
      <w:r>
        <w:rPr>
          <w:rStyle w:val="25"/>
          <w:rFonts w:hint="eastAsia" w:ascii="黑体" w:hAnsi="黑体" w:eastAsia="黑体"/>
          <w:b w:val="0"/>
          <w:bCs w:val="0"/>
        </w:rPr>
        <w:t>二、机构设置</w:t>
      </w:r>
      <w:bookmarkEnd w:id="26"/>
    </w:p>
    <w:bookmarkEnd w:id="27"/>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金川县人民政府办公室是</w:t>
      </w:r>
      <w:r>
        <w:rPr>
          <w:rFonts w:hint="eastAsia" w:ascii="仿宋_GB2312" w:eastAsia="仿宋_GB2312"/>
          <w:bCs/>
          <w:color w:val="000000"/>
          <w:sz w:val="32"/>
          <w:szCs w:val="32"/>
        </w:rPr>
        <w:t>政府组成部门，由县政府办公室、县人防办、县信息中心组成，设</w:t>
      </w:r>
      <w:r>
        <w:rPr>
          <w:rFonts w:hint="eastAsia" w:ascii="仿宋_GB2312" w:eastAsia="仿宋_GB2312"/>
          <w:color w:val="000000"/>
          <w:sz w:val="32"/>
          <w:szCs w:val="32"/>
        </w:rPr>
        <w:t>统一核算机构为1个，独立编制机构3个，其中:行政单位1个，事业单位1个。</w:t>
      </w:r>
    </w:p>
    <w:p>
      <w:pPr>
        <w:pStyle w:val="2"/>
        <w:ind w:right="440"/>
        <w:jc w:val="center"/>
        <w:rPr>
          <w:rFonts w:hint="eastAsia" w:ascii="黑体" w:hAnsi="黑体" w:eastAsia="黑体"/>
          <w:b w:val="0"/>
          <w:color w:val="000000"/>
        </w:rPr>
      </w:pPr>
      <w:bookmarkStart w:id="28" w:name="_Toc15377204"/>
      <w:bookmarkStart w:id="29" w:name="_Toc18319"/>
    </w:p>
    <w:p>
      <w:pPr>
        <w:pStyle w:val="2"/>
        <w:ind w:right="440"/>
        <w:jc w:val="center"/>
      </w:pPr>
      <w:r>
        <w:rPr>
          <w:rFonts w:hint="eastAsia" w:ascii="黑体" w:hAnsi="黑体" w:eastAsia="黑体"/>
          <w:b w:val="0"/>
          <w:color w:val="000000"/>
        </w:rPr>
        <w:t xml:space="preserve">  第二部分</w:t>
      </w:r>
      <w:r>
        <w:rPr>
          <w:rFonts w:hint="eastAsia" w:ascii="黑体" w:hAnsi="黑体" w:eastAsia="黑体"/>
          <w:color w:val="000000"/>
        </w:rPr>
        <w:t xml:space="preserve"> </w:t>
      </w:r>
      <w:r>
        <w:rPr>
          <w:rStyle w:val="24"/>
          <w:rFonts w:hint="eastAsia" w:ascii="黑体" w:hAnsi="黑体" w:eastAsia="黑体"/>
          <w:b w:val="0"/>
          <w:bCs w:val="0"/>
        </w:rPr>
        <w:t>2020年度部门决算情况说明</w:t>
      </w:r>
      <w:bookmarkEnd w:id="28"/>
      <w:bookmarkEnd w:id="29"/>
    </w:p>
    <w:p>
      <w:pPr>
        <w:pStyle w:val="23"/>
        <w:ind w:firstLine="640"/>
        <w:outlineLvl w:val="1"/>
        <w:rPr>
          <w:rStyle w:val="25"/>
          <w:rFonts w:ascii="黑体" w:hAnsi="黑体" w:eastAsia="黑体"/>
          <w:b w:val="0"/>
        </w:rPr>
      </w:pPr>
      <w:bookmarkStart w:id="30" w:name="_Toc15377205"/>
      <w:bookmarkStart w:id="31" w:name="_Toc19406"/>
      <w:r>
        <w:rPr>
          <w:rFonts w:hint="eastAsia" w:ascii="黑体" w:hAnsi="黑体" w:eastAsia="黑体"/>
          <w:color w:val="000000"/>
          <w:sz w:val="32"/>
          <w:szCs w:val="32"/>
        </w:rPr>
        <w:t>一、收</w:t>
      </w:r>
      <w:r>
        <w:rPr>
          <w:rStyle w:val="25"/>
          <w:rFonts w:hint="eastAsia" w:ascii="黑体" w:hAnsi="黑体" w:eastAsia="黑体"/>
          <w:b w:val="0"/>
        </w:rPr>
        <w:t>入支出决算总体情况说明</w:t>
      </w:r>
      <w:bookmarkEnd w:id="30"/>
      <w:bookmarkEnd w:id="31"/>
    </w:p>
    <w:p>
      <w:pPr>
        <w:snapToGrid w:val="0"/>
        <w:spacing w:line="520" w:lineRule="exact"/>
        <w:ind w:firstLine="632" w:firstLineChars="200"/>
        <w:rPr>
          <w:rFonts w:ascii="仿宋_GB2312" w:hAnsi="仿宋" w:eastAsia="仿宋_GB2312"/>
          <w:color w:val="000000" w:themeColor="text1"/>
          <w:spacing w:val="-2"/>
          <w:sz w:val="32"/>
          <w:szCs w:val="32"/>
        </w:rPr>
      </w:pPr>
      <w:r>
        <w:rPr>
          <w:rFonts w:hint="eastAsia" w:ascii="仿宋_GB2312" w:hAnsi="仿宋" w:eastAsia="仿宋_GB2312"/>
          <w:color w:val="000000" w:themeColor="text1"/>
          <w:spacing w:val="-2"/>
          <w:sz w:val="32"/>
          <w:szCs w:val="32"/>
        </w:rPr>
        <w:t>2020年度总收入</w:t>
      </w:r>
      <w:r>
        <w:rPr>
          <w:rFonts w:hint="eastAsia" w:ascii="仿宋_GB2312" w:eastAsia="仿宋_GB2312"/>
          <w:color w:val="000000"/>
          <w:sz w:val="32"/>
          <w:szCs w:val="32"/>
        </w:rPr>
        <w:t>753.56</w:t>
      </w:r>
      <w:r>
        <w:rPr>
          <w:rFonts w:hint="eastAsia" w:ascii="仿宋_GB2312" w:hAnsi="仿宋" w:eastAsia="仿宋_GB2312"/>
          <w:color w:val="000000" w:themeColor="text1"/>
          <w:spacing w:val="-2"/>
          <w:sz w:val="32"/>
          <w:szCs w:val="32"/>
        </w:rPr>
        <w:t>万元，较上年收入减少328.26万元，减少30.35%。减少的主要原因是2020年机构改革人员分流，县级领导工作经费未纳入预算。</w:t>
      </w:r>
    </w:p>
    <w:p>
      <w:pPr>
        <w:snapToGrid w:val="0"/>
        <w:spacing w:line="520" w:lineRule="exact"/>
        <w:ind w:firstLine="632" w:firstLineChars="200"/>
        <w:rPr>
          <w:rFonts w:ascii="仿宋_GB2312" w:hAnsi="仿宋" w:eastAsia="仿宋_GB2312"/>
          <w:color w:val="000000" w:themeColor="text1"/>
          <w:spacing w:val="-2"/>
          <w:sz w:val="32"/>
          <w:szCs w:val="32"/>
        </w:rPr>
      </w:pPr>
      <w:r>
        <w:rPr>
          <w:rFonts w:hint="eastAsia" w:ascii="仿宋_GB2312" w:hAnsi="仿宋" w:eastAsia="仿宋_GB2312"/>
          <w:spacing w:val="-2"/>
          <w:sz w:val="32"/>
          <w:szCs w:val="32"/>
        </w:rPr>
        <w:t>2020年总支出753.56万元，较上年支出减少514.02万元，减少40.55%。主要原因</w:t>
      </w:r>
      <w:r>
        <w:rPr>
          <w:rFonts w:hint="eastAsia" w:ascii="仿宋_GB2312" w:hAnsi="仿宋" w:eastAsia="仿宋_GB2312"/>
          <w:color w:val="000000" w:themeColor="text1"/>
          <w:spacing w:val="-2"/>
          <w:sz w:val="32"/>
          <w:szCs w:val="32"/>
        </w:rPr>
        <w:t>2020年机构改革人员分流，县级领导工作经费未纳入预算。</w:t>
      </w:r>
    </w:p>
    <w:p>
      <w:pPr>
        <w:spacing w:line="600" w:lineRule="exact"/>
        <w:ind w:firstLine="320" w:firstLineChars="100"/>
        <w:rPr>
          <w:rStyle w:val="25"/>
          <w:rFonts w:ascii="黑体" w:hAnsi="黑体" w:eastAsia="黑体"/>
          <w:b w:val="0"/>
        </w:rPr>
      </w:pPr>
      <w:r>
        <w:rPr>
          <w:rFonts w:hint="eastAsia" w:ascii="黑体" w:hAns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2" w:name="_Toc15377206"/>
      <w:r>
        <w:rPr>
          <w:rFonts w:hint="eastAsia" w:ascii="黑体" w:hAnsi="黑体" w:eastAsia="黑体"/>
          <w:color w:val="000000"/>
          <w:sz w:val="32"/>
          <w:szCs w:val="32"/>
        </w:rPr>
        <w:t>二、收入决</w:t>
      </w:r>
      <w:r>
        <w:rPr>
          <w:rStyle w:val="25"/>
          <w:rFonts w:hint="eastAsia" w:ascii="黑体" w:hAnsi="黑体" w:eastAsia="黑体"/>
          <w:b w:val="0"/>
        </w:rPr>
        <w:t>算情况说明</w:t>
      </w:r>
      <w:bookmarkEnd w:id="32"/>
    </w:p>
    <w:p>
      <w:pPr>
        <w:spacing w:line="600" w:lineRule="exact"/>
        <w:ind w:firstLine="640" w:firstLineChars="200"/>
        <w:outlineLvl w:val="1"/>
        <w:rPr>
          <w:rFonts w:ascii="仿宋" w:hAnsi="仿宋" w:eastAsia="仿宋"/>
          <w:color w:val="000000"/>
          <w:sz w:val="32"/>
          <w:szCs w:val="32"/>
        </w:rPr>
      </w:pPr>
      <w:bookmarkStart w:id="33" w:name="_Toc12653"/>
      <w:r>
        <w:rPr>
          <w:rFonts w:ascii="仿宋" w:hAnsi="仿宋" w:eastAsia="仿宋"/>
          <w:color w:val="000000"/>
          <w:sz w:val="32"/>
          <w:szCs w:val="32"/>
        </w:rPr>
        <w:t>20</w:t>
      </w:r>
      <w:r>
        <w:rPr>
          <w:rFonts w:hint="eastAsia" w:ascii="仿宋" w:hAnsi="仿宋" w:eastAsia="仿宋"/>
          <w:color w:val="000000"/>
          <w:sz w:val="32"/>
          <w:szCs w:val="32"/>
        </w:rPr>
        <w:t>20年总收入753.56万元，其中：一般公共预算财政拨款收入753.56万元，占100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hint="eastAsia" w:ascii="黑体" w:hAnsi="黑体" w:eastAsia="黑体"/>
          <w:color w:val="000000"/>
          <w:sz w:val="32"/>
          <w:szCs w:val="32"/>
        </w:rPr>
        <w:drawing>
          <wp:anchor distT="0" distB="0" distL="114300" distR="114300" simplePos="0" relativeHeight="251660288" behindDoc="0" locked="0" layoutInCell="1" allowOverlap="1">
            <wp:simplePos x="0" y="0"/>
            <wp:positionH relativeFrom="column">
              <wp:posOffset>177800</wp:posOffset>
            </wp:positionH>
            <wp:positionV relativeFrom="paragraph">
              <wp:posOffset>135255</wp:posOffset>
            </wp:positionV>
            <wp:extent cx="5373370" cy="2648585"/>
            <wp:effectExtent l="4445" t="4445" r="13335"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仿宋" w:hAnsi="仿宋" w:eastAsia="仿宋"/>
          <w:color w:val="000000"/>
          <w:sz w:val="32"/>
          <w:szCs w:val="32"/>
        </w:rPr>
        <w:t xml:space="preserve"> 。</w:t>
      </w:r>
      <w:bookmarkEnd w:id="33"/>
    </w:p>
    <w:p>
      <w:pPr>
        <w:spacing w:line="600" w:lineRule="exact"/>
        <w:ind w:firstLine="640" w:firstLineChars="200"/>
        <w:outlineLvl w:val="1"/>
        <w:rPr>
          <w:rStyle w:val="25"/>
          <w:rFonts w:ascii="黑体" w:hAnsi="黑体" w:eastAsia="黑体"/>
          <w:b w:val="0"/>
        </w:rPr>
      </w:pPr>
      <w:bookmarkStart w:id="35" w:name="_Toc7854"/>
      <w:r>
        <w:rPr>
          <w:rFonts w:hint="eastAsia" w:ascii="黑体" w:hAnsi="黑体" w:eastAsia="黑体"/>
          <w:color w:val="000000"/>
          <w:sz w:val="32"/>
          <w:szCs w:val="32"/>
        </w:rPr>
        <w:t>三、支出决</w:t>
      </w:r>
      <w:r>
        <w:rPr>
          <w:rStyle w:val="25"/>
          <w:rFonts w:hint="eastAsia" w:ascii="黑体" w:hAnsi="黑体" w:eastAsia="黑体"/>
          <w:b w:val="0"/>
        </w:rPr>
        <w:t>算情况说明</w:t>
      </w:r>
      <w:bookmarkEnd w:id="34"/>
      <w:bookmarkEnd w:id="35"/>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rPr>
        <w:t>2020年本年总支出753.56万元，其中：基本支出749.76万元，占99.5%；项目支出3.8万元，占0.5%；上缴上级支出0万元，占0%；经营支出0万元，占0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Style w:val="25"/>
          <w:rFonts w:ascii="黑体" w:hAnsi="黑体" w:eastAsia="黑体"/>
          <w:b w:val="0"/>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4445" t="4445" r="20320" b="1143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6"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6"/>
    </w:p>
    <w:p>
      <w:pPr>
        <w:snapToGrid w:val="0"/>
        <w:spacing w:line="520" w:lineRule="exact"/>
        <w:ind w:firstLine="640" w:firstLineChars="200"/>
        <w:rPr>
          <w:rFonts w:ascii="仿宋_GB2312" w:hAnsi="仿宋" w:eastAsia="仿宋_GB2312"/>
          <w:color w:val="000000" w:themeColor="text1"/>
          <w:spacing w:val="-2"/>
          <w:sz w:val="32"/>
          <w:szCs w:val="32"/>
        </w:rPr>
      </w:pPr>
      <w:r>
        <w:rPr>
          <w:rFonts w:hint="eastAsia" w:ascii="仿宋" w:hAnsi="仿宋" w:eastAsia="仿宋"/>
          <w:color w:val="000000"/>
          <w:sz w:val="32"/>
          <w:szCs w:val="32"/>
        </w:rPr>
        <w:t>2020年财政拨款收入753.56万元。与2019年相比，一般公共预算财政拨款收入较上年减少328.26万元，减少30.35%。</w:t>
      </w:r>
      <w:r>
        <w:rPr>
          <w:rFonts w:hint="eastAsia" w:ascii="仿宋_GB2312" w:hAnsi="仿宋" w:eastAsia="仿宋_GB2312"/>
          <w:color w:val="000000" w:themeColor="text1"/>
          <w:spacing w:val="-2"/>
          <w:sz w:val="32"/>
          <w:szCs w:val="32"/>
        </w:rPr>
        <w:t>减少的主要原因是2020年机构改革人员分流，县级领导工作经费未纳入预算。</w:t>
      </w:r>
      <w:r>
        <w:rPr>
          <w:rFonts w:hint="eastAsia" w:ascii="仿宋_GB2312" w:hAnsi="仿宋" w:eastAsia="仿宋_GB2312"/>
          <w:spacing w:val="-2"/>
          <w:sz w:val="32"/>
          <w:szCs w:val="32"/>
        </w:rPr>
        <w:t>总支出753.56万元，较上年支出减少514.02万元，减少40.55%。主要原因</w:t>
      </w:r>
      <w:r>
        <w:rPr>
          <w:rFonts w:hint="eastAsia" w:ascii="仿宋_GB2312" w:hAnsi="仿宋" w:eastAsia="仿宋_GB2312"/>
          <w:color w:val="000000" w:themeColor="text1"/>
          <w:spacing w:val="-2"/>
          <w:sz w:val="32"/>
          <w:szCs w:val="32"/>
        </w:rPr>
        <w:t>2020年机构改革人员分流，县级领导工作经费未纳入预算。</w:t>
      </w:r>
    </w:p>
    <w:p>
      <w:pPr>
        <w:spacing w:line="600" w:lineRule="exact"/>
        <w:ind w:firstLine="640" w:firstLineChars="200"/>
        <w:rPr>
          <w:rStyle w:val="25"/>
          <w:rFonts w:ascii="黑体" w:hAnsi="黑体" w:eastAsia="黑体"/>
          <w:b w:val="0"/>
        </w:rPr>
      </w:pPr>
      <w:r>
        <w:rPr>
          <w:rFonts w:hint="eastAsia" w:ascii="仿宋" w:hAnsi="仿宋" w:eastAsia="仿宋"/>
          <w:color w:val="000000" w:themeColor="text1"/>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napToGrid w:val="0"/>
        <w:spacing w:line="520" w:lineRule="exact"/>
        <w:ind w:firstLine="640" w:firstLineChars="200"/>
        <w:rPr>
          <w:rFonts w:ascii="仿宋_GB2312" w:hAnsi="仿宋" w:eastAsia="仿宋_GB2312"/>
          <w:color w:val="000000" w:themeColor="text1"/>
          <w:spacing w:val="-2"/>
          <w:sz w:val="32"/>
          <w:szCs w:val="32"/>
        </w:rPr>
      </w:pPr>
      <w:r>
        <w:rPr>
          <w:rFonts w:ascii="仿宋" w:hAnsi="仿宋" w:eastAsia="仿宋"/>
          <w:color w:val="000000"/>
          <w:sz w:val="32"/>
          <w:szCs w:val="32"/>
        </w:rPr>
        <w:t>20</w:t>
      </w:r>
      <w:r>
        <w:rPr>
          <w:rFonts w:hint="eastAsia" w:ascii="仿宋" w:hAnsi="仿宋" w:eastAsia="仿宋"/>
          <w:color w:val="000000"/>
          <w:sz w:val="32"/>
          <w:szCs w:val="32"/>
        </w:rPr>
        <w:t>20年</w:t>
      </w:r>
      <w:r>
        <w:rPr>
          <w:rFonts w:hint="eastAsia" w:ascii="仿宋_GB2312" w:hAnsi="仿宋" w:eastAsia="仿宋_GB2312"/>
          <w:spacing w:val="-2"/>
          <w:sz w:val="32"/>
          <w:szCs w:val="32"/>
        </w:rPr>
        <w:t>一般公共预算财政拨款支出753.56万元，</w:t>
      </w:r>
      <w:r>
        <w:rPr>
          <w:rFonts w:hint="eastAsia" w:ascii="仿宋" w:hAnsi="仿宋" w:eastAsia="仿宋"/>
          <w:color w:val="000000"/>
          <w:sz w:val="32"/>
          <w:szCs w:val="32"/>
        </w:rPr>
        <w:t>占本年总支出的59.44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9年相比，一般公共预算财政拨款</w:t>
      </w:r>
      <w:r>
        <w:rPr>
          <w:rFonts w:hint="eastAsia" w:ascii="仿宋_GB2312" w:hAnsi="仿宋" w:eastAsia="仿宋_GB2312"/>
          <w:spacing w:val="-2"/>
          <w:sz w:val="32"/>
          <w:szCs w:val="32"/>
        </w:rPr>
        <w:t>支出减少514.02万元，减少40.55%。主要原因</w:t>
      </w:r>
      <w:r>
        <w:rPr>
          <w:rFonts w:hint="eastAsia" w:ascii="仿宋_GB2312" w:hAnsi="仿宋" w:eastAsia="仿宋_GB2312"/>
          <w:color w:val="000000" w:themeColor="text1"/>
          <w:spacing w:val="-2"/>
          <w:sz w:val="32"/>
          <w:szCs w:val="32"/>
        </w:rPr>
        <w:t>2020年机构改革人员分流，县级领导工作经费未纳入预算。</w:t>
      </w:r>
    </w:p>
    <w:p>
      <w:pPr>
        <w:snapToGrid w:val="0"/>
        <w:spacing w:line="520" w:lineRule="exact"/>
        <w:ind w:firstLine="632" w:firstLineChars="200"/>
        <w:rPr>
          <w:rFonts w:ascii="仿宋_GB2312" w:hAnsi="仿宋" w:eastAsia="仿宋_GB2312"/>
          <w:color w:val="FF0000"/>
          <w:spacing w:val="-2"/>
          <w:sz w:val="32"/>
          <w:szCs w:val="32"/>
        </w:rPr>
      </w:pPr>
    </w:p>
    <w:p>
      <w:pPr>
        <w:snapToGrid w:val="0"/>
        <w:spacing w:line="520" w:lineRule="exact"/>
        <w:ind w:firstLine="632" w:firstLineChars="200"/>
        <w:rPr>
          <w:rFonts w:ascii="仿宋_GB2312" w:hAnsi="仿宋" w:eastAsia="仿宋_GB2312"/>
          <w:spacing w:val="-2"/>
          <w:sz w:val="32"/>
          <w:szCs w:val="32"/>
        </w:rPr>
      </w:pPr>
    </w:p>
    <w:p>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rPr>
        <w:drawing>
          <wp:anchor distT="0" distB="0" distL="114300" distR="114300" simplePos="0" relativeHeight="251663360"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9" w:name="_Toc15377211"/>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w:t>
      </w:r>
      <w:r>
        <w:rPr>
          <w:rFonts w:hint="eastAsia" w:ascii="仿宋" w:hAnsi="仿宋" w:eastAsia="仿宋"/>
          <w:color w:val="000000" w:themeColor="text1"/>
          <w:sz w:val="32"/>
          <w:szCs w:val="32"/>
        </w:rPr>
        <w:t>政拨款支出753.56万元，主要用于以下方面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支出572.01万元，占75.91</w:t>
      </w:r>
      <w:r>
        <w:rPr>
          <w:rFonts w:ascii="仿宋" w:hAnsi="仿宋" w:eastAsia="仿宋"/>
          <w:color w:val="000000" w:themeColor="text1"/>
          <w:sz w:val="32"/>
          <w:szCs w:val="32"/>
        </w:rPr>
        <w:t>%</w:t>
      </w:r>
      <w:r>
        <w:rPr>
          <w:rFonts w:hint="eastAsia" w:ascii="仿宋" w:hAnsi="仿宋" w:eastAsia="仿宋"/>
          <w:color w:val="000000" w:themeColor="text1"/>
          <w:sz w:val="32"/>
          <w:szCs w:val="32"/>
        </w:rPr>
        <w:t>；教育支出0.56万元，占0.07%；</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支出83.77万元，占11.11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39.08万元，占5.19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color w:val="000000" w:themeColor="text1"/>
          <w:sz w:val="32"/>
          <w:szCs w:val="32"/>
        </w:rPr>
        <w:t>58.14万元，占7.72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8320" w:firstLineChars="2600"/>
        <w:outlineLvl w:val="2"/>
        <w:rPr>
          <w:rFonts w:ascii="仿宋" w:hAnsi="仿宋" w:eastAsia="仿宋"/>
          <w:b/>
          <w:color w:val="000000" w:themeColor="text1"/>
          <w:sz w:val="32"/>
          <w:szCs w:val="32"/>
        </w:rPr>
      </w:pPr>
      <w:bookmarkStart w:id="40" w:name="_Toc15378460"/>
      <w:bookmarkStart w:id="41" w:name="_Toc15377213"/>
      <w:bookmarkStart w:id="42" w:name="_Toc15377444"/>
      <w:r>
        <w:rPr>
          <w:rFonts w:hint="eastAsia" w:ascii="仿宋" w:hAnsi="仿宋" w:eastAsia="仿宋"/>
          <w:color w:val="000000" w:themeColor="text1"/>
          <w:sz w:val="32"/>
          <w:szCs w:val="32"/>
        </w:rPr>
        <w:drawing>
          <wp:anchor distT="0" distB="0" distL="114300" distR="114300" simplePos="0" relativeHeight="251664384" behindDoc="0" locked="0" layoutInCell="1" allowOverlap="1">
            <wp:simplePos x="0" y="0"/>
            <wp:positionH relativeFrom="column">
              <wp:posOffset>549910</wp:posOffset>
            </wp:positionH>
            <wp:positionV relativeFrom="paragraph">
              <wp:posOffset>318770</wp:posOffset>
            </wp:positionV>
            <wp:extent cx="4572000" cy="2341245"/>
            <wp:effectExtent l="4445" t="4445" r="14605"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hAnsi="仿宋" w:eastAsia="仿宋"/>
          <w:b/>
          <w:color w:val="000000" w:themeColor="text1"/>
          <w:sz w:val="32"/>
          <w:szCs w:val="32"/>
        </w:rPr>
      </w:pPr>
    </w:p>
    <w:p>
      <w:pPr>
        <w:spacing w:line="600" w:lineRule="exact"/>
        <w:ind w:firstLine="643" w:firstLineChars="200"/>
        <w:outlineLvl w:val="2"/>
        <w:rPr>
          <w:rFonts w:ascii="仿宋" w:hAnsi="仿宋" w:eastAsia="仿宋"/>
          <w:b/>
          <w:color w:val="000000" w:themeColor="text1"/>
          <w:sz w:val="32"/>
          <w:szCs w:val="32"/>
        </w:rPr>
      </w:pPr>
      <w:bookmarkStart w:id="43" w:name="_Toc15377212"/>
      <w:r>
        <w:rPr>
          <w:rFonts w:hint="eastAsia" w:ascii="仿宋" w:hAnsi="仿宋" w:eastAsia="仿宋"/>
          <w:b/>
          <w:color w:val="000000"/>
          <w:sz w:val="32"/>
          <w:szCs w:val="32"/>
        </w:rPr>
        <w:t>（三）一般公共预算财政拨款支出决算具体情况</w:t>
      </w:r>
      <w:bookmarkEnd w:id="43"/>
    </w:p>
    <w:p>
      <w:pPr>
        <w:spacing w:line="600" w:lineRule="exact"/>
        <w:outlineLvl w:val="2"/>
        <w:rPr>
          <w:rFonts w:ascii="仿宋" w:hAnsi="仿宋" w:eastAsia="仿宋"/>
          <w:bCs/>
          <w:color w:val="FF0000"/>
          <w:sz w:val="32"/>
          <w:szCs w:val="32"/>
        </w:rPr>
      </w:pPr>
      <w:r>
        <w:rPr>
          <w:rFonts w:hint="eastAsia" w:ascii="仿宋" w:hAnsi="仿宋" w:eastAsia="仿宋"/>
          <w:bCs/>
          <w:color w:val="000000" w:themeColor="text1"/>
          <w:sz w:val="32"/>
          <w:szCs w:val="32"/>
        </w:rPr>
        <w:t xml:space="preserve">    2020年</w:t>
      </w:r>
      <w:r>
        <w:rPr>
          <w:rFonts w:hint="eastAsia" w:ascii="仿宋" w:hAnsi="仿宋" w:eastAsia="仿宋"/>
          <w:bCs/>
          <w:color w:val="000000"/>
          <w:sz w:val="32"/>
          <w:szCs w:val="32"/>
        </w:rPr>
        <w:t>一般公共预算数为753.56万元，</w:t>
      </w:r>
      <w:r>
        <w:rPr>
          <w:rFonts w:hint="eastAsia" w:ascii="仿宋" w:hAnsi="仿宋" w:eastAsia="仿宋"/>
          <w:bCs/>
          <w:color w:val="000000" w:themeColor="text1"/>
          <w:sz w:val="32"/>
          <w:szCs w:val="32"/>
        </w:rPr>
        <w:t>支出决算数为753.56万元，完</w:t>
      </w:r>
      <w:r>
        <w:rPr>
          <w:rStyle w:val="14"/>
          <w:rFonts w:hint="eastAsia" w:ascii="仿宋" w:hAnsi="仿宋" w:eastAsia="仿宋"/>
          <w:b w:val="0"/>
          <w:bCs/>
          <w:color w:val="000000" w:themeColor="text1"/>
          <w:sz w:val="32"/>
          <w:szCs w:val="32"/>
        </w:rPr>
        <w:t>成</w:t>
      </w:r>
      <w:r>
        <w:rPr>
          <w:rStyle w:val="14"/>
          <w:rFonts w:hint="eastAsia" w:ascii="仿宋" w:hAnsi="仿宋" w:eastAsia="仿宋"/>
          <w:b w:val="0"/>
          <w:bCs/>
          <w:color w:val="000000"/>
          <w:sz w:val="32"/>
          <w:szCs w:val="32"/>
        </w:rPr>
        <w:t>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40"/>
      <w:bookmarkEnd w:id="41"/>
      <w:bookmarkEnd w:id="42"/>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1.一般公共服务（类）政府办公厅（室）及相关机构事务（款）行政运行（项）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支出决算为572.01万元，完成预算100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教育支出（款）进修及培训（项）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支出决算为0.56万元，完成预算100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3</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Cs/>
          <w:color w:val="000000"/>
          <w:sz w:val="32"/>
          <w:szCs w:val="32"/>
        </w:rPr>
        <w:t>社会保障和就业（类）行政事业单位离退休（款）机关事业单位基本养老保险缴费支出（项）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支出决算为55.85万元，完成预算100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4</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社会保障和就业（类）行政事业单位离退休（款）机关事业单位基本职业年金缴费支出（项）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支出决算为27.92万元，完成预算100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rPr>
        <w:t>5.卫生健康支出（类）公共卫生（款）突发公共卫生事件应急处理（项）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支出决算为3.24万元，完成预算100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rPr>
        <w:t>6.卫生健康支出（类）行政事业单位医疗（款）行政单位医疗（项）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支出决算为25.43万元，完成预算100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rPr>
        <w:t>7.卫生健康支出（类）行政事业单位医疗（款）公务员医疗补助（项）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支出决算为10.41万元，完成预算100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bookmarkStart w:id="44" w:name="_Toc15377214"/>
      <w:r>
        <w:rPr>
          <w:rStyle w:val="14"/>
          <w:rFonts w:hint="eastAsia" w:ascii="仿宋" w:hAnsi="仿宋" w:eastAsia="仿宋"/>
          <w:bCs/>
          <w:color w:val="000000"/>
          <w:sz w:val="32"/>
          <w:szCs w:val="32"/>
        </w:rPr>
        <w:t>8.住房保障（类）住房改革支出（款）住房公积金（项）：</w:t>
      </w:r>
      <w:r>
        <w:rPr>
          <w:rStyle w:val="14"/>
          <w:rFonts w:hint="eastAsia" w:ascii="仿宋" w:hAnsi="仿宋" w:eastAsia="仿宋"/>
          <w:b w:val="0"/>
          <w:bCs/>
          <w:color w:val="000000"/>
          <w:sz w:val="32"/>
          <w:szCs w:val="32"/>
        </w:rPr>
        <w:t>支出决算为56.08万元，完成预算100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Cs/>
          <w:color w:val="000000"/>
          <w:sz w:val="32"/>
          <w:szCs w:val="32"/>
        </w:rPr>
      </w:pPr>
      <w:r>
        <w:rPr>
          <w:rStyle w:val="14"/>
          <w:rFonts w:hint="eastAsia" w:ascii="仿宋" w:hAnsi="仿宋" w:eastAsia="仿宋"/>
          <w:bCs/>
          <w:color w:val="000000"/>
          <w:sz w:val="32"/>
          <w:szCs w:val="32"/>
        </w:rPr>
        <w:t>9.住房保障（类）住房改革支出（款）购房补贴（项）：</w:t>
      </w:r>
      <w:r>
        <w:rPr>
          <w:rStyle w:val="14"/>
          <w:rFonts w:hint="eastAsia" w:ascii="仿宋" w:hAnsi="仿宋" w:eastAsia="仿宋"/>
          <w:b w:val="0"/>
          <w:bCs/>
          <w:color w:val="000000"/>
          <w:sz w:val="32"/>
          <w:szCs w:val="32"/>
        </w:rPr>
        <w:t>支出决算为2.06万元，完成预算100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firstLineChars="200"/>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4"/>
      <w:r>
        <w:rPr>
          <w:rStyle w:val="25"/>
          <w:rFonts w:ascii="黑体" w:hAnsi="黑体" w:eastAsia="黑体"/>
          <w:b w:val="0"/>
        </w:rPr>
        <w:tab/>
      </w:r>
    </w:p>
    <w:p>
      <w:pPr>
        <w:spacing w:line="600" w:lineRule="exact"/>
        <w:ind w:firstLine="645"/>
        <w:rPr>
          <w:rFonts w:ascii="仿宋_GB2312" w:eastAsia="仿宋_GB2312"/>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20年一般公共预算财政拨款基本支出749.76万元，其中：</w:t>
      </w:r>
      <w:bookmarkStart w:id="45" w:name="_Toc15377215"/>
      <w:r>
        <w:rPr>
          <w:rFonts w:hint="eastAsia" w:ascii="仿宋_GB2312" w:eastAsia="仿宋_GB2312"/>
          <w:color w:val="000000"/>
          <w:sz w:val="32"/>
          <w:szCs w:val="32"/>
        </w:rPr>
        <w:t>人员经费707.81万元，主要包括：基本工资157.92万元、津贴补贴193.38万元、奖金13.66万元、</w:t>
      </w:r>
      <w:r>
        <w:rPr>
          <w:rFonts w:hint="eastAsia" w:ascii="仿宋_GB2312" w:eastAsia="仿宋_GB2312"/>
          <w:sz w:val="32"/>
          <w:szCs w:val="32"/>
        </w:rPr>
        <w:t>其他社会保障缴费6.51万元、生活补助9.57万元、奖励金151.08万元、</w:t>
      </w:r>
      <w:r>
        <w:rPr>
          <w:rFonts w:hint="eastAsia" w:ascii="仿宋_GB2312" w:eastAsia="仿宋_GB2312"/>
          <w:color w:val="000000"/>
          <w:sz w:val="32"/>
          <w:szCs w:val="32"/>
        </w:rPr>
        <w:t>机关事业单位基本养老保险缴费55.84万元、职业年金缴费27.92万元、</w:t>
      </w:r>
      <w:r>
        <w:rPr>
          <w:rFonts w:hint="eastAsia" w:ascii="仿宋_GB2312" w:eastAsia="仿宋_GB2312"/>
          <w:sz w:val="32"/>
          <w:szCs w:val="32"/>
        </w:rPr>
        <w:t>职工基本医疗保险缴费25.43元、公务员医疗补助10.41万元，住房公积金56.09万元；</w:t>
      </w:r>
      <w:r>
        <w:rPr>
          <w:rFonts w:hint="eastAsia" w:ascii="仿宋_GB2312" w:eastAsia="仿宋_GB2312"/>
          <w:color w:val="000000"/>
          <w:sz w:val="32"/>
          <w:szCs w:val="32"/>
        </w:rPr>
        <w:t>公用经费41.95万元，主要包括：办公费5.11万元、手续费0.1万元、水费0.3万元、电费2.5万元、邮电费6万元、取暖费2万元、差旅费10万元、维修（护）费2万元、租赁费0.5万元、会议费1.5万元、公务接待费0万元、劳务费1.5万元、公务用车运行维护费10万元、其他交通费0.44元。</w:t>
      </w:r>
    </w:p>
    <w:p>
      <w:pPr>
        <w:spacing w:line="600" w:lineRule="exact"/>
        <w:ind w:firstLine="640" w:firstLineChars="200"/>
        <w:outlineLvl w:val="1"/>
        <w:rPr>
          <w:rFonts w:ascii="仿宋_GB2312" w:eastAsia="仿宋_GB2312"/>
          <w:color w:val="000000"/>
          <w:sz w:val="32"/>
          <w:szCs w:val="32"/>
        </w:rPr>
      </w:pPr>
      <w:bookmarkStart w:id="46" w:name="_Toc23811"/>
      <w:r>
        <w:rPr>
          <w:rFonts w:ascii="仿宋" w:hAnsi="仿宋" w:eastAsia="仿宋"/>
          <w:color w:val="000000"/>
          <w:sz w:val="32"/>
          <w:szCs w:val="32"/>
        </w:rPr>
        <w:t>20</w:t>
      </w:r>
      <w:r>
        <w:rPr>
          <w:rFonts w:hint="eastAsia" w:ascii="仿宋" w:hAnsi="仿宋" w:eastAsia="仿宋"/>
          <w:color w:val="000000"/>
          <w:sz w:val="32"/>
          <w:szCs w:val="32"/>
        </w:rPr>
        <w:t>20年一般公共预算财政拨款</w:t>
      </w:r>
      <w:r>
        <w:rPr>
          <w:rFonts w:hint="eastAsia" w:ascii="仿宋_GB2312" w:eastAsia="仿宋_GB2312"/>
          <w:color w:val="000000"/>
          <w:sz w:val="32"/>
          <w:szCs w:val="32"/>
        </w:rPr>
        <w:t>项目支出3.8万元，其中：培训费0.55万元、突发公共卫生事件应急处理3.25万元。</w:t>
      </w:r>
      <w:bookmarkEnd w:id="46"/>
    </w:p>
    <w:p>
      <w:pPr>
        <w:spacing w:line="600" w:lineRule="exact"/>
        <w:ind w:firstLine="640" w:firstLineChars="200"/>
        <w:outlineLvl w:val="1"/>
        <w:rPr>
          <w:rStyle w:val="25"/>
          <w:rFonts w:ascii="黑体" w:hAnsi="黑体" w:eastAsia="黑体"/>
          <w:b w:val="0"/>
        </w:rPr>
      </w:pPr>
      <w:bookmarkStart w:id="47" w:name="_Toc11884"/>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5"/>
      <w:bookmarkEnd w:id="47"/>
    </w:p>
    <w:p>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20年“三公”经费财政拨款支出决算为10万元，完成预算100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20年“三公”经费财政拨款支出</w:t>
      </w:r>
      <w:r>
        <w:rPr>
          <w:rFonts w:hint="eastAsia" w:ascii="仿宋" w:hAnsi="仿宋" w:eastAsia="仿宋"/>
          <w:sz w:val="32"/>
          <w:szCs w:val="32"/>
        </w:rPr>
        <w:t>决算10万元</w:t>
      </w:r>
      <w:r>
        <w:rPr>
          <w:rFonts w:hint="eastAsia" w:ascii="仿宋" w:hAnsi="仿宋" w:eastAsia="仿宋"/>
          <w:color w:val="000000"/>
          <w:sz w:val="32"/>
          <w:szCs w:val="32"/>
        </w:rPr>
        <w:t>，其中：因公出国（境）费支出决算0万元，占0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；公务用车购置及运行维护费支出决算10万元，占100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rPr>
          <w:rStyle w:val="14"/>
          <w:rFonts w:ascii="仿宋" w:hAnsi="仿宋" w:eastAsia="仿宋"/>
          <w:b w:val="0"/>
          <w:bCs/>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10万元,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公务用车购置及运行维护费支出决算比2019年</w:t>
      </w:r>
      <w:r>
        <w:rPr>
          <w:rFonts w:hint="eastAsia" w:ascii="仿宋_GB2312" w:eastAsia="仿宋_GB2312"/>
          <w:color w:val="333333"/>
          <w:sz w:val="32"/>
          <w:szCs w:val="32"/>
        </w:rPr>
        <w:t>公务用车购置及运行维护费支出决算</w:t>
      </w:r>
      <w:r>
        <w:rPr>
          <w:rFonts w:hint="eastAsia" w:ascii="仿宋_GB2312" w:eastAsia="仿宋_GB2312"/>
          <w:color w:val="000000"/>
          <w:sz w:val="32"/>
          <w:szCs w:val="32"/>
        </w:rPr>
        <w:t>减少1,711,285.75元</w:t>
      </w:r>
      <w:r>
        <w:rPr>
          <w:rFonts w:hint="eastAsia" w:ascii="仿宋_GB2312" w:eastAsia="仿宋_GB2312"/>
          <w:color w:val="333333"/>
          <w:sz w:val="32"/>
          <w:szCs w:val="32"/>
        </w:rPr>
        <w:t>，</w:t>
      </w:r>
      <w:r>
        <w:rPr>
          <w:rFonts w:hint="eastAsia" w:ascii="仿宋_GB2312" w:eastAsia="仿宋_GB2312"/>
          <w:color w:val="000000"/>
          <w:sz w:val="32"/>
          <w:szCs w:val="32"/>
        </w:rPr>
        <w:t>降低</w:t>
      </w:r>
      <w:r>
        <w:rPr>
          <w:rFonts w:hint="eastAsia" w:eastAsia="仿宋_GB2312"/>
          <w:sz w:val="32"/>
          <w:szCs w:val="32"/>
        </w:rPr>
        <w:t>94.47</w:t>
      </w:r>
      <w:r>
        <w:rPr>
          <w:rFonts w:hint="eastAsia"/>
          <w:sz w:val="32"/>
          <w:szCs w:val="32"/>
        </w:rPr>
        <w:t>%，降低原因是县级领导干部工作经费未纳入预算</w:t>
      </w:r>
    </w:p>
    <w:p>
      <w:pPr>
        <w:autoSpaceDE w:val="0"/>
        <w:autoSpaceDN w:val="0"/>
        <w:adjustRightInd w:val="0"/>
        <w:spacing w:line="600" w:lineRule="exact"/>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日，共有车辆15辆，其中：部级领导干部用车0辆、主要领导干部用车0辆、机要通信用车0辆、应急保障用车15辆、执法执勤用车0辆、特种专业技术用车0辆、离退休干部用车0辆、其他用车0辆；</w:t>
      </w:r>
      <w:r>
        <w:rPr>
          <w:rFonts w:hint="eastAsia" w:ascii="仿宋_GB2312" w:eastAsia="仿宋_GB2312"/>
          <w:b/>
          <w:color w:val="000000"/>
          <w:sz w:val="32"/>
          <w:szCs w:val="32"/>
        </w:rPr>
        <w:t>公务用车运行维护费支出</w:t>
      </w:r>
      <w:r>
        <w:rPr>
          <w:rFonts w:hint="eastAsia" w:ascii="仿宋_GB2312" w:eastAsia="仿宋_GB2312"/>
          <w:sz w:val="32"/>
          <w:szCs w:val="32"/>
        </w:rPr>
        <w:t>10万元。</w:t>
      </w:r>
      <w:r>
        <w:rPr>
          <w:rFonts w:hint="eastAsia" w:ascii="仿宋_GB2312" w:eastAsia="仿宋_GB2312"/>
          <w:color w:val="000000"/>
          <w:sz w:val="32"/>
          <w:szCs w:val="32"/>
        </w:rPr>
        <w:t>主要用我单位所需的公务用车燃料费、维修费、过路过桥费、保险费等支出。</w:t>
      </w:r>
    </w:p>
    <w:p>
      <w:pPr>
        <w:numPr>
          <w:ilvl w:val="0"/>
          <w:numId w:val="1"/>
        </w:numPr>
        <w:spacing w:line="600" w:lineRule="exact"/>
        <w:ind w:firstLine="640"/>
        <w:rPr>
          <w:rFonts w:ascii="仿宋_GB2312" w:eastAsia="仿宋_GB2312"/>
          <w:color w:val="000000" w:themeColor="text1"/>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hAnsi="仿宋" w:eastAsia="仿宋_GB2312" w:cs="仿宋"/>
          <w:color w:val="000000"/>
          <w:sz w:val="32"/>
          <w:szCs w:val="32"/>
        </w:rPr>
        <w:t>公务接待费0万元，较上年一致。</w:t>
      </w: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50" w:name="_Toc15377218"/>
    </w:p>
    <w:p>
      <w:pPr>
        <w:spacing w:line="600" w:lineRule="exact"/>
        <w:ind w:firstLine="640"/>
        <w:outlineLvl w:val="1"/>
        <w:rPr>
          <w:rStyle w:val="25"/>
          <w:rFonts w:ascii="黑体" w:hAnsi="黑体" w:eastAsia="黑体"/>
        </w:rPr>
      </w:pPr>
      <w:bookmarkStart w:id="51" w:name="_Toc3095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2"/>
        </w:numPr>
        <w:spacing w:line="600" w:lineRule="exact"/>
        <w:ind w:firstLine="640"/>
        <w:outlineLvl w:val="1"/>
        <w:rPr>
          <w:rStyle w:val="25"/>
          <w:rFonts w:ascii="黑体" w:hAnsi="黑体" w:eastAsia="黑体"/>
          <w:b w:val="0"/>
        </w:rPr>
      </w:pPr>
      <w:bookmarkStart w:id="52" w:name="_Toc29052"/>
      <w:bookmarkStart w:id="53" w:name="_Toc15377219"/>
      <w:r>
        <w:rPr>
          <w:rStyle w:val="25"/>
          <w:rFonts w:hint="eastAsia" w:ascii="黑体" w:hAns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3"/>
        </w:numPr>
        <w:spacing w:line="580" w:lineRule="exact"/>
        <w:ind w:firstLineChars="0"/>
        <w:rPr>
          <w:rStyle w:val="25"/>
          <w:rFonts w:ascii="黑体" w:hAnsi="黑体" w:eastAsia="黑体"/>
          <w:b w:val="0"/>
        </w:rPr>
      </w:pPr>
      <w:bookmarkStart w:id="54" w:name="_Toc787"/>
      <w:r>
        <w:rPr>
          <w:rStyle w:val="25"/>
          <w:rFonts w:hint="eastAsia" w:ascii="黑体" w:hAnsi="黑体" w:eastAsia="黑体"/>
          <w:b w:val="0"/>
        </w:rPr>
        <w:t>预算绩效情况说明</w:t>
      </w:r>
    </w:p>
    <w:bookmarkEnd w:id="54"/>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经全面综合评价，我单位预算支出绩效自评得分92</w:t>
      </w:r>
      <w:r>
        <w:rPr>
          <w:rFonts w:hint="eastAsia" w:ascii="仿宋_GB2312" w:eastAsia="仿宋_GB2312"/>
          <w:color w:val="000000" w:themeColor="text1"/>
          <w:sz w:val="32"/>
          <w:szCs w:val="32"/>
        </w:rPr>
        <w:t>分</w:t>
      </w:r>
      <w:r>
        <w:rPr>
          <w:rFonts w:hint="eastAsia" w:ascii="仿宋_GB2312" w:eastAsia="仿宋_GB2312"/>
          <w:sz w:val="32"/>
          <w:szCs w:val="32"/>
        </w:rPr>
        <w:t>（扣除我单位不存在的评价指标分值,总分为66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hAnsi="仿宋_GB2312" w:eastAsia="仿宋_GB2312" w:cs="仿宋_GB2312"/>
          <w:sz w:val="32"/>
          <w:szCs w:val="32"/>
        </w:rPr>
        <w:t>。本单位还自行组织了1个项目绩效评价，从评价情况来看我单位年初预算项目基本按照绩效目标完成支付，合同期限为3年分季度进行支付。</w:t>
      </w:r>
    </w:p>
    <w:p>
      <w:pPr>
        <w:numPr>
          <w:ilvl w:val="0"/>
          <w:numId w:val="4"/>
        </w:numPr>
        <w:spacing w:line="580" w:lineRule="exact"/>
        <w:ind w:firstLine="643" w:firstLineChars="200"/>
        <w:jc w:val="left"/>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4"/>
        </w:num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本部门在2020年度部门决算中反映政务外网升级改造1个项目绩效目标实际完成情况。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政务外网升级改造项目绩效目标完成情况综述。项目3年预算数135万元，执行数为134.7万元，完成预算的99.78%。</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政务外网升级改造</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金川县人民政府办公室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134.7万元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14.9667万元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ascii="宋体" w:hAnsi="宋体" w:cs="宋体"/>
                <w:color w:val="000000"/>
                <w:sz w:val="24"/>
              </w:rPr>
            </w:pPr>
            <w:r>
              <w:rPr>
                <w:rFonts w:hint="eastAsia" w:ascii="宋体" w:hAnsi="宋体" w:cs="宋体"/>
                <w:color w:val="000000"/>
                <w:sz w:val="24"/>
              </w:rPr>
              <w:t>14.9667万元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通过外网升级改造，实现跨部门、跨地区信息资源共享，满足OA办公和面向社会服务需要。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政务外网改造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2020年9月至2022年8月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保障网络畅通</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网络服务费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134.7万元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pPr>
        <w:spacing w:line="580" w:lineRule="exact"/>
        <w:ind w:firstLine="640" w:firstLineChars="200"/>
        <w:rPr>
          <w:rFonts w:ascii="仿宋_GB2312" w:hAnsi="仿宋_GB2312" w:eastAsia="仿宋_GB2312" w:cs="仿宋_GB2312"/>
          <w:sz w:val="32"/>
          <w:szCs w:val="32"/>
        </w:rPr>
      </w:pPr>
    </w:p>
    <w:p>
      <w:pPr>
        <w:rPr>
          <w:rFonts w:ascii="Calibri" w:hAnsi="Calibri"/>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《金川县人民政府办公室2020年部门预算整体支出绩效评价报告》</w:t>
      </w:r>
      <w:r>
        <w:rPr>
          <w:rFonts w:hint="eastAsia" w:ascii="仿宋_GB2312" w:hAnsi="仿宋_GB2312" w:eastAsia="仿宋_GB2312" w:cs="仿宋_GB2312"/>
          <w:sz w:val="32"/>
          <w:szCs w:val="32"/>
        </w:rPr>
        <w:t>见附件。</w:t>
      </w:r>
    </w:p>
    <w:p>
      <w:pPr>
        <w:spacing w:line="600" w:lineRule="exact"/>
        <w:ind w:firstLine="640" w:firstLineChars="200"/>
        <w:outlineLvl w:val="1"/>
        <w:rPr>
          <w:rStyle w:val="25"/>
          <w:rFonts w:ascii="黑体" w:hAnsi="黑体" w:eastAsia="黑体"/>
        </w:rPr>
      </w:pPr>
      <w:bookmarkStart w:id="55" w:name="_Toc15377221"/>
      <w:bookmarkStart w:id="56" w:name="_Toc4616"/>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5"/>
      <w:bookmarkEnd w:id="56"/>
    </w:p>
    <w:p>
      <w:pPr>
        <w:spacing w:line="600" w:lineRule="exact"/>
        <w:ind w:firstLine="643" w:firstLineChars="200"/>
        <w:outlineLvl w:val="2"/>
        <w:rPr>
          <w:rFonts w:ascii="仿宋" w:hAnsi="仿宋" w:eastAsia="仿宋"/>
          <w:color w:val="000000"/>
          <w:sz w:val="32"/>
          <w:szCs w:val="32"/>
        </w:rPr>
      </w:pPr>
      <w:bookmarkStart w:id="57" w:name="_Toc15377222"/>
      <w:r>
        <w:rPr>
          <w:rFonts w:hint="eastAsia" w:ascii="仿宋" w:hAnsi="仿宋" w:eastAsia="仿宋"/>
          <w:b/>
          <w:color w:val="000000"/>
          <w:sz w:val="32"/>
          <w:szCs w:val="32"/>
        </w:rPr>
        <w:t>（一）机关运行经费支出情况</w:t>
      </w:r>
      <w:bookmarkEnd w:id="57"/>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2020年度，金川县人民政府办机关运行经费支出41.95万元，2019年机关运行经费支出418.31万元，比2019年减少376.36万元，减少89.%。主要是办公费、租赁费、邮电费、差旅费、公务用车运行维护费等。</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3"/>
      <w:r>
        <w:rPr>
          <w:rFonts w:hint="eastAsia" w:ascii="仿宋" w:hAnsi="仿宋" w:eastAsia="仿宋"/>
          <w:b/>
          <w:color w:val="000000"/>
          <w:sz w:val="32"/>
          <w:szCs w:val="32"/>
        </w:rPr>
        <w:t>（二）政府采购支出情况</w:t>
      </w:r>
      <w:bookmarkEnd w:id="58"/>
    </w:p>
    <w:p>
      <w:pPr>
        <w:spacing w:line="600" w:lineRule="exact"/>
        <w:ind w:firstLine="640" w:firstLineChars="200"/>
        <w:rPr>
          <w:rFonts w:ascii="仿宋_GB2312" w:eastAsia="仿宋_GB2312"/>
          <w:color w:val="000000"/>
          <w:sz w:val="32"/>
          <w:szCs w:val="32"/>
        </w:rPr>
      </w:pPr>
      <w:bookmarkStart w:id="59" w:name="_Toc15377224"/>
      <w:r>
        <w:rPr>
          <w:rFonts w:hint="eastAsia" w:ascii="仿宋_GB2312" w:eastAsia="仿宋_GB2312"/>
          <w:color w:val="000000"/>
          <w:sz w:val="32"/>
          <w:szCs w:val="32"/>
        </w:rPr>
        <w:t>2020年度，金川县人民政府办政府采购合同总价格138.1万元，其中：政务外网升级改造134.7万元，办公设备购置3.4万元，2019年政府采购合同总价格12.4705万元：其中卫星电话3.85万元、办公设备购置合同价为8.6205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9"/>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日，共有车辆15辆，为日常工作及应急保障用车。</w:t>
      </w:r>
      <w:r>
        <w:rPr>
          <w:rFonts w:hint="eastAsia" w:ascii="仿宋_GB2312" w:eastAsia="仿宋_GB2312"/>
          <w:b/>
          <w:color w:val="000000"/>
          <w:sz w:val="32"/>
          <w:szCs w:val="32"/>
        </w:rPr>
        <w:t xml:space="preserve">    </w:t>
      </w:r>
    </w:p>
    <w:p>
      <w:pPr>
        <w:numPr>
          <w:ilvl w:val="0"/>
          <w:numId w:val="5"/>
        </w:numPr>
        <w:spacing w:line="600" w:lineRule="exact"/>
        <w:ind w:firstLine="663" w:firstLineChars="150"/>
        <w:jc w:val="center"/>
        <w:outlineLvl w:val="0"/>
        <w:rPr>
          <w:rStyle w:val="24"/>
          <w:rFonts w:ascii="黑体" w:hAnsi="黑体" w:eastAsia="黑体"/>
          <w:b w:val="0"/>
        </w:rPr>
      </w:pPr>
      <w:bookmarkStart w:id="60" w:name="_Toc15377225"/>
      <w:bookmarkStart w:id="61" w:name="_Toc14568"/>
      <w:r>
        <w:rPr>
          <w:rFonts w:hint="eastAsia" w:ascii="黑体" w:hAnsi="黑体" w:eastAsia="黑体"/>
          <w:b/>
          <w:color w:val="000000"/>
          <w:sz w:val="44"/>
          <w:szCs w:val="44"/>
        </w:rPr>
        <w:t>名</w:t>
      </w:r>
      <w:r>
        <w:rPr>
          <w:rStyle w:val="24"/>
          <w:rFonts w:hint="eastAsia" w:ascii="黑体" w:hAnsi="黑体" w:eastAsia="黑体"/>
          <w:b w:val="0"/>
        </w:rPr>
        <w:t>词解释</w:t>
      </w:r>
      <w:bookmarkEnd w:id="60"/>
      <w:bookmarkEnd w:id="61"/>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62"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Style w:val="3"/>
        <w:rPr>
          <w:rStyle w:val="24"/>
          <w:rFonts w:ascii="仿宋" w:hAnsi="仿宋" w:eastAsia="仿宋"/>
          <w:b w:val="0"/>
          <w:bCs w:val="0"/>
          <w:sz w:val="32"/>
          <w:szCs w:val="32"/>
        </w:rPr>
      </w:pPr>
      <w:bookmarkStart w:id="63" w:name="_Toc11323"/>
      <w:r>
        <w:rPr>
          <w:rStyle w:val="24"/>
          <w:rFonts w:hint="eastAsia" w:ascii="仿宋" w:hAnsi="仿宋" w:eastAsia="仿宋"/>
          <w:b w:val="0"/>
          <w:bCs w:val="0"/>
          <w:sz w:val="32"/>
          <w:szCs w:val="32"/>
        </w:rPr>
        <w:t>附件1</w:t>
      </w:r>
      <w:bookmarkEnd w:id="63"/>
    </w:p>
    <w:p>
      <w:pPr>
        <w:numPr>
          <w:ilvl w:val="0"/>
          <w:numId w:val="5"/>
        </w:numPr>
        <w:spacing w:line="600" w:lineRule="exact"/>
        <w:ind w:firstLine="660" w:firstLineChars="150"/>
        <w:jc w:val="center"/>
        <w:outlineLvl w:val="0"/>
        <w:rPr>
          <w:rStyle w:val="24"/>
          <w:rFonts w:ascii="黑体" w:hAnsi="黑体" w:eastAsia="黑体"/>
          <w:b w:val="0"/>
        </w:rPr>
      </w:pPr>
      <w:bookmarkStart w:id="64" w:name="_Toc12508"/>
      <w:r>
        <w:rPr>
          <w:rStyle w:val="24"/>
          <w:rFonts w:hint="eastAsia" w:ascii="黑体" w:hAnsi="黑体" w:eastAsia="黑体"/>
          <w:b w:val="0"/>
        </w:rPr>
        <w:t>附件</w:t>
      </w:r>
      <w:bookmarkEnd w:id="64"/>
    </w:p>
    <w:p>
      <w:pPr>
        <w:outlineLvl w:val="0"/>
        <w:rPr>
          <w:rStyle w:val="24"/>
          <w:rFonts w:ascii="黑体" w:hAnsi="黑体" w:eastAsia="黑体"/>
          <w:b w:val="0"/>
        </w:rPr>
      </w:pPr>
    </w:p>
    <w:bookmarkEnd w:id="62"/>
    <w:p>
      <w:pPr>
        <w:widowControl/>
        <w:spacing w:line="480" w:lineRule="exact"/>
        <w:jc w:val="center"/>
        <w:rPr>
          <w:rFonts w:ascii="宋体" w:hAnsi="宋体" w:cs="宋体"/>
          <w:b/>
          <w:sz w:val="44"/>
          <w:szCs w:val="44"/>
        </w:rPr>
      </w:pPr>
      <w:r>
        <w:rPr>
          <w:rFonts w:hint="eastAsia" w:ascii="宋体" w:hAnsi="宋体" w:cs="宋体"/>
          <w:b/>
          <w:sz w:val="44"/>
          <w:szCs w:val="44"/>
        </w:rPr>
        <w:t>金川县人民政府办公室</w:t>
      </w:r>
    </w:p>
    <w:p>
      <w:pPr>
        <w:widowControl/>
        <w:spacing w:line="480" w:lineRule="exact"/>
        <w:jc w:val="center"/>
        <w:rPr>
          <w:rFonts w:ascii="宋体" w:hAnsi="宋体" w:cs="宋体"/>
          <w:b/>
          <w:sz w:val="44"/>
          <w:szCs w:val="44"/>
        </w:rPr>
      </w:pPr>
      <w:r>
        <w:rPr>
          <w:rFonts w:hint="eastAsia" w:ascii="宋体" w:hAnsi="宋体" w:cs="宋体"/>
          <w:b/>
          <w:sz w:val="44"/>
          <w:szCs w:val="44"/>
        </w:rPr>
        <w:t>关于2020-2021年6月部门整体支出</w:t>
      </w:r>
    </w:p>
    <w:p>
      <w:pPr>
        <w:widowControl/>
        <w:spacing w:line="480" w:lineRule="exact"/>
        <w:jc w:val="center"/>
        <w:rPr>
          <w:rFonts w:ascii="宋体" w:hAnsi="宋体" w:cs="宋体"/>
          <w:b/>
          <w:sz w:val="44"/>
          <w:szCs w:val="44"/>
        </w:rPr>
      </w:pPr>
      <w:r>
        <w:rPr>
          <w:rFonts w:hint="eastAsia" w:ascii="宋体" w:hAnsi="宋体" w:cs="宋体"/>
          <w:b/>
          <w:sz w:val="44"/>
          <w:szCs w:val="44"/>
        </w:rPr>
        <w:t>绩效评价报告</w:t>
      </w:r>
    </w:p>
    <w:p>
      <w:pPr>
        <w:widowControl/>
        <w:adjustRightInd w:val="0"/>
        <w:snapToGrid w:val="0"/>
        <w:spacing w:line="480" w:lineRule="exact"/>
        <w:jc w:val="left"/>
        <w:rPr>
          <w:rFonts w:ascii="仿宋_GB2312" w:hAnsi="Calibri" w:eastAsia="仿宋_GB2312" w:cs="仿宋"/>
          <w:color w:val="000000"/>
          <w:kern w:val="0"/>
          <w:sz w:val="32"/>
          <w:szCs w:val="32"/>
        </w:rPr>
      </w:pP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根据《金川县财政局关于开展2021年部门、政策和项目支出绩效评价工作的通知》（金财监绩〔2021〕26号）文件要求，结合本单位的实际涉及到部门整体支出绩效评价工作，我办</w:t>
      </w:r>
      <w:r>
        <w:rPr>
          <w:rFonts w:hint="eastAsia" w:ascii="仿宋_GB2312" w:hAnsi="Calibri" w:eastAsia="仿宋_GB2312" w:cs="仿宋"/>
          <w:color w:val="000000"/>
          <w:kern w:val="0"/>
          <w:sz w:val="32"/>
          <w:szCs w:val="32"/>
          <w:lang w:eastAsia="zh-CN"/>
        </w:rPr>
        <w:t>赓即</w:t>
      </w:r>
      <w:r>
        <w:rPr>
          <w:rFonts w:hint="eastAsia" w:ascii="仿宋_GB2312" w:hAnsi="Calibri" w:eastAsia="仿宋_GB2312" w:cs="仿宋"/>
          <w:color w:val="000000"/>
          <w:kern w:val="0"/>
          <w:sz w:val="32"/>
          <w:szCs w:val="32"/>
        </w:rPr>
        <w:t>认真开展部门整体支出绩效自评工作，现将2021年部门预算支出绩效自评工作报告如下：</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一、</w:t>
      </w:r>
      <w:r>
        <w:rPr>
          <w:rFonts w:hint="eastAsia" w:ascii="仿宋_GB2312" w:hAnsi="Calibri" w:eastAsia="仿宋_GB2312" w:cs="仿宋"/>
          <w:color w:val="000000"/>
          <w:kern w:val="0"/>
          <w:sz w:val="32"/>
          <w:szCs w:val="32"/>
          <w:lang w:val="zh-CN"/>
        </w:rPr>
        <w:t>单位概况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（一）机构组成:</w:t>
      </w:r>
      <w:r>
        <w:rPr>
          <w:rFonts w:hint="eastAsia" w:ascii="仿宋_GB2312" w:hAnsi="Calibri" w:eastAsia="仿宋_GB2312" w:cs="仿宋"/>
          <w:color w:val="000000"/>
          <w:kern w:val="0"/>
          <w:sz w:val="32"/>
          <w:szCs w:val="32"/>
        </w:rPr>
        <w:t>行政单位1个。</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（二）机构职能:</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1、协助县政府领导同志组织起草或审核以县政府、县政府办公室名义发布的公文。办理州政府、州政府办公室及各部委局发送县政府的文电。指导全县行政机关公文处理工作。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2、研究县政府部门和各乡镇人民政府请示县政府事项，提出审核意见，报县政府领导同志审批。</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3、负责县政府会议准备工作，协助县政府领导组织实施会议决定事项。</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4、根据县政府领导同志的指示，对县政府部门间争议问题提出处理意见和建议，报县政府领导同志决定。</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5、督促检查县政府各部门和各乡镇人民政府对县政府决定事项及县政府领导同志指示的贯彻落实情况，及时向县政府领导同志报告。</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6、负责县政府值班工作，指导乡镇人民政府和县政府部门值班工作，及时报告重要情况。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7、指导、监督全县政府信息公开工作和机关行政效能建设工作，指导、监督全县政府系统电子政务工作和政府网站建设。</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8、组织办理涉及县政府工作的人大代表议案、批评、建议和政协委员提案、建议案工作。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9、指导全县应急管理工作，协助县政府领导同志做好需由县政府组织处理的突发事件的应急处置工作。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10、围绕县政府中心工作和县政府领导同志的指示，组织专题调查研究，及时反映情况，提出政策性建议。</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11、负责县政府人民防空和民防工作。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12、负责外事侨务工作。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13、组织实施县政府法制工作。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14、监督、指导县人民政府驻成都办事处工作。</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15、承办县政府和县政府领导交办的其他事项。</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（三）人员概况:</w:t>
      </w:r>
      <w:r>
        <w:rPr>
          <w:rFonts w:hint="eastAsia" w:ascii="仿宋_GB2312" w:hAnsi="Calibri" w:eastAsia="仿宋_GB2312" w:cs="仿宋"/>
          <w:color w:val="000000"/>
          <w:kern w:val="0"/>
          <w:sz w:val="32"/>
          <w:szCs w:val="32"/>
        </w:rPr>
        <w:t xml:space="preserve"> 2021年财政供养人员为38人,其中公务员17人、工勤14人，事业管理7人；与去年相比减少3人</w:t>
      </w:r>
      <w:r>
        <w:rPr>
          <w:rFonts w:hint="eastAsia" w:ascii="仿宋_GB2312" w:hAnsi="Calibri" w:eastAsia="仿宋_GB2312" w:cs="仿宋"/>
          <w:color w:val="000000"/>
          <w:kern w:val="0"/>
          <w:sz w:val="32"/>
          <w:szCs w:val="32"/>
          <w:lang w:val="zh-CN"/>
        </w:rPr>
        <w:t>。</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二、部门财政资金收支情况</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zh-CN"/>
        </w:rPr>
        <w:t>（一）部门财政资金收入:</w:t>
      </w:r>
      <w:r>
        <w:rPr>
          <w:rFonts w:hint="eastAsia" w:ascii="仿宋_GB2312" w:hAnsi="Calibri" w:eastAsia="仿宋_GB2312" w:cs="仿宋"/>
          <w:color w:val="000000"/>
          <w:kern w:val="0"/>
          <w:sz w:val="32"/>
          <w:szCs w:val="32"/>
        </w:rPr>
        <w:t xml:space="preserve"> </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1、202</w:t>
      </w:r>
      <w:r>
        <w:rPr>
          <w:rFonts w:ascii="仿宋_GB2312" w:hAnsi="Calibri" w:eastAsia="仿宋_GB2312" w:cs="仿宋"/>
          <w:color w:val="000000"/>
          <w:kern w:val="0"/>
          <w:sz w:val="32"/>
          <w:szCs w:val="32"/>
        </w:rPr>
        <w:t>0</w:t>
      </w:r>
      <w:r>
        <w:rPr>
          <w:rFonts w:hint="eastAsia" w:ascii="仿宋_GB2312" w:hAnsi="Calibri" w:eastAsia="仿宋_GB2312" w:cs="仿宋"/>
          <w:color w:val="000000"/>
          <w:kern w:val="0"/>
          <w:sz w:val="32"/>
          <w:szCs w:val="32"/>
        </w:rPr>
        <w:t>年部门预算收入</w:t>
      </w:r>
      <w:r>
        <w:rPr>
          <w:rFonts w:ascii="仿宋_GB2312" w:hAnsi="Calibri" w:eastAsia="仿宋_GB2312" w:cs="仿宋"/>
          <w:color w:val="000000"/>
          <w:kern w:val="0"/>
          <w:sz w:val="32"/>
          <w:szCs w:val="32"/>
        </w:rPr>
        <w:t>753.56</w:t>
      </w:r>
      <w:r>
        <w:rPr>
          <w:rFonts w:hint="eastAsia" w:ascii="仿宋_GB2312" w:hAnsi="Calibri" w:eastAsia="仿宋_GB2312" w:cs="仿宋"/>
          <w:color w:val="000000"/>
          <w:kern w:val="0"/>
          <w:sz w:val="32"/>
          <w:szCs w:val="32"/>
        </w:rPr>
        <w:t>万元，上年结转0万元，总收入</w:t>
      </w:r>
      <w:r>
        <w:rPr>
          <w:rFonts w:ascii="仿宋_GB2312" w:hAnsi="Calibri" w:eastAsia="仿宋_GB2312" w:cs="仿宋"/>
          <w:color w:val="000000"/>
          <w:kern w:val="0"/>
          <w:sz w:val="32"/>
          <w:szCs w:val="32"/>
        </w:rPr>
        <w:t>753.56</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val="zh-CN"/>
        </w:rPr>
        <w:t>。</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2、20</w:t>
      </w:r>
      <w:r>
        <w:rPr>
          <w:rFonts w:ascii="仿宋_GB2312" w:hAnsi="Calibri" w:eastAsia="仿宋_GB2312" w:cs="仿宋"/>
          <w:color w:val="000000"/>
          <w:kern w:val="0"/>
          <w:sz w:val="32"/>
          <w:szCs w:val="32"/>
        </w:rPr>
        <w:t>21</w:t>
      </w:r>
      <w:r>
        <w:rPr>
          <w:rFonts w:hint="eastAsia" w:ascii="仿宋_GB2312" w:hAnsi="Calibri" w:eastAsia="仿宋_GB2312" w:cs="仿宋"/>
          <w:color w:val="000000"/>
          <w:kern w:val="0"/>
          <w:sz w:val="32"/>
          <w:szCs w:val="32"/>
        </w:rPr>
        <w:t>年1至6月部门收入</w:t>
      </w:r>
      <w:r>
        <w:rPr>
          <w:rFonts w:ascii="仿宋_GB2312" w:hAnsi="Calibri" w:eastAsia="仿宋_GB2312" w:cs="仿宋"/>
          <w:color w:val="000000"/>
          <w:kern w:val="0"/>
          <w:sz w:val="32"/>
          <w:szCs w:val="32"/>
        </w:rPr>
        <w:t>946.7</w:t>
      </w:r>
      <w:r>
        <w:rPr>
          <w:rFonts w:hint="eastAsia" w:ascii="仿宋_GB2312" w:hAnsi="Calibri" w:eastAsia="仿宋_GB2312" w:cs="仿宋"/>
          <w:color w:val="000000"/>
          <w:kern w:val="0"/>
          <w:sz w:val="32"/>
          <w:szCs w:val="32"/>
        </w:rPr>
        <w:t>万元。</w:t>
      </w:r>
    </w:p>
    <w:p>
      <w:pPr>
        <w:widowControl/>
        <w:numPr>
          <w:ilvl w:val="0"/>
          <w:numId w:val="6"/>
        </w:numPr>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部门财政资金支出情况:</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1、20</w:t>
      </w:r>
      <w:r>
        <w:rPr>
          <w:rFonts w:ascii="仿宋_GB2312" w:hAnsi="Calibri" w:eastAsia="仿宋_GB2312" w:cs="仿宋"/>
          <w:color w:val="000000"/>
          <w:kern w:val="0"/>
          <w:sz w:val="32"/>
          <w:szCs w:val="32"/>
        </w:rPr>
        <w:t>20</w:t>
      </w:r>
      <w:r>
        <w:rPr>
          <w:rFonts w:hint="eastAsia" w:ascii="仿宋_GB2312" w:hAnsi="Calibri" w:eastAsia="仿宋_GB2312" w:cs="仿宋"/>
          <w:color w:val="000000"/>
          <w:kern w:val="0"/>
          <w:sz w:val="32"/>
          <w:szCs w:val="32"/>
        </w:rPr>
        <w:t>年部门总支出</w:t>
      </w:r>
      <w:r>
        <w:rPr>
          <w:rFonts w:ascii="仿宋_GB2312" w:hAnsi="Calibri" w:eastAsia="仿宋_GB2312" w:cs="仿宋"/>
          <w:color w:val="000000"/>
          <w:kern w:val="0"/>
          <w:sz w:val="32"/>
          <w:szCs w:val="32"/>
        </w:rPr>
        <w:t>753.56</w:t>
      </w:r>
      <w:r>
        <w:rPr>
          <w:rFonts w:hint="eastAsia" w:ascii="仿宋_GB2312" w:hAnsi="Calibri" w:eastAsia="仿宋_GB2312" w:cs="仿宋"/>
          <w:color w:val="000000"/>
          <w:kern w:val="0"/>
          <w:sz w:val="32"/>
          <w:szCs w:val="32"/>
        </w:rPr>
        <w:t>万元。其中：基本支出</w:t>
      </w:r>
      <w:r>
        <w:rPr>
          <w:rFonts w:ascii="仿宋_GB2312" w:hAnsi="Calibri" w:eastAsia="仿宋_GB2312" w:cs="仿宋"/>
          <w:color w:val="000000"/>
          <w:kern w:val="0"/>
          <w:sz w:val="32"/>
          <w:szCs w:val="32"/>
        </w:rPr>
        <w:t>749.76</w:t>
      </w:r>
      <w:r>
        <w:rPr>
          <w:rFonts w:hint="eastAsia" w:ascii="仿宋_GB2312" w:hAnsi="Calibri" w:eastAsia="仿宋_GB2312" w:cs="仿宋"/>
          <w:color w:val="000000"/>
          <w:kern w:val="0"/>
          <w:sz w:val="32"/>
          <w:szCs w:val="32"/>
        </w:rPr>
        <w:t>万元（基本支出人员经费</w:t>
      </w:r>
      <w:r>
        <w:rPr>
          <w:rFonts w:ascii="仿宋_GB2312" w:hAnsi="Calibri" w:eastAsia="仿宋_GB2312" w:cs="仿宋"/>
          <w:color w:val="000000"/>
          <w:kern w:val="0"/>
          <w:sz w:val="32"/>
          <w:szCs w:val="32"/>
        </w:rPr>
        <w:t>707.81</w:t>
      </w:r>
      <w:r>
        <w:rPr>
          <w:rFonts w:hint="eastAsia" w:ascii="仿宋_GB2312" w:hAnsi="Calibri" w:eastAsia="仿宋_GB2312" w:cs="仿宋"/>
          <w:color w:val="000000"/>
          <w:kern w:val="0"/>
          <w:sz w:val="32"/>
          <w:szCs w:val="32"/>
        </w:rPr>
        <w:t>万元、日常公用经费</w:t>
      </w:r>
      <w:r>
        <w:rPr>
          <w:rFonts w:ascii="仿宋_GB2312" w:hAnsi="Calibri" w:eastAsia="仿宋_GB2312" w:cs="仿宋"/>
          <w:color w:val="000000"/>
          <w:kern w:val="0"/>
          <w:sz w:val="32"/>
          <w:szCs w:val="32"/>
        </w:rPr>
        <w:t>41.95</w:t>
      </w:r>
      <w:r>
        <w:rPr>
          <w:rFonts w:hint="eastAsia" w:ascii="仿宋_GB2312" w:hAnsi="Calibri" w:eastAsia="仿宋_GB2312" w:cs="仿宋"/>
          <w:color w:val="000000"/>
          <w:kern w:val="0"/>
          <w:sz w:val="32"/>
          <w:szCs w:val="32"/>
        </w:rPr>
        <w:t>万元）；项目支出</w:t>
      </w:r>
      <w:r>
        <w:rPr>
          <w:rFonts w:ascii="仿宋_GB2312" w:hAnsi="Calibri" w:eastAsia="仿宋_GB2312" w:cs="仿宋"/>
          <w:color w:val="000000"/>
          <w:kern w:val="0"/>
          <w:sz w:val="32"/>
          <w:szCs w:val="32"/>
        </w:rPr>
        <w:t>3.8</w:t>
      </w:r>
      <w:r>
        <w:rPr>
          <w:rFonts w:hint="eastAsia" w:ascii="仿宋_GB2312" w:hAnsi="Calibri" w:eastAsia="仿宋_GB2312" w:cs="仿宋"/>
          <w:color w:val="000000"/>
          <w:kern w:val="0"/>
          <w:sz w:val="32"/>
          <w:szCs w:val="32"/>
        </w:rPr>
        <w:t>万。</w:t>
      </w:r>
    </w:p>
    <w:p>
      <w:pPr>
        <w:spacing w:line="600" w:lineRule="exact"/>
        <w:ind w:firstLine="645"/>
        <w:rPr>
          <w:rFonts w:hint="eastAsia" w:ascii="仿宋_GB2312" w:hAnsi="Calibri" w:eastAsia="仿宋_GB2312" w:cs="仿宋"/>
          <w:color w:val="000000"/>
          <w:kern w:val="0"/>
          <w:sz w:val="32"/>
          <w:szCs w:val="32"/>
          <w:lang w:eastAsia="zh-CN"/>
        </w:rPr>
      </w:pPr>
      <w:r>
        <w:rPr>
          <w:rFonts w:hint="eastAsia" w:ascii="仿宋_GB2312" w:hAnsi="Calibri" w:eastAsia="仿宋_GB2312" w:cs="仿宋"/>
          <w:color w:val="000000"/>
          <w:kern w:val="0"/>
          <w:sz w:val="32"/>
          <w:szCs w:val="32"/>
        </w:rPr>
        <w:t>（1）、人员经费707.81万元，包括基本工资157.92万元、津贴补贴191.32万元、奖金13.66万元、机关事业单位基本养老保险缴费55.84万元、职业年金缴费27.92万元、其他社会保障缴费6.51万元、行政单位基本医疗保险缴费35.84万元、生活补助9.57万元、奖励金151.07万元、住房公积金58.15万元。</w:t>
      </w:r>
    </w:p>
    <w:p>
      <w:pPr>
        <w:spacing w:line="600" w:lineRule="exact"/>
        <w:ind w:firstLine="645"/>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2）、日常公用经费支出41.95万元，主要包括：办公费5.11万元、手续费0.1万元、水费0.3万元、电费2.5万元、邮电费6万元、取暖费2万元、差旅费10万元、维修（护）费2万元、租赁费0.5万元、会议费1.5万元、公务接待费0万元、培训费0万元、劳务费1.5万元、公务用车运行维护费10万元、其他交通费0.44万元。</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（3）、项目支出3.8万元，包括办公设备购置1.4万元、专用设备购置19.94万元、物资储备2.99万元。  </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财政拨款支出主要用于保障本部门机构正常运转、完成日常工作任务。基本人员支出，是用于政府办、应急办、人防办、政务中心、交易中心、等单位人员工资和社保就业保障经费。日常公用支出包括办公费、印刷费、水电费、“三公经费”等日常公用经费。项目支出，是用于政府办办公设备购置、人防办疏散地域建设等。</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2、2021年1至6月部门支出634.13万元。</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人员经费支出524.22万元，包括基本工资73.74万元、津贴补贴80.92万元、绩效工资7.45万元、机关事业单位养老保险39.79万元、机关事业单位职业年金13.31万元、行政单位医疗18.29万元、其他社会保障缴费2.32万元、公务员医疗补助8.3万元、公积金25.98万元、生活补助4.77万元、奖励金238.6万元；</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日常公用经费支出109.9万元，包括办公费8.98万元、手续费0.06万元、水费0万元、邮电费7.85万元、取暖费0万元、物业管理费3.02万元、差旅费31.17万元、租赁费0万元、会议费0.558万元、培训费0万元、劳务费0万元、公务用车运行维护费57.82万元；</w:t>
      </w:r>
    </w:p>
    <w:p>
      <w:pPr>
        <w:widowControl/>
        <w:adjustRightInd w:val="0"/>
        <w:snapToGrid w:val="0"/>
        <w:spacing w:line="480" w:lineRule="exact"/>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财政拨款支出主要用于保障本部门机构正常运转、完成日常工作任务。基本人员支出，是用于政府办、人防办等单位人员工资和社保就业保障经费。日常公用支出包括办公费、印刷费、水电费、“三公经费”等日常公用经费。项目支出，是用于政府办办公设备购置。</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三、部门财政支出管理情况</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（一）预算编制情况</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按照综合预算的编制原则，保证预算编制质量，县政府办所有收入和支出均纳入财政预算管理，公用经费按人员数进行编制，</w:t>
      </w:r>
      <w:r>
        <w:rPr>
          <w:rFonts w:hint="eastAsia" w:ascii="仿宋_GB2312" w:hAnsi="Calibri" w:eastAsia="仿宋_GB2312" w:cs="仿宋"/>
          <w:color w:val="000000"/>
          <w:kern w:val="0"/>
          <w:sz w:val="32"/>
          <w:szCs w:val="32"/>
          <w:lang w:eastAsia="zh-CN"/>
        </w:rPr>
        <w:t>其他</w:t>
      </w:r>
      <w:r>
        <w:rPr>
          <w:rFonts w:hint="eastAsia" w:ascii="仿宋_GB2312" w:hAnsi="Calibri" w:eastAsia="仿宋_GB2312" w:cs="仿宋"/>
          <w:color w:val="000000"/>
          <w:kern w:val="0"/>
          <w:sz w:val="32"/>
          <w:szCs w:val="32"/>
        </w:rPr>
        <w:t>经费严格按照有关预算法执行。</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1、20</w:t>
      </w:r>
      <w:r>
        <w:rPr>
          <w:rFonts w:ascii="仿宋_GB2312" w:hAnsi="Calibri" w:eastAsia="仿宋_GB2312" w:cs="仿宋"/>
          <w:color w:val="000000"/>
          <w:kern w:val="0"/>
          <w:sz w:val="32"/>
          <w:szCs w:val="32"/>
        </w:rPr>
        <w:t>20</w:t>
      </w:r>
      <w:r>
        <w:rPr>
          <w:rFonts w:hint="eastAsia" w:ascii="仿宋_GB2312" w:hAnsi="Calibri" w:eastAsia="仿宋_GB2312" w:cs="仿宋"/>
          <w:color w:val="000000"/>
          <w:kern w:val="0"/>
          <w:sz w:val="32"/>
          <w:szCs w:val="32"/>
        </w:rPr>
        <w:t>年预算按当年10月实有人数</w:t>
      </w:r>
      <w:r>
        <w:rPr>
          <w:rFonts w:ascii="仿宋_GB2312" w:hAnsi="Calibri" w:eastAsia="仿宋_GB2312" w:cs="仿宋"/>
          <w:color w:val="000000"/>
          <w:kern w:val="0"/>
          <w:sz w:val="32"/>
          <w:szCs w:val="32"/>
        </w:rPr>
        <w:t>41</w:t>
      </w:r>
      <w:r>
        <w:rPr>
          <w:rFonts w:hint="eastAsia" w:ascii="仿宋_GB2312" w:hAnsi="Calibri" w:eastAsia="仿宋_GB2312" w:cs="仿宋"/>
          <w:color w:val="000000"/>
          <w:kern w:val="0"/>
          <w:sz w:val="32"/>
          <w:szCs w:val="32"/>
        </w:rPr>
        <w:t>人，20</w:t>
      </w:r>
      <w:r>
        <w:rPr>
          <w:rFonts w:ascii="仿宋_GB2312" w:hAnsi="Calibri" w:eastAsia="仿宋_GB2312" w:cs="仿宋"/>
          <w:color w:val="000000"/>
          <w:kern w:val="0"/>
          <w:sz w:val="32"/>
          <w:szCs w:val="32"/>
        </w:rPr>
        <w:t>20</w:t>
      </w:r>
      <w:r>
        <w:rPr>
          <w:rFonts w:hint="eastAsia" w:ascii="仿宋_GB2312" w:hAnsi="Calibri" w:eastAsia="仿宋_GB2312" w:cs="仿宋"/>
          <w:color w:val="000000"/>
          <w:kern w:val="0"/>
          <w:sz w:val="32"/>
          <w:szCs w:val="32"/>
        </w:rPr>
        <w:t>年公用经费</w:t>
      </w:r>
      <w:r>
        <w:rPr>
          <w:rFonts w:ascii="仿宋_GB2312" w:hAnsi="Calibri" w:eastAsia="仿宋_GB2312" w:cs="仿宋"/>
          <w:color w:val="000000"/>
          <w:kern w:val="0"/>
          <w:sz w:val="32"/>
          <w:szCs w:val="32"/>
        </w:rPr>
        <w:t>47.52</w:t>
      </w:r>
      <w:r>
        <w:rPr>
          <w:rFonts w:hint="eastAsia" w:ascii="仿宋_GB2312" w:hAnsi="Calibri" w:eastAsia="仿宋_GB2312" w:cs="仿宋"/>
          <w:color w:val="000000"/>
          <w:kern w:val="0"/>
          <w:sz w:val="32"/>
          <w:szCs w:val="32"/>
        </w:rPr>
        <w:t>万元。</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2、2021年预算按当年10月实有人数38人，2021年公用经费</w:t>
      </w:r>
      <w:r>
        <w:rPr>
          <w:rFonts w:ascii="仿宋_GB2312" w:hAnsi="Calibri" w:eastAsia="仿宋_GB2312" w:cs="仿宋"/>
          <w:color w:val="000000"/>
          <w:kern w:val="0"/>
          <w:sz w:val="32"/>
          <w:szCs w:val="32"/>
        </w:rPr>
        <w:t>41.76</w:t>
      </w:r>
      <w:r>
        <w:rPr>
          <w:rFonts w:hint="eastAsia" w:ascii="仿宋_GB2312" w:hAnsi="Calibri" w:eastAsia="仿宋_GB2312" w:cs="仿宋"/>
          <w:color w:val="000000"/>
          <w:kern w:val="0"/>
          <w:sz w:val="32"/>
          <w:szCs w:val="32"/>
        </w:rPr>
        <w:t>万元。</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（二）执行预算情况。</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hint="eastAsia" w:ascii="仿宋_GB2312" w:hAnsi="Calibri" w:eastAsia="仿宋_GB2312" w:cs="仿宋"/>
          <w:color w:val="000000"/>
          <w:kern w:val="0"/>
          <w:sz w:val="32"/>
          <w:szCs w:val="32"/>
          <w:lang w:val="zh-CN"/>
        </w:rPr>
        <w:t>部门预算在财政部门批复后及时填报预算公示报表报财政审核在政府信息公开网上公示。</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2、三公经费预算执行情况：</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2020年“三公”经费：2020年公务接待费0.6万元，2020年公务用车购置及运行维护费10万元。公务接待费决算数为0万元和预算数不一致，是因为我办2020年未产生有公务接待。公务用车运行维护费决算数比预算数一致。</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（2）、2021年公务接待费预算0.6万元，（按2021年编制预算文件，公务接待费按总公务费比例2%计算）；2021年公务用车维护费预算10万元。</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（三）综合管理情况</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1、政府采购方面：进行政府采购的资产严格按采购程序采购并登记入账，零星采购严格按固定资产管理办法进行登记入账。2020年政府采购项目2个，项目名称：金额138.107万元</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固定资产管理方面：本单位固定资产按科学合理、优化资产结构、勤俭节约的原则和专门的资产管理系统进行管理，截止2020年12月30日，年末总资产账面金额988.7269万元，固定资产账面数据和固定资产管理系统数据一致。</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内控制度方面:为进一步做好行政事业单位内部控制基础性工作，结合我办实际，特制订预算管理、财务收支管理、政府采购及管理、资产管理、基本建设项目管理、合同管理、财务管理、差旅费报销、公务接待和陪餐、工作岗位职责、考勤请销假、下乡和车辆管理、驾驶员管理工作、会务工作、内部联席工作、保密工作、办公室首问、公室印章管理使用、学习会议等制度草案。</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4、信息公开方面：预算决算公开按财政局的要求在收到财政批复后20个工作日在金川县政府中心的信息网站进行公开。</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5、绩效评价及财政监督情况:按部门支出绩效评价指标体系进行单位自评，按财政要求收支并接受财政的监督管理。</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（四）、</w:t>
      </w:r>
      <w:bookmarkStart w:id="81" w:name="_GoBack"/>
      <w:bookmarkEnd w:id="81"/>
      <w:r>
        <w:rPr>
          <w:rFonts w:hint="eastAsia" w:ascii="仿宋_GB2312" w:hAnsi="Calibri" w:eastAsia="仿宋_GB2312" w:cs="仿宋"/>
          <w:color w:val="000000"/>
          <w:kern w:val="0"/>
          <w:sz w:val="32"/>
          <w:szCs w:val="32"/>
        </w:rPr>
        <w:t>整体绩效</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根据部门支出绩效评价指标体系进行单位自评。</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1、预算编制总分10分，自评得分5分，政府办有3项5分不在本单位评价内容中。</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2、预算执行总分20分，自评得分11分，政府办有2项7分不在本单位评价内容中，扣分2分。</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3、综合管理总分40分，自评得30分，政府办有3项6分不在本单位评价内容中扣分4分。</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4、整体效益总分30分，自评得分20分，政府办有1项10分不在本单位评价内容中。</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四、评价结论及建议</w:t>
      </w:r>
    </w:p>
    <w:p>
      <w:pPr>
        <w:snapToGrid w:val="0"/>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（一）、评价结论。根据部门支出绩效评价指标体系进行单位自评，圆满完成绩效自评工作，圆满完成中央、省、州委和县的重要工作、目标任务。</w:t>
      </w:r>
    </w:p>
    <w:p>
      <w:pPr>
        <w:spacing w:line="56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本单位总体评价内容内实际得分66分，按计算本单位最后得分92分（注:本单位本次自评总分={66/（100-28）}100=92分）。</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（二）存在问题。</w:t>
      </w:r>
    </w:p>
    <w:p>
      <w:pPr>
        <w:widowControl/>
        <w:adjustRightInd w:val="0"/>
        <w:snapToGrid w:val="0"/>
        <w:spacing w:line="48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我办由于涉及工作面广、工作量大、所需运行经费量大、部门预算无法保障所需经费，存在调整预算；预算不精准存在结余追减的情况。</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（三）改进建议。</w:t>
      </w:r>
    </w:p>
    <w:p>
      <w:pPr>
        <w:widowControl/>
        <w:adjustRightInd w:val="0"/>
        <w:snapToGrid w:val="0"/>
        <w:spacing w:line="480" w:lineRule="exact"/>
        <w:ind w:firstLine="720"/>
        <w:jc w:val="left"/>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我们将进一步重视预算的编制工作，提高预算编制的精确度，提高财政资金使用效率，尽量减少预算执行调整、结余追减的情形。</w:t>
      </w:r>
    </w:p>
    <w:p>
      <w:pPr>
        <w:jc w:val="right"/>
        <w:rPr>
          <w:rFonts w:ascii="仿宋_GB2312" w:hAnsi="Calibri" w:eastAsia="仿宋_GB2312" w:cs="仿宋"/>
          <w:color w:val="000000"/>
          <w:kern w:val="0"/>
          <w:sz w:val="32"/>
          <w:szCs w:val="32"/>
        </w:rPr>
      </w:pPr>
    </w:p>
    <w:p>
      <w:pPr>
        <w:jc w:val="right"/>
        <w:rPr>
          <w:rFonts w:ascii="仿宋_GB2312" w:hAnsi="Calibri" w:eastAsia="仿宋_GB2312" w:cs="仿宋"/>
          <w:color w:val="000000"/>
          <w:kern w:val="0"/>
          <w:sz w:val="32"/>
          <w:szCs w:val="32"/>
        </w:rPr>
      </w:pPr>
    </w:p>
    <w:p>
      <w:pPr>
        <w:jc w:val="right"/>
        <w:rPr>
          <w:rFonts w:ascii="仿宋_GB2312" w:hAnsi="Calibri" w:eastAsia="仿宋_GB2312" w:cs="仿宋"/>
          <w:color w:val="000000"/>
          <w:kern w:val="0"/>
          <w:sz w:val="32"/>
          <w:szCs w:val="32"/>
        </w:rPr>
      </w:pPr>
    </w:p>
    <w:p>
      <w:pPr>
        <w:jc w:val="right"/>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jc w:val="center"/>
        <w:outlineLvl w:val="0"/>
        <w:rPr>
          <w:rFonts w:ascii="仿宋_GB2312" w:hAnsi="Calibri" w:eastAsia="仿宋_GB2312" w:cs="仿宋"/>
          <w:color w:val="000000"/>
          <w:kern w:val="0"/>
          <w:sz w:val="32"/>
          <w:szCs w:val="32"/>
        </w:rPr>
      </w:pPr>
    </w:p>
    <w:p>
      <w:pPr>
        <w:spacing w:line="600" w:lineRule="exact"/>
        <w:outlineLvl w:val="0"/>
        <w:rPr>
          <w:rFonts w:ascii="仿宋_GB2312" w:hAnsi="Calibri" w:eastAsia="仿宋_GB2312" w:cs="仿宋"/>
          <w:color w:val="000000"/>
          <w:kern w:val="0"/>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4"/>
          <w:rFonts w:ascii="黑体" w:hAnsi="黑体" w:eastAsia="黑体"/>
          <w:b w:val="0"/>
        </w:rPr>
      </w:pPr>
      <w:bookmarkStart w:id="65" w:name="_Toc994"/>
      <w:r>
        <w:rPr>
          <w:rFonts w:hint="eastAsia" w:ascii="黑体" w:hAnsi="黑体" w:eastAsia="黑体"/>
          <w:color w:val="000000"/>
          <w:sz w:val="44"/>
          <w:szCs w:val="44"/>
        </w:rPr>
        <w:t>第</w:t>
      </w:r>
      <w:r>
        <w:rPr>
          <w:rStyle w:val="24"/>
          <w:rFonts w:hint="eastAsia" w:ascii="黑体" w:hAnsi="黑体" w:eastAsia="黑体"/>
          <w:b w:val="0"/>
        </w:rPr>
        <w:t>五部分 附表</w:t>
      </w:r>
      <w:bookmarkEnd w:id="65"/>
    </w:p>
    <w:p>
      <w:pPr>
        <w:pStyle w:val="3"/>
        <w:rPr>
          <w:rFonts w:ascii="仿宋" w:hAnsi="仿宋" w:eastAsia="仿宋"/>
          <w:color w:val="000000"/>
        </w:rPr>
      </w:pPr>
      <w:bookmarkStart w:id="66" w:name="_Toc12803"/>
      <w:r>
        <w:rPr>
          <w:rFonts w:hint="eastAsia" w:ascii="仿宋" w:hAnsi="仿宋" w:eastAsia="仿宋"/>
          <w:b w:val="0"/>
          <w:color w:val="000000"/>
        </w:rPr>
        <w:t>一、收</w:t>
      </w:r>
      <w:r>
        <w:rPr>
          <w:rStyle w:val="25"/>
          <w:rFonts w:hint="eastAsia" w:ascii="仿宋" w:hAnsi="仿宋" w:eastAsia="仿宋"/>
          <w:b w:val="0"/>
          <w:bCs w:val="0"/>
        </w:rPr>
        <w:t>入支出决算总表</w:t>
      </w:r>
      <w:bookmarkEnd w:id="66"/>
    </w:p>
    <w:p>
      <w:pPr>
        <w:pStyle w:val="3"/>
        <w:rPr>
          <w:rFonts w:ascii="仿宋" w:hAnsi="仿宋" w:eastAsia="仿宋"/>
          <w:color w:val="000000"/>
        </w:rPr>
      </w:pPr>
      <w:bookmarkStart w:id="67" w:name="_Toc5174"/>
      <w:r>
        <w:rPr>
          <w:rFonts w:hint="eastAsia" w:ascii="仿宋" w:hAnsi="仿宋" w:eastAsia="仿宋"/>
          <w:b w:val="0"/>
          <w:color w:val="000000"/>
        </w:rPr>
        <w:t>二、收</w:t>
      </w:r>
      <w:r>
        <w:rPr>
          <w:rStyle w:val="25"/>
          <w:rFonts w:hint="eastAsia" w:ascii="仿宋" w:hAnsi="仿宋" w:eastAsia="仿宋"/>
          <w:b w:val="0"/>
          <w:bCs w:val="0"/>
        </w:rPr>
        <w:t>入总表</w:t>
      </w:r>
      <w:bookmarkEnd w:id="67"/>
    </w:p>
    <w:p>
      <w:pPr>
        <w:pStyle w:val="3"/>
        <w:rPr>
          <w:rFonts w:ascii="仿宋" w:hAnsi="仿宋" w:eastAsia="仿宋"/>
          <w:color w:val="000000"/>
        </w:rPr>
      </w:pPr>
      <w:bookmarkStart w:id="68" w:name="_Toc1671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8"/>
    </w:p>
    <w:p>
      <w:pPr>
        <w:pStyle w:val="3"/>
        <w:rPr>
          <w:rFonts w:ascii="仿宋" w:hAnsi="仿宋" w:eastAsia="仿宋"/>
          <w:b w:val="0"/>
          <w:color w:val="000000"/>
        </w:rPr>
      </w:pPr>
      <w:bookmarkStart w:id="69" w:name="_Toc13000"/>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9"/>
    </w:p>
    <w:p>
      <w:pPr>
        <w:pStyle w:val="3"/>
        <w:rPr>
          <w:rFonts w:ascii="仿宋" w:hAnsi="仿宋" w:eastAsia="仿宋"/>
          <w:color w:val="000000"/>
        </w:rPr>
      </w:pPr>
      <w:bookmarkStart w:id="70" w:name="_Toc22808"/>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70"/>
    </w:p>
    <w:p>
      <w:pPr>
        <w:pStyle w:val="3"/>
        <w:rPr>
          <w:rFonts w:ascii="仿宋" w:hAnsi="仿宋" w:eastAsia="仿宋"/>
          <w:color w:val="000000"/>
        </w:rPr>
      </w:pPr>
      <w:bookmarkStart w:id="71" w:name="_Toc1759"/>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71"/>
    </w:p>
    <w:p>
      <w:pPr>
        <w:pStyle w:val="3"/>
        <w:rPr>
          <w:rFonts w:ascii="仿宋" w:hAnsi="仿宋" w:eastAsia="仿宋"/>
          <w:color w:val="000000"/>
        </w:rPr>
      </w:pPr>
      <w:bookmarkStart w:id="72" w:name="_Toc1019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72"/>
    </w:p>
    <w:p>
      <w:pPr>
        <w:pStyle w:val="3"/>
        <w:rPr>
          <w:rFonts w:ascii="仿宋" w:hAnsi="仿宋" w:eastAsia="仿宋"/>
          <w:color w:val="000000"/>
        </w:rPr>
      </w:pPr>
      <w:bookmarkStart w:id="73" w:name="_Toc24785"/>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3"/>
    </w:p>
    <w:p>
      <w:pPr>
        <w:pStyle w:val="3"/>
        <w:rPr>
          <w:rFonts w:ascii="仿宋" w:hAnsi="仿宋" w:eastAsia="仿宋"/>
          <w:color w:val="000000"/>
        </w:rPr>
      </w:pPr>
      <w:bookmarkStart w:id="74" w:name="_Toc21045"/>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4"/>
    </w:p>
    <w:p>
      <w:pPr>
        <w:pStyle w:val="3"/>
        <w:rPr>
          <w:rFonts w:ascii="仿宋" w:hAnsi="仿宋" w:eastAsia="仿宋"/>
          <w:color w:val="000000"/>
        </w:rPr>
      </w:pPr>
      <w:bookmarkStart w:id="75" w:name="_Toc6430"/>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5"/>
    </w:p>
    <w:p>
      <w:pPr>
        <w:pStyle w:val="3"/>
        <w:rPr>
          <w:rFonts w:ascii="仿宋" w:hAnsi="仿宋" w:eastAsia="仿宋"/>
          <w:color w:val="000000"/>
        </w:rPr>
      </w:pPr>
      <w:bookmarkStart w:id="76" w:name="_Toc25237"/>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6"/>
    </w:p>
    <w:p>
      <w:pPr>
        <w:pStyle w:val="3"/>
        <w:rPr>
          <w:rFonts w:ascii="仿宋" w:hAnsi="仿宋" w:eastAsia="仿宋"/>
          <w:color w:val="000000"/>
        </w:rPr>
      </w:pPr>
      <w:bookmarkStart w:id="77" w:name="_Toc15396630"/>
      <w:bookmarkStart w:id="78" w:name="_Toc7502"/>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7"/>
      <w:bookmarkEnd w:id="78"/>
    </w:p>
    <w:p>
      <w:pPr>
        <w:pStyle w:val="3"/>
        <w:rPr>
          <w:rFonts w:ascii="仿宋" w:hAnsi="仿宋" w:eastAsia="仿宋"/>
          <w:color w:val="000000" w:themeColor="text1"/>
        </w:rPr>
      </w:pPr>
      <w:bookmarkStart w:id="79" w:name="_Toc15396631"/>
      <w:bookmarkStart w:id="80" w:name="_Toc4792"/>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9"/>
      <w:bookmarkEnd w:id="8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540C536"/>
    <w:multiLevelType w:val="singleLevel"/>
    <w:tmpl w:val="1540C536"/>
    <w:lvl w:ilvl="0" w:tentative="0">
      <w:start w:val="2"/>
      <w:numFmt w:val="chineseCounting"/>
      <w:suff w:val="nothing"/>
      <w:lvlText w:val="（%1）"/>
      <w:lvlJc w:val="left"/>
      <w:rPr>
        <w:rFonts w:hint="eastAsia"/>
      </w:r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78D72DD4"/>
    <w:multiLevelType w:val="singleLevel"/>
    <w:tmpl w:val="78D72DD4"/>
    <w:lvl w:ilvl="0" w:tentative="0">
      <w:start w:val="3"/>
      <w:numFmt w:val="decimal"/>
      <w:lvlText w:val="%1."/>
      <w:lvlJc w:val="left"/>
      <w:pPr>
        <w:tabs>
          <w:tab w:val="left" w:pos="312"/>
        </w:tabs>
      </w:p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104F"/>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0D06"/>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2338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29C1"/>
    <w:rsid w:val="00C159EF"/>
    <w:rsid w:val="00C33E72"/>
    <w:rsid w:val="00C354B2"/>
    <w:rsid w:val="00C35554"/>
    <w:rsid w:val="00C42709"/>
    <w:rsid w:val="00C533CC"/>
    <w:rsid w:val="00C5751C"/>
    <w:rsid w:val="00C61BFC"/>
    <w:rsid w:val="00C62B85"/>
    <w:rsid w:val="00C65438"/>
    <w:rsid w:val="00C71927"/>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A1CAE"/>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3002AB"/>
    <w:rsid w:val="02E1730F"/>
    <w:rsid w:val="043E4C13"/>
    <w:rsid w:val="04601E12"/>
    <w:rsid w:val="04CF36B4"/>
    <w:rsid w:val="05C25B80"/>
    <w:rsid w:val="05E45580"/>
    <w:rsid w:val="068951A7"/>
    <w:rsid w:val="06E27DD7"/>
    <w:rsid w:val="071A426C"/>
    <w:rsid w:val="079348CC"/>
    <w:rsid w:val="07D36549"/>
    <w:rsid w:val="07E5395F"/>
    <w:rsid w:val="08F67BF7"/>
    <w:rsid w:val="0A7E337D"/>
    <w:rsid w:val="0CA74428"/>
    <w:rsid w:val="0CCD0C03"/>
    <w:rsid w:val="0CFB0A8A"/>
    <w:rsid w:val="0D8172A3"/>
    <w:rsid w:val="0E1815C8"/>
    <w:rsid w:val="0EAA5C5A"/>
    <w:rsid w:val="0EB302A1"/>
    <w:rsid w:val="0EC403E8"/>
    <w:rsid w:val="0F2121FB"/>
    <w:rsid w:val="0F730F9A"/>
    <w:rsid w:val="10842AE1"/>
    <w:rsid w:val="10AA5720"/>
    <w:rsid w:val="10C055FF"/>
    <w:rsid w:val="11251ED6"/>
    <w:rsid w:val="11AD5A15"/>
    <w:rsid w:val="11DA19EF"/>
    <w:rsid w:val="12754917"/>
    <w:rsid w:val="1308721F"/>
    <w:rsid w:val="135768EF"/>
    <w:rsid w:val="13FB2AD9"/>
    <w:rsid w:val="14B45E63"/>
    <w:rsid w:val="16BB723D"/>
    <w:rsid w:val="175B5220"/>
    <w:rsid w:val="18266E24"/>
    <w:rsid w:val="185B4C17"/>
    <w:rsid w:val="19586DBB"/>
    <w:rsid w:val="197A69C6"/>
    <w:rsid w:val="197E3626"/>
    <w:rsid w:val="1A002162"/>
    <w:rsid w:val="1A6C163D"/>
    <w:rsid w:val="1B06268F"/>
    <w:rsid w:val="1B3A7ABE"/>
    <w:rsid w:val="1B97182E"/>
    <w:rsid w:val="1B9E3D8A"/>
    <w:rsid w:val="1C6D1313"/>
    <w:rsid w:val="1C772638"/>
    <w:rsid w:val="1E2456B4"/>
    <w:rsid w:val="1E284F2D"/>
    <w:rsid w:val="1E420C3F"/>
    <w:rsid w:val="1E48348B"/>
    <w:rsid w:val="1EC86353"/>
    <w:rsid w:val="1EE73062"/>
    <w:rsid w:val="1FF24AAB"/>
    <w:rsid w:val="21715B9A"/>
    <w:rsid w:val="22311A74"/>
    <w:rsid w:val="224A0538"/>
    <w:rsid w:val="22750CD4"/>
    <w:rsid w:val="2371487D"/>
    <w:rsid w:val="240371BF"/>
    <w:rsid w:val="24842D35"/>
    <w:rsid w:val="24CE2829"/>
    <w:rsid w:val="24EF5C54"/>
    <w:rsid w:val="25002D08"/>
    <w:rsid w:val="25361855"/>
    <w:rsid w:val="25793C80"/>
    <w:rsid w:val="26393A97"/>
    <w:rsid w:val="263C55EC"/>
    <w:rsid w:val="2669691D"/>
    <w:rsid w:val="27576F14"/>
    <w:rsid w:val="27710D5F"/>
    <w:rsid w:val="2822183A"/>
    <w:rsid w:val="287A776B"/>
    <w:rsid w:val="288A51BE"/>
    <w:rsid w:val="29893551"/>
    <w:rsid w:val="29FD04D3"/>
    <w:rsid w:val="2A3753A8"/>
    <w:rsid w:val="2A7863AA"/>
    <w:rsid w:val="2AE352DA"/>
    <w:rsid w:val="2BA3678D"/>
    <w:rsid w:val="2C36234E"/>
    <w:rsid w:val="2C4E325A"/>
    <w:rsid w:val="2C536B21"/>
    <w:rsid w:val="2C981E3E"/>
    <w:rsid w:val="2CC441EC"/>
    <w:rsid w:val="2CF53180"/>
    <w:rsid w:val="2D7860CA"/>
    <w:rsid w:val="2DDF321A"/>
    <w:rsid w:val="2E344C7E"/>
    <w:rsid w:val="2EAB657C"/>
    <w:rsid w:val="2ED7539C"/>
    <w:rsid w:val="2F7D0076"/>
    <w:rsid w:val="2F8C0ED7"/>
    <w:rsid w:val="319F7F4E"/>
    <w:rsid w:val="32D3007A"/>
    <w:rsid w:val="33057D8B"/>
    <w:rsid w:val="33AA61A1"/>
    <w:rsid w:val="34EA6956"/>
    <w:rsid w:val="354F134F"/>
    <w:rsid w:val="3567173A"/>
    <w:rsid w:val="35815A27"/>
    <w:rsid w:val="358D6C31"/>
    <w:rsid w:val="378731D3"/>
    <w:rsid w:val="383D334F"/>
    <w:rsid w:val="385B2116"/>
    <w:rsid w:val="38C37F12"/>
    <w:rsid w:val="38C55A4D"/>
    <w:rsid w:val="39DE1B1E"/>
    <w:rsid w:val="3B3B302A"/>
    <w:rsid w:val="3B47324A"/>
    <w:rsid w:val="3B9B5779"/>
    <w:rsid w:val="3C223539"/>
    <w:rsid w:val="3D355B1E"/>
    <w:rsid w:val="3D3673A8"/>
    <w:rsid w:val="3D4A0C57"/>
    <w:rsid w:val="3D631537"/>
    <w:rsid w:val="3E9441A7"/>
    <w:rsid w:val="3EC4545A"/>
    <w:rsid w:val="3FAB3F97"/>
    <w:rsid w:val="3FF87917"/>
    <w:rsid w:val="400301DF"/>
    <w:rsid w:val="401D6D1E"/>
    <w:rsid w:val="40441CD0"/>
    <w:rsid w:val="412648F7"/>
    <w:rsid w:val="41D64E14"/>
    <w:rsid w:val="42407D1A"/>
    <w:rsid w:val="43A941DF"/>
    <w:rsid w:val="44D14963"/>
    <w:rsid w:val="44D3044B"/>
    <w:rsid w:val="469D4446"/>
    <w:rsid w:val="46B70187"/>
    <w:rsid w:val="47693C2B"/>
    <w:rsid w:val="495A2761"/>
    <w:rsid w:val="4A223C7E"/>
    <w:rsid w:val="4A676625"/>
    <w:rsid w:val="4A696211"/>
    <w:rsid w:val="4B6A4556"/>
    <w:rsid w:val="4C1118F0"/>
    <w:rsid w:val="4C146CF0"/>
    <w:rsid w:val="4DCC1F46"/>
    <w:rsid w:val="4F6E331E"/>
    <w:rsid w:val="4FE015FC"/>
    <w:rsid w:val="501E58DE"/>
    <w:rsid w:val="51050403"/>
    <w:rsid w:val="5112500D"/>
    <w:rsid w:val="519F6341"/>
    <w:rsid w:val="51CC164C"/>
    <w:rsid w:val="51D75D13"/>
    <w:rsid w:val="51E36239"/>
    <w:rsid w:val="5210264F"/>
    <w:rsid w:val="521A488A"/>
    <w:rsid w:val="521C500A"/>
    <w:rsid w:val="52A478EB"/>
    <w:rsid w:val="52F36550"/>
    <w:rsid w:val="535D1D96"/>
    <w:rsid w:val="53C700D2"/>
    <w:rsid w:val="546E741E"/>
    <w:rsid w:val="550B692C"/>
    <w:rsid w:val="55686189"/>
    <w:rsid w:val="55A35C61"/>
    <w:rsid w:val="56724562"/>
    <w:rsid w:val="574933D7"/>
    <w:rsid w:val="577E7FD0"/>
    <w:rsid w:val="57815EBF"/>
    <w:rsid w:val="57E64C14"/>
    <w:rsid w:val="583B3846"/>
    <w:rsid w:val="586425F8"/>
    <w:rsid w:val="58766736"/>
    <w:rsid w:val="588F57A1"/>
    <w:rsid w:val="589B395F"/>
    <w:rsid w:val="596F586E"/>
    <w:rsid w:val="59765408"/>
    <w:rsid w:val="5A5A73ED"/>
    <w:rsid w:val="5B680900"/>
    <w:rsid w:val="5B78665E"/>
    <w:rsid w:val="5BC81751"/>
    <w:rsid w:val="5D181542"/>
    <w:rsid w:val="5DC37E74"/>
    <w:rsid w:val="5E2D5284"/>
    <w:rsid w:val="5E81723F"/>
    <w:rsid w:val="5E8277BF"/>
    <w:rsid w:val="5E87475D"/>
    <w:rsid w:val="5EAF7173"/>
    <w:rsid w:val="5EB30705"/>
    <w:rsid w:val="5F422BEA"/>
    <w:rsid w:val="5F584FE8"/>
    <w:rsid w:val="5FA61A61"/>
    <w:rsid w:val="61C20AC0"/>
    <w:rsid w:val="625E7F0D"/>
    <w:rsid w:val="6318484B"/>
    <w:rsid w:val="64451887"/>
    <w:rsid w:val="681D681A"/>
    <w:rsid w:val="686512B9"/>
    <w:rsid w:val="68D041D1"/>
    <w:rsid w:val="6925704D"/>
    <w:rsid w:val="69303D57"/>
    <w:rsid w:val="69435C9A"/>
    <w:rsid w:val="694A624C"/>
    <w:rsid w:val="69E132A1"/>
    <w:rsid w:val="69E52543"/>
    <w:rsid w:val="6A6C75A6"/>
    <w:rsid w:val="6A8C4FEA"/>
    <w:rsid w:val="6C272236"/>
    <w:rsid w:val="6C293B5F"/>
    <w:rsid w:val="6C663657"/>
    <w:rsid w:val="6C6E3758"/>
    <w:rsid w:val="6CF304BF"/>
    <w:rsid w:val="6D1C198A"/>
    <w:rsid w:val="6EEA518B"/>
    <w:rsid w:val="70A642D7"/>
    <w:rsid w:val="71A12E95"/>
    <w:rsid w:val="71D452DB"/>
    <w:rsid w:val="7391196E"/>
    <w:rsid w:val="74C70B47"/>
    <w:rsid w:val="75F32FC4"/>
    <w:rsid w:val="7634636F"/>
    <w:rsid w:val="766D1496"/>
    <w:rsid w:val="7709409F"/>
    <w:rsid w:val="77433F38"/>
    <w:rsid w:val="777E2099"/>
    <w:rsid w:val="77987EB0"/>
    <w:rsid w:val="7831022F"/>
    <w:rsid w:val="78830398"/>
    <w:rsid w:val="78FC4DCF"/>
    <w:rsid w:val="79114142"/>
    <w:rsid w:val="7A5A006F"/>
    <w:rsid w:val="7A707BCD"/>
    <w:rsid w:val="7BA4534D"/>
    <w:rsid w:val="7BC6647D"/>
    <w:rsid w:val="7CEE15BB"/>
    <w:rsid w:val="7D210A3F"/>
    <w:rsid w:val="7D7457AC"/>
    <w:rsid w:val="7E347559"/>
    <w:rsid w:val="7E536F00"/>
    <w:rsid w:val="7E771F55"/>
    <w:rsid w:val="7EDA5896"/>
    <w:rsid w:val="7EEF2760"/>
    <w:rsid w:val="7F765CDE"/>
    <w:rsid w:val="7FA17B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279503106"/>
          <c:y val="0.229130434782609"/>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Sheet1!$A$2:$A$3</c:f>
              <c:strCache>
                <c:ptCount val="2"/>
                <c:pt idx="0">
                  <c:v>2020年 </c:v>
                </c:pt>
                <c:pt idx="1">
                  <c:v>2019年</c:v>
                </c:pt>
              </c:strCache>
            </c:strRef>
          </c:cat>
          <c:val>
            <c:numRef>
              <c:f>Sheet1!$B$2:$B$3</c:f>
              <c:numCache>
                <c:formatCode>General</c:formatCode>
                <c:ptCount val="2"/>
                <c:pt idx="0">
                  <c:v>753.56</c:v>
                </c:pt>
                <c:pt idx="1">
                  <c:v>1081.9</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Sheet1!$A$2:$A$3</c:f>
              <c:strCache>
                <c:ptCount val="2"/>
                <c:pt idx="0">
                  <c:v>2020年 </c:v>
                </c:pt>
                <c:pt idx="1">
                  <c:v>2019年</c:v>
                </c:pt>
              </c:strCache>
            </c:strRef>
          </c:cat>
          <c:val>
            <c:numRef>
              <c:f>Sheet1!$C$2:$C$3</c:f>
              <c:numCache>
                <c:formatCode>General</c:formatCode>
                <c:ptCount val="2"/>
                <c:pt idx="0">
                  <c:v>753.56</c:v>
                </c:pt>
                <c:pt idx="1">
                  <c:v>1267.58</c:v>
                </c:pt>
              </c:numCache>
            </c:numRef>
          </c:val>
        </c:ser>
        <c:dLbls>
          <c:showLegendKey val="0"/>
          <c:showVal val="0"/>
          <c:showCatName val="0"/>
          <c:showSerName val="0"/>
          <c:showPercent val="0"/>
          <c:showBubbleSize val="0"/>
        </c:dLbls>
        <c:gapWidth val="219"/>
        <c:overlap val="-27"/>
        <c:axId val="44684032"/>
        <c:axId val="44685568"/>
      </c:barChart>
      <c:catAx>
        <c:axId val="446840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85568"/>
        <c:crosses val="autoZero"/>
        <c:auto val="1"/>
        <c:lblAlgn val="ctr"/>
        <c:lblOffset val="100"/>
        <c:noMultiLvlLbl val="0"/>
      </c:catAx>
      <c:valAx>
        <c:axId val="44685568"/>
        <c:scaling>
          <c:orientation val="minMax"/>
          <c:max val="45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840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753.56</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19909672563041"/>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749.76</c:v>
                </c:pt>
                <c:pt idx="1">
                  <c:v>3.8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2019年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Sheet1!$B$1:$C$1</c:f>
              <c:strCache>
                <c:ptCount val="2"/>
                <c:pt idx="0">
                  <c:v>一般公共预算财政拨款收入</c:v>
                </c:pt>
                <c:pt idx="1">
                  <c:v>一般公共预算财政拨款支出</c:v>
                </c:pt>
              </c:strCache>
            </c:strRef>
          </c:cat>
          <c:val>
            <c:numRef>
              <c:f>Sheet1!$B$2:$C$2</c:f>
              <c:numCache>
                <c:formatCode>General</c:formatCode>
                <c:ptCount val="2"/>
                <c:pt idx="0">
                  <c:v>1081.9</c:v>
                </c:pt>
                <c:pt idx="1">
                  <c:v>1267.58</c:v>
                </c:pt>
              </c:numCache>
            </c:numRef>
          </c:val>
        </c:ser>
        <c:ser>
          <c:idx val="1"/>
          <c:order val="1"/>
          <c:tx>
            <c:strRef>
              <c:f>Sheet1!$A$3</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Sheet1!$B$1:$C$1</c:f>
              <c:strCache>
                <c:ptCount val="2"/>
                <c:pt idx="0">
                  <c:v>一般公共预算财政拨款收入</c:v>
                </c:pt>
                <c:pt idx="1">
                  <c:v>一般公共预算财政拨款支出</c:v>
                </c:pt>
              </c:strCache>
            </c:strRef>
          </c:cat>
          <c:val>
            <c:numRef>
              <c:f>Sheet1!$B$3:$C$3</c:f>
              <c:numCache>
                <c:formatCode>General</c:formatCode>
                <c:ptCount val="2"/>
                <c:pt idx="0">
                  <c:v>753.56</c:v>
                </c:pt>
                <c:pt idx="1">
                  <c:v>753.56</c:v>
                </c:pt>
              </c:numCache>
            </c:numRef>
          </c:val>
        </c:ser>
        <c:dLbls>
          <c:showLegendKey val="0"/>
          <c:showVal val="1"/>
          <c:showCatName val="0"/>
          <c:showSerName val="0"/>
          <c:showPercent val="0"/>
          <c:showBubbleSize val="0"/>
        </c:dLbls>
        <c:gapWidth val="219"/>
        <c:overlap val="-27"/>
        <c:axId val="51493504"/>
        <c:axId val="51597696"/>
      </c:barChart>
      <c:catAx>
        <c:axId val="5149350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597696"/>
        <c:crosses val="autoZero"/>
        <c:auto val="1"/>
        <c:lblAlgn val="ctr"/>
        <c:lblOffset val="100"/>
        <c:noMultiLvlLbl val="0"/>
      </c:catAx>
      <c:valAx>
        <c:axId val="51597696"/>
        <c:scaling>
          <c:orientation val="minMax"/>
          <c:max val="45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4935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1267.58</c:v>
                </c:pt>
                <c:pt idx="1">
                  <c:v>753.56</c:v>
                </c:pt>
              </c:numCache>
            </c:numRef>
          </c:val>
        </c:ser>
        <c:dLbls>
          <c:showLegendKey val="0"/>
          <c:showVal val="1"/>
          <c:showCatName val="0"/>
          <c:showSerName val="0"/>
          <c:showPercent val="0"/>
          <c:showBubbleSize val="0"/>
        </c:dLbls>
        <c:gapWidth val="219"/>
        <c:overlap val="-27"/>
        <c:axId val="94130560"/>
        <c:axId val="94132096"/>
      </c:barChart>
      <c:catAx>
        <c:axId val="9413056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32096"/>
        <c:crosses val="autoZero"/>
        <c:auto val="1"/>
        <c:lblAlgn val="ctr"/>
        <c:lblOffset val="100"/>
        <c:noMultiLvlLbl val="0"/>
      </c:catAx>
      <c:valAx>
        <c:axId val="94132096"/>
        <c:scaling>
          <c:orientation val="minMax"/>
          <c:max val="45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305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0209736443574976"/>
                  <c:y val="0.04419082456707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3313939"/>
                  <c:y val="0.0049657079999966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50300872"/>
                  <c:y val="-0.04169033279472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3049457822949"/>
                  <c:y val="0.0066062218848375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一般公共服务</c:v>
                </c:pt>
                <c:pt idx="1">
                  <c:v>教育支出</c:v>
                </c:pt>
                <c:pt idx="2">
                  <c:v>社会保障和就业</c:v>
                </c:pt>
                <c:pt idx="3">
                  <c:v>医疗卫生支出</c:v>
                </c:pt>
                <c:pt idx="4">
                  <c:v>住房保障支出</c:v>
                </c:pt>
              </c:strCache>
            </c:strRef>
          </c:cat>
          <c:val>
            <c:numRef>
              <c:f>Sheet1!$B$2:$B$6</c:f>
              <c:numCache>
                <c:formatCode>General</c:formatCode>
                <c:ptCount val="5"/>
                <c:pt idx="0">
                  <c:v>572.01</c:v>
                </c:pt>
                <c:pt idx="1">
                  <c:v>0.56</c:v>
                </c:pt>
                <c:pt idx="2">
                  <c:v>83.77</c:v>
                </c:pt>
                <c:pt idx="3">
                  <c:v>39.08</c:v>
                </c:pt>
                <c:pt idx="4">
                  <c:v>58.14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gradFill>
                <a:gsLst>
                  <a:gs pos="0">
                    <a:srgbClr val="FE4444"/>
                  </a:gs>
                  <a:gs pos="100000">
                    <a:srgbClr val="832B2B"/>
                  </a:gs>
                </a:gsLst>
                <a:lin ang="5400000" scaled="0"/>
              </a:gradFill>
              <a:ln w="19050">
                <a:solidFill>
                  <a:schemeClr val="lt1"/>
                </a:solidFill>
              </a:ln>
              <a:effectLst/>
            </c:spPr>
          </c:dPt>
          <c:dPt>
            <c:idx val="1"/>
            <c:bubble3D val="0"/>
            <c:spPr>
              <a:solidFill>
                <a:schemeClr val="accent1"/>
              </a:solidFill>
              <a:ln w="19050">
                <a:solidFill>
                  <a:schemeClr val="lt1"/>
                </a:solidFill>
              </a:ln>
              <a:effectLst/>
            </c:spPr>
          </c:dPt>
          <c:dPt>
            <c:idx val="2"/>
            <c:bubble3D val="0"/>
            <c:spPr>
              <a:solidFill>
                <a:schemeClr val="accent3"/>
              </a:solidFill>
              <a:ln w="19050">
                <a:solidFill>
                  <a:schemeClr val="lt1"/>
                </a:solidFill>
              </a:ln>
              <a:effectLst/>
            </c:spPr>
          </c:dPt>
          <c:dLbls>
            <c:dLbl>
              <c:idx val="2"/>
              <c:layout>
                <c:manualLayout>
                  <c:x val="-0.0703521624491327"/>
                  <c:y val="0.005202266206235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39115B-9A0F-4A57-A6A7-2DBD8E29416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1680</Words>
  <Characters>9581</Characters>
  <Lines>79</Lines>
  <Paragraphs>22</Paragraphs>
  <TotalTime>11</TotalTime>
  <ScaleCrop>false</ScaleCrop>
  <LinksUpToDate>false</LinksUpToDate>
  <CharactersWithSpaces>11239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2020-09-29T10:36:00Z</cp:lastPrinted>
  <dcterms:modified xsi:type="dcterms:W3CDTF">2021-09-27T08:27:07Z</dcterms:modified>
  <dc:title>四川省***</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