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黑体" w:hAnsi="黑体" w:eastAsia="黑体"/>
          <w:color w:val="000000"/>
          <w:sz w:val="72"/>
          <w:szCs w:val="72"/>
        </w:rPr>
      </w:pPr>
      <w:bookmarkStart w:id="0" w:name="_Toc1811"/>
      <w:bookmarkStart w:id="1" w:name="_Toc32124"/>
      <w:bookmarkStart w:id="2" w:name="_Toc15538"/>
    </w:p>
    <w:p>
      <w:pPr>
        <w:adjustRightInd w:val="0"/>
        <w:snapToGrid w:val="0"/>
        <w:spacing w:line="360" w:lineRule="auto"/>
        <w:jc w:val="center"/>
        <w:rPr>
          <w:rFonts w:ascii="黑体" w:hAnsi="黑体" w:eastAsia="黑体"/>
          <w:color w:val="000000"/>
          <w:sz w:val="72"/>
          <w:szCs w:val="72"/>
        </w:rPr>
      </w:pPr>
    </w:p>
    <w:p>
      <w:pPr>
        <w:adjustRightInd w:val="0"/>
        <w:snapToGrid w:val="0"/>
        <w:spacing w:line="360" w:lineRule="auto"/>
        <w:jc w:val="center"/>
        <w:rPr>
          <w:rFonts w:ascii="黑体" w:hAnsi="黑体" w:eastAsia="黑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3" w:name="_Toc13564"/>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0"/>
      <w:bookmarkEnd w:id="1"/>
      <w:bookmarkEnd w:id="2"/>
      <w:bookmarkEnd w:id="3"/>
      <w:bookmarkStart w:id="4" w:name="_Toc20266"/>
      <w:bookmarkStart w:id="5" w:name="_Toc28892"/>
      <w:bookmarkStart w:id="6" w:name="_Toc15964"/>
      <w:bookmarkStart w:id="7" w:name="_Toc15396598"/>
      <w:bookmarkStart w:id="8" w:name="_Toc15378442"/>
      <w:bookmarkStart w:id="9" w:name="_Toc15377194"/>
      <w:bookmarkStart w:id="10" w:name="_Toc15306268"/>
      <w:bookmarkStart w:id="11" w:name="_Toc15396476"/>
      <w:bookmarkStart w:id="12" w:name="_Toc15377426"/>
    </w:p>
    <w:p>
      <w:pPr>
        <w:adjustRightInd w:val="0"/>
        <w:snapToGrid w:val="0"/>
        <w:spacing w:line="360" w:lineRule="auto"/>
        <w:jc w:val="center"/>
        <w:outlineLvl w:val="0"/>
        <w:rPr>
          <w:rFonts w:ascii="方正小标宋简体" w:hAnsi="宋体" w:eastAsia="方正小标宋简体"/>
          <w:color w:val="000000"/>
          <w:sz w:val="72"/>
          <w:szCs w:val="72"/>
        </w:rPr>
      </w:pPr>
      <w:bookmarkStart w:id="13" w:name="_Toc2103"/>
      <w:r>
        <w:rPr>
          <w:rFonts w:hint="eastAsia" w:ascii="方正小标宋简体" w:hAnsi="宋体" w:eastAsia="方正小标宋简体"/>
          <w:color w:val="000000"/>
          <w:sz w:val="72"/>
          <w:szCs w:val="72"/>
        </w:rPr>
        <w:t>金川县</w:t>
      </w:r>
      <w:bookmarkEnd w:id="4"/>
      <w:bookmarkEnd w:id="5"/>
      <w:bookmarkStart w:id="14" w:name="_Toc16040"/>
      <w:bookmarkStart w:id="15" w:name="_Toc32513"/>
      <w:r>
        <w:rPr>
          <w:rFonts w:hint="eastAsia" w:ascii="方正小标宋简体" w:hAnsi="宋体" w:eastAsia="方正小标宋简体"/>
          <w:color w:val="000000"/>
          <w:sz w:val="72"/>
          <w:szCs w:val="72"/>
        </w:rPr>
        <w:t>人民政府办　　　部门决算</w:t>
      </w:r>
      <w:bookmarkEnd w:id="6"/>
      <w:bookmarkEnd w:id="7"/>
      <w:bookmarkEnd w:id="8"/>
      <w:bookmarkEnd w:id="9"/>
      <w:bookmarkEnd w:id="10"/>
      <w:bookmarkEnd w:id="11"/>
      <w:bookmarkEnd w:id="12"/>
      <w:bookmarkEnd w:id="13"/>
      <w:bookmarkEnd w:id="14"/>
      <w:bookmarkEnd w:id="15"/>
    </w:p>
    <w:p/>
    <w:p>
      <w:pPr>
        <w:pStyle w:val="6"/>
        <w:tabs>
          <w:tab w:val="right" w:leader="middleDot" w:pos="8306"/>
          <w:tab w:val="clear" w:pos="8296"/>
        </w:tabs>
        <w:jc w:val="both"/>
        <w:rPr>
          <w:rFonts w:ascii="方正小标宋简体" w:hAnsi="宋体" w:eastAsia="方正小标宋简体"/>
          <w:color w:val="000000"/>
          <w:sz w:val="36"/>
          <w:szCs w:val="36"/>
        </w:rPr>
      </w:pPr>
    </w:p>
    <w:p/>
    <w:p/>
    <w:p/>
    <w:p/>
    <w:p/>
    <w:p/>
    <w:p/>
    <w:p/>
    <w:p/>
    <w:p/>
    <w:p>
      <w:pPr>
        <w:rPr>
          <w:rFonts w:ascii="仿宋_GB2312" w:eastAsia="仿宋_GB2312"/>
          <w:bCs/>
          <w:color w:val="000000"/>
          <w:kern w:val="0"/>
          <w:sz w:val="32"/>
          <w:szCs w:val="32"/>
        </w:rPr>
      </w:pPr>
    </w:p>
    <w:p>
      <w:pPr>
        <w:rPr>
          <w:rFonts w:ascii="仿宋_GB2312" w:eastAsia="仿宋_GB2312"/>
          <w:bCs/>
          <w:color w:val="000000"/>
          <w:kern w:val="0"/>
          <w:sz w:val="32"/>
          <w:szCs w:val="32"/>
        </w:rPr>
      </w:pPr>
    </w:p>
    <w:sdt>
      <w:sdtPr>
        <w:rPr>
          <w:rFonts w:ascii="宋体" w:hAnsi="宋体" w:eastAsia="宋体"/>
        </w:rPr>
        <w:id w:val="147471186"/>
        <w:docPartObj>
          <w:docPartGallery w:val="Table of Contents"/>
          <w:docPartUnique/>
        </w:docPartObj>
      </w:sdtPr>
      <w:sdtEndPr>
        <w:rPr>
          <w:rFonts w:hint="eastAsia" w:ascii="仿宋_GB2312" w:eastAsia="仿宋_GB2312" w:hAnsiTheme="minorHAnsi"/>
          <w:bCs/>
          <w:color w:val="000000"/>
          <w:kern w:val="0"/>
          <w:szCs w:val="32"/>
        </w:rPr>
      </w:sdtEndPr>
      <w:sdtContent>
        <w:p>
          <w:pPr>
            <w:jc w:val="center"/>
            <w:rPr>
              <w:sz w:val="32"/>
              <w:szCs w:val="32"/>
            </w:rPr>
          </w:pPr>
          <w:r>
            <w:rPr>
              <w:rFonts w:ascii="宋体" w:hAnsi="宋体" w:eastAsia="宋体"/>
              <w:sz w:val="32"/>
              <w:szCs w:val="32"/>
            </w:rPr>
            <w:t>目</w:t>
          </w:r>
          <w:r>
            <w:rPr>
              <w:rFonts w:hint="eastAsia" w:ascii="宋体" w:hAnsi="宋体" w:eastAsia="宋体"/>
              <w:sz w:val="32"/>
              <w:szCs w:val="32"/>
            </w:rPr>
            <w:t xml:space="preserve">    </w:t>
          </w:r>
          <w:r>
            <w:rPr>
              <w:rFonts w:ascii="宋体" w:hAnsi="宋体" w:eastAsia="宋体"/>
              <w:sz w:val="32"/>
              <w:szCs w:val="32"/>
            </w:rPr>
            <w:t>录</w:t>
          </w:r>
        </w:p>
        <w:p>
          <w:pPr>
            <w:pStyle w:val="6"/>
            <w:tabs>
              <w:tab w:val="right" w:leader="dot" w:pos="8306"/>
              <w:tab w:val="clear" w:pos="8296"/>
            </w:tabs>
          </w:pPr>
          <w:r>
            <w:rPr>
              <w:rFonts w:hint="eastAsia" w:ascii="仿宋_GB2312" w:eastAsia="仿宋_GB2312"/>
              <w:bCs/>
              <w:color w:val="000000"/>
              <w:kern w:val="0"/>
              <w:sz w:val="32"/>
              <w:szCs w:val="32"/>
            </w:rPr>
            <w:fldChar w:fldCharType="begin"/>
          </w:r>
          <w:r>
            <w:rPr>
              <w:rFonts w:hint="eastAsia" w:ascii="仿宋_GB2312" w:eastAsia="仿宋_GB2312"/>
              <w:bCs/>
              <w:color w:val="000000"/>
              <w:kern w:val="0"/>
              <w:sz w:val="32"/>
              <w:szCs w:val="32"/>
            </w:rPr>
            <w:instrText xml:space="preserve">TOC \o "1-1" \h \u </w:instrText>
          </w:r>
          <w:r>
            <w:rPr>
              <w:rFonts w:hint="eastAsia" w:ascii="仿宋_GB2312" w:eastAsia="仿宋_GB2312"/>
              <w:bCs/>
              <w:color w:val="000000"/>
              <w:kern w:val="0"/>
              <w:sz w:val="32"/>
              <w:szCs w:val="32"/>
            </w:rPr>
            <w:fldChar w:fldCharType="separate"/>
          </w:r>
        </w:p>
        <w:p>
          <w:pPr>
            <w:pStyle w:val="6"/>
            <w:tabs>
              <w:tab w:val="right" w:leader="dot" w:pos="8306"/>
              <w:tab w:val="clear" w:pos="8296"/>
            </w:tabs>
          </w:pPr>
          <w:r>
            <w:fldChar w:fldCharType="begin"/>
          </w:r>
          <w:r>
            <w:instrText xml:space="preserve"> HYPERLINK \l "_Toc12480" </w:instrText>
          </w:r>
          <w:r>
            <w:fldChar w:fldCharType="separate"/>
          </w:r>
          <w:r>
            <w:rPr>
              <w:rFonts w:hint="eastAsia" w:ascii="仿宋_GB2312" w:eastAsia="仿宋_GB2312"/>
              <w:bCs/>
              <w:kern w:val="0"/>
              <w:szCs w:val="32"/>
            </w:rPr>
            <w:t>一、基本职能及主要工作</w:t>
          </w:r>
          <w:r>
            <w:tab/>
          </w:r>
          <w:r>
            <w:fldChar w:fldCharType="begin"/>
          </w:r>
          <w:r>
            <w:instrText xml:space="preserve"> PAGEREF _Toc12480 \h </w:instrText>
          </w:r>
          <w:r>
            <w:fldChar w:fldCharType="separate"/>
          </w:r>
          <w:r>
            <w:t>3</w:t>
          </w:r>
          <w:r>
            <w:fldChar w:fldCharType="end"/>
          </w:r>
          <w:r>
            <w:fldChar w:fldCharType="end"/>
          </w:r>
        </w:p>
        <w:p>
          <w:pPr>
            <w:pStyle w:val="6"/>
            <w:tabs>
              <w:tab w:val="right" w:leader="dot" w:pos="8306"/>
              <w:tab w:val="clear" w:pos="8296"/>
            </w:tabs>
          </w:pPr>
          <w:r>
            <w:fldChar w:fldCharType="begin"/>
          </w:r>
          <w:r>
            <w:instrText xml:space="preserve"> HYPERLINK \l "_Toc15142" </w:instrText>
          </w:r>
          <w:r>
            <w:fldChar w:fldCharType="separate"/>
          </w:r>
          <w:r>
            <w:rPr>
              <w:rFonts w:ascii="仿宋_GB2312" w:eastAsia="仿宋_GB2312"/>
              <w:bCs/>
              <w:kern w:val="0"/>
              <w:szCs w:val="32"/>
            </w:rPr>
            <w:t xml:space="preserve">二、 </w:t>
          </w:r>
          <w:r>
            <w:rPr>
              <w:rFonts w:hint="eastAsia" w:ascii="仿宋_GB2312" w:eastAsia="仿宋_GB2312"/>
              <w:bCs/>
              <w:kern w:val="0"/>
              <w:szCs w:val="32"/>
            </w:rPr>
            <w:t>部门概况</w:t>
          </w:r>
          <w:r>
            <w:tab/>
          </w:r>
          <w:r>
            <w:fldChar w:fldCharType="begin"/>
          </w:r>
          <w:r>
            <w:instrText xml:space="preserve"> PAGEREF _Toc15142 \h </w:instrText>
          </w:r>
          <w:r>
            <w:fldChar w:fldCharType="separate"/>
          </w:r>
          <w:r>
            <w:t>5</w:t>
          </w:r>
          <w:r>
            <w:fldChar w:fldCharType="end"/>
          </w:r>
          <w:r>
            <w:fldChar w:fldCharType="end"/>
          </w:r>
        </w:p>
        <w:p>
          <w:pPr>
            <w:pStyle w:val="6"/>
            <w:tabs>
              <w:tab w:val="right" w:leader="dot" w:pos="8306"/>
              <w:tab w:val="clear" w:pos="8296"/>
            </w:tabs>
          </w:pPr>
          <w:r>
            <w:fldChar w:fldCharType="begin"/>
          </w:r>
          <w:r>
            <w:instrText xml:space="preserve"> HYPERLINK \l "_Toc4068" </w:instrText>
          </w:r>
          <w:r>
            <w:fldChar w:fldCharType="separate"/>
          </w:r>
          <w:r>
            <w:rPr>
              <w:rFonts w:hint="eastAsia" w:ascii="仿宋_GB2312" w:eastAsia="仿宋_GB2312"/>
              <w:bCs/>
              <w:kern w:val="0"/>
              <w:szCs w:val="32"/>
            </w:rPr>
            <w:t>三、收支决算总体情况说明</w:t>
          </w:r>
          <w:r>
            <w:tab/>
          </w:r>
          <w:r>
            <w:fldChar w:fldCharType="begin"/>
          </w:r>
          <w:r>
            <w:instrText xml:space="preserve"> PAGEREF _Toc4068 \h </w:instrText>
          </w:r>
          <w:r>
            <w:fldChar w:fldCharType="separate"/>
          </w:r>
          <w:r>
            <w:t>6</w:t>
          </w:r>
          <w:r>
            <w:fldChar w:fldCharType="end"/>
          </w:r>
          <w:r>
            <w:fldChar w:fldCharType="end"/>
          </w:r>
        </w:p>
        <w:p>
          <w:pPr>
            <w:pStyle w:val="6"/>
            <w:tabs>
              <w:tab w:val="right" w:leader="dot" w:pos="8306"/>
              <w:tab w:val="clear" w:pos="8296"/>
            </w:tabs>
          </w:pPr>
          <w:r>
            <w:fldChar w:fldCharType="begin"/>
          </w:r>
          <w:r>
            <w:instrText xml:space="preserve"> HYPERLINK \l "_Toc30212" </w:instrText>
          </w:r>
          <w:r>
            <w:fldChar w:fldCharType="separate"/>
          </w:r>
          <w:r>
            <w:rPr>
              <w:rFonts w:hint="eastAsia" w:ascii="仿宋_GB2312" w:eastAsia="仿宋_GB2312"/>
              <w:bCs/>
              <w:kern w:val="0"/>
              <w:szCs w:val="32"/>
            </w:rPr>
            <w:t>四、财政拨款收入支出决算总体情况说明</w:t>
          </w:r>
          <w:r>
            <w:tab/>
          </w:r>
          <w:r>
            <w:fldChar w:fldCharType="begin"/>
          </w:r>
          <w:r>
            <w:instrText xml:space="preserve"> PAGEREF _Toc30212 \h </w:instrText>
          </w:r>
          <w:r>
            <w:fldChar w:fldCharType="separate"/>
          </w:r>
          <w:r>
            <w:t>6</w:t>
          </w:r>
          <w:r>
            <w:fldChar w:fldCharType="end"/>
          </w:r>
          <w:r>
            <w:fldChar w:fldCharType="end"/>
          </w:r>
        </w:p>
        <w:p>
          <w:pPr>
            <w:pStyle w:val="6"/>
            <w:tabs>
              <w:tab w:val="right" w:leader="dot" w:pos="8306"/>
              <w:tab w:val="clear" w:pos="8296"/>
            </w:tabs>
          </w:pPr>
          <w:r>
            <w:fldChar w:fldCharType="begin"/>
          </w:r>
          <w:r>
            <w:instrText xml:space="preserve"> HYPERLINK \l "_Toc5641" </w:instrText>
          </w:r>
          <w:r>
            <w:fldChar w:fldCharType="separate"/>
          </w:r>
          <w:r>
            <w:rPr>
              <w:rFonts w:hint="eastAsia" w:ascii="仿宋_GB2312" w:eastAsia="仿宋_GB2312"/>
              <w:bCs/>
              <w:kern w:val="0"/>
              <w:szCs w:val="32"/>
            </w:rPr>
            <w:t>五、一般公共预算财政拨款支出决算情况</w:t>
          </w:r>
          <w:r>
            <w:tab/>
          </w:r>
          <w:r>
            <w:fldChar w:fldCharType="begin"/>
          </w:r>
          <w:r>
            <w:instrText xml:space="preserve"> PAGEREF _Toc5641 \h </w:instrText>
          </w:r>
          <w:r>
            <w:fldChar w:fldCharType="separate"/>
          </w:r>
          <w:r>
            <w:t>7</w:t>
          </w:r>
          <w:r>
            <w:fldChar w:fldCharType="end"/>
          </w:r>
          <w:r>
            <w:fldChar w:fldCharType="end"/>
          </w:r>
        </w:p>
        <w:p>
          <w:pPr>
            <w:pStyle w:val="6"/>
            <w:tabs>
              <w:tab w:val="right" w:leader="dot" w:pos="8306"/>
              <w:tab w:val="clear" w:pos="8296"/>
            </w:tabs>
          </w:pPr>
          <w:r>
            <w:fldChar w:fldCharType="begin"/>
          </w:r>
          <w:r>
            <w:instrText xml:space="preserve"> HYPERLINK \l "_Toc125" </w:instrText>
          </w:r>
          <w:r>
            <w:fldChar w:fldCharType="separate"/>
          </w:r>
          <w:r>
            <w:rPr>
              <w:rFonts w:hint="eastAsia" w:ascii="仿宋_GB2312" w:eastAsia="仿宋_GB2312"/>
              <w:bCs/>
              <w:kern w:val="0"/>
              <w:szCs w:val="32"/>
            </w:rPr>
            <w:t>六、一般公共预算财政拨款基本支出决算情况说明</w:t>
          </w:r>
          <w:r>
            <w:tab/>
          </w:r>
          <w:r>
            <w:fldChar w:fldCharType="begin"/>
          </w:r>
          <w:r>
            <w:instrText xml:space="preserve"> PAGEREF _Toc125 \h </w:instrText>
          </w:r>
          <w:r>
            <w:fldChar w:fldCharType="separate"/>
          </w:r>
          <w:r>
            <w:t>9</w:t>
          </w:r>
          <w:r>
            <w:fldChar w:fldCharType="end"/>
          </w:r>
          <w:r>
            <w:fldChar w:fldCharType="end"/>
          </w:r>
        </w:p>
        <w:p>
          <w:pPr>
            <w:pStyle w:val="6"/>
            <w:tabs>
              <w:tab w:val="right" w:leader="dot" w:pos="8306"/>
              <w:tab w:val="clear" w:pos="8296"/>
            </w:tabs>
          </w:pPr>
          <w:r>
            <w:fldChar w:fldCharType="begin"/>
          </w:r>
          <w:r>
            <w:instrText xml:space="preserve"> HYPERLINK \l "_Toc23689" </w:instrText>
          </w:r>
          <w:r>
            <w:fldChar w:fldCharType="separate"/>
          </w:r>
          <w:r>
            <w:rPr>
              <w:rFonts w:hint="eastAsia" w:ascii="仿宋_GB2312" w:eastAsia="仿宋_GB2312"/>
              <w:bCs/>
              <w:kern w:val="0"/>
              <w:szCs w:val="32"/>
            </w:rPr>
            <w:t>七、“三公”经费财政拨款支出决算情况说明</w:t>
          </w:r>
          <w:r>
            <w:tab/>
          </w:r>
          <w:r>
            <w:fldChar w:fldCharType="begin"/>
          </w:r>
          <w:r>
            <w:instrText xml:space="preserve"> PAGEREF _Toc23689 \h </w:instrText>
          </w:r>
          <w:r>
            <w:fldChar w:fldCharType="separate"/>
          </w:r>
          <w:r>
            <w:t>10</w:t>
          </w:r>
          <w:r>
            <w:fldChar w:fldCharType="end"/>
          </w:r>
          <w:r>
            <w:fldChar w:fldCharType="end"/>
          </w:r>
        </w:p>
        <w:p>
          <w:pPr>
            <w:pStyle w:val="6"/>
            <w:tabs>
              <w:tab w:val="right" w:leader="dot" w:pos="8306"/>
              <w:tab w:val="clear" w:pos="8296"/>
            </w:tabs>
          </w:pPr>
          <w:r>
            <w:fldChar w:fldCharType="begin"/>
          </w:r>
          <w:r>
            <w:instrText xml:space="preserve"> HYPERLINK \l "_Toc17752" </w:instrText>
          </w:r>
          <w:r>
            <w:fldChar w:fldCharType="separate"/>
          </w:r>
          <w:r>
            <w:rPr>
              <w:rFonts w:hint="eastAsia" w:ascii="仿宋_GB2312" w:eastAsia="仿宋_GB2312"/>
              <w:bCs/>
              <w:kern w:val="0"/>
              <w:szCs w:val="32"/>
            </w:rPr>
            <w:t>八、政府性基金预算支出决算情况说明</w:t>
          </w:r>
          <w:r>
            <w:tab/>
          </w:r>
          <w:r>
            <w:fldChar w:fldCharType="begin"/>
          </w:r>
          <w:r>
            <w:instrText xml:space="preserve"> PAGEREF _Toc17752 \h </w:instrText>
          </w:r>
          <w:r>
            <w:fldChar w:fldCharType="separate"/>
          </w:r>
          <w:r>
            <w:t>11</w:t>
          </w:r>
          <w:r>
            <w:fldChar w:fldCharType="end"/>
          </w:r>
          <w:r>
            <w:fldChar w:fldCharType="end"/>
          </w:r>
        </w:p>
        <w:p>
          <w:pPr>
            <w:pStyle w:val="6"/>
            <w:tabs>
              <w:tab w:val="right" w:leader="dot" w:pos="8306"/>
              <w:tab w:val="clear" w:pos="8296"/>
            </w:tabs>
          </w:pPr>
          <w:r>
            <w:fldChar w:fldCharType="begin"/>
          </w:r>
          <w:r>
            <w:instrText xml:space="preserve"> HYPERLINK \l "_Toc26245" </w:instrText>
          </w:r>
          <w:r>
            <w:fldChar w:fldCharType="separate"/>
          </w:r>
          <w:r>
            <w:rPr>
              <w:rFonts w:hint="eastAsia" w:ascii="仿宋_GB2312" w:eastAsia="仿宋_GB2312"/>
              <w:bCs/>
              <w:kern w:val="0"/>
              <w:szCs w:val="32"/>
            </w:rPr>
            <w:t>九、国有资本经营预算支出决算情况说明</w:t>
          </w:r>
          <w:r>
            <w:tab/>
          </w:r>
          <w:r>
            <w:fldChar w:fldCharType="begin"/>
          </w:r>
          <w:r>
            <w:instrText xml:space="preserve"> PAGEREF _Toc26245 \h </w:instrText>
          </w:r>
          <w:r>
            <w:fldChar w:fldCharType="separate"/>
          </w:r>
          <w:r>
            <w:t>12</w:t>
          </w:r>
          <w:r>
            <w:fldChar w:fldCharType="end"/>
          </w:r>
          <w:r>
            <w:fldChar w:fldCharType="end"/>
          </w:r>
        </w:p>
        <w:p>
          <w:pPr>
            <w:pStyle w:val="6"/>
            <w:tabs>
              <w:tab w:val="right" w:leader="dot" w:pos="8306"/>
              <w:tab w:val="clear" w:pos="8296"/>
            </w:tabs>
          </w:pPr>
          <w:r>
            <w:fldChar w:fldCharType="begin"/>
          </w:r>
          <w:r>
            <w:instrText xml:space="preserve"> HYPERLINK \l "_Toc14561" </w:instrText>
          </w:r>
          <w:r>
            <w:fldChar w:fldCharType="separate"/>
          </w:r>
          <w:r>
            <w:rPr>
              <w:rFonts w:hint="eastAsia" w:ascii="仿宋_GB2312" w:eastAsia="仿宋_GB2312"/>
              <w:bCs/>
              <w:kern w:val="0"/>
              <w:szCs w:val="32"/>
            </w:rPr>
            <w:t>十、其他重要事项的情况说明</w:t>
          </w:r>
          <w:r>
            <w:tab/>
          </w:r>
          <w:r>
            <w:fldChar w:fldCharType="begin"/>
          </w:r>
          <w:r>
            <w:instrText xml:space="preserve"> PAGEREF _Toc14561 \h </w:instrText>
          </w:r>
          <w:r>
            <w:fldChar w:fldCharType="separate"/>
          </w:r>
          <w:r>
            <w:t>12</w:t>
          </w:r>
          <w:r>
            <w:fldChar w:fldCharType="end"/>
          </w:r>
          <w:r>
            <w:fldChar w:fldCharType="end"/>
          </w:r>
        </w:p>
        <w:p>
          <w:pPr>
            <w:pStyle w:val="6"/>
            <w:tabs>
              <w:tab w:val="right" w:leader="dot" w:pos="8306"/>
              <w:tab w:val="clear" w:pos="8296"/>
            </w:tabs>
          </w:pPr>
          <w:r>
            <w:fldChar w:fldCharType="begin"/>
          </w:r>
          <w:r>
            <w:instrText xml:space="preserve"> HYPERLINK \l "_Toc1562" </w:instrText>
          </w:r>
          <w:r>
            <w:fldChar w:fldCharType="separate"/>
          </w:r>
          <w:r>
            <w:rPr>
              <w:rFonts w:hint="eastAsia" w:ascii="仿宋_GB2312" w:eastAsia="仿宋_GB2312"/>
              <w:bCs/>
              <w:kern w:val="0"/>
              <w:szCs w:val="32"/>
            </w:rPr>
            <w:t>十一、名词解释</w:t>
          </w:r>
          <w:r>
            <w:tab/>
          </w:r>
          <w:r>
            <w:fldChar w:fldCharType="begin"/>
          </w:r>
          <w:r>
            <w:instrText xml:space="preserve"> PAGEREF _Toc1562 \h </w:instrText>
          </w:r>
          <w:r>
            <w:fldChar w:fldCharType="separate"/>
          </w:r>
          <w:r>
            <w:t>13</w:t>
          </w:r>
          <w:r>
            <w:fldChar w:fldCharType="end"/>
          </w:r>
          <w:r>
            <w:fldChar w:fldCharType="end"/>
          </w:r>
        </w:p>
        <w:p>
          <w:pPr>
            <w:rPr>
              <w:rFonts w:ascii="仿宋_GB2312" w:eastAsia="仿宋_GB2312"/>
              <w:bCs/>
              <w:color w:val="000000"/>
              <w:kern w:val="0"/>
              <w:szCs w:val="32"/>
            </w:rPr>
            <w:sectPr>
              <w:pgSz w:w="11906" w:h="16838"/>
              <w:pgMar w:top="1440" w:right="1800" w:bottom="1440" w:left="1800" w:header="851" w:footer="992" w:gutter="0"/>
              <w:cols w:space="425" w:num="1"/>
              <w:docGrid w:type="lines" w:linePitch="312" w:charSpace="0"/>
            </w:sectPr>
          </w:pPr>
          <w:r>
            <w:rPr>
              <w:rFonts w:hint="eastAsia" w:ascii="仿宋_GB2312" w:eastAsia="仿宋_GB2312"/>
              <w:bCs/>
              <w:color w:val="000000"/>
              <w:kern w:val="0"/>
              <w:szCs w:val="32"/>
            </w:rPr>
            <w:fldChar w:fldCharType="end"/>
          </w:r>
        </w:p>
      </w:sdtContent>
    </w:sdt>
    <w:p>
      <w:pPr>
        <w:rPr>
          <w:rFonts w:ascii="仿宋_GB2312" w:eastAsia="仿宋_GB2312"/>
          <w:bCs/>
          <w:color w:val="000000"/>
          <w:kern w:val="0"/>
          <w:szCs w:val="32"/>
        </w:rPr>
      </w:pPr>
    </w:p>
    <w:p>
      <w:pPr>
        <w:outlineLvl w:val="0"/>
        <w:rPr>
          <w:rFonts w:ascii="仿宋_GB2312" w:eastAsia="仿宋_GB2312"/>
          <w:bCs/>
          <w:color w:val="000000"/>
          <w:kern w:val="0"/>
          <w:sz w:val="32"/>
          <w:szCs w:val="32"/>
        </w:rPr>
      </w:pPr>
      <w:bookmarkStart w:id="16" w:name="_Toc12480"/>
      <w:r>
        <w:rPr>
          <w:rFonts w:hint="eastAsia" w:ascii="仿宋_GB2312" w:eastAsia="仿宋_GB2312"/>
          <w:bCs/>
          <w:color w:val="000000"/>
          <w:kern w:val="0"/>
          <w:sz w:val="32"/>
          <w:szCs w:val="32"/>
        </w:rPr>
        <w:t>一、基本职能及主要工作</w:t>
      </w:r>
      <w:bookmarkEnd w:id="16"/>
    </w:p>
    <w:p>
      <w:pPr>
        <w:pStyle w:val="2"/>
        <w:numPr>
          <w:ilvl w:val="0"/>
          <w:numId w:val="1"/>
        </w:numPr>
        <w:adjustRightInd w:val="0"/>
        <w:snapToGrid w:val="0"/>
        <w:spacing w:before="93" w:line="600" w:lineRule="exact"/>
        <w:ind w:firstLine="672" w:firstLineChars="210"/>
        <w:rPr>
          <w:bCs/>
          <w:color w:val="000000"/>
          <w:sz w:val="32"/>
          <w:szCs w:val="32"/>
        </w:rPr>
      </w:pPr>
      <w:r>
        <w:rPr>
          <w:rFonts w:hint="eastAsia"/>
          <w:bCs/>
          <w:color w:val="000000"/>
          <w:sz w:val="32"/>
          <w:szCs w:val="32"/>
        </w:rPr>
        <w:t>主要职能。</w:t>
      </w:r>
    </w:p>
    <w:p>
      <w:pPr>
        <w:pStyle w:val="2"/>
        <w:adjustRightInd w:val="0"/>
        <w:snapToGrid w:val="0"/>
        <w:spacing w:before="93" w:line="600" w:lineRule="exact"/>
        <w:ind w:firstLine="640" w:firstLineChars="200"/>
        <w:rPr>
          <w:bCs/>
          <w:color w:val="000000"/>
          <w:sz w:val="32"/>
          <w:szCs w:val="32"/>
        </w:rPr>
      </w:pPr>
      <w:r>
        <w:rPr>
          <w:rFonts w:hint="eastAsia"/>
          <w:bCs/>
          <w:color w:val="000000"/>
          <w:sz w:val="32"/>
          <w:szCs w:val="32"/>
        </w:rPr>
        <w:t>（</w:t>
      </w:r>
      <w:r>
        <w:rPr>
          <w:bCs/>
          <w:color w:val="000000"/>
          <w:sz w:val="32"/>
          <w:szCs w:val="32"/>
        </w:rPr>
        <w:t>1</w:t>
      </w:r>
      <w:r>
        <w:rPr>
          <w:rFonts w:hint="eastAsia"/>
          <w:bCs/>
          <w:color w:val="000000"/>
          <w:sz w:val="32"/>
          <w:szCs w:val="32"/>
        </w:rPr>
        <w:t>）协助县政府领导同志组织起草或审核以县政府、县人民政府</w:t>
      </w:r>
      <w:r>
        <w:rPr>
          <w:rFonts w:hint="eastAsia"/>
          <w:bCs/>
          <w:color w:val="000000"/>
          <w:sz w:val="32"/>
          <w:szCs w:val="32"/>
          <w:lang w:eastAsia="zh-CN"/>
        </w:rPr>
        <w:t>办</w:t>
      </w:r>
      <w:r>
        <w:rPr>
          <w:rFonts w:hint="eastAsia"/>
          <w:bCs/>
          <w:color w:val="000000"/>
          <w:sz w:val="32"/>
          <w:szCs w:val="32"/>
        </w:rPr>
        <w:t>公室名义发布的公文。办理州政府、县人民政府</w:t>
      </w:r>
      <w:r>
        <w:rPr>
          <w:rFonts w:hint="eastAsia"/>
          <w:bCs/>
          <w:color w:val="000000"/>
          <w:sz w:val="32"/>
          <w:szCs w:val="32"/>
          <w:lang w:eastAsia="zh-CN"/>
        </w:rPr>
        <w:t>办</w:t>
      </w:r>
      <w:r>
        <w:rPr>
          <w:rFonts w:hint="eastAsia"/>
          <w:bCs/>
          <w:color w:val="000000"/>
          <w:sz w:val="32"/>
          <w:szCs w:val="32"/>
        </w:rPr>
        <w:t>公室及各部委局发送县政府的文电。指导全县行政机关公文处理工作。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2</w:t>
      </w:r>
      <w:r>
        <w:rPr>
          <w:rFonts w:hint="eastAsia"/>
          <w:bCs/>
          <w:color w:val="000000"/>
          <w:sz w:val="32"/>
          <w:szCs w:val="32"/>
        </w:rPr>
        <w:t>）研究县政府部门和各乡镇人民政府请示县政府事项，提出审核意见，报县政府领导同志审批。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3</w:t>
      </w:r>
      <w:r>
        <w:rPr>
          <w:rFonts w:hint="eastAsia"/>
          <w:bCs/>
          <w:color w:val="000000"/>
          <w:sz w:val="32"/>
          <w:szCs w:val="32"/>
        </w:rPr>
        <w:t>）负责县政府会议准备工作，协助县政府领导组织实施会议决定事项。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4</w:t>
      </w:r>
      <w:r>
        <w:rPr>
          <w:rFonts w:hint="eastAsia"/>
          <w:bCs/>
          <w:color w:val="000000"/>
          <w:sz w:val="32"/>
          <w:szCs w:val="32"/>
        </w:rPr>
        <w:t>）根据县政府领导同志的指示，对县政府部门间争议问题提出处理意见和建议，报县政府领导同志决定。</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5</w:t>
      </w:r>
      <w:r>
        <w:rPr>
          <w:rFonts w:hint="eastAsia"/>
          <w:bCs/>
          <w:color w:val="000000"/>
          <w:sz w:val="32"/>
          <w:szCs w:val="32"/>
        </w:rPr>
        <w:t>）督促检查县政府各部门和各乡镇人民政府对县政府决定事项及县政府领导同志指示的贯彻落实情况，及时向县政府领导同志报告。</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6</w:t>
      </w:r>
      <w:r>
        <w:rPr>
          <w:rFonts w:hint="eastAsia"/>
          <w:bCs/>
          <w:color w:val="000000"/>
          <w:sz w:val="32"/>
          <w:szCs w:val="32"/>
        </w:rPr>
        <w:t>）负责县政府值班工作，指导乡镇人民政府和县政府部门值班工作，及时报告重要情况。</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7</w:t>
      </w:r>
      <w:r>
        <w:rPr>
          <w:rFonts w:hint="eastAsia"/>
          <w:bCs/>
          <w:color w:val="000000"/>
          <w:sz w:val="32"/>
          <w:szCs w:val="32"/>
        </w:rPr>
        <w:t>）指导、监督全县政府信息公开工作和机关行政效能建设工作，指导、监督全县政府系统电子政务工作和政府网站建设。</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8</w:t>
      </w:r>
      <w:r>
        <w:rPr>
          <w:rFonts w:hint="eastAsia"/>
          <w:bCs/>
          <w:color w:val="000000"/>
          <w:sz w:val="32"/>
          <w:szCs w:val="32"/>
        </w:rPr>
        <w:t>）组织办理涉及县政府工作的人大代表议案、批评、建议和政协委员提案、建议案工作。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9</w:t>
      </w:r>
      <w:r>
        <w:rPr>
          <w:rFonts w:hint="eastAsia"/>
          <w:bCs/>
          <w:color w:val="000000"/>
          <w:sz w:val="32"/>
          <w:szCs w:val="32"/>
        </w:rPr>
        <w:t>）指导全县应急管理工作，协助县政府领导同志做好需由县政府组织处理的突发事件的应急处置工作。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10</w:t>
      </w:r>
      <w:r>
        <w:rPr>
          <w:rFonts w:hint="eastAsia"/>
          <w:bCs/>
          <w:color w:val="000000"/>
          <w:sz w:val="32"/>
          <w:szCs w:val="32"/>
        </w:rPr>
        <w:t>）围绕县政府中心工作和县政府领导同志的指示，组织专题调查研究，及时反映情况，提出政策性建议。</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11</w:t>
      </w:r>
      <w:r>
        <w:rPr>
          <w:rFonts w:hint="eastAsia"/>
          <w:bCs/>
          <w:color w:val="000000"/>
          <w:sz w:val="32"/>
          <w:szCs w:val="32"/>
        </w:rPr>
        <w:t>）指导县政务服务中心建设，组织县直部门集中开展行政审批和公共服务。</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12</w:t>
      </w:r>
      <w:r>
        <w:rPr>
          <w:rFonts w:hint="eastAsia"/>
          <w:bCs/>
          <w:color w:val="000000"/>
          <w:sz w:val="32"/>
          <w:szCs w:val="32"/>
        </w:rPr>
        <w:t>）负责县政府人民防空和民防工作。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13</w:t>
      </w:r>
      <w:r>
        <w:rPr>
          <w:rFonts w:hint="eastAsia"/>
          <w:bCs/>
          <w:color w:val="000000"/>
          <w:sz w:val="32"/>
          <w:szCs w:val="32"/>
        </w:rPr>
        <w:t>）负责全县机关事业单位小汽车编制审批事项。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14</w:t>
      </w:r>
      <w:r>
        <w:rPr>
          <w:rFonts w:hint="eastAsia"/>
          <w:bCs/>
          <w:color w:val="000000"/>
          <w:sz w:val="32"/>
          <w:szCs w:val="32"/>
        </w:rPr>
        <w:t>）负责外事侨务工作。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15</w:t>
      </w:r>
      <w:r>
        <w:rPr>
          <w:rFonts w:hint="eastAsia"/>
          <w:bCs/>
          <w:color w:val="000000"/>
          <w:sz w:val="32"/>
          <w:szCs w:val="32"/>
        </w:rPr>
        <w:t>）组织实施县政府法制工作。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w:t>
      </w:r>
      <w:r>
        <w:rPr>
          <w:rFonts w:hint="eastAsia"/>
          <w:bCs/>
          <w:color w:val="000000"/>
          <w:sz w:val="32"/>
          <w:szCs w:val="32"/>
        </w:rPr>
        <w:t>6）监督和指导政府采购工作。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w:t>
      </w:r>
      <w:r>
        <w:rPr>
          <w:bCs/>
          <w:color w:val="000000"/>
          <w:sz w:val="32"/>
          <w:szCs w:val="32"/>
        </w:rPr>
        <w:t>17</w:t>
      </w:r>
      <w:r>
        <w:rPr>
          <w:rFonts w:hint="eastAsia"/>
          <w:bCs/>
          <w:color w:val="000000"/>
          <w:sz w:val="32"/>
          <w:szCs w:val="32"/>
        </w:rPr>
        <w:t>）监督、指导县人民政府驻成都办事处工作。</w:t>
      </w:r>
    </w:p>
    <w:p>
      <w:pPr>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w:t>
      </w:r>
      <w:r>
        <w:rPr>
          <w:rFonts w:ascii="仿宋_GB2312" w:eastAsia="仿宋_GB2312"/>
          <w:bCs/>
          <w:color w:val="000000"/>
          <w:kern w:val="0"/>
          <w:sz w:val="32"/>
          <w:szCs w:val="32"/>
        </w:rPr>
        <w:t>18</w:t>
      </w:r>
      <w:r>
        <w:rPr>
          <w:rFonts w:hint="eastAsia" w:ascii="仿宋_GB2312" w:eastAsia="仿宋_GB2312"/>
          <w:bCs/>
          <w:color w:val="000000"/>
          <w:kern w:val="0"/>
          <w:sz w:val="32"/>
          <w:szCs w:val="32"/>
        </w:rPr>
        <w:t>）承办县政府和县政府领导交办的其他事项。</w:t>
      </w:r>
    </w:p>
    <w:p>
      <w:pPr>
        <w:ind w:firstLine="320" w:firstLineChars="100"/>
        <w:rPr>
          <w:rFonts w:ascii="仿宋_GB2312" w:eastAsia="仿宋_GB2312"/>
          <w:bCs/>
          <w:color w:val="000000"/>
          <w:kern w:val="0"/>
          <w:sz w:val="32"/>
          <w:szCs w:val="32"/>
        </w:rPr>
      </w:pPr>
      <w:r>
        <w:rPr>
          <w:rFonts w:hint="eastAsia" w:ascii="仿宋_GB2312" w:eastAsia="仿宋_GB2312"/>
          <w:bCs/>
          <w:color w:val="000000"/>
          <w:kern w:val="0"/>
          <w:sz w:val="32"/>
          <w:szCs w:val="32"/>
        </w:rPr>
        <w:t>（二）</w:t>
      </w:r>
      <w:r>
        <w:rPr>
          <w:rFonts w:ascii="仿宋_GB2312" w:eastAsia="仿宋_GB2312"/>
          <w:bCs/>
          <w:color w:val="000000"/>
          <w:kern w:val="0"/>
          <w:sz w:val="32"/>
          <w:szCs w:val="32"/>
        </w:rPr>
        <w:t>2018</w:t>
      </w:r>
      <w:r>
        <w:rPr>
          <w:rFonts w:hint="eastAsia" w:ascii="仿宋_GB2312" w:eastAsia="仿宋_GB2312"/>
          <w:bCs/>
          <w:color w:val="000000"/>
          <w:kern w:val="0"/>
          <w:sz w:val="32"/>
          <w:szCs w:val="32"/>
        </w:rPr>
        <w:t>年重点工作完成情况。</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201</w:t>
      </w:r>
      <w:r>
        <w:rPr>
          <w:bCs/>
          <w:color w:val="000000"/>
          <w:sz w:val="32"/>
          <w:szCs w:val="32"/>
        </w:rPr>
        <w:t>8</w:t>
      </w:r>
      <w:r>
        <w:rPr>
          <w:rFonts w:hint="eastAsia"/>
          <w:bCs/>
          <w:color w:val="000000"/>
          <w:sz w:val="32"/>
          <w:szCs w:val="32"/>
        </w:rPr>
        <w:t>年我办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w:t>
      </w:r>
    </w:p>
    <w:p>
      <w:pPr>
        <w:pStyle w:val="15"/>
        <w:numPr>
          <w:ilvl w:val="0"/>
          <w:numId w:val="2"/>
        </w:numPr>
        <w:ind w:firstLineChars="0"/>
        <w:outlineLvl w:val="0"/>
        <w:rPr>
          <w:rFonts w:ascii="仿宋_GB2312" w:eastAsia="仿宋_GB2312"/>
          <w:bCs/>
          <w:color w:val="000000"/>
          <w:kern w:val="0"/>
          <w:sz w:val="32"/>
          <w:szCs w:val="32"/>
        </w:rPr>
      </w:pPr>
      <w:bookmarkStart w:id="17" w:name="_Toc15142"/>
      <w:r>
        <w:rPr>
          <w:rFonts w:hint="eastAsia" w:ascii="仿宋_GB2312" w:eastAsia="仿宋_GB2312"/>
          <w:bCs/>
          <w:color w:val="000000"/>
          <w:kern w:val="0"/>
          <w:sz w:val="32"/>
          <w:szCs w:val="32"/>
        </w:rPr>
        <w:t>部门概况</w:t>
      </w:r>
      <w:bookmarkEnd w:id="17"/>
    </w:p>
    <w:p>
      <w:pPr>
        <w:ind w:firstLine="960" w:firstLineChars="300"/>
        <w:rPr>
          <w:rFonts w:ascii="仿宋_GB2312" w:eastAsia="仿宋_GB2312"/>
          <w:bCs/>
          <w:color w:val="000000"/>
          <w:kern w:val="0"/>
          <w:sz w:val="32"/>
          <w:szCs w:val="32"/>
        </w:rPr>
      </w:pPr>
      <w:r>
        <w:rPr>
          <w:rFonts w:hint="eastAsia" w:ascii="仿宋_GB2312" w:eastAsia="仿宋_GB2312"/>
          <w:bCs/>
          <w:color w:val="000000"/>
          <w:kern w:val="0"/>
          <w:sz w:val="32"/>
          <w:szCs w:val="32"/>
        </w:rPr>
        <w:t>金川县人民政府独立编制机构数1个，独立核算机构数1个，单位编制数4２个，其中：公务员编制25个、参公编制4个、行政工勤编制１３个；截止2018年末，单位实有人数4２人，其中：在职4２人（公务员2５人、行政工勤1３人、参公人员４人），退休24人，（退休人员工资转由社保部门发放）。</w:t>
      </w:r>
    </w:p>
    <w:p>
      <w:pPr>
        <w:jc w:val="left"/>
        <w:outlineLvl w:val="0"/>
        <w:rPr>
          <w:rFonts w:ascii="仿宋_GB2312" w:eastAsia="仿宋_GB2312"/>
          <w:bCs/>
          <w:color w:val="000000"/>
          <w:kern w:val="0"/>
          <w:sz w:val="32"/>
          <w:szCs w:val="32"/>
        </w:rPr>
      </w:pPr>
      <w:bookmarkStart w:id="18" w:name="_Toc4068"/>
      <w:r>
        <w:rPr>
          <w:rFonts w:hint="eastAsia" w:ascii="仿宋_GB2312" w:eastAsia="仿宋_GB2312"/>
          <w:bCs/>
          <w:color w:val="000000"/>
          <w:kern w:val="0"/>
          <w:sz w:val="32"/>
          <w:szCs w:val="32"/>
        </w:rPr>
        <w:t>三、收支决算总体情况说明</w:t>
      </w:r>
      <w:bookmarkEnd w:id="18"/>
    </w:p>
    <w:p>
      <w:pPr>
        <w:ind w:firstLine="960" w:firstLineChars="300"/>
        <w:jc w:val="left"/>
        <w:rPr>
          <w:rFonts w:ascii="仿宋_GB2312" w:eastAsia="仿宋_GB2312"/>
          <w:bCs/>
          <w:color w:val="000000"/>
          <w:kern w:val="0"/>
          <w:sz w:val="32"/>
          <w:szCs w:val="32"/>
        </w:rPr>
      </w:pPr>
      <w:r>
        <w:rPr>
          <w:rFonts w:hint="eastAsia" w:ascii="仿宋_GB2312" w:eastAsia="仿宋_GB2312"/>
          <w:bCs/>
          <w:color w:val="000000"/>
          <w:kern w:val="0"/>
          <w:sz w:val="32"/>
          <w:szCs w:val="32"/>
        </w:rPr>
        <w:t xml:space="preserve">2018年金川县人民政府本年收入合计1105.78万元，其中：财政拨款收入1105.78万元。             </w:t>
      </w:r>
      <w:r>
        <w:rPr>
          <w:rFonts w:ascii="仿宋_GB2312" w:eastAsia="仿宋_GB2312"/>
          <w:bCs/>
          <w:color w:val="000000"/>
          <w:kern w:val="0"/>
          <w:sz w:val="32"/>
          <w:szCs w:val="32"/>
        </w:rPr>
        <w:drawing>
          <wp:inline distT="0" distB="0" distL="0" distR="0">
            <wp:extent cx="3200400" cy="2171700"/>
            <wp:effectExtent l="0" t="0" r="0" b="0"/>
            <wp:docPr id="1"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ind w:firstLine="640" w:firstLineChars="200"/>
        <w:jc w:val="center"/>
        <w:rPr>
          <w:rFonts w:ascii="仿宋_GB2312" w:eastAsia="仿宋_GB2312"/>
          <w:bCs/>
          <w:color w:val="000000"/>
          <w:kern w:val="0"/>
          <w:sz w:val="32"/>
          <w:szCs w:val="32"/>
        </w:rPr>
      </w:pPr>
    </w:p>
    <w:p>
      <w:pPr>
        <w:ind w:firstLine="960" w:firstLineChars="300"/>
        <w:rPr>
          <w:rFonts w:ascii="仿宋_GB2312" w:eastAsia="仿宋_GB2312"/>
          <w:bCs/>
          <w:color w:val="000000"/>
          <w:kern w:val="0"/>
          <w:sz w:val="32"/>
          <w:szCs w:val="32"/>
        </w:rPr>
      </w:pPr>
      <w:r>
        <w:rPr>
          <w:rFonts w:hint="eastAsia" w:ascii="仿宋_GB2312" w:eastAsia="仿宋_GB2312"/>
          <w:bCs/>
          <w:color w:val="000000"/>
          <w:kern w:val="0"/>
          <w:sz w:val="32"/>
          <w:szCs w:val="32"/>
        </w:rPr>
        <w:t>2018年金川县人民政府本年支出合计1093.99万元，其中：基本支出1065.29万元，占9</w:t>
      </w:r>
      <w:r>
        <w:rPr>
          <w:rFonts w:ascii="仿宋_GB2312" w:eastAsia="仿宋_GB2312"/>
          <w:bCs/>
          <w:color w:val="000000"/>
          <w:kern w:val="0"/>
          <w:sz w:val="32"/>
          <w:szCs w:val="32"/>
        </w:rPr>
        <w:t>7</w:t>
      </w:r>
      <w:r>
        <w:rPr>
          <w:rFonts w:hint="eastAsia" w:ascii="仿宋_GB2312" w:eastAsia="仿宋_GB2312"/>
          <w:bCs/>
          <w:color w:val="000000"/>
          <w:kern w:val="0"/>
          <w:sz w:val="32"/>
          <w:szCs w:val="32"/>
        </w:rPr>
        <w:t>%；项目支出28.7万元，占</w:t>
      </w:r>
      <w:r>
        <w:rPr>
          <w:rFonts w:ascii="仿宋_GB2312" w:eastAsia="仿宋_GB2312"/>
          <w:bCs/>
          <w:color w:val="000000"/>
          <w:kern w:val="0"/>
          <w:sz w:val="32"/>
          <w:szCs w:val="32"/>
        </w:rPr>
        <w:t>3</w:t>
      </w:r>
      <w:r>
        <w:rPr>
          <w:rFonts w:hint="eastAsia" w:ascii="仿宋_GB2312" w:eastAsia="仿宋_GB2312"/>
          <w:bCs/>
          <w:color w:val="000000"/>
          <w:kern w:val="0"/>
          <w:sz w:val="32"/>
          <w:szCs w:val="32"/>
        </w:rPr>
        <w:t>%。</w:t>
      </w:r>
    </w:p>
    <w:p>
      <w:pPr>
        <w:ind w:firstLine="640" w:firstLineChars="200"/>
        <w:jc w:val="center"/>
        <w:rPr>
          <w:rFonts w:ascii="仿宋_GB2312" w:eastAsia="仿宋_GB2312"/>
          <w:bCs/>
          <w:color w:val="000000"/>
          <w:kern w:val="0"/>
          <w:sz w:val="32"/>
          <w:szCs w:val="32"/>
        </w:rPr>
      </w:pPr>
      <w:r>
        <w:rPr>
          <w:rFonts w:ascii="仿宋_GB2312" w:eastAsia="仿宋_GB2312"/>
          <w:bCs/>
          <w:color w:val="000000"/>
          <w:kern w:val="0"/>
          <w:sz w:val="32"/>
          <w:szCs w:val="32"/>
        </w:rPr>
        <w:drawing>
          <wp:inline distT="0" distB="0" distL="0" distR="0">
            <wp:extent cx="3114675" cy="1066800"/>
            <wp:effectExtent l="0" t="0" r="0" b="0"/>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outlineLvl w:val="0"/>
        <w:rPr>
          <w:rFonts w:ascii="仿宋_GB2312" w:eastAsia="仿宋_GB2312"/>
          <w:bCs/>
          <w:color w:val="000000"/>
          <w:kern w:val="0"/>
          <w:sz w:val="32"/>
          <w:szCs w:val="32"/>
        </w:rPr>
      </w:pPr>
      <w:bookmarkStart w:id="19" w:name="_Toc30212"/>
      <w:r>
        <w:rPr>
          <w:rFonts w:hint="eastAsia" w:ascii="仿宋_GB2312" w:eastAsia="仿宋_GB2312"/>
          <w:bCs/>
          <w:color w:val="000000"/>
          <w:kern w:val="0"/>
          <w:sz w:val="32"/>
          <w:szCs w:val="32"/>
        </w:rPr>
        <w:t>四、财政拨款收入支出决算总体情况说明</w:t>
      </w:r>
      <w:bookmarkEnd w:id="19"/>
    </w:p>
    <w:p>
      <w:pPr>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金川县人民政府2018年度财政拨款收支总决算1105.78万元，与2017年度财政拨款收支总决算1419.92万元相比，减少314.14万元，减少22.12%，其原因是减少了公务用车购置款、人防项目减少。</w:t>
      </w:r>
    </w:p>
    <w:p>
      <w:pPr>
        <w:ind w:firstLine="640" w:firstLineChars="200"/>
        <w:rPr>
          <w:rFonts w:ascii="仿宋_GB2312" w:eastAsia="仿宋_GB2312"/>
          <w:bCs/>
          <w:color w:val="000000"/>
          <w:kern w:val="0"/>
          <w:sz w:val="32"/>
          <w:szCs w:val="32"/>
        </w:rPr>
      </w:pPr>
      <w:r>
        <w:rPr>
          <w:rFonts w:ascii="仿宋_GB2312" w:eastAsia="仿宋_GB2312"/>
          <w:bCs/>
          <w:color w:val="000000"/>
          <w:kern w:val="0"/>
          <w:sz w:val="32"/>
          <w:szCs w:val="32"/>
        </w:rPr>
        <w:drawing>
          <wp:anchor distT="0" distB="0" distL="114300" distR="114300" simplePos="0" relativeHeight="251659264" behindDoc="0" locked="0" layoutInCell="1" allowOverlap="1">
            <wp:simplePos x="0" y="0"/>
            <wp:positionH relativeFrom="column">
              <wp:posOffset>-635000</wp:posOffset>
            </wp:positionH>
            <wp:positionV relativeFrom="paragraph">
              <wp:posOffset>102870</wp:posOffset>
            </wp:positionV>
            <wp:extent cx="6854190" cy="2990850"/>
            <wp:effectExtent l="0" t="0" r="0" b="0"/>
            <wp:wrapNone/>
            <wp:docPr id="4"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ind w:firstLine="640" w:firstLineChars="200"/>
        <w:rPr>
          <w:rFonts w:ascii="仿宋_GB2312" w:eastAsia="仿宋_GB2312"/>
          <w:bCs/>
          <w:color w:val="000000"/>
          <w:kern w:val="0"/>
          <w:sz w:val="32"/>
          <w:szCs w:val="32"/>
        </w:rPr>
      </w:pPr>
    </w:p>
    <w:p>
      <w:pPr>
        <w:ind w:firstLine="640" w:firstLineChars="200"/>
        <w:rPr>
          <w:rFonts w:ascii="仿宋_GB2312" w:eastAsia="仿宋_GB2312"/>
          <w:bCs/>
          <w:color w:val="000000"/>
          <w:kern w:val="0"/>
          <w:sz w:val="32"/>
          <w:szCs w:val="32"/>
        </w:rPr>
      </w:pPr>
    </w:p>
    <w:p>
      <w:pPr>
        <w:ind w:firstLine="640" w:firstLineChars="200"/>
        <w:rPr>
          <w:rFonts w:ascii="仿宋_GB2312" w:eastAsia="仿宋_GB2312"/>
          <w:bCs/>
          <w:color w:val="000000"/>
          <w:kern w:val="0"/>
          <w:sz w:val="32"/>
          <w:szCs w:val="32"/>
        </w:rPr>
      </w:pPr>
    </w:p>
    <w:p>
      <w:pPr>
        <w:ind w:firstLine="640" w:firstLineChars="200"/>
        <w:rPr>
          <w:rFonts w:ascii="仿宋_GB2312" w:eastAsia="仿宋_GB2312"/>
          <w:bCs/>
          <w:color w:val="000000"/>
          <w:kern w:val="0"/>
          <w:sz w:val="32"/>
          <w:szCs w:val="32"/>
        </w:rPr>
      </w:pPr>
    </w:p>
    <w:p>
      <w:pPr>
        <w:ind w:firstLine="640" w:firstLineChars="200"/>
        <w:rPr>
          <w:rFonts w:ascii="仿宋_GB2312" w:eastAsia="仿宋_GB2312"/>
          <w:bCs/>
          <w:color w:val="000000"/>
          <w:kern w:val="0"/>
          <w:sz w:val="32"/>
          <w:szCs w:val="32"/>
        </w:rPr>
      </w:pPr>
    </w:p>
    <w:p>
      <w:pPr>
        <w:ind w:firstLine="640" w:firstLineChars="200"/>
        <w:rPr>
          <w:rFonts w:ascii="仿宋_GB2312" w:eastAsia="仿宋_GB2312"/>
          <w:bCs/>
          <w:color w:val="000000"/>
          <w:kern w:val="0"/>
          <w:sz w:val="32"/>
          <w:szCs w:val="32"/>
        </w:rPr>
      </w:pPr>
    </w:p>
    <w:p>
      <w:pPr>
        <w:spacing w:line="600" w:lineRule="exact"/>
        <w:jc w:val="left"/>
        <w:rPr>
          <w:rFonts w:ascii="仿宋_GB2312" w:eastAsia="仿宋_GB2312"/>
          <w:bCs/>
          <w:color w:val="000000"/>
          <w:kern w:val="0"/>
          <w:sz w:val="32"/>
          <w:szCs w:val="32"/>
        </w:rPr>
      </w:pPr>
    </w:p>
    <w:p>
      <w:pPr>
        <w:spacing w:line="600" w:lineRule="exact"/>
        <w:jc w:val="left"/>
        <w:outlineLvl w:val="0"/>
        <w:rPr>
          <w:rFonts w:ascii="仿宋_GB2312" w:eastAsia="仿宋_GB2312"/>
          <w:bCs/>
          <w:color w:val="000000"/>
          <w:kern w:val="0"/>
          <w:sz w:val="32"/>
          <w:szCs w:val="32"/>
        </w:rPr>
      </w:pPr>
      <w:bookmarkStart w:id="20" w:name="_Toc5641"/>
      <w:r>
        <w:rPr>
          <w:rFonts w:hint="eastAsia" w:ascii="仿宋_GB2312" w:eastAsia="仿宋_GB2312"/>
          <w:bCs/>
          <w:color w:val="000000"/>
          <w:kern w:val="0"/>
          <w:sz w:val="32"/>
          <w:szCs w:val="32"/>
        </w:rPr>
        <w:t>五、一般公共预算财政拨款支出决算情况</w:t>
      </w:r>
      <w:bookmarkEnd w:id="20"/>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（一）一般公共预算财政拨款支出决算总体情况</w:t>
      </w:r>
    </w:p>
    <w:p>
      <w:pPr>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金川县人民政府2018年度一般公共预算财政拨款支出1093.99万元，占本年支出合计的100%。与2017年财政拨款支出1419.92万元相比，减少325.93万元，，减少22.95%，其原因是减少公务用车购置、人防项目。</w:t>
      </w:r>
    </w:p>
    <w:p>
      <w:pPr>
        <w:spacing w:line="600" w:lineRule="exact"/>
        <w:ind w:firstLine="640" w:firstLineChars="200"/>
        <w:rPr>
          <w:rFonts w:ascii="仿宋_GB2312" w:eastAsia="仿宋_GB2312"/>
          <w:bCs/>
          <w:color w:val="000000"/>
          <w:kern w:val="0"/>
          <w:sz w:val="32"/>
          <w:szCs w:val="32"/>
        </w:rPr>
      </w:pPr>
      <w:r>
        <w:rPr>
          <w:rFonts w:ascii="仿宋_GB2312" w:eastAsia="仿宋_GB2312"/>
          <w:bCs/>
          <w:color w:val="000000"/>
          <w:kern w:val="0"/>
          <w:sz w:val="32"/>
          <w:szCs w:val="32"/>
        </w:rPr>
        <w:drawing>
          <wp:anchor distT="0" distB="0" distL="114300" distR="114300" simplePos="0" relativeHeight="251660288" behindDoc="0" locked="0" layoutInCell="1" allowOverlap="1">
            <wp:simplePos x="0" y="0"/>
            <wp:positionH relativeFrom="column">
              <wp:posOffset>1028700</wp:posOffset>
            </wp:positionH>
            <wp:positionV relativeFrom="paragraph">
              <wp:posOffset>146685</wp:posOffset>
            </wp:positionV>
            <wp:extent cx="2772410" cy="1418590"/>
            <wp:effectExtent l="0" t="0" r="0" b="635"/>
            <wp:wrapNone/>
            <wp:docPr id="3"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rPr>
          <w:rFonts w:ascii="仿宋_GB2312" w:eastAsia="仿宋_GB2312"/>
          <w:bCs/>
          <w:color w:val="000000"/>
          <w:kern w:val="0"/>
          <w:sz w:val="32"/>
          <w:szCs w:val="32"/>
        </w:rPr>
      </w:pPr>
    </w:p>
    <w:p>
      <w:pPr>
        <w:rPr>
          <w:rFonts w:ascii="仿宋_GB2312" w:eastAsia="仿宋_GB2312"/>
          <w:bCs/>
          <w:color w:val="000000"/>
          <w:kern w:val="0"/>
          <w:sz w:val="32"/>
          <w:szCs w:val="32"/>
        </w:rPr>
      </w:pPr>
    </w:p>
    <w:p>
      <w:pPr>
        <w:spacing w:line="600" w:lineRule="exact"/>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（二）一般公共预算财政拨款支出决算结构情况</w:t>
      </w:r>
    </w:p>
    <w:p>
      <w:pPr>
        <w:spacing w:line="600" w:lineRule="exact"/>
        <w:ind w:firstLine="640" w:firstLineChars="200"/>
        <w:rPr>
          <w:rFonts w:ascii="仿宋_GB2312" w:eastAsia="仿宋_GB2312"/>
          <w:bCs/>
          <w:color w:val="000000"/>
          <w:kern w:val="0"/>
          <w:sz w:val="32"/>
          <w:szCs w:val="32"/>
        </w:rPr>
      </w:pPr>
      <w:r>
        <w:rPr>
          <w:rFonts w:ascii="仿宋_GB2312" w:eastAsia="仿宋_GB2312"/>
          <w:bCs/>
          <w:color w:val="000000"/>
          <w:kern w:val="0"/>
          <w:sz w:val="32"/>
          <w:szCs w:val="32"/>
        </w:rPr>
        <w:drawing>
          <wp:anchor distT="0" distB="0" distL="114300" distR="114300" simplePos="0" relativeHeight="251661312" behindDoc="0" locked="0" layoutInCell="1" allowOverlap="1">
            <wp:simplePos x="0" y="0"/>
            <wp:positionH relativeFrom="column">
              <wp:posOffset>1590040</wp:posOffset>
            </wp:positionH>
            <wp:positionV relativeFrom="paragraph">
              <wp:posOffset>2980055</wp:posOffset>
            </wp:positionV>
            <wp:extent cx="2687320" cy="1787525"/>
            <wp:effectExtent l="0" t="0" r="0" b="0"/>
            <wp:wrapNone/>
            <wp:docPr id="5"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bCs/>
          <w:color w:val="000000"/>
          <w:kern w:val="0"/>
          <w:sz w:val="32"/>
          <w:szCs w:val="32"/>
        </w:rPr>
        <w:t>金川县人民政府2018年一般公共预算财政拨款支出1093.99万元，主要用于以下方面: 一般公共服务支出843.02万元，占总支出的77.06%；国防支出26.94万元，占总支出的2.46%；教育支出0.2万元，占总支出的0.02%，社会保障和就业支出118.24万元，占总支出的10.81%，医疗卫生与计划生育支出36.76万元，占总支出的3.36%，住房保障支出67.06万元，占总支出的6.13%；农林水支出1.77万元，占总支出的0.16%。</w:t>
      </w:r>
    </w:p>
    <w:p>
      <w:pPr>
        <w:spacing w:line="600" w:lineRule="exact"/>
        <w:ind w:firstLine="640" w:firstLineChars="200"/>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（三）一般公共预算财政拨款支出决算具体情况</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1.一般公共服务:</w:t>
      </w:r>
    </w:p>
    <w:p>
      <w:pPr>
        <w:spacing w:line="600" w:lineRule="exact"/>
        <w:ind w:firstLine="960" w:firstLineChars="300"/>
        <w:rPr>
          <w:rFonts w:ascii="仿宋_GB2312" w:eastAsia="仿宋_GB2312"/>
          <w:bCs/>
          <w:color w:val="000000"/>
          <w:kern w:val="0"/>
          <w:sz w:val="32"/>
          <w:szCs w:val="32"/>
        </w:rPr>
      </w:pPr>
      <w:r>
        <w:rPr>
          <w:rFonts w:hint="eastAsia" w:ascii="仿宋_GB2312" w:eastAsia="仿宋_GB2312"/>
          <w:bCs/>
          <w:color w:val="000000"/>
          <w:kern w:val="0"/>
          <w:sz w:val="32"/>
          <w:szCs w:val="32"/>
        </w:rPr>
        <w:t>一般公共服务201（类）金川县人民政府</w:t>
      </w:r>
      <w:r>
        <w:rPr>
          <w:rFonts w:hint="eastAsia" w:ascii="仿宋_GB2312" w:eastAsia="仿宋_GB2312"/>
          <w:bCs/>
          <w:color w:val="000000"/>
          <w:kern w:val="0"/>
          <w:sz w:val="32"/>
          <w:szCs w:val="32"/>
          <w:lang w:eastAsia="zh-CN"/>
        </w:rPr>
        <w:t>办公</w:t>
      </w:r>
      <w:r>
        <w:rPr>
          <w:rFonts w:hint="eastAsia" w:ascii="仿宋_GB2312" w:eastAsia="仿宋_GB2312"/>
          <w:bCs/>
          <w:color w:val="000000"/>
          <w:kern w:val="0"/>
          <w:sz w:val="32"/>
          <w:szCs w:val="32"/>
        </w:rPr>
        <w:t>（室）及相关机构事务03（款）行政运行01（项）：2018年决算数为843.02万元，完成预算100%，原因是2018年工资调标、正常工资晋升，人员变动。</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2、国防支出：</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国防支出203（类）国防动员06（款）人民防空03（项）：2018年决算数为26.94万元，完成初预算100%。</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3、教育支出</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教育支出205（类）进修及培训08（款）培训支出03（项）：2018年决算数为0.2万元，完成预算100%。</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4、社会保障和就业支出</w:t>
      </w:r>
    </w:p>
    <w:p>
      <w:pPr>
        <w:spacing w:line="600" w:lineRule="exact"/>
        <w:ind w:firstLine="640" w:firstLineChars="200"/>
        <w:rPr>
          <w:color w:val="000000"/>
          <w:kern w:val="0"/>
        </w:rPr>
      </w:pPr>
      <w:r>
        <w:rPr>
          <w:rFonts w:hint="eastAsia" w:ascii="仿宋_GB2312" w:eastAsia="仿宋_GB2312"/>
          <w:bCs/>
          <w:color w:val="000000"/>
          <w:kern w:val="0"/>
          <w:sz w:val="32"/>
          <w:szCs w:val="32"/>
        </w:rPr>
        <w:t>社会保障和就业支出08（类）行政事业单位离退休05（款）机关事业单位基本养老保险缴费支出05（项）：2018年决算数为84.45万元，机关事业单位职业年金缴费支出06（项）：2018年决算数为33.78万元，完成预算100%。</w:t>
      </w:r>
      <w:r>
        <w:rPr>
          <w:rFonts w:hint="eastAsia" w:ascii="仿宋_GB2312" w:eastAsia="仿宋_GB2312"/>
          <w:bCs/>
          <w:color w:val="000000"/>
          <w:kern w:val="0"/>
          <w:sz w:val="32"/>
          <w:szCs w:val="32"/>
        </w:rPr>
        <w:br w:type="textWrapping"/>
      </w:r>
      <w:r>
        <w:rPr>
          <w:rFonts w:hint="eastAsia" w:ascii="仿宋_GB2312" w:eastAsia="仿宋_GB2312"/>
          <w:bCs/>
          <w:color w:val="000000"/>
          <w:kern w:val="0"/>
          <w:sz w:val="32"/>
          <w:szCs w:val="32"/>
        </w:rPr>
        <w:t>　　5、医疗卫生与计划生育:</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医疗卫生与计划生育支出210（类）医疗保障11（款）行政单位医疗01（项）： 2018年决算数为36.76万元，完成预算100%。</w:t>
      </w:r>
    </w:p>
    <w:p>
      <w:pPr>
        <w:spacing w:line="600" w:lineRule="exact"/>
        <w:ind w:firstLine="627" w:firstLineChars="196"/>
        <w:rPr>
          <w:rFonts w:ascii="仿宋_GB2312" w:eastAsia="仿宋_GB2312"/>
          <w:bCs/>
          <w:color w:val="000000"/>
          <w:kern w:val="0"/>
          <w:sz w:val="32"/>
          <w:szCs w:val="32"/>
        </w:rPr>
      </w:pPr>
      <w:r>
        <w:rPr>
          <w:rFonts w:hint="eastAsia" w:ascii="仿宋_GB2312" w:eastAsia="仿宋_GB2312"/>
          <w:bCs/>
          <w:color w:val="000000"/>
          <w:kern w:val="0"/>
          <w:sz w:val="32"/>
          <w:szCs w:val="32"/>
        </w:rPr>
        <w:t>6.住房保障支出:</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住房保障支出221（类）住房改革支出02（款）住房公积金01（项）： 2018年决算数为63.77万元，完成预算100%；</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住房保障支出221（类）购房补贴03（款）购房补贴03（项）： 2018年决算数为3.29万元，完成预算100%。</w:t>
      </w:r>
    </w:p>
    <w:p>
      <w:pPr>
        <w:outlineLvl w:val="0"/>
        <w:rPr>
          <w:rFonts w:ascii="仿宋_GB2312" w:eastAsia="仿宋_GB2312"/>
          <w:bCs/>
          <w:color w:val="000000"/>
          <w:kern w:val="0"/>
          <w:sz w:val="32"/>
          <w:szCs w:val="32"/>
        </w:rPr>
      </w:pPr>
      <w:bookmarkStart w:id="21" w:name="_Toc125"/>
      <w:r>
        <w:rPr>
          <w:rFonts w:hint="eastAsia" w:ascii="仿宋_GB2312" w:eastAsia="仿宋_GB2312"/>
          <w:bCs/>
          <w:color w:val="000000"/>
          <w:kern w:val="0"/>
          <w:sz w:val="32"/>
          <w:szCs w:val="32"/>
        </w:rPr>
        <w:t>六、一般公共预算财政拨款基本支出决算情况说明</w:t>
      </w:r>
      <w:bookmarkEnd w:id="21"/>
    </w:p>
    <w:p>
      <w:pPr>
        <w:spacing w:line="600" w:lineRule="exact"/>
        <w:ind w:firstLine="645"/>
        <w:rPr>
          <w:rFonts w:ascii="仿宋_GB2312" w:eastAsia="仿宋_GB2312"/>
          <w:bCs/>
          <w:color w:val="000000"/>
          <w:kern w:val="0"/>
          <w:sz w:val="32"/>
          <w:szCs w:val="32"/>
        </w:rPr>
      </w:pPr>
      <w:r>
        <w:rPr>
          <w:rFonts w:hint="eastAsia" w:ascii="仿宋_GB2312" w:eastAsia="仿宋_GB2312"/>
          <w:bCs/>
          <w:color w:val="000000"/>
          <w:kern w:val="0"/>
          <w:sz w:val="32"/>
          <w:szCs w:val="32"/>
        </w:rPr>
        <w:t>金川县人民政府2018年一般公共预算财政拨款基本支出1065.29万元，其中：</w:t>
      </w:r>
    </w:p>
    <w:p>
      <w:pPr>
        <w:spacing w:line="600" w:lineRule="exact"/>
        <w:ind w:firstLine="645"/>
        <w:rPr>
          <w:rFonts w:ascii="仿宋_GB2312" w:eastAsia="仿宋_GB2312"/>
          <w:bCs/>
          <w:color w:val="000000"/>
          <w:kern w:val="0"/>
          <w:sz w:val="32"/>
          <w:szCs w:val="32"/>
        </w:rPr>
      </w:pPr>
      <w:r>
        <w:rPr>
          <w:rFonts w:hint="eastAsia" w:ascii="仿宋_GB2312" w:eastAsia="仿宋_GB2312"/>
          <w:bCs/>
          <w:color w:val="000000"/>
          <w:kern w:val="0"/>
          <w:sz w:val="32"/>
          <w:szCs w:val="32"/>
        </w:rPr>
        <w:t>人员经费711.34万元，主要包括：基本工资189.8</w:t>
      </w:r>
      <w:r>
        <w:rPr>
          <w:rFonts w:ascii="仿宋_GB2312" w:eastAsia="仿宋_GB2312"/>
          <w:bCs/>
          <w:color w:val="000000"/>
          <w:kern w:val="0"/>
          <w:sz w:val="32"/>
          <w:szCs w:val="32"/>
        </w:rPr>
        <w:t>2</w:t>
      </w:r>
      <w:r>
        <w:rPr>
          <w:rFonts w:hint="eastAsia" w:ascii="仿宋_GB2312" w:eastAsia="仿宋_GB2312"/>
          <w:bCs/>
          <w:color w:val="000000"/>
          <w:kern w:val="0"/>
          <w:sz w:val="32"/>
          <w:szCs w:val="32"/>
        </w:rPr>
        <w:t>万元、津贴补贴</w:t>
      </w:r>
      <w:r>
        <w:rPr>
          <w:rFonts w:ascii="仿宋_GB2312" w:eastAsia="仿宋_GB2312"/>
          <w:bCs/>
          <w:color w:val="000000"/>
          <w:kern w:val="0"/>
          <w:sz w:val="32"/>
          <w:szCs w:val="32"/>
        </w:rPr>
        <w:t>261.09</w:t>
      </w:r>
      <w:r>
        <w:rPr>
          <w:rFonts w:hint="eastAsia" w:ascii="仿宋_GB2312" w:eastAsia="仿宋_GB2312"/>
          <w:bCs/>
          <w:color w:val="000000"/>
          <w:kern w:val="0"/>
          <w:sz w:val="32"/>
          <w:szCs w:val="32"/>
        </w:rPr>
        <w:t>万元、奖金17.0</w:t>
      </w:r>
      <w:r>
        <w:rPr>
          <w:rFonts w:ascii="仿宋_GB2312" w:eastAsia="仿宋_GB2312"/>
          <w:bCs/>
          <w:color w:val="000000"/>
          <w:kern w:val="0"/>
          <w:sz w:val="32"/>
          <w:szCs w:val="32"/>
        </w:rPr>
        <w:t>8</w:t>
      </w:r>
      <w:r>
        <w:rPr>
          <w:rFonts w:hint="eastAsia" w:ascii="仿宋_GB2312" w:eastAsia="仿宋_GB2312"/>
          <w:bCs/>
          <w:color w:val="000000"/>
          <w:kern w:val="0"/>
          <w:sz w:val="32"/>
          <w:szCs w:val="32"/>
        </w:rPr>
        <w:t>万元、其他社会保障缴费5.44万元、抚恤金14.21万元、生活补助4.</w:t>
      </w:r>
      <w:r>
        <w:rPr>
          <w:rFonts w:ascii="仿宋_GB2312" w:eastAsia="仿宋_GB2312"/>
          <w:bCs/>
          <w:color w:val="000000"/>
          <w:kern w:val="0"/>
          <w:sz w:val="32"/>
          <w:szCs w:val="32"/>
        </w:rPr>
        <w:t>84</w:t>
      </w:r>
      <w:r>
        <w:rPr>
          <w:rFonts w:hint="eastAsia" w:ascii="仿宋_GB2312" w:eastAsia="仿宋_GB2312"/>
          <w:bCs/>
          <w:color w:val="000000"/>
          <w:kern w:val="0"/>
          <w:sz w:val="32"/>
          <w:szCs w:val="32"/>
        </w:rPr>
        <w:t>万元、奖励金0.08万元、机关事业单位基本养老保险缴费84.4</w:t>
      </w:r>
      <w:r>
        <w:rPr>
          <w:rFonts w:ascii="仿宋_GB2312" w:eastAsia="仿宋_GB2312"/>
          <w:bCs/>
          <w:color w:val="000000"/>
          <w:kern w:val="0"/>
          <w:sz w:val="32"/>
          <w:szCs w:val="32"/>
        </w:rPr>
        <w:t>6</w:t>
      </w:r>
      <w:r>
        <w:rPr>
          <w:rFonts w:hint="eastAsia" w:ascii="仿宋_GB2312" w:eastAsia="仿宋_GB2312"/>
          <w:bCs/>
          <w:color w:val="000000"/>
          <w:kern w:val="0"/>
          <w:sz w:val="32"/>
          <w:szCs w:val="32"/>
        </w:rPr>
        <w:t>万元、职业年金缴费33.78万元、职工基本医疗保险缴费36.76元、住房公积金63.78万元。</w:t>
      </w:r>
      <w:r>
        <w:rPr>
          <w:rFonts w:hint="eastAsia" w:ascii="仿宋_GB2312" w:eastAsia="仿宋_GB2312"/>
          <w:bCs/>
          <w:color w:val="000000"/>
          <w:kern w:val="0"/>
          <w:sz w:val="32"/>
          <w:szCs w:val="32"/>
        </w:rPr>
        <w:br w:type="textWrapping"/>
      </w:r>
      <w:r>
        <w:rPr>
          <w:rFonts w:hint="eastAsia" w:ascii="仿宋_GB2312" w:eastAsia="仿宋_GB2312"/>
          <w:bCs/>
          <w:color w:val="000000"/>
          <w:kern w:val="0"/>
          <w:sz w:val="32"/>
          <w:szCs w:val="32"/>
        </w:rPr>
        <w:t>　　公用经费353.95万元，主要包括：办公费28.16万元、咨询费2.02万元、手续费0.1万元、水费0.3万元、电费4.5万元、邮电费5.2万元、取暖费2万元、物业管理费15.12万元、差旅费98万元、维修（护）费2万元、租赁费7万元、会议费0.76万元、公务接待费0万元、培训费0.2万元、劳务费0.1万元、公务用车运行维护费187.99万元、其他交通费用0.5万元。</w:t>
      </w:r>
    </w:p>
    <w:p>
      <w:pPr>
        <w:outlineLvl w:val="0"/>
        <w:rPr>
          <w:rFonts w:ascii="仿宋_GB2312" w:eastAsia="仿宋_GB2312"/>
          <w:bCs/>
          <w:color w:val="000000"/>
          <w:kern w:val="0"/>
          <w:sz w:val="32"/>
          <w:szCs w:val="32"/>
        </w:rPr>
      </w:pPr>
      <w:bookmarkStart w:id="22" w:name="_Toc23689"/>
      <w:r>
        <w:rPr>
          <w:rFonts w:hint="eastAsia" w:ascii="仿宋_GB2312" w:eastAsia="仿宋_GB2312"/>
          <w:bCs/>
          <w:color w:val="000000"/>
          <w:kern w:val="0"/>
          <w:sz w:val="32"/>
          <w:szCs w:val="32"/>
        </w:rPr>
        <w:t>七、“三公”经费财政拨款支出决算情况说明</w:t>
      </w:r>
      <w:bookmarkEnd w:id="22"/>
    </w:p>
    <w:p>
      <w:pPr>
        <w:spacing w:line="600" w:lineRule="exact"/>
        <w:rPr>
          <w:rFonts w:ascii="仿宋_GB2312" w:eastAsia="仿宋_GB2312"/>
          <w:bCs/>
          <w:color w:val="000000"/>
          <w:kern w:val="0"/>
          <w:sz w:val="32"/>
          <w:szCs w:val="32"/>
        </w:rPr>
      </w:pPr>
      <w:r>
        <w:rPr>
          <w:rFonts w:hint="eastAsia" w:ascii="仿宋_GB2312" w:eastAsia="仿宋_GB2312"/>
          <w:bCs/>
          <w:color w:val="000000"/>
          <w:kern w:val="0"/>
          <w:sz w:val="32"/>
          <w:szCs w:val="32"/>
        </w:rPr>
        <w:t>（一）“三公”经费财政拨款支出决算总体情况说明</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 xml:space="preserve">金川县人民政府2018年度“三公”经费财政拨款支出决算为187.99万元，完成预算100%，其中：因公出国（境）费支出0万元；公务用车购置0万元，公务用车购置及运行维护费支出决算为187.99万元，完成预算100%；公务接待费支出决算为0万元。 </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2018年度“三公”经费财政拨款支出决算数比2017年减少83.92万元，降低30.86%，其中：因公出国（境）费支出0万元；公务用车购置及运行维护费支出决算减少83.47万元，降低30.74%；原因2017年单位购置3辆车标准在60万元以下，2018年预算将领导干部工作经费公务用车运行维护费纳入预算。严格按照公务用车管理办法减少及压缩公务用车运行经费；公务接待费支出决算减少0.46万元，下降100%，主要原因是接待由县事务管理局负责，我办今年无公务接待。</w:t>
      </w:r>
    </w:p>
    <w:p>
      <w:pPr>
        <w:spacing w:line="600" w:lineRule="exact"/>
        <w:rPr>
          <w:rFonts w:ascii="仿宋_GB2312" w:eastAsia="仿宋_GB2312"/>
          <w:bCs/>
          <w:color w:val="000000"/>
          <w:kern w:val="0"/>
          <w:sz w:val="32"/>
          <w:szCs w:val="32"/>
        </w:rPr>
      </w:pPr>
      <w:r>
        <w:rPr>
          <w:rFonts w:hint="eastAsia" w:ascii="仿宋_GB2312" w:eastAsia="仿宋_GB2312"/>
          <w:bCs/>
          <w:color w:val="000000"/>
          <w:kern w:val="0"/>
          <w:sz w:val="32"/>
          <w:szCs w:val="32"/>
        </w:rPr>
        <w:t>（二）“三公”经费财政拨款支出决算具体情况说明</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2018年度“三公”经费财政拨款支出决算中，无因公出国（境）费支出0万元；公务用车购置及运行维护费支出决算187.99万元，占100%；公务接待费支出决算0万元。具体情况如下：</w:t>
      </w:r>
    </w:p>
    <w:p>
      <w:pPr>
        <w:spacing w:line="600" w:lineRule="exact"/>
        <w:ind w:firstLine="640"/>
        <w:rPr>
          <w:rFonts w:ascii="仿宋_GB2312" w:eastAsia="仿宋_GB2312"/>
          <w:bCs/>
          <w:color w:val="000000"/>
          <w:kern w:val="0"/>
          <w:sz w:val="32"/>
          <w:szCs w:val="32"/>
        </w:rPr>
      </w:pPr>
      <w:r>
        <w:rPr>
          <w:rFonts w:ascii="仿宋_GB2312" w:eastAsia="仿宋_GB2312"/>
          <w:bCs/>
          <w:color w:val="000000"/>
          <w:kern w:val="0"/>
          <w:sz w:val="32"/>
          <w:szCs w:val="32"/>
        </w:rPr>
        <w:drawing>
          <wp:anchor distT="0" distB="0" distL="114300" distR="114300" simplePos="0" relativeHeight="251662336" behindDoc="0" locked="0" layoutInCell="1" allowOverlap="1">
            <wp:simplePos x="0" y="0"/>
            <wp:positionH relativeFrom="column">
              <wp:posOffset>914400</wp:posOffset>
            </wp:positionH>
            <wp:positionV relativeFrom="paragraph">
              <wp:posOffset>-266700</wp:posOffset>
            </wp:positionV>
            <wp:extent cx="3648710" cy="1830070"/>
            <wp:effectExtent l="0" t="0" r="0" b="0"/>
            <wp:wrapNone/>
            <wp:docPr id="7" name="对象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_GB2312" w:eastAsia="仿宋_GB2312"/>
          <w:bCs/>
          <w:color w:val="000000"/>
          <w:kern w:val="0"/>
          <w:sz w:val="32"/>
          <w:szCs w:val="32"/>
        </w:rPr>
      </w:pPr>
    </w:p>
    <w:p>
      <w:pPr>
        <w:spacing w:line="600" w:lineRule="exact"/>
        <w:ind w:firstLine="640"/>
        <w:rPr>
          <w:rFonts w:ascii="仿宋_GB2312" w:eastAsia="仿宋_GB2312"/>
          <w:bCs/>
          <w:color w:val="000000"/>
          <w:kern w:val="0"/>
          <w:sz w:val="32"/>
          <w:szCs w:val="32"/>
        </w:rPr>
      </w:pP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1.因公出国（境）经费</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2018年因公出国（境）费0万元。</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2.公务用车购置及运行维护费</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2018年公务用车购置及运行维护费187.99万元,其中：</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公务用车购置支出0万元，公务用车运行维护费支出187.99万元包括油费、维修费、过路过桥费、保险费等支出。</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3.公务接待费</w:t>
      </w:r>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2018年公务接待费0万元。我办无公务接待。</w:t>
      </w:r>
    </w:p>
    <w:p>
      <w:pPr>
        <w:outlineLvl w:val="0"/>
        <w:rPr>
          <w:rFonts w:ascii="仿宋_GB2312" w:eastAsia="仿宋_GB2312"/>
          <w:bCs/>
          <w:color w:val="000000"/>
          <w:kern w:val="0"/>
          <w:sz w:val="32"/>
          <w:szCs w:val="32"/>
        </w:rPr>
      </w:pPr>
      <w:bookmarkStart w:id="23" w:name="_Toc17752"/>
      <w:r>
        <w:rPr>
          <w:rFonts w:hint="eastAsia" w:ascii="仿宋_GB2312" w:eastAsia="仿宋_GB2312"/>
          <w:bCs/>
          <w:color w:val="000000"/>
          <w:kern w:val="0"/>
          <w:sz w:val="32"/>
          <w:szCs w:val="32"/>
        </w:rPr>
        <w:t>八、政府性基金预算支出决算情况说明</w:t>
      </w:r>
      <w:bookmarkEnd w:id="23"/>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金川县人民政府2018年无政府性基金预算财政拨款支出。</w:t>
      </w:r>
    </w:p>
    <w:p>
      <w:pPr>
        <w:outlineLvl w:val="0"/>
        <w:rPr>
          <w:rFonts w:ascii="仿宋_GB2312" w:eastAsia="仿宋_GB2312"/>
          <w:bCs/>
          <w:color w:val="000000"/>
          <w:kern w:val="0"/>
          <w:sz w:val="32"/>
          <w:szCs w:val="32"/>
        </w:rPr>
      </w:pPr>
      <w:bookmarkStart w:id="24" w:name="_Toc26245"/>
      <w:r>
        <w:rPr>
          <w:rFonts w:hint="eastAsia" w:ascii="仿宋_GB2312" w:eastAsia="仿宋_GB2312"/>
          <w:bCs/>
          <w:color w:val="000000"/>
          <w:kern w:val="0"/>
          <w:sz w:val="32"/>
          <w:szCs w:val="32"/>
        </w:rPr>
        <w:t>九、国有资本经营预算支出决算情况说明</w:t>
      </w:r>
      <w:bookmarkEnd w:id="24"/>
    </w:p>
    <w:p>
      <w:pPr>
        <w:spacing w:line="600" w:lineRule="exact"/>
        <w:ind w:firstLine="640"/>
        <w:rPr>
          <w:rFonts w:ascii="仿宋_GB2312" w:eastAsia="仿宋_GB2312"/>
          <w:bCs/>
          <w:color w:val="000000"/>
          <w:kern w:val="0"/>
          <w:sz w:val="32"/>
          <w:szCs w:val="32"/>
        </w:rPr>
      </w:pPr>
      <w:r>
        <w:rPr>
          <w:rFonts w:hint="eastAsia" w:ascii="仿宋_GB2312" w:eastAsia="仿宋_GB2312"/>
          <w:bCs/>
          <w:color w:val="000000"/>
          <w:kern w:val="0"/>
          <w:sz w:val="32"/>
          <w:szCs w:val="32"/>
        </w:rPr>
        <w:t>金川县人民政府2018年无国有资本经营预算支出。</w:t>
      </w:r>
    </w:p>
    <w:p>
      <w:pPr>
        <w:outlineLvl w:val="0"/>
        <w:rPr>
          <w:rFonts w:ascii="仿宋_GB2312" w:eastAsia="仿宋_GB2312"/>
          <w:bCs/>
          <w:color w:val="000000"/>
          <w:kern w:val="0"/>
          <w:sz w:val="32"/>
          <w:szCs w:val="32"/>
        </w:rPr>
      </w:pPr>
      <w:bookmarkStart w:id="25" w:name="_Toc14561"/>
      <w:r>
        <w:rPr>
          <w:rFonts w:hint="eastAsia" w:ascii="仿宋_GB2312" w:eastAsia="仿宋_GB2312"/>
          <w:bCs/>
          <w:color w:val="000000"/>
          <w:kern w:val="0"/>
          <w:sz w:val="32"/>
          <w:szCs w:val="32"/>
        </w:rPr>
        <w:t>十、其他重要事项的情况说明</w:t>
      </w:r>
      <w:bookmarkEnd w:id="25"/>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（一）机关运行经费支出情况</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2018年度，金川县人民政府机关运行经费支出353.95万元，比2017年减少113.71万元，降低24.31%。主要是减少公务用车购置费等。</w:t>
      </w:r>
    </w:p>
    <w:p>
      <w:pPr>
        <w:autoSpaceDE w:val="0"/>
        <w:autoSpaceDN w:val="0"/>
        <w:adjustRightInd w:val="0"/>
        <w:spacing w:line="600" w:lineRule="exact"/>
        <w:ind w:firstLine="640" w:firstLineChars="200"/>
        <w:jc w:val="left"/>
        <w:rPr>
          <w:rFonts w:ascii="仿宋_GB2312" w:eastAsia="仿宋_GB2312"/>
          <w:bCs/>
          <w:color w:val="000000"/>
          <w:kern w:val="0"/>
          <w:sz w:val="32"/>
          <w:szCs w:val="32"/>
        </w:rPr>
      </w:pPr>
      <w:r>
        <w:rPr>
          <w:rFonts w:hint="eastAsia" w:ascii="仿宋_GB2312" w:eastAsia="仿宋_GB2312"/>
          <w:bCs/>
          <w:color w:val="000000"/>
          <w:kern w:val="0"/>
          <w:sz w:val="32"/>
          <w:szCs w:val="32"/>
        </w:rPr>
        <w:t>（二）政府采购支出情况</w:t>
      </w:r>
    </w:p>
    <w:p>
      <w:pPr>
        <w:spacing w:line="600" w:lineRule="exac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2018年度，我办政府采购采购计划金额12.3万元，合同总价格13.1346万元：其中卫星电话1.4万元、人防应急包2.9996万元、办公设备购置合同价为8.735万元。</w:t>
      </w:r>
    </w:p>
    <w:p>
      <w:pPr>
        <w:autoSpaceDE w:val="0"/>
        <w:autoSpaceDN w:val="0"/>
        <w:adjustRightInd w:val="0"/>
        <w:spacing w:line="600" w:lineRule="exact"/>
        <w:ind w:firstLine="640" w:firstLineChars="200"/>
        <w:jc w:val="left"/>
        <w:rPr>
          <w:rFonts w:ascii="仿宋_GB2312" w:eastAsia="仿宋_GB2312"/>
          <w:bCs/>
          <w:color w:val="000000"/>
          <w:kern w:val="0"/>
          <w:sz w:val="32"/>
          <w:szCs w:val="32"/>
        </w:rPr>
      </w:pPr>
      <w:r>
        <w:rPr>
          <w:rFonts w:hint="eastAsia" w:ascii="仿宋_GB2312" w:eastAsia="仿宋_GB2312"/>
          <w:bCs/>
          <w:color w:val="000000"/>
          <w:kern w:val="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bCs/>
          <w:color w:val="000000"/>
          <w:kern w:val="0"/>
          <w:sz w:val="32"/>
          <w:szCs w:val="32"/>
        </w:rPr>
      </w:pPr>
      <w:r>
        <w:rPr>
          <w:rFonts w:hint="eastAsia" w:ascii="仿宋_GB2312" w:eastAsia="仿宋_GB2312"/>
          <w:bCs/>
          <w:color w:val="000000"/>
          <w:kern w:val="0"/>
          <w:sz w:val="32"/>
          <w:szCs w:val="32"/>
        </w:rPr>
        <w:t>截至2018年12月31日，我办有公有车辆15辆，均为其他用车；无单价50万元以上通用设备，无单价100万元以上专用设备。</w:t>
      </w:r>
    </w:p>
    <w:p>
      <w:pPr>
        <w:autoSpaceDE w:val="0"/>
        <w:autoSpaceDN w:val="0"/>
        <w:adjustRightInd w:val="0"/>
        <w:spacing w:line="600" w:lineRule="exact"/>
        <w:ind w:firstLine="640" w:firstLineChars="200"/>
        <w:jc w:val="left"/>
        <w:rPr>
          <w:rFonts w:ascii="仿宋_GB2312" w:eastAsia="仿宋_GB2312"/>
          <w:bCs/>
          <w:color w:val="000000"/>
          <w:kern w:val="0"/>
          <w:sz w:val="32"/>
          <w:szCs w:val="32"/>
        </w:rPr>
      </w:pPr>
      <w:r>
        <w:rPr>
          <w:rFonts w:hint="eastAsia" w:ascii="仿宋_GB2312" w:eastAsia="仿宋_GB2312"/>
          <w:bCs/>
          <w:color w:val="000000"/>
          <w:kern w:val="0"/>
          <w:sz w:val="32"/>
          <w:szCs w:val="32"/>
        </w:rPr>
        <w:t>（四）预算绩效情况</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按照预算绩效管理要求，本部门对2018年一般公共预算项目支出开展了绩效目标管理。</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1、评价结论</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部门预算执行情况良好，无不良记录及违规违纪行为，预算支出和决算支出情况相符。</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2、存在问题</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一是预算经费支出进度较缓；二是部门决算上报处理效率还需继续提升。</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3、改进建议</w:t>
      </w:r>
    </w:p>
    <w:p>
      <w:pPr>
        <w:spacing w:line="600" w:lineRule="atLeast"/>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加快完成机关财务管理规章制度建设、加强会计核算和财务管理能力，及时与县财政局相关科室对接工作，提升工作效率。</w:t>
      </w:r>
    </w:p>
    <w:p>
      <w:pPr>
        <w:outlineLvl w:val="0"/>
        <w:rPr>
          <w:rFonts w:ascii="仿宋_GB2312" w:eastAsia="仿宋_GB2312"/>
          <w:bCs/>
          <w:color w:val="000000"/>
          <w:kern w:val="0"/>
          <w:sz w:val="32"/>
          <w:szCs w:val="32"/>
        </w:rPr>
      </w:pPr>
      <w:bookmarkStart w:id="26" w:name="_Toc1562"/>
      <w:r>
        <w:rPr>
          <w:rFonts w:hint="eastAsia" w:ascii="仿宋_GB2312" w:eastAsia="仿宋_GB2312"/>
          <w:bCs/>
          <w:color w:val="000000"/>
          <w:kern w:val="0"/>
          <w:sz w:val="32"/>
          <w:szCs w:val="32"/>
        </w:rPr>
        <w:t>十一、名词解释</w:t>
      </w:r>
      <w:bookmarkEnd w:id="26"/>
    </w:p>
    <w:p>
      <w:pPr>
        <w:pStyle w:val="17"/>
        <w:spacing w:line="560" w:lineRule="exact"/>
        <w:rPr>
          <w:rFonts w:ascii="仿宋_GB2312" w:eastAsia="仿宋_GB2312" w:hAnsiTheme="minorHAnsi" w:cstheme="minorBidi"/>
          <w:bCs/>
          <w:sz w:val="32"/>
          <w:szCs w:val="32"/>
        </w:rPr>
      </w:pPr>
      <w:r>
        <w:rPr>
          <w:rFonts w:hint="eastAsia" w:ascii="仿宋_GB2312" w:eastAsia="仿宋_GB2312" w:hAnsiTheme="minorHAnsi" w:cstheme="minorBidi"/>
          <w:bCs/>
          <w:sz w:val="32"/>
          <w:szCs w:val="32"/>
        </w:rPr>
        <w:t xml:space="preserve">1.财政拨款收入：指县级财政当年拨付的资金。 </w:t>
      </w:r>
    </w:p>
    <w:p>
      <w:pPr>
        <w:pStyle w:val="17"/>
        <w:spacing w:line="560" w:lineRule="exact"/>
        <w:rPr>
          <w:rFonts w:ascii="仿宋_GB2312" w:eastAsia="仿宋_GB2312" w:hAnsiTheme="minorHAnsi" w:cstheme="minorBidi"/>
          <w:bCs/>
          <w:sz w:val="32"/>
          <w:szCs w:val="32"/>
        </w:rPr>
      </w:pPr>
      <w:r>
        <w:rPr>
          <w:rFonts w:hint="eastAsia" w:ascii="仿宋_GB2312" w:eastAsia="仿宋_GB2312" w:hAnsiTheme="minorHAnsi" w:cstheme="minorBidi"/>
          <w:bCs/>
          <w:sz w:val="32"/>
          <w:szCs w:val="32"/>
        </w:rPr>
        <w:t xml:space="preserve">2.其他收入：指除上述“财政拨款收入”、“事业收入”、“经营收入”等以外的收入。主要是利息收入。 </w:t>
      </w:r>
    </w:p>
    <w:p>
      <w:pPr>
        <w:pStyle w:val="17"/>
        <w:spacing w:line="560" w:lineRule="exact"/>
        <w:rPr>
          <w:rFonts w:ascii="仿宋_GB2312" w:eastAsia="仿宋_GB2312" w:hAnsiTheme="minorHAnsi" w:cstheme="minorBidi"/>
          <w:bCs/>
          <w:sz w:val="32"/>
          <w:szCs w:val="32"/>
        </w:rPr>
      </w:pPr>
      <w:r>
        <w:rPr>
          <w:rFonts w:hint="eastAsia" w:ascii="仿宋_GB2312" w:eastAsia="仿宋_GB2312" w:hAnsiTheme="minorHAnsi" w:cstheme="minorBidi"/>
          <w:bCs/>
          <w:sz w:val="32"/>
          <w:szCs w:val="32"/>
        </w:rPr>
        <w:t xml:space="preserve">3.年初结转和结余：指以前年度尚未完成、结转到本年按有关规定继续使用的资金。 </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4．一般公共服务201（类）金川县人民政府</w:t>
      </w:r>
      <w:r>
        <w:rPr>
          <w:rFonts w:hint="eastAsia" w:ascii="仿宋_GB2312" w:eastAsia="仿宋_GB2312"/>
          <w:bCs/>
          <w:color w:val="000000"/>
          <w:kern w:val="0"/>
          <w:sz w:val="32"/>
          <w:szCs w:val="32"/>
          <w:lang w:eastAsia="zh-CN"/>
        </w:rPr>
        <w:t>办公</w:t>
      </w:r>
      <w:r>
        <w:rPr>
          <w:rFonts w:hint="eastAsia" w:ascii="仿宋_GB2312" w:eastAsia="仿宋_GB2312"/>
          <w:bCs/>
          <w:color w:val="000000"/>
          <w:kern w:val="0"/>
          <w:sz w:val="32"/>
          <w:szCs w:val="32"/>
        </w:rPr>
        <w:t>室及相关机构事务03（款）行政运行01（项）反映行政单位的基本支出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5．一般公共服务201（类）金川县人民政府</w:t>
      </w:r>
      <w:r>
        <w:rPr>
          <w:rFonts w:hint="eastAsia" w:ascii="仿宋_GB2312" w:eastAsia="仿宋_GB2312"/>
          <w:bCs/>
          <w:color w:val="000000"/>
          <w:kern w:val="0"/>
          <w:sz w:val="32"/>
          <w:szCs w:val="32"/>
          <w:lang w:eastAsia="zh-CN"/>
        </w:rPr>
        <w:t>办</w:t>
      </w:r>
      <w:r>
        <w:rPr>
          <w:rFonts w:hint="eastAsia" w:ascii="仿宋_GB2312" w:eastAsia="仿宋_GB2312"/>
          <w:bCs/>
          <w:color w:val="000000"/>
          <w:kern w:val="0"/>
          <w:sz w:val="32"/>
          <w:szCs w:val="32"/>
        </w:rPr>
        <w:t>公室</w:t>
      </w:r>
      <w:bookmarkStart w:id="27" w:name="_GoBack"/>
      <w:bookmarkEnd w:id="27"/>
      <w:r>
        <w:rPr>
          <w:rFonts w:hint="eastAsia" w:ascii="仿宋_GB2312" w:eastAsia="仿宋_GB2312"/>
          <w:bCs/>
          <w:color w:val="000000"/>
          <w:kern w:val="0"/>
          <w:sz w:val="32"/>
          <w:szCs w:val="32"/>
        </w:rPr>
        <w:t>及相关机构事务03（款）事业运行50（项）反映事业单位的基本支出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6．国防支出：</w:t>
      </w:r>
    </w:p>
    <w:p>
      <w:pPr>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国防支出203（类）国防动员06（款）人民防空03（项）反映用于人民防空工程建设、宣传等方面的支出。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7．教育支出</w:t>
      </w:r>
    </w:p>
    <w:p>
      <w:pPr>
        <w:ind w:firstLine="640" w:firstLineChars="200"/>
        <w:rPr>
          <w:rFonts w:ascii="仿宋_GB2312" w:eastAsia="仿宋_GB2312"/>
          <w:bCs/>
          <w:color w:val="000000"/>
          <w:kern w:val="0"/>
          <w:sz w:val="32"/>
          <w:szCs w:val="32"/>
        </w:rPr>
      </w:pPr>
      <w:r>
        <w:rPr>
          <w:rFonts w:hint="eastAsia" w:ascii="仿宋_GB2312" w:eastAsia="仿宋_GB2312"/>
          <w:bCs/>
          <w:color w:val="000000"/>
          <w:kern w:val="0"/>
          <w:sz w:val="32"/>
          <w:szCs w:val="32"/>
        </w:rPr>
        <w:t>教育支出205（类）进修及培训08（款）培训支出03（项）反映且于培训的支出。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8.社会保障和就业208人力资源和社会保障管理事务01社会保险业务管理事务07：指反正社会保险业务管理和基金监督方面的支出。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9.社会保障和就业208行政事业单位离退休05机关事业单位基本养老保险缴费支出05：指机关事业单位实施养老保险制度由单位缴纳的基本养老保险费支出。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10.社会保障和就业208行政事业单位离退休05机关事业单位职业年金缴费支出06：指机关事业单位实施养老保险制度由单位缴纳的职业年金支出。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11． 医疗卫生与计划生育支出210医疗保障05行政单位医疗01：指反映财政部门集中安排的行政单位基本医疗保险缴费经费，未参加医疗保险的行政单位的公费医疗经费，按国家规定享受离休人员、红军老战士待遇人员的医疗经费。</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12．农林水支出213 （类）扶贫05（款）其他扶贫支出99（项）其他用于扶贫方面的支出。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13. 住房保障支出221住房改革支出02住房公积金01：指反映行政事业单位按人力资源和社会保障部、财政部规定的基本工资和津贴补贴以及规定比例为职工缴纳的住房公积金。</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14. 住房保障支出221住房改革支出02购房补贴03：指反映按房改政策规定，行政事业单位向符合条件职工（含离退休人员）、军队（含武警）向转役复员离退休人员发放的用于购买住房的补贴。</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15．其他支出229其他支出99其他支出01：指其他不能划分到具体功能科目中的支出项目。</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16.结余分配：指事业单位按规定提取的职工福利基金、事业基金和缴纳的所得税，以及建设单位按规定应交回的基本建设竣工项目结余资金。</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17.年末结转和结余：指本年度或以前年度预算安排、因客观条件发生变化无法按原计划实施，需延迟到以后年度按有关规定继续使用的资金。</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18.基本支出：指为保障机构正常运转、完成日常工作任务而发生的人员支出和公用支出。</w:t>
      </w:r>
    </w:p>
    <w:p>
      <w:pPr>
        <w:rPr>
          <w:rFonts w:ascii="仿宋_GB2312" w:eastAsia="仿宋_GB2312"/>
          <w:bCs/>
          <w:color w:val="000000"/>
          <w:kern w:val="0"/>
          <w:sz w:val="32"/>
          <w:szCs w:val="32"/>
        </w:rPr>
      </w:pPr>
      <w:r>
        <w:rPr>
          <w:rFonts w:hint="eastAsia" w:ascii="仿宋_GB2312" w:eastAsia="仿宋_GB2312"/>
          <w:bCs/>
          <w:color w:val="000000"/>
          <w:kern w:val="0"/>
          <w:sz w:val="32"/>
          <w:szCs w:val="32"/>
        </w:rPr>
        <w:t xml:space="preserve">19.项目支出：指在基本支出之外为完成特定行政任务和事业发展目标所发生的支出。 </w:t>
      </w:r>
    </w:p>
    <w:p>
      <w:pPr>
        <w:pStyle w:val="17"/>
        <w:spacing w:line="560" w:lineRule="exact"/>
        <w:rPr>
          <w:rFonts w:ascii="仿宋_GB2312" w:eastAsia="仿宋_GB2312" w:hAnsiTheme="minorHAnsi" w:cstheme="minorBidi"/>
          <w:bCs/>
          <w:sz w:val="32"/>
          <w:szCs w:val="32"/>
        </w:rPr>
      </w:pPr>
      <w:r>
        <w:rPr>
          <w:rFonts w:hint="eastAsia" w:ascii="仿宋_GB2312" w:eastAsia="仿宋_GB2312" w:hAnsiTheme="minorHAnsi" w:cstheme="minorBidi"/>
          <w:bCs/>
          <w:sz w:val="32"/>
          <w:szCs w:val="32"/>
        </w:rPr>
        <w:t>20.“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7"/>
        <w:spacing w:line="560" w:lineRule="exact"/>
        <w:rPr>
          <w:rFonts w:ascii="仿宋_GB2312" w:eastAsia="仿宋_GB2312" w:hAnsiTheme="minorHAnsi" w:cstheme="minorBidi"/>
          <w:bCs/>
          <w:sz w:val="32"/>
          <w:szCs w:val="32"/>
        </w:rPr>
      </w:pPr>
      <w:r>
        <w:rPr>
          <w:rFonts w:hint="eastAsia" w:ascii="仿宋_GB2312" w:eastAsia="仿宋_GB2312" w:hAnsiTheme="minorHAnsi" w:cstheme="minorBidi"/>
          <w:bCs/>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_GB2312" w:eastAsia="仿宋_GB2312"/>
          <w:bCs/>
          <w:color w:val="000000"/>
          <w:kern w:val="0"/>
          <w:sz w:val="32"/>
          <w:szCs w:val="32"/>
        </w:rPr>
      </w:pPr>
    </w:p>
    <w:p>
      <w:pPr>
        <w:ind w:firstLine="5760" w:firstLineChars="1800"/>
        <w:rPr>
          <w:rFonts w:ascii="仿宋_GB2312" w:eastAsia="仿宋_GB2312"/>
          <w:bCs/>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E29189"/>
    <w:multiLevelType w:val="singleLevel"/>
    <w:tmpl w:val="10E29189"/>
    <w:lvl w:ilvl="0" w:tentative="0">
      <w:start w:val="1"/>
      <w:numFmt w:val="chineseCounting"/>
      <w:suff w:val="nothing"/>
      <w:lvlText w:val="（%1）"/>
      <w:lvlJc w:val="left"/>
      <w:rPr>
        <w:rFonts w:hint="eastAsia"/>
      </w:rPr>
    </w:lvl>
  </w:abstractNum>
  <w:abstractNum w:abstractNumId="1">
    <w:nsid w:val="59671782"/>
    <w:multiLevelType w:val="multilevel"/>
    <w:tmpl w:val="59671782"/>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jZjE1OTBmZTc4M2ZlNjdmNWM1MmQ5OThkMGU1NjEifQ=="/>
  </w:docVars>
  <w:rsids>
    <w:rsidRoot w:val="00722A22"/>
    <w:rsid w:val="000552F6"/>
    <w:rsid w:val="0006007D"/>
    <w:rsid w:val="0013713E"/>
    <w:rsid w:val="002240D8"/>
    <w:rsid w:val="00337619"/>
    <w:rsid w:val="004D0FE4"/>
    <w:rsid w:val="004D38C0"/>
    <w:rsid w:val="005D7857"/>
    <w:rsid w:val="00722A22"/>
    <w:rsid w:val="00762C37"/>
    <w:rsid w:val="007E4616"/>
    <w:rsid w:val="00804A59"/>
    <w:rsid w:val="008A241D"/>
    <w:rsid w:val="008E1BB8"/>
    <w:rsid w:val="00920DB5"/>
    <w:rsid w:val="00AB3DD2"/>
    <w:rsid w:val="00AC11EB"/>
    <w:rsid w:val="00BF78C9"/>
    <w:rsid w:val="00C347BB"/>
    <w:rsid w:val="00CB1484"/>
    <w:rsid w:val="00DA6ED6"/>
    <w:rsid w:val="00E2355F"/>
    <w:rsid w:val="00E26EBF"/>
    <w:rsid w:val="00E96345"/>
    <w:rsid w:val="00EB6B57"/>
    <w:rsid w:val="00EB6EAA"/>
    <w:rsid w:val="00F33F8A"/>
    <w:rsid w:val="07C73CC9"/>
    <w:rsid w:val="0CB66EA4"/>
    <w:rsid w:val="138D5CD0"/>
    <w:rsid w:val="326A573A"/>
    <w:rsid w:val="3D8B3D50"/>
    <w:rsid w:val="470314AB"/>
    <w:rsid w:val="48FB5CE4"/>
    <w:rsid w:val="69F96A68"/>
    <w:rsid w:val="754A35A5"/>
    <w:rsid w:val="75B878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3">
    <w:name w:val="Balloon Text"/>
    <w:basedOn w:val="1"/>
    <w:link w:val="16"/>
    <w:uiPriority w:val="0"/>
    <w:rPr>
      <w:sz w:val="18"/>
      <w:szCs w:val="18"/>
    </w:rPr>
  </w:style>
  <w:style w:type="paragraph" w:styleId="4">
    <w:name w:val="footer"/>
    <w:basedOn w:val="1"/>
    <w:link w:val="14"/>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tabs>
        <w:tab w:val="right" w:leader="dot" w:pos="8296"/>
      </w:tabs>
      <w:spacing w:before="93"/>
      <w:jc w:val="center"/>
    </w:pPr>
    <w:rPr>
      <w:rFonts w:ascii="仿宋" w:hAnsi="仿宋" w:eastAsia="仿宋" w:cs="Times New Roman"/>
      <w:sz w:val="28"/>
      <w:szCs w:val="28"/>
    </w:rPr>
  </w:style>
  <w:style w:type="paragraph" w:styleId="7">
    <w:name w:val="Normal (Web)"/>
    <w:basedOn w:val="1"/>
    <w:qFormat/>
    <w:uiPriority w:val="0"/>
    <w:pPr>
      <w:spacing w:beforeAutospacing="1" w:afterAutospacing="1"/>
      <w:jc w:val="left"/>
    </w:pPr>
    <w:rPr>
      <w:rFonts w:cs="Times New Roman"/>
      <w:color w:val="FF3300"/>
      <w:kern w:val="0"/>
      <w:sz w:val="24"/>
      <w:u w:val="single"/>
    </w:rPr>
  </w:style>
  <w:style w:type="character" w:styleId="10">
    <w:name w:val="Strong"/>
    <w:basedOn w:val="9"/>
    <w:qFormat/>
    <w:uiPriority w:val="22"/>
    <w:rPr>
      <w:b/>
    </w:rPr>
  </w:style>
  <w:style w:type="character" w:styleId="11">
    <w:name w:val="FollowedHyperlink"/>
    <w:basedOn w:val="9"/>
    <w:qFormat/>
    <w:uiPriority w:val="0"/>
    <w:rPr>
      <w:color w:val="4E4342"/>
      <w:u w:val="none"/>
    </w:rPr>
  </w:style>
  <w:style w:type="character" w:styleId="12">
    <w:name w:val="Hyperlink"/>
    <w:basedOn w:val="9"/>
    <w:qFormat/>
    <w:uiPriority w:val="0"/>
    <w:rPr>
      <w:color w:val="4E4342"/>
      <w:u w:val="none"/>
    </w:rPr>
  </w:style>
  <w:style w:type="character" w:customStyle="1" w:styleId="13">
    <w:name w:val="页眉 Char"/>
    <w:basedOn w:val="9"/>
    <w:link w:val="5"/>
    <w:uiPriority w:val="0"/>
    <w:rPr>
      <w:rFonts w:asciiTheme="minorHAnsi" w:hAnsiTheme="minorHAnsi" w:eastAsiaTheme="minorEastAsia" w:cstheme="minorBidi"/>
      <w:kern w:val="2"/>
      <w:sz w:val="18"/>
      <w:szCs w:val="18"/>
    </w:rPr>
  </w:style>
  <w:style w:type="character" w:customStyle="1" w:styleId="14">
    <w:name w:val="页脚 Char"/>
    <w:basedOn w:val="9"/>
    <w:link w:val="4"/>
    <w:qFormat/>
    <w:uiPriority w:val="0"/>
    <w:rPr>
      <w:rFonts w:asciiTheme="minorHAnsi" w:hAnsiTheme="minorHAnsi" w:eastAsiaTheme="minorEastAsia" w:cstheme="minorBidi"/>
      <w:kern w:val="2"/>
      <w:sz w:val="18"/>
      <w:szCs w:val="18"/>
    </w:rPr>
  </w:style>
  <w:style w:type="paragraph" w:styleId="15">
    <w:name w:val="List Paragraph"/>
    <w:basedOn w:val="1"/>
    <w:unhideWhenUsed/>
    <w:qFormat/>
    <w:uiPriority w:val="99"/>
    <w:pPr>
      <w:ind w:firstLine="420" w:firstLineChars="200"/>
    </w:pPr>
  </w:style>
  <w:style w:type="character" w:customStyle="1" w:styleId="16">
    <w:name w:val="批注框文本 Char"/>
    <w:basedOn w:val="9"/>
    <w:link w:val="3"/>
    <w:qFormat/>
    <w:uiPriority w:val="0"/>
    <w:rPr>
      <w:rFonts w:asciiTheme="minorHAnsi" w:hAnsiTheme="minorHAnsi" w:eastAsiaTheme="minorEastAsia" w:cstheme="minorBidi"/>
      <w:kern w:val="2"/>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WPSOffice手动目录 1"/>
    <w:uiPriority w:val="0"/>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6923076923077"/>
          <c:y val="0.34703196347032"/>
          <c:w val="0.523076923076922"/>
          <c:h val="0.305936073059361"/>
        </c:manualLayout>
      </c:layout>
      <c:pieChart>
        <c:varyColors val="1"/>
        <c:ser>
          <c:idx val="0"/>
          <c:order val="0"/>
          <c:tx>
            <c:strRef>
              <c:f>Sheet1!$A$2</c:f>
              <c:strCache>
                <c:ptCount val="1"/>
                <c:pt idx="0">
                  <c:v>本年收入</c:v>
                </c:pt>
              </c:strCache>
            </c:strRef>
          </c:tx>
          <c:spPr>
            <a:solidFill>
              <a:srgbClr val="9999FF"/>
            </a:solidFill>
            <a:ln w="9481">
              <a:solidFill>
                <a:srgbClr val="000000"/>
              </a:solidFill>
              <a:prstDash val="solid"/>
            </a:ln>
          </c:spPr>
          <c:explosion val="0"/>
          <c:dPt>
            <c:idx val="0"/>
            <c:bubble3D val="0"/>
            <c:spPr>
              <a:solidFill>
                <a:srgbClr val="9999FF"/>
              </a:solidFill>
              <a:ln w="9481">
                <a:solidFill>
                  <a:srgbClr val="000000"/>
                </a:solidFill>
                <a:prstDash val="solid"/>
              </a:ln>
            </c:spPr>
          </c:dPt>
          <c:dPt>
            <c:idx val="1"/>
            <c:bubble3D val="0"/>
            <c:spPr>
              <a:solidFill>
                <a:srgbClr val="993366"/>
              </a:solidFill>
              <a:ln w="9481">
                <a:solidFill>
                  <a:srgbClr val="000000"/>
                </a:solidFill>
                <a:prstDash val="solid"/>
              </a:ln>
            </c:spPr>
          </c:dPt>
          <c:dLbls>
            <c:delete val="1"/>
          </c:dLbls>
          <c:cat>
            <c:strRef>
              <c:f>Sheet1!$B$1:$C$1</c:f>
              <c:strCache>
                <c:ptCount val="2"/>
                <c:pt idx="0">
                  <c:v>财政拨款收入</c:v>
                </c:pt>
                <c:pt idx="1">
                  <c:v>其他收入</c:v>
                </c:pt>
              </c:strCache>
            </c:strRef>
          </c:cat>
          <c:val>
            <c:numRef>
              <c:f>Sheet1!$B$2:$C$2</c:f>
              <c:numCache>
                <c:formatCode>General</c:formatCode>
                <c:ptCount val="2"/>
                <c:pt idx="0">
                  <c:v>1105.78</c:v>
                </c:pt>
                <c:pt idx="1">
                  <c:v>0</c:v>
                </c:pt>
              </c:numCache>
            </c:numRef>
          </c:val>
        </c:ser>
        <c:ser>
          <c:idx val="1"/>
          <c:order val="1"/>
          <c:tx>
            <c:strRef>
              <c:f>Sheet1!$A$3</c:f>
              <c:strCache>
                <c:ptCount val="1"/>
                <c:pt idx="0">
                  <c:v/>
                </c:pt>
              </c:strCache>
            </c:strRef>
          </c:tx>
          <c:spPr>
            <a:solidFill>
              <a:srgbClr val="993366"/>
            </a:solidFill>
            <a:ln w="9481">
              <a:solidFill>
                <a:srgbClr val="000000"/>
              </a:solidFill>
              <a:prstDash val="solid"/>
            </a:ln>
          </c:spPr>
          <c:explosion val="0"/>
          <c:dPt>
            <c:idx val="0"/>
            <c:bubble3D val="0"/>
            <c:spPr>
              <a:solidFill>
                <a:srgbClr val="9999FF"/>
              </a:solidFill>
              <a:ln w="9481">
                <a:solidFill>
                  <a:srgbClr val="000000"/>
                </a:solidFill>
                <a:prstDash val="solid"/>
              </a:ln>
            </c:spPr>
          </c:dPt>
          <c:dPt>
            <c:idx val="1"/>
            <c:bubble3D val="0"/>
            <c:spPr>
              <a:solidFill>
                <a:srgbClr val="993366"/>
              </a:solidFill>
              <a:ln w="9481">
                <a:solidFill>
                  <a:srgbClr val="000000"/>
                </a:solidFill>
                <a:prstDash val="solid"/>
              </a:ln>
            </c:spPr>
          </c:dPt>
          <c:dLbls>
            <c:delete val="1"/>
          </c:dLbls>
          <c:cat>
            <c:strRef>
              <c:f>Sheet1!$B$1:$C$1</c:f>
              <c:strCache>
                <c:ptCount val="2"/>
                <c:pt idx="0">
                  <c:v>财政拨款收入</c:v>
                </c:pt>
                <c:pt idx="1">
                  <c:v>其他收入</c:v>
                </c:pt>
              </c:strCache>
            </c:strRef>
          </c:cat>
          <c:val>
            <c:numRef>
              <c:f>Sheet1!$B$3:$C$3</c:f>
              <c:numCache>
                <c:formatCode>General</c:formatCode>
                <c:ptCount val="2"/>
              </c:numCache>
            </c:numRef>
          </c:val>
        </c:ser>
        <c:ser>
          <c:idx val="2"/>
          <c:order val="2"/>
          <c:tx>
            <c:strRef>
              <c:f>Sheet1!$A$4</c:f>
              <c:strCache>
                <c:ptCount val="1"/>
                <c:pt idx="0">
                  <c:v/>
                </c:pt>
              </c:strCache>
            </c:strRef>
          </c:tx>
          <c:spPr>
            <a:solidFill>
              <a:srgbClr val="FFFFCC"/>
            </a:solidFill>
            <a:ln w="9481">
              <a:solidFill>
                <a:srgbClr val="000000"/>
              </a:solidFill>
              <a:prstDash val="solid"/>
            </a:ln>
          </c:spPr>
          <c:explosion val="0"/>
          <c:dPt>
            <c:idx val="0"/>
            <c:bubble3D val="0"/>
            <c:spPr>
              <a:solidFill>
                <a:srgbClr val="9999FF"/>
              </a:solidFill>
              <a:ln w="9481">
                <a:solidFill>
                  <a:srgbClr val="000000"/>
                </a:solidFill>
                <a:prstDash val="solid"/>
              </a:ln>
            </c:spPr>
          </c:dPt>
          <c:dPt>
            <c:idx val="1"/>
            <c:bubble3D val="0"/>
            <c:spPr>
              <a:solidFill>
                <a:srgbClr val="993366"/>
              </a:solidFill>
              <a:ln w="9481">
                <a:solidFill>
                  <a:srgbClr val="000000"/>
                </a:solidFill>
                <a:prstDash val="solid"/>
              </a:ln>
            </c:spPr>
          </c:dPt>
          <c:dLbls>
            <c:delete val="1"/>
          </c:dLbls>
          <c:cat>
            <c:strRef>
              <c:f>Sheet1!$B$1:$C$1</c:f>
              <c:strCache>
                <c:ptCount val="2"/>
                <c:pt idx="0">
                  <c:v>财政拨款收入</c:v>
                </c:pt>
                <c:pt idx="1">
                  <c:v>其他收入</c:v>
                </c:pt>
              </c:strCache>
            </c:strRef>
          </c:cat>
          <c:val>
            <c:numRef>
              <c:f>Sheet1!$B$4:$C$4</c:f>
              <c:numCache>
                <c:formatCode>General</c:formatCode>
                <c:ptCount val="2"/>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manualLayout>
          <c:xMode val="edge"/>
          <c:yMode val="edge"/>
          <c:x val="0.661538461538463"/>
          <c:y val="0.410958904109589"/>
          <c:w val="0.326153846153846"/>
          <c:h val="0.178082191780822"/>
        </c:manualLayout>
      </c:layout>
      <c:overlay val="0"/>
      <c:spPr>
        <a:noFill/>
        <a:ln w="2370">
          <a:solidFill>
            <a:srgbClr val="000000"/>
          </a:solidFill>
          <a:prstDash val="solid"/>
        </a:ln>
      </c:spPr>
      <c:txPr>
        <a:bodyPr rot="0" spcFirstLastPara="0" vertOverflow="ellipsis" vert="horz" wrap="square" anchor="ctr" anchorCtr="1"/>
        <a:lstStyle/>
        <a:p>
          <a:pPr>
            <a:defRPr lang="zh-CN" sz="7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78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11392405063"/>
          <c:y val="0.147058823529412"/>
          <c:w val="0.579113924050633"/>
          <c:h val="0.705882352941178"/>
        </c:manualLayout>
      </c:layout>
      <c:pieChart>
        <c:varyColors val="1"/>
        <c:ser>
          <c:idx val="0"/>
          <c:order val="0"/>
          <c:tx>
            <c:strRef>
              <c:f>Sheet1!$A$2</c:f>
              <c:strCache>
                <c:ptCount val="1"/>
                <c:pt idx="0">
                  <c:v>本年支出</c:v>
                </c:pt>
              </c:strCache>
            </c:strRef>
          </c:tx>
          <c:spPr>
            <a:solidFill>
              <a:srgbClr val="9999FF"/>
            </a:solidFill>
            <a:ln w="9523">
              <a:solidFill>
                <a:srgbClr val="000000"/>
              </a:solidFill>
              <a:prstDash val="solid"/>
            </a:ln>
          </c:spPr>
          <c:explosion val="0"/>
          <c:dPt>
            <c:idx val="0"/>
            <c:bubble3D val="0"/>
            <c:spPr>
              <a:solidFill>
                <a:srgbClr val="9999FF"/>
              </a:solidFill>
              <a:ln w="9523">
                <a:solidFill>
                  <a:srgbClr val="000000"/>
                </a:solidFill>
                <a:prstDash val="solid"/>
              </a:ln>
            </c:spPr>
          </c:dPt>
          <c:dPt>
            <c:idx val="1"/>
            <c:bubble3D val="0"/>
            <c:spPr>
              <a:solidFill>
                <a:srgbClr val="993366"/>
              </a:solidFill>
              <a:ln w="9523">
                <a:solidFill>
                  <a:srgbClr val="000000"/>
                </a:solidFill>
                <a:prstDash val="solid"/>
              </a:ln>
            </c:spPr>
          </c:dPt>
          <c:dLbls>
            <c:delete val="1"/>
          </c:dLbls>
          <c:cat>
            <c:strRef>
              <c:f>Sheet1!$B$1:$C$1</c:f>
              <c:strCache>
                <c:ptCount val="2"/>
                <c:pt idx="0">
                  <c:v>基本支出</c:v>
                </c:pt>
                <c:pt idx="1">
                  <c:v>项目支出</c:v>
                </c:pt>
              </c:strCache>
            </c:strRef>
          </c:cat>
          <c:val>
            <c:numRef>
              <c:f>Sheet1!$B$2:$C$2</c:f>
              <c:numCache>
                <c:formatCode>General</c:formatCode>
                <c:ptCount val="2"/>
                <c:pt idx="0">
                  <c:v>1065.29</c:v>
                </c:pt>
                <c:pt idx="1">
                  <c:v>28.7</c:v>
                </c:pt>
              </c:numCache>
            </c:numRef>
          </c:val>
        </c:ser>
        <c:ser>
          <c:idx val="1"/>
          <c:order val="1"/>
          <c:tx>
            <c:strRef>
              <c:f>Sheet1!$A$3</c:f>
              <c:strCache>
                <c:ptCount val="1"/>
                <c:pt idx="0">
                  <c:v/>
                </c:pt>
              </c:strCache>
            </c:strRef>
          </c:tx>
          <c:spPr>
            <a:solidFill>
              <a:srgbClr val="993366"/>
            </a:solidFill>
            <a:ln w="9523">
              <a:solidFill>
                <a:srgbClr val="000000"/>
              </a:solidFill>
              <a:prstDash val="solid"/>
            </a:ln>
          </c:spPr>
          <c:explosion val="0"/>
          <c:dPt>
            <c:idx val="0"/>
            <c:bubble3D val="0"/>
            <c:spPr>
              <a:solidFill>
                <a:srgbClr val="9999FF"/>
              </a:solidFill>
              <a:ln w="9523">
                <a:solidFill>
                  <a:srgbClr val="000000"/>
                </a:solidFill>
                <a:prstDash val="solid"/>
              </a:ln>
            </c:spPr>
          </c:dPt>
          <c:dPt>
            <c:idx val="1"/>
            <c:bubble3D val="0"/>
            <c:spPr>
              <a:solidFill>
                <a:srgbClr val="993366"/>
              </a:solidFill>
              <a:ln w="9523">
                <a:solidFill>
                  <a:srgbClr val="000000"/>
                </a:solidFill>
                <a:prstDash val="solid"/>
              </a:ln>
            </c:spPr>
          </c:dPt>
          <c:dLbls>
            <c:delete val="1"/>
          </c:dLbls>
          <c:cat>
            <c:strRef>
              <c:f>Sheet1!$B$1:$C$1</c:f>
              <c:strCache>
                <c:ptCount val="2"/>
                <c:pt idx="0">
                  <c:v>基本支出</c:v>
                </c:pt>
                <c:pt idx="1">
                  <c:v>项目支出</c:v>
                </c:pt>
              </c:strCache>
            </c:strRef>
          </c:cat>
          <c:val>
            <c:numRef>
              <c:f>Sheet1!$B$3:$C$3</c:f>
              <c:numCache>
                <c:formatCode>General</c:formatCode>
                <c:ptCount val="2"/>
              </c:numCache>
            </c:numRef>
          </c:val>
        </c:ser>
        <c:ser>
          <c:idx val="2"/>
          <c:order val="2"/>
          <c:tx>
            <c:strRef>
              <c:f>Sheet1!$A$4</c:f>
              <c:strCache>
                <c:ptCount val="1"/>
                <c:pt idx="0">
                  <c:v/>
                </c:pt>
              </c:strCache>
            </c:strRef>
          </c:tx>
          <c:spPr>
            <a:solidFill>
              <a:srgbClr val="FFFFCC"/>
            </a:solidFill>
            <a:ln w="9523">
              <a:solidFill>
                <a:srgbClr val="000000"/>
              </a:solidFill>
              <a:prstDash val="solid"/>
            </a:ln>
          </c:spPr>
          <c:explosion val="0"/>
          <c:dPt>
            <c:idx val="0"/>
            <c:bubble3D val="0"/>
            <c:spPr>
              <a:solidFill>
                <a:srgbClr val="9999FF"/>
              </a:solidFill>
              <a:ln w="9523">
                <a:solidFill>
                  <a:srgbClr val="000000"/>
                </a:solidFill>
                <a:prstDash val="solid"/>
              </a:ln>
            </c:spPr>
          </c:dPt>
          <c:dPt>
            <c:idx val="1"/>
            <c:bubble3D val="0"/>
            <c:spPr>
              <a:solidFill>
                <a:srgbClr val="993366"/>
              </a:solidFill>
              <a:ln w="9523">
                <a:solidFill>
                  <a:srgbClr val="000000"/>
                </a:solidFill>
                <a:prstDash val="solid"/>
              </a:ln>
            </c:spPr>
          </c:dPt>
          <c:dLbls>
            <c:delete val="1"/>
          </c:dLbls>
          <c:cat>
            <c:strRef>
              <c:f>Sheet1!$B$1:$C$1</c:f>
              <c:strCache>
                <c:ptCount val="2"/>
                <c:pt idx="0">
                  <c:v>基本支出</c:v>
                </c:pt>
                <c:pt idx="1">
                  <c:v>项目支出</c:v>
                </c:pt>
              </c:strCache>
            </c:strRef>
          </c:cat>
          <c:val>
            <c:numRef>
              <c:f>Sheet1!$B$4:$C$4</c:f>
              <c:numCache>
                <c:formatCode>General</c:formatCode>
                <c:ptCount val="2"/>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manualLayout>
          <c:xMode val="edge"/>
          <c:yMode val="edge"/>
          <c:x val="0.851265822784811"/>
          <c:y val="0.372549019607843"/>
          <c:w val="0.136075949367089"/>
          <c:h val="0.264705882352941"/>
        </c:manualLayout>
      </c:layout>
      <c:overlay val="0"/>
      <c:spPr>
        <a:noFill/>
        <a:ln w="2381">
          <a:solidFill>
            <a:srgbClr val="000000"/>
          </a:solidFill>
          <a:prstDash val="solid"/>
        </a:ln>
      </c:spPr>
      <c:txPr>
        <a:bodyPr rot="0" spcFirstLastPara="0" vertOverflow="ellipsis" vert="horz" wrap="square" anchor="ctr" anchorCtr="1"/>
        <a:lstStyle/>
        <a:p>
          <a:pPr>
            <a:defRPr lang="zh-CN" sz="3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3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18680373286672"/>
          <c:y val="0.0250269990136583"/>
          <c:w val="0.789871094439375"/>
          <c:h val="0.829726775956284"/>
        </c:manualLayout>
      </c:layout>
      <c:barChart>
        <c:barDir val="col"/>
        <c:grouping val="clustered"/>
        <c:varyColors val="0"/>
        <c:ser>
          <c:idx val="0"/>
          <c:order val="0"/>
          <c:tx>
            <c:strRef>
              <c:f>Sheet1!$A$2</c:f>
              <c:strCache>
                <c:ptCount val="1"/>
                <c:pt idx="0">
                  <c:v>2017年度</c:v>
                </c:pt>
              </c:strCache>
            </c:strRef>
          </c:tx>
          <c:spPr>
            <a:solidFill>
              <a:srgbClr val="9999FF"/>
            </a:solidFill>
            <a:ln w="9520">
              <a:solidFill>
                <a:srgbClr val="000000"/>
              </a:solidFill>
              <a:prstDash val="solid"/>
            </a:ln>
          </c:spPr>
          <c:invertIfNegative val="0"/>
          <c:dLbls>
            <c:delete val="1"/>
          </c:dLbls>
          <c:cat>
            <c:strRef>
              <c:f>Sheet1!$B$1:$B$1</c:f>
              <c:strCache>
                <c:ptCount val="1"/>
                <c:pt idx="0">
                  <c:v>财政拨款收支总决算数</c:v>
                </c:pt>
              </c:strCache>
            </c:strRef>
          </c:cat>
          <c:val>
            <c:numRef>
              <c:f>Sheet1!$B$2:$B$2</c:f>
              <c:numCache>
                <c:formatCode>General</c:formatCode>
                <c:ptCount val="1"/>
                <c:pt idx="0">
                  <c:v>1419.92</c:v>
                </c:pt>
              </c:numCache>
            </c:numRef>
          </c:val>
        </c:ser>
        <c:ser>
          <c:idx val="1"/>
          <c:order val="1"/>
          <c:tx>
            <c:strRef>
              <c:f>Sheet1!$A$3</c:f>
              <c:strCache>
                <c:ptCount val="1"/>
                <c:pt idx="0">
                  <c:v>2018年度</c:v>
                </c:pt>
              </c:strCache>
            </c:strRef>
          </c:tx>
          <c:spPr>
            <a:solidFill>
              <a:srgbClr val="993366"/>
            </a:solidFill>
            <a:ln w="9520">
              <a:solidFill>
                <a:srgbClr val="000000"/>
              </a:solidFill>
              <a:prstDash val="solid"/>
            </a:ln>
          </c:spPr>
          <c:invertIfNegative val="0"/>
          <c:dLbls>
            <c:delete val="1"/>
          </c:dLbls>
          <c:cat>
            <c:strRef>
              <c:f>Sheet1!$B$1:$B$1</c:f>
              <c:strCache>
                <c:ptCount val="1"/>
                <c:pt idx="0">
                  <c:v>财政拨款收支总决算数</c:v>
                </c:pt>
              </c:strCache>
            </c:strRef>
          </c:cat>
          <c:val>
            <c:numRef>
              <c:f>Sheet1!$B$3:$B$3</c:f>
              <c:numCache>
                <c:formatCode>General</c:formatCode>
                <c:ptCount val="1"/>
                <c:pt idx="0">
                  <c:v>1105.78</c:v>
                </c:pt>
              </c:numCache>
            </c:numRef>
          </c:val>
        </c:ser>
        <c:dLbls>
          <c:showLegendKey val="0"/>
          <c:showVal val="0"/>
          <c:showCatName val="0"/>
          <c:showSerName val="0"/>
          <c:showPercent val="0"/>
          <c:showBubbleSize val="0"/>
        </c:dLbls>
        <c:gapWidth val="150"/>
        <c:axId val="262177920"/>
        <c:axId val="262179456"/>
      </c:barChart>
      <c:catAx>
        <c:axId val="262177920"/>
        <c:scaling>
          <c:orientation val="minMax"/>
        </c:scaling>
        <c:delete val="0"/>
        <c:axPos val="b"/>
        <c:numFmt formatCode="General" sourceLinked="1"/>
        <c:majorTickMark val="in"/>
        <c:minorTickMark val="none"/>
        <c:tickLblPos val="low"/>
        <c:spPr>
          <a:ln w="2380" cap="flat" cmpd="sng" algn="ctr">
            <a:solidFill>
              <a:srgbClr val="000000"/>
            </a:solidFill>
            <a:prstDash val="solid"/>
            <a:round/>
          </a:ln>
        </c:spPr>
        <c:txPr>
          <a:bodyPr rot="0" spcFirstLastPara="0" vertOverflow="ellipsis" vert="horz" wrap="square" anchor="ctr" anchorCtr="1"/>
          <a:lstStyle/>
          <a:p>
            <a:pPr>
              <a:defRPr lang="zh-CN" sz="11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62179456"/>
        <c:crosses val="autoZero"/>
        <c:auto val="1"/>
        <c:lblAlgn val="ctr"/>
        <c:lblOffset val="100"/>
        <c:tickLblSkip val="1"/>
        <c:noMultiLvlLbl val="0"/>
      </c:catAx>
      <c:valAx>
        <c:axId val="262179456"/>
        <c:scaling>
          <c:orientation val="minMax"/>
        </c:scaling>
        <c:delete val="0"/>
        <c:axPos val="l"/>
        <c:majorGridlines>
          <c:spPr>
            <a:ln w="2380" cap="flat" cmpd="sng" algn="ctr">
              <a:solidFill>
                <a:srgbClr val="000000"/>
              </a:solidFill>
              <a:prstDash val="solid"/>
              <a:round/>
            </a:ln>
          </c:spPr>
        </c:majorGridlines>
        <c:numFmt formatCode="General" sourceLinked="1"/>
        <c:majorTickMark val="in"/>
        <c:minorTickMark val="none"/>
        <c:tickLblPos val="nextTo"/>
        <c:spPr>
          <a:ln w="2380" cap="flat" cmpd="sng" algn="ctr">
            <a:solidFill>
              <a:srgbClr val="000000"/>
            </a:solidFill>
            <a:prstDash val="solid"/>
            <a:round/>
          </a:ln>
        </c:spPr>
        <c:txPr>
          <a:bodyPr rot="0" spcFirstLastPara="0" vertOverflow="ellipsis" vert="horz" wrap="square" anchor="ctr" anchorCtr="1"/>
          <a:lstStyle/>
          <a:p>
            <a:pPr>
              <a:defRPr lang="zh-CN" sz="11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6217792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835994194484762"/>
          <c:y val="0.406779661016949"/>
          <c:w val="0.158200290275762"/>
          <c:h val="0.193220338983051"/>
        </c:manualLayout>
      </c:layout>
      <c:overlay val="0"/>
      <c:spPr>
        <a:noFill/>
        <a:ln w="2380">
          <a:solidFill>
            <a:srgbClr val="000000"/>
          </a:solidFill>
          <a:prstDash val="solid"/>
        </a:ln>
      </c:spPr>
      <c:txPr>
        <a:bodyPr rot="0" spcFirstLastPara="0" vertOverflow="ellipsis" vert="horz" wrap="square" anchor="ctr" anchorCtr="1"/>
        <a:lstStyle/>
        <a:p>
          <a:pPr>
            <a:defRPr lang="zh-CN" sz="99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6350" cap="flat" cmpd="sng" algn="ctr">
      <a:noFill/>
      <a:prstDash val="solid"/>
      <a:round/>
    </a:ln>
  </c:spPr>
  <c:txPr>
    <a:bodyPr/>
    <a:lstStyle/>
    <a:p>
      <a:pPr>
        <a:defRPr lang="zh-CN" sz="108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93525179856"/>
          <c:y val="0.0875912408759125"/>
          <c:w val="0.471223021582734"/>
          <c:h val="0.686131386861314"/>
        </c:manualLayout>
      </c:layout>
      <c:barChart>
        <c:barDir val="col"/>
        <c:grouping val="clustered"/>
        <c:varyColors val="0"/>
        <c:ser>
          <c:idx val="0"/>
          <c:order val="0"/>
          <c:tx>
            <c:strRef>
              <c:f>Sheet1!$A$2</c:f>
              <c:strCache>
                <c:ptCount val="1"/>
                <c:pt idx="0">
                  <c:v>一般公共预算财政拨款支出数</c:v>
                </c:pt>
              </c:strCache>
            </c:strRef>
          </c:tx>
          <c:spPr>
            <a:solidFill>
              <a:srgbClr val="9999FF"/>
            </a:solidFill>
            <a:ln w="9622">
              <a:solidFill>
                <a:srgbClr val="000000"/>
              </a:solidFill>
              <a:prstDash val="solid"/>
            </a:ln>
          </c:spPr>
          <c:invertIfNegative val="0"/>
          <c:dLbls>
            <c:delete val="1"/>
          </c:dLbls>
          <c:cat>
            <c:strRef>
              <c:f>Sheet1!$B$1:$C$1</c:f>
              <c:strCache>
                <c:ptCount val="2"/>
                <c:pt idx="0">
                  <c:v>2017年度</c:v>
                </c:pt>
                <c:pt idx="1">
                  <c:v>2018年度</c:v>
                </c:pt>
              </c:strCache>
            </c:strRef>
          </c:cat>
          <c:val>
            <c:numRef>
              <c:f>Sheet1!$B$2:$C$2</c:f>
              <c:numCache>
                <c:formatCode>General</c:formatCode>
                <c:ptCount val="2"/>
                <c:pt idx="0">
                  <c:v>1419.92</c:v>
                </c:pt>
                <c:pt idx="1">
                  <c:v>1093.99</c:v>
                </c:pt>
              </c:numCache>
            </c:numRef>
          </c:val>
        </c:ser>
        <c:dLbls>
          <c:showLegendKey val="0"/>
          <c:showVal val="0"/>
          <c:showCatName val="0"/>
          <c:showSerName val="0"/>
          <c:showPercent val="0"/>
          <c:showBubbleSize val="0"/>
        </c:dLbls>
        <c:gapWidth val="150"/>
        <c:axId val="265857280"/>
        <c:axId val="265883648"/>
      </c:barChart>
      <c:catAx>
        <c:axId val="265857280"/>
        <c:scaling>
          <c:orientation val="minMax"/>
        </c:scaling>
        <c:delete val="0"/>
        <c:axPos val="b"/>
        <c:numFmt formatCode="General" sourceLinked="1"/>
        <c:majorTickMark val="in"/>
        <c:minorTickMark val="none"/>
        <c:tickLblPos val="low"/>
        <c:spPr>
          <a:ln w="2405" cap="flat" cmpd="sng" algn="ctr">
            <a:solidFill>
              <a:srgbClr val="000000"/>
            </a:solidFill>
            <a:prstDash val="solid"/>
            <a:round/>
          </a:ln>
        </c:spPr>
        <c:txPr>
          <a:bodyPr rot="0" spcFirstLastPara="0" vertOverflow="ellipsis" vert="horz" wrap="square" anchor="ctr" anchorCtr="1"/>
          <a:lstStyle/>
          <a:p>
            <a:pPr>
              <a:defRPr lang="zh-CN" sz="6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65883648"/>
        <c:crosses val="autoZero"/>
        <c:auto val="1"/>
        <c:lblAlgn val="ctr"/>
        <c:lblOffset val="100"/>
        <c:tickLblSkip val="1"/>
        <c:noMultiLvlLbl val="0"/>
      </c:catAx>
      <c:valAx>
        <c:axId val="265883648"/>
        <c:scaling>
          <c:orientation val="minMax"/>
        </c:scaling>
        <c:delete val="0"/>
        <c:axPos val="l"/>
        <c:majorGridlines>
          <c:spPr>
            <a:ln w="2405" cap="flat" cmpd="sng" algn="ctr">
              <a:solidFill>
                <a:srgbClr val="000000"/>
              </a:solidFill>
              <a:prstDash val="solid"/>
              <a:round/>
            </a:ln>
          </c:spPr>
        </c:majorGridlines>
        <c:numFmt formatCode="General" sourceLinked="1"/>
        <c:majorTickMark val="in"/>
        <c:minorTickMark val="none"/>
        <c:tickLblPos val="nextTo"/>
        <c:spPr>
          <a:ln w="2405" cap="flat" cmpd="sng" algn="ctr">
            <a:solidFill>
              <a:srgbClr val="000000"/>
            </a:solidFill>
            <a:prstDash val="solid"/>
            <a:round/>
          </a:ln>
        </c:spPr>
        <c:txPr>
          <a:bodyPr rot="0" spcFirstLastPara="0" vertOverflow="ellipsis" vert="horz" wrap="square" anchor="ctr" anchorCtr="1"/>
          <a:lstStyle/>
          <a:p>
            <a:pPr>
              <a:defRPr lang="zh-CN" sz="6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6585728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643884892086332"/>
          <c:y val="0.394160583941607"/>
          <c:w val="0.341726618705036"/>
          <c:h val="0.218978102189781"/>
        </c:manualLayout>
      </c:layout>
      <c:overlay val="0"/>
      <c:spPr>
        <a:noFill/>
        <a:ln w="2405">
          <a:solidFill>
            <a:srgbClr val="000000"/>
          </a:solidFill>
          <a:prstDash val="solid"/>
        </a:ln>
      </c:spPr>
      <c:txPr>
        <a:bodyPr rot="0" spcFirstLastPara="0" vertOverflow="ellipsis" vert="horz" wrap="square" anchor="ctr" anchorCtr="1"/>
        <a:lstStyle/>
        <a:p>
          <a:pPr>
            <a:defRPr lang="zh-CN" sz="55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6350" cap="flat" cmpd="sng" algn="ctr">
      <a:noFill/>
      <a:prstDash val="solid"/>
      <a:round/>
    </a:ln>
  </c:spPr>
  <c:txPr>
    <a:bodyPr/>
    <a:lstStyle/>
    <a:p>
      <a:pPr>
        <a:defRPr lang="zh-CN" sz="60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09480812641084"/>
          <c:y val="0.233695652173913"/>
          <c:w val="0.550790067720091"/>
          <c:h val="0.527173913043479"/>
        </c:manualLayout>
      </c:layout>
      <c:pieChart>
        <c:varyColors val="1"/>
        <c:ser>
          <c:idx val="0"/>
          <c:order val="0"/>
          <c:tx>
            <c:strRef>
              <c:f>Sheet1!$A$2</c:f>
              <c:strCache>
                <c:ptCount val="1"/>
                <c:pt idx="0">
                  <c:v>东部</c:v>
                </c:pt>
              </c:strCache>
            </c:strRef>
          </c:tx>
          <c:spPr>
            <a:solidFill>
              <a:srgbClr val="9999FF"/>
            </a:solidFill>
            <a:ln w="9521">
              <a:solidFill>
                <a:srgbClr val="000000"/>
              </a:solidFill>
              <a:prstDash val="solid"/>
            </a:ln>
          </c:spPr>
          <c:explosion val="0"/>
          <c:dPt>
            <c:idx val="0"/>
            <c:bubble3D val="0"/>
            <c:spPr>
              <a:solidFill>
                <a:srgbClr val="9999FF"/>
              </a:solidFill>
              <a:ln w="9521">
                <a:solidFill>
                  <a:srgbClr val="000000"/>
                </a:solidFill>
                <a:prstDash val="solid"/>
              </a:ln>
            </c:spPr>
          </c:dPt>
          <c:dPt>
            <c:idx val="1"/>
            <c:bubble3D val="0"/>
            <c:spPr>
              <a:solidFill>
                <a:srgbClr val="993366"/>
              </a:solidFill>
              <a:ln w="9521">
                <a:solidFill>
                  <a:srgbClr val="000000"/>
                </a:solidFill>
                <a:prstDash val="solid"/>
              </a:ln>
            </c:spPr>
          </c:dPt>
          <c:dPt>
            <c:idx val="2"/>
            <c:bubble3D val="0"/>
            <c:spPr>
              <a:solidFill>
                <a:srgbClr val="FFFFCC"/>
              </a:solidFill>
              <a:ln w="9521">
                <a:solidFill>
                  <a:srgbClr val="000000"/>
                </a:solidFill>
                <a:prstDash val="solid"/>
              </a:ln>
            </c:spPr>
          </c:dPt>
          <c:dPt>
            <c:idx val="3"/>
            <c:bubble3D val="0"/>
            <c:spPr>
              <a:solidFill>
                <a:srgbClr val="CCFFFF"/>
              </a:solidFill>
              <a:ln w="9521">
                <a:solidFill>
                  <a:srgbClr val="000000"/>
                </a:solidFill>
                <a:prstDash val="solid"/>
              </a:ln>
            </c:spPr>
          </c:dPt>
          <c:dPt>
            <c:idx val="4"/>
            <c:bubble3D val="0"/>
            <c:spPr>
              <a:solidFill>
                <a:srgbClr val="660066"/>
              </a:solidFill>
              <a:ln w="9521">
                <a:solidFill>
                  <a:srgbClr val="000000"/>
                </a:solidFill>
                <a:prstDash val="solid"/>
              </a:ln>
            </c:spPr>
          </c:dPt>
          <c:dPt>
            <c:idx val="5"/>
            <c:bubble3D val="0"/>
            <c:spPr>
              <a:solidFill>
                <a:srgbClr val="FF8080"/>
              </a:solidFill>
              <a:ln w="9521">
                <a:solidFill>
                  <a:srgbClr val="000000"/>
                </a:solidFill>
                <a:prstDash val="solid"/>
              </a:ln>
            </c:spPr>
          </c:dPt>
          <c:dPt>
            <c:idx val="6"/>
            <c:bubble3D val="0"/>
            <c:spPr>
              <a:solidFill>
                <a:srgbClr val="0066CC"/>
              </a:solidFill>
              <a:ln w="9521">
                <a:solidFill>
                  <a:srgbClr val="000000"/>
                </a:solidFill>
                <a:prstDash val="solid"/>
              </a:ln>
            </c:spPr>
          </c:dPt>
          <c:dPt>
            <c:idx val="7"/>
            <c:bubble3D val="0"/>
            <c:spPr>
              <a:solidFill>
                <a:srgbClr val="CCCCFF"/>
              </a:solidFill>
              <a:ln w="9521">
                <a:solidFill>
                  <a:srgbClr val="000000"/>
                </a:solidFill>
                <a:prstDash val="solid"/>
              </a:ln>
            </c:spPr>
          </c:dPt>
          <c:dLbls>
            <c:delete val="1"/>
          </c:dLbls>
          <c:cat>
            <c:strRef>
              <c:f>Sheet1!$B$1:$I$1</c:f>
              <c:strCache>
                <c:ptCount val="7"/>
                <c:pt idx="0">
                  <c:v>一般公共服务支出</c:v>
                </c:pt>
                <c:pt idx="1">
                  <c:v>社会保障就业支出</c:v>
                </c:pt>
                <c:pt idx="2">
                  <c:v>医疗卫生与计划生育支出</c:v>
                </c:pt>
                <c:pt idx="3">
                  <c:v>住房保障支出</c:v>
                </c:pt>
                <c:pt idx="4">
                  <c:v>农林水支出</c:v>
                </c:pt>
                <c:pt idx="5">
                  <c:v>国防支出</c:v>
                </c:pt>
                <c:pt idx="6">
                  <c:v>教育支出</c:v>
                </c:pt>
              </c:strCache>
            </c:strRef>
          </c:cat>
          <c:val>
            <c:numRef>
              <c:f>Sheet1!$B$2:$I$2</c:f>
              <c:numCache>
                <c:formatCode>General</c:formatCode>
                <c:ptCount val="8"/>
                <c:pt idx="0">
                  <c:v>907.61</c:v>
                </c:pt>
                <c:pt idx="1">
                  <c:v>118.24</c:v>
                </c:pt>
                <c:pt idx="2">
                  <c:v>36.76</c:v>
                </c:pt>
                <c:pt idx="3">
                  <c:v>67.06</c:v>
                </c:pt>
                <c:pt idx="4">
                  <c:v>1.77</c:v>
                </c:pt>
                <c:pt idx="5">
                  <c:v>26.94</c:v>
                </c:pt>
                <c:pt idx="6">
                  <c:v>0.2</c:v>
                </c:pt>
              </c:numCache>
            </c:numRef>
          </c:val>
        </c:ser>
        <c:ser>
          <c:idx val="3"/>
          <c:order val="1"/>
          <c:tx>
            <c:strRef>
              <c:f>Sheet1!$A$6</c:f>
              <c:strCache>
                <c:ptCount val="1"/>
                <c:pt idx="0">
                  <c:v>一般公共预算财政拨款支出</c:v>
                </c:pt>
              </c:strCache>
            </c:strRef>
          </c:tx>
          <c:spPr>
            <a:solidFill>
              <a:srgbClr val="CCFFFF"/>
            </a:solidFill>
            <a:ln w="9521">
              <a:solidFill>
                <a:srgbClr val="000000"/>
              </a:solidFill>
              <a:prstDash val="solid"/>
            </a:ln>
          </c:spPr>
          <c:explosion val="0"/>
          <c:dPt>
            <c:idx val="0"/>
            <c:bubble3D val="0"/>
            <c:spPr>
              <a:solidFill>
                <a:srgbClr val="9999FF"/>
              </a:solidFill>
              <a:ln w="9521">
                <a:solidFill>
                  <a:srgbClr val="000000"/>
                </a:solidFill>
                <a:prstDash val="solid"/>
              </a:ln>
            </c:spPr>
          </c:dPt>
          <c:dPt>
            <c:idx val="1"/>
            <c:bubble3D val="0"/>
            <c:spPr>
              <a:solidFill>
                <a:srgbClr val="993366"/>
              </a:solidFill>
              <a:ln w="9521">
                <a:solidFill>
                  <a:srgbClr val="000000"/>
                </a:solidFill>
                <a:prstDash val="solid"/>
              </a:ln>
            </c:spPr>
          </c:dPt>
          <c:dPt>
            <c:idx val="2"/>
            <c:bubble3D val="0"/>
            <c:spPr>
              <a:solidFill>
                <a:srgbClr val="FFFFCC"/>
              </a:solidFill>
              <a:ln w="9521">
                <a:solidFill>
                  <a:srgbClr val="000000"/>
                </a:solidFill>
                <a:prstDash val="solid"/>
              </a:ln>
            </c:spPr>
          </c:dPt>
          <c:dPt>
            <c:idx val="3"/>
            <c:bubble3D val="0"/>
            <c:spPr>
              <a:solidFill>
                <a:srgbClr val="CCFFFF"/>
              </a:solidFill>
              <a:ln w="9521">
                <a:solidFill>
                  <a:srgbClr val="000000"/>
                </a:solidFill>
                <a:prstDash val="solid"/>
              </a:ln>
            </c:spPr>
          </c:dPt>
          <c:dPt>
            <c:idx val="4"/>
            <c:bubble3D val="0"/>
            <c:spPr>
              <a:solidFill>
                <a:srgbClr val="660066"/>
              </a:solidFill>
              <a:ln w="9521">
                <a:solidFill>
                  <a:srgbClr val="000000"/>
                </a:solidFill>
                <a:prstDash val="solid"/>
              </a:ln>
            </c:spPr>
          </c:dPt>
          <c:dPt>
            <c:idx val="5"/>
            <c:bubble3D val="0"/>
            <c:spPr>
              <a:solidFill>
                <a:srgbClr val="FF8080"/>
              </a:solidFill>
              <a:ln w="9521">
                <a:solidFill>
                  <a:srgbClr val="000000"/>
                </a:solidFill>
                <a:prstDash val="solid"/>
              </a:ln>
            </c:spPr>
          </c:dPt>
          <c:dPt>
            <c:idx val="6"/>
            <c:bubble3D val="0"/>
            <c:spPr>
              <a:solidFill>
                <a:srgbClr val="0066CC"/>
              </a:solidFill>
              <a:ln w="9521">
                <a:solidFill>
                  <a:srgbClr val="000000"/>
                </a:solidFill>
                <a:prstDash val="solid"/>
              </a:ln>
            </c:spPr>
          </c:dPt>
          <c:dPt>
            <c:idx val="7"/>
            <c:bubble3D val="0"/>
            <c:spPr>
              <a:solidFill>
                <a:srgbClr val="CCCCFF"/>
              </a:solidFill>
              <a:ln w="9521">
                <a:solidFill>
                  <a:srgbClr val="000000"/>
                </a:solidFill>
                <a:prstDash val="solid"/>
              </a:ln>
            </c:spPr>
          </c:dPt>
          <c:dLbls>
            <c:delete val="1"/>
          </c:dLbls>
          <c:cat>
            <c:strRef>
              <c:f>Sheet1!$B$1:$I$1</c:f>
              <c:strCache>
                <c:ptCount val="7"/>
                <c:pt idx="0">
                  <c:v>一般公共服务支出</c:v>
                </c:pt>
                <c:pt idx="1">
                  <c:v>社会保障就业支出</c:v>
                </c:pt>
                <c:pt idx="2">
                  <c:v>医疗卫生与计划生育支出</c:v>
                </c:pt>
                <c:pt idx="3">
                  <c:v>住房保障支出</c:v>
                </c:pt>
                <c:pt idx="4">
                  <c:v>农林水支出</c:v>
                </c:pt>
                <c:pt idx="5">
                  <c:v>国防支出</c:v>
                </c:pt>
                <c:pt idx="6">
                  <c:v>教育支出</c:v>
                </c:pt>
              </c:strCache>
            </c:strRef>
          </c:cat>
          <c:val>
            <c:numRef>
              <c:f>Sheet1!$B$6:$I$6</c:f>
              <c:numCache>
                <c:formatCode>General</c:formatCode>
                <c:ptCount val="8"/>
                <c:pt idx="0">
                  <c:v>79.03</c:v>
                </c:pt>
                <c:pt idx="1">
                  <c:v>843.02</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spPr>
        <a:noFill/>
        <a:ln w="2380">
          <a:solidFill>
            <a:srgbClr val="000000"/>
          </a:solidFill>
          <a:prstDash val="solid"/>
        </a:ln>
      </c:spPr>
      <c:txPr>
        <a:bodyPr rot="0" spcFirstLastPara="0" vertOverflow="ellipsis" vert="horz" wrap="square" anchor="ctr" anchorCtr="1"/>
        <a:lstStyle/>
        <a:p>
          <a:pPr>
            <a:defRPr lang="zh-CN" sz="6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6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16621983914209"/>
          <c:y val="0.285714285714286"/>
          <c:w val="0.520107238605899"/>
          <c:h val="0.423076923076923"/>
        </c:manualLayout>
      </c:layout>
      <c:pieChart>
        <c:varyColors val="1"/>
        <c:ser>
          <c:idx val="0"/>
          <c:order val="0"/>
          <c:tx>
            <c:strRef>
              <c:f>Sheet1!$A$2</c:f>
              <c:strCache>
                <c:ptCount val="1"/>
                <c:pt idx="0">
                  <c:v>“三公”经费</c:v>
                </c:pt>
              </c:strCache>
            </c:strRef>
          </c:tx>
          <c:spPr>
            <a:solidFill>
              <a:srgbClr val="9999FF"/>
            </a:solidFill>
            <a:ln w="9522">
              <a:solidFill>
                <a:srgbClr val="000000"/>
              </a:solidFill>
              <a:prstDash val="solid"/>
            </a:ln>
          </c:spPr>
          <c:explosion val="0"/>
          <c:dPt>
            <c:idx val="0"/>
            <c:bubble3D val="0"/>
            <c:spPr>
              <a:solidFill>
                <a:srgbClr val="9999FF"/>
              </a:solidFill>
              <a:ln w="9522">
                <a:solidFill>
                  <a:srgbClr val="000000"/>
                </a:solidFill>
                <a:prstDash val="solid"/>
              </a:ln>
            </c:spPr>
          </c:dPt>
          <c:dPt>
            <c:idx val="1"/>
            <c:bubble3D val="0"/>
            <c:spPr>
              <a:solidFill>
                <a:srgbClr val="993366"/>
              </a:solidFill>
              <a:ln w="9522">
                <a:solidFill>
                  <a:srgbClr val="000000"/>
                </a:solidFill>
                <a:prstDash val="solid"/>
              </a:ln>
            </c:spPr>
          </c:dPt>
          <c:dPt>
            <c:idx val="2"/>
            <c:bubble3D val="0"/>
            <c:spPr>
              <a:solidFill>
                <a:srgbClr val="FFFFCC"/>
              </a:solidFill>
              <a:ln w="9522">
                <a:solidFill>
                  <a:srgbClr val="000000"/>
                </a:solidFill>
                <a:prstDash val="solid"/>
              </a:ln>
            </c:spPr>
          </c:dPt>
          <c:dLbls>
            <c:delete val="1"/>
          </c:dLbls>
          <c:cat>
            <c:strRef>
              <c:f>Sheet1!$B$1:$D$1</c:f>
              <c:strCache>
                <c:ptCount val="3"/>
                <c:pt idx="0">
                  <c:v>因公出国（境)费</c:v>
                </c:pt>
                <c:pt idx="1">
                  <c:v>公务用车购置及运行维护费</c:v>
                </c:pt>
                <c:pt idx="2">
                  <c:v>公务接待费</c:v>
                </c:pt>
              </c:strCache>
            </c:strRef>
          </c:cat>
          <c:val>
            <c:numRef>
              <c:f>Sheet1!$B$2:$D$2</c:f>
              <c:numCache>
                <c:formatCode>General</c:formatCode>
                <c:ptCount val="3"/>
                <c:pt idx="0">
                  <c:v>0</c:v>
                </c:pt>
                <c:pt idx="1">
                  <c:v>187.99</c:v>
                </c:pt>
                <c:pt idx="2">
                  <c:v>0</c:v>
                </c:pt>
              </c:numCache>
            </c:numRef>
          </c:val>
        </c:ser>
        <c:ser>
          <c:idx val="1"/>
          <c:order val="1"/>
          <c:tx>
            <c:strRef>
              <c:f>Sheet1!$A$3</c:f>
              <c:strCache>
                <c:ptCount val="1"/>
                <c:pt idx="0">
                  <c:v/>
                </c:pt>
              </c:strCache>
            </c:strRef>
          </c:tx>
          <c:spPr>
            <a:solidFill>
              <a:srgbClr val="993366"/>
            </a:solidFill>
            <a:ln w="9522">
              <a:solidFill>
                <a:srgbClr val="000000"/>
              </a:solidFill>
              <a:prstDash val="solid"/>
            </a:ln>
          </c:spPr>
          <c:explosion val="0"/>
          <c:dPt>
            <c:idx val="0"/>
            <c:bubble3D val="0"/>
            <c:spPr>
              <a:solidFill>
                <a:srgbClr val="9999FF"/>
              </a:solidFill>
              <a:ln w="9522">
                <a:solidFill>
                  <a:srgbClr val="000000"/>
                </a:solidFill>
                <a:prstDash val="solid"/>
              </a:ln>
            </c:spPr>
          </c:dPt>
          <c:dPt>
            <c:idx val="1"/>
            <c:bubble3D val="0"/>
            <c:spPr>
              <a:solidFill>
                <a:srgbClr val="993366"/>
              </a:solidFill>
              <a:ln w="9522">
                <a:solidFill>
                  <a:srgbClr val="000000"/>
                </a:solidFill>
                <a:prstDash val="solid"/>
              </a:ln>
            </c:spPr>
          </c:dPt>
          <c:dPt>
            <c:idx val="2"/>
            <c:bubble3D val="0"/>
            <c:spPr>
              <a:solidFill>
                <a:srgbClr val="FFFFCC"/>
              </a:solidFill>
              <a:ln w="9522">
                <a:solidFill>
                  <a:srgbClr val="000000"/>
                </a:solidFill>
                <a:prstDash val="solid"/>
              </a:ln>
            </c:spPr>
          </c:dPt>
          <c:dLbls>
            <c:delete val="1"/>
          </c:dLbls>
          <c:cat>
            <c:strRef>
              <c:f>Sheet1!$B$1:$D$1</c:f>
              <c:strCache>
                <c:ptCount val="3"/>
                <c:pt idx="0">
                  <c:v>因公出国（境)费</c:v>
                </c:pt>
                <c:pt idx="1">
                  <c:v>公务用车购置及运行维护费</c:v>
                </c:pt>
                <c:pt idx="2">
                  <c:v>公务接待费</c:v>
                </c:pt>
              </c:strCache>
            </c:strRef>
          </c:cat>
          <c:val>
            <c:numRef>
              <c:f>Sheet1!$B$3:$D$3</c:f>
              <c:numCache>
                <c:formatCode>General</c:formatCode>
                <c:ptCount val="3"/>
              </c:numCache>
            </c:numRef>
          </c:val>
        </c:ser>
        <c:ser>
          <c:idx val="2"/>
          <c:order val="2"/>
          <c:tx>
            <c:strRef>
              <c:f>Sheet1!$A$4</c:f>
              <c:strCache>
                <c:ptCount val="1"/>
                <c:pt idx="0">
                  <c:v/>
                </c:pt>
              </c:strCache>
            </c:strRef>
          </c:tx>
          <c:spPr>
            <a:solidFill>
              <a:srgbClr val="FFFFCC"/>
            </a:solidFill>
            <a:ln w="9522">
              <a:solidFill>
                <a:srgbClr val="000000"/>
              </a:solidFill>
              <a:prstDash val="solid"/>
            </a:ln>
          </c:spPr>
          <c:explosion val="0"/>
          <c:dPt>
            <c:idx val="0"/>
            <c:bubble3D val="0"/>
            <c:spPr>
              <a:solidFill>
                <a:srgbClr val="9999FF"/>
              </a:solidFill>
              <a:ln w="9522">
                <a:solidFill>
                  <a:srgbClr val="000000"/>
                </a:solidFill>
                <a:prstDash val="solid"/>
              </a:ln>
            </c:spPr>
          </c:dPt>
          <c:dPt>
            <c:idx val="1"/>
            <c:bubble3D val="0"/>
            <c:spPr>
              <a:solidFill>
                <a:srgbClr val="993366"/>
              </a:solidFill>
              <a:ln w="9522">
                <a:solidFill>
                  <a:srgbClr val="000000"/>
                </a:solidFill>
                <a:prstDash val="solid"/>
              </a:ln>
            </c:spPr>
          </c:dPt>
          <c:dPt>
            <c:idx val="2"/>
            <c:bubble3D val="0"/>
            <c:spPr>
              <a:solidFill>
                <a:srgbClr val="FFFFCC"/>
              </a:solidFill>
              <a:ln w="9522">
                <a:solidFill>
                  <a:srgbClr val="000000"/>
                </a:solidFill>
                <a:prstDash val="solid"/>
              </a:ln>
            </c:spPr>
          </c:dPt>
          <c:dLbls>
            <c:delete val="1"/>
          </c:dLbls>
          <c:cat>
            <c:strRef>
              <c:f>Sheet1!$B$1:$D$1</c:f>
              <c:strCache>
                <c:ptCount val="3"/>
                <c:pt idx="0">
                  <c:v>因公出国（境)费</c:v>
                </c:pt>
                <c:pt idx="1">
                  <c:v>公务用车购置及运行维护费</c:v>
                </c:pt>
                <c:pt idx="2">
                  <c:v>公务接待费</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manualLayout>
          <c:xMode val="edge"/>
          <c:yMode val="edge"/>
          <c:x val="0.656836461126005"/>
          <c:y val="0.285714285714286"/>
          <c:w val="0.343163538873995"/>
          <c:h val="0.516483516483518"/>
        </c:manualLayout>
      </c:layout>
      <c:overlay val="0"/>
      <c:spPr>
        <a:noFill/>
        <a:ln w="2380">
          <a:solidFill>
            <a:srgbClr val="000000"/>
          </a:solidFill>
          <a:prstDash val="solid"/>
        </a:ln>
      </c:spPr>
      <c:txPr>
        <a:bodyPr rot="0" spcFirstLastPara="0" vertOverflow="ellipsis" vert="horz" wrap="square" anchor="ctr" anchorCtr="1"/>
        <a:lstStyle/>
        <a:p>
          <a:pPr>
            <a:defRPr lang="zh-CN" sz="6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6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6E721-B9D6-4003-92F0-8ADBABDC549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4858</Words>
  <Characters>5476</Characters>
  <Lines>11</Lines>
  <Paragraphs>12</Paragraphs>
  <TotalTime>21</TotalTime>
  <ScaleCrop>false</ScaleCrop>
  <LinksUpToDate>false</LinksUpToDate>
  <CharactersWithSpaces>5547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2021-05-19T10:08:00Z</dcterms:created>
  <dc:creator>Administrator</dc:creator>
  <cp:lastModifiedBy>Administrator</cp:lastModifiedBy>
  <dcterms:modified xsi:type="dcterms:W3CDTF">2023-07-03T03:38:08Z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1073F373284D44DAA208BBF969D4F187</vt:lpwstr>
  </property>
</Properties>
</file>