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tbl>
      <w:tblPr>
        <w:tblStyle w:val="10"/>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p/>
          <w:tbl>
            <w:tblPr>
              <w:tblStyle w:val="10"/>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p/>
                <w:tbl>
                  <w:tblPr>
                    <w:tblStyle w:val="10"/>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p/>
                      <w:tbl>
                        <w:tblPr>
                          <w:tblStyle w:val="10"/>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p/>
                            <w:tbl>
                              <w:tblPr>
                                <w:tblStyle w:val="10"/>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pStyle w:val="3"/>
                                      <w:adjustRightInd w:val="0"/>
                                      <w:snapToGrid w:val="0"/>
                                      <w:spacing w:line="600" w:lineRule="exact"/>
                                      <w:ind w:firstLine="928" w:firstLineChars="210"/>
                                      <w:jc w:val="center"/>
                                      <w:outlineLvl w:val="0"/>
                                      <w:rPr>
                                        <w:rFonts w:hAnsi="宋体" w:cs="宋体"/>
                                        <w:b/>
                                        <w:color w:val="333333"/>
                                        <w:sz w:val="44"/>
                                        <w:szCs w:val="44"/>
                                      </w:rPr>
                                    </w:pPr>
                                    <w:bookmarkStart w:id="0" w:name="_Toc72766491"/>
                                  </w:p>
                                  <w:p>
                                    <w:pPr>
                                      <w:pStyle w:val="3"/>
                                      <w:adjustRightInd w:val="0"/>
                                      <w:snapToGrid w:val="0"/>
                                      <w:spacing w:line="600" w:lineRule="exact"/>
                                      <w:ind w:firstLine="928" w:firstLineChars="210"/>
                                      <w:jc w:val="center"/>
                                      <w:outlineLvl w:val="0"/>
                                      <w:rPr>
                                        <w:rFonts w:hAnsi="宋体" w:cs="宋体"/>
                                        <w:b/>
                                        <w:color w:val="333333"/>
                                        <w:sz w:val="44"/>
                                        <w:szCs w:val="44"/>
                                      </w:rPr>
                                    </w:pPr>
                                  </w:p>
                                  <w:p>
                                    <w:pPr>
                                      <w:pStyle w:val="3"/>
                                      <w:adjustRightInd w:val="0"/>
                                      <w:snapToGrid w:val="0"/>
                                      <w:spacing w:line="600" w:lineRule="exact"/>
                                      <w:ind w:firstLine="928" w:firstLineChars="210"/>
                                      <w:jc w:val="center"/>
                                      <w:outlineLvl w:val="0"/>
                                      <w:rPr>
                                        <w:rFonts w:hAnsi="宋体" w:cs="宋体"/>
                                        <w:b/>
                                        <w:color w:val="333333"/>
                                        <w:sz w:val="44"/>
                                        <w:szCs w:val="44"/>
                                      </w:rPr>
                                    </w:pPr>
                                  </w:p>
                                  <w:p>
                                    <w:pPr>
                                      <w:pStyle w:val="3"/>
                                      <w:adjustRightInd w:val="0"/>
                                      <w:snapToGrid w:val="0"/>
                                      <w:spacing w:line="600" w:lineRule="exact"/>
                                      <w:ind w:firstLine="928" w:firstLineChars="210"/>
                                      <w:jc w:val="center"/>
                                      <w:outlineLvl w:val="0"/>
                                      <w:rPr>
                                        <w:rFonts w:hAnsi="宋体" w:cs="宋体"/>
                                        <w:b/>
                                        <w:color w:val="333333"/>
                                        <w:sz w:val="44"/>
                                        <w:szCs w:val="44"/>
                                      </w:rPr>
                                    </w:pPr>
                                  </w:p>
                                  <w:p>
                                    <w:pPr>
                                      <w:pStyle w:val="3"/>
                                      <w:adjustRightInd w:val="0"/>
                                      <w:snapToGrid w:val="0"/>
                                      <w:spacing w:line="600" w:lineRule="exact"/>
                                      <w:ind w:firstLine="928" w:firstLineChars="210"/>
                                      <w:jc w:val="center"/>
                                      <w:outlineLvl w:val="0"/>
                                      <w:rPr>
                                        <w:rFonts w:hAnsi="宋体" w:cs="宋体"/>
                                        <w:b/>
                                        <w:color w:val="333333"/>
                                        <w:sz w:val="44"/>
                                        <w:szCs w:val="44"/>
                                      </w:rPr>
                                    </w:pPr>
                                  </w:p>
                                  <w:p>
                                    <w:pPr>
                                      <w:pStyle w:val="3"/>
                                      <w:adjustRightInd w:val="0"/>
                                      <w:snapToGrid w:val="0"/>
                                      <w:spacing w:line="600" w:lineRule="exact"/>
                                      <w:ind w:firstLine="928" w:firstLineChars="210"/>
                                      <w:jc w:val="center"/>
                                      <w:outlineLvl w:val="0"/>
                                      <w:rPr>
                                        <w:rFonts w:hAnsi="宋体" w:cs="宋体"/>
                                        <w:b/>
                                        <w:color w:val="333333"/>
                                        <w:sz w:val="44"/>
                                        <w:szCs w:val="44"/>
                                      </w:rPr>
                                    </w:pPr>
                                    <w:r>
                                      <w:rPr>
                                        <w:rFonts w:hint="eastAsia" w:hAnsi="宋体" w:cs="宋体"/>
                                        <w:b/>
                                        <w:color w:val="333333"/>
                                        <w:sz w:val="44"/>
                                        <w:szCs w:val="44"/>
                                      </w:rPr>
                                      <w:t>金川县人民政府办公室</w:t>
                                    </w:r>
                                  </w:p>
                                  <w:p>
                                    <w:pPr>
                                      <w:pStyle w:val="3"/>
                                      <w:adjustRightInd w:val="0"/>
                                      <w:snapToGrid w:val="0"/>
                                      <w:spacing w:line="600" w:lineRule="exact"/>
                                      <w:ind w:firstLine="928" w:firstLineChars="210"/>
                                      <w:jc w:val="center"/>
                                      <w:outlineLvl w:val="0"/>
                                      <w:rPr>
                                        <w:rFonts w:hAnsi="宋体" w:cs="宋体"/>
                                        <w:b/>
                                        <w:color w:val="333333"/>
                                        <w:sz w:val="44"/>
                                        <w:szCs w:val="44"/>
                                      </w:rPr>
                                    </w:pPr>
                                    <w:r>
                                      <w:rPr>
                                        <w:rFonts w:hint="eastAsia" w:hAnsi="宋体" w:cs="宋体"/>
                                        <w:b/>
                                        <w:color w:val="333333"/>
                                        <w:sz w:val="44"/>
                                        <w:szCs w:val="44"/>
                                      </w:rPr>
                                      <w:t>2019年部门预算编制</w:t>
                                    </w:r>
                                    <w:bookmarkEnd w:id="0"/>
                                    <w:r>
                                      <w:rPr>
                                        <w:rFonts w:hint="eastAsia" w:hAnsi="宋体" w:cs="宋体"/>
                                        <w:b/>
                                        <w:color w:val="333333"/>
                                        <w:sz w:val="44"/>
                                        <w:szCs w:val="44"/>
                                      </w:rPr>
                                      <w:t>公示</w:t>
                                    </w:r>
                                  </w:p>
                                  <w:p>
                                    <w:pPr>
                                      <w:pStyle w:val="17"/>
                                      <w:outlineLvl w:val="0"/>
                                      <w:rPr>
                                        <w:rFonts w:ascii="仿宋_GB2312" w:hAnsi="宋体" w:eastAsia="仿宋_GB2312" w:cs="宋体"/>
                                        <w:color w:val="333333"/>
                                        <w:sz w:val="44"/>
                                        <w:szCs w:val="44"/>
                                      </w:rPr>
                                    </w:pPr>
                                  </w:p>
                                  <w:p/>
                                  <w:p/>
                                  <w:p/>
                                  <w:p/>
                                  <w:p/>
                                  <w:p/>
                                  <w:p/>
                                  <w:p/>
                                  <w:p/>
                                  <w:p/>
                                  <w:p/>
                                  <w:p/>
                                  <w:p/>
                                  <w:p/>
                                  <w:p/>
                                  <w:p/>
                                  <w:p/>
                                  <w:p/>
                                  <w:p>
                                    <w:pPr>
                                      <w:pStyle w:val="3"/>
                                      <w:adjustRightInd w:val="0"/>
                                      <w:snapToGrid w:val="0"/>
                                      <w:spacing w:line="600" w:lineRule="exact"/>
                                      <w:outlineLvl w:val="0"/>
                                      <w:rPr>
                                        <w:rFonts w:hAnsi="宋体" w:cs="宋体"/>
                                        <w:color w:val="333333"/>
                                        <w:sz w:val="28"/>
                                        <w:szCs w:val="28"/>
                                      </w:rPr>
                                    </w:pPr>
                                  </w:p>
                                  <w:sdt>
                                    <w:sdtPr>
                                      <w:rPr>
                                        <w:rFonts w:ascii="仿宋_GB2312" w:hAnsi="宋体" w:eastAsia="仿宋_GB2312" w:cs="宋体"/>
                                        <w:color w:val="333333"/>
                                      </w:rPr>
                                      <w:id w:val="1979647092"/>
                                      <w:docPartObj>
                                        <w:docPartGallery w:val="Table of Contents"/>
                                        <w:docPartUnique/>
                                      </w:docPartObj>
                                    </w:sdtPr>
                                    <w:sdtEndPr>
                                      <w:rPr>
                                        <w:rFonts w:asciiTheme="minorHAnsi" w:hAnsiTheme="minorHAnsi" w:eastAsiaTheme="minorEastAsia" w:cstheme="minorBidi"/>
                                        <w:b/>
                                        <w:bCs/>
                                        <w:color w:val="auto"/>
                                        <w:lang w:val="zh-CN"/>
                                      </w:rPr>
                                    </w:sdtEndPr>
                                    <w:sdtContent>
                                      <w:p>
                                        <w:pPr>
                                          <w:jc w:val="center"/>
                                          <w:rPr>
                                            <w:sz w:val="32"/>
                                            <w:szCs w:val="32"/>
                                          </w:rPr>
                                        </w:pPr>
                                        <w:r>
                                          <w:rPr>
                                            <w:rFonts w:ascii="宋体" w:hAnsi="宋体"/>
                                            <w:sz w:val="32"/>
                                            <w:szCs w:val="32"/>
                                          </w:rPr>
                                          <w:t>目</w:t>
                                        </w:r>
                                        <w:r>
                                          <w:rPr>
                                            <w:rFonts w:hint="eastAsia" w:ascii="宋体" w:hAnsi="宋体"/>
                                            <w:sz w:val="32"/>
                                            <w:szCs w:val="32"/>
                                          </w:rPr>
                                          <w:t xml:space="preserve">   </w:t>
                                        </w:r>
                                        <w:r>
                                          <w:rPr>
                                            <w:rFonts w:ascii="宋体" w:hAnsi="宋体"/>
                                            <w:sz w:val="32"/>
                                            <w:szCs w:val="32"/>
                                          </w:rPr>
                                          <w:t>录</w:t>
                                        </w:r>
                                      </w:p>
                                      <w:p>
                                        <w:pPr>
                                          <w:pStyle w:val="22"/>
                                          <w:tabs>
                                            <w:tab w:val="right" w:leader="dot" w:pos="8306"/>
                                          </w:tabs>
                                          <w:rPr>
                                            <w:b/>
                                            <w:sz w:val="24"/>
                                            <w:szCs w:val="24"/>
                                          </w:rPr>
                                        </w:pPr>
                                        <w:r>
                                          <w:rPr>
                                            <w:rFonts w:ascii="宋体" w:hAnsi="宋体" w:cs="方正小标宋简体"/>
                                            <w:b/>
                                            <w:sz w:val="24"/>
                                            <w:szCs w:val="24"/>
                                          </w:rPr>
                                          <w:fldChar w:fldCharType="begin"/>
                                        </w:r>
                                        <w:r>
                                          <w:rPr>
                                            <w:rFonts w:ascii="宋体" w:hAnsi="宋体" w:cs="方正小标宋简体"/>
                                            <w:b/>
                                            <w:sz w:val="24"/>
                                            <w:szCs w:val="24"/>
                                          </w:rPr>
                                          <w:instrText xml:space="preserve">TOC \o "1-2" \h \u </w:instrText>
                                        </w:r>
                                        <w:r>
                                          <w:rPr>
                                            <w:rFonts w:ascii="宋体" w:hAnsi="宋体" w:cs="方正小标宋简体"/>
                                            <w:b/>
                                            <w:sz w:val="24"/>
                                            <w:szCs w:val="24"/>
                                          </w:rPr>
                                          <w:fldChar w:fldCharType="separate"/>
                                        </w:r>
                                        <w:r>
                                          <w:fldChar w:fldCharType="begin"/>
                                        </w:r>
                                        <w:r>
                                          <w:instrText xml:space="preserve"> HYPERLINK \l "_Toc15721" </w:instrText>
                                        </w:r>
                                        <w:r>
                                          <w:fldChar w:fldCharType="separate"/>
                                        </w:r>
                                        <w:r>
                                          <w:rPr>
                                            <w:rFonts w:hint="eastAsia" w:ascii="宋体" w:hAnsi="宋体" w:cs="方正小标宋简体"/>
                                            <w:b/>
                                            <w:sz w:val="24"/>
                                            <w:szCs w:val="24"/>
                                          </w:rPr>
                                          <w:t>金川县政府办公室</w:t>
                                        </w:r>
                                        <w:r>
                                          <w:rPr>
                                            <w:b/>
                                            <w:sz w:val="24"/>
                                            <w:szCs w:val="24"/>
                                          </w:rPr>
                                          <w:tab/>
                                        </w:r>
                                        <w:r>
                                          <w:rPr>
                                            <w:b/>
                                            <w:sz w:val="24"/>
                                            <w:szCs w:val="24"/>
                                          </w:rPr>
                                          <w:fldChar w:fldCharType="begin"/>
                                        </w:r>
                                        <w:r>
                                          <w:rPr>
                                            <w:b/>
                                            <w:sz w:val="24"/>
                                            <w:szCs w:val="24"/>
                                          </w:rPr>
                                          <w:instrText xml:space="preserve"> PAGEREF _Toc15721 \h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22"/>
                                          <w:tabs>
                                            <w:tab w:val="right" w:leader="dot" w:pos="8306"/>
                                          </w:tabs>
                                          <w:rPr>
                                            <w:b/>
                                            <w:sz w:val="24"/>
                                            <w:szCs w:val="24"/>
                                          </w:rPr>
                                        </w:pPr>
                                        <w:r>
                                          <w:fldChar w:fldCharType="begin"/>
                                        </w:r>
                                        <w:r>
                                          <w:instrText xml:space="preserve"> HYPERLINK \l "_Toc4688" </w:instrText>
                                        </w:r>
                                        <w:r>
                                          <w:fldChar w:fldCharType="separate"/>
                                        </w:r>
                                        <w:r>
                                          <w:rPr>
                                            <w:rFonts w:hint="eastAsia" w:ascii="宋体" w:hAnsi="宋体" w:cs="方正小标宋简体"/>
                                            <w:b/>
                                            <w:sz w:val="24"/>
                                            <w:szCs w:val="24"/>
                                          </w:rPr>
                                          <w:t>20</w:t>
                                        </w:r>
                                        <w:r>
                                          <w:rPr>
                                            <w:rFonts w:hint="eastAsia" w:ascii="宋体" w:hAnsi="宋体" w:cs="方正小标宋简体"/>
                                            <w:b/>
                                            <w:sz w:val="24"/>
                                            <w:szCs w:val="24"/>
                                            <w:lang w:val="en-US" w:eastAsia="zh-CN"/>
                                          </w:rPr>
                                          <w:t>19</w:t>
                                        </w:r>
                                        <w:r>
                                          <w:rPr>
                                            <w:rFonts w:hint="eastAsia" w:ascii="宋体" w:hAnsi="宋体" w:cs="方正小标宋简体"/>
                                            <w:b/>
                                            <w:sz w:val="24"/>
                                            <w:szCs w:val="24"/>
                                          </w:rPr>
                                          <w:t>年部门预算编制公开</w:t>
                                        </w:r>
                                        <w:r>
                                          <w:rPr>
                                            <w:b/>
                                            <w:sz w:val="24"/>
                                            <w:szCs w:val="24"/>
                                          </w:rPr>
                                          <w:tab/>
                                        </w:r>
                                        <w:r>
                                          <w:rPr>
                                            <w:b/>
                                            <w:sz w:val="24"/>
                                            <w:szCs w:val="24"/>
                                          </w:rPr>
                                          <w:fldChar w:fldCharType="begin"/>
                                        </w:r>
                                        <w:r>
                                          <w:rPr>
                                            <w:b/>
                                            <w:sz w:val="24"/>
                                            <w:szCs w:val="24"/>
                                          </w:rPr>
                                          <w:instrText xml:space="preserve"> PAGEREF _Toc4688 \h </w:instrText>
                                        </w:r>
                                        <w:r>
                                          <w:rPr>
                                            <w:b/>
                                            <w:sz w:val="24"/>
                                            <w:szCs w:val="24"/>
                                          </w:rPr>
                                          <w:fldChar w:fldCharType="separate"/>
                                        </w:r>
                                        <w:r>
                                          <w:rPr>
                                            <w:b/>
                                            <w:sz w:val="24"/>
                                            <w:szCs w:val="24"/>
                                          </w:rPr>
                                          <w:t>1</w:t>
                                        </w:r>
                                        <w:r>
                                          <w:rPr>
                                            <w:b/>
                                            <w:sz w:val="24"/>
                                            <w:szCs w:val="24"/>
                                          </w:rPr>
                                          <w:fldChar w:fldCharType="end"/>
                                        </w:r>
                                        <w:r>
                                          <w:rPr>
                                            <w:b/>
                                            <w:sz w:val="24"/>
                                            <w:szCs w:val="24"/>
                                          </w:rPr>
                                          <w:fldChar w:fldCharType="end"/>
                                        </w:r>
                                      </w:p>
                                      <w:p>
                                        <w:pPr>
                                          <w:pStyle w:val="22"/>
                                          <w:tabs>
                                            <w:tab w:val="right" w:leader="dot" w:pos="8306"/>
                                          </w:tabs>
                                          <w:rPr>
                                            <w:b/>
                                            <w:sz w:val="24"/>
                                            <w:szCs w:val="24"/>
                                          </w:rPr>
                                        </w:pPr>
                                        <w:r>
                                          <w:fldChar w:fldCharType="begin"/>
                                        </w:r>
                                        <w:r>
                                          <w:instrText xml:space="preserve"> HYPERLINK \l "_Toc27690" </w:instrText>
                                        </w:r>
                                        <w:r>
                                          <w:fldChar w:fldCharType="separate"/>
                                        </w:r>
                                        <w:r>
                                          <w:rPr>
                                            <w:rFonts w:hint="eastAsia" w:ascii="黑体" w:hAnsi="黑体" w:eastAsia="黑体" w:cs="黑体"/>
                                            <w:b/>
                                            <w:sz w:val="24"/>
                                            <w:szCs w:val="24"/>
                                          </w:rPr>
                                          <w:t>一、基本职能及主要工作</w:t>
                                        </w:r>
                                        <w:r>
                                          <w:rPr>
                                            <w:b/>
                                            <w:sz w:val="24"/>
                                            <w:szCs w:val="24"/>
                                          </w:rPr>
                                          <w:tab/>
                                        </w:r>
                                        <w:r>
                                          <w:rPr>
                                            <w:rFonts w:hint="eastAsia"/>
                                            <w:b/>
                                            <w:sz w:val="24"/>
                                            <w:szCs w:val="24"/>
                                          </w:rPr>
                                          <w:t>3</w:t>
                                        </w:r>
                                        <w:r>
                                          <w:rPr>
                                            <w:rFonts w:hint="eastAsia"/>
                                            <w:b/>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"_Toc28763" </w:instrText>
                                        </w:r>
                                        <w:r>
                                          <w:fldChar w:fldCharType="separate"/>
                                        </w:r>
                                        <w:r>
                                          <w:rPr>
                                            <w:rFonts w:hint="eastAsia" w:ascii="仿宋" w:hAnsi="仿宋" w:eastAsia="仿宋" w:cs="宋体"/>
                                            <w:spacing w:val="-14"/>
                                            <w:sz w:val="24"/>
                                            <w:szCs w:val="24"/>
                                          </w:rPr>
                                          <w:t>（一）主要职能。</w:t>
                                        </w:r>
                                        <w:r>
                                          <w:rPr>
                                            <w:sz w:val="24"/>
                                            <w:szCs w:val="24"/>
                                          </w:rPr>
                                          <w:tab/>
                                        </w:r>
                                        <w:r>
                                          <w:rPr>
                                            <w:rFonts w:hint="eastAsia"/>
                                            <w:sz w:val="24"/>
                                            <w:szCs w:val="24"/>
                                          </w:rPr>
                                          <w:t>3</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"_Toc7225" </w:instrText>
                                        </w:r>
                                        <w:r>
                                          <w:fldChar w:fldCharType="separate"/>
                                        </w:r>
                                        <w:r>
                                          <w:rPr>
                                            <w:rFonts w:hint="eastAsia" w:ascii="楷体_GB2312" w:hAnsi="楷体_GB2312" w:eastAsia="楷体_GB2312" w:cs="楷体_GB2312"/>
                                            <w:bCs/>
                                            <w:sz w:val="24"/>
                                            <w:szCs w:val="24"/>
                                          </w:rPr>
                                          <w:t>（二）20</w:t>
                                        </w:r>
                                        <w:r>
                                          <w:rPr>
                                            <w:rFonts w:hint="eastAsia" w:ascii="楷体_GB2312" w:hAnsi="楷体_GB2312" w:eastAsia="楷体_GB2312" w:cs="楷体_GB2312"/>
                                            <w:bCs/>
                                            <w:sz w:val="24"/>
                                            <w:szCs w:val="24"/>
                                            <w:lang w:val="en-US" w:eastAsia="zh-CN"/>
                                          </w:rPr>
                                          <w:t>19</w:t>
                                        </w:r>
                                        <w:r>
                                          <w:rPr>
                                            <w:rFonts w:hint="eastAsia" w:ascii="楷体_GB2312" w:hAnsi="楷体_GB2312" w:eastAsia="楷体_GB2312" w:cs="楷体_GB2312"/>
                                            <w:bCs/>
                                            <w:sz w:val="24"/>
                                            <w:szCs w:val="24"/>
                                          </w:rPr>
                                          <w:t>年重点工作</w:t>
                                        </w:r>
                                        <w:r>
                                          <w:rPr>
                                            <w:sz w:val="24"/>
                                            <w:szCs w:val="24"/>
                                          </w:rPr>
                                          <w:tab/>
                                        </w:r>
                                        <w:r>
                                          <w:rPr>
                                            <w:rFonts w:hint="eastAsia"/>
                                            <w:sz w:val="24"/>
                                            <w:szCs w:val="24"/>
                                          </w:rPr>
                                          <w:t>3</w:t>
                                        </w:r>
                                        <w:r>
                                          <w:rPr>
                                            <w:rFonts w:hint="eastAsia"/>
                                            <w:sz w:val="24"/>
                                            <w:szCs w:val="24"/>
                                          </w:rPr>
                                          <w:fldChar w:fldCharType="end"/>
                                        </w:r>
                                      </w:p>
                                      <w:p>
                                        <w:pPr>
                                          <w:pStyle w:val="22"/>
                                          <w:tabs>
                                            <w:tab w:val="right" w:leader="dot" w:pos="8306"/>
                                          </w:tabs>
                                          <w:rPr>
                                            <w:b/>
                                            <w:sz w:val="24"/>
                                            <w:szCs w:val="24"/>
                                          </w:rPr>
                                        </w:pPr>
                                        <w:r>
                                          <w:fldChar w:fldCharType="begin"/>
                                        </w:r>
                                        <w:r>
                                          <w:instrText xml:space="preserve"> HYPERLINK \l "_Toc26173" </w:instrText>
                                        </w:r>
                                        <w:r>
                                          <w:fldChar w:fldCharType="separate"/>
                                        </w:r>
                                        <w:r>
                                          <w:rPr>
                                            <w:rFonts w:hint="eastAsia" w:ascii="黑体" w:hAnsi="黑体" w:eastAsia="黑体" w:cs="黑体"/>
                                            <w:b/>
                                            <w:sz w:val="24"/>
                                            <w:szCs w:val="24"/>
                                          </w:rPr>
                                          <w:t>二、部门预算单位构成</w:t>
                                        </w:r>
                                        <w:r>
                                          <w:rPr>
                                            <w:b/>
                                            <w:sz w:val="24"/>
                                            <w:szCs w:val="24"/>
                                          </w:rPr>
                                          <w:tab/>
                                        </w:r>
                                        <w:r>
                                          <w:rPr>
                                            <w:rFonts w:hint="eastAsia"/>
                                            <w:b/>
                                            <w:sz w:val="24"/>
                                            <w:szCs w:val="24"/>
                                          </w:rPr>
                                          <w:t>4</w:t>
                                        </w:r>
                                        <w:r>
                                          <w:rPr>
                                            <w:rFonts w:hint="eastAsia"/>
                                            <w:b/>
                                            <w:sz w:val="24"/>
                                            <w:szCs w:val="24"/>
                                          </w:rPr>
                                          <w:fldChar w:fldCharType="end"/>
                                        </w:r>
                                      </w:p>
                                      <w:p>
                                        <w:pPr>
                                          <w:pStyle w:val="22"/>
                                          <w:tabs>
                                            <w:tab w:val="right" w:leader="dot" w:pos="8306"/>
                                          </w:tabs>
                                          <w:rPr>
                                            <w:b/>
                                            <w:sz w:val="24"/>
                                            <w:szCs w:val="24"/>
                                          </w:rPr>
                                        </w:pPr>
                                        <w:r>
                                          <w:fldChar w:fldCharType="begin"/>
                                        </w:r>
                                        <w:r>
                                          <w:instrText xml:space="preserve"> HYPERLINK \l "_Toc31371" </w:instrText>
                                        </w:r>
                                        <w:r>
                                          <w:fldChar w:fldCharType="separate"/>
                                        </w:r>
                                        <w:r>
                                          <w:rPr>
                                            <w:rFonts w:hint="eastAsia" w:ascii="黑体" w:hAnsi="黑体" w:eastAsia="黑体" w:cs="黑体"/>
                                            <w:b/>
                                            <w:sz w:val="24"/>
                                            <w:szCs w:val="24"/>
                                          </w:rPr>
                                          <w:t>三、收支预算情况说明</w:t>
                                        </w:r>
                                        <w:r>
                                          <w:rPr>
                                            <w:b/>
                                            <w:sz w:val="24"/>
                                            <w:szCs w:val="24"/>
                                          </w:rPr>
                                          <w:tab/>
                                        </w:r>
                                        <w:r>
                                          <w:rPr>
                                            <w:rFonts w:hint="eastAsia"/>
                                            <w:b/>
                                            <w:sz w:val="24"/>
                                            <w:szCs w:val="24"/>
                                          </w:rPr>
                                          <w:t>4</w:t>
                                        </w:r>
                                        <w:r>
                                          <w:rPr>
                                            <w:rFonts w:hint="eastAsia"/>
                                            <w:b/>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"_Toc5382" </w:instrText>
                                        </w:r>
                                        <w:r>
                                          <w:fldChar w:fldCharType="separate"/>
                                        </w:r>
                                        <w:r>
                                          <w:rPr>
                                            <w:rFonts w:hint="eastAsia" w:ascii="楷体_GB2312" w:hAnsi="楷体_GB2312" w:eastAsia="楷体_GB2312" w:cs="楷体_GB2312"/>
                                            <w:bCs/>
                                            <w:sz w:val="24"/>
                                            <w:szCs w:val="24"/>
                                          </w:rPr>
                                          <w:t>（一）收入预算情况</w:t>
                                        </w:r>
                                        <w:r>
                                          <w:rPr>
                                            <w:sz w:val="24"/>
                                            <w:szCs w:val="24"/>
                                          </w:rPr>
                                          <w:tab/>
                                        </w:r>
                                        <w:r>
                                          <w:rPr>
                                            <w:rFonts w:hint="eastAsia"/>
                                            <w:sz w:val="24"/>
                                            <w:szCs w:val="24"/>
                                          </w:rPr>
                                          <w:t>4</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"_Toc29715" </w:instrText>
                                        </w:r>
                                        <w:r>
                                          <w:fldChar w:fldCharType="separate"/>
                                        </w:r>
                                        <w:r>
                                          <w:rPr>
                                            <w:rFonts w:hint="eastAsia" w:ascii="楷体_GB2312" w:hAnsi="楷体_GB2312" w:eastAsia="楷体_GB2312" w:cs="楷体_GB2312"/>
                                            <w:bCs/>
                                            <w:sz w:val="24"/>
                                            <w:szCs w:val="24"/>
                                          </w:rPr>
                                          <w:t>（二）支出预算情况</w:t>
                                        </w:r>
                                        <w:r>
                                          <w:rPr>
                                            <w:sz w:val="24"/>
                                            <w:szCs w:val="24"/>
                                          </w:rPr>
                                          <w:tab/>
                                        </w:r>
                                        <w:r>
                                          <w:rPr>
                                            <w:rFonts w:hint="eastAsia"/>
                                            <w:sz w:val="24"/>
                                            <w:szCs w:val="24"/>
                                          </w:rPr>
                                          <w:t>5</w:t>
                                        </w:r>
                                        <w:r>
                                          <w:rPr>
                                            <w:rFonts w:hint="eastAsia"/>
                                            <w:sz w:val="24"/>
                                            <w:szCs w:val="24"/>
                                          </w:rPr>
                                          <w:fldChar w:fldCharType="end"/>
                                        </w:r>
                                      </w:p>
                                      <w:p>
                                        <w:pPr>
                                          <w:pStyle w:val="22"/>
                                          <w:tabs>
                                            <w:tab w:val="right" w:leader="dot" w:pos="8306"/>
                                          </w:tabs>
                                          <w:rPr>
                                            <w:b/>
                                            <w:sz w:val="24"/>
                                            <w:szCs w:val="24"/>
                                          </w:rPr>
                                        </w:pPr>
                                        <w:r>
                                          <w:fldChar w:fldCharType="begin"/>
                                        </w:r>
                                        <w:r>
                                          <w:instrText xml:space="preserve"> HYPERLINK \l "_Toc27998" </w:instrText>
                                        </w:r>
                                        <w:r>
                                          <w:fldChar w:fldCharType="separate"/>
                                        </w:r>
                                        <w:r>
                                          <w:rPr>
                                            <w:rFonts w:hint="eastAsia" w:ascii="黑体" w:hAnsi="黑体" w:eastAsia="黑体" w:cs="黑体"/>
                                            <w:b/>
                                            <w:sz w:val="24"/>
                                            <w:szCs w:val="24"/>
                                          </w:rPr>
                                          <w:t>四、财政拨款收支预算情况说明</w:t>
                                        </w:r>
                                        <w:r>
                                          <w:rPr>
                                            <w:b/>
                                            <w:sz w:val="24"/>
                                            <w:szCs w:val="24"/>
                                          </w:rPr>
                                          <w:tab/>
                                        </w:r>
                                        <w:r>
                                          <w:rPr>
                                            <w:rFonts w:hint="eastAsia"/>
                                            <w:b/>
                                            <w:sz w:val="24"/>
                                            <w:szCs w:val="24"/>
                                          </w:rPr>
                                          <w:t>5</w:t>
                                        </w:r>
                                        <w:r>
                                          <w:rPr>
                                            <w:rFonts w:hint="eastAsia"/>
                                            <w:b/>
                                            <w:sz w:val="24"/>
                                            <w:szCs w:val="24"/>
                                          </w:rPr>
                                          <w:fldChar w:fldCharType="end"/>
                                        </w:r>
                                      </w:p>
                                      <w:p>
                                        <w:pPr>
                                          <w:pStyle w:val="22"/>
                                          <w:tabs>
                                            <w:tab w:val="right" w:leader="dot" w:pos="8306"/>
                                          </w:tabs>
                                          <w:rPr>
                                            <w:b/>
                                            <w:sz w:val="24"/>
                                            <w:szCs w:val="24"/>
                                          </w:rPr>
                                        </w:pPr>
                                        <w:r>
                                          <w:fldChar w:fldCharType="begin"/>
                                        </w:r>
                                        <w:r>
                                          <w:instrText xml:space="preserve"> HYPERLINK \l "_Toc6233" </w:instrText>
                                        </w:r>
                                        <w:r>
                                          <w:fldChar w:fldCharType="separate"/>
                                        </w:r>
                                        <w:r>
                                          <w:rPr>
                                            <w:rFonts w:hint="eastAsia" w:ascii="黑体" w:hAnsi="黑体" w:eastAsia="黑体" w:cs="黑体"/>
                                            <w:b/>
                                            <w:sz w:val="24"/>
                                            <w:szCs w:val="24"/>
                                          </w:rPr>
                                          <w:t>五、一般公共预算当年拨款情况说明</w:t>
                                        </w:r>
                                        <w:r>
                                          <w:rPr>
                                            <w:b/>
                                            <w:sz w:val="24"/>
                                            <w:szCs w:val="24"/>
                                          </w:rPr>
                                          <w:tab/>
                                        </w:r>
                                        <w:r>
                                          <w:rPr>
                                            <w:rFonts w:hint="eastAsia"/>
                                            <w:b/>
                                            <w:sz w:val="24"/>
                                            <w:szCs w:val="24"/>
                                          </w:rPr>
                                          <w:t>5</w:t>
                                        </w:r>
                                        <w:r>
                                          <w:rPr>
                                            <w:rFonts w:hint="eastAsia"/>
                                            <w:b/>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"_Toc1087" </w:instrText>
                                        </w:r>
                                        <w:r>
                                          <w:fldChar w:fldCharType="separate"/>
                                        </w:r>
                                        <w:r>
                                          <w:rPr>
                                            <w:rFonts w:hint="eastAsia" w:ascii="楷体_GB2312" w:hAnsi="楷体_GB2312" w:eastAsia="楷体_GB2312" w:cs="楷体_GB2312"/>
                                            <w:bCs/>
                                            <w:sz w:val="24"/>
                                            <w:szCs w:val="24"/>
                                          </w:rPr>
                                          <w:t>（一）一般公共预算当年拨款规模变化情况</w:t>
                                        </w:r>
                                        <w:r>
                                          <w:rPr>
                                            <w:sz w:val="24"/>
                                            <w:szCs w:val="24"/>
                                          </w:rPr>
                                          <w:tab/>
                                        </w:r>
                                        <w:r>
                                          <w:rPr>
                                            <w:rFonts w:hint="eastAsia"/>
                                            <w:sz w:val="24"/>
                                            <w:szCs w:val="24"/>
                                          </w:rPr>
                                          <w:t>6</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"_Toc9656" </w:instrText>
                                        </w:r>
                                        <w:r>
                                          <w:fldChar w:fldCharType="separate"/>
                                        </w:r>
                                        <w:r>
                                          <w:rPr>
                                            <w:rFonts w:hint="eastAsia" w:ascii="楷体_GB2312" w:hAnsi="楷体_GB2312" w:eastAsia="楷体_GB2312" w:cs="楷体_GB2312"/>
                                            <w:bCs/>
                                            <w:sz w:val="24"/>
                                            <w:szCs w:val="24"/>
                                          </w:rPr>
                                          <w:t>（二）一般公共预算当年拨款结构情况</w:t>
                                        </w:r>
                                        <w:r>
                                          <w:rPr>
                                            <w:sz w:val="24"/>
                                            <w:szCs w:val="24"/>
                                          </w:rPr>
                                          <w:tab/>
                                        </w:r>
                                        <w:r>
                                          <w:rPr>
                                            <w:rFonts w:hint="eastAsia"/>
                                            <w:sz w:val="24"/>
                                            <w:szCs w:val="24"/>
                                          </w:rPr>
                                          <w:t>6</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"_Toc20158" </w:instrText>
                                        </w:r>
                                        <w:r>
                                          <w:fldChar w:fldCharType="separate"/>
                                        </w:r>
                                        <w:r>
                                          <w:rPr>
                                            <w:rFonts w:hint="eastAsia" w:ascii="楷体_GB2312" w:hAnsi="楷体_GB2312" w:eastAsia="楷体_GB2312" w:cs="楷体_GB2312"/>
                                            <w:bCs/>
                                            <w:sz w:val="24"/>
                                            <w:szCs w:val="24"/>
                                          </w:rPr>
                                          <w:t>（三）一般公共预算当年拨款具体使用情况</w:t>
                                        </w:r>
                                        <w:r>
                                          <w:rPr>
                                            <w:sz w:val="24"/>
                                            <w:szCs w:val="24"/>
                                          </w:rPr>
                                          <w:tab/>
                                        </w:r>
                                        <w:r>
                                          <w:rPr>
                                            <w:rFonts w:hint="eastAsia"/>
                                            <w:sz w:val="24"/>
                                            <w:szCs w:val="24"/>
                                          </w:rPr>
                                          <w:t>6</w:t>
                                        </w:r>
                                        <w:r>
                                          <w:rPr>
                                            <w:rFonts w:hint="eastAsia"/>
                                            <w:sz w:val="24"/>
                                            <w:szCs w:val="24"/>
                                          </w:rPr>
                                          <w:fldChar w:fldCharType="end"/>
                                        </w:r>
                                      </w:p>
                                      <w:p>
                                        <w:pPr>
                                          <w:pStyle w:val="22"/>
                                          <w:tabs>
                                            <w:tab w:val="right" w:leader="dot" w:pos="8306"/>
                                          </w:tabs>
                                          <w:rPr>
                                            <w:b/>
                                            <w:sz w:val="24"/>
                                            <w:szCs w:val="24"/>
                                          </w:rPr>
                                        </w:pPr>
                                        <w:r>
                                          <w:fldChar w:fldCharType="begin"/>
                                        </w:r>
                                        <w:r>
                                          <w:instrText xml:space="preserve"> HYPERLINK \l "_Toc13449" </w:instrText>
                                        </w:r>
                                        <w:r>
                                          <w:fldChar w:fldCharType="separate"/>
                                        </w:r>
                                        <w:r>
                                          <w:rPr>
                                            <w:rFonts w:hint="eastAsia" w:ascii="黑体" w:hAnsi="黑体" w:eastAsia="黑体" w:cs="黑体"/>
                                            <w:b/>
                                            <w:sz w:val="24"/>
                                            <w:szCs w:val="24"/>
                                          </w:rPr>
                                          <w:t>六、一般公共预算基本支出情况说明</w:t>
                                        </w:r>
                                        <w:r>
                                          <w:rPr>
                                            <w:b/>
                                            <w:sz w:val="24"/>
                                            <w:szCs w:val="24"/>
                                          </w:rPr>
                                          <w:tab/>
                                        </w:r>
                                        <w:r>
                                          <w:rPr>
                                            <w:rFonts w:hint="eastAsia"/>
                                            <w:b/>
                                            <w:sz w:val="24"/>
                                            <w:szCs w:val="24"/>
                                          </w:rPr>
                                          <w:t>7</w:t>
                                        </w:r>
                                        <w:r>
                                          <w:rPr>
                                            <w:rFonts w:hint="eastAsia"/>
                                            <w:b/>
                                            <w:sz w:val="24"/>
                                            <w:szCs w:val="24"/>
                                          </w:rPr>
                                          <w:fldChar w:fldCharType="end"/>
                                        </w:r>
                                      </w:p>
                                      <w:p>
                                        <w:pPr>
                                          <w:pStyle w:val="22"/>
                                          <w:tabs>
                                            <w:tab w:val="right" w:leader="dot" w:pos="8306"/>
                                          </w:tabs>
                                          <w:rPr>
                                            <w:b/>
                                            <w:sz w:val="24"/>
                                            <w:szCs w:val="24"/>
                                          </w:rPr>
                                        </w:pPr>
                                        <w:r>
                                          <w:fldChar w:fldCharType="begin"/>
                                        </w:r>
                                        <w:r>
                                          <w:instrText xml:space="preserve"> HYPERLINK \l "_Toc1278" </w:instrText>
                                        </w:r>
                                        <w:r>
                                          <w:fldChar w:fldCharType="separate"/>
                                        </w:r>
                                        <w:r>
                                          <w:rPr>
                                            <w:rFonts w:hint="eastAsia" w:ascii="黑体" w:hAnsi="黑体" w:eastAsia="黑体" w:cs="黑体"/>
                                            <w:b/>
                                            <w:sz w:val="24"/>
                                            <w:szCs w:val="24"/>
                                          </w:rPr>
                                          <w:t>七、“三公”经费财政拨款预算安排情况说明</w:t>
                                        </w:r>
                                        <w:r>
                                          <w:rPr>
                                            <w:b/>
                                            <w:sz w:val="24"/>
                                            <w:szCs w:val="24"/>
                                          </w:rPr>
                                          <w:tab/>
                                        </w:r>
                                        <w:r>
                                          <w:rPr>
                                            <w:rFonts w:hint="eastAsia"/>
                                            <w:b/>
                                            <w:sz w:val="24"/>
                                            <w:szCs w:val="24"/>
                                          </w:rPr>
                                          <w:t>7</w:t>
                                        </w:r>
                                        <w:r>
                                          <w:rPr>
                                            <w:rFonts w:hint="eastAsia"/>
                                            <w:b/>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"_Toc24785" </w:instrText>
                                        </w:r>
                                        <w:r>
                                          <w:fldChar w:fldCharType="separate"/>
                                        </w:r>
                                        <w:r>
                                          <w:rPr>
                                            <w:rFonts w:ascii="楷体_GB2312" w:hAnsi="楷体_GB2312" w:eastAsia="楷体_GB2312" w:cs="楷体_GB2312"/>
                                            <w:bCs/>
                                            <w:sz w:val="24"/>
                                            <w:szCs w:val="24"/>
                                          </w:rPr>
                                          <w:t xml:space="preserve">（一） </w:t>
                                        </w:r>
                                        <w:r>
                                          <w:rPr>
                                            <w:rFonts w:hint="eastAsia" w:ascii="楷体_GB2312" w:hAnsi="楷体_GB2312" w:eastAsia="楷体_GB2312" w:cs="楷体_GB2312"/>
                                            <w:bCs/>
                                            <w:sz w:val="24"/>
                                            <w:szCs w:val="24"/>
                                          </w:rPr>
                                          <w:t>因公出国（境）经费较2018年预算持平</w:t>
                                        </w:r>
                                        <w:r>
                                          <w:rPr>
                                            <w:sz w:val="24"/>
                                            <w:szCs w:val="24"/>
                                          </w:rPr>
                                          <w:tab/>
                                        </w:r>
                                        <w:r>
                                          <w:rPr>
                                            <w:rFonts w:hint="eastAsia"/>
                                            <w:sz w:val="24"/>
                                            <w:szCs w:val="24"/>
                                          </w:rPr>
                                          <w:t>8</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"_Toc11700" </w:instrText>
                                        </w:r>
                                        <w:r>
                                          <w:fldChar w:fldCharType="separate"/>
                                        </w:r>
                                        <w:r>
                                          <w:rPr>
                                            <w:rFonts w:ascii="楷体_GB2312" w:hAnsi="楷体_GB2312" w:eastAsia="楷体_GB2312" w:cs="楷体_GB2312"/>
                                            <w:bCs/>
                                            <w:sz w:val="24"/>
                                            <w:szCs w:val="24"/>
                                          </w:rPr>
                                          <w:t xml:space="preserve">（二） </w:t>
                                        </w:r>
                                        <w:r>
                                          <w:rPr>
                                            <w:rFonts w:hint="eastAsia" w:ascii="楷体_GB2312" w:hAnsi="楷体_GB2312" w:eastAsia="楷体_GB2312" w:cs="楷体_GB2312"/>
                                            <w:bCs/>
                                            <w:sz w:val="24"/>
                                            <w:szCs w:val="24"/>
                                          </w:rPr>
                                          <w:t>公务接待费与2018年预算持平。</w:t>
                                        </w:r>
                                        <w:r>
                                          <w:rPr>
                                            <w:sz w:val="24"/>
                                            <w:szCs w:val="24"/>
                                          </w:rPr>
                                          <w:tab/>
                                        </w:r>
                                        <w:r>
                                          <w:rPr>
                                            <w:rFonts w:hint="eastAsia"/>
                                            <w:sz w:val="24"/>
                                            <w:szCs w:val="24"/>
                                          </w:rPr>
                                          <w:t>8</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"_Toc3621" </w:instrText>
                                        </w:r>
                                        <w:r>
                                          <w:fldChar w:fldCharType="separate"/>
                                        </w:r>
                                        <w:r>
                                          <w:rPr>
                                            <w:rFonts w:hint="eastAsia" w:ascii="楷体_GB2312" w:hAnsi="楷体_GB2312" w:eastAsia="楷体_GB2312" w:cs="楷体_GB2312"/>
                                            <w:bCs/>
                                            <w:sz w:val="24"/>
                                            <w:szCs w:val="24"/>
                                          </w:rPr>
                                          <w:t>（三）公务用车购置及运行维护费较2018年预算</w:t>
                                        </w:r>
                                        <w:r>
                                          <w:rPr>
                                            <w:rFonts w:hint="eastAsia" w:ascii="楷体_GB2312" w:hAnsi="楷体_GB2312" w:eastAsia="楷体_GB2312" w:cs="楷体_GB2312"/>
                                            <w:bCs/>
                                            <w:sz w:val="24"/>
                                            <w:szCs w:val="24"/>
                                            <w:lang w:eastAsia="zh-CN"/>
                                          </w:rPr>
                                          <w:t>增加</w:t>
                                        </w:r>
                                        <w:r>
                                          <w:rPr>
                                            <w:sz w:val="24"/>
                                            <w:szCs w:val="24"/>
                                          </w:rPr>
                                          <w:tab/>
                                        </w:r>
                                        <w:r>
                                          <w:rPr>
                                            <w:rFonts w:hint="eastAsia"/>
                                            <w:sz w:val="24"/>
                                            <w:szCs w:val="24"/>
                                          </w:rPr>
                                          <w:t>8</w:t>
                                        </w:r>
                                        <w:r>
                                          <w:rPr>
                                            <w:rFonts w:hint="eastAsia"/>
                                            <w:sz w:val="24"/>
                                            <w:szCs w:val="24"/>
                                          </w:rPr>
                                          <w:fldChar w:fldCharType="end"/>
                                        </w:r>
                                      </w:p>
                                      <w:p>
                                        <w:pPr>
                                          <w:pStyle w:val="22"/>
                                          <w:tabs>
                                            <w:tab w:val="right" w:leader="dot" w:pos="8306"/>
                                          </w:tabs>
                                          <w:rPr>
                                            <w:rFonts w:ascii="宋体" w:hAnsi="宋体" w:cs="方正小标宋简体"/>
                                            <w:b/>
                                            <w:sz w:val="24"/>
                                            <w:szCs w:val="24"/>
                                          </w:rPr>
                                        </w:pPr>
                                        <w:r>
                                          <w:fldChar w:fldCharType="begin"/>
                                        </w:r>
                                        <w:r>
                                          <w:instrText xml:space="preserve"> HYPERLINK \l "_Toc7922" </w:instrText>
                                        </w:r>
                                        <w:r>
                                          <w:fldChar w:fldCharType="separate"/>
                                        </w:r>
                                        <w:r>
                                          <w:rPr>
                                            <w:rFonts w:hint="eastAsia" w:ascii="黑体" w:hAnsi="黑体" w:eastAsia="黑体" w:cs="黑体"/>
                                            <w:b/>
                                            <w:sz w:val="24"/>
                                            <w:szCs w:val="24"/>
                                          </w:rPr>
                                          <w:t>八、政府性基金预算支出情况说明</w:t>
                                        </w:r>
                                        <w:r>
                                          <w:rPr>
                                            <w:b/>
                                            <w:sz w:val="24"/>
                                            <w:szCs w:val="24"/>
                                          </w:rPr>
                                          <w:tab/>
                                        </w:r>
                                        <w:r>
                                          <w:rPr>
                                            <w:rFonts w:hint="eastAsia"/>
                                            <w:b/>
                                            <w:sz w:val="24"/>
                                            <w:szCs w:val="24"/>
                                          </w:rPr>
                                          <w:t>8</w:t>
                                        </w:r>
                                        <w:r>
                                          <w:rPr>
                                            <w:rFonts w:hint="eastAsia"/>
                                            <w:b/>
                                            <w:sz w:val="24"/>
                                            <w:szCs w:val="24"/>
                                          </w:rPr>
                                          <w:fldChar w:fldCharType="end"/>
                                        </w:r>
                                      </w:p>
                                      <w:p>
                                        <w:pPr>
                                          <w:pStyle w:val="22"/>
                                          <w:tabs>
                                            <w:tab w:val="right" w:leader="dot" w:pos="8306"/>
                                          </w:tabs>
                                          <w:rPr>
                                            <w:rFonts w:ascii="宋体" w:hAnsi="宋体" w:cs="方正小标宋简体"/>
                                            <w:b/>
                                            <w:sz w:val="24"/>
                                            <w:szCs w:val="24"/>
                                          </w:rPr>
                                        </w:pPr>
                                        <w:r>
                                          <w:rPr>
                                            <w:rFonts w:hint="eastAsia" w:ascii="黑体" w:hAnsi="宋体" w:eastAsia="黑体" w:cs="宋体"/>
                                            <w:color w:val="333333"/>
                                            <w:sz w:val="28"/>
                                            <w:szCs w:val="28"/>
                                          </w:rPr>
                                          <w:t>九、国有资本经营预算支出情况说明</w:t>
                                        </w:r>
                                        <w:r>
                                          <w:rPr>
                                            <w:b/>
                                            <w:sz w:val="24"/>
                                            <w:szCs w:val="24"/>
                                          </w:rPr>
                                          <w:tab/>
                                        </w:r>
                                        <w:r>
                                          <w:rPr>
                                            <w:rFonts w:hint="eastAsia"/>
                                            <w:b/>
                                            <w:sz w:val="24"/>
                                            <w:szCs w:val="24"/>
                                          </w:rPr>
                                          <w:t>8</w:t>
                                        </w:r>
                                      </w:p>
                                      <w:p>
                                        <w:pPr>
                                          <w:pStyle w:val="22"/>
                                          <w:tabs>
                                            <w:tab w:val="right" w:leader="dot" w:pos="8306"/>
                                          </w:tabs>
                                          <w:rPr>
                                            <w:b/>
                                            <w:sz w:val="24"/>
                                            <w:szCs w:val="24"/>
                                          </w:rPr>
                                        </w:pPr>
                                        <w:r>
                                          <w:fldChar w:fldCharType="begin"/>
                                        </w:r>
                                        <w:r>
                                          <w:instrText xml:space="preserve"> HYPERLINK \l "_Toc32736" </w:instrText>
                                        </w:r>
                                        <w:r>
                                          <w:fldChar w:fldCharType="separate"/>
                                        </w:r>
                                        <w:r>
                                          <w:rPr>
                                            <w:rFonts w:hint="eastAsia" w:ascii="宋体" w:hAnsi="宋体" w:cs="方正小标宋简体"/>
                                            <w:b/>
                                            <w:sz w:val="24"/>
                                            <w:szCs w:val="24"/>
                                          </w:rPr>
                                          <w:t>十</w:t>
                                        </w:r>
                                        <w:r>
                                          <w:rPr>
                                            <w:rFonts w:hint="eastAsia" w:ascii="黑体" w:hAnsi="黑体" w:eastAsia="黑体" w:cs="黑体"/>
                                            <w:b/>
                                            <w:sz w:val="24"/>
                                            <w:szCs w:val="24"/>
                                          </w:rPr>
                                          <w:t>、其他重要事项的情况说明</w:t>
                                        </w:r>
                                        <w:r>
                                          <w:rPr>
                                            <w:b/>
                                            <w:sz w:val="24"/>
                                            <w:szCs w:val="24"/>
                                          </w:rPr>
                                          <w:tab/>
                                        </w:r>
                                        <w:r>
                                          <w:rPr>
                                            <w:rFonts w:hint="eastAsia"/>
                                            <w:b/>
                                            <w:sz w:val="24"/>
                                            <w:szCs w:val="24"/>
                                          </w:rPr>
                                          <w:t>8</w:t>
                                        </w:r>
                                        <w:r>
                                          <w:rPr>
                                            <w:rFonts w:hint="eastAsia"/>
                                            <w:b/>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"_Toc26120" </w:instrText>
                                        </w:r>
                                        <w:r>
                                          <w:fldChar w:fldCharType="separate"/>
                                        </w:r>
                                        <w:r>
                                          <w:rPr>
                                            <w:rFonts w:hint="eastAsia" w:ascii="楷体_GB2312" w:hAnsi="楷体_GB2312" w:eastAsia="楷体_GB2312" w:cs="楷体_GB2312"/>
                                            <w:bCs/>
                                            <w:sz w:val="24"/>
                                            <w:szCs w:val="24"/>
                                          </w:rPr>
                                          <w:t>（一）机关运行经费</w:t>
                                        </w:r>
                                        <w:r>
                                          <w:rPr>
                                            <w:sz w:val="24"/>
                                            <w:szCs w:val="24"/>
                                          </w:rPr>
                                          <w:tab/>
                                        </w:r>
                                        <w:r>
                                          <w:rPr>
                                            <w:rFonts w:hint="eastAsia"/>
                                            <w:sz w:val="24"/>
                                            <w:szCs w:val="24"/>
                                          </w:rPr>
                                          <w:t>8</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"_Toc4068" </w:instrText>
                                        </w:r>
                                        <w:r>
                                          <w:fldChar w:fldCharType="separate"/>
                                        </w:r>
                                        <w:r>
                                          <w:rPr>
                                            <w:rFonts w:hint="eastAsia" w:ascii="楷体_GB2312" w:hAnsi="楷体_GB2312" w:eastAsia="楷体_GB2312" w:cs="楷体_GB2312"/>
                                            <w:bCs/>
                                            <w:sz w:val="24"/>
                                            <w:szCs w:val="24"/>
                                          </w:rPr>
                                          <w:t>（二）政府采购情况</w:t>
                                        </w:r>
                                        <w:r>
                                          <w:rPr>
                                            <w:sz w:val="24"/>
                                            <w:szCs w:val="24"/>
                                          </w:rPr>
                                          <w:tab/>
                                        </w:r>
                                        <w:r>
                                          <w:rPr>
                                            <w:rFonts w:hint="eastAsia"/>
                                            <w:sz w:val="24"/>
                                            <w:szCs w:val="24"/>
                                          </w:rPr>
                                          <w:t>8</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"_Toc22468" </w:instrText>
                                        </w:r>
                                        <w:r>
                                          <w:fldChar w:fldCharType="separate"/>
                                        </w:r>
                                        <w:r>
                                          <w:rPr>
                                            <w:rFonts w:hint="eastAsia" w:ascii="楷体_GB2312" w:hAnsi="楷体_GB2312" w:eastAsia="楷体_GB2312" w:cs="楷体_GB2312"/>
                                            <w:bCs/>
                                            <w:sz w:val="24"/>
                                            <w:szCs w:val="24"/>
                                          </w:rPr>
                                          <w:t>（三）国有资产占有使用情况</w:t>
                                        </w:r>
                                        <w:r>
                                          <w:rPr>
                                            <w:sz w:val="24"/>
                                            <w:szCs w:val="24"/>
                                          </w:rPr>
                                          <w:tab/>
                                        </w:r>
                                        <w:r>
                                          <w:rPr>
                                            <w:rFonts w:hint="eastAsia"/>
                                            <w:sz w:val="24"/>
                                            <w:szCs w:val="24"/>
                                          </w:rPr>
                                          <w:t>8</w:t>
                                        </w:r>
                                        <w:r>
                                          <w:rPr>
                                            <w:rFonts w:hint="eastAsia"/>
                                            <w:sz w:val="24"/>
                                            <w:szCs w:val="24"/>
                                          </w:rPr>
                                          <w:fldChar w:fldCharType="end"/>
                                        </w:r>
                                      </w:p>
                                      <w:p>
                                        <w:pPr>
                                          <w:pStyle w:val="23"/>
                                          <w:tabs>
                                            <w:tab w:val="right" w:leader="dot" w:pos="8306"/>
                                          </w:tabs>
                                          <w:spacing w:before="93"/>
                                          <w:ind w:left="420"/>
                                          <w:rPr>
                                            <w:sz w:val="24"/>
                                            <w:szCs w:val="24"/>
                                          </w:rPr>
                                        </w:pPr>
                                        <w:r>
                                          <w:fldChar w:fldCharType="begin"/>
                                        </w:r>
                                        <w:r>
                                          <w:instrText xml:space="preserve"> HYPERLINK \l "_Toc24695" </w:instrText>
                                        </w:r>
                                        <w:r>
                                          <w:fldChar w:fldCharType="separate"/>
                                        </w:r>
                                        <w:r>
                                          <w:rPr>
                                            <w:rFonts w:hint="eastAsia" w:ascii="楷体_GB2312" w:hAnsi="楷体_GB2312" w:eastAsia="楷体_GB2312" w:cs="楷体_GB2312"/>
                                            <w:bCs/>
                                            <w:sz w:val="24"/>
                                            <w:szCs w:val="24"/>
                                          </w:rPr>
                                          <w:t>（四）绩效目标设置情况</w:t>
                                        </w:r>
                                        <w:r>
                                          <w:rPr>
                                            <w:sz w:val="24"/>
                                            <w:szCs w:val="24"/>
                                          </w:rPr>
                                          <w:tab/>
                                        </w:r>
                                        <w:r>
                                          <w:rPr>
                                            <w:rFonts w:hint="eastAsia"/>
                                            <w:sz w:val="24"/>
                                            <w:szCs w:val="24"/>
                                          </w:rPr>
                                          <w:t>8</w:t>
                                        </w:r>
                                        <w:r>
                                          <w:rPr>
                                            <w:rFonts w:hint="eastAsia"/>
                                            <w:sz w:val="24"/>
                                            <w:szCs w:val="24"/>
                                          </w:rPr>
                                          <w:fldChar w:fldCharType="end"/>
                                        </w:r>
                                      </w:p>
                                      <w:p>
                                        <w:pPr>
                                          <w:pStyle w:val="22"/>
                                          <w:tabs>
                                            <w:tab w:val="right" w:leader="dot" w:pos="8306"/>
                                          </w:tabs>
                                          <w:rPr>
                                            <w:b/>
                                            <w:sz w:val="24"/>
                                            <w:szCs w:val="24"/>
                                          </w:rPr>
                                        </w:pPr>
                                        <w:r>
                                          <w:fldChar w:fldCharType="begin"/>
                                        </w:r>
                                        <w:r>
                                          <w:instrText xml:space="preserve"> HYPERLINK \l "_Toc21335" </w:instrText>
                                        </w:r>
                                        <w:r>
                                          <w:fldChar w:fldCharType="separate"/>
                                        </w:r>
                                        <w:r>
                                          <w:rPr>
                                            <w:rFonts w:hint="eastAsia" w:ascii="仿宋_GB2312" w:hAnsi="仿宋_GB2312" w:eastAsia="仿宋_GB2312" w:cs="仿宋_GB2312"/>
                                            <w:b/>
                                            <w:bCs/>
                                            <w:sz w:val="24"/>
                                            <w:szCs w:val="24"/>
                                          </w:rPr>
                                          <w:t>十一、名词解释</w:t>
                                        </w:r>
                                        <w:r>
                                          <w:rPr>
                                            <w:b/>
                                            <w:sz w:val="24"/>
                                            <w:szCs w:val="24"/>
                                          </w:rPr>
                                          <w:tab/>
                                        </w:r>
                                        <w:r>
                                          <w:rPr>
                                            <w:rFonts w:hint="eastAsia"/>
                                            <w:b/>
                                            <w:sz w:val="24"/>
                                            <w:szCs w:val="24"/>
                                          </w:rPr>
                                          <w:t>10</w:t>
                                        </w:r>
                                        <w:r>
                                          <w:rPr>
                                            <w:rFonts w:hint="eastAsia"/>
                                            <w:b/>
                                            <w:sz w:val="24"/>
                                            <w:szCs w:val="24"/>
                                          </w:rPr>
                                          <w:fldChar w:fldCharType="end"/>
                                        </w:r>
                                      </w:p>
                                      <w:p>
                                        <w:pPr>
                                          <w:rPr>
                                            <w:b/>
                                            <w:bCs/>
                                            <w:lang w:val="zh-CN"/>
                                          </w:rPr>
                                        </w:pPr>
                                        <w:r>
                                          <w:rPr>
                                            <w:rFonts w:ascii="宋体" w:hAnsi="宋体" w:cs="方正小标宋简体"/>
                                            <w:b/>
                                            <w:kern w:val="0"/>
                                            <w:sz w:val="24"/>
                                            <w:szCs w:val="24"/>
                                          </w:rPr>
                                          <w:fldChar w:fldCharType="end"/>
                                        </w:r>
                                      </w:p>
                                    </w:sdtContent>
                                  </w:sdt>
                                  <w:p>
                                    <w:pPr>
                                      <w:pStyle w:val="3"/>
                                      <w:adjustRightInd w:val="0"/>
                                      <w:snapToGrid w:val="0"/>
                                      <w:spacing w:line="600" w:lineRule="exact"/>
                                      <w:ind w:left="1795" w:leftChars="855" w:firstLine="360" w:firstLineChars="100"/>
                                      <w:jc w:val="left"/>
                                      <w:rPr>
                                        <w:rFonts w:ascii="方正小标宋简体" w:hAnsi="宋体" w:eastAsia="方正小标宋简体" w:cs="宋体"/>
                                        <w:color w:val="0066CC"/>
                                        <w:sz w:val="36"/>
                                        <w:szCs w:val="36"/>
                                      </w:rPr>
                                    </w:pPr>
                                  </w:p>
                                  <w:p>
                                    <w:pPr>
                                      <w:pStyle w:val="3"/>
                                      <w:adjustRightInd w:val="0"/>
                                      <w:snapToGrid w:val="0"/>
                                      <w:spacing w:line="600" w:lineRule="exact"/>
                                      <w:ind w:left="1795" w:leftChars="855" w:firstLine="360" w:firstLineChars="100"/>
                                      <w:jc w:val="left"/>
                                      <w:rPr>
                                        <w:rFonts w:ascii="方正小标宋简体" w:hAnsi="宋体" w:eastAsia="方正小标宋简体" w:cs="宋体"/>
                                        <w:color w:val="0066CC"/>
                                        <w:sz w:val="36"/>
                                        <w:szCs w:val="36"/>
                                      </w:rPr>
                                    </w:pPr>
                                  </w:p>
                                  <w:p>
                                    <w:pPr>
                                      <w:pStyle w:val="3"/>
                                      <w:tabs>
                                        <w:tab w:val="left" w:pos="2700"/>
                                      </w:tabs>
                                      <w:adjustRightInd w:val="0"/>
                                      <w:snapToGrid w:val="0"/>
                                      <w:spacing w:line="600" w:lineRule="exact"/>
                                      <w:outlineLvl w:val="0"/>
                                      <w:rPr>
                                        <w:rFonts w:hAnsi="宋体" w:cs="宋体"/>
                                        <w:color w:val="333333"/>
                                        <w:sz w:val="28"/>
                                        <w:szCs w:val="28"/>
                                      </w:rPr>
                                    </w:pPr>
                                  </w:p>
                                  <w:p>
                                    <w:pPr>
                                      <w:pStyle w:val="3"/>
                                      <w:adjustRightInd w:val="0"/>
                                      <w:snapToGrid w:val="0"/>
                                      <w:spacing w:line="600" w:lineRule="exact"/>
                                      <w:ind w:firstLine="590" w:firstLineChars="210"/>
                                      <w:outlineLvl w:val="0"/>
                                      <w:rPr>
                                        <w:rFonts w:hAnsi="宋体" w:cs="宋体"/>
                                        <w:color w:val="333333"/>
                                        <w:sz w:val="28"/>
                                        <w:szCs w:val="28"/>
                                      </w:rPr>
                                    </w:pPr>
                                    <w:bookmarkStart w:id="1" w:name="_Toc72766492"/>
                                    <w:r>
                                      <w:rPr>
                                        <w:rFonts w:hint="eastAsia" w:hAnsi="宋体" w:cs="宋体"/>
                                        <w:b/>
                                        <w:color w:val="333333"/>
                                        <w:sz w:val="28"/>
                                        <w:szCs w:val="28"/>
                                      </w:rPr>
                                      <w:t>一、基本职能及主要工作</w:t>
                                    </w:r>
                                    <w:r>
                                      <w:rPr>
                                        <w:rFonts w:hint="eastAsia" w:hAnsi="宋体" w:cs="宋体"/>
                                        <w:color w:val="333333"/>
                                        <w:sz w:val="28"/>
                                        <w:szCs w:val="28"/>
                                      </w:rPr>
                                      <w:br w:type="textWrapping"/>
                                    </w:r>
                                    <w:r>
                                      <w:rPr>
                                        <w:rFonts w:hint="eastAsia" w:hAnsi="宋体" w:cs="宋体"/>
                                        <w:color w:val="333333"/>
                                        <w:sz w:val="28"/>
                                        <w:szCs w:val="28"/>
                                      </w:rPr>
                                      <w:t>　　（一）主要职能。</w:t>
                                    </w:r>
                                    <w:bookmarkEnd w:id="1"/>
                                  </w:p>
                                  <w:p>
                                    <w:pPr>
                                      <w:pStyle w:val="3"/>
                                      <w:adjustRightInd w:val="0"/>
                                      <w:snapToGrid w:val="0"/>
                                      <w:spacing w:line="600" w:lineRule="exact"/>
                                      <w:ind w:firstLine="588" w:firstLineChars="210"/>
                                      <w:outlineLvl w:val="0"/>
                                      <w:rPr>
                                        <w:rFonts w:hAnsi="宋体" w:cs="宋体"/>
                                        <w:color w:val="333333"/>
                                        <w:sz w:val="28"/>
                                        <w:szCs w:val="28"/>
                                      </w:rPr>
                                    </w:pPr>
                                    <w:bookmarkStart w:id="2" w:name="_Toc72766348"/>
                                    <w:bookmarkStart w:id="3" w:name="_Toc72766494"/>
                                    <w:r>
                                      <w:rPr>
                                        <w:rFonts w:hint="eastAsia" w:hAnsi="宋体" w:cs="宋体"/>
                                        <w:color w:val="333333"/>
                                        <w:sz w:val="28"/>
                                        <w:szCs w:val="28"/>
                                      </w:rPr>
                                      <w:t>（一）协助县政府领导同志组织起草或审核以县政府、县政府办公室名义发布的公文。办理州政府、州政府办公室及各部委局发送县政府的文电。指导全县行政机关公文处理工作。</w:t>
                                    </w:r>
                                    <w:bookmarkEnd w:id="2"/>
                                    <w:bookmarkEnd w:id="3"/>
                                  </w:p>
                                  <w:p>
                                    <w:pPr>
                                      <w:pStyle w:val="3"/>
                                      <w:adjustRightInd w:val="0"/>
                                      <w:snapToGrid w:val="0"/>
                                      <w:spacing w:line="600" w:lineRule="exact"/>
                                      <w:ind w:firstLine="588" w:firstLineChars="210"/>
                                      <w:outlineLvl w:val="0"/>
                                      <w:rPr>
                                        <w:rFonts w:hAnsi="宋体" w:cs="宋体"/>
                                        <w:color w:val="333333"/>
                                        <w:sz w:val="28"/>
                                        <w:szCs w:val="28"/>
                                      </w:rPr>
                                    </w:pPr>
                                    <w:bookmarkStart w:id="4" w:name="_Toc72766349"/>
                                    <w:bookmarkStart w:id="5" w:name="_Toc72766495"/>
                                    <w:r>
                                      <w:rPr>
                                        <w:rFonts w:hint="eastAsia" w:hAnsi="宋体" w:cs="宋体"/>
                                        <w:color w:val="333333"/>
                                        <w:sz w:val="28"/>
                                        <w:szCs w:val="28"/>
                                      </w:rPr>
                                      <w:t>（二）研究县政府部门和各乡镇人民政府请示县政府事项，提出审核意见，报县政府领导同志审批。</w:t>
                                    </w:r>
                                    <w:bookmarkEnd w:id="4"/>
                                    <w:bookmarkEnd w:id="5"/>
                                  </w:p>
                                  <w:p>
                                    <w:pPr>
                                      <w:pStyle w:val="3"/>
                                      <w:adjustRightInd w:val="0"/>
                                      <w:snapToGrid w:val="0"/>
                                      <w:spacing w:line="600" w:lineRule="exact"/>
                                      <w:ind w:firstLine="588" w:firstLineChars="210"/>
                                      <w:outlineLvl w:val="0"/>
                                      <w:rPr>
                                        <w:rFonts w:hAnsi="宋体" w:cs="宋体"/>
                                        <w:color w:val="333333"/>
                                        <w:sz w:val="28"/>
                                        <w:szCs w:val="28"/>
                                      </w:rPr>
                                    </w:pPr>
                                    <w:bookmarkStart w:id="6" w:name="_Toc72766496"/>
                                    <w:bookmarkStart w:id="7" w:name="_Toc72766350"/>
                                    <w:r>
                                      <w:rPr>
                                        <w:rFonts w:hint="eastAsia" w:hAnsi="宋体" w:cs="宋体"/>
                                        <w:color w:val="333333"/>
                                        <w:sz w:val="28"/>
                                        <w:szCs w:val="28"/>
                                      </w:rPr>
                                      <w:t>（三）负责县政府会议准备工作，协助县政府领导组织实施会议决定事项。</w:t>
                                    </w:r>
                                    <w:bookmarkEnd w:id="6"/>
                                    <w:bookmarkEnd w:id="7"/>
                                  </w:p>
                                  <w:p>
                                    <w:pPr>
                                      <w:pStyle w:val="3"/>
                                      <w:adjustRightInd w:val="0"/>
                                      <w:snapToGrid w:val="0"/>
                                      <w:spacing w:line="600" w:lineRule="exact"/>
                                      <w:ind w:firstLine="588" w:firstLineChars="210"/>
                                      <w:outlineLvl w:val="0"/>
                                      <w:rPr>
                                        <w:rFonts w:hAnsi="宋体" w:cs="宋体"/>
                                        <w:color w:val="333333"/>
                                        <w:sz w:val="28"/>
                                        <w:szCs w:val="28"/>
                                      </w:rPr>
                                    </w:pPr>
                                    <w:bookmarkStart w:id="8" w:name="_Toc72766351"/>
                                    <w:bookmarkStart w:id="9" w:name="_Toc72766497"/>
                                    <w:r>
                                      <w:rPr>
                                        <w:rFonts w:hint="eastAsia" w:hAnsi="宋体" w:cs="宋体"/>
                                        <w:color w:val="333333"/>
                                        <w:sz w:val="28"/>
                                        <w:szCs w:val="28"/>
                                      </w:rPr>
                                      <w:t>（四）根据县政府领导同志的指示，对县政府部门间争议问题提出处理意见和建议，报县政府领导同志决定。</w:t>
                                    </w:r>
                                    <w:bookmarkEnd w:id="8"/>
                                    <w:bookmarkEnd w:id="9"/>
                                  </w:p>
                                  <w:p>
                                    <w:pPr>
                                      <w:pStyle w:val="3"/>
                                      <w:adjustRightInd w:val="0"/>
                                      <w:snapToGrid w:val="0"/>
                                      <w:spacing w:line="600" w:lineRule="exact"/>
                                      <w:ind w:firstLine="588" w:firstLineChars="210"/>
                                      <w:outlineLvl w:val="0"/>
                                      <w:rPr>
                                        <w:rFonts w:hAnsi="宋体" w:cs="宋体"/>
                                        <w:color w:val="333333"/>
                                        <w:sz w:val="28"/>
                                        <w:szCs w:val="28"/>
                                      </w:rPr>
                                    </w:pPr>
                                    <w:bookmarkStart w:id="10" w:name="_Toc72766352"/>
                                    <w:bookmarkStart w:id="11" w:name="_Toc72766498"/>
                                    <w:r>
                                      <w:rPr>
                                        <w:rFonts w:hint="eastAsia" w:hAnsi="宋体" w:cs="宋体"/>
                                        <w:color w:val="333333"/>
                                        <w:sz w:val="28"/>
                                        <w:szCs w:val="28"/>
                                      </w:rPr>
                                      <w:t>（五）督促检查县政府各部门和各乡镇人民政府对县政府决定事项及县政府领导同志指示的贯彻落实情况，及时向县政府领导同志报告。</w:t>
                                    </w:r>
                                    <w:bookmarkEnd w:id="10"/>
                                    <w:bookmarkEnd w:id="11"/>
                                  </w:p>
                                  <w:p>
                                    <w:pPr>
                                      <w:pStyle w:val="3"/>
                                      <w:adjustRightInd w:val="0"/>
                                      <w:snapToGrid w:val="0"/>
                                      <w:spacing w:line="600" w:lineRule="exact"/>
                                      <w:ind w:firstLine="588" w:firstLineChars="210"/>
                                      <w:outlineLvl w:val="0"/>
                                      <w:rPr>
                                        <w:rFonts w:hAnsi="宋体" w:cs="宋体"/>
                                        <w:color w:val="333333"/>
                                        <w:sz w:val="28"/>
                                        <w:szCs w:val="28"/>
                                      </w:rPr>
                                    </w:pPr>
                                    <w:bookmarkStart w:id="12" w:name="_Toc72766353"/>
                                    <w:bookmarkStart w:id="13" w:name="_Toc72766499"/>
                                    <w:r>
                                      <w:rPr>
                                        <w:rFonts w:hint="eastAsia" w:hAnsi="宋体" w:cs="宋体"/>
                                        <w:color w:val="333333"/>
                                        <w:sz w:val="28"/>
                                        <w:szCs w:val="28"/>
                                      </w:rPr>
                                      <w:t>（六）负责县政府值班工作，指导乡镇人民政府和县政府部门值班工作，及时报告重要情况。</w:t>
                                    </w:r>
                                    <w:bookmarkEnd w:id="12"/>
                                    <w:bookmarkEnd w:id="13"/>
                                  </w:p>
                                  <w:p>
                                    <w:pPr>
                                      <w:pStyle w:val="3"/>
                                      <w:adjustRightInd w:val="0"/>
                                      <w:snapToGrid w:val="0"/>
                                      <w:spacing w:line="600" w:lineRule="exact"/>
                                      <w:ind w:firstLine="588" w:firstLineChars="210"/>
                                      <w:outlineLvl w:val="0"/>
                                      <w:rPr>
                                        <w:rFonts w:hAnsi="宋体" w:cs="宋体"/>
                                        <w:color w:val="333333"/>
                                        <w:sz w:val="28"/>
                                        <w:szCs w:val="28"/>
                                      </w:rPr>
                                    </w:pPr>
                                    <w:bookmarkStart w:id="14" w:name="_Toc72766354"/>
                                    <w:bookmarkStart w:id="15" w:name="_Toc72766500"/>
                                    <w:r>
                                      <w:rPr>
                                        <w:rFonts w:hint="eastAsia" w:hAnsi="宋体" w:cs="宋体"/>
                                        <w:color w:val="333333"/>
                                        <w:sz w:val="28"/>
                                        <w:szCs w:val="28"/>
                                      </w:rPr>
                                      <w:t>（七）指导、监督全县政府信息公开工作和机关行政效能建设工作，指导、监督全县政府系统电子政务工作和政府网站建设。</w:t>
                                    </w:r>
                                    <w:bookmarkEnd w:id="14"/>
                                    <w:bookmarkEnd w:id="15"/>
                                  </w:p>
                                  <w:p>
                                    <w:pPr>
                                      <w:pStyle w:val="3"/>
                                      <w:adjustRightInd w:val="0"/>
                                      <w:snapToGrid w:val="0"/>
                                      <w:spacing w:line="600" w:lineRule="exact"/>
                                      <w:ind w:firstLine="588" w:firstLineChars="210"/>
                                      <w:outlineLvl w:val="0"/>
                                      <w:rPr>
                                        <w:rFonts w:hAnsi="宋体" w:cs="宋体"/>
                                        <w:color w:val="333333"/>
                                        <w:sz w:val="28"/>
                                        <w:szCs w:val="28"/>
                                      </w:rPr>
                                    </w:pPr>
                                    <w:bookmarkStart w:id="16" w:name="_Toc72766355"/>
                                    <w:bookmarkStart w:id="17" w:name="_Toc72766501"/>
                                    <w:r>
                                      <w:rPr>
                                        <w:rFonts w:hint="eastAsia" w:hAnsi="宋体" w:cs="宋体"/>
                                        <w:color w:val="333333"/>
                                        <w:sz w:val="28"/>
                                        <w:szCs w:val="28"/>
                                      </w:rPr>
                                      <w:t>（八）组织办理涉及县政府工作的人大代表议案、批评、建议和政协委员提案、建议案工作。</w:t>
                                    </w:r>
                                    <w:bookmarkEnd w:id="16"/>
                                    <w:bookmarkEnd w:id="17"/>
                                  </w:p>
                                  <w:p>
                                    <w:pPr>
                                      <w:pStyle w:val="3"/>
                                      <w:adjustRightInd w:val="0"/>
                                      <w:snapToGrid w:val="0"/>
                                      <w:spacing w:line="600" w:lineRule="exact"/>
                                      <w:ind w:firstLine="588" w:firstLineChars="210"/>
                                      <w:outlineLvl w:val="0"/>
                                      <w:rPr>
                                        <w:rFonts w:hAnsi="宋体" w:cs="宋体"/>
                                        <w:color w:val="333333"/>
                                        <w:sz w:val="28"/>
                                        <w:szCs w:val="28"/>
                                      </w:rPr>
                                    </w:pPr>
                                    <w:bookmarkStart w:id="18" w:name="_Toc72766356"/>
                                    <w:bookmarkStart w:id="19" w:name="_Toc72766502"/>
                                    <w:r>
                                      <w:rPr>
                                        <w:rFonts w:hint="eastAsia" w:hAnsi="宋体" w:cs="宋体"/>
                                        <w:color w:val="333333"/>
                                        <w:sz w:val="28"/>
                                        <w:szCs w:val="28"/>
                                      </w:rPr>
                                      <w:t>（九）指导全县应急管理工作，协助县政府领导同志做好需由县政府组织处理的突发事件的应急处置工作。</w:t>
                                    </w:r>
                                    <w:bookmarkEnd w:id="18"/>
                                    <w:bookmarkEnd w:id="19"/>
                                  </w:p>
                                  <w:p>
                                    <w:pPr>
                                      <w:pStyle w:val="3"/>
                                      <w:adjustRightInd w:val="0"/>
                                      <w:snapToGrid w:val="0"/>
                                      <w:spacing w:line="600" w:lineRule="exact"/>
                                      <w:ind w:firstLine="588" w:firstLineChars="210"/>
                                      <w:outlineLvl w:val="0"/>
                                      <w:rPr>
                                        <w:rFonts w:hAnsi="宋体" w:cs="宋体"/>
                                        <w:color w:val="333333"/>
                                        <w:sz w:val="28"/>
                                        <w:szCs w:val="28"/>
                                      </w:rPr>
                                    </w:pPr>
                                    <w:bookmarkStart w:id="20" w:name="_Toc72766357"/>
                                    <w:bookmarkStart w:id="21" w:name="_Toc72766503"/>
                                    <w:r>
                                      <w:rPr>
                                        <w:rFonts w:hint="eastAsia" w:hAnsi="宋体" w:cs="宋体"/>
                                        <w:color w:val="333333"/>
                                        <w:sz w:val="28"/>
                                        <w:szCs w:val="28"/>
                                      </w:rPr>
                                      <w:t>（十）围绕县政府中心工作和县政府领导同志的指示，组织专题调查研究，及时反映情况，提出政策性建议。</w:t>
                                    </w:r>
                                    <w:bookmarkEnd w:id="20"/>
                                    <w:bookmarkEnd w:id="21"/>
                                  </w:p>
                                  <w:p>
                                    <w:pPr>
                                      <w:pStyle w:val="3"/>
                                      <w:adjustRightInd w:val="0"/>
                                      <w:snapToGrid w:val="0"/>
                                      <w:spacing w:line="600" w:lineRule="exact"/>
                                      <w:ind w:firstLine="588" w:firstLineChars="210"/>
                                      <w:outlineLvl w:val="0"/>
                                      <w:rPr>
                                        <w:rFonts w:hAnsi="宋体" w:cs="宋体"/>
                                        <w:color w:val="333333"/>
                                        <w:sz w:val="28"/>
                                        <w:szCs w:val="28"/>
                                      </w:rPr>
                                    </w:pPr>
                                    <w:bookmarkStart w:id="22" w:name="_Toc72766358"/>
                                    <w:bookmarkStart w:id="23" w:name="_Toc72766504"/>
                                    <w:r>
                                      <w:rPr>
                                        <w:rFonts w:hint="eastAsia" w:hAnsi="宋体" w:cs="宋体"/>
                                        <w:color w:val="333333"/>
                                        <w:sz w:val="28"/>
                                        <w:szCs w:val="28"/>
                                      </w:rPr>
                                      <w:t>（十一）指导县政务服务中心建设，组织县直部门集中开展行政审批和公共服务。</w:t>
                                    </w:r>
                                    <w:bookmarkEnd w:id="22"/>
                                    <w:bookmarkEnd w:id="23"/>
                                  </w:p>
                                  <w:p>
                                    <w:pPr>
                                      <w:pStyle w:val="3"/>
                                      <w:adjustRightInd w:val="0"/>
                                      <w:snapToGrid w:val="0"/>
                                      <w:spacing w:line="600" w:lineRule="exact"/>
                                      <w:ind w:firstLine="588" w:firstLineChars="210"/>
                                      <w:outlineLvl w:val="0"/>
                                      <w:rPr>
                                        <w:rFonts w:hAnsi="宋体" w:cs="宋体"/>
                                        <w:color w:val="333333"/>
                                        <w:sz w:val="28"/>
                                        <w:szCs w:val="28"/>
                                      </w:rPr>
                                    </w:pPr>
                                    <w:bookmarkStart w:id="24" w:name="_Toc72766359"/>
                                    <w:bookmarkStart w:id="25" w:name="_Toc72766505"/>
                                    <w:r>
                                      <w:rPr>
                                        <w:rFonts w:hint="eastAsia" w:hAnsi="宋体" w:cs="宋体"/>
                                        <w:color w:val="333333"/>
                                        <w:sz w:val="28"/>
                                        <w:szCs w:val="28"/>
                                      </w:rPr>
                                      <w:t>（十二）负责县政府人民防空和民防工作。</w:t>
                                    </w:r>
                                    <w:bookmarkEnd w:id="24"/>
                                    <w:bookmarkEnd w:id="25"/>
                                  </w:p>
                                  <w:p>
                                    <w:pPr>
                                      <w:pStyle w:val="3"/>
                                      <w:adjustRightInd w:val="0"/>
                                      <w:snapToGrid w:val="0"/>
                                      <w:spacing w:line="600" w:lineRule="exact"/>
                                      <w:ind w:firstLine="588" w:firstLineChars="210"/>
                                      <w:outlineLvl w:val="0"/>
                                      <w:rPr>
                                        <w:rFonts w:hAnsi="宋体" w:cs="宋体"/>
                                        <w:color w:val="333333"/>
                                        <w:sz w:val="28"/>
                                        <w:szCs w:val="28"/>
                                      </w:rPr>
                                    </w:pPr>
                                    <w:bookmarkStart w:id="26" w:name="_Toc72766360"/>
                                    <w:bookmarkStart w:id="27" w:name="_Toc72766506"/>
                                    <w:r>
                                      <w:rPr>
                                        <w:rFonts w:hint="eastAsia" w:hAnsi="宋体" w:cs="宋体"/>
                                        <w:color w:val="333333"/>
                                        <w:sz w:val="28"/>
                                        <w:szCs w:val="28"/>
                                      </w:rPr>
                                      <w:t>（十三）负责全县机关事业单位小汽车编制审批事项。</w:t>
                                    </w:r>
                                    <w:bookmarkEnd w:id="26"/>
                                    <w:bookmarkEnd w:id="27"/>
                                  </w:p>
                                  <w:p>
                                    <w:pPr>
                                      <w:pStyle w:val="3"/>
                                      <w:adjustRightInd w:val="0"/>
                                      <w:snapToGrid w:val="0"/>
                                      <w:spacing w:line="600" w:lineRule="exact"/>
                                      <w:ind w:firstLine="588" w:firstLineChars="210"/>
                                      <w:outlineLvl w:val="0"/>
                                      <w:rPr>
                                        <w:rFonts w:hAnsi="宋体" w:cs="宋体"/>
                                        <w:color w:val="333333"/>
                                        <w:sz w:val="28"/>
                                        <w:szCs w:val="28"/>
                                      </w:rPr>
                                    </w:pPr>
                                    <w:bookmarkStart w:id="28" w:name="_Toc72766361"/>
                                    <w:bookmarkStart w:id="29" w:name="_Toc72766507"/>
                                    <w:r>
                                      <w:rPr>
                                        <w:rFonts w:hint="eastAsia" w:hAnsi="宋体" w:cs="宋体"/>
                                        <w:color w:val="333333"/>
                                        <w:sz w:val="28"/>
                                        <w:szCs w:val="28"/>
                                      </w:rPr>
                                      <w:t>（十四）负责外事侨务工作。</w:t>
                                    </w:r>
                                    <w:bookmarkEnd w:id="28"/>
                                    <w:bookmarkEnd w:id="29"/>
                                  </w:p>
                                  <w:p>
                                    <w:pPr>
                                      <w:pStyle w:val="3"/>
                                      <w:adjustRightInd w:val="0"/>
                                      <w:snapToGrid w:val="0"/>
                                      <w:spacing w:line="600" w:lineRule="exact"/>
                                      <w:ind w:firstLine="588" w:firstLineChars="210"/>
                                      <w:outlineLvl w:val="0"/>
                                      <w:rPr>
                                        <w:rFonts w:hAnsi="宋体" w:cs="宋体"/>
                                        <w:color w:val="333333"/>
                                        <w:sz w:val="28"/>
                                        <w:szCs w:val="28"/>
                                      </w:rPr>
                                    </w:pPr>
                                    <w:bookmarkStart w:id="30" w:name="_Toc72766362"/>
                                    <w:bookmarkStart w:id="31" w:name="_Toc72766508"/>
                                    <w:r>
                                      <w:rPr>
                                        <w:rFonts w:hint="eastAsia" w:hAnsi="宋体" w:cs="宋体"/>
                                        <w:color w:val="333333"/>
                                        <w:sz w:val="28"/>
                                        <w:szCs w:val="28"/>
                                      </w:rPr>
                                      <w:t>（十五）组织实施县政府法制工作。</w:t>
                                    </w:r>
                                    <w:bookmarkEnd w:id="30"/>
                                    <w:bookmarkEnd w:id="31"/>
                                  </w:p>
                                  <w:p>
                                    <w:pPr>
                                      <w:pStyle w:val="3"/>
                                      <w:adjustRightInd w:val="0"/>
                                      <w:snapToGrid w:val="0"/>
                                      <w:spacing w:line="600" w:lineRule="exact"/>
                                      <w:ind w:firstLine="588" w:firstLineChars="210"/>
                                      <w:outlineLvl w:val="0"/>
                                      <w:rPr>
                                        <w:rFonts w:hAnsi="宋体" w:cs="宋体"/>
                                        <w:color w:val="333333"/>
                                        <w:sz w:val="28"/>
                                        <w:szCs w:val="28"/>
                                      </w:rPr>
                                    </w:pPr>
                                    <w:bookmarkStart w:id="32" w:name="_Toc72766363"/>
                                    <w:bookmarkStart w:id="33" w:name="_Toc72766509"/>
                                    <w:r>
                                      <w:rPr>
                                        <w:rFonts w:hint="eastAsia" w:hAnsi="宋体" w:cs="宋体"/>
                                        <w:color w:val="333333"/>
                                        <w:sz w:val="28"/>
                                        <w:szCs w:val="28"/>
                                      </w:rPr>
                                      <w:t>（十六）监督和指导政府采购工作。</w:t>
                                    </w:r>
                                    <w:bookmarkEnd w:id="32"/>
                                    <w:bookmarkEnd w:id="33"/>
                                  </w:p>
                                  <w:p>
                                    <w:pPr>
                                      <w:pStyle w:val="3"/>
                                      <w:adjustRightInd w:val="0"/>
                                      <w:snapToGrid w:val="0"/>
                                      <w:spacing w:line="600" w:lineRule="exact"/>
                                      <w:ind w:firstLine="588" w:firstLineChars="210"/>
                                      <w:outlineLvl w:val="0"/>
                                      <w:rPr>
                                        <w:rFonts w:hAnsi="宋体" w:cs="宋体"/>
                                        <w:color w:val="333333"/>
                                        <w:sz w:val="28"/>
                                        <w:szCs w:val="28"/>
                                      </w:rPr>
                                    </w:pPr>
                                    <w:bookmarkStart w:id="34" w:name="_Toc72766364"/>
                                    <w:bookmarkStart w:id="35" w:name="_Toc72766510"/>
                                    <w:r>
                                      <w:rPr>
                                        <w:rFonts w:hint="eastAsia" w:hAnsi="宋体" w:cs="宋体"/>
                                        <w:color w:val="333333"/>
                                        <w:sz w:val="28"/>
                                        <w:szCs w:val="28"/>
                                      </w:rPr>
                                      <w:t>（十七）监督、指导县人民政府驻成都办事处工作。</w:t>
                                    </w:r>
                                    <w:bookmarkEnd w:id="34"/>
                                    <w:bookmarkEnd w:id="35"/>
                                  </w:p>
                                  <w:p>
                                    <w:pPr>
                                      <w:pStyle w:val="3"/>
                                      <w:adjustRightInd w:val="0"/>
                                      <w:snapToGrid w:val="0"/>
                                      <w:spacing w:line="600" w:lineRule="exact"/>
                                      <w:ind w:left="638" w:leftChars="304" w:firstLine="25" w:firstLineChars="9"/>
                                      <w:outlineLvl w:val="0"/>
                                      <w:rPr>
                                        <w:rFonts w:hAnsi="宋体" w:cs="宋体"/>
                                        <w:b/>
                                        <w:color w:val="333333"/>
                                        <w:sz w:val="28"/>
                                        <w:szCs w:val="28"/>
                                      </w:rPr>
                                    </w:pPr>
                                    <w:bookmarkStart w:id="36" w:name="_Toc72766365"/>
                                    <w:bookmarkStart w:id="37" w:name="_Toc72766511"/>
                                    <w:r>
                                      <w:rPr>
                                        <w:rFonts w:hint="eastAsia" w:hAnsi="宋体" w:cs="宋体"/>
                                        <w:color w:val="333333"/>
                                        <w:sz w:val="28"/>
                                        <w:szCs w:val="28"/>
                                      </w:rPr>
                                      <w:t>（十八）承办县政府和县政府领导交办的其他事项。</w:t>
                                    </w:r>
                                    <w:bookmarkEnd w:id="36"/>
                                    <w:bookmarkEnd w:id="37"/>
                                  </w:p>
                                  <w:p>
                                    <w:pPr>
                                      <w:pStyle w:val="3"/>
                                      <w:adjustRightInd w:val="0"/>
                                      <w:snapToGrid w:val="0"/>
                                      <w:spacing w:line="600" w:lineRule="exact"/>
                                      <w:ind w:left="638" w:leftChars="304" w:firstLine="25" w:firstLineChars="9"/>
                                      <w:outlineLvl w:val="0"/>
                                      <w:rPr>
                                        <w:rFonts w:hAnsi="宋体" w:cs="宋体"/>
                                        <w:b/>
                                        <w:color w:val="333333"/>
                                        <w:sz w:val="28"/>
                                        <w:szCs w:val="28"/>
                                      </w:rPr>
                                    </w:pPr>
                                    <w:bookmarkStart w:id="38" w:name="_Toc72766512"/>
                                    <w:r>
                                      <w:rPr>
                                        <w:rFonts w:hint="eastAsia" w:hAnsi="宋体" w:cs="宋体"/>
                                        <w:b/>
                                        <w:color w:val="333333"/>
                                        <w:sz w:val="28"/>
                                        <w:szCs w:val="28"/>
                                      </w:rPr>
                                      <w:t>（二）、2019年重点工作完成情况</w:t>
                                    </w:r>
                                    <w:bookmarkEnd w:id="38"/>
                                  </w:p>
                                  <w:p>
                                    <w:pPr>
                                      <w:pStyle w:val="3"/>
                                      <w:adjustRightInd w:val="0"/>
                                      <w:snapToGrid w:val="0"/>
                                      <w:spacing w:line="600" w:lineRule="exact"/>
                                      <w:ind w:firstLine="868" w:firstLineChars="310"/>
                                      <w:outlineLvl w:val="0"/>
                                      <w:rPr>
                                        <w:rFonts w:hAnsi="宋体" w:cs="宋体"/>
                                        <w:color w:val="333333"/>
                                        <w:sz w:val="28"/>
                                        <w:szCs w:val="28"/>
                                      </w:rPr>
                                    </w:pPr>
                                    <w:bookmarkStart w:id="39" w:name="_Toc72766367"/>
                                    <w:bookmarkStart w:id="40" w:name="_Toc72766513"/>
                                    <w:r>
                                      <w:rPr>
                                        <w:rFonts w:hint="eastAsia" w:hAnsi="宋体" w:cs="宋体"/>
                                        <w:color w:val="333333"/>
                                        <w:sz w:val="28"/>
                                        <w:szCs w:val="28"/>
                                      </w:rPr>
                                      <w:t>2019年我办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2019年各项工作，取得了实效。</w:t>
                                    </w:r>
                                    <w:bookmarkEnd w:id="39"/>
                                    <w:bookmarkEnd w:id="40"/>
                                  </w:p>
                                  <w:p>
                                    <w:pPr>
                                      <w:pStyle w:val="21"/>
                                      <w:numPr>
                                        <w:ilvl w:val="0"/>
                                        <w:numId w:val="1"/>
                                      </w:numPr>
                                      <w:ind w:firstLineChars="0"/>
                                      <w:rPr>
                                        <w:rFonts w:ascii="仿宋_GB2312" w:hAnsi="仿宋_GB2312" w:eastAsia="仿宋_GB2312" w:cs="仿宋_GB2312"/>
                                        <w:sz w:val="32"/>
                                        <w:szCs w:val="32"/>
                                      </w:rPr>
                                    </w:pPr>
                                    <w:r>
                                      <w:rPr>
                                        <w:rFonts w:hint="eastAsia" w:ascii="黑体" w:hAnsi="黑体" w:eastAsia="黑体" w:cs="黑体"/>
                                        <w:sz w:val="32"/>
                                        <w:szCs w:val="32"/>
                                      </w:rPr>
                                      <w:t>部门预算单位构成</w:t>
                                    </w:r>
                                  </w:p>
                                  <w:p>
                                    <w:pPr>
                                      <w:ind w:firstLine="960" w:firstLineChars="300"/>
                                      <w:rPr>
                                        <w:rFonts w:ascii="仿宋_GB2312" w:eastAsia="仿宋_GB2312"/>
                                        <w:bCs/>
                                        <w:color w:val="000000"/>
                                        <w:kern w:val="0"/>
                                        <w:sz w:val="32"/>
                                        <w:szCs w:val="32"/>
                                      </w:rPr>
                                    </w:pPr>
                                    <w:r>
                                      <w:rPr>
                                        <w:rFonts w:hint="eastAsia" w:ascii="仿宋_GB2312" w:eastAsia="仿宋_GB2312"/>
                                        <w:bCs/>
                                        <w:color w:val="000000"/>
                                        <w:kern w:val="0"/>
                                        <w:sz w:val="32"/>
                                        <w:szCs w:val="32"/>
                                      </w:rPr>
                                      <w:t>政府办独立编制机构数1个，独立核算机构数1个，单位编制数44个，其中：公务员编制25个、行政工勤编制7个，事业编制12个；2019年单位实有人数48人，其中：在职48人（公务员23人、参公人员3人、行政工勤15人、事业人员7人），退休24人，（退休人员工资转由社保部门发放），遗嘱9人。</w:t>
                                    </w:r>
                                  </w:p>
                                  <w:p>
                                    <w:pPr>
                                      <w:pStyle w:val="15"/>
                                      <w:spacing w:line="560" w:lineRule="exact"/>
                                      <w:outlineLvl w:val="0"/>
                                      <w:rPr>
                                        <w:rFonts w:ascii="仿宋_GB2312" w:hAnsi="宋体" w:eastAsia="仿宋_GB2312" w:cs="宋体"/>
                                        <w:color w:val="333333"/>
                                        <w:sz w:val="28"/>
                                        <w:szCs w:val="28"/>
                                      </w:rPr>
                                    </w:pPr>
                                    <w:bookmarkStart w:id="41" w:name="_Toc72766514"/>
                                    <w:r>
                                      <w:rPr>
                                        <w:rFonts w:hint="eastAsia" w:ascii="仿宋_GB2312" w:hAnsi="宋体" w:eastAsia="仿宋_GB2312" w:cs="宋体"/>
                                        <w:b/>
                                        <w:color w:val="333333"/>
                                        <w:sz w:val="28"/>
                                        <w:szCs w:val="28"/>
                                      </w:rPr>
                                      <w:t>三、收支预算情况说明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按照综合预算的原则，财政厅所有收入和支出均纳入部门预算管理。收入包括：一般公共预算拨款收入、上年结转；支出包括：一般公共服务支出、教育支出、社会保障和就业支出、医疗卫生与计划生育支出、住房保障支出。财政厅2019年收支总预算1022.79万元，比2017年收支预算总数增加312.87万元，主要是因为车辆运行的预算以往年度是作为保留预算，未下达部门预算批复，而今年均以纳入预算并下达预算批复。</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（一）收入预算情况。</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财政厅2019年收入预算1022.79万元，一般公共预算拨款收入1022.79万元，占100%。</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（二）支出预算情况。</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财政厅2019年支出预算1022.79万元，其中：基本支出1022.79万元，占100%。</w:t>
                                    </w:r>
                                  </w:p>
                                  <w:p>
                                    <w:pPr>
                                      <w:pStyle w:val="15"/>
                                      <w:spacing w:line="560" w:lineRule="exact"/>
                                      <w:outlineLvl w:val="0"/>
                                      <w:rPr>
                                        <w:rFonts w:hint="eastAsia" w:ascii="仿宋_GB2312" w:hAnsi="宋体" w:eastAsia="仿宋_GB2312" w:cs="宋体"/>
                                        <w:color w:val="333333"/>
                                        <w:sz w:val="28"/>
                                        <w:szCs w:val="28"/>
                                      </w:rPr>
                                    </w:pPr>
                                    <w:r>
                                      <w:rPr>
                                        <w:rFonts w:hint="eastAsia" w:ascii="仿宋_GB2312" w:hAnsi="宋体" w:eastAsia="仿宋_GB2312" w:cs="宋体"/>
                                        <w:b/>
                                        <w:color w:val="333333"/>
                                        <w:sz w:val="28"/>
                                        <w:szCs w:val="28"/>
                                      </w:rPr>
                                      <w:t>四、财政拨款收支预算情况说明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财政厅2019年财政拨款收支总预算1022.79万元，比2018年财政拨款收支总预算增加312.87万元，主要是因为车辆运行的预算以往年度是作为保留预算，未下达部门预算批复，而今年均以纳入预算并下达预算批复。</w:t>
                                    </w:r>
                                  </w:p>
                                  <w:p>
                                    <w:pPr>
                                      <w:pStyle w:val="15"/>
                                      <w:spacing w:line="560" w:lineRule="exact"/>
                                      <w:ind w:firstLine="560" w:firstLineChars="200"/>
                                      <w:outlineLvl w:val="0"/>
                                      <w:rPr>
                                        <w:rFonts w:ascii="仿宋_GB2312" w:hAnsi="宋体" w:eastAsia="仿宋_GB2312" w:cs="宋体"/>
                                        <w:color w:val="333333"/>
                                        <w:sz w:val="28"/>
                                        <w:szCs w:val="28"/>
                                      </w:rPr>
                                    </w:pPr>
                                    <w:r>
                                      <w:rPr>
                                        <w:rFonts w:hint="eastAsia" w:ascii="仿宋_GB2312" w:hAnsi="宋体" w:eastAsia="仿宋_GB2312" w:cs="宋体"/>
                                        <w:color w:val="333333"/>
                                        <w:sz w:val="28"/>
                                        <w:szCs w:val="28"/>
                                      </w:rPr>
                                      <w:t>收入包括：本年一般公共预算拨款收入1022.79万元。一般公共服务支出790.12万元、国防教育支出7万元、教育支出1万元、社会保障和就业支出118.02万元、医疗卫生与计划生育支出40.3万元、住房保障支出66.35万元。</w:t>
                                    </w:r>
                                  </w:p>
                                  <w:p>
                                    <w:pPr>
                                      <w:pStyle w:val="15"/>
                                      <w:spacing w:line="560" w:lineRule="exact"/>
                                      <w:outlineLvl w:val="0"/>
                                      <w:rPr>
                                        <w:rFonts w:hint="eastAsia" w:ascii="仿宋_GB2312" w:hAnsi="宋体" w:eastAsia="仿宋_GB2312" w:cs="宋体"/>
                                        <w:color w:val="333333"/>
                                        <w:sz w:val="28"/>
                                        <w:szCs w:val="28"/>
                                      </w:rPr>
                                    </w:pPr>
                                    <w:r>
                                      <w:rPr>
                                        <w:rFonts w:hint="eastAsia" w:ascii="仿宋_GB2312" w:hAnsi="宋体" w:eastAsia="仿宋_GB2312" w:cs="宋体"/>
                                        <w:b/>
                                        <w:color w:val="333333"/>
                                        <w:sz w:val="28"/>
                                        <w:szCs w:val="28"/>
                                      </w:rPr>
                                      <w:t>五、一般公共预算当年拨款情况说明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（一）一般公共预算当年拨款规模变化情况。</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财政厅2019年一般公共预算当年拨款1022.79万元，比2018年财政拨款收支总预算增加312.87万元，主要是因为车辆运行的预算以往年度是作为保留预算，未下达部门预算批复，而今年均以纳入预算并下达预算批复。</w:t>
                                    </w:r>
                                  </w:p>
                                  <w:p>
                                    <w:pPr>
                                      <w:pStyle w:val="15"/>
                                      <w:spacing w:line="560" w:lineRule="exact"/>
                                      <w:ind w:firstLine="280" w:firstLineChars="100"/>
                                      <w:outlineLvl w:val="0"/>
                                      <w:rPr>
                                        <w:rFonts w:ascii="仿宋_GB2312" w:hAnsi="宋体" w:eastAsia="仿宋_GB2312" w:cs="宋体"/>
                                        <w:color w:val="333333"/>
                                        <w:sz w:val="28"/>
                                        <w:szCs w:val="28"/>
                                      </w:rPr>
                                    </w:pPr>
                                    <w:r>
                                      <w:rPr>
                                        <w:rFonts w:hint="eastAsia" w:ascii="仿宋_GB2312" w:hAnsi="宋体" w:eastAsia="仿宋_GB2312" w:cs="宋体"/>
                                        <w:color w:val="333333"/>
                                        <w:sz w:val="28"/>
                                        <w:szCs w:val="28"/>
                                      </w:rPr>
                                      <w:t>（二）一般公共预算当年拨款结构情况。</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一般公共服务支出790.12元，占77.25%；国防教育支出7万元，占0.69%、教育支出1万元，占0.09%；社会保障和就业支出118.02万元，占11.54%；医疗卫生与计划生育支出40.3万元，占3.94%；住房保障支出66.35万元，占6.49%。</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（三）一般公共预算当年拨款具体使用情况。</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1.一般公共服务（类）政府办公厅（款）行政运行（项）2019年预算数为790.12万元，主要用于：机关及参公管理事业单位正常运转的基本支出，包括基本工资、津贴补贴等人员经费以及办公费、印刷费、水电费等日常公用经费。</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2.一般公共服务（类）国防支出（款）人民防空（项）2019年预算数为7万元，主要用于：人防宣传等日常工作经费。</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3.教育（类）进修及培训（款）培训支出（项）2019年预算数为1万元，主要用于：在职人员参加外部培训等经费支出。</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4.社会保障和就业（类）行政事业单位离退休（款）机关事业单位基本养老保险缴费支出（项）2019年预算数为84.3万元，主要用于：实施养老保险制度后，部门按规定由单位缴纳的基本养老保险费支出。</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5.社会保障和就业（类）行政事业单位离退休（款）机关事业单位职业年金缴费支出（项）2019年预算数为33.72万元，主要用于：实施养老保险制度后，部门按规定由单位缴纳的职业年金支出。</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6.医疗卫生与计划生育（类）行政事业单位医疗（款）行政单位医疗（项）2019年预算数为29.73元，主要用于：厅机关及参公管理事业单位基本医疗保险缴费支出。</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7.医疗卫生与计划生育（类）行政事业单位医疗（款）公务员医疗补助（项）2019年预算数为10.57万元，主要用于：厅机关及参公管理事业单位集中缴纳公务员医疗补助支出。</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8.住房保障（类）住房改革支出（款）住房公积金（项）2019年预算数为66.35万元，主要用于：部门按人力资源和社会保障部、财政部规定的基本工资和津贴补贴以及规定比例为职工缴纳的住房公积金支出。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sz w:val="28"/>
                                        <w:szCs w:val="28"/>
                                      </w:rPr>
                                      <w:br w:type="textWrapping"/>
                                    </w:r>
                                    <w:r>
                                      <w:rPr>
                                        <w:rFonts w:hint="eastAsia" w:ascii="仿宋_GB2312" w:hAnsi="宋体" w:eastAsia="仿宋_GB2312" w:cs="宋体"/>
                                        <w:b/>
                                        <w:color w:val="333333"/>
                                        <w:sz w:val="28"/>
                                        <w:szCs w:val="28"/>
                                      </w:rPr>
                                      <w:t>六、一般公共预算基本支出情况说明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财政厅2019年一般公共预算基本支出1022.79万元，其中：</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人员经费660.07万元，主要包括：基本工资、津贴补贴、奖金、社会保险缴费等支出。</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公用经费362.72万元，主要包括：办公费、水费、电费、邮电费、印刷费、差旅费、维修（护）费、劳务费等支出。</w:t>
                                    </w:r>
                                  </w:p>
                                  <w:p>
                                    <w:pPr>
                                      <w:pStyle w:val="15"/>
                                      <w:spacing w:line="560" w:lineRule="exact"/>
                                      <w:outlineLvl w:val="0"/>
                                      <w:rPr>
                                        <w:rFonts w:ascii="仿宋_GB2312" w:hAnsi="宋体" w:eastAsia="仿宋_GB2312" w:cs="宋体"/>
                                        <w:color w:val="333333"/>
                                        <w:sz w:val="28"/>
                                        <w:szCs w:val="28"/>
                                      </w:rPr>
                                    </w:pPr>
                                    <w:r>
                                      <w:rPr>
                                        <w:rFonts w:hint="eastAsia" w:ascii="仿宋_GB2312" w:hAnsi="宋体" w:eastAsia="仿宋_GB2312" w:cs="宋体"/>
                                        <w:b/>
                                        <w:color w:val="333333"/>
                                        <w:sz w:val="28"/>
                                        <w:szCs w:val="28"/>
                                      </w:rPr>
                                      <w:t>七、“三公”经费财政拨款预算安排情况说明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财政厅2019年“三公”经费财政拨款预算数234.20万元，其中：因公出国（境）经费0万元，公务接待费0.8万元，公务用车购置及运行维护费188万元。</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（一）因公出国（境）经费与2018年预算无变化。</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根据省外侨办批准的2019年因公临时出国（境）安排，拟安排出国（境）0人。</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（二）公务接待费较2018年预算持平。</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2019年公务接待费计划用于执行公务、考察调研、检查指导等公务活动开支的交通费、住宿费、用餐费等。</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（三）公务用车购置及运行维护费与201</w:t>
                                    </w:r>
                                    <w:r>
                                      <w:rPr>
                                        <w:rFonts w:hint="eastAsia" w:ascii="仿宋_GB2312" w:hAnsi="宋体" w:eastAsia="仿宋_GB2312" w:cs="宋体"/>
                                        <w:color w:val="333333"/>
                                        <w:sz w:val="28"/>
                                        <w:szCs w:val="28"/>
                                        <w:lang w:val="en-US" w:eastAsia="zh-CN"/>
                                      </w:rPr>
                                      <w:t>8</w:t>
                                    </w:r>
                                    <w:r>
                                      <w:rPr>
                                        <w:rFonts w:hint="eastAsia" w:ascii="仿宋_GB2312" w:hAnsi="宋体" w:eastAsia="仿宋_GB2312" w:cs="宋体"/>
                                        <w:color w:val="333333"/>
                                        <w:sz w:val="28"/>
                                        <w:szCs w:val="28"/>
                                      </w:rPr>
                                      <w:t>年预算</w:t>
                                    </w:r>
                                    <w:r>
                                      <w:rPr>
                                        <w:rFonts w:hint="eastAsia" w:ascii="仿宋_GB2312" w:hAnsi="宋体" w:eastAsia="仿宋_GB2312" w:cs="宋体"/>
                                        <w:color w:val="333333"/>
                                        <w:sz w:val="28"/>
                                        <w:szCs w:val="28"/>
                                        <w:lang w:eastAsia="zh-CN"/>
                                      </w:rPr>
                                      <w:t>增加</w:t>
                                    </w:r>
                                    <w:r>
                                      <w:rPr>
                                        <w:rFonts w:hint="eastAsia" w:ascii="仿宋_GB2312" w:hAnsi="宋体" w:eastAsia="仿宋_GB2312" w:cs="宋体"/>
                                        <w:color w:val="333333"/>
                                        <w:sz w:val="28"/>
                                        <w:szCs w:val="28"/>
                                      </w:rPr>
                                      <w:t>。</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单位现有公务用车15辆，其中：轿车2辆、越野车12辆、小型客车1辆。</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2019年未安排公务用车购置费。</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2019年安排公务用车运行维护费188万元，用于15辆公务用车燃油、过路（桥）、维修、保险等方面支出，主要保障县级领导工作调研，开会，脱贫攻坚、农林水、安全生产等全县工作开展。</w:t>
                                    </w:r>
                                    <w:r>
                                      <w:rPr>
                                        <w:rFonts w:hint="eastAsia" w:ascii="仿宋_GB2312" w:hAnsi="宋体" w:eastAsia="仿宋_GB2312" w:cs="宋体"/>
                                        <w:color w:val="333333"/>
                                        <w:sz w:val="28"/>
                                        <w:szCs w:val="28"/>
                                      </w:rPr>
                                      <w:br w:type="textWrapping"/>
                                    </w:r>
                                    <w:r>
                                      <w:rPr>
                                        <w:rFonts w:hint="eastAsia" w:ascii="仿宋_GB2312" w:hAnsi="宋体" w:eastAsia="仿宋_GB2312" w:cs="宋体"/>
                                        <w:b/>
                                        <w:color w:val="333333"/>
                                        <w:sz w:val="28"/>
                                        <w:szCs w:val="28"/>
                                      </w:rPr>
                                      <w:t>八、政府性基金预算支出情况说明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财政厅2019年没有使用政府性基金预算拨款安排的支出。</w:t>
                                    </w:r>
                                    <w:r>
                                      <w:rPr>
                                        <w:rFonts w:hint="eastAsia" w:ascii="仿宋_GB2312" w:hAnsi="宋体" w:eastAsia="仿宋_GB2312" w:cs="宋体"/>
                                        <w:color w:val="333333"/>
                                        <w:sz w:val="28"/>
                                        <w:szCs w:val="28"/>
                                      </w:rPr>
                                      <w:br w:type="textWrapping"/>
                                    </w:r>
                                    <w:r>
                                      <w:rPr>
                                        <w:rFonts w:hint="eastAsia" w:ascii="仿宋_GB2312" w:hAnsi="宋体" w:eastAsia="仿宋_GB2312" w:cs="宋体"/>
                                        <w:b/>
                                        <w:color w:val="333333"/>
                                        <w:sz w:val="28"/>
                                        <w:szCs w:val="28"/>
                                      </w:rPr>
                                      <w:t>九、国有资本经营预算支出情况说明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财政厅2019年没有使用国有资本经营预算拨款安排的支出。</w:t>
                                    </w:r>
                                    <w:r>
                                      <w:rPr>
                                        <w:rFonts w:hint="eastAsia" w:ascii="仿宋_GB2312" w:hAnsi="宋体" w:eastAsia="仿宋_GB2312" w:cs="宋体"/>
                                        <w:color w:val="333333"/>
                                        <w:sz w:val="28"/>
                                        <w:szCs w:val="28"/>
                                      </w:rPr>
                                      <w:br w:type="textWrapping"/>
                                    </w:r>
                                    <w:r>
                                      <w:rPr>
                                        <w:rFonts w:hint="eastAsia" w:ascii="仿宋_GB2312" w:hAnsi="宋体" w:eastAsia="仿宋_GB2312" w:cs="宋体"/>
                                        <w:b/>
                                        <w:color w:val="333333"/>
                                        <w:sz w:val="28"/>
                                        <w:szCs w:val="28"/>
                                      </w:rPr>
                                      <w:t>十、其他重要事项的情况说明</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（一）机关运行经费。</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2019年，财政厅下属厅机关</w:t>
                                    </w:r>
                                    <w:r>
                                      <w:rPr>
                                        <w:rFonts w:hint="eastAsia" w:ascii="仿宋_GB2312" w:hAnsi="宋体" w:eastAsia="仿宋_GB2312" w:cs="宋体"/>
                                        <w:color w:val="333333"/>
                                        <w:sz w:val="28"/>
                                        <w:szCs w:val="28"/>
                                        <w:lang w:eastAsia="zh-CN"/>
                                      </w:rPr>
                                      <w:t>信息、人防等</w:t>
                                    </w:r>
                                    <w:r>
                                      <w:rPr>
                                        <w:rFonts w:hint="eastAsia" w:ascii="仿宋_GB2312" w:hAnsi="宋体" w:eastAsia="仿宋_GB2312" w:cs="宋体"/>
                                        <w:color w:val="333333"/>
                                        <w:sz w:val="28"/>
                                        <w:szCs w:val="28"/>
                                      </w:rPr>
                                      <w:t>事业单位的机关运行经费财政拨款预算为362.72万元。</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（二）政府采购情况。</w:t>
                                    </w:r>
                                    <w:bookmarkStart w:id="51" w:name="_GoBack"/>
                                    <w:bookmarkEnd w:id="51"/>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2019年，财政厅没有安排政府采购预算。</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（三）国有资产占有使用情况。</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截至2018年底，财政厅所属各预算单位共有车辆15辆，其中，省部级领导干部用车0辆、定向保障用车15辆、执法执勤用车0辆。单位价值200万元以上大型设备0台（套）。</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2019年部门预算未安排购置车辆及单位价值200万元以上大型设备。</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（四）绩效目标设置情况。</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绩效目标是预算编制的前提和基础，按照“费随事定”的原则，2019年财政厅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sz w:val="28"/>
                                        <w:szCs w:val="28"/>
                                      </w:rPr>
                                      <w:br w:type="textWrapping"/>
                                    </w:r>
                                    <w:r>
                                      <w:rPr>
                                        <w:rFonts w:hint="eastAsia" w:ascii="仿宋_GB2312" w:hAnsi="宋体" w:eastAsia="仿宋_GB2312" w:cs="宋体"/>
                                        <w:b/>
                                        <w:color w:val="333333"/>
                                        <w:sz w:val="28"/>
                                        <w:szCs w:val="28"/>
                                      </w:rPr>
                                      <w:t>十一、名词解释</w:t>
                                    </w:r>
                                    <w:r>
                                      <w:rPr>
                                        <w:rFonts w:hint="eastAsia" w:ascii="仿宋_GB2312" w:hAnsi="宋体" w:eastAsia="仿宋_GB2312" w:cs="宋体"/>
                                        <w:color w:val="333333"/>
                                        <w:sz w:val="28"/>
                                        <w:szCs w:val="28"/>
                                      </w:rPr>
                                      <w:br w:type="textWrapping"/>
                                    </w:r>
                                    <w:r>
                                      <w:rPr>
                                        <w:rFonts w:hint="eastAsia" w:ascii="仿宋_GB2312" w:hAnsi="宋体" w:eastAsia="仿宋_GB2312" w:cs="宋体"/>
                                        <w:color w:val="333333"/>
                                        <w:sz w:val="28"/>
                                        <w:szCs w:val="28"/>
                                      </w:rPr>
                                      <w:t>　　1.财政拨款收入：指县级财政当年拨付的资金。</w:t>
                                    </w:r>
                                    <w:bookmarkEnd w:id="41"/>
                                    <w:r>
                                      <w:rPr>
                                        <w:rFonts w:hint="eastAsia" w:ascii="仿宋_GB2312" w:hAnsi="宋体" w:eastAsia="仿宋_GB2312" w:cs="宋体"/>
                                        <w:color w:val="333333"/>
                                        <w:sz w:val="28"/>
                                        <w:szCs w:val="28"/>
                                      </w:rPr>
                                      <w:t xml:space="preserve"> </w:t>
                                    </w:r>
                                  </w:p>
                                  <w:p>
                                    <w:pPr>
                                      <w:pStyle w:val="15"/>
                                      <w:spacing w:line="560" w:lineRule="exact"/>
                                      <w:ind w:firstLine="560" w:firstLineChars="200"/>
                                      <w:outlineLvl w:val="0"/>
                                      <w:rPr>
                                        <w:rFonts w:ascii="仿宋_GB2312" w:hAnsi="宋体" w:eastAsia="仿宋_GB2312" w:cs="宋体"/>
                                        <w:color w:val="333333"/>
                                        <w:sz w:val="28"/>
                                        <w:szCs w:val="28"/>
                                      </w:rPr>
                                    </w:pPr>
                                    <w:bookmarkStart w:id="42" w:name="_Toc72766515"/>
                                    <w:r>
                                      <w:rPr>
                                        <w:rFonts w:hint="eastAsia" w:ascii="仿宋_GB2312" w:hAnsi="宋体" w:eastAsia="仿宋_GB2312" w:cs="宋体"/>
                                        <w:color w:val="333333"/>
                                        <w:sz w:val="28"/>
                                        <w:szCs w:val="28"/>
                                      </w:rPr>
                                      <w:t>2.其他收入：指除上述“财政拨款收入”、“事业收入”、“经营收入”等以外的收入。主要是利息收入。</w:t>
                                    </w:r>
                                    <w:bookmarkEnd w:id="42"/>
                                    <w:r>
                                      <w:rPr>
                                        <w:rFonts w:hint="eastAsia" w:ascii="仿宋_GB2312" w:hAnsi="宋体" w:eastAsia="仿宋_GB2312" w:cs="宋体"/>
                                        <w:color w:val="333333"/>
                                        <w:sz w:val="28"/>
                                        <w:szCs w:val="28"/>
                                      </w:rPr>
                                      <w:t xml:space="preserve"> </w:t>
                                    </w:r>
                                  </w:p>
                                  <w:p>
                                    <w:pPr>
                                      <w:pStyle w:val="15"/>
                                      <w:spacing w:line="560" w:lineRule="exact"/>
                                      <w:ind w:firstLine="560" w:firstLineChars="200"/>
                                      <w:outlineLvl w:val="0"/>
                                      <w:rPr>
                                        <w:rFonts w:ascii="仿宋_GB2312" w:hAnsi="宋体" w:eastAsia="仿宋_GB2312" w:cs="宋体"/>
                                        <w:color w:val="333333"/>
                                        <w:sz w:val="28"/>
                                        <w:szCs w:val="28"/>
                                      </w:rPr>
                                    </w:pPr>
                                    <w:bookmarkStart w:id="43" w:name="_Toc72766516"/>
                                    <w:r>
                                      <w:rPr>
                                        <w:rFonts w:hint="eastAsia" w:ascii="仿宋_GB2312" w:hAnsi="宋体" w:eastAsia="仿宋_GB2312" w:cs="宋体"/>
                                        <w:color w:val="333333"/>
                                        <w:sz w:val="28"/>
                                        <w:szCs w:val="28"/>
                                      </w:rPr>
                                      <w:t>3.年初结转和结余：指以前年度尚未完成、结转到本年按有关规定继续使用的资金。</w:t>
                                    </w:r>
                                    <w:bookmarkEnd w:id="43"/>
                                    <w:r>
                                      <w:rPr>
                                        <w:rFonts w:hint="eastAsia" w:ascii="仿宋_GB2312" w:hAnsi="宋体" w:eastAsia="仿宋_GB2312" w:cs="宋体"/>
                                        <w:color w:val="333333"/>
                                        <w:sz w:val="28"/>
                                        <w:szCs w:val="28"/>
                                      </w:rPr>
                                      <w:t xml:space="preserve"> </w:t>
                                    </w:r>
                                  </w:p>
                                  <w:p>
                                    <w:pPr>
                                      <w:ind w:firstLine="560" w:firstLineChars="200"/>
                                      <w:outlineLvl w:val="0"/>
                                      <w:rPr>
                                        <w:rFonts w:ascii="仿宋_GB2312" w:hAnsi="宋体" w:eastAsia="仿宋_GB2312" w:cs="宋体"/>
                                        <w:color w:val="333333"/>
                                        <w:kern w:val="0"/>
                                        <w:sz w:val="28"/>
                                        <w:szCs w:val="28"/>
                                      </w:rPr>
                                    </w:pPr>
                                    <w:bookmarkStart w:id="44" w:name="_Toc72766517"/>
                                    <w:r>
                                      <w:rPr>
                                        <w:rFonts w:hint="eastAsia" w:ascii="仿宋_GB2312" w:hAnsi="宋体" w:eastAsia="仿宋_GB2312" w:cs="宋体"/>
                                        <w:color w:val="333333"/>
                                        <w:kern w:val="0"/>
                                        <w:sz w:val="28"/>
                                        <w:szCs w:val="28"/>
                                      </w:rPr>
                                      <w:t>4．一般公共服务201（类）政府办公厅（室）及相关机构事务03（款）行政运行01（项）反映行政单位的基本支出</w:t>
                                    </w:r>
                                    <w:bookmarkEnd w:id="44"/>
                                  </w:p>
                                  <w:p>
                                    <w:pPr>
                                      <w:ind w:firstLine="560" w:firstLineChars="200"/>
                                      <w:outlineLvl w:val="0"/>
                                      <w:rPr>
                                        <w:rFonts w:ascii="仿宋_GB2312" w:hAnsi="宋体" w:eastAsia="仿宋_GB2312" w:cs="宋体"/>
                                        <w:color w:val="333333"/>
                                        <w:kern w:val="0"/>
                                        <w:sz w:val="28"/>
                                        <w:szCs w:val="28"/>
                                      </w:rPr>
                                    </w:pPr>
                                    <w:bookmarkStart w:id="45" w:name="_Toc72766518"/>
                                    <w:r>
                                      <w:rPr>
                                        <w:rFonts w:hint="eastAsia" w:ascii="仿宋_GB2312" w:hAnsi="宋体" w:eastAsia="仿宋_GB2312" w:cs="宋体"/>
                                        <w:color w:val="333333"/>
                                        <w:kern w:val="0"/>
                                        <w:sz w:val="28"/>
                                        <w:szCs w:val="28"/>
                                      </w:rPr>
                                      <w:t>5．一般公共服务201（类）政府办公厅（室）及相关机构事务03（款）事业运行50（项）反映事业单位的基本支出</w:t>
                                    </w:r>
                                    <w:bookmarkEnd w:id="45"/>
                                  </w:p>
                                  <w:p>
                                    <w:pPr>
                                      <w:ind w:firstLine="560" w:firstLineChars="200"/>
                                      <w:outlineLvl w:val="0"/>
                                      <w:rPr>
                                        <w:rFonts w:ascii="仿宋_GB2312" w:hAnsi="宋体" w:eastAsia="仿宋_GB2312" w:cs="宋体"/>
                                        <w:color w:val="333333"/>
                                        <w:kern w:val="0"/>
                                        <w:sz w:val="28"/>
                                        <w:szCs w:val="28"/>
                                      </w:rPr>
                                    </w:pPr>
                                    <w:bookmarkStart w:id="46" w:name="_Toc72766519"/>
                                    <w:r>
                                      <w:rPr>
                                        <w:rFonts w:hint="eastAsia" w:ascii="仿宋_GB2312" w:hAnsi="宋体" w:eastAsia="仿宋_GB2312" w:cs="宋体"/>
                                        <w:color w:val="333333"/>
                                        <w:kern w:val="0"/>
                                        <w:sz w:val="28"/>
                                        <w:szCs w:val="28"/>
                                      </w:rPr>
                                      <w:t>6．国防支出：国防支出203（类）国防动员06（款）人民防空03（项）反映用于人民防空工程建设、宣传等方面的支出。</w:t>
                                    </w:r>
                                    <w:bookmarkEnd w:id="46"/>
                                  </w:p>
                                  <w:p>
                                    <w:pPr>
                                      <w:ind w:firstLine="560" w:firstLineChars="200"/>
                                      <w:outlineLvl w:val="0"/>
                                      <w:rPr>
                                        <w:rFonts w:ascii="仿宋_GB2312" w:hAnsi="宋体" w:eastAsia="仿宋_GB2312" w:cs="宋体"/>
                                        <w:color w:val="333333"/>
                                        <w:kern w:val="0"/>
                                        <w:sz w:val="28"/>
                                        <w:szCs w:val="28"/>
                                      </w:rPr>
                                    </w:pPr>
                                    <w:bookmarkStart w:id="47" w:name="_Toc72766520"/>
                                    <w:r>
                                      <w:rPr>
                                        <w:rFonts w:hint="eastAsia" w:ascii="仿宋_GB2312" w:hAnsi="宋体" w:eastAsia="仿宋_GB2312" w:cs="宋体"/>
                                        <w:color w:val="333333"/>
                                        <w:kern w:val="0"/>
                                        <w:sz w:val="28"/>
                                        <w:szCs w:val="28"/>
                                      </w:rPr>
                                      <w:t>7．教育支出205（类）进修及培训08（款）培训支出03（项）反映且于培训的支出。</w:t>
                                    </w:r>
                                    <w:bookmarkEnd w:id="47"/>
                                  </w:p>
                                  <w:p>
                                    <w:pPr>
                                      <w:outlineLvl w:val="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bookmarkStart w:id="48" w:name="_Toc72766521"/>
                                    <w:r>
                                      <w:rPr>
                                        <w:rFonts w:hint="eastAsia" w:ascii="仿宋_GB2312" w:hAnsi="宋体" w:eastAsia="仿宋_GB2312" w:cs="宋体"/>
                                        <w:color w:val="333333"/>
                                        <w:kern w:val="0"/>
                                        <w:sz w:val="28"/>
                                        <w:szCs w:val="28"/>
                                      </w:rPr>
                                      <w:t>8.社会保障和就业（类）行政事业单位离退休（款）事业单位离退休（项）：指财政科学研究所的离退休人员的支出。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9.社会保障和就业（类）行政事业单位离退休（款）未归口管理的行政单位离退休（项）：指厅机关离退休人员的支出。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10.社会保障和就业（类）行政事业单位离退休（款）机关事业单位基本养老保险缴费支出（项）：指部门实施养老保险制度由单位缴纳的养老保险费的支出。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11.社会保障和就业（类）行政事业单位离退休（款）机关事业单位职业年金缴费支出（项）：指部门实施养老保险制度由单位缴纳的职业年金的支出。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12.社会保障和就业（类）其他社会保障和就业（款）其他社会保障和就业支出（项）：指除上述项目外，其他用于行政事业单位离退休方面的支出。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13.医疗卫生与计划生育（类）行政事业单位医疗（款）行政单位医疗（项）：指厅机关及参公管理事业单位用于缴纳单位基本医疗保险支出。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14.医疗卫生与计划生育（类）行政事业单位医疗（款）事业单位医疗（项）：指事业单位用于缴纳单位基本医疗保险支出。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15.医疗卫生与计划生育（类）行政事业单位医疗（款）公务员医疗补助（项）：指厅机关及参公管理事业单位用于集中缴纳公务员医疗补助支出。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16.住房保障（类）住房改革支出（款）住房公积金（项）：指按照《住房公积金管理条例》的规定，由单位及其在职职工缴存的长期住房储金。</w:t>
                                    </w:r>
                                    <w:bookmarkEnd w:id="48"/>
                                  </w:p>
                                  <w:p>
                                    <w:pPr>
                                      <w:ind w:firstLine="560" w:firstLineChars="200"/>
                                      <w:outlineLvl w:val="0"/>
                                      <w:rPr>
                                        <w:rFonts w:ascii="仿宋_GB2312" w:hAnsi="宋体" w:eastAsia="仿宋_GB2312" w:cs="宋体"/>
                                        <w:color w:val="333333"/>
                                        <w:kern w:val="0"/>
                                        <w:sz w:val="28"/>
                                        <w:szCs w:val="28"/>
                                      </w:rPr>
                                    </w:pPr>
                                    <w:bookmarkStart w:id="49" w:name="_Toc72766522"/>
                                    <w:r>
                                      <w:rPr>
                                        <w:rFonts w:hint="eastAsia" w:ascii="仿宋_GB2312" w:hAnsi="宋体" w:eastAsia="仿宋_GB2312" w:cs="宋体"/>
                                        <w:color w:val="333333"/>
                                        <w:kern w:val="0"/>
                                        <w:sz w:val="28"/>
                                        <w:szCs w:val="28"/>
                                      </w:rPr>
                                      <w:t>17．其他支出229其他支出99其他支出01：指其他不能划分到具体功能科目中的支出项目。</w:t>
                                    </w:r>
                                    <w:bookmarkEnd w:id="49"/>
                                  </w:p>
                                  <w:p>
                                    <w:pPr>
                                      <w:widowControl/>
                                      <w:spacing w:line="480" w:lineRule="atLeast"/>
                                      <w:ind w:firstLine="60"/>
                                      <w:outlineLvl w:val="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bookmarkStart w:id="50" w:name="_Toc72766523"/>
                                    <w:r>
                                      <w:rPr>
                                        <w:rFonts w:hint="eastAsia" w:ascii="仿宋_GB2312" w:hAnsi="宋体" w:eastAsia="仿宋_GB2312" w:cs="宋体"/>
                                        <w:color w:val="333333"/>
                                        <w:kern w:val="0"/>
                                        <w:sz w:val="28"/>
                                        <w:szCs w:val="28"/>
                                      </w:rPr>
                                      <w:t>18.基本支出：指为保证机构正常运转，完成日常工作任务而发生的人员支出和公用支出。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19.项目支出：指在基本支出之外为完成特定行政任务和事业发展目标所发生的支出。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21.机关运行经费：为保障行政单位（包含参照公务员法管理的事业单位）运行用于购买货物和服务的各项资金。包括办公及办公费、水费、电费、印刷费、邮电费、差旅费、会议费等费用开支。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bookmarkEnd w:id="50"/>
                                  </w:p>
                                </w:tc>
                              </w:tr>
                            </w:tbl>
                            <w:p>
                              <w:pPr>
                                <w:widowControl/>
                                <w:spacing w:after="240"/>
                                <w:jc w:val="center"/>
                                <w:outlineLvl w:val="0"/>
                                <w:rPr>
                                  <w:rFonts w:ascii="宋体" w:hAnsi="宋体" w:eastAsia="宋体" w:cs="宋体"/>
                                  <w:kern w:val="0"/>
                                  <w:szCs w:val="21"/>
                                </w:rPr>
                              </w:pPr>
                            </w:p>
                          </w:tc>
                        </w:tr>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outlineLvl w:val="0"/>
                                <w:rPr>
                                  <w:rFonts w:ascii="宋体" w:hAnsi="宋体" w:eastAsia="宋体" w:cs="宋体"/>
                                  <w:kern w:val="0"/>
                                  <w:szCs w:val="21"/>
                                </w:rPr>
                              </w:pPr>
                            </w:p>
                          </w:tc>
                        </w:tr>
                      </w:tbl>
                      <w:p>
                        <w:pPr>
                          <w:widowControl/>
                          <w:jc w:val="left"/>
                          <w:outlineLvl w:val="0"/>
                          <w:rPr>
                            <w:rFonts w:ascii="宋体" w:hAnsi="宋体" w:eastAsia="宋体" w:cs="宋体"/>
                            <w:kern w:val="0"/>
                            <w:szCs w:val="21"/>
                          </w:rPr>
                        </w:pPr>
                      </w:p>
                    </w:tc>
                    <w:tc>
                      <w:tcPr>
                        <w:tcW w:w="1350" w:type="dxa"/>
                        <w:vAlign w:val="center"/>
                      </w:tcPr>
                      <w:p>
                        <w:pPr>
                          <w:widowControl/>
                          <w:jc w:val="left"/>
                          <w:outlineLvl w:val="0"/>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outlineLvl w:val="0"/>
                          <w:rPr>
                            <w:rFonts w:ascii="宋体" w:hAnsi="宋体" w:eastAsia="宋体" w:cs="宋体"/>
                            <w:kern w:val="0"/>
                            <w:szCs w:val="21"/>
                          </w:rPr>
                        </w:pPr>
                      </w:p>
                    </w:tc>
                  </w:tr>
                </w:tbl>
                <w:p>
                  <w:pPr>
                    <w:widowControl/>
                    <w:jc w:val="left"/>
                    <w:outlineLvl w:val="0"/>
                    <w:rPr>
                      <w:rFonts w:ascii="宋体" w:hAnsi="宋体" w:eastAsia="宋体" w:cs="宋体"/>
                      <w:kern w:val="0"/>
                      <w:szCs w:val="21"/>
                    </w:rPr>
                  </w:pPr>
                </w:p>
              </w:tc>
            </w:tr>
          </w:tbl>
          <w:p>
            <w:pPr>
              <w:widowControl/>
              <w:jc w:val="left"/>
              <w:outlineLvl w:val="0"/>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outlineLvl w:val="0"/>
              <w:rPr>
                <w:rFonts w:ascii="宋体" w:hAnsi="宋体" w:eastAsia="宋体" w:cs="宋体"/>
                <w:kern w:val="0"/>
                <w:sz w:val="8"/>
                <w:szCs w:val="21"/>
              </w:rPr>
            </w:pPr>
          </w:p>
        </w:tc>
      </w:tr>
    </w:tbl>
    <w:p>
      <w:pPr>
        <w:outlineLvl w:val="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4F1D01"/>
    <w:multiLevelType w:val="multilevel"/>
    <w:tmpl w:val="494F1D01"/>
    <w:lvl w:ilvl="0" w:tentative="0">
      <w:start w:val="2"/>
      <w:numFmt w:val="japaneseCounting"/>
      <w:lvlText w:val="%1、"/>
      <w:lvlJc w:val="left"/>
      <w:pPr>
        <w:ind w:left="720" w:hanging="720"/>
      </w:pPr>
      <w:rPr>
        <w:rFonts w:hint="default"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850C3"/>
    <w:rsid w:val="000A1E9F"/>
    <w:rsid w:val="001A2B62"/>
    <w:rsid w:val="002356ED"/>
    <w:rsid w:val="0023656B"/>
    <w:rsid w:val="004A0C87"/>
    <w:rsid w:val="00741016"/>
    <w:rsid w:val="0079144A"/>
    <w:rsid w:val="00806DD6"/>
    <w:rsid w:val="008E04CE"/>
    <w:rsid w:val="009F333F"/>
    <w:rsid w:val="00A32041"/>
    <w:rsid w:val="00C31948"/>
    <w:rsid w:val="00D04CCC"/>
    <w:rsid w:val="00D43B0E"/>
    <w:rsid w:val="00DD488D"/>
    <w:rsid w:val="00DE75B3"/>
    <w:rsid w:val="00E23699"/>
    <w:rsid w:val="00EB003E"/>
    <w:rsid w:val="00ED5ECA"/>
    <w:rsid w:val="00F81970"/>
    <w:rsid w:val="390A230C"/>
    <w:rsid w:val="408B345D"/>
    <w:rsid w:val="440C4574"/>
    <w:rsid w:val="48F80021"/>
    <w:rsid w:val="7105358A"/>
    <w:rsid w:val="7BCC2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spacing w:before="93" w:beforeLines="30"/>
    </w:pPr>
    <w:rPr>
      <w:rFonts w:ascii="仿宋_GB2312" w:eastAsia="仿宋_GB2312"/>
      <w:kern w:val="0"/>
      <w:sz w:val="30"/>
    </w:rPr>
  </w:style>
  <w:style w:type="paragraph" w:styleId="4">
    <w:name w:val="toc 3"/>
    <w:basedOn w:val="1"/>
    <w:next w:val="1"/>
    <w:semiHidden/>
    <w:unhideWhenUsed/>
    <w:qFormat/>
    <w:uiPriority w:val="39"/>
    <w:pPr>
      <w:widowControl/>
      <w:spacing w:after="100" w:line="276" w:lineRule="auto"/>
      <w:ind w:left="440"/>
      <w:jc w:val="left"/>
    </w:pPr>
    <w:rPr>
      <w:kern w:val="0"/>
      <w:sz w:val="22"/>
    </w:rPr>
  </w:style>
  <w:style w:type="paragraph" w:styleId="5">
    <w:name w:val="Balloon Text"/>
    <w:basedOn w:val="1"/>
    <w:link w:val="18"/>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76" w:lineRule="auto"/>
      <w:jc w:val="left"/>
    </w:pPr>
    <w:rPr>
      <w:kern w:val="0"/>
      <w:sz w:val="22"/>
    </w:rPr>
  </w:style>
  <w:style w:type="paragraph" w:styleId="9">
    <w:name w:val="toc 2"/>
    <w:basedOn w:val="1"/>
    <w:next w:val="1"/>
    <w:semiHidden/>
    <w:unhideWhenUsed/>
    <w:qFormat/>
    <w:uiPriority w:val="39"/>
    <w:pPr>
      <w:widowControl/>
      <w:spacing w:after="100" w:line="276" w:lineRule="auto"/>
      <w:ind w:left="220"/>
      <w:jc w:val="left"/>
    </w:pPr>
    <w:rPr>
      <w:kern w:val="0"/>
      <w:sz w:val="22"/>
    </w:rPr>
  </w:style>
  <w:style w:type="character" w:styleId="12">
    <w:name w:val="Strong"/>
    <w:basedOn w:val="11"/>
    <w:qFormat/>
    <w:uiPriority w:val="22"/>
    <w:rPr>
      <w:b/>
      <w:bCs/>
    </w:rPr>
  </w:style>
  <w:style w:type="character" w:styleId="13">
    <w:name w:val="Hyperlink"/>
    <w:basedOn w:val="11"/>
    <w:unhideWhenUsed/>
    <w:uiPriority w:val="99"/>
    <w:rPr>
      <w:color w:val="0000FF" w:themeColor="hyperlink"/>
      <w:u w:val="single"/>
      <w14:textFill>
        <w14:solidFill>
          <w14:schemeClr w14:val="hlink"/>
        </w14:solidFill>
      </w14:textFill>
    </w:rPr>
  </w:style>
  <w:style w:type="character" w:customStyle="1" w:styleId="14">
    <w:name w:val="pagetext0031"/>
    <w:basedOn w:val="11"/>
    <w:qFormat/>
    <w:uiPriority w:val="0"/>
    <w:rPr>
      <w:rFonts w:hint="eastAsia" w:ascii="宋体" w:hAnsi="宋体" w:eastAsia="宋体"/>
      <w:color w:val="555555"/>
      <w:sz w:val="21"/>
      <w:szCs w:val="21"/>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6">
    <w:name w:val="标题 1 Char"/>
    <w:basedOn w:val="11"/>
    <w:link w:val="2"/>
    <w:qFormat/>
    <w:uiPriority w:val="9"/>
    <w:rPr>
      <w:rFonts w:asciiTheme="minorHAnsi" w:hAnsiTheme="minorHAnsi" w:eastAsiaTheme="minorEastAsia" w:cstheme="minorBidi"/>
      <w:b/>
      <w:bCs/>
      <w:kern w:val="44"/>
      <w:sz w:val="44"/>
      <w:szCs w:val="44"/>
    </w:rPr>
  </w:style>
  <w:style w:type="paragraph" w:customStyle="1" w:styleId="1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8">
    <w:name w:val="批注框文本 Char"/>
    <w:basedOn w:val="11"/>
    <w:link w:val="5"/>
    <w:semiHidden/>
    <w:qFormat/>
    <w:uiPriority w:val="99"/>
    <w:rPr>
      <w:rFonts w:asciiTheme="minorHAnsi" w:hAnsiTheme="minorHAnsi" w:eastAsiaTheme="minorEastAsia" w:cstheme="minorBidi"/>
      <w:kern w:val="2"/>
      <w:sz w:val="18"/>
      <w:szCs w:val="18"/>
    </w:rPr>
  </w:style>
  <w:style w:type="character" w:customStyle="1" w:styleId="19">
    <w:name w:val="页眉 Char"/>
    <w:basedOn w:val="11"/>
    <w:link w:val="7"/>
    <w:uiPriority w:val="99"/>
    <w:rPr>
      <w:rFonts w:asciiTheme="minorHAnsi" w:hAnsiTheme="minorHAnsi" w:eastAsiaTheme="minorEastAsia" w:cstheme="minorBidi"/>
      <w:kern w:val="2"/>
      <w:sz w:val="18"/>
      <w:szCs w:val="18"/>
    </w:rPr>
  </w:style>
  <w:style w:type="character" w:customStyle="1" w:styleId="20">
    <w:name w:val="页脚 Char"/>
    <w:basedOn w:val="11"/>
    <w:link w:val="6"/>
    <w:qFormat/>
    <w:uiPriority w:val="99"/>
    <w:rPr>
      <w:rFonts w:asciiTheme="minorHAnsi" w:hAnsiTheme="minorHAnsi" w:eastAsiaTheme="minorEastAsia" w:cstheme="minorBidi"/>
      <w:kern w:val="2"/>
      <w:sz w:val="18"/>
      <w:szCs w:val="18"/>
    </w:rPr>
  </w:style>
  <w:style w:type="paragraph" w:styleId="21">
    <w:name w:val="List Paragraph"/>
    <w:basedOn w:val="1"/>
    <w:unhideWhenUsed/>
    <w:qFormat/>
    <w:uiPriority w:val="99"/>
    <w:pPr>
      <w:ind w:firstLine="420" w:firstLineChars="200"/>
    </w:pPr>
  </w:style>
  <w:style w:type="paragraph" w:customStyle="1" w:styleId="22">
    <w:name w:val="WPSOffice手动目录 1"/>
    <w:qFormat/>
    <w:uiPriority w:val="0"/>
    <w:rPr>
      <w:rFonts w:ascii="Calibri" w:hAnsi="Calibri" w:eastAsia="宋体" w:cs="Times New Roman"/>
      <w:lang w:val="en-US" w:eastAsia="zh-CN" w:bidi="ar-SA"/>
    </w:rPr>
  </w:style>
  <w:style w:type="paragraph" w:customStyle="1" w:styleId="23">
    <w:name w:val="WPSOffice手动目录 2"/>
    <w:qFormat/>
    <w:uiPriority w:val="0"/>
    <w:pPr>
      <w:ind w:left="200"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A4E993-B36F-4B39-84BD-E7496ADF6AA6}">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12</Pages>
  <Words>4945</Words>
  <Characters>1484</Characters>
  <Lines>12</Lines>
  <Paragraphs>12</Paragraphs>
  <TotalTime>11</TotalTime>
  <ScaleCrop>false</ScaleCrop>
  <LinksUpToDate>false</LinksUpToDate>
  <CharactersWithSpaces>6417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2021-05-24T08:23:00Z</dcterms:created>
  <dc:creator>Lenovo User</dc:creator>
  <cp:lastModifiedBy>不改</cp:lastModifiedBy>
  <dcterms:modified xsi:type="dcterms:W3CDTF">2021-05-26T01:53:41Z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D2C94CD0046C4F31928C8C128428E64A</vt:lpwstr>
  </property>
</Properties>
</file>