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仿宋_GB2312" w:eastAsia="仿宋_GB2312" w:cs="仿宋_GB2312" w:hint="eastAsia"/>
          <w:color w:val="000000"/>
          <w:sz w:val="72"/>
          <w:szCs w:val="72"/>
        </w:rPr>
      </w:pPr>
      <w:bookmarkStart w:id="0" w:name="_Toc15306267"/>
    </w:p>
    <w:p>
      <w:pPr>
        <w:spacing w:line="600" w:lineRule="exact"/>
        <w:jc w:val="center"/>
        <w:outlineLvl w:val="0"/>
        <w:rPr>
          <w:rFonts w:ascii="仿宋_GB2312" w:eastAsia="仿宋_GB2312" w:cs="仿宋_GB2312" w:hint="eastAsia"/>
          <w:color w:val="000000"/>
          <w:sz w:val="72"/>
          <w:szCs w:val="72"/>
        </w:rPr>
      </w:pPr>
    </w:p>
    <w:p>
      <w:pPr>
        <w:spacing w:line="600" w:lineRule="exact"/>
        <w:jc w:val="center"/>
        <w:outlineLvl w:val="0"/>
        <w:rPr>
          <w:rFonts w:ascii="仿宋_GB2312" w:eastAsia="仿宋_GB2312" w:cs="仿宋_GB2312" w:hint="eastAsia"/>
          <w:color w:val="000000"/>
          <w:sz w:val="72"/>
          <w:szCs w:val="72"/>
        </w:rPr>
      </w:pPr>
    </w:p>
    <w:p>
      <w:pPr>
        <w:spacing w:line="600" w:lineRule="exact"/>
        <w:jc w:val="center"/>
        <w:outlineLvl w:val="0"/>
        <w:rPr>
          <w:rFonts w:ascii="仿宋_GB2312" w:eastAsia="仿宋_GB2312" w:cs="仿宋_GB2312" w:hint="eastAsia"/>
          <w:color w:val="000000"/>
          <w:sz w:val="72"/>
          <w:szCs w:val="72"/>
        </w:rPr>
      </w:pPr>
    </w:p>
    <w:p>
      <w:pPr>
        <w:adjustRightInd w:val="0"/>
        <w:snapToGrid w:val="0"/>
        <w:spacing w:line="360" w:lineRule="auto"/>
        <w:jc w:val="center"/>
        <w:outlineLvl w:val="0"/>
        <w:rPr>
          <w:rFonts w:ascii="仿宋_GB2312" w:eastAsia="仿宋_GB2312" w:cs="仿宋_GB2312" w:hint="eastAsia"/>
          <w:color w:val="000000"/>
          <w:sz w:val="72"/>
          <w:szCs w:val="72"/>
        </w:rPr>
      </w:pPr>
      <w:bookmarkStart w:id="1" w:name="_Toc15377425"/>
      <w:bookmarkStart w:id="2" w:name="_Toc15396597"/>
      <w:bookmarkStart w:id="3" w:name="_Toc2114"/>
      <w:bookmarkStart w:id="4" w:name="_Toc15378441"/>
      <w:bookmarkStart w:id="5" w:name="_Toc15377193"/>
      <w:bookmarkStart w:id="6" w:name="_Toc15396475"/>
      <w:r>
        <w:rPr>
          <w:rFonts w:ascii="仿宋_GB2312" w:eastAsia="仿宋_GB2312" w:cs="仿宋_GB2312" w:hint="eastAsia"/>
          <w:color w:val="000000"/>
          <w:sz w:val="72"/>
          <w:szCs w:val="72"/>
          <w:lang w:val="en-US" w:eastAsia="zh-CN"/>
        </w:rPr>
        <w:t>2024年</w:t>
      </w:r>
      <w:r>
        <w:rPr>
          <w:rFonts w:ascii="仿宋_GB2312" w:eastAsia="仿宋_GB2312" w:cs="仿宋_GB2312" w:hint="eastAsia"/>
          <w:color w:val="000000"/>
          <w:sz w:val="72"/>
          <w:szCs w:val="72"/>
        </w:rPr>
        <w:t>度</w:t>
      </w:r>
      <w:bookmarkEnd w:id="1"/>
      <w:bookmarkEnd w:id="2"/>
      <w:bookmarkEnd w:id="3"/>
      <w:bookmarkEnd w:id="4"/>
      <w:bookmarkEnd w:id="5"/>
      <w:bookmarkEnd w:id="6"/>
    </w:p>
    <w:p>
      <w:pPr>
        <w:adjustRightInd w:val="0"/>
        <w:snapToGrid w:val="0"/>
        <w:spacing w:line="360" w:lineRule="auto"/>
        <w:jc w:val="center"/>
        <w:outlineLvl w:val="0"/>
        <w:rPr>
          <w:rFonts w:ascii="仿宋_GB2312" w:eastAsia="仿宋_GB2312" w:cs="仿宋_GB2312" w:hint="eastAsia"/>
          <w:color w:val="000000"/>
          <w:sz w:val="72"/>
          <w:szCs w:val="72"/>
          <w:lang w:val="en-US" w:eastAsia="zh-CN"/>
        </w:rPr>
      </w:pPr>
      <w:bookmarkStart w:id="7" w:name="_Toc15378442"/>
      <w:bookmarkStart w:id="8" w:name="_Toc15396476"/>
      <w:bookmarkStart w:id="9" w:name="_Toc15377426"/>
      <w:bookmarkStart w:id="10" w:name="_Toc15377194"/>
      <w:bookmarkStart w:id="11" w:name="_Toc15396598"/>
      <w:bookmarkEnd w:id="0"/>
      <w:r>
        <w:rPr>
          <w:rFonts w:ascii="仿宋_GB2312" w:eastAsia="仿宋_GB2312" w:cs="仿宋_GB2312" w:hint="eastAsia"/>
          <w:color w:val="000000"/>
          <w:sz w:val="72"/>
          <w:szCs w:val="72"/>
          <w:lang w:val="en-US" w:eastAsia="zh-CN"/>
        </w:rPr>
        <w:t>四川省阿坝州</w:t>
      </w:r>
      <w:bookmarkStart w:id="12" w:name="_Toc15306268"/>
      <w:r>
        <w:rPr>
          <w:rFonts w:ascii="仿宋_GB2312" w:eastAsia="仿宋_GB2312" w:cs="仿宋_GB2312" w:hint="eastAsia"/>
          <w:color w:val="000000"/>
          <w:sz w:val="72"/>
          <w:szCs w:val="72"/>
          <w:lang w:val="en-US" w:eastAsia="zh-CN"/>
        </w:rPr>
        <w:t>金川县人大常委会办公室部门决算</w:t>
      </w:r>
      <w:bookmarkEnd w:id="7"/>
      <w:bookmarkEnd w:id="8"/>
      <w:bookmarkEnd w:id="9"/>
      <w:bookmarkEnd w:id="10"/>
      <w:bookmarkEnd w:id="11"/>
      <w:bookmarkEnd w:id="12"/>
    </w:p>
    <w:p>
      <w:pPr>
        <w:widowControl/>
        <w:jc w:val="center"/>
        <w:rPr>
          <w:rFonts w:ascii="仿宋_GB2312" w:eastAsia="仿宋_GB2312" w:cs="仿宋_GB2312" w:hint="eastAsia"/>
          <w:color w:val="000000"/>
          <w:sz w:val="36"/>
          <w:szCs w:val="36"/>
        </w:rPr>
      </w:pPr>
    </w:p>
    <w:p>
      <w:pPr>
        <w:widowControl/>
        <w:jc w:val="center"/>
        <w:rPr>
          <w:rFonts w:ascii="仿宋_GB2312" w:eastAsia="仿宋_GB2312" w:cs="仿宋_GB2312" w:hint="eastAsia"/>
          <w:color w:val="000000"/>
          <w:sz w:val="44"/>
          <w:szCs w:val="44"/>
          <w:lang w:eastAsia="zh-CN"/>
        </w:rPr>
      </w:pPr>
      <w:r>
        <w:rPr>
          <w:rFonts w:ascii="仿宋_GB2312" w:eastAsia="仿宋_GB2312" w:cs="仿宋_GB2312" w:hint="eastAsia"/>
          <w:color w:val="000000"/>
          <w:sz w:val="44"/>
          <w:szCs w:val="44"/>
          <w:lang w:eastAsia="zh-CN"/>
        </w:rPr>
        <w:t>（部门公开）</w:t>
      </w:r>
    </w:p>
    <w:p>
      <w:pPr>
        <w:widowControl/>
        <w:jc w:val="center"/>
        <w:rPr>
          <w:rFonts w:ascii="仿宋_GB2312" w:eastAsia="仿宋_GB2312" w:cs="仿宋_GB2312" w:hint="eastAsia"/>
          <w:color w:val="000000"/>
          <w:sz w:val="36"/>
          <w:szCs w:val="36"/>
        </w:rPr>
      </w:pP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cs="仿宋_GB2312" w:hint="eastAsia"/>
          <w:b/>
          <w:bCs/>
          <w:color w:val="000000"/>
          <w:sz w:val="28"/>
          <w:szCs w:val="28"/>
        </w:rPr>
      </w:pPr>
      <w:r>
        <w:rPr>
          <w:rFonts w:ascii="仿宋_GB2312" w:eastAsia="仿宋_GB2312" w:cs="仿宋_GB2312" w:hint="eastAsia"/>
          <w:color w:val="000000"/>
          <w:sz w:val="36"/>
          <w:szCs w:val="36"/>
        </w:rPr>
        <w:br w:type="page"/>
      </w:r>
      <w:r>
        <w:rPr>
          <w:rFonts w:ascii="仿宋_GB2312" w:eastAsia="仿宋_GB2312" w:cs="仿宋_GB2312" w:hint="eastAsia"/>
          <w:b/>
          <w:bCs/>
          <w:color w:val="000000"/>
          <w:sz w:val="28"/>
          <w:szCs w:val="28"/>
        </w:rPr>
        <w:t>目</w:t>
      </w:r>
      <w:r>
        <w:rPr>
          <w:rFonts w:ascii="仿宋_GB2312" w:eastAsia="仿宋_GB2312" w:cs="仿宋_GB2312" w:hint="eastAsia"/>
          <w:b/>
          <w:bCs/>
          <w:color w:val="000000"/>
          <w:sz w:val="28"/>
          <w:szCs w:val="28"/>
          <w:lang w:eastAsia="zh-CN"/>
        </w:rPr>
        <w:t>　</w:t>
      </w:r>
      <w:r>
        <w:rPr>
          <w:rFonts w:ascii="仿宋_GB2312" w:eastAsia="仿宋_GB2312" w:cs="仿宋_GB2312" w:hint="eastAsia"/>
          <w:b/>
          <w:bCs/>
          <w:color w:val="000000"/>
          <w:sz w:val="28"/>
          <w:szCs w:val="28"/>
        </w:rPr>
        <w:t>录</w:t>
      </w:r>
    </w:p>
    <w:p>
      <w:pPr>
        <w:pStyle w:val="23"/>
        <w:tabs>
          <w:tab w:val="right" w:leader="dot" w:pos="8296"/>
        </w:tabs>
        <w:rPr>
          <w:rFonts w:ascii="Times New Roman" w:eastAsia="仿宋_GB2312" w:cs="仿宋_GB2312" w:hAnsi="Times New Roman" w:hint="eastAsia"/>
          <w:color w:val="auto"/>
          <w:sz w:val="32"/>
          <w:szCs w:val="32"/>
          <w:highlight w:val="auto"/>
        </w:rPr>
      </w:pPr>
      <w:bookmarkStart w:id="13" w:name="_GoBack"/>
      <w:r>
        <w:rPr>
          <w:rFonts w:ascii="Times New Roman" w:eastAsia="仿宋_GB2312" w:cs="仿宋_GB2312" w:hAnsi="Times New Roman" w:hint="eastAsia"/>
          <w:color w:val="auto"/>
          <w:sz w:val="32"/>
          <w:szCs w:val="32"/>
          <w:highlight w:val="auto"/>
        </w:rPr>
        <w:t>公开时间：20</w:t>
      </w:r>
      <w:r>
        <w:rPr>
          <w:rFonts w:ascii="Times New Roman" w:eastAsia="仿宋_GB2312" w:cs="仿宋_GB2312" w:hAnsi="Times New Roman" w:hint="eastAsia"/>
          <w:color w:val="auto"/>
          <w:sz w:val="32"/>
          <w:szCs w:val="32"/>
          <w:lang w:val="en-US" w:eastAsia="zh-CN"/>
          <w:highlight w:val="auto"/>
        </w:rPr>
        <w:t>25</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val="en-US" w:eastAsia="zh-CN"/>
          <w:highlight w:val="auto"/>
        </w:rPr>
        <w:t xml:space="preserve"> 8 </w:t>
      </w:r>
      <w:r>
        <w:rPr>
          <w:rFonts w:ascii="Times New Roman" w:eastAsia="仿宋_GB2312" w:cs="仿宋_GB2312" w:hAnsi="Times New Roman" w:hint="eastAsia"/>
          <w:color w:val="auto"/>
          <w:sz w:val="32"/>
          <w:szCs w:val="32"/>
          <w:highlight w:val="auto"/>
        </w:rPr>
        <w:t>月</w:t>
      </w:r>
      <w:r>
        <w:rPr>
          <w:rFonts w:ascii="Times New Roman" w:eastAsia="仿宋_GB2312" w:cs="仿宋_GB2312" w:hAnsi="Times New Roman" w:hint="eastAsia"/>
          <w:color w:val="auto"/>
          <w:sz w:val="32"/>
          <w:szCs w:val="32"/>
          <w:lang w:val="en-US" w:eastAsia="zh-CN"/>
          <w:highlight w:val="auto"/>
        </w:rPr>
        <w:t xml:space="preserve"> 18 </w:t>
      </w:r>
      <w:r>
        <w:rPr>
          <w:rFonts w:ascii="Times New Roman" w:eastAsia="仿宋_GB2312" w:cs="仿宋_GB2312" w:hAnsi="Times New Roman" w:hint="eastAsia"/>
          <w:color w:val="auto"/>
          <w:sz w:val="32"/>
          <w:szCs w:val="32"/>
          <w:highlight w:val="auto"/>
        </w:rPr>
        <w:t>日</w:t>
      </w:r>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lang w:val="en-US" w:eastAsia="zh-CN"/>
        </w:rPr>
      </w:pPr>
      <w:bookmarkEnd w:id="13"/>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TOC \o "1-4" \f \h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_Toc3537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第一部分 部门概况</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_Toc3537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_Toc28493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一、基本职能及主要工作</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_Toc28493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_Toc25044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（一）主要职能</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_Toc25044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_Toc1961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（二）</w:t>
      </w:r>
      <w:r>
        <w:rPr>
          <w:rFonts w:ascii="仿宋_GB2312" w:eastAsia="仿宋_GB2312" w:cs="仿宋_GB2312" w:hint="eastAsia"/>
          <w:sz w:val="28"/>
          <w:szCs w:val="28"/>
          <w:lang w:val="en-US" w:eastAsia="zh-CN"/>
        </w:rPr>
        <w:t>2024年</w:t>
      </w:r>
      <w:r>
        <w:rPr>
          <w:rFonts w:ascii="仿宋_GB2312" w:eastAsia="仿宋_GB2312" w:cs="仿宋_GB2312" w:hint="eastAsia"/>
          <w:sz w:val="28"/>
          <w:szCs w:val="28"/>
        </w:rPr>
        <w:t>重点工作完成情况</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_Toc1961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_Toc611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二、机构设置</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_Toc611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_Toc1890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 xml:space="preserve">第二部分 </w:t>
      </w:r>
      <w:r>
        <w:rPr>
          <w:rFonts w:ascii="仿宋_GB2312" w:eastAsia="仿宋_GB2312" w:cs="仿宋_GB2312" w:hint="eastAsia"/>
          <w:bCs w:val="0"/>
          <w:sz w:val="28"/>
          <w:szCs w:val="28"/>
          <w:lang w:val="en-US" w:eastAsia="zh-CN"/>
        </w:rPr>
        <w:t>2024年</w:t>
      </w:r>
      <w:r>
        <w:rPr>
          <w:rFonts w:ascii="仿宋_GB2312" w:eastAsia="仿宋_GB2312" w:cs="仿宋_GB2312" w:hint="eastAsia"/>
          <w:bCs w:val="0"/>
          <w:sz w:val="28"/>
          <w:szCs w:val="28"/>
        </w:rPr>
        <w:t>度部门决算情况说明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_Toc1890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_Toc5265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一、收入支出决算总体情况说明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_Toc5265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_Toc25961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二、收入决算情况说明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_Toc25961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_Toc20190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三、支出决算情况说明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_Toc20190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_Toc101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四、财政拨款收入支出决算总体情况说明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_Toc101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ind w:leftChars="0" w:left="0" w:firstLine="0"/>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t>　</w:t>
      </w: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_Toc3054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 xml:space="preserve"> 五、一般公共预算财政拨款支出决算情况说明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_Toc3054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pos="7600"/>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_Toc13620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六、一般公共预算财政拨款基本支出决算情况说明</w:t>
        <w:tab/>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_Toc13620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9</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_Toc19002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七、“三公”经费财政拨款支出决算情况说明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_Toc19002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10</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_Toc11152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八、政府性基金预算支出决算情况说明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_Toc11152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_Toc28038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九、国有资本经营预算支出决算情况说明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_Toc28038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_Toc24621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十、预算绩效情况说明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_Toc24621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_Toc24399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十一、其他重要事项的情况说明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_Toc24399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_Toc6806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sz w:val="28"/>
          <w:szCs w:val="28"/>
        </w:rPr>
        <w:t>第三部分 名词解释</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_Toc6806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_Toc17647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 xml:space="preserve">第四部分 </w:t>
      </w:r>
      <w:r>
        <w:rPr>
          <w:rFonts w:ascii="仿宋_GB2312" w:eastAsia="仿宋_GB2312" w:cs="仿宋_GB2312" w:hint="eastAsia"/>
          <w:bCs w:val="0"/>
          <w:sz w:val="28"/>
          <w:szCs w:val="28"/>
          <w:lang w:val="en-US"/>
        </w:rPr>
        <w:t>部门整体支出绩效报告</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_Toc17647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3"/>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_Toc24270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第五部分　附表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_Toc24270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_Toc32290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一、收</w:t>
      </w:r>
      <w:r>
        <w:rPr>
          <w:rFonts w:ascii="仿宋_GB2312" w:eastAsia="仿宋_GB2312" w:cs="仿宋_GB2312" w:hint="eastAsia"/>
          <w:bCs w:val="0"/>
          <w:sz w:val="28"/>
          <w:szCs w:val="28"/>
        </w:rPr>
        <w:t>入支出决算总表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_Toc32290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_Toc29250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二、收</w:t>
      </w:r>
      <w:r>
        <w:rPr>
          <w:rFonts w:ascii="仿宋_GB2312" w:eastAsia="仿宋_GB2312" w:cs="仿宋_GB2312" w:hint="eastAsia"/>
          <w:bCs w:val="0"/>
          <w:sz w:val="28"/>
          <w:szCs w:val="28"/>
        </w:rPr>
        <w:t>入决算表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_Toc29250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_Toc5311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三、</w:t>
      </w:r>
      <w:r>
        <w:rPr>
          <w:rFonts w:ascii="仿宋_GB2312" w:eastAsia="仿宋_GB2312" w:cs="仿宋_GB2312" w:hint="eastAsia"/>
          <w:sz w:val="28"/>
          <w:szCs w:val="28"/>
        </w:rPr>
        <w:t>支</w:t>
      </w:r>
      <w:r>
        <w:rPr>
          <w:rFonts w:ascii="仿宋_GB2312" w:eastAsia="仿宋_GB2312" w:cs="仿宋_GB2312" w:hint="eastAsia"/>
          <w:bCs w:val="0"/>
          <w:sz w:val="28"/>
          <w:szCs w:val="28"/>
        </w:rPr>
        <w:t>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_Toc5311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_Toc4383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四、</w:t>
      </w:r>
      <w:r>
        <w:rPr>
          <w:rFonts w:ascii="仿宋_GB2312" w:eastAsia="仿宋_GB2312" w:cs="仿宋_GB2312" w:hint="eastAsia"/>
          <w:sz w:val="28"/>
          <w:szCs w:val="28"/>
        </w:rPr>
        <w:t>财</w:t>
      </w:r>
      <w:r>
        <w:rPr>
          <w:rFonts w:ascii="仿宋_GB2312" w:eastAsia="仿宋_GB2312" w:cs="仿宋_GB2312" w:hint="eastAsia"/>
          <w:bCs w:val="0"/>
          <w:sz w:val="28"/>
          <w:szCs w:val="28"/>
        </w:rPr>
        <w:t>政拨款收入支出决算总表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_Toc4383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_Toc3880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五、</w:t>
      </w:r>
      <w:r>
        <w:rPr>
          <w:rFonts w:ascii="仿宋_GB2312" w:eastAsia="仿宋_GB2312" w:cs="仿宋_GB2312" w:hint="eastAsia"/>
          <w:sz w:val="28"/>
          <w:szCs w:val="28"/>
        </w:rPr>
        <w:t>财</w:t>
      </w:r>
      <w:r>
        <w:rPr>
          <w:rFonts w:ascii="仿宋_GB2312" w:eastAsia="仿宋_GB2312" w:cs="仿宋_GB2312" w:hint="eastAsia"/>
          <w:bCs w:val="0"/>
          <w:sz w:val="28"/>
          <w:szCs w:val="28"/>
        </w:rPr>
        <w:t>政拨款支出决算明细表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_Toc3880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_Toc8069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六、</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_Toc8069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_Toc25400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七、</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_Toc25400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_Toc15665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八、</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般公共预算财政拨款基本支出决算明细表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_Toc15665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_Toc30144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九、</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般公共预算财政拨款项目支出决算表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_Toc30144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_Toc6032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w:t>
      </w:r>
      <w:r>
        <w:rPr>
          <w:rFonts w:ascii="仿宋_GB2312" w:eastAsia="仿宋_GB2312" w:cs="仿宋_GB2312" w:hint="eastAsia"/>
          <w:sz w:val="28"/>
          <w:szCs w:val="28"/>
        </w:rPr>
        <w:t>政</w:t>
      </w:r>
      <w:r>
        <w:rPr>
          <w:rFonts w:ascii="仿宋_GB2312" w:eastAsia="仿宋_GB2312" w:cs="仿宋_GB2312" w:hint="eastAsia"/>
          <w:bCs w:val="0"/>
          <w:sz w:val="28"/>
          <w:szCs w:val="28"/>
        </w:rPr>
        <w:t>府性基金预算财政拨款收入支出决算表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_Toc6032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_Toc13012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十一、</w:t>
      </w:r>
      <w:r>
        <w:rPr>
          <w:rFonts w:ascii="仿宋_GB2312" w:eastAsia="仿宋_GB2312" w:cs="仿宋_GB2312" w:hint="eastAsia"/>
          <w:sz w:val="28"/>
          <w:szCs w:val="28"/>
        </w:rPr>
        <w:t>国</w:t>
      </w:r>
      <w:r>
        <w:rPr>
          <w:rFonts w:ascii="仿宋_GB2312" w:eastAsia="仿宋_GB2312" w:cs="仿宋_GB2312" w:hint="eastAsia"/>
          <w:bCs w:val="0"/>
          <w:sz w:val="28"/>
          <w:szCs w:val="28"/>
        </w:rPr>
        <w:t>有资本经营预算财政拨款收入支出决算表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_Toc13012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_Toc30046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十二、</w:t>
      </w:r>
      <w:r>
        <w:rPr>
          <w:rFonts w:ascii="仿宋_GB2312" w:eastAsia="仿宋_GB2312" w:cs="仿宋_GB2312" w:hint="eastAsia"/>
          <w:sz w:val="28"/>
          <w:szCs w:val="28"/>
        </w:rPr>
        <w:t>国</w:t>
      </w:r>
      <w:r>
        <w:rPr>
          <w:rFonts w:ascii="仿宋_GB2312" w:eastAsia="仿宋_GB2312" w:cs="仿宋_GB2312" w:hint="eastAsia"/>
          <w:bCs w:val="0"/>
          <w:sz w:val="28"/>
          <w:szCs w:val="28"/>
        </w:rPr>
        <w:t>有资本经营预算财政拨款支出决算表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_Toc30046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4"/>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_Toc28010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十三、</w:t>
      </w:r>
      <w:r>
        <w:rPr>
          <w:rFonts w:ascii="仿宋_GB2312" w:eastAsia="仿宋_GB2312" w:cs="仿宋_GB2312" w:hint="eastAsia"/>
          <w:sz w:val="28"/>
          <w:szCs w:val="28"/>
          <w:lang w:val="en-US" w:eastAsia="zh-CN"/>
        </w:rPr>
        <w:t>财政拨款“三公”经费支出决算表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_Toc28010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exact"/>
        <w:jc w:val="both"/>
        <w:textAlignment w:val="auto"/>
        <w:rPr>
          <w:rFonts w:ascii="仿宋_GB2312" w:eastAsia="仿宋_GB2312" w:cs="仿宋_GB2312" w:hint="eastAsia"/>
          <w:bCs/>
          <w:kern w:val="2"/>
          <w:szCs w:val="21"/>
          <w:lang w:val="en-US" w:eastAsia="zh-CN" w:bidi="ar-SA"/>
        </w:rPr>
      </w:pPr>
      <w:r>
        <w:rPr>
          <w:rFonts w:ascii="仿宋_GB2312" w:eastAsia="仿宋_GB2312" w:cs="仿宋_GB2312" w:hint="eastAsia"/>
          <w:sz w:val="28"/>
          <w:szCs w:val="28"/>
          <w:lang w:val="en-US" w:eastAsia="zh-CN"/>
        </w:rPr>
        <w:fldChar w:fldCharType="end"/>
      </w:r>
      <w:bookmarkStart w:id="14" w:name="_Toc23005"/>
      <w:bookmarkStart w:id="15" w:name="_Toc31727"/>
      <w:bookmarkStart w:id="16" w:name="_Toc8167"/>
      <w:bookmarkStart w:id="17" w:name="_Toc15396599"/>
      <w:bookmarkStart w:id="18" w:name="_Toc15992"/>
      <w:bookmarkStart w:id="19" w:name="_Toc15377196"/>
    </w:p>
    <w:p>
      <w:pPr>
        <w:pStyle w:val="1"/>
        <w:jc w:val="both"/>
        <w:rPr>
          <w:rFonts w:ascii="黑体" w:eastAsia="黑体" w:hint="eastAsia"/>
          <w:b w:val="0"/>
        </w:rPr>
      </w:pPr>
      <w:r>
        <w:rPr>
          <w:rFonts w:ascii="仿宋_GB2312" w:eastAsia="仿宋_GB2312" w:cs="仿宋_GB2312" w:hint="eastAsia"/>
          <w:b w:val="0"/>
          <w:lang w:eastAsia="zh-CN"/>
        </w:rPr>
        <w:t>　　　</w:t>
      </w:r>
      <w:r>
        <w:rPr>
          <w:rFonts w:ascii="黑体" w:eastAsia="黑体" w:hint="eastAsia"/>
          <w:b w:val="0"/>
          <w:lang w:eastAsia="zh-CN"/>
        </w:rPr>
        <w:t>　</w:t>
      </w:r>
      <w:bookmarkStart w:id="20" w:name="_Toc3537"/>
      <w:r>
        <w:rPr>
          <w:rFonts w:ascii="黑体" w:eastAsia="黑体" w:hint="eastAsia"/>
          <w:b w:val="0"/>
        </w:rPr>
        <w:t>第一部分 部门概况</w:t>
      </w:r>
      <w:bookmarkEnd w:id="14"/>
      <w:bookmarkEnd w:id="15"/>
      <w:bookmarkEnd w:id="16"/>
      <w:bookmarkEnd w:id="17"/>
      <w:bookmarkEnd w:id="18"/>
      <w:bookmarkEnd w:id="19"/>
      <w:bookmarkEnd w:id="20"/>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仿宋_GB2312" w:eastAsia="仿宋_GB2312" w:cs="仿宋_GB2312" w:hint="eastAsia"/>
          <w:b w:val="0"/>
          <w:bCs w:val="0"/>
        </w:rPr>
      </w:pPr>
      <w:bookmarkStart w:id="21" w:name="_Toc12207"/>
      <w:bookmarkStart w:id="22" w:name="_Toc2736"/>
      <w:bookmarkStart w:id="23" w:name="_Toc30841"/>
      <w:bookmarkStart w:id="24" w:name="_Toc15396600"/>
      <w:bookmarkStart w:id="25" w:name="_Toc4547"/>
      <w:bookmarkStart w:id="26" w:name="_Toc15377197"/>
      <w:r>
        <w:rPr>
          <w:rFonts w:ascii="黑体" w:eastAsia="黑体" w:hint="eastAsia"/>
          <w:b w:val="0"/>
          <w:color w:val="000000"/>
          <w:lang w:eastAsia="zh-CN"/>
        </w:rPr>
        <w:t>　　</w:t>
      </w:r>
      <w:bookmarkStart w:id="27" w:name="_Toc28493"/>
      <w:r>
        <w:rPr>
          <w:rFonts w:ascii="黑体" w:eastAsia="黑体" w:hint="eastAsia"/>
          <w:b w:val="0"/>
          <w:color w:val="000000"/>
        </w:rPr>
        <w:t>一、基本职能及主要工作</w:t>
      </w:r>
      <w:bookmarkStart w:id="28" w:name="_Toc15377198"/>
      <w:bookmarkStart w:id="29" w:name="_Toc15378445"/>
      <w:bookmarkEnd w:id="21"/>
      <w:bookmarkEnd w:id="22"/>
      <w:bookmarkEnd w:id="23"/>
      <w:bookmarkEnd w:id="24"/>
      <w:bookmarkEnd w:id="25"/>
      <w:bookmarkEnd w:id="26"/>
      <w:bookmarkEnd w:id="27"/>
    </w:p>
    <w:p>
      <w:pPr>
        <w:pStyle w:val="2"/>
        <w:spacing w:before="0" w:after="0" w:line="240" w:lineRule="auto"/>
        <w:ind w:leftChars="153" w:left="641" w:hangingChars="100" w:hanging="320"/>
        <w:rPr>
          <w:rFonts w:ascii="楷体" w:eastAsia="楷体" w:cs="楷体" w:hint="eastAsia"/>
          <w:color w:val="000000"/>
        </w:rPr>
      </w:pPr>
      <w:bookmarkStart w:id="30" w:name="_Toc1839"/>
      <w:bookmarkStart w:id="31" w:name="_Toc5977"/>
      <w:bookmarkStart w:id="32" w:name="_Toc23053"/>
      <w:bookmarkStart w:id="33" w:name="_Toc1651"/>
      <w:r>
        <w:rPr>
          <w:rFonts w:ascii="楷体" w:eastAsia="楷体" w:cs="楷体" w:hint="eastAsia"/>
          <w:color w:val="000000"/>
          <w:lang w:eastAsia="zh-CN"/>
        </w:rPr>
        <w:t>　</w:t>
      </w:r>
      <w:bookmarkStart w:id="34" w:name="_Toc25044"/>
      <w:r>
        <w:rPr>
          <w:rFonts w:ascii="楷体" w:eastAsia="楷体" w:cs="楷体" w:hint="eastAsia"/>
          <w:color w:val="000000"/>
        </w:rPr>
        <w:t>（一）主要职能</w:t>
      </w:r>
      <w:bookmarkStart w:id="35" w:name="_Toc15377199"/>
      <w:bookmarkStart w:id="36" w:name="_Toc15378446"/>
      <w:bookmarkEnd w:id="28"/>
      <w:bookmarkEnd w:id="29"/>
      <w:bookmarkEnd w:id="30"/>
      <w:bookmarkEnd w:id="31"/>
      <w:bookmarkEnd w:id="32"/>
      <w:bookmarkEnd w:id="33"/>
      <w:bookmarkEnd w:id="34"/>
    </w:p>
    <w:p>
      <w:pPr>
        <w:pStyle w:val="2"/>
        <w:spacing w:before="0" w:after="0" w:line="240" w:lineRule="auto"/>
        <w:ind w:firstLineChars="200" w:firstLine="640"/>
        <w:rPr>
          <w:rFonts w:ascii="仿宋_GB2312" w:eastAsia="仿宋_GB2312"/>
          <w:b w:val="0"/>
          <w:bCs w:val="0"/>
        </w:rPr>
      </w:pPr>
      <w:bookmarkStart w:id="37" w:name="_Toc10470"/>
      <w:bookmarkStart w:id="38" w:name="_Toc16225"/>
      <w:bookmarkStart w:id="39" w:name="_Toc13327"/>
      <w:bookmarkStart w:id="40" w:name="_Toc98838272"/>
      <w:bookmarkStart w:id="41" w:name="_Toc952"/>
      <w:bookmarkStart w:id="42" w:name="_Toc15872"/>
      <w:bookmarkStart w:id="43" w:name="_Toc5967"/>
      <w:bookmarkStart w:id="44" w:name="_Toc18962"/>
      <w:bookmarkStart w:id="45" w:name="_Toc28227"/>
      <w:bookmarkStart w:id="46" w:name="_Toc1908"/>
      <w:bookmarkStart w:id="47" w:name="_Toc9486"/>
      <w:r>
        <w:rPr>
          <w:rFonts w:ascii="仿宋_GB2312" w:eastAsia="仿宋_GB2312" w:hint="eastAsia"/>
          <w:b w:val="0"/>
          <w:bCs w:val="0"/>
        </w:rPr>
        <w:t>1、为“三会”（人民代表大会、常委会、主任会）</w:t>
      </w:r>
      <w:r>
        <w:rPr>
          <w:rFonts w:ascii="仿宋_GB2312" w:eastAsia="仿宋_GB2312" w:hint="eastAsia"/>
          <w:b w:val="0"/>
          <w:bCs w:val="0"/>
          <w:lang w:val="en-US" w:eastAsia="zh-CN"/>
        </w:rPr>
        <w:t>做</w:t>
      </w:r>
      <w:r>
        <w:rPr>
          <w:rFonts w:ascii="仿宋_GB2312" w:eastAsia="仿宋_GB2312" w:hint="eastAsia"/>
          <w:b w:val="0"/>
          <w:bCs w:val="0"/>
        </w:rPr>
        <w:t>好服务工作。</w:t>
      </w:r>
      <w:bookmarkEnd w:id="37"/>
      <w:bookmarkEnd w:id="38"/>
      <w:bookmarkEnd w:id="39"/>
      <w:bookmarkEnd w:id="40"/>
      <w:bookmarkEnd w:id="41"/>
      <w:bookmarkEnd w:id="42"/>
      <w:bookmarkEnd w:id="43"/>
    </w:p>
    <w:p>
      <w:pPr>
        <w:pStyle w:val="2"/>
        <w:spacing w:before="0" w:after="0" w:line="240" w:lineRule="auto"/>
        <w:ind w:firstLineChars="200" w:firstLine="640"/>
        <w:rPr>
          <w:rFonts w:ascii="仿宋_GB2312" w:eastAsia="仿宋_GB2312"/>
          <w:b w:val="0"/>
          <w:bCs w:val="0"/>
        </w:rPr>
      </w:pPr>
      <w:bookmarkStart w:id="48" w:name="_Toc3179"/>
      <w:bookmarkStart w:id="49" w:name="_Toc13905"/>
      <w:bookmarkStart w:id="50" w:name="_Toc11046"/>
      <w:bookmarkStart w:id="51" w:name="_Toc27952"/>
      <w:bookmarkStart w:id="52" w:name="_Toc22883"/>
      <w:bookmarkStart w:id="53" w:name="_Toc22862"/>
      <w:bookmarkStart w:id="54" w:name="_Toc98838273"/>
      <w:r>
        <w:rPr>
          <w:rFonts w:ascii="仿宋_GB2312" w:eastAsia="仿宋_GB2312" w:hint="eastAsia"/>
          <w:b w:val="0"/>
          <w:bCs w:val="0"/>
        </w:rPr>
        <w:t>2、根据县人民代表大会常务委员会的工作计划，对县人民政府、县人民法院、县人民检察院提请县人民代表大会常务委员会审议的有关议题和工作报告进行调查研究和初步审查，向常务委员会提出调查报告和初审意见。拟订和修改有关的决议、决定和审查意见。</w:t>
      </w:r>
      <w:bookmarkEnd w:id="48"/>
      <w:bookmarkEnd w:id="49"/>
      <w:bookmarkEnd w:id="50"/>
      <w:bookmarkEnd w:id="51"/>
      <w:bookmarkEnd w:id="52"/>
      <w:bookmarkEnd w:id="53"/>
      <w:bookmarkEnd w:id="54"/>
    </w:p>
    <w:p>
      <w:pPr>
        <w:ind w:firstLineChars="200" w:firstLine="640"/>
        <w:rPr>
          <w:rFonts w:ascii="仿宋_GB2312" w:eastAsia="仿宋_GB2312"/>
          <w:sz w:val="32"/>
          <w:szCs w:val="32"/>
        </w:rPr>
      </w:pPr>
      <w:r>
        <w:rPr>
          <w:rFonts w:ascii="仿宋_GB2312" w:eastAsia="仿宋_GB2312" w:hint="eastAsia"/>
          <w:sz w:val="32"/>
          <w:szCs w:val="32"/>
        </w:rPr>
        <w:t>3、加强同县人民政府及其工作部门和县人民法院、县人民检察院的联系。对所联系部门和单位贯彻执行宪法、法律、法规和县人民代表大会及其常务委员会的决议、决定和审议意见的情况进行检查，向常务委员会提出检查情况的报告。</w:t>
      </w:r>
    </w:p>
    <w:p>
      <w:pPr>
        <w:ind w:firstLineChars="200" w:firstLine="640"/>
        <w:rPr>
          <w:rFonts w:ascii="仿宋_GB2312" w:eastAsia="仿宋_GB2312"/>
          <w:sz w:val="32"/>
          <w:szCs w:val="32"/>
        </w:rPr>
      </w:pPr>
      <w:r>
        <w:rPr>
          <w:rFonts w:ascii="仿宋_GB2312" w:eastAsia="仿宋_GB2312" w:hint="eastAsia"/>
          <w:sz w:val="32"/>
          <w:szCs w:val="32"/>
        </w:rPr>
        <w:t>4、根据工作需要，听取县人民政府所属工作部门、县人民法院、县人民检察院的有关专题汇报，了解情况，提出建议和意见。</w:t>
      </w:r>
    </w:p>
    <w:p>
      <w:pPr>
        <w:ind w:firstLineChars="200" w:firstLine="640"/>
        <w:rPr>
          <w:rFonts w:ascii="仿宋_GB2312" w:eastAsia="仿宋_GB2312"/>
          <w:sz w:val="32"/>
          <w:szCs w:val="32"/>
        </w:rPr>
      </w:pPr>
      <w:r>
        <w:rPr>
          <w:rFonts w:ascii="仿宋_GB2312" w:eastAsia="仿宋_GB2312" w:hint="eastAsia"/>
          <w:sz w:val="32"/>
          <w:szCs w:val="32"/>
        </w:rPr>
        <w:t>5、对属于县人民代表大会及其常务委员会职权范围内的有关问题进行调查研究，向县人民代表大会主席团或常务委员会提出专题调查报告和建议。</w:t>
      </w:r>
    </w:p>
    <w:p>
      <w:pPr>
        <w:ind w:firstLineChars="200" w:firstLine="640"/>
        <w:rPr>
          <w:rFonts w:ascii="仿宋_GB2312" w:eastAsia="仿宋_GB2312"/>
          <w:sz w:val="32"/>
          <w:szCs w:val="32"/>
        </w:rPr>
      </w:pPr>
      <w:r>
        <w:rPr>
          <w:rFonts w:ascii="仿宋_GB2312" w:eastAsia="仿宋_GB2312" w:hint="eastAsia"/>
          <w:sz w:val="32"/>
          <w:szCs w:val="32"/>
        </w:rPr>
        <w:t>6、配合上级人民代表大会及其常务委员会做好立法调研和执法检查工作。对上级人民代表大会及其常务委员会发来征求意见的法律法规草案进行调查和组织有关部门、单位征求修改意见，并及时上报。</w:t>
      </w:r>
    </w:p>
    <w:p>
      <w:pPr>
        <w:ind w:firstLineChars="200" w:firstLine="640"/>
        <w:rPr>
          <w:rFonts w:ascii="仿宋_GB2312" w:eastAsia="仿宋_GB2312"/>
          <w:sz w:val="32"/>
          <w:szCs w:val="32"/>
        </w:rPr>
      </w:pPr>
      <w:r>
        <w:rPr>
          <w:rFonts w:ascii="仿宋_GB2312" w:eastAsia="仿宋_GB2312" w:hint="eastAsia"/>
          <w:sz w:val="32"/>
          <w:szCs w:val="32"/>
        </w:rPr>
        <w:t>7、联系县人民代表大会代表，办理人民群众提出的申诉和意见，认真做好人大代表和人民群众来信来访工作。</w:t>
      </w:r>
    </w:p>
    <w:p>
      <w:pPr>
        <w:pageBreakBefore w:val="0"/>
        <w:widowControl w:val="0"/>
        <w:kinsoku/>
        <w:wordWrap/>
        <w:overflowPunct/>
        <w:topLinePunct w:val="0"/>
        <w:autoSpaceDE/>
        <w:autoSpaceDN/>
        <w:bidi w:val="0"/>
        <w:adjustRightInd/>
        <w:spacing w:line="600" w:lineRule="exact"/>
        <w:ind w:firstLineChars="200" w:firstLine="640"/>
        <w:textAlignment w:val="auto"/>
        <w:rPr>
          <w:rFonts w:ascii="仿宋_GB2312" w:eastAsia="仿宋_GB2312"/>
          <w:sz w:val="32"/>
          <w:szCs w:val="32"/>
        </w:rPr>
      </w:pPr>
      <w:r>
        <w:rPr>
          <w:rFonts w:ascii="仿宋_GB2312" w:eastAsia="仿宋_GB2312" w:hint="eastAsia"/>
          <w:sz w:val="32"/>
          <w:szCs w:val="32"/>
        </w:rPr>
        <w:t>8、办理县人民代表大会及其常务委员会和主任会议交办的其他事项。</w:t>
      </w:r>
    </w:p>
    <w:p>
      <w:pPr>
        <w:pStyle w:val="2"/>
        <w:spacing w:before="0" w:after="0" w:line="240" w:lineRule="auto"/>
        <w:ind w:leftChars="153" w:left="641" w:hangingChars="100" w:hanging="320"/>
        <w:rPr>
          <w:rFonts w:ascii="楷体" w:eastAsia="楷体" w:cs="楷体" w:hint="eastAsia"/>
          <w:color w:val="000000"/>
        </w:rPr>
      </w:pPr>
      <w:r>
        <w:rPr>
          <w:rFonts w:ascii="楷体" w:eastAsia="楷体" w:cs="楷体" w:hint="eastAsia"/>
          <w:color w:val="000000"/>
          <w:lang w:eastAsia="zh-CN"/>
        </w:rPr>
        <w:t>　</w:t>
      </w:r>
      <w:bookmarkStart w:id="55" w:name="_Toc1961"/>
      <w:r>
        <w:rPr>
          <w:rFonts w:ascii="楷体" w:eastAsia="楷体" w:cs="楷体" w:hint="eastAsia"/>
          <w:color w:val="000000"/>
        </w:rPr>
        <w:t>（二）</w:t>
      </w:r>
      <w:r>
        <w:rPr>
          <w:rFonts w:ascii="楷体" w:eastAsia="楷体" w:cs="楷体" w:hint="eastAsia"/>
          <w:color w:val="000000"/>
          <w:lang w:val="en-US" w:eastAsia="zh-CN"/>
        </w:rPr>
        <w:t>2024年</w:t>
      </w:r>
      <w:r>
        <w:rPr>
          <w:rFonts w:ascii="楷体" w:eastAsia="楷体" w:cs="楷体" w:hint="eastAsia"/>
          <w:color w:val="000000"/>
        </w:rPr>
        <w:t>重点工作完成情况</w:t>
      </w:r>
      <w:bookmarkEnd w:id="35"/>
      <w:bookmarkEnd w:id="36"/>
      <w:bookmarkEnd w:id="44"/>
      <w:bookmarkEnd w:id="45"/>
      <w:bookmarkEnd w:id="46"/>
      <w:bookmarkEnd w:id="47"/>
      <w:bookmarkEnd w:id="55"/>
    </w:p>
    <w:p>
      <w:pPr>
        <w:spacing w:line="578" w:lineRule="exact"/>
        <w:ind w:firstLineChars="200" w:firstLine="632"/>
        <w:rPr>
          <w:rFonts w:hint="eastAsia"/>
          <w:lang w:val="en-US" w:eastAsia="zh-CN"/>
        </w:rPr>
      </w:pPr>
      <w:bookmarkStart w:id="56" w:name="_Toc11460"/>
      <w:bookmarkStart w:id="57" w:name="_Toc14136"/>
      <w:bookmarkStart w:id="58" w:name="_Toc15377200"/>
      <w:bookmarkStart w:id="59" w:name="_Toc28066"/>
      <w:bookmarkStart w:id="60" w:name="_Toc6603"/>
      <w:bookmarkStart w:id="61" w:name="_Toc15396601"/>
      <w:bookmarkStart w:id="62" w:name="_Toc611"/>
      <w:r>
        <w:rPr>
          <w:rFonts w:ascii="仿宋_GB2312" w:eastAsia="仿宋_GB2312" w:cs="仿宋_GB2312" w:hint="eastAsia"/>
          <w:color w:val="000000"/>
          <w:spacing w:val="-2"/>
          <w:kern w:val="2"/>
          <w:sz w:val="32"/>
          <w:szCs w:val="32"/>
          <w:lang w:val="en-US" w:eastAsia="zh-CN" w:bidi="ar-SA"/>
        </w:rPr>
        <w:t>2024年，在县委的坚强领导下，县人大常委会坚持以习近平新时代中国特色社会主义思想为指导，全年开展专项调研、视察28次，听取审议专项工作报告19项，检查2部法律法规实施情况，依法任免国家机关工作人员102人次，跟踪监督民生实事票决项目10件，督办代表建议92件，听取政府14个组成部门主要负责同志履职评议意见办理落实情况，立足人民代表大会成立70周年这一重要节点，金川县人大常委会在全县经济社会发展和民主法治建设中，书写了一份依法履职尽责、主动担当作为、不负人民重托的精彩答卷。</w:t>
      </w:r>
    </w:p>
    <w:p>
      <w:pPr>
        <w:spacing w:line="578" w:lineRule="exact"/>
        <w:ind w:firstLineChars="200" w:firstLine="640"/>
        <w:rPr>
          <w:rStyle w:val="2Char"/>
          <w:rFonts w:ascii="黑体" w:eastAsia="黑体" w:hint="eastAsia"/>
          <w:b w:val="0"/>
          <w:bCs w:val="0"/>
          <w:lang w:eastAsia="zh-CN"/>
        </w:rPr>
      </w:pPr>
      <w:r>
        <w:rPr>
          <w:rStyle w:val="2Char"/>
          <w:rFonts w:ascii="黑体" w:eastAsia="黑体" w:hint="eastAsia"/>
          <w:b w:val="0"/>
          <w:bCs w:val="0"/>
        </w:rPr>
        <w:t>二、机构设置</w:t>
      </w:r>
      <w:bookmarkStart w:id="63" w:name="_Toc15377204"/>
      <w:bookmarkStart w:id="64" w:name="_Toc15396602"/>
      <w:bookmarkEnd w:id="56"/>
      <w:bookmarkEnd w:id="57"/>
      <w:bookmarkEnd w:id="58"/>
      <w:bookmarkEnd w:id="59"/>
      <w:bookmarkEnd w:id="60"/>
      <w:bookmarkEnd w:id="61"/>
    </w:p>
    <w:p>
      <w:pPr>
        <w:snapToGrid w:val="0"/>
        <w:spacing w:line="360" w:lineRule="auto"/>
        <w:rPr>
          <w:rFonts w:ascii="仿宋_GB2312" w:eastAsia="仿宋_GB2312" w:cs="仿宋_GB2312" w:hint="eastAsia"/>
          <w:sz w:val="30"/>
          <w:szCs w:val="30"/>
        </w:rPr>
      </w:pPr>
      <w:bookmarkEnd w:id="62"/>
      <w:r>
        <w:rPr>
          <w:rFonts w:ascii="仿宋_GB2312" w:eastAsia="仿宋_GB2312" w:hint="eastAsia"/>
          <w:color w:val="000000"/>
          <w:sz w:val="32"/>
          <w:szCs w:val="32"/>
          <w:lang w:val="en-US" w:eastAsia="zh-CN"/>
        </w:rPr>
        <w:t xml:space="preserve">    </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lang w:eastAsia="zh-CN"/>
        </w:rPr>
        <w:t>年</w:t>
      </w:r>
      <w:r>
        <w:rPr>
          <w:rFonts w:ascii="仿宋_GB2312" w:eastAsia="仿宋_GB2312" w:hint="eastAsia"/>
          <w:color w:val="000000"/>
          <w:sz w:val="32"/>
          <w:szCs w:val="32"/>
        </w:rPr>
        <w:t>度，人大机关决算汇编范围的独立核算单位共</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个，</w:t>
      </w:r>
      <w:r>
        <w:rPr>
          <w:rFonts w:ascii="仿宋_GB2312" w:eastAsia="仿宋_GB2312" w:hint="eastAsia"/>
          <w:color w:val="000000"/>
          <w:sz w:val="32"/>
          <w:szCs w:val="32"/>
          <w:lang w:eastAsia="zh-CN"/>
        </w:rPr>
        <w:t>与</w:t>
      </w:r>
      <w:r>
        <w:rPr>
          <w:rFonts w:ascii="仿宋_GB2312" w:eastAsia="仿宋_GB2312" w:hint="eastAsia"/>
          <w:color w:val="000000"/>
          <w:sz w:val="32"/>
          <w:szCs w:val="32"/>
          <w:lang w:val="en-US" w:eastAsia="zh-CN"/>
        </w:rPr>
        <w:t>2023年</w:t>
      </w:r>
      <w:r>
        <w:rPr>
          <w:rFonts w:ascii="仿宋_GB2312" w:eastAsia="仿宋_GB2312" w:hint="eastAsia"/>
          <w:color w:val="000000"/>
          <w:sz w:val="32"/>
          <w:szCs w:val="32"/>
          <w:lang w:eastAsia="zh-CN"/>
        </w:rPr>
        <w:t>一致</w:t>
      </w:r>
      <w:r>
        <w:rPr>
          <w:rFonts w:ascii="仿宋_GB2312" w:eastAsia="仿宋_GB2312" w:hint="eastAsia"/>
          <w:color w:val="000000"/>
          <w:sz w:val="32"/>
          <w:szCs w:val="32"/>
        </w:rPr>
        <w:t>。截</w:t>
      </w:r>
      <w:r>
        <w:rPr>
          <w:rFonts w:ascii="仿宋_GB2312" w:eastAsia="仿宋_GB2312" w:hint="eastAsia"/>
          <w:color w:val="000000"/>
          <w:sz w:val="32"/>
          <w:szCs w:val="32"/>
          <w:lang w:val="en-US" w:eastAsia="zh-CN"/>
        </w:rPr>
        <w:t>至</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lang w:eastAsia="zh-CN"/>
        </w:rPr>
        <w:t>年</w:t>
      </w:r>
      <w:r>
        <w:rPr>
          <w:rFonts w:ascii="仿宋_GB2312" w:eastAsia="仿宋_GB2312" w:hint="eastAsia"/>
          <w:color w:val="000000"/>
          <w:sz w:val="32"/>
          <w:szCs w:val="32"/>
        </w:rPr>
        <w:t>末，单位实有人数</w:t>
      </w:r>
      <w:r>
        <w:rPr>
          <w:rFonts w:ascii="仿宋_GB2312" w:eastAsia="仿宋_GB2312" w:hint="eastAsia"/>
          <w:color w:val="000000"/>
          <w:sz w:val="32"/>
          <w:szCs w:val="32"/>
          <w:lang w:val="en-US" w:eastAsia="zh-CN"/>
        </w:rPr>
        <w:t>23</w:t>
      </w:r>
      <w:r>
        <w:rPr>
          <w:rFonts w:ascii="仿宋_GB2312" w:eastAsia="仿宋_GB2312" w:hint="eastAsia"/>
          <w:color w:val="000000"/>
          <w:sz w:val="32"/>
          <w:szCs w:val="32"/>
        </w:rPr>
        <w:t>人，</w:t>
      </w:r>
      <w:r>
        <w:rPr>
          <w:rFonts w:ascii="仿宋_GB2312" w:eastAsia="仿宋_GB2312" w:hint="eastAsia"/>
          <w:sz w:val="32"/>
          <w:szCs w:val="32"/>
        </w:rPr>
        <w:t>其中：在职</w:t>
      </w:r>
      <w:r>
        <w:rPr>
          <w:rFonts w:ascii="仿宋_GB2312" w:eastAsia="仿宋_GB2312" w:hint="eastAsia"/>
          <w:sz w:val="32"/>
          <w:szCs w:val="32"/>
          <w:lang w:val="en-US" w:eastAsia="zh-CN"/>
        </w:rPr>
        <w:t>23</w:t>
      </w:r>
      <w:r>
        <w:rPr>
          <w:rFonts w:ascii="仿宋_GB2312" w:eastAsia="仿宋_GB2312" w:hint="eastAsia"/>
          <w:sz w:val="32"/>
          <w:szCs w:val="32"/>
        </w:rPr>
        <w:t>人</w:t>
      </w:r>
      <w:r>
        <w:rPr>
          <w:rFonts w:ascii="仿宋_GB2312" w:eastAsia="仿宋_GB2312" w:hint="eastAsia"/>
          <w:color w:val="000000"/>
          <w:sz w:val="32"/>
          <w:szCs w:val="32"/>
        </w:rPr>
        <w:t>（</w:t>
      </w:r>
      <w:r>
        <w:rPr>
          <w:rFonts w:ascii="仿宋_GB2312" w:eastAsia="仿宋_GB2312" w:hint="eastAsia"/>
          <w:color w:val="000000"/>
          <w:sz w:val="32"/>
          <w:szCs w:val="32"/>
          <w:lang w:eastAsia="zh-CN"/>
        </w:rPr>
        <w:t>行政</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人、事业人员</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人）</w:t>
      </w:r>
      <w:r>
        <w:rPr>
          <w:rFonts w:ascii="仿宋_GB2312" w:eastAsia="仿宋_GB2312" w:hint="eastAsia"/>
          <w:sz w:val="32"/>
          <w:szCs w:val="32"/>
        </w:rPr>
        <w:t>，离休</w:t>
      </w:r>
      <w:r>
        <w:rPr>
          <w:rFonts w:ascii="仿宋_GB2312" w:eastAsia="仿宋_GB2312" w:hint="eastAsia"/>
          <w:sz w:val="32"/>
          <w:szCs w:val="32"/>
          <w:lang w:val="en-US" w:eastAsia="zh-CN"/>
        </w:rPr>
        <w:t>0</w:t>
      </w:r>
      <w:r>
        <w:rPr>
          <w:rFonts w:ascii="仿宋_GB2312" w:eastAsia="仿宋_GB2312" w:hint="eastAsia"/>
          <w:sz w:val="32"/>
          <w:szCs w:val="32"/>
        </w:rPr>
        <w:t>人，遗属</w:t>
      </w:r>
      <w:r>
        <w:rPr>
          <w:rFonts w:ascii="仿宋_GB2312" w:eastAsia="仿宋_GB2312" w:hint="eastAsia"/>
          <w:sz w:val="32"/>
          <w:szCs w:val="32"/>
          <w:lang w:val="en-US" w:eastAsia="zh-CN"/>
        </w:rPr>
        <w:t>2</w:t>
      </w:r>
      <w:r>
        <w:rPr>
          <w:rFonts w:ascii="仿宋_GB2312" w:eastAsia="仿宋_GB2312" w:hint="eastAsia"/>
          <w:sz w:val="32"/>
          <w:szCs w:val="32"/>
        </w:rPr>
        <w:t>人。</w:t>
      </w:r>
      <w:r>
        <w:rPr>
          <w:rFonts w:ascii="仿宋_GB2312" w:eastAsia="仿宋_GB2312" w:hint="eastAsia"/>
          <w:color w:val="000000"/>
          <w:sz w:val="32"/>
          <w:szCs w:val="32"/>
        </w:rPr>
        <w:t>退休人员工资继续由社保部门发放。</w:t>
      </w:r>
    </w:p>
    <w:p>
      <w:pPr>
        <w:pStyle w:val="1"/>
        <w:ind w:right="440"/>
        <w:jc w:val="right"/>
        <w:rPr>
          <w:rFonts w:ascii="仿宋_GB2312" w:eastAsia="仿宋_GB2312" w:cs="仿宋_GB2312" w:hint="eastAsia"/>
          <w:b/>
          <w:bCs w:val="0"/>
        </w:rPr>
      </w:pPr>
      <w:bookmarkStart w:id="65" w:name="_Toc1890"/>
      <w:bookmarkStart w:id="66" w:name="_Toc29443"/>
      <w:bookmarkStart w:id="67" w:name="_Toc27838"/>
      <w:bookmarkStart w:id="68" w:name="_Toc1049"/>
      <w:bookmarkStart w:id="69" w:name="_Toc26137"/>
      <w:r>
        <w:rPr>
          <w:rFonts w:ascii="仿宋_GB2312" w:eastAsia="仿宋_GB2312" w:cs="仿宋_GB2312" w:hint="eastAsia"/>
          <w:b/>
          <w:bCs w:val="0"/>
          <w:color w:val="000000"/>
        </w:rPr>
        <w:t xml:space="preserve">第二部分 </w:t>
      </w:r>
      <w:r>
        <w:rPr>
          <w:rStyle w:val="1Char"/>
          <w:rFonts w:ascii="仿宋_GB2312" w:eastAsia="仿宋_GB2312" w:cs="仿宋_GB2312" w:hint="eastAsia"/>
          <w:b/>
          <w:bCs w:val="0"/>
          <w:lang w:val="en-US"/>
        </w:rPr>
        <w:t>2024年</w:t>
      </w:r>
      <w:r>
        <w:rPr>
          <w:rStyle w:val="1Char"/>
          <w:rFonts w:ascii="仿宋_GB2312" w:eastAsia="仿宋_GB2312" w:cs="仿宋_GB2312" w:hint="eastAsia"/>
          <w:b/>
          <w:bCs w:val="0"/>
        </w:rPr>
        <w:t>度部门决算情况说明</w:t>
      </w:r>
      <w:bookmarkEnd w:id="63"/>
      <w:bookmarkEnd w:id="64"/>
      <w:bookmarkEnd w:id="65"/>
      <w:bookmarkEnd w:id="66"/>
      <w:bookmarkEnd w:id="67"/>
      <w:bookmarkEnd w:id="68"/>
      <w:bookmarkEnd w:id="69"/>
    </w:p>
    <w:p>
      <w:pPr>
        <w:pStyle w:val="33"/>
        <w:spacing w:line="240" w:lineRule="auto"/>
        <w:outlineLvl w:val="1"/>
        <w:rPr>
          <w:rStyle w:val="2Char"/>
          <w:rFonts w:ascii="仿宋_GB2312" w:eastAsia="仿宋_GB2312" w:cs="仿宋_GB2312" w:hint="eastAsia"/>
          <w:b w:val="0"/>
          <w:lang w:val="en-US" w:eastAsia="zh-CN"/>
        </w:rPr>
      </w:pPr>
      <w:bookmarkStart w:id="70" w:name="_Toc15377205"/>
      <w:bookmarkStart w:id="71" w:name="_Toc30925"/>
      <w:bookmarkStart w:id="72" w:name="_Toc15396603"/>
      <w:bookmarkStart w:id="73" w:name="_Toc6550"/>
      <w:bookmarkStart w:id="74" w:name="_Toc23404"/>
      <w:bookmarkStart w:id="75" w:name="_Toc6930"/>
      <w:bookmarkStart w:id="76" w:name="_Toc5265"/>
      <w:r>
        <w:rPr>
          <w:rStyle w:val="2Char"/>
          <w:rFonts w:ascii="仿宋_GB2312" w:eastAsia="仿宋_GB2312" w:cs="仿宋_GB2312" w:hint="eastAsia"/>
          <w:b w:val="0"/>
          <w:lang w:val="en-US" w:eastAsia="zh-CN"/>
        </w:rPr>
        <w:t>一、收入支出决算总体情况说明</w:t>
      </w:r>
      <w:bookmarkEnd w:id="70"/>
      <w:bookmarkEnd w:id="71"/>
      <w:bookmarkEnd w:id="72"/>
    </w:p>
    <w:p>
      <w:pPr>
        <w:snapToGrid w:val="0"/>
        <w:spacing w:line="520" w:lineRule="exact"/>
        <w:ind w:firstLineChars="200" w:firstLine="632"/>
        <w:rPr>
          <w:rFonts w:ascii="仿宋_GB2312" w:eastAsia="仿宋_GB2312" w:cs="仿宋_GB2312" w:hint="eastAsia"/>
          <w:color w:val="auto"/>
          <w:spacing w:val="-2"/>
          <w:kern w:val="2"/>
          <w:sz w:val="32"/>
          <w:szCs w:val="32"/>
          <w:lang w:val="en-US" w:eastAsia="zh-CN" w:bidi="ar-SA"/>
        </w:rPr>
      </w:pPr>
      <w:bookmarkStart w:id="77" w:name="_Toc15377206"/>
      <w:bookmarkStart w:id="78" w:name="_Toc15396604"/>
      <w:bookmarkStart w:id="79" w:name="_Toc9817"/>
      <w:bookmarkStart w:id="80" w:name="_Toc10892"/>
      <w:bookmarkStart w:id="81" w:name="_Toc22529"/>
      <w:bookmarkEnd w:id="73"/>
      <w:bookmarkEnd w:id="74"/>
      <w:bookmarkEnd w:id="75"/>
      <w:bookmarkEnd w:id="76"/>
      <w:r>
        <w:rPr>
          <w:rFonts w:ascii="仿宋_GB2312" w:eastAsia="仿宋_GB2312" w:cs="仿宋_GB2312" w:hint="eastAsia"/>
          <w:color w:val="auto"/>
          <w:spacing w:val="-2"/>
          <w:kern w:val="2"/>
          <w:sz w:val="32"/>
          <w:szCs w:val="32"/>
          <w:lang w:val="en-US" w:eastAsia="zh-CN" w:bidi="ar-SA"/>
        </w:rPr>
        <w:t>2024年度总收入1049.86万元，较上年收入减少197.13万元，减少15.81%。主要原因是2024年人员经费调整。</w:t>
      </w:r>
    </w:p>
    <w:p>
      <w:pPr>
        <w:snapToGrid w:val="0"/>
        <w:spacing w:line="520" w:lineRule="exact"/>
        <w:ind w:firstLineChars="200" w:firstLine="632"/>
        <w:rPr>
          <w:rStyle w:val="2Char"/>
          <w:rFonts w:ascii="仿宋_GB2312" w:eastAsia="仿宋_GB2312" w:cs="仿宋_GB2312" w:hint="eastAsia"/>
          <w:b w:val="0"/>
          <w:lang w:val="en-US" w:eastAsia="zh-CN"/>
        </w:rPr>
      </w:pPr>
      <w:bookmarkStart w:id="82" w:name="_Toc32710"/>
      <w:r>
        <w:rPr>
          <w:rFonts w:ascii="仿宋_GB2312" w:eastAsia="仿宋_GB2312" w:cs="仿宋_GB2312" w:hint="eastAsia"/>
          <w:color w:val="auto"/>
          <w:spacing w:val="-2"/>
          <w:kern w:val="2"/>
          <w:sz w:val="32"/>
          <w:szCs w:val="32"/>
          <w:lang w:val="en-US" w:eastAsia="zh-CN" w:bidi="ar-SA"/>
        </w:rPr>
        <w:t>2024年度总支出1049.86万元，较上年支出减少197.13万元，减少15.81%。主要原因是2024年人员经费调整。</w:t>
      </w:r>
      <w:bookmarkStart w:id="83" w:name="_Toc25961"/>
      <w:bookmarkStart w:id="84" w:name="_Toc31756"/>
      <w:bookmarkEnd w:id="82"/>
    </w:p>
    <w:p>
      <w:pPr>
        <w:pStyle w:val="16"/>
        <w:rPr>
          <w:rStyle w:val="2Char"/>
          <w:rFonts w:ascii="仿宋_GB2312" w:eastAsia="仿宋_GB2312" w:cs="仿宋_GB2312" w:hint="eastAsia"/>
          <w:b w:val="0"/>
          <w:lang w:val="en-US" w:eastAsia="zh-CN"/>
        </w:rPr>
      </w:pPr>
      <w:r>
        <w:drawing>
          <wp:inline distT="0" distB="0" distL="114300" distR="114300">
            <wp:extent cx="4848225" cy="3076575"/>
            <wp:effectExtent l="0" t="0" r="0" b="0"/>
            <wp:docPr id="1" name="图表 3"/>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16"/>
        <w:ind w:left="0" w:firstLineChars="0" w:firstLine="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Char"/>
          <w:rFonts w:ascii="仿宋_GB2312" w:eastAsia="仿宋_GB2312" w:cs="仿宋_GB2312" w:hint="eastAsia"/>
          <w:b w:val="0"/>
          <w:lang w:val="en-US" w:eastAsia="zh-CN"/>
        </w:rPr>
      </w:pPr>
      <w:r>
        <w:rPr>
          <w:rStyle w:val="2Char"/>
          <w:rFonts w:ascii="仿宋_GB2312" w:eastAsia="仿宋_GB2312" w:cs="仿宋_GB2312" w:hint="eastAsia"/>
          <w:b w:val="0"/>
          <w:lang w:val="en-US" w:eastAsia="zh-CN"/>
        </w:rPr>
        <w:t>二、收入决算情况说明</w:t>
      </w:r>
      <w:bookmarkEnd w:id="77"/>
      <w:bookmarkEnd w:id="78"/>
    </w:p>
    <w:p>
      <w:pPr>
        <w:spacing w:line="600" w:lineRule="exact"/>
        <w:ind w:firstLineChars="200" w:firstLine="640"/>
        <w:outlineLvl w:val="1"/>
        <w:rPr>
          <w:rFonts w:ascii="仿宋_GB2312" w:eastAsia="仿宋_GB2312" w:cs="仿宋_GB2312" w:hint="eastAsia"/>
          <w:color w:val="000000"/>
          <w:sz w:val="32"/>
          <w:szCs w:val="32"/>
          <w:lang w:val="en-US" w:eastAsia="zh-CN"/>
        </w:rPr>
      </w:pPr>
      <w:bookmarkStart w:id="85" w:name="_Toc3536"/>
      <w:bookmarkStart w:id="86" w:name="_Toc21083"/>
      <w:bookmarkStart w:id="87" w:name="_Toc9610"/>
      <w:bookmarkStart w:id="88" w:name="_Toc15377207"/>
      <w:bookmarkStart w:id="89" w:name="_Toc15396605"/>
      <w:bookmarkStart w:id="90" w:name="_Toc5227"/>
      <w:bookmarkStart w:id="91" w:name="_Toc25926"/>
      <w:bookmarkStart w:id="92" w:name="_Toc30988"/>
      <w:bookmarkEnd w:id="79"/>
      <w:bookmarkEnd w:id="80"/>
      <w:bookmarkEnd w:id="81"/>
      <w:bookmarkEnd w:id="83"/>
      <w:bookmarkEnd w:id="84"/>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lang w:val="en-US" w:eastAsia="zh-CN"/>
        </w:rPr>
        <w:t>总</w:t>
      </w:r>
      <w:r>
        <w:rPr>
          <w:rFonts w:ascii="仿宋_GB2312" w:eastAsia="仿宋_GB2312" w:cs="仿宋_GB2312" w:hint="eastAsia"/>
          <w:color w:val="000000"/>
          <w:sz w:val="32"/>
          <w:szCs w:val="32"/>
        </w:rPr>
        <w:t>收入</w:t>
      </w:r>
      <w:r>
        <w:rPr>
          <w:rFonts w:ascii="仿宋_GB2312" w:eastAsia="仿宋_GB2312" w:cs="仿宋_GB2312" w:hint="eastAsia"/>
          <w:color w:val="000000"/>
          <w:sz w:val="32"/>
          <w:szCs w:val="32"/>
          <w:lang w:val="en-US" w:eastAsia="zh-CN"/>
        </w:rPr>
        <w:t>1012.54万元</w:t>
      </w:r>
      <w:r>
        <w:rPr>
          <w:rFonts w:ascii="仿宋_GB2312" w:eastAsia="仿宋_GB2312" w:cs="仿宋_GB2312" w:hint="eastAsia"/>
          <w:color w:val="000000"/>
          <w:sz w:val="32"/>
          <w:szCs w:val="32"/>
        </w:rPr>
        <w:t>，其中：一般公共预算财政拨款收入</w:t>
      </w:r>
      <w:r>
        <w:rPr>
          <w:rFonts w:ascii="仿宋_GB2312" w:eastAsia="仿宋_GB2312" w:cs="仿宋_GB2312" w:hint="eastAsia"/>
          <w:color w:val="000000"/>
          <w:sz w:val="32"/>
          <w:szCs w:val="32"/>
          <w:lang w:val="en-US" w:eastAsia="zh-CN"/>
        </w:rPr>
        <w:t>1246.99万元</w:t>
      </w:r>
      <w:r>
        <w:rPr>
          <w:rFonts w:ascii="仿宋_GB2312" w:eastAsia="仿宋_GB2312" w:cs="仿宋_GB2312" w:hint="eastAsia"/>
          <w:color w:val="000000"/>
          <w:sz w:val="32"/>
          <w:szCs w:val="32"/>
        </w:rPr>
        <w:t>，占</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%；政府性基金预算财政拨款收入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%；国有资本经营预算财政拨款收入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%；事业收入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%；经营收入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%；附属单位上缴收入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%；其他收入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w:t>
      </w:r>
      <w:bookmarkEnd w:id="85"/>
      <w:bookmarkEnd w:id="86"/>
      <w:bookmarkEnd w:id="87"/>
    </w:p>
    <w:p>
      <w:pPr>
        <w:spacing w:line="600" w:lineRule="exact"/>
        <w:ind w:firstLineChars="200" w:firstLine="640"/>
        <w:outlineLvl w:val="1"/>
        <w:rPr>
          <w:rStyle w:val="2Char"/>
          <w:rFonts w:ascii="仿宋_GB2312" w:eastAsia="仿宋_GB2312" w:cs="仿宋_GB2312" w:hint="eastAsia"/>
          <w:b w:val="0"/>
          <w:lang w:val="en-US" w:eastAsia="zh-CN"/>
        </w:rPr>
      </w:pPr>
      <w:bookmarkStart w:id="93" w:name="_Toc15579"/>
      <w:bookmarkStart w:id="94" w:name="_Toc27544"/>
    </w:p>
    <w:p>
      <w:pPr>
        <w:spacing w:line="600" w:lineRule="exact"/>
        <w:ind w:firstLineChars="200" w:firstLine="640"/>
        <w:outlineLvl w:val="1"/>
        <w:rPr>
          <w:rStyle w:val="2Char"/>
          <w:rFonts w:ascii="仿宋_GB2312" w:eastAsia="仿宋_GB2312" w:cs="仿宋_GB2312" w:hint="eastAsia"/>
          <w:b w:val="0"/>
          <w:lang w:val="en-US" w:eastAsia="zh-CN"/>
        </w:rPr>
      </w:pPr>
      <w:bookmarkStart w:id="95" w:name="_Toc25316"/>
      <w:bookmarkStart w:id="96" w:name="_Toc7583"/>
      <w:bookmarkStart w:id="97" w:name="_Toc19987"/>
      <w:bookmarkEnd w:id="93"/>
      <w:bookmarkEnd w:id="94"/>
    </w:p>
    <w:p>
      <w:pPr>
        <w:spacing w:line="600" w:lineRule="exact"/>
        <w:ind w:firstLineChars="200" w:firstLine="420"/>
        <w:outlineLvl w:val="1"/>
        <w:rPr>
          <w:rStyle w:val="2Char"/>
          <w:rFonts w:ascii="仿宋_GB2312" w:eastAsia="仿宋_GB2312" w:cs="仿宋_GB2312" w:hint="eastAsia"/>
          <w:b w:val="0"/>
          <w:lang w:val="en-US" w:eastAsia="zh-CN"/>
        </w:rPr>
      </w:pPr>
      <w:bookmarkEnd w:id="95"/>
      <w:bookmarkEnd w:id="96"/>
      <w:bookmarkEnd w:id="97"/>
      <w:r>
        <w:rPr>
          <w:rFonts w:ascii="仿宋_GB2312" w:eastAsia="仿宋_GB2312" w:cs="仿宋_GB2312" w:hint="eastAsia"/>
        </w:rPr>
        <w:drawing>
          <wp:anchor distT="0" distB="0" distL="114300" distR="114300" simplePos="0" relativeHeight="22" behindDoc="0" locked="0" layoutInCell="1" hidden="0" allowOverlap="1">
            <wp:simplePos x="0" y="0"/>
            <wp:positionH relativeFrom="column">
              <wp:posOffset>166370</wp:posOffset>
            </wp:positionH>
            <wp:positionV relativeFrom="paragraph">
              <wp:posOffset>-167639</wp:posOffset>
            </wp:positionV>
            <wp:extent cx="4947920" cy="2863215"/>
            <wp:effectExtent l="0" t="0" r="0" b="0"/>
            <wp:wrapNone/>
            <wp:docPr id="2" name="图片 8"/>
            <wp:cNvGraphicFramePr>
              <a:graphicFrameLocks noChangeAspect="1"/>
            </wp:cNvGraphicFramePr>
            <a:graphic>
              <a:graphicData uri="http://schemas.openxmlformats.org/drawingml/2006/picture">
                <pic:pic>
                  <pic:nvPicPr>
                    <pic:cNvPr id="4" name="图片 8 4"/>
                    <pic:cNvPicPr/>
                  </pic:nvPicPr>
                  <pic:blipFill>
                    <a:blip r:embed="rId5"/>
                    <a:stretch>
                      <a:fillRect/>
                    </a:stretch>
                  </pic:blipFill>
                  <pic:spPr>
                    <a:xfrm rot="0">
                      <a:off x="0" y="0"/>
                      <a:ext cx="4947920" cy="2863215"/>
                    </a:xfrm>
                    <a:prstGeom prst="rect"/>
                    <a:noFill/>
                    <a:ln w="9525" cmpd="sng" cap="flat">
                      <a:noFill/>
                      <a:prstDash val="solid"/>
                      <a:round/>
                    </a:ln>
                  </pic:spPr>
                </pic:pic>
              </a:graphicData>
            </a:graphic>
          </wp:anchor>
        </w:drawing>
      </w: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outlineLvl w:val="1"/>
        <w:rPr>
          <w:rStyle w:val="2Char"/>
          <w:rFonts w:ascii="仿宋_GB2312" w:eastAsia="仿宋_GB2312" w:cs="仿宋_GB2312" w:hint="eastAsia"/>
          <w:b w:val="0"/>
          <w:lang w:val="en-US" w:eastAsia="zh-CN"/>
        </w:rPr>
      </w:pPr>
    </w:p>
    <w:p>
      <w:pPr>
        <w:pStyle w:val="33"/>
        <w:spacing w:line="240" w:lineRule="auto"/>
        <w:outlineLvl w:val="1"/>
        <w:rPr>
          <w:rStyle w:val="2Char"/>
          <w:rFonts w:ascii="仿宋_GB2312" w:eastAsia="仿宋_GB2312" w:cs="仿宋_GB2312" w:hint="eastAsia"/>
          <w:b w:val="0"/>
          <w:lang w:val="en-US" w:eastAsia="zh-CN"/>
        </w:rPr>
      </w:pPr>
      <w:bookmarkStart w:id="98" w:name="_Toc24478"/>
      <w:bookmarkStart w:id="99" w:name="_Toc20190"/>
      <w:r>
        <w:rPr>
          <w:rStyle w:val="2Char"/>
          <w:rFonts w:ascii="仿宋_GB2312" w:eastAsia="仿宋_GB2312" w:cs="仿宋_GB2312" w:hint="eastAsia"/>
          <w:b w:val="0"/>
          <w:lang w:val="en-US" w:eastAsia="zh-CN"/>
        </w:rPr>
        <w:t>三、支出决算情况说明</w:t>
      </w:r>
      <w:bookmarkEnd w:id="88"/>
      <w:bookmarkEnd w:id="89"/>
      <w:bookmarkEnd w:id="98"/>
    </w:p>
    <w:p>
      <w:pPr>
        <w:spacing w:line="600" w:lineRule="exact"/>
        <w:ind w:firstLineChars="200" w:firstLine="640"/>
        <w:outlineLvl w:val="1"/>
        <w:rPr>
          <w:rFonts w:ascii="仿宋_GB2312" w:eastAsia="仿宋_GB2312" w:cs="仿宋_GB2312" w:hint="eastAsia"/>
          <w:color w:val="FF0000"/>
          <w:sz w:val="32"/>
          <w:szCs w:val="32"/>
          <w:lang w:eastAsia="zh-CN"/>
        </w:rPr>
      </w:pPr>
      <w:bookmarkEnd w:id="90"/>
      <w:bookmarkEnd w:id="91"/>
      <w:bookmarkEnd w:id="92"/>
      <w:bookmarkEnd w:id="99"/>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rPr>
        <w:t>本年总支出</w:t>
      </w:r>
      <w:r>
        <w:rPr>
          <w:rFonts w:ascii="仿宋_GB2312" w:eastAsia="仿宋_GB2312" w:cs="仿宋_GB2312" w:hint="eastAsia"/>
          <w:color w:val="000000"/>
          <w:sz w:val="32"/>
          <w:szCs w:val="32"/>
          <w:lang w:val="en-US" w:eastAsia="zh-CN"/>
        </w:rPr>
        <w:t>1049.86万元</w:t>
      </w:r>
      <w:r>
        <w:rPr>
          <w:rFonts w:ascii="仿宋_GB2312" w:eastAsia="仿宋_GB2312" w:cs="仿宋_GB2312" w:hint="eastAsia"/>
          <w:color w:val="000000"/>
          <w:sz w:val="32"/>
          <w:szCs w:val="32"/>
        </w:rPr>
        <w:t>，其中：基本支出</w:t>
      </w:r>
      <w:r>
        <w:rPr>
          <w:rFonts w:ascii="仿宋_GB2312" w:eastAsia="仿宋_GB2312" w:cs="仿宋_GB2312" w:hint="eastAsia"/>
          <w:color w:val="000000"/>
          <w:sz w:val="32"/>
          <w:szCs w:val="32"/>
          <w:lang w:val="en-US" w:eastAsia="zh-CN"/>
        </w:rPr>
        <w:t>771.81</w:t>
      </w:r>
      <w:r>
        <w:rPr>
          <w:rFonts w:ascii="仿宋_GB2312" w:eastAsia="仿宋_GB2312" w:cs="仿宋" w:hint="eastAsia"/>
          <w:color w:val="000000"/>
          <w:sz w:val="32"/>
          <w:szCs w:val="32"/>
        </w:rPr>
        <w:t>万元</w:t>
      </w:r>
      <w:r>
        <w:rPr>
          <w:rFonts w:ascii="仿宋_GB2312" w:eastAsia="仿宋_GB2312" w:cs="仿宋_GB2312" w:hint="eastAsia"/>
          <w:color w:val="000000"/>
          <w:sz w:val="32"/>
          <w:szCs w:val="32"/>
        </w:rPr>
        <w:t>，占</w:t>
      </w:r>
      <w:r>
        <w:rPr>
          <w:rFonts w:ascii="仿宋_GB2312" w:eastAsia="仿宋_GB2312" w:cs="仿宋_GB2312" w:hint="eastAsia"/>
          <w:color w:val="000000"/>
          <w:sz w:val="32"/>
          <w:szCs w:val="32"/>
          <w:lang w:val="en-US" w:eastAsia="zh-CN"/>
        </w:rPr>
        <w:t>73.52</w:t>
      </w:r>
      <w:r>
        <w:rPr>
          <w:rFonts w:ascii="仿宋_GB2312" w:eastAsia="仿宋_GB2312" w:cs="仿宋_GB2312" w:hint="eastAsia"/>
          <w:color w:val="000000"/>
          <w:sz w:val="32"/>
          <w:szCs w:val="32"/>
        </w:rPr>
        <w:t>%；项目支出</w:t>
      </w:r>
      <w:r>
        <w:rPr>
          <w:rFonts w:ascii="仿宋_GB2312" w:eastAsia="仿宋_GB2312" w:cs="仿宋_GB2312" w:hint="eastAsia"/>
          <w:color w:val="000000"/>
          <w:sz w:val="32"/>
          <w:szCs w:val="32"/>
          <w:lang w:val="en-US" w:eastAsia="zh-CN"/>
        </w:rPr>
        <w:t>278.05</w:t>
      </w:r>
      <w:r>
        <w:rPr>
          <w:rFonts w:ascii="仿宋_GB2312" w:eastAsia="仿宋_GB2312" w:cs="仿宋" w:hint="eastAsia"/>
          <w:sz w:val="32"/>
          <w:szCs w:val="32"/>
        </w:rPr>
        <w:t>万元</w:t>
      </w:r>
      <w:r>
        <w:rPr>
          <w:rFonts w:ascii="仿宋_GB2312" w:eastAsia="仿宋_GB2312" w:cs="仿宋_GB2312" w:hint="eastAsia"/>
          <w:color w:val="000000"/>
          <w:sz w:val="32"/>
          <w:szCs w:val="32"/>
        </w:rPr>
        <w:t>，占</w:t>
      </w:r>
      <w:r>
        <w:rPr>
          <w:rFonts w:ascii="仿宋_GB2312" w:eastAsia="仿宋_GB2312" w:cs="仿宋_GB2312" w:hint="eastAsia"/>
          <w:color w:val="000000"/>
          <w:sz w:val="32"/>
          <w:szCs w:val="32"/>
          <w:lang w:val="en-US" w:eastAsia="zh-CN"/>
        </w:rPr>
        <w:t>26.48</w:t>
      </w:r>
      <w:r>
        <w:rPr>
          <w:rFonts w:ascii="仿宋_GB2312" w:eastAsia="仿宋_GB2312" w:cs="仿宋_GB2312" w:hint="eastAsia"/>
          <w:color w:val="000000"/>
          <w:sz w:val="32"/>
          <w:szCs w:val="32"/>
        </w:rPr>
        <w:t>%；上缴上级支出0万元，占0%；经营支出0万元，占0%；对附属单位补助支出0万元，占0%。</w:t>
      </w:r>
    </w:p>
    <w:p>
      <w:pPr>
        <w:spacing w:line="600" w:lineRule="exact"/>
        <w:ind w:firstLineChars="200" w:firstLine="420"/>
        <w:rPr>
          <w:rFonts w:ascii="仿宋_GB2312" w:eastAsia="仿宋_GB2312" w:cs="仿宋_GB2312" w:hint="eastAsia"/>
          <w:color w:val="FF0000"/>
          <w:sz w:val="32"/>
          <w:szCs w:val="32"/>
          <w:lang w:eastAsia="zh-CN"/>
        </w:rPr>
      </w:pPr>
      <w:r>
        <w:drawing>
          <wp:anchor distT="0" distB="0" distL="114300" distR="114300" simplePos="0" relativeHeight="26" behindDoc="0" locked="0" layoutInCell="1" hidden="0" allowOverlap="1">
            <wp:simplePos x="0" y="0"/>
            <wp:positionH relativeFrom="column">
              <wp:posOffset>90170</wp:posOffset>
            </wp:positionH>
            <wp:positionV relativeFrom="paragraph">
              <wp:posOffset>156845</wp:posOffset>
            </wp:positionV>
            <wp:extent cx="4848225" cy="2743200"/>
            <wp:effectExtent l="0" t="0" r="0" b="0"/>
            <wp:wrapTight wrapText="bothSides">
              <wp:wrapPolygon>
                <wp:start x="-19" y="-5"/>
                <wp:lineTo x="-19" y="21593"/>
                <wp:lineTo x="21579" y="21593"/>
                <wp:lineTo x="21579" y="-5"/>
                <wp:lineTo x="-19" y="-5"/>
              </wp:wrapPolygon>
            </wp:wrapTight>
            <wp:docPr id="5" name="图表 8"/>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outlineLvl w:val="1"/>
        <w:rPr>
          <w:rStyle w:val="2Char"/>
          <w:rFonts w:ascii="仿宋_GB2312" w:eastAsia="仿宋_GB2312" w:cs="仿宋_GB2312" w:hint="eastAsia"/>
          <w:b w:val="0"/>
        </w:rPr>
      </w:pPr>
      <w:bookmarkStart w:id="100" w:name="_Toc15377208"/>
      <w:bookmarkStart w:id="101" w:name="_Toc15396606"/>
      <w:bookmarkStart w:id="102" w:name="_Toc21662"/>
      <w:bookmarkStart w:id="103" w:name="_Toc5847"/>
      <w:bookmarkStart w:id="104" w:name="_Toc10840"/>
      <w:bookmarkStart w:id="105" w:name="_Toc26287"/>
    </w:p>
    <w:p>
      <w:pPr>
        <w:spacing w:line="600" w:lineRule="exact"/>
        <w:ind w:firstLineChars="200" w:firstLine="640"/>
        <w:outlineLvl w:val="1"/>
        <w:rPr>
          <w:rStyle w:val="2Char"/>
          <w:rFonts w:ascii="仿宋_GB2312" w:eastAsia="仿宋_GB2312" w:cs="仿宋_GB2312" w:hint="eastAsia"/>
          <w:b w:val="0"/>
        </w:rPr>
      </w:pPr>
    </w:p>
    <w:p>
      <w:pPr>
        <w:pStyle w:val="33"/>
        <w:spacing w:line="240" w:lineRule="auto"/>
        <w:outlineLvl w:val="1"/>
        <w:rPr>
          <w:rStyle w:val="2Char"/>
          <w:rFonts w:ascii="仿宋_GB2312" w:eastAsia="仿宋_GB2312" w:cs="仿宋_GB2312" w:hint="eastAsia"/>
          <w:b w:val="0"/>
          <w:lang w:val="en-US" w:eastAsia="zh-CN"/>
        </w:rPr>
      </w:pPr>
      <w:bookmarkStart w:id="106" w:name="_Toc101"/>
      <w:r>
        <w:rPr>
          <w:rStyle w:val="2Char"/>
          <w:rFonts w:ascii="仿宋_GB2312" w:eastAsia="仿宋_GB2312" w:cs="仿宋_GB2312" w:hint="eastAsia"/>
          <w:b w:val="0"/>
          <w:lang w:val="en-US" w:eastAsia="zh-CN"/>
        </w:rPr>
        <w:t>四、财政拨款收入支出决算总体情况说明</w:t>
      </w:r>
      <w:bookmarkEnd w:id="100"/>
      <w:bookmarkEnd w:id="101"/>
      <w:bookmarkEnd w:id="102"/>
    </w:p>
    <w:p>
      <w:pPr>
        <w:snapToGrid w:val="0"/>
        <w:spacing w:line="520" w:lineRule="exact"/>
        <w:ind w:firstLineChars="200" w:firstLine="632"/>
        <w:rPr>
          <w:rFonts w:ascii="仿宋_GB2312" w:eastAsia="仿宋_GB2312" w:cs="仿宋_GB2312" w:hint="eastAsia"/>
          <w:color w:val="auto"/>
          <w:spacing w:val="-2"/>
          <w:kern w:val="2"/>
          <w:sz w:val="32"/>
          <w:szCs w:val="32"/>
          <w:lang w:val="en-US" w:eastAsia="zh-CN" w:bidi="ar-SA"/>
        </w:rPr>
      </w:pPr>
      <w:bookmarkEnd w:id="103"/>
      <w:bookmarkEnd w:id="104"/>
      <w:bookmarkEnd w:id="105"/>
      <w:bookmarkEnd w:id="106"/>
      <w:r>
        <w:rPr>
          <w:rFonts w:ascii="仿宋_GB2312" w:eastAsia="仿宋_GB2312" w:cs="仿宋_GB2312" w:hint="eastAsia"/>
          <w:color w:val="auto"/>
          <w:spacing w:val="-2"/>
          <w:kern w:val="2"/>
          <w:sz w:val="32"/>
          <w:szCs w:val="32"/>
          <w:lang w:val="en-US" w:eastAsia="zh-CN" w:bidi="ar-SA"/>
        </w:rPr>
        <w:t>2024年度总收入1049.86万元，较上年收入减少197.13万元，减少15.81%。主要原因是2024年人员减少经费调整。</w:t>
      </w:r>
    </w:p>
    <w:p>
      <w:pPr>
        <w:snapToGrid w:val="0"/>
        <w:spacing w:line="520" w:lineRule="exact"/>
        <w:ind w:firstLineChars="200" w:firstLine="640"/>
        <w:rPr>
          <w:rStyle w:val="2Char"/>
          <w:rFonts w:ascii="仿宋_GB2312" w:eastAsia="仿宋_GB2312" w:cs="仿宋_GB2312" w:hint="eastAsia"/>
          <w:b w:val="0"/>
        </w:rPr>
      </w:pPr>
      <w:r>
        <w:rPr>
          <w:rFonts w:ascii="仿宋_GB2312" w:eastAsia="仿宋_GB2312" w:cs="仿宋_GB2312" w:hint="eastAsia"/>
          <w:color w:val="000000"/>
          <w:sz w:val="32"/>
          <w:szCs w:val="32"/>
          <w:lang w:val="en-US" w:eastAsia="zh-CN"/>
        </w:rPr>
        <w:t>2024年财政拨款支出</w:t>
      </w:r>
      <w:r>
        <w:rPr>
          <w:rFonts w:ascii="仿宋_GB2312" w:eastAsia="仿宋_GB2312" w:cs="仿宋_GB2312" w:hint="eastAsia"/>
          <w:color w:val="auto"/>
          <w:spacing w:val="-2"/>
          <w:kern w:val="2"/>
          <w:sz w:val="32"/>
          <w:szCs w:val="32"/>
          <w:lang w:val="en-US" w:eastAsia="zh-CN" w:bidi="ar-SA"/>
        </w:rPr>
        <w:t>1049.86万元，较上年支出减少197.13万元，减少15.81%。主要原因是2024年人员减少经费调整。</w:t>
      </w:r>
      <w:bookmarkStart w:id="107" w:name="_Toc15396607"/>
      <w:bookmarkStart w:id="108" w:name="_Toc15377209"/>
      <w:bookmarkStart w:id="109" w:name="_Toc29867"/>
      <w:bookmarkStart w:id="110" w:name="_Toc29357"/>
      <w:bookmarkStart w:id="111" w:name="_Toc14980"/>
    </w:p>
    <w:p>
      <w:pPr>
        <w:spacing w:line="600" w:lineRule="exact"/>
        <w:ind w:firstLineChars="200" w:firstLine="420"/>
        <w:rPr>
          <w:rStyle w:val="2Char"/>
          <w:rFonts w:ascii="仿宋_GB2312" w:eastAsia="仿宋_GB2312" w:cs="仿宋_GB2312" w:hint="eastAsia"/>
          <w:b w:val="0"/>
        </w:rPr>
      </w:pPr>
      <w:bookmarkStart w:id="112" w:name="_Toc25440"/>
      <w:bookmarkStart w:id="113" w:name="_Toc7011"/>
      <w:bookmarkStart w:id="114" w:name="_Toc27654"/>
      <w:r>
        <w:drawing>
          <wp:anchor distT="0" distB="0" distL="114300" distR="114300" simplePos="0" relativeHeight="28" behindDoc="0" locked="0" layoutInCell="1" hidden="0" allowOverlap="1">
            <wp:simplePos x="0" y="0"/>
            <wp:positionH relativeFrom="column">
              <wp:posOffset>213994</wp:posOffset>
            </wp:positionH>
            <wp:positionV relativeFrom="paragraph">
              <wp:posOffset>99695</wp:posOffset>
            </wp:positionV>
            <wp:extent cx="4572000" cy="2762250"/>
            <wp:effectExtent l="0" t="0" r="0" b="0"/>
            <wp:wrapTight wrapText="bothSides">
              <wp:wrapPolygon>
                <wp:start x="-21" y="-34"/>
                <wp:lineTo x="-21" y="21564"/>
                <wp:lineTo x="21578" y="21564"/>
                <wp:lineTo x="21578" y="-34"/>
                <wp:lineTo x="-21" y="-34"/>
              </wp:wrapPolygon>
            </wp:wrapTight>
            <wp:docPr id="6" name="图表 9"/>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rPr>
          <w:rStyle w:val="2Char"/>
          <w:rFonts w:ascii="仿宋_GB2312" w:eastAsia="仿宋_GB2312" w:cs="仿宋_GB2312" w:hint="eastAsia"/>
          <w:b w:val="0"/>
        </w:rPr>
      </w:pPr>
      <w:bookmarkEnd w:id="112"/>
      <w:bookmarkEnd w:id="113"/>
      <w:bookmarkEnd w:id="114"/>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bookmarkStart w:id="115" w:name="_Toc1488"/>
    </w:p>
    <w:p>
      <w:pPr>
        <w:spacing w:line="600" w:lineRule="exact"/>
        <w:ind w:firstLineChars="200" w:firstLine="640"/>
        <w:rPr>
          <w:rStyle w:val="2Char"/>
          <w:rFonts w:ascii="仿宋_GB2312" w:eastAsia="仿宋_GB2312" w:cs="仿宋_GB2312" w:hint="eastAsia"/>
          <w:b w:val="0"/>
        </w:rPr>
      </w:pPr>
    </w:p>
    <w:p>
      <w:pPr>
        <w:spacing w:line="600" w:lineRule="exact"/>
        <w:rPr>
          <w:rStyle w:val="2Char"/>
          <w:rFonts w:ascii="仿宋_GB2312" w:eastAsia="仿宋_GB2312" w:cs="仿宋_GB2312" w:hint="eastAsia"/>
          <w:b w:val="0"/>
          <w:lang w:eastAsia="zh-CN"/>
        </w:rPr>
      </w:pPr>
      <w:r>
        <w:rPr>
          <w:rStyle w:val="2Char"/>
          <w:rFonts w:ascii="仿宋_GB2312" w:eastAsia="仿宋_GB2312" w:cs="仿宋_GB2312" w:hint="eastAsia"/>
          <w:b w:val="0"/>
          <w:lang w:val="en-US"/>
        </w:rPr>
        <w:t xml:space="preserve">  </w:t>
      </w:r>
      <w:r>
        <w:rPr>
          <w:rFonts w:ascii="黑体" w:eastAsia="黑体" w:cs="Times New Roman" w:hint="eastAsia"/>
          <w:b w:val="0"/>
          <w:bCs/>
          <w:color w:val="000000"/>
          <w:kern w:val="2"/>
          <w:sz w:val="32"/>
          <w:szCs w:val="32"/>
          <w:lang w:val="en-US" w:eastAsia="zh-CN" w:bidi="ar-SA"/>
        </w:rPr>
        <w:t xml:space="preserve"> </w:t>
      </w:r>
      <w:bookmarkStart w:id="116" w:name="_Toc3054"/>
      <w:r>
        <w:rPr>
          <w:rStyle w:val="2Char"/>
          <w:rFonts w:ascii="仿宋_GB2312" w:eastAsia="仿宋_GB2312" w:cs="仿宋_GB2312" w:hint="eastAsia"/>
          <w:b w:val="0"/>
          <w:lang w:val="en-US" w:eastAsia="zh-CN"/>
        </w:rPr>
        <w:t xml:space="preserve"> 五、一般公共预算财政拨款支出决算情况说明</w:t>
      </w:r>
      <w:bookmarkEnd w:id="107"/>
      <w:bookmarkEnd w:id="108"/>
    </w:p>
    <w:p>
      <w:pPr>
        <w:spacing w:line="600" w:lineRule="exact"/>
        <w:ind w:firstLineChars="200" w:firstLine="640"/>
        <w:outlineLvl w:val="2"/>
        <w:rPr>
          <w:rFonts w:ascii="仿宋_GB2312" w:eastAsia="仿宋_GB2312" w:cs="仿宋_GB2312" w:hint="eastAsia"/>
          <w:b/>
          <w:color w:val="000000"/>
          <w:sz w:val="32"/>
          <w:szCs w:val="32"/>
        </w:rPr>
      </w:pPr>
      <w:bookmarkStart w:id="117" w:name="_Toc15377210"/>
      <w:bookmarkStart w:id="118" w:name="_Toc27391"/>
      <w:bookmarkEnd w:id="109"/>
      <w:bookmarkEnd w:id="110"/>
      <w:bookmarkEnd w:id="111"/>
      <w:bookmarkEnd w:id="115"/>
      <w:bookmarkEnd w:id="116"/>
      <w:r>
        <w:rPr>
          <w:rFonts w:ascii="仿宋_GB2312" w:eastAsia="仿宋_GB2312" w:cs="仿宋_GB2312" w:hint="eastAsia"/>
          <w:b/>
          <w:color w:val="000000"/>
          <w:sz w:val="32"/>
          <w:szCs w:val="32"/>
        </w:rPr>
        <w:t>（一）一般公共预算财政拨款支出决算总体情况</w:t>
      </w:r>
      <w:bookmarkEnd w:id="117"/>
      <w:bookmarkEnd w:id="118"/>
    </w:p>
    <w:p>
      <w:pPr>
        <w:snapToGrid w:val="0"/>
        <w:spacing w:line="520" w:lineRule="exact"/>
        <w:ind w:firstLineChars="200" w:firstLine="420"/>
        <w:rPr>
          <w:rFonts w:ascii="仿宋_GB2312" w:eastAsia="仿宋_GB2312" w:cs="仿宋_GB2312" w:hint="eastAsia"/>
          <w:color w:val="auto"/>
          <w:spacing w:val="-2"/>
          <w:kern w:val="2"/>
          <w:sz w:val="32"/>
          <w:szCs w:val="32"/>
          <w:lang w:val="en-US" w:eastAsia="zh-CN" w:bidi="ar-SA"/>
        </w:rPr>
      </w:pPr>
      <w:r>
        <w:drawing>
          <wp:anchor distT="0" distB="0" distL="114300" distR="114300" simplePos="0" relativeHeight="30" behindDoc="0" locked="0" layoutInCell="1" hidden="0" allowOverlap="1">
            <wp:simplePos x="0" y="0"/>
            <wp:positionH relativeFrom="column">
              <wp:posOffset>423545</wp:posOffset>
            </wp:positionH>
            <wp:positionV relativeFrom="paragraph">
              <wp:posOffset>1173480</wp:posOffset>
            </wp:positionV>
            <wp:extent cx="4572000" cy="2752725"/>
            <wp:effectExtent l="0" t="0" r="0" b="0"/>
            <wp:wrapTight wrapText="bothSides">
              <wp:wrapPolygon>
                <wp:start x="-21" y="-15"/>
                <wp:lineTo x="-21" y="21583"/>
                <wp:lineTo x="21578" y="21583"/>
                <wp:lineTo x="21578" y="-15"/>
                <wp:lineTo x="-21" y="-15"/>
              </wp:wrapPolygon>
            </wp:wrapTight>
            <wp:docPr id="7" name="图表 11"/>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lang w:eastAsia="zh-CN"/>
        </w:rPr>
        <w:t>年</w:t>
      </w:r>
      <w:r>
        <w:rPr>
          <w:rFonts w:ascii="仿宋_GB2312" w:eastAsia="仿宋_GB2312" w:cs="仿宋_GB2312" w:hint="eastAsia"/>
          <w:spacing w:val="-2"/>
          <w:kern w:val="2"/>
          <w:sz w:val="32"/>
          <w:szCs w:val="32"/>
          <w:lang w:val="en-US" w:eastAsia="zh-CN" w:bidi="ar-SA"/>
        </w:rPr>
        <w:t>一般公共预算财政拨款支出1049.86</w:t>
      </w:r>
      <w:r>
        <w:rPr>
          <w:rFonts w:ascii="仿宋_GB2312" w:eastAsia="仿宋_GB2312" w:cs="仿宋_GB2312" w:hint="eastAsia"/>
          <w:color w:val="auto"/>
          <w:spacing w:val="-2"/>
          <w:kern w:val="2"/>
          <w:sz w:val="32"/>
          <w:szCs w:val="32"/>
          <w:lang w:val="en-US" w:eastAsia="zh-CN" w:bidi="ar-SA"/>
        </w:rPr>
        <w:t>万元</w:t>
      </w:r>
      <w:r>
        <w:rPr>
          <w:rFonts w:ascii="仿宋_GB2312" w:eastAsia="仿宋_GB2312" w:cs="仿宋_GB2312" w:hint="eastAsia"/>
          <w:spacing w:val="-2"/>
          <w:kern w:val="2"/>
          <w:sz w:val="32"/>
          <w:szCs w:val="32"/>
          <w:lang w:val="en-US" w:eastAsia="zh-CN" w:bidi="ar-SA"/>
        </w:rPr>
        <w:t>，</w:t>
      </w:r>
      <w:r>
        <w:rPr>
          <w:rFonts w:ascii="仿宋_GB2312" w:eastAsia="仿宋_GB2312" w:cs="仿宋_GB2312" w:hint="eastAsia"/>
          <w:color w:val="000000"/>
          <w:sz w:val="32"/>
          <w:szCs w:val="32"/>
        </w:rPr>
        <w:t>占本年</w:t>
      </w:r>
      <w:r>
        <w:rPr>
          <w:rFonts w:ascii="仿宋_GB2312" w:eastAsia="仿宋_GB2312" w:cs="仿宋_GB2312" w:hint="eastAsia"/>
          <w:color w:val="000000"/>
          <w:sz w:val="32"/>
          <w:szCs w:val="32"/>
          <w:lang w:val="en-US" w:eastAsia="zh-CN"/>
        </w:rPr>
        <w:t>总</w:t>
      </w:r>
      <w:r>
        <w:rPr>
          <w:rFonts w:ascii="仿宋_GB2312" w:eastAsia="仿宋_GB2312" w:cs="仿宋_GB2312" w:hint="eastAsia"/>
          <w:color w:val="000000"/>
          <w:sz w:val="32"/>
          <w:szCs w:val="32"/>
        </w:rPr>
        <w:t>支出</w:t>
      </w:r>
      <w:r>
        <w:rPr>
          <w:rFonts w:ascii="仿宋_GB2312" w:eastAsia="仿宋_GB2312" w:cs="仿宋_GB2312" w:hint="eastAsia"/>
          <w:color w:val="000000"/>
          <w:sz w:val="32"/>
          <w:szCs w:val="32"/>
          <w:lang w:val="en-US" w:eastAsia="zh-CN"/>
        </w:rPr>
        <w:t>的100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与</w:t>
      </w:r>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3</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rPr>
        <w:t>相比，</w:t>
      </w:r>
      <w:r>
        <w:rPr>
          <w:rFonts w:ascii="仿宋_GB2312" w:eastAsia="仿宋_GB2312" w:cs="仿宋_GB2312" w:hint="eastAsia"/>
          <w:color w:val="auto"/>
          <w:spacing w:val="-2"/>
          <w:kern w:val="2"/>
          <w:sz w:val="32"/>
          <w:szCs w:val="32"/>
          <w:lang w:val="en-US" w:eastAsia="zh-CN" w:bidi="ar-SA"/>
        </w:rPr>
        <w:t>较上年支出减少197.13万元，减少15.81%。主要原因是2024年人员经费调整。</w:t>
      </w:r>
    </w:p>
    <w:p>
      <w:pPr>
        <w:snapToGrid w:val="0"/>
        <w:spacing w:line="520" w:lineRule="exact"/>
        <w:ind w:firstLineChars="200" w:firstLine="640"/>
        <w:rPr>
          <w:rFonts w:ascii="仿宋_GB2312" w:eastAsia="仿宋_GB2312" w:cs="仿宋_GB2312" w:hint="eastAsia"/>
          <w:b/>
          <w:color w:val="auto"/>
          <w:sz w:val="32"/>
          <w:szCs w:val="32"/>
        </w:rPr>
      </w:pPr>
      <w:bookmarkStart w:id="119" w:name="_Toc15377211"/>
      <w:r>
        <w:rPr>
          <w:rFonts w:ascii="仿宋_GB2312" w:eastAsia="仿宋_GB2312" w:cs="仿宋_GB2312" w:hint="eastAsia"/>
          <w:b/>
          <w:color w:val="auto"/>
          <w:sz w:val="32"/>
          <w:szCs w:val="32"/>
        </w:rPr>
        <w:t>（二）一般公共预算财政拨款支出决算结构情况</w:t>
      </w:r>
      <w:bookmarkEnd w:id="119"/>
    </w:p>
    <w:p>
      <w:pPr>
        <w:spacing w:line="600" w:lineRule="exact"/>
        <w:ind w:firstLine="640"/>
        <w:rPr>
          <w:rFonts w:ascii="仿宋_GB2312" w:eastAsia="仿宋_GB2312" w:cs="仿宋_GB2312" w:hint="eastAsia"/>
          <w:color w:val="auto"/>
          <w:sz w:val="32"/>
          <w:szCs w:val="32"/>
        </w:rPr>
      </w:pPr>
      <w:bookmarkStart w:id="120" w:name="_Toc15377213"/>
      <w:bookmarkStart w:id="121" w:name="_Toc15377444"/>
      <w:bookmarkStart w:id="122" w:name="_Toc15378460"/>
      <w:r>
        <w:rPr>
          <w:rFonts w:ascii="仿宋_GB2312" w:eastAsia="仿宋_GB2312" w:cs="仿宋_GB2312" w:hint="eastAsia"/>
          <w:color w:val="auto"/>
          <w:sz w:val="32"/>
          <w:szCs w:val="32"/>
          <w:lang w:eastAsia="zh-CN"/>
        </w:rPr>
        <w:t>202</w:t>
      </w:r>
      <w:r>
        <w:rPr>
          <w:rFonts w:ascii="仿宋_GB2312" w:eastAsia="仿宋_GB2312" w:cs="仿宋_GB2312" w:hint="eastAsia"/>
          <w:color w:val="auto"/>
          <w:sz w:val="32"/>
          <w:szCs w:val="32"/>
          <w:lang w:val="en-US" w:eastAsia="zh-CN"/>
        </w:rPr>
        <w:t>4</w:t>
      </w:r>
      <w:r>
        <w:rPr>
          <w:rFonts w:ascii="仿宋_GB2312" w:eastAsia="仿宋_GB2312" w:cs="仿宋_GB2312" w:hint="eastAsia"/>
          <w:color w:val="auto"/>
          <w:sz w:val="32"/>
          <w:szCs w:val="32"/>
          <w:lang w:eastAsia="zh-CN"/>
        </w:rPr>
        <w:t>年</w:t>
      </w:r>
      <w:r>
        <w:rPr>
          <w:rFonts w:ascii="仿宋_GB2312" w:eastAsia="仿宋_GB2312" w:cs="仿宋_GB2312" w:hint="eastAsia"/>
          <w:color w:val="auto"/>
          <w:sz w:val="32"/>
          <w:szCs w:val="32"/>
        </w:rPr>
        <w:t>一般公共预算财政拨款支出</w:t>
      </w:r>
      <w:r>
        <w:rPr>
          <w:rFonts w:ascii="仿宋_GB2312" w:eastAsia="仿宋_GB2312" w:cs="仿宋_GB2312" w:hint="eastAsia"/>
          <w:color w:val="auto"/>
          <w:spacing w:val="-2"/>
          <w:kern w:val="2"/>
          <w:sz w:val="32"/>
          <w:szCs w:val="32"/>
          <w:lang w:val="en-US" w:eastAsia="zh-CN" w:bidi="ar-SA"/>
        </w:rPr>
        <w:t>1049.86万元</w:t>
      </w:r>
      <w:r>
        <w:rPr>
          <w:rFonts w:ascii="仿宋_GB2312" w:eastAsia="仿宋_GB2312" w:cs="仿宋_GB2312" w:hint="eastAsia"/>
          <w:color w:val="auto"/>
          <w:sz w:val="32"/>
          <w:szCs w:val="32"/>
        </w:rPr>
        <w:t>，主要用于以下方面</w:t>
      </w:r>
      <w:r>
        <w:rPr>
          <w:rFonts w:ascii="仿宋_GB2312" w:eastAsia="仿宋_GB2312" w:cs="仿宋_GB2312" w:hint="eastAsia"/>
          <w:color w:val="auto"/>
          <w:sz w:val="32"/>
          <w:szCs w:val="32"/>
          <w:lang w:eastAsia="zh-CN"/>
        </w:rPr>
        <w:t>：</w:t>
      </w:r>
      <w:r>
        <w:rPr>
          <w:rFonts w:ascii="仿宋_GB2312" w:eastAsia="仿宋_GB2312" w:cs="仿宋_GB2312" w:hint="eastAsia"/>
          <w:b/>
          <w:color w:val="auto"/>
          <w:sz w:val="32"/>
          <w:szCs w:val="32"/>
        </w:rPr>
        <w:t>一般公共服务（类）</w:t>
      </w:r>
      <w:r>
        <w:rPr>
          <w:rFonts w:ascii="仿宋_GB2312" w:eastAsia="仿宋_GB2312" w:cs="仿宋_GB2312" w:hint="eastAsia"/>
          <w:color w:val="auto"/>
          <w:sz w:val="32"/>
          <w:szCs w:val="32"/>
        </w:rPr>
        <w:t>支出</w:t>
      </w:r>
      <w:r>
        <w:rPr>
          <w:rFonts w:ascii="仿宋_GB2312" w:eastAsia="仿宋_GB2312" w:cs="仿宋_GB2312" w:hint="eastAsia"/>
          <w:color w:val="auto"/>
          <w:sz w:val="32"/>
          <w:szCs w:val="32"/>
          <w:lang w:val="en-US" w:eastAsia="zh-CN"/>
        </w:rPr>
        <w:t>857.76</w:t>
      </w:r>
      <w:r>
        <w:rPr>
          <w:rFonts w:ascii="仿宋_GB2312" w:eastAsia="仿宋_GB2312" w:cs="仿宋_GB2312" w:hint="eastAsia"/>
          <w:color w:val="auto"/>
          <w:sz w:val="32"/>
          <w:szCs w:val="32"/>
        </w:rPr>
        <w:t>万元，占</w:t>
      </w:r>
      <w:r>
        <w:rPr>
          <w:rFonts w:ascii="仿宋_GB2312" w:eastAsia="仿宋_GB2312" w:cs="仿宋_GB2312" w:hint="eastAsia"/>
          <w:color w:val="auto"/>
          <w:sz w:val="32"/>
          <w:szCs w:val="32"/>
          <w:lang w:val="en-US" w:eastAsia="zh-CN"/>
        </w:rPr>
        <w:t>81.7</w:t>
      </w:r>
      <w:r>
        <w:rPr>
          <w:rFonts w:ascii="仿宋_GB2312" w:eastAsia="仿宋_GB2312" w:cs="仿宋_GB2312" w:hint="eastAsia"/>
          <w:color w:val="auto"/>
          <w:sz w:val="32"/>
          <w:szCs w:val="32"/>
        </w:rPr>
        <w:t>%；</w:t>
      </w:r>
      <w:r>
        <w:rPr>
          <w:rFonts w:ascii="仿宋_GB2312" w:eastAsia="仿宋_GB2312" w:cs="仿宋_GB2312" w:hint="eastAsia"/>
          <w:b/>
          <w:bCs/>
          <w:color w:val="auto"/>
          <w:sz w:val="32"/>
          <w:szCs w:val="32"/>
          <w:lang w:eastAsia="zh-CN"/>
        </w:rPr>
        <w:t>教育支出</w:t>
      </w:r>
      <w:r>
        <w:rPr>
          <w:rFonts w:ascii="仿宋_GB2312" w:eastAsia="仿宋_GB2312" w:cs="仿宋_GB2312" w:hint="eastAsia"/>
          <w:b/>
          <w:bCs/>
          <w:color w:val="auto"/>
          <w:sz w:val="32"/>
          <w:szCs w:val="32"/>
          <w:lang w:val="en-US" w:eastAsia="zh-CN"/>
        </w:rPr>
        <w:t>1.11</w:t>
      </w:r>
      <w:r>
        <w:rPr>
          <w:rFonts w:ascii="仿宋_GB2312" w:eastAsia="仿宋_GB2312" w:cs="仿宋_GB2312" w:hint="eastAsia"/>
          <w:color w:val="auto"/>
          <w:sz w:val="32"/>
          <w:szCs w:val="32"/>
          <w:lang w:val="en-US" w:eastAsia="zh-CN"/>
        </w:rPr>
        <w:t>万元，占0.1%；</w:t>
      </w:r>
      <w:r>
        <w:rPr>
          <w:rFonts w:ascii="仿宋_GB2312" w:eastAsia="仿宋_GB2312" w:cs="仿宋_GB2312" w:hint="eastAsia"/>
          <w:b/>
          <w:color w:val="auto"/>
          <w:sz w:val="32"/>
          <w:szCs w:val="32"/>
        </w:rPr>
        <w:t>社会保障和就业（类）</w:t>
      </w:r>
      <w:r>
        <w:rPr>
          <w:rFonts w:ascii="仿宋_GB2312" w:eastAsia="仿宋_GB2312" w:cs="仿宋_GB2312" w:hint="eastAsia"/>
          <w:color w:val="auto"/>
          <w:sz w:val="32"/>
          <w:szCs w:val="32"/>
        </w:rPr>
        <w:t>支出</w:t>
      </w:r>
      <w:r>
        <w:rPr>
          <w:rFonts w:ascii="仿宋_GB2312" w:eastAsia="仿宋_GB2312" w:cs="仿宋_GB2312" w:hint="eastAsia"/>
          <w:color w:val="auto"/>
          <w:sz w:val="32"/>
          <w:szCs w:val="32"/>
          <w:lang w:val="en-US" w:eastAsia="zh-CN"/>
        </w:rPr>
        <w:t>93.62</w:t>
      </w:r>
      <w:r>
        <w:rPr>
          <w:rFonts w:ascii="仿宋_GB2312" w:eastAsia="仿宋_GB2312" w:cs="仿宋_GB2312" w:hint="eastAsia"/>
          <w:color w:val="auto"/>
          <w:sz w:val="32"/>
          <w:szCs w:val="32"/>
        </w:rPr>
        <w:t>万元，占</w:t>
      </w:r>
      <w:r>
        <w:rPr>
          <w:rFonts w:ascii="仿宋_GB2312" w:eastAsia="仿宋_GB2312" w:cs="仿宋_GB2312" w:hint="eastAsia"/>
          <w:color w:val="auto"/>
          <w:sz w:val="32"/>
          <w:szCs w:val="32"/>
          <w:lang w:val="en-US" w:eastAsia="zh-CN"/>
        </w:rPr>
        <w:t>8.9</w:t>
      </w:r>
      <w:r>
        <w:rPr>
          <w:rFonts w:ascii="仿宋_GB2312" w:eastAsia="仿宋_GB2312" w:cs="仿宋_GB2312" w:hint="eastAsia"/>
          <w:color w:val="auto"/>
          <w:sz w:val="32"/>
          <w:szCs w:val="32"/>
        </w:rPr>
        <w:t>%；</w:t>
      </w:r>
      <w:r>
        <w:rPr>
          <w:rFonts w:ascii="仿宋_GB2312" w:eastAsia="仿宋_GB2312" w:cs="仿宋_GB2312" w:hint="eastAsia"/>
          <w:b/>
          <w:bCs/>
          <w:color w:val="auto"/>
          <w:sz w:val="32"/>
          <w:szCs w:val="32"/>
        </w:rPr>
        <w:t>卫生</w:t>
      </w:r>
      <w:r>
        <w:rPr>
          <w:rFonts w:ascii="仿宋_GB2312" w:eastAsia="仿宋_GB2312" w:cs="仿宋_GB2312" w:hint="eastAsia"/>
          <w:b/>
          <w:bCs/>
          <w:color w:val="auto"/>
          <w:sz w:val="32"/>
          <w:szCs w:val="32"/>
          <w:lang w:eastAsia="zh-CN"/>
        </w:rPr>
        <w:t>健康</w:t>
      </w:r>
      <w:r>
        <w:rPr>
          <w:rFonts w:ascii="仿宋_GB2312" w:eastAsia="仿宋_GB2312" w:cs="仿宋_GB2312" w:hint="eastAsia"/>
          <w:b/>
          <w:bCs/>
          <w:color w:val="auto"/>
          <w:sz w:val="32"/>
          <w:szCs w:val="32"/>
        </w:rPr>
        <w:t>支出</w:t>
      </w:r>
      <w:r>
        <w:rPr>
          <w:rFonts w:ascii="仿宋_GB2312" w:eastAsia="仿宋_GB2312" w:cs="仿宋_GB2312" w:hint="eastAsia"/>
          <w:b/>
          <w:bCs/>
          <w:color w:val="auto"/>
          <w:sz w:val="32"/>
          <w:szCs w:val="32"/>
          <w:lang w:val="en-US" w:eastAsia="zh-CN"/>
        </w:rPr>
        <w:t>42.53</w:t>
      </w:r>
      <w:r>
        <w:rPr>
          <w:rFonts w:ascii="仿宋_GB2312" w:eastAsia="仿宋_GB2312" w:cs="仿宋_GB2312" w:hint="eastAsia"/>
          <w:color w:val="auto"/>
          <w:sz w:val="32"/>
          <w:szCs w:val="32"/>
        </w:rPr>
        <w:t>万元，占</w:t>
      </w:r>
      <w:r>
        <w:rPr>
          <w:rFonts w:ascii="仿宋_GB2312" w:eastAsia="仿宋_GB2312" w:cs="仿宋_GB2312" w:hint="eastAsia"/>
          <w:color w:val="auto"/>
          <w:sz w:val="32"/>
          <w:szCs w:val="32"/>
          <w:lang w:val="en-US" w:eastAsia="zh-CN"/>
        </w:rPr>
        <w:t>4.1</w:t>
      </w:r>
      <w:r>
        <w:rPr>
          <w:rFonts w:ascii="仿宋_GB2312" w:eastAsia="仿宋_GB2312" w:cs="仿宋_GB2312" w:hint="eastAsia"/>
          <w:color w:val="auto"/>
          <w:sz w:val="32"/>
          <w:szCs w:val="32"/>
        </w:rPr>
        <w:t>%；</w:t>
      </w:r>
      <w:r>
        <w:rPr>
          <w:rFonts w:ascii="仿宋_GB2312" w:eastAsia="仿宋_GB2312" w:cs="仿宋_GB2312" w:hint="eastAsia"/>
          <w:b/>
          <w:bCs/>
          <w:color w:val="auto"/>
          <w:sz w:val="32"/>
          <w:szCs w:val="32"/>
        </w:rPr>
        <w:t>住房保障支出</w:t>
      </w:r>
      <w:r>
        <w:rPr>
          <w:rFonts w:ascii="仿宋_GB2312" w:eastAsia="仿宋_GB2312" w:cs="仿宋_GB2312" w:hint="eastAsia"/>
          <w:b/>
          <w:bCs/>
          <w:color w:val="auto"/>
          <w:sz w:val="32"/>
          <w:szCs w:val="32"/>
          <w:lang w:val="en-US" w:eastAsia="zh-CN"/>
        </w:rPr>
        <w:t>54.84</w:t>
      </w:r>
      <w:r>
        <w:rPr>
          <w:rFonts w:ascii="仿宋_GB2312" w:eastAsia="仿宋_GB2312" w:cs="仿宋_GB2312" w:hint="eastAsia"/>
          <w:color w:val="auto"/>
          <w:sz w:val="32"/>
          <w:szCs w:val="32"/>
        </w:rPr>
        <w:t>万元，占</w:t>
      </w:r>
      <w:r>
        <w:rPr>
          <w:rFonts w:ascii="仿宋_GB2312" w:eastAsia="仿宋_GB2312" w:cs="仿宋_GB2312" w:hint="eastAsia"/>
          <w:color w:val="auto"/>
          <w:sz w:val="32"/>
          <w:szCs w:val="32"/>
          <w:lang w:val="en-US" w:eastAsia="zh-CN"/>
        </w:rPr>
        <w:t>5.2</w:t>
      </w:r>
      <w:r>
        <w:rPr>
          <w:rFonts w:ascii="仿宋_GB2312" w:eastAsia="仿宋_GB2312" w:cs="仿宋_GB2312" w:hint="eastAsia"/>
          <w:color w:val="auto"/>
          <w:sz w:val="32"/>
          <w:szCs w:val="32"/>
        </w:rPr>
        <w:t>%。</w:t>
      </w:r>
    </w:p>
    <w:p>
      <w:pPr>
        <w:pStyle w:val="16"/>
        <w:rPr>
          <w:rFonts w:ascii="仿宋_GB2312" w:eastAsia="仿宋_GB2312" w:cs="仿宋_GB2312" w:hint="eastAsia"/>
          <w:color w:val="auto"/>
          <w:sz w:val="32"/>
          <w:szCs w:val="32"/>
        </w:rPr>
      </w:pPr>
      <w:r>
        <w:drawing>
          <wp:inline distT="0" distB="0" distL="114300" distR="114300">
            <wp:extent cx="4572000" cy="3686175"/>
            <wp:effectExtent l="0" t="0" r="0" b="0"/>
            <wp:docPr id="8" name="图表 12"/>
            <wp:cNvGraphicFramePr>
              <a:graphicFrameLocks noChangeAspect="0"/>
            </wp:cNvGraphicFramePr>
            <a:graphic>
              <a:graphicData uri="http://schemas.openxmlformats.org/drawingml/2006/chart">
                <c:chart xmlns:c="http://schemas.openxmlformats.org/drawingml/2006/chart" r:id="rId9"/>
              </a:graphicData>
            </a:graphic>
          </wp:inline>
        </w:drawing>
      </w:r>
    </w:p>
    <w:p>
      <w:pPr>
        <w:pStyle w:val="16"/>
        <w:ind w:left="0" w:firstLineChars="0" w:firstLine="0"/>
        <w:rPr>
          <w:rFonts w:hint="eastAsia"/>
        </w:rPr>
      </w:pPr>
    </w:p>
    <w:p>
      <w:pPr>
        <w:numPr>
          <w:ilvl w:val="0"/>
          <w:numId w:val="1"/>
        </w:numPr>
        <w:spacing w:line="600" w:lineRule="exact"/>
        <w:ind w:left="0" w:firstLineChars="200" w:firstLine="640"/>
        <w:outlineLvl w:val="2"/>
        <w:rPr>
          <w:rFonts w:ascii="仿宋_GB2312" w:eastAsia="仿宋_GB2312" w:cs="仿宋_GB2312" w:hint="eastAsia"/>
          <w:b/>
          <w:color w:val="000000"/>
          <w:sz w:val="32"/>
          <w:szCs w:val="32"/>
          <w:lang w:val="en-US" w:eastAsia="zh-CN"/>
        </w:rPr>
      </w:pPr>
      <w:bookmarkStart w:id="123" w:name="_Toc13152"/>
      <w:bookmarkStart w:id="124" w:name="_Toc15377212"/>
      <w:r>
        <w:rPr>
          <w:rFonts w:ascii="仿宋_GB2312" w:eastAsia="仿宋_GB2312" w:cs="仿宋_GB2312" w:hint="eastAsia"/>
          <w:b/>
          <w:color w:val="000000"/>
          <w:sz w:val="32"/>
          <w:szCs w:val="32"/>
        </w:rPr>
        <w:t>一般公共预算财政拨款支出决算具体情况</w:t>
      </w:r>
      <w:bookmarkEnd w:id="123"/>
      <w:bookmarkEnd w:id="124"/>
    </w:p>
    <w:p>
      <w:pPr>
        <w:spacing w:line="600" w:lineRule="exact"/>
        <w:outlineLvl w:val="2"/>
        <w:rPr>
          <w:rFonts w:ascii="仿宋_GB2312" w:eastAsia="仿宋_GB2312" w:cs="仿宋_GB2312" w:hint="eastAsia"/>
          <w:b w:val="0"/>
          <w:bCs/>
          <w:color w:val="000000"/>
          <w:sz w:val="32"/>
          <w:szCs w:val="32"/>
          <w:lang w:eastAsia="zh-CN"/>
        </w:rPr>
      </w:pPr>
      <w:r>
        <w:rPr>
          <w:rFonts w:ascii="仿宋_GB2312" w:eastAsia="仿宋_GB2312" w:cs="仿宋_GB2312" w:hint="eastAsia"/>
          <w:b w:val="0"/>
          <w:bCs/>
          <w:color w:val="000000"/>
          <w:sz w:val="32"/>
          <w:szCs w:val="32"/>
          <w:lang w:val="en-US" w:eastAsia="zh-CN"/>
        </w:rPr>
        <w:t xml:space="preserve">    </w:t>
      </w:r>
      <w:bookmarkStart w:id="125" w:name="_Toc15396608"/>
      <w:bookmarkStart w:id="126" w:name="_Toc15377214"/>
      <w:bookmarkEnd w:id="120"/>
      <w:bookmarkEnd w:id="121"/>
      <w:bookmarkEnd w:id="122"/>
      <w:r>
        <w:rPr>
          <w:rFonts w:ascii="仿宋_GB2312" w:eastAsia="仿宋_GB2312" w:cs="仿宋_GB2312" w:hint="eastAsia"/>
          <w:b w:val="0"/>
          <w:bCs/>
          <w:color w:val="000000"/>
          <w:sz w:val="32"/>
          <w:szCs w:val="32"/>
          <w:lang w:val="en-US" w:eastAsia="zh-CN"/>
        </w:rPr>
        <w:t xml:space="preserve"> </w:t>
      </w:r>
      <w:bookmarkStart w:id="127" w:name="_Toc29261"/>
      <w:bookmarkStart w:id="128" w:name="_Toc25815"/>
      <w:bookmarkStart w:id="129" w:name="_Toc10153"/>
      <w:r>
        <w:rPr>
          <w:rFonts w:ascii="仿宋_GB2312" w:eastAsia="仿宋_GB2312" w:cs="仿宋_GB2312" w:hint="eastAsia"/>
          <w:b w:val="0"/>
          <w:bCs/>
          <w:color w:val="000000"/>
          <w:sz w:val="32"/>
          <w:szCs w:val="32"/>
          <w:lang w:eastAsia="zh-CN"/>
        </w:rPr>
        <w:t>202</w:t>
      </w:r>
      <w:r>
        <w:rPr>
          <w:rFonts w:ascii="仿宋_GB2312" w:eastAsia="仿宋_GB2312" w:cs="仿宋_GB2312" w:hint="eastAsia"/>
          <w:b w:val="0"/>
          <w:bCs/>
          <w:color w:val="000000"/>
          <w:sz w:val="32"/>
          <w:szCs w:val="32"/>
          <w:lang w:val="en-US" w:eastAsia="zh-CN"/>
        </w:rPr>
        <w:t>4</w:t>
      </w:r>
      <w:r>
        <w:rPr>
          <w:rFonts w:ascii="仿宋_GB2312" w:eastAsia="仿宋_GB2312" w:cs="仿宋_GB2312" w:hint="eastAsia"/>
          <w:b w:val="0"/>
          <w:bCs/>
          <w:color w:val="000000"/>
          <w:sz w:val="32"/>
          <w:szCs w:val="32"/>
          <w:lang w:eastAsia="zh-CN"/>
        </w:rPr>
        <w:t>年一</w:t>
      </w:r>
      <w:r>
        <w:rPr>
          <w:rFonts w:ascii="仿宋_GB2312" w:eastAsia="仿宋_GB2312" w:cs="仿宋_GB2312" w:hint="eastAsia"/>
          <w:b w:val="0"/>
          <w:bCs/>
          <w:color w:val="000000"/>
          <w:sz w:val="32"/>
          <w:szCs w:val="32"/>
        </w:rPr>
        <w:t>般公共预算</w:t>
      </w:r>
      <w:r>
        <w:rPr>
          <w:rFonts w:ascii="仿宋_GB2312" w:eastAsia="仿宋_GB2312" w:cs="仿宋_GB2312" w:hint="eastAsia"/>
          <w:b w:val="0"/>
          <w:bCs/>
          <w:color w:val="000000"/>
          <w:sz w:val="32"/>
          <w:szCs w:val="32"/>
          <w:lang w:val="en-US" w:eastAsia="zh-CN"/>
        </w:rPr>
        <w:t>数为1049.86</w:t>
      </w:r>
      <w:r>
        <w:rPr>
          <w:rFonts w:ascii="仿宋_GB2312" w:eastAsia="仿宋_GB2312" w:cs="仿宋_GB2312" w:hint="eastAsia"/>
          <w:color w:val="auto"/>
          <w:spacing w:val="-2"/>
          <w:kern w:val="2"/>
          <w:sz w:val="32"/>
          <w:szCs w:val="32"/>
          <w:lang w:val="en-US" w:eastAsia="zh-CN" w:bidi="ar-SA"/>
        </w:rPr>
        <w:t>万元</w:t>
      </w:r>
      <w:r>
        <w:rPr>
          <w:rFonts w:ascii="仿宋_GB2312" w:eastAsia="仿宋_GB2312" w:cs="仿宋_GB2312" w:hint="eastAsia"/>
          <w:b w:val="0"/>
          <w:bCs/>
          <w:color w:val="000000"/>
          <w:sz w:val="32"/>
          <w:szCs w:val="32"/>
          <w:lang w:val="en-US" w:eastAsia="zh-CN"/>
        </w:rPr>
        <w:t>，</w:t>
      </w:r>
      <w:r>
        <w:rPr>
          <w:rFonts w:ascii="仿宋_GB2312" w:eastAsia="仿宋_GB2312" w:cs="仿宋_GB2312" w:hint="eastAsia"/>
          <w:b w:val="0"/>
          <w:bCs/>
          <w:color w:val="000000"/>
          <w:sz w:val="32"/>
          <w:szCs w:val="32"/>
        </w:rPr>
        <w:t>支出决算数为</w:t>
      </w:r>
      <w:r>
        <w:rPr>
          <w:rFonts w:ascii="仿宋_GB2312" w:eastAsia="仿宋_GB2312" w:cs="仿宋_GB2312" w:hint="eastAsia"/>
          <w:b w:val="0"/>
          <w:bCs/>
          <w:color w:val="000000"/>
          <w:sz w:val="32"/>
          <w:szCs w:val="32"/>
          <w:lang w:val="en-US" w:eastAsia="zh-CN"/>
        </w:rPr>
        <w:t>1049.86</w:t>
      </w:r>
      <w:r>
        <w:rPr>
          <w:rFonts w:ascii="仿宋_GB2312" w:eastAsia="仿宋_GB2312" w:cs="仿宋_GB2312" w:hint="eastAsia"/>
          <w:color w:val="auto"/>
          <w:spacing w:val="-2"/>
          <w:kern w:val="2"/>
          <w:sz w:val="32"/>
          <w:szCs w:val="32"/>
          <w:lang w:val="en-US" w:eastAsia="zh-CN" w:bidi="ar-SA"/>
        </w:rPr>
        <w:t>万元</w:t>
      </w:r>
      <w:r>
        <w:rPr>
          <w:rFonts w:ascii="仿宋_GB2312" w:eastAsia="仿宋_GB2312" w:cs="仿宋_GB2312" w:hint="eastAsia"/>
          <w:b w:val="0"/>
          <w:bCs/>
          <w:color w:val="000000"/>
          <w:sz w:val="32"/>
          <w:szCs w:val="32"/>
        </w:rPr>
        <w:t>，完</w:t>
      </w:r>
      <w:r>
        <w:rPr>
          <w:rStyle w:val="27"/>
          <w:rFonts w:ascii="仿宋_GB2312" w:eastAsia="仿宋_GB2312" w:cs="仿宋_GB2312" w:hint="eastAsia"/>
          <w:b w:val="0"/>
          <w:bCs/>
          <w:color w:val="000000"/>
          <w:sz w:val="32"/>
          <w:szCs w:val="32"/>
        </w:rPr>
        <w:t>成预算</w:t>
      </w:r>
      <w:r>
        <w:rPr>
          <w:rStyle w:val="27"/>
          <w:rFonts w:ascii="仿宋_GB2312" w:eastAsia="仿宋_GB2312" w:cs="仿宋_GB2312" w:hint="eastAsia"/>
          <w:b w:val="0"/>
          <w:bCs/>
          <w:color w:val="000000"/>
          <w:sz w:val="32"/>
          <w:szCs w:val="32"/>
          <w:lang w:val="en-US" w:eastAsia="zh-CN"/>
        </w:rPr>
        <w:t>100</w:t>
      </w:r>
      <w:r>
        <w:rPr>
          <w:rStyle w:val="27"/>
          <w:rFonts w:ascii="仿宋_GB2312" w:eastAsia="仿宋_GB2312" w:cs="仿宋_GB2312" w:hint="eastAsia"/>
          <w:b w:val="0"/>
          <w:bCs/>
          <w:color w:val="000000"/>
          <w:sz w:val="32"/>
          <w:szCs w:val="32"/>
        </w:rPr>
        <w:t>%。</w:t>
      </w:r>
      <w:r>
        <w:rPr>
          <w:rStyle w:val="27"/>
          <w:rFonts w:ascii="仿宋_GB2312" w:eastAsia="仿宋_GB2312" w:cs="仿宋_GB2312" w:hint="eastAsia"/>
          <w:b w:val="0"/>
          <w:bCs/>
          <w:color w:val="000000"/>
          <w:sz w:val="32"/>
          <w:szCs w:val="32"/>
          <w:lang w:val="en-US" w:eastAsia="zh-CN"/>
        </w:rPr>
        <w:t>结转下年0万元。</w:t>
      </w:r>
      <w:r>
        <w:rPr>
          <w:rStyle w:val="27"/>
          <w:rFonts w:ascii="仿宋_GB2312" w:eastAsia="仿宋_GB2312" w:cs="仿宋_GB2312" w:hint="eastAsia"/>
          <w:b w:val="0"/>
          <w:bCs/>
          <w:color w:val="000000"/>
          <w:sz w:val="32"/>
          <w:szCs w:val="32"/>
        </w:rPr>
        <w:t>其中</w:t>
      </w:r>
      <w:bookmarkEnd w:id="127"/>
      <w:bookmarkEnd w:id="128"/>
      <w:bookmarkEnd w:id="129"/>
      <w:r>
        <w:rPr>
          <w:rStyle w:val="27"/>
          <w:rFonts w:ascii="仿宋_GB2312" w:eastAsia="仿宋_GB2312" w:cs="仿宋_GB2312" w:hint="eastAsia"/>
          <w:b w:val="0"/>
          <w:bCs/>
          <w:color w:val="000000"/>
          <w:sz w:val="32"/>
          <w:szCs w:val="32"/>
          <w:lang w:eastAsia="zh-CN"/>
        </w:rPr>
        <w:t>：</w:t>
      </w:r>
    </w:p>
    <w:p>
      <w:pPr>
        <w:spacing w:line="600" w:lineRule="exact"/>
        <w:ind w:firstLineChars="200" w:firstLine="640"/>
        <w:rPr>
          <w:rStyle w:val="27"/>
          <w:rFonts w:ascii="仿宋" w:eastAsia="仿宋" w:hint="eastAsia"/>
          <w:b w:val="0"/>
          <w:bCs/>
          <w:sz w:val="32"/>
          <w:szCs w:val="32"/>
          <w:lang w:eastAsia="zh-CN"/>
        </w:rPr>
      </w:pPr>
      <w:bookmarkStart w:id="130" w:name="_Toc31827"/>
      <w:bookmarkStart w:id="131" w:name="_Toc30846"/>
      <w:bookmarkStart w:id="132" w:name="_Toc11997"/>
      <w:bookmarkStart w:id="133" w:name="_Toc16119"/>
      <w:r>
        <w:rPr>
          <w:rStyle w:val="27"/>
          <w:rFonts w:ascii="仿宋" w:eastAsia="仿宋" w:hint="eastAsia"/>
          <w:bCs/>
          <w:sz w:val="32"/>
          <w:szCs w:val="32"/>
        </w:rPr>
        <w:t>1.一般公共服务（类）人大事务（款）行政运行（项）</w:t>
      </w:r>
      <w:r>
        <w:rPr>
          <w:rStyle w:val="27"/>
          <w:rFonts w:ascii="仿宋" w:eastAsia="仿宋" w:hint="eastAsia"/>
          <w:bCs/>
          <w:sz w:val="32"/>
          <w:szCs w:val="32"/>
          <w:lang w:eastAsia="zh-CN"/>
        </w:rPr>
        <w:t>：</w:t>
      </w:r>
      <w:r>
        <w:rPr>
          <w:rStyle w:val="27"/>
          <w:rFonts w:ascii="仿宋" w:eastAsia="仿宋" w:hint="eastAsia"/>
          <w:b w:val="0"/>
          <w:bCs/>
          <w:sz w:val="32"/>
          <w:szCs w:val="32"/>
        </w:rPr>
        <w:t>支出决算为</w:t>
      </w:r>
      <w:r>
        <w:rPr>
          <w:rStyle w:val="27"/>
          <w:rFonts w:ascii="仿宋" w:eastAsia="仿宋" w:hint="eastAsia"/>
          <w:b w:val="0"/>
          <w:bCs/>
          <w:sz w:val="32"/>
          <w:szCs w:val="32"/>
          <w:lang w:val="en-US" w:eastAsia="zh-CN"/>
        </w:rPr>
        <w:t>554.12</w:t>
      </w:r>
      <w:r>
        <w:rPr>
          <w:rStyle w:val="27"/>
          <w:rFonts w:ascii="仿宋" w:eastAsia="仿宋" w:hint="eastAsia"/>
          <w:b w:val="0"/>
          <w:bCs/>
          <w:sz w:val="32"/>
          <w:szCs w:val="32"/>
        </w:rPr>
        <w:t>万元，完成预算100</w:t>
      </w:r>
      <w:r>
        <w:rPr>
          <w:rStyle w:val="27"/>
          <w:rFonts w:ascii="仿宋" w:eastAsia="仿宋"/>
          <w:b w:val="0"/>
          <w:bCs/>
          <w:sz w:val="32"/>
          <w:szCs w:val="32"/>
        </w:rPr>
        <w:t>%</w:t>
      </w:r>
      <w:r>
        <w:rPr>
          <w:rStyle w:val="27"/>
          <w:rFonts w:ascii="仿宋" w:eastAsia="仿宋" w:hint="eastAsia"/>
          <w:b w:val="0"/>
          <w:bCs/>
          <w:sz w:val="32"/>
          <w:szCs w:val="32"/>
          <w:lang w:eastAsia="zh-CN"/>
        </w:rPr>
        <w:t>。</w:t>
      </w:r>
    </w:p>
    <w:p>
      <w:pPr>
        <w:pStyle w:val="16"/>
        <w:rPr>
          <w:rFonts w:eastAsia="仿宋" w:hint="eastAsia"/>
          <w:lang w:eastAsia="zh-CN"/>
        </w:rPr>
      </w:pPr>
      <w:r>
        <w:rPr>
          <w:rStyle w:val="27"/>
          <w:rFonts w:ascii="仿宋" w:eastAsia="仿宋" w:hint="eastAsia"/>
          <w:bCs/>
          <w:sz w:val="32"/>
          <w:szCs w:val="32"/>
          <w:lang w:val="en-US" w:eastAsia="zh-CN"/>
        </w:rPr>
        <w:t>2</w:t>
      </w:r>
      <w:r>
        <w:rPr>
          <w:rStyle w:val="27"/>
          <w:rFonts w:ascii="仿宋" w:eastAsia="仿宋" w:hint="eastAsia"/>
          <w:bCs/>
          <w:sz w:val="32"/>
          <w:szCs w:val="32"/>
        </w:rPr>
        <w:t>.一般公共服务（类）人大事务（款）</w:t>
      </w:r>
      <w:r>
        <w:rPr>
          <w:rStyle w:val="27"/>
          <w:rFonts w:ascii="仿宋" w:eastAsia="仿宋" w:hint="eastAsia"/>
          <w:bCs/>
          <w:sz w:val="32"/>
          <w:szCs w:val="32"/>
          <w:lang w:val="en-US" w:eastAsia="zh-CN"/>
        </w:rPr>
        <w:t>事业</w:t>
      </w:r>
      <w:r>
        <w:rPr>
          <w:rStyle w:val="27"/>
          <w:rFonts w:ascii="仿宋" w:eastAsia="仿宋" w:hint="eastAsia"/>
          <w:bCs/>
          <w:sz w:val="32"/>
          <w:szCs w:val="32"/>
        </w:rPr>
        <w:t>运行（项）</w:t>
      </w:r>
      <w:r>
        <w:rPr>
          <w:rStyle w:val="27"/>
          <w:rFonts w:ascii="仿宋" w:eastAsia="仿宋" w:hint="eastAsia"/>
          <w:bCs/>
          <w:sz w:val="32"/>
          <w:szCs w:val="32"/>
          <w:lang w:eastAsia="zh-CN"/>
        </w:rPr>
        <w:t>：</w:t>
      </w:r>
      <w:r>
        <w:rPr>
          <w:rStyle w:val="27"/>
          <w:rFonts w:ascii="仿宋" w:eastAsia="仿宋"/>
          <w:b w:val="0"/>
          <w:bCs/>
          <w:sz w:val="32"/>
          <w:szCs w:val="32"/>
        </w:rPr>
        <w:t xml:space="preserve"> </w:t>
      </w:r>
      <w:r>
        <w:rPr>
          <w:rStyle w:val="27"/>
          <w:rFonts w:ascii="仿宋" w:eastAsia="仿宋" w:hint="eastAsia"/>
          <w:b w:val="0"/>
          <w:bCs/>
          <w:sz w:val="32"/>
          <w:szCs w:val="32"/>
        </w:rPr>
        <w:t>支出决算为</w:t>
      </w:r>
      <w:r>
        <w:rPr>
          <w:rStyle w:val="27"/>
          <w:rFonts w:ascii="仿宋" w:eastAsia="仿宋" w:hint="eastAsia"/>
          <w:b w:val="0"/>
          <w:bCs/>
          <w:sz w:val="32"/>
          <w:szCs w:val="32"/>
          <w:lang w:val="en-US" w:eastAsia="zh-CN"/>
        </w:rPr>
        <w:t>26.7</w:t>
      </w:r>
      <w:r>
        <w:rPr>
          <w:rStyle w:val="27"/>
          <w:rFonts w:ascii="仿宋" w:eastAsia="仿宋" w:hint="eastAsia"/>
          <w:b w:val="0"/>
          <w:bCs/>
          <w:sz w:val="32"/>
          <w:szCs w:val="32"/>
        </w:rPr>
        <w:t>万元，完成预算100</w:t>
      </w:r>
      <w:r>
        <w:rPr>
          <w:rStyle w:val="27"/>
          <w:rFonts w:ascii="仿宋" w:eastAsia="仿宋"/>
          <w:b w:val="0"/>
          <w:bCs/>
          <w:sz w:val="32"/>
          <w:szCs w:val="32"/>
        </w:rPr>
        <w:t>%</w:t>
      </w:r>
      <w:r>
        <w:rPr>
          <w:rStyle w:val="27"/>
          <w:rFonts w:ascii="仿宋" w:eastAsia="仿宋" w:hint="eastAsia"/>
          <w:b w:val="0"/>
          <w:bCs/>
          <w:sz w:val="32"/>
          <w:szCs w:val="32"/>
          <w:lang w:eastAsia="zh-CN"/>
        </w:rPr>
        <w:t>。</w:t>
      </w:r>
    </w:p>
    <w:p>
      <w:pPr>
        <w:pStyle w:val="16"/>
        <w:rPr>
          <w:rFonts w:hint="eastAsia"/>
          <w:lang w:eastAsia="zh-CN"/>
        </w:rPr>
      </w:pPr>
    </w:p>
    <w:p>
      <w:pPr>
        <w:spacing w:line="600" w:lineRule="exact"/>
        <w:ind w:firstLineChars="200" w:firstLine="640"/>
        <w:rPr>
          <w:rStyle w:val="27"/>
          <w:rFonts w:ascii="仿宋_GB2312" w:eastAsia="仿宋_GB2312" w:cs="仿宋_GB2312" w:hint="eastAsia"/>
          <w:b w:val="0"/>
          <w:bCs/>
          <w:color w:val="000000"/>
          <w:sz w:val="32"/>
          <w:szCs w:val="32"/>
          <w:lang w:val="en-US" w:eastAsia="zh-CN"/>
        </w:rPr>
      </w:pPr>
      <w:r>
        <w:rPr>
          <w:rStyle w:val="27"/>
          <w:rFonts w:ascii="仿宋_GB2312" w:eastAsia="仿宋_GB2312" w:cs="仿宋_GB2312" w:hint="eastAsia"/>
          <w:b/>
          <w:bCs w:val="0"/>
          <w:color w:val="000000"/>
          <w:sz w:val="32"/>
          <w:szCs w:val="32"/>
          <w:lang w:val="en-US" w:eastAsia="zh-CN"/>
        </w:rPr>
        <w:t>3. 社会保障和就业（类）行政事业单位离退休（款）机关事业单位基本养老保险缴费支出（项）：</w:t>
      </w:r>
      <w:r>
        <w:rPr>
          <w:rStyle w:val="27"/>
          <w:rFonts w:ascii="仿宋_GB2312" w:eastAsia="仿宋_GB2312" w:cs="仿宋_GB2312" w:hint="eastAsia"/>
          <w:b w:val="0"/>
          <w:bCs/>
          <w:color w:val="000000"/>
          <w:sz w:val="32"/>
          <w:szCs w:val="32"/>
          <w:lang w:val="en-US" w:eastAsia="zh-CN"/>
        </w:rPr>
        <w:t xml:space="preserve"> 支出决算为62.41万元，完成预算100%。</w:t>
      </w:r>
    </w:p>
    <w:p>
      <w:pPr>
        <w:spacing w:line="600" w:lineRule="exact"/>
        <w:ind w:left="0" w:firstLineChars="200" w:firstLine="640"/>
        <w:rPr>
          <w:rStyle w:val="27"/>
          <w:rFonts w:ascii="仿宋_GB2312" w:eastAsia="仿宋_GB2312" w:cs="仿宋_GB2312" w:hint="eastAsia"/>
          <w:b w:val="0"/>
          <w:bCs/>
          <w:color w:val="000000"/>
          <w:sz w:val="32"/>
          <w:szCs w:val="32"/>
          <w:lang w:val="en-US" w:eastAsia="zh-CN"/>
        </w:rPr>
      </w:pPr>
      <w:r>
        <w:rPr>
          <w:rStyle w:val="27"/>
          <w:rFonts w:ascii="仿宋_GB2312" w:eastAsia="仿宋_GB2312" w:cs="仿宋_GB2312" w:hint="eastAsia"/>
          <w:b/>
          <w:bCs w:val="0"/>
          <w:color w:val="000000"/>
          <w:sz w:val="32"/>
          <w:szCs w:val="32"/>
          <w:lang w:val="en-US" w:eastAsia="zh-CN"/>
        </w:rPr>
        <w:t>4.社会保障和就业（类）行政事业单位离退休（款）机关事业单位基本职业年金缴费支出（项）：</w:t>
      </w:r>
      <w:r>
        <w:rPr>
          <w:rStyle w:val="27"/>
          <w:rFonts w:ascii="仿宋_GB2312" w:eastAsia="仿宋_GB2312" w:cs="仿宋_GB2312" w:hint="eastAsia"/>
          <w:b w:val="0"/>
          <w:bCs/>
          <w:color w:val="000000"/>
          <w:sz w:val="32"/>
          <w:szCs w:val="32"/>
          <w:lang w:val="en-US" w:eastAsia="zh-CN"/>
        </w:rPr>
        <w:t>支出决算为31.21万元，完成预算100%。</w:t>
      </w:r>
    </w:p>
    <w:p>
      <w:pPr>
        <w:spacing w:line="600" w:lineRule="exact"/>
        <w:ind w:left="0" w:firstLineChars="200" w:firstLine="640"/>
        <w:rPr>
          <w:rStyle w:val="27"/>
          <w:rFonts w:ascii="仿宋_GB2312" w:eastAsia="仿宋_GB2312" w:cs="仿宋_GB2312" w:hint="eastAsia"/>
          <w:b w:val="0"/>
          <w:bCs/>
          <w:color w:val="000000"/>
          <w:sz w:val="32"/>
          <w:szCs w:val="32"/>
          <w:lang w:val="en-US" w:eastAsia="zh-CN"/>
        </w:rPr>
      </w:pPr>
      <w:r>
        <w:rPr>
          <w:rStyle w:val="27"/>
          <w:rFonts w:ascii="仿宋_GB2312" w:eastAsia="仿宋_GB2312" w:cs="仿宋_GB2312" w:hint="eastAsia"/>
          <w:b/>
          <w:bCs w:val="0"/>
          <w:color w:val="000000"/>
          <w:sz w:val="32"/>
          <w:szCs w:val="32"/>
          <w:lang w:val="en-US" w:eastAsia="zh-CN"/>
        </w:rPr>
        <w:t>5.卫生健康支出（类）行政事业单位医疗（款）行政单位医疗（项）：</w:t>
      </w:r>
      <w:r>
        <w:rPr>
          <w:rStyle w:val="27"/>
          <w:rFonts w:ascii="仿宋_GB2312" w:eastAsia="仿宋_GB2312" w:cs="仿宋_GB2312" w:hint="eastAsia"/>
          <w:b w:val="0"/>
          <w:bCs/>
          <w:color w:val="000000"/>
          <w:sz w:val="32"/>
          <w:szCs w:val="32"/>
          <w:lang w:val="en-US" w:eastAsia="zh-CN"/>
        </w:rPr>
        <w:t>支出决算为27.85万元，完成预算100%。</w:t>
      </w:r>
    </w:p>
    <w:p>
      <w:pPr>
        <w:spacing w:line="600" w:lineRule="exact"/>
        <w:ind w:left="0" w:firstLineChars="200" w:firstLine="640"/>
        <w:rPr>
          <w:rFonts w:hint="eastAsia"/>
          <w:lang w:val="en-US" w:eastAsia="zh-CN"/>
        </w:rPr>
      </w:pPr>
      <w:r>
        <w:rPr>
          <w:rStyle w:val="27"/>
          <w:rFonts w:ascii="仿宋_GB2312" w:eastAsia="仿宋_GB2312" w:cs="仿宋_GB2312" w:hint="eastAsia"/>
          <w:b/>
          <w:bCs w:val="0"/>
          <w:color w:val="000000"/>
          <w:sz w:val="32"/>
          <w:szCs w:val="32"/>
          <w:lang w:val="en-US" w:eastAsia="zh-CN"/>
        </w:rPr>
        <w:t>6.卫生健康支出（类）行政事业单位医疗（款）事业单位医疗（项）：</w:t>
      </w:r>
      <w:r>
        <w:rPr>
          <w:rStyle w:val="27"/>
          <w:rFonts w:ascii="仿宋_GB2312" w:eastAsia="仿宋_GB2312" w:cs="仿宋_GB2312" w:hint="eastAsia"/>
          <w:b w:val="0"/>
          <w:bCs/>
          <w:color w:val="000000"/>
          <w:sz w:val="32"/>
          <w:szCs w:val="32"/>
          <w:lang w:val="en-US" w:eastAsia="zh-CN"/>
        </w:rPr>
        <w:t>支出决算为1.80万元，完成预算100%。</w:t>
      </w:r>
    </w:p>
    <w:p>
      <w:pPr>
        <w:spacing w:line="600" w:lineRule="exact"/>
        <w:ind w:left="0" w:firstLineChars="200" w:firstLine="640"/>
        <w:rPr>
          <w:rStyle w:val="27"/>
          <w:rFonts w:ascii="仿宋_GB2312" w:eastAsia="仿宋_GB2312" w:cs="仿宋_GB2312" w:hint="eastAsia"/>
          <w:b w:val="0"/>
          <w:bCs/>
          <w:color w:val="000000"/>
          <w:sz w:val="32"/>
          <w:szCs w:val="32"/>
          <w:lang w:val="en-US" w:eastAsia="zh-CN"/>
        </w:rPr>
      </w:pPr>
      <w:r>
        <w:rPr>
          <w:rStyle w:val="27"/>
          <w:rFonts w:ascii="仿宋_GB2312" w:eastAsia="仿宋_GB2312" w:cs="仿宋_GB2312" w:hint="eastAsia"/>
          <w:b/>
          <w:bCs w:val="0"/>
          <w:color w:val="000000"/>
          <w:sz w:val="32"/>
          <w:szCs w:val="32"/>
          <w:lang w:val="en-US" w:eastAsia="zh-CN"/>
        </w:rPr>
        <w:t>7.卫生健康支出（类）行政事业单位医疗（款）公务员医疗补助（项）：</w:t>
      </w:r>
      <w:r>
        <w:rPr>
          <w:rStyle w:val="27"/>
          <w:rFonts w:ascii="仿宋_GB2312" w:eastAsia="仿宋_GB2312" w:cs="仿宋_GB2312" w:hint="eastAsia"/>
          <w:b w:val="0"/>
          <w:bCs/>
          <w:color w:val="000000"/>
          <w:sz w:val="32"/>
          <w:szCs w:val="32"/>
          <w:lang w:val="en-US" w:eastAsia="zh-CN"/>
        </w:rPr>
        <w:t>支出决算为12.44万元，完成预算100%。</w:t>
      </w:r>
    </w:p>
    <w:p>
      <w:pPr>
        <w:spacing w:line="600" w:lineRule="exact"/>
        <w:ind w:left="0" w:firstLineChars="200" w:firstLine="640"/>
        <w:rPr>
          <w:rStyle w:val="27"/>
          <w:rFonts w:ascii="仿宋_GB2312" w:eastAsia="仿宋_GB2312" w:cs="仿宋_GB2312" w:hint="eastAsia"/>
          <w:b/>
          <w:bCs w:val="0"/>
          <w:color w:val="000000"/>
          <w:sz w:val="32"/>
          <w:szCs w:val="32"/>
          <w:lang w:val="en-US" w:eastAsia="zh-CN"/>
        </w:rPr>
      </w:pPr>
      <w:r>
        <w:rPr>
          <w:rStyle w:val="27"/>
          <w:rFonts w:ascii="仿宋_GB2312" w:eastAsia="仿宋_GB2312" w:cs="仿宋_GB2312" w:hint="eastAsia"/>
          <w:b/>
          <w:bCs w:val="0"/>
          <w:color w:val="000000"/>
          <w:sz w:val="32"/>
          <w:szCs w:val="32"/>
          <w:lang w:val="en-US" w:eastAsia="zh-CN"/>
        </w:rPr>
        <w:t>8.卫生健康支出（类）行政事业单位医疗（款）其他行政事业单位医疗支出（项）：</w:t>
      </w:r>
      <w:r>
        <w:rPr>
          <w:rStyle w:val="27"/>
          <w:rFonts w:ascii="仿宋_GB2312" w:eastAsia="仿宋_GB2312" w:cs="仿宋_GB2312" w:hint="eastAsia"/>
          <w:b w:val="0"/>
          <w:bCs/>
          <w:color w:val="000000"/>
          <w:sz w:val="32"/>
          <w:szCs w:val="32"/>
          <w:lang w:val="en-US" w:eastAsia="zh-CN"/>
        </w:rPr>
        <w:t>支出决算为0.44万元，完成预算100%。</w:t>
      </w:r>
    </w:p>
    <w:p>
      <w:pPr>
        <w:spacing w:line="600" w:lineRule="exact"/>
        <w:ind w:left="0" w:firstLineChars="200" w:firstLine="640"/>
        <w:rPr>
          <w:rStyle w:val="27"/>
          <w:rFonts w:ascii="仿宋_GB2312" w:eastAsia="仿宋_GB2312" w:cs="仿宋_GB2312" w:hint="eastAsia"/>
          <w:b w:val="0"/>
          <w:bCs/>
          <w:color w:val="000000"/>
          <w:sz w:val="32"/>
          <w:szCs w:val="32"/>
          <w:lang w:val="en-US" w:eastAsia="zh-CN"/>
        </w:rPr>
      </w:pPr>
      <w:r>
        <w:rPr>
          <w:rStyle w:val="27"/>
          <w:rFonts w:ascii="仿宋_GB2312" w:eastAsia="仿宋_GB2312" w:cs="仿宋_GB2312" w:hint="eastAsia"/>
          <w:b/>
          <w:bCs w:val="0"/>
          <w:color w:val="000000"/>
          <w:sz w:val="32"/>
          <w:szCs w:val="32"/>
          <w:lang w:val="en-US" w:eastAsia="zh-CN"/>
        </w:rPr>
        <w:t>9.住房保障（类）住房改革支出（款）住房公积金（项）：</w:t>
      </w:r>
      <w:r>
        <w:rPr>
          <w:rStyle w:val="27"/>
          <w:rFonts w:ascii="仿宋_GB2312" w:eastAsia="仿宋_GB2312" w:cs="仿宋_GB2312" w:hint="eastAsia"/>
          <w:b w:val="0"/>
          <w:bCs/>
          <w:color w:val="000000"/>
          <w:sz w:val="32"/>
          <w:szCs w:val="32"/>
          <w:lang w:val="en-US" w:eastAsia="zh-CN"/>
        </w:rPr>
        <w:t>支出决算为49.03万元，完成预算100%。</w:t>
      </w:r>
    </w:p>
    <w:p>
      <w:pPr>
        <w:spacing w:line="600" w:lineRule="exact"/>
        <w:ind w:left="0" w:firstLineChars="200" w:firstLine="640"/>
        <w:rPr>
          <w:rFonts w:hint="eastAsia"/>
          <w:lang w:val="en-US" w:eastAsia="zh-CN"/>
        </w:rPr>
      </w:pPr>
      <w:r>
        <w:rPr>
          <w:rStyle w:val="27"/>
          <w:rFonts w:ascii="仿宋_GB2312" w:eastAsia="仿宋_GB2312" w:cs="仿宋_GB2312" w:hint="eastAsia"/>
          <w:b/>
          <w:bCs w:val="0"/>
          <w:color w:val="000000"/>
          <w:sz w:val="32"/>
          <w:szCs w:val="32"/>
          <w:lang w:val="en-US" w:eastAsia="zh-CN"/>
        </w:rPr>
        <w:t>8.住房保障（类）住房改革支出（款）购房补贴（项）：</w:t>
      </w:r>
      <w:r>
        <w:rPr>
          <w:rStyle w:val="27"/>
          <w:rFonts w:ascii="仿宋_GB2312" w:eastAsia="仿宋_GB2312" w:cs="仿宋_GB2312" w:hint="eastAsia"/>
          <w:b w:val="0"/>
          <w:bCs/>
          <w:color w:val="000000"/>
          <w:sz w:val="32"/>
          <w:szCs w:val="32"/>
          <w:lang w:val="en-US" w:eastAsia="zh-CN"/>
        </w:rPr>
        <w:t>支出决算为5.8万元，完成预算100%。</w:t>
      </w:r>
    </w:p>
    <w:p>
      <w:pPr>
        <w:spacing w:line="600" w:lineRule="exact"/>
        <w:rPr>
          <w:rStyle w:val="2Char"/>
          <w:rFonts w:ascii="仿宋_GB2312" w:eastAsia="仿宋_GB2312" w:cs="仿宋_GB2312" w:hint="eastAsia"/>
          <w:b w:val="0"/>
          <w:lang w:val="en-US" w:eastAsia="zh-CN"/>
        </w:rPr>
      </w:pPr>
      <w:r>
        <w:rPr>
          <w:rFonts w:ascii="黑体" w:eastAsia="黑体" w:cs="Times New Roman" w:hint="eastAsia"/>
          <w:b w:val="0"/>
          <w:bCs/>
          <w:color w:val="000000"/>
          <w:kern w:val="2"/>
          <w:sz w:val="32"/>
          <w:szCs w:val="32"/>
          <w:lang w:val="en-US" w:eastAsia="zh-CN" w:bidi="ar-SA"/>
        </w:rPr>
        <w:t xml:space="preserve">   </w:t>
      </w:r>
      <w:bookmarkStart w:id="134" w:name="_Toc13620"/>
      <w:r>
        <w:rPr>
          <w:rStyle w:val="2Char"/>
          <w:rFonts w:ascii="仿宋_GB2312" w:eastAsia="仿宋_GB2312" w:cs="仿宋_GB2312" w:hint="eastAsia"/>
          <w:b w:val="0"/>
          <w:lang w:val="en-US" w:eastAsia="zh-CN"/>
        </w:rPr>
        <w:t>六、一般公共预算财政拨款基本支出决算情况说明</w:t>
      </w:r>
      <w:bookmarkEnd w:id="125"/>
      <w:bookmarkEnd w:id="126"/>
      <w:r>
        <w:rPr>
          <w:rStyle w:val="2Char"/>
          <w:rFonts w:ascii="仿宋_GB2312" w:eastAsia="仿宋_GB2312" w:cs="仿宋_GB2312" w:hint="eastAsia"/>
          <w:b w:val="0"/>
          <w:lang w:val="en-US" w:eastAsia="zh-CN"/>
        </w:rPr>
        <w:tab/>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rPr>
      </w:pPr>
      <w:bookmarkEnd w:id="130"/>
      <w:bookmarkEnd w:id="131"/>
      <w:bookmarkEnd w:id="132"/>
      <w:bookmarkEnd w:id="133"/>
      <w:bookmarkEnd w:id="134"/>
      <w:r>
        <w:rPr>
          <w:rFonts w:ascii="仿宋_GB2312" w:eastAsia="仿宋_GB2312" w:cs="仿宋" w:hint="eastAsia"/>
          <w:color w:val="000000"/>
          <w:sz w:val="32"/>
          <w:szCs w:val="32"/>
          <w:lang w:eastAsia="zh-CN"/>
        </w:rPr>
        <w:t>202</w:t>
      </w:r>
      <w:r>
        <w:rPr>
          <w:rFonts w:ascii="仿宋_GB2312" w:eastAsia="仿宋_GB2312" w:cs="仿宋" w:hint="eastAsia"/>
          <w:color w:val="000000"/>
          <w:sz w:val="32"/>
          <w:szCs w:val="32"/>
          <w:lang w:val="en-US" w:eastAsia="zh-CN"/>
        </w:rPr>
        <w:t>4</w:t>
      </w:r>
      <w:r>
        <w:rPr>
          <w:rFonts w:ascii="仿宋_GB2312" w:eastAsia="仿宋_GB2312" w:cs="仿宋" w:hint="eastAsia"/>
          <w:color w:val="000000"/>
          <w:sz w:val="32"/>
          <w:szCs w:val="32"/>
          <w:lang w:eastAsia="zh-CN"/>
        </w:rPr>
        <w:t>年</w:t>
      </w:r>
      <w:r>
        <w:rPr>
          <w:rFonts w:ascii="仿宋_GB2312" w:eastAsia="仿宋_GB2312" w:cs="仿宋" w:hint="eastAsia"/>
          <w:color w:val="000000"/>
          <w:sz w:val="32"/>
          <w:szCs w:val="32"/>
        </w:rPr>
        <w:t>一般公共预算财政拨款基本支出</w:t>
      </w:r>
      <w:r>
        <w:rPr>
          <w:rFonts w:ascii="仿宋_GB2312" w:eastAsia="仿宋_GB2312" w:cs="仿宋" w:hint="eastAsia"/>
          <w:color w:val="000000"/>
          <w:sz w:val="32"/>
          <w:szCs w:val="32"/>
          <w:lang w:val="en-US" w:eastAsia="zh-CN"/>
        </w:rPr>
        <w:t>1049.86</w:t>
      </w:r>
      <w:r>
        <w:rPr>
          <w:rFonts w:ascii="仿宋_GB2312" w:eastAsia="仿宋_GB2312" w:cs="仿宋" w:hint="eastAsia"/>
          <w:color w:val="000000"/>
          <w:sz w:val="32"/>
          <w:szCs w:val="32"/>
        </w:rPr>
        <w:t>万元，其中：</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color w:val="000000"/>
          <w:sz w:val="32"/>
          <w:szCs w:val="32"/>
          <w:lang w:val="en-US" w:eastAsia="zh-CN"/>
        </w:rPr>
      </w:pPr>
      <w:r>
        <w:rPr>
          <w:rFonts w:ascii="仿宋_GB2312" w:eastAsia="仿宋_GB2312" w:cs="仿宋" w:hint="eastAsia"/>
          <w:color w:val="000000"/>
          <w:sz w:val="32"/>
          <w:szCs w:val="32"/>
        </w:rPr>
        <w:t>人员经费</w:t>
      </w:r>
      <w:r>
        <w:rPr>
          <w:rFonts w:ascii="仿宋_GB2312" w:eastAsia="仿宋_GB2312" w:cs="仿宋" w:hint="eastAsia"/>
          <w:color w:val="000000"/>
          <w:sz w:val="32"/>
          <w:szCs w:val="32"/>
          <w:lang w:val="en-US" w:eastAsia="zh-CN"/>
        </w:rPr>
        <w:t>682.08</w:t>
      </w:r>
      <w:r>
        <w:rPr>
          <w:rFonts w:ascii="仿宋_GB2312" w:eastAsia="仿宋_GB2312" w:cs="仿宋" w:hint="eastAsia"/>
          <w:color w:val="000000"/>
          <w:sz w:val="32"/>
          <w:szCs w:val="32"/>
        </w:rPr>
        <w:t>万元，主要包括：基本工资</w:t>
      </w:r>
      <w:r>
        <w:rPr>
          <w:rFonts w:ascii="仿宋_GB2312" w:eastAsia="仿宋_GB2312" w:cs="仿宋" w:hint="eastAsia"/>
          <w:color w:val="000000"/>
          <w:sz w:val="32"/>
          <w:szCs w:val="32"/>
          <w:lang w:val="en-US" w:eastAsia="zh-CN"/>
        </w:rPr>
        <w:t>132.46</w:t>
      </w:r>
      <w:r>
        <w:rPr>
          <w:rFonts w:ascii="仿宋_GB2312" w:eastAsia="仿宋_GB2312" w:cs="仿宋" w:hint="eastAsia"/>
          <w:color w:val="000000"/>
          <w:sz w:val="32"/>
          <w:szCs w:val="32"/>
        </w:rPr>
        <w:t>万元、津贴补贴</w:t>
      </w:r>
      <w:r>
        <w:rPr>
          <w:rFonts w:ascii="仿宋_GB2312" w:eastAsia="仿宋_GB2312" w:cs="仿宋" w:hint="eastAsia"/>
          <w:color w:val="000000"/>
          <w:sz w:val="32"/>
          <w:szCs w:val="32"/>
          <w:lang w:val="en-US" w:eastAsia="zh-CN"/>
        </w:rPr>
        <w:t>146.57</w:t>
      </w:r>
      <w:r>
        <w:rPr>
          <w:rFonts w:ascii="仿宋_GB2312" w:eastAsia="仿宋_GB2312" w:cs="仿宋" w:hint="eastAsia"/>
          <w:color w:val="000000"/>
          <w:sz w:val="32"/>
          <w:szCs w:val="32"/>
        </w:rPr>
        <w:t>万元、奖金</w:t>
      </w:r>
      <w:r>
        <w:rPr>
          <w:rFonts w:ascii="仿宋_GB2312" w:eastAsia="仿宋_GB2312" w:cs="仿宋" w:hint="eastAsia"/>
          <w:color w:val="000000"/>
          <w:sz w:val="32"/>
          <w:szCs w:val="32"/>
          <w:lang w:val="en-US" w:eastAsia="zh-CN"/>
        </w:rPr>
        <w:t>159.69</w:t>
      </w:r>
      <w:r>
        <w:rPr>
          <w:rFonts w:ascii="仿宋_GB2312" w:eastAsia="仿宋_GB2312" w:cs="仿宋" w:hint="eastAsia"/>
          <w:color w:val="000000"/>
          <w:sz w:val="32"/>
          <w:szCs w:val="32"/>
        </w:rPr>
        <w:t>万元、机关事业单位基本养老保险缴费</w:t>
      </w:r>
      <w:r>
        <w:rPr>
          <w:rFonts w:ascii="仿宋_GB2312" w:eastAsia="仿宋_GB2312" w:cs="仿宋" w:hint="eastAsia"/>
          <w:color w:val="000000"/>
          <w:sz w:val="32"/>
          <w:szCs w:val="32"/>
          <w:lang w:val="en-US" w:eastAsia="zh-CN"/>
        </w:rPr>
        <w:t>62.41</w:t>
      </w:r>
      <w:r>
        <w:rPr>
          <w:rFonts w:ascii="仿宋_GB2312" w:eastAsia="仿宋_GB2312" w:cs="仿宋" w:hint="eastAsia"/>
          <w:color w:val="000000"/>
          <w:sz w:val="32"/>
          <w:szCs w:val="32"/>
        </w:rPr>
        <w:t>万元、</w:t>
      </w:r>
      <w:r>
        <w:rPr>
          <w:rFonts w:ascii="仿宋_GB2312" w:eastAsia="仿宋_GB2312" w:cs="仿宋" w:hint="eastAsia"/>
          <w:color w:val="000000"/>
          <w:sz w:val="32"/>
          <w:szCs w:val="32"/>
          <w:lang w:val="en-US" w:eastAsia="zh-CN"/>
        </w:rPr>
        <w:t>绩效工资5.97、</w:t>
      </w:r>
      <w:r>
        <w:rPr>
          <w:rFonts w:ascii="仿宋_GB2312" w:eastAsia="仿宋_GB2312" w:cs="仿宋" w:hint="eastAsia"/>
          <w:color w:val="000000"/>
          <w:sz w:val="32"/>
          <w:szCs w:val="32"/>
        </w:rPr>
        <w:t>职业年金缴费</w:t>
      </w:r>
      <w:r>
        <w:rPr>
          <w:rFonts w:ascii="仿宋_GB2312" w:eastAsia="仿宋_GB2312" w:cs="仿宋" w:hint="eastAsia"/>
          <w:color w:val="000000"/>
          <w:sz w:val="32"/>
          <w:szCs w:val="32"/>
          <w:lang w:val="en-US" w:eastAsia="zh-CN"/>
        </w:rPr>
        <w:t>31.21</w:t>
      </w:r>
      <w:r>
        <w:rPr>
          <w:rFonts w:ascii="仿宋_GB2312" w:eastAsia="仿宋_GB2312" w:cs="仿宋" w:hint="eastAsia"/>
          <w:color w:val="000000"/>
          <w:sz w:val="32"/>
          <w:szCs w:val="32"/>
        </w:rPr>
        <w:t>万元、职工基本医疗保险缴费</w:t>
      </w:r>
      <w:r>
        <w:rPr>
          <w:rFonts w:ascii="仿宋_GB2312" w:eastAsia="仿宋_GB2312" w:cs="仿宋" w:hint="eastAsia"/>
          <w:color w:val="000000"/>
          <w:sz w:val="32"/>
          <w:szCs w:val="32"/>
          <w:lang w:val="en-US" w:eastAsia="zh-CN"/>
        </w:rPr>
        <w:t>29.65</w:t>
      </w:r>
      <w:r>
        <w:rPr>
          <w:rFonts w:ascii="仿宋_GB2312" w:eastAsia="仿宋_GB2312" w:cs="仿宋" w:hint="eastAsia"/>
          <w:color w:val="000000"/>
          <w:sz w:val="32"/>
          <w:szCs w:val="32"/>
        </w:rPr>
        <w:t>万元、公务员医疗补助缴费</w:t>
      </w:r>
      <w:r>
        <w:rPr>
          <w:rFonts w:ascii="仿宋_GB2312" w:eastAsia="仿宋_GB2312" w:cs="仿宋" w:hint="eastAsia"/>
          <w:color w:val="000000"/>
          <w:sz w:val="32"/>
          <w:szCs w:val="32"/>
          <w:lang w:val="en-US" w:eastAsia="zh-CN"/>
        </w:rPr>
        <w:t>12.44</w:t>
      </w:r>
      <w:r>
        <w:rPr>
          <w:rFonts w:ascii="仿宋_GB2312" w:eastAsia="仿宋_GB2312" w:cs="仿宋" w:hint="eastAsia"/>
          <w:color w:val="000000"/>
          <w:sz w:val="32"/>
          <w:szCs w:val="32"/>
        </w:rPr>
        <w:t>万元、其他社会保障缴费</w:t>
      </w:r>
      <w:r>
        <w:rPr>
          <w:rFonts w:ascii="仿宋_GB2312" w:eastAsia="仿宋_GB2312" w:cs="仿宋" w:hint="eastAsia"/>
          <w:color w:val="000000"/>
          <w:sz w:val="32"/>
          <w:szCs w:val="32"/>
          <w:lang w:val="en-US" w:eastAsia="zh-CN"/>
        </w:rPr>
        <w:t>1.46</w:t>
      </w:r>
      <w:r>
        <w:rPr>
          <w:rFonts w:ascii="仿宋_GB2312" w:eastAsia="仿宋_GB2312" w:cs="仿宋" w:hint="eastAsia"/>
          <w:color w:val="000000"/>
          <w:sz w:val="32"/>
          <w:szCs w:val="32"/>
        </w:rPr>
        <w:t>万元、住房公积金</w:t>
      </w:r>
      <w:r>
        <w:rPr>
          <w:rFonts w:ascii="仿宋_GB2312" w:eastAsia="仿宋_GB2312" w:cs="仿宋" w:hint="eastAsia"/>
          <w:color w:val="000000"/>
          <w:sz w:val="32"/>
          <w:szCs w:val="32"/>
          <w:lang w:val="en-US" w:eastAsia="zh-CN"/>
        </w:rPr>
        <w:t>49.03</w:t>
      </w:r>
      <w:r>
        <w:rPr>
          <w:rFonts w:ascii="仿宋_GB2312" w:eastAsia="仿宋_GB2312" w:cs="仿宋" w:hint="eastAsia"/>
          <w:color w:val="000000"/>
          <w:sz w:val="32"/>
          <w:szCs w:val="32"/>
        </w:rPr>
        <w:t>万元</w:t>
      </w:r>
      <w:r>
        <w:rPr>
          <w:rFonts w:ascii="仿宋_GB2312" w:eastAsia="仿宋_GB2312" w:cs="仿宋" w:hint="eastAsia"/>
          <w:color w:val="000000"/>
          <w:sz w:val="32"/>
          <w:szCs w:val="32"/>
          <w:lang w:eastAsia="zh-CN"/>
        </w:rPr>
        <w:t>，</w:t>
      </w:r>
      <w:r>
        <w:rPr>
          <w:rFonts w:ascii="仿宋_GB2312" w:eastAsia="仿宋_GB2312" w:cs="仿宋" w:hint="eastAsia"/>
          <w:color w:val="000000"/>
          <w:sz w:val="32"/>
          <w:szCs w:val="32"/>
          <w:lang w:val="en-US" w:eastAsia="zh-CN"/>
        </w:rPr>
        <w:t>生活补助51.17万元，奖励金0.01万元。</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rPr>
      </w:pPr>
      <w:r>
        <w:rPr>
          <w:rFonts w:ascii="仿宋_GB2312" w:eastAsia="仿宋_GB2312" w:cs="仿宋" w:hint="eastAsia"/>
          <w:color w:val="000000"/>
          <w:sz w:val="32"/>
          <w:szCs w:val="32"/>
        </w:rPr>
        <w:t>公用经费</w:t>
      </w:r>
      <w:r>
        <w:rPr>
          <w:rFonts w:ascii="仿宋_GB2312" w:eastAsia="仿宋_GB2312" w:cs="仿宋" w:hint="eastAsia"/>
          <w:color w:val="000000"/>
          <w:sz w:val="32"/>
          <w:szCs w:val="32"/>
          <w:lang w:val="en-US" w:eastAsia="zh-CN"/>
        </w:rPr>
        <w:t>89.73</w:t>
      </w:r>
      <w:r>
        <w:rPr>
          <w:rFonts w:ascii="仿宋_GB2312" w:eastAsia="仿宋_GB2312" w:cs="仿宋" w:hint="eastAsia"/>
          <w:color w:val="000000"/>
          <w:sz w:val="32"/>
          <w:szCs w:val="32"/>
        </w:rPr>
        <w:t>万元，主要包括：办公费</w:t>
      </w:r>
      <w:r>
        <w:rPr>
          <w:rFonts w:ascii="仿宋_GB2312" w:eastAsia="仿宋_GB2312" w:cs="仿宋" w:hint="eastAsia"/>
          <w:color w:val="000000"/>
          <w:sz w:val="32"/>
          <w:szCs w:val="32"/>
          <w:lang w:val="en-US" w:eastAsia="zh-CN"/>
        </w:rPr>
        <w:t>8.2</w:t>
      </w:r>
      <w:r>
        <w:rPr>
          <w:rFonts w:ascii="仿宋_GB2312" w:eastAsia="仿宋_GB2312" w:cs="仿宋" w:hint="eastAsia"/>
          <w:color w:val="000000"/>
          <w:sz w:val="32"/>
          <w:szCs w:val="32"/>
        </w:rPr>
        <w:t>万元、差旅费</w:t>
      </w:r>
      <w:r>
        <w:rPr>
          <w:rFonts w:ascii="仿宋_GB2312" w:eastAsia="仿宋_GB2312" w:cs="仿宋" w:hint="eastAsia"/>
          <w:color w:val="000000"/>
          <w:sz w:val="32"/>
          <w:szCs w:val="32"/>
          <w:lang w:val="en-US" w:eastAsia="zh-CN"/>
        </w:rPr>
        <w:t>29.03</w:t>
      </w:r>
      <w:r>
        <w:rPr>
          <w:rFonts w:ascii="仿宋_GB2312" w:eastAsia="仿宋_GB2312" w:cs="仿宋" w:hint="eastAsia"/>
          <w:color w:val="000000"/>
          <w:sz w:val="32"/>
          <w:szCs w:val="32"/>
        </w:rPr>
        <w:t>万元、维修（护）费</w:t>
      </w:r>
      <w:r>
        <w:rPr>
          <w:rFonts w:ascii="仿宋_GB2312" w:eastAsia="仿宋_GB2312" w:cs="仿宋" w:hint="eastAsia"/>
          <w:color w:val="000000"/>
          <w:sz w:val="32"/>
          <w:szCs w:val="32"/>
          <w:lang w:val="en-US" w:eastAsia="zh-CN"/>
        </w:rPr>
        <w:t>0.41</w:t>
      </w:r>
      <w:r>
        <w:rPr>
          <w:rFonts w:ascii="仿宋_GB2312" w:eastAsia="仿宋_GB2312" w:cs="仿宋" w:hint="eastAsia"/>
          <w:color w:val="000000"/>
          <w:sz w:val="32"/>
          <w:szCs w:val="32"/>
        </w:rPr>
        <w:t>万元、</w:t>
      </w:r>
      <w:r>
        <w:rPr>
          <w:rFonts w:ascii="仿宋_GB2312" w:eastAsia="仿宋_GB2312" w:cs="仿宋" w:hint="eastAsia"/>
          <w:color w:val="000000"/>
          <w:sz w:val="32"/>
          <w:szCs w:val="32"/>
          <w:lang w:val="en-US" w:eastAsia="zh-CN"/>
        </w:rPr>
        <w:t>培训费1.50万元、</w:t>
      </w:r>
      <w:r>
        <w:rPr>
          <w:rFonts w:ascii="仿宋_GB2312" w:eastAsia="仿宋_GB2312" w:cs="仿宋" w:hint="eastAsia"/>
          <w:color w:val="000000"/>
          <w:sz w:val="32"/>
          <w:szCs w:val="32"/>
        </w:rPr>
        <w:t>劳务费</w:t>
      </w:r>
      <w:r>
        <w:rPr>
          <w:rFonts w:ascii="仿宋_GB2312" w:eastAsia="仿宋_GB2312" w:cs="仿宋" w:hint="eastAsia"/>
          <w:color w:val="000000"/>
          <w:sz w:val="32"/>
          <w:szCs w:val="32"/>
          <w:lang w:val="en-US" w:eastAsia="zh-CN"/>
        </w:rPr>
        <w:t>1.56</w:t>
      </w:r>
      <w:r>
        <w:rPr>
          <w:rFonts w:ascii="仿宋_GB2312" w:eastAsia="仿宋_GB2312" w:cs="仿宋" w:hint="eastAsia"/>
          <w:color w:val="000000"/>
          <w:sz w:val="32"/>
          <w:szCs w:val="32"/>
        </w:rPr>
        <w:t>万元、</w:t>
      </w:r>
      <w:r>
        <w:rPr>
          <w:rFonts w:ascii="仿宋_GB2312" w:eastAsia="仿宋_GB2312" w:cs="仿宋" w:hint="eastAsia"/>
          <w:color w:val="000000"/>
          <w:sz w:val="32"/>
          <w:szCs w:val="32"/>
          <w:lang w:val="en-US" w:eastAsia="zh-CN"/>
        </w:rPr>
        <w:t>邮电费11.79万元、</w:t>
      </w:r>
      <w:r>
        <w:rPr>
          <w:rFonts w:ascii="仿宋_GB2312" w:eastAsia="仿宋_GB2312" w:cs="仿宋" w:hint="eastAsia"/>
          <w:color w:val="000000"/>
          <w:sz w:val="32"/>
          <w:szCs w:val="32"/>
        </w:rPr>
        <w:t>福利费</w:t>
      </w:r>
      <w:r>
        <w:rPr>
          <w:rFonts w:ascii="仿宋_GB2312" w:eastAsia="仿宋_GB2312" w:cs="仿宋" w:hint="eastAsia"/>
          <w:color w:val="000000"/>
          <w:sz w:val="32"/>
          <w:szCs w:val="32"/>
          <w:lang w:val="en-US" w:eastAsia="zh-CN"/>
        </w:rPr>
        <w:t>3.24</w:t>
      </w:r>
      <w:r>
        <w:rPr>
          <w:rFonts w:ascii="仿宋_GB2312" w:eastAsia="仿宋_GB2312" w:cs="仿宋" w:hint="eastAsia"/>
          <w:color w:val="000000"/>
          <w:sz w:val="32"/>
          <w:szCs w:val="32"/>
        </w:rPr>
        <w:t>万元、公务用车运行维护费</w:t>
      </w:r>
      <w:r>
        <w:rPr>
          <w:rFonts w:ascii="仿宋_GB2312" w:eastAsia="仿宋_GB2312" w:cs="仿宋" w:hint="eastAsia"/>
          <w:color w:val="000000"/>
          <w:sz w:val="32"/>
          <w:szCs w:val="32"/>
          <w:lang w:val="en-US" w:eastAsia="zh-CN"/>
        </w:rPr>
        <w:t>34</w:t>
      </w:r>
      <w:r>
        <w:rPr>
          <w:rFonts w:ascii="仿宋_GB2312" w:eastAsia="仿宋_GB2312" w:cs="仿宋" w:hint="eastAsia"/>
          <w:color w:val="000000"/>
          <w:sz w:val="32"/>
          <w:szCs w:val="32"/>
        </w:rPr>
        <w:t>万元。</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 w:eastAsia="仿宋"/>
          <w:color w:val="auto"/>
          <w:sz w:val="32"/>
          <w:szCs w:val="32"/>
        </w:rPr>
      </w:pPr>
      <w:r>
        <w:rPr>
          <w:rFonts w:ascii="仿宋_GB2312" w:eastAsia="仿宋_GB2312" w:cs="仿宋" w:hint="eastAsia"/>
          <w:color w:val="auto"/>
          <w:sz w:val="32"/>
          <w:szCs w:val="32"/>
          <w:lang w:eastAsia="zh-CN"/>
        </w:rPr>
        <w:t>202</w:t>
      </w:r>
      <w:r>
        <w:rPr>
          <w:rFonts w:ascii="仿宋_GB2312" w:eastAsia="仿宋_GB2312" w:cs="仿宋" w:hint="eastAsia"/>
          <w:color w:val="auto"/>
          <w:sz w:val="32"/>
          <w:szCs w:val="32"/>
          <w:lang w:val="en-US" w:eastAsia="zh-CN"/>
        </w:rPr>
        <w:t>4</w:t>
      </w:r>
      <w:r>
        <w:rPr>
          <w:rFonts w:ascii="仿宋_GB2312" w:eastAsia="仿宋_GB2312" w:cs="仿宋" w:hint="eastAsia"/>
          <w:color w:val="auto"/>
          <w:sz w:val="32"/>
          <w:szCs w:val="32"/>
          <w:lang w:eastAsia="zh-CN"/>
        </w:rPr>
        <w:t>年</w:t>
      </w:r>
      <w:r>
        <w:rPr>
          <w:rFonts w:ascii="仿宋_GB2312" w:eastAsia="仿宋_GB2312" w:cs="仿宋" w:hint="eastAsia"/>
          <w:color w:val="auto"/>
          <w:sz w:val="32"/>
          <w:szCs w:val="32"/>
        </w:rPr>
        <w:t>一般公共预算财政拨款项目支出</w:t>
      </w:r>
      <w:r>
        <w:rPr>
          <w:rFonts w:ascii="仿宋_GB2312" w:eastAsia="仿宋_GB2312" w:cs="仿宋" w:hint="eastAsia"/>
          <w:color w:val="auto"/>
          <w:sz w:val="32"/>
          <w:szCs w:val="32"/>
          <w:lang w:val="en-US" w:eastAsia="zh-CN"/>
        </w:rPr>
        <w:t>278.05</w:t>
      </w:r>
      <w:r>
        <w:rPr>
          <w:rFonts w:ascii="仿宋_GB2312" w:eastAsia="仿宋_GB2312" w:cs="仿宋" w:hint="eastAsia"/>
          <w:color w:val="auto"/>
          <w:sz w:val="32"/>
          <w:szCs w:val="32"/>
        </w:rPr>
        <w:t>万元，其中：</w:t>
      </w:r>
      <w:r>
        <w:rPr>
          <w:rFonts w:ascii="仿宋_GB2312" w:eastAsia="仿宋_GB2312" w:cs="仿宋" w:hint="eastAsia"/>
          <w:color w:val="auto"/>
          <w:sz w:val="32"/>
          <w:szCs w:val="32"/>
          <w:lang w:eastAsia="zh-CN"/>
        </w:rPr>
        <w:t>人大会议</w:t>
      </w:r>
      <w:r>
        <w:rPr>
          <w:rFonts w:ascii="仿宋_GB2312" w:eastAsia="仿宋_GB2312" w:cs="仿宋" w:hint="eastAsia"/>
          <w:color w:val="auto"/>
          <w:sz w:val="32"/>
          <w:szCs w:val="32"/>
          <w:lang w:val="en-US" w:eastAsia="zh-CN"/>
        </w:rPr>
        <w:t>43.48</w:t>
      </w:r>
      <w:r>
        <w:rPr>
          <w:rFonts w:ascii="仿宋_GB2312" w:eastAsia="仿宋_GB2312" w:cs="仿宋" w:hint="eastAsia"/>
          <w:color w:val="auto"/>
          <w:sz w:val="32"/>
          <w:szCs w:val="32"/>
        </w:rPr>
        <w:t>万元</w:t>
      </w:r>
      <w:r>
        <w:rPr>
          <w:rFonts w:ascii="仿宋_GB2312" w:eastAsia="仿宋_GB2312" w:cs="仿宋" w:hint="eastAsia"/>
          <w:color w:val="auto"/>
          <w:sz w:val="32"/>
          <w:szCs w:val="32"/>
          <w:lang w:eastAsia="zh-CN"/>
        </w:rPr>
        <w:t>，</w:t>
      </w:r>
      <w:r>
        <w:rPr>
          <w:rFonts w:ascii="仿宋_GB2312" w:eastAsia="仿宋_GB2312" w:cs="仿宋" w:hint="eastAsia"/>
          <w:color w:val="auto"/>
          <w:sz w:val="32"/>
          <w:szCs w:val="32"/>
        </w:rPr>
        <w:t>代表工作</w:t>
      </w:r>
      <w:r>
        <w:rPr>
          <w:rFonts w:ascii="仿宋_GB2312" w:eastAsia="仿宋_GB2312" w:cs="仿宋" w:hint="eastAsia"/>
          <w:color w:val="auto"/>
          <w:sz w:val="32"/>
          <w:szCs w:val="32"/>
          <w:lang w:val="en-US" w:eastAsia="zh-CN"/>
        </w:rPr>
        <w:t>187.56</w:t>
      </w:r>
      <w:r>
        <w:rPr>
          <w:rFonts w:ascii="仿宋_GB2312" w:eastAsia="仿宋_GB2312" w:cs="仿宋" w:hint="eastAsia"/>
          <w:color w:val="auto"/>
          <w:sz w:val="32"/>
          <w:szCs w:val="32"/>
        </w:rPr>
        <w:t>万元</w:t>
      </w:r>
      <w:r>
        <w:rPr>
          <w:rFonts w:ascii="仿宋_GB2312" w:eastAsia="仿宋_GB2312" w:cs="仿宋" w:hint="eastAsia"/>
          <w:color w:val="auto"/>
          <w:sz w:val="32"/>
          <w:szCs w:val="32"/>
          <w:lang w:eastAsia="zh-CN"/>
        </w:rPr>
        <w:t>，</w:t>
      </w:r>
      <w:r>
        <w:rPr>
          <w:rFonts w:ascii="仿宋_GB2312" w:eastAsia="仿宋_GB2312" w:cs="仿宋" w:hint="eastAsia"/>
          <w:color w:val="auto"/>
          <w:sz w:val="32"/>
          <w:szCs w:val="32"/>
          <w:lang w:val="en-US" w:eastAsia="zh-CN"/>
        </w:rPr>
        <w:t>培训支出1.11万元，其他人大事务支出45.90</w:t>
      </w:r>
      <w:r>
        <w:rPr>
          <w:rFonts w:ascii="仿宋_GB2312" w:eastAsia="仿宋_GB2312" w:cs="仿宋" w:hint="eastAsia"/>
          <w:color w:val="auto"/>
          <w:sz w:val="32"/>
          <w:szCs w:val="32"/>
        </w:rPr>
        <w:t>。</w:t>
      </w:r>
    </w:p>
    <w:p>
      <w:pPr>
        <w:spacing w:line="600" w:lineRule="exact"/>
        <w:rPr>
          <w:rStyle w:val="2Char"/>
          <w:rFonts w:ascii="仿宋_GB2312" w:eastAsia="仿宋_GB2312" w:cs="仿宋_GB2312" w:hint="eastAsia"/>
          <w:b w:val="0"/>
          <w:lang w:val="en-US" w:eastAsia="zh-CN"/>
        </w:rPr>
      </w:pPr>
      <w:bookmarkStart w:id="135" w:name="_Toc15377215"/>
      <w:bookmarkStart w:id="136" w:name="_Toc26242"/>
      <w:bookmarkStart w:id="137" w:name="_Toc15396609"/>
      <w:bookmarkStart w:id="138" w:name="_Toc20641"/>
      <w:bookmarkStart w:id="139" w:name="_Toc28477"/>
      <w:bookmarkStart w:id="140" w:name="_Toc6732"/>
      <w:r>
        <w:rPr>
          <w:rFonts w:ascii="黑体" w:eastAsia="黑体" w:cs="Times New Roman" w:hint="eastAsia"/>
          <w:b w:val="0"/>
          <w:bCs/>
          <w:color w:val="000000"/>
          <w:kern w:val="2"/>
          <w:sz w:val="32"/>
          <w:szCs w:val="32"/>
          <w:lang w:val="en-US" w:eastAsia="zh-CN" w:bidi="ar-SA"/>
        </w:rPr>
        <w:t xml:space="preserve">  </w:t>
      </w:r>
      <w:bookmarkStart w:id="141" w:name="_Toc19002"/>
      <w:r>
        <w:rPr>
          <w:rStyle w:val="2Char"/>
          <w:rFonts w:ascii="仿宋_GB2312" w:eastAsia="仿宋_GB2312" w:cs="仿宋_GB2312" w:hint="eastAsia"/>
          <w:b w:val="0"/>
          <w:lang w:val="en-US" w:eastAsia="zh-CN"/>
        </w:rPr>
        <w:t>七、“三公”经费财政拨款支出决算情况说明</w:t>
      </w:r>
      <w:bookmarkEnd w:id="135"/>
      <w:bookmarkEnd w:id="136"/>
      <w:bookmarkEnd w:id="137"/>
    </w:p>
    <w:p>
      <w:pPr>
        <w:spacing w:line="600" w:lineRule="exact"/>
        <w:ind w:firstLine="640"/>
        <w:outlineLvl w:val="2"/>
        <w:rPr>
          <w:rFonts w:ascii="仿宋_GB2312" w:eastAsia="仿宋_GB2312" w:cs="仿宋_GB2312" w:hint="eastAsia"/>
          <w:b/>
          <w:color w:val="000000"/>
          <w:sz w:val="32"/>
          <w:szCs w:val="32"/>
        </w:rPr>
      </w:pPr>
      <w:bookmarkStart w:id="142" w:name="_Toc15377216"/>
      <w:bookmarkStart w:id="143" w:name="_Toc11137"/>
      <w:bookmarkEnd w:id="138"/>
      <w:bookmarkEnd w:id="139"/>
      <w:bookmarkEnd w:id="140"/>
      <w:bookmarkEnd w:id="141"/>
      <w:r>
        <w:rPr>
          <w:rFonts w:ascii="仿宋_GB2312" w:eastAsia="仿宋_GB2312" w:cs="仿宋_GB2312" w:hint="eastAsia"/>
          <w:b/>
          <w:color w:val="000000"/>
          <w:sz w:val="32"/>
          <w:szCs w:val="32"/>
        </w:rPr>
        <w:t>（一）“三公”经费财政拨款支出决算总体情况说明</w:t>
      </w:r>
      <w:bookmarkEnd w:id="142"/>
      <w:bookmarkEnd w:id="143"/>
    </w:p>
    <w:p>
      <w:pPr>
        <w:spacing w:line="600" w:lineRule="exact"/>
        <w:ind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rPr>
        <w:t>“三公”经费财政拨款支出决算为</w:t>
      </w:r>
      <w:r>
        <w:rPr>
          <w:rFonts w:ascii="仿宋_GB2312" w:eastAsia="仿宋_GB2312" w:cs="仿宋_GB2312" w:hint="eastAsia"/>
          <w:color w:val="000000"/>
          <w:sz w:val="32"/>
          <w:szCs w:val="32"/>
          <w:lang w:val="en-US" w:eastAsia="zh-CN"/>
        </w:rPr>
        <w:t>34</w:t>
      </w:r>
      <w:r>
        <w:rPr>
          <w:rFonts w:ascii="仿宋_GB2312" w:eastAsia="仿宋_GB2312" w:cs="仿宋_GB2312" w:hint="eastAsia"/>
          <w:color w:val="000000"/>
          <w:sz w:val="32"/>
          <w:szCs w:val="32"/>
        </w:rPr>
        <w:t>万元，完成预算</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 w:eastAsia="仿宋" w:hint="eastAsia"/>
          <w:sz w:val="32"/>
          <w:szCs w:val="32"/>
        </w:rPr>
        <w:t>决算数与预算数持平。</w:t>
      </w:r>
    </w:p>
    <w:p>
      <w:pPr>
        <w:spacing w:line="600" w:lineRule="exact"/>
        <w:ind w:firstLine="640"/>
        <w:outlineLvl w:val="2"/>
        <w:rPr>
          <w:rFonts w:ascii="仿宋_GB2312" w:eastAsia="仿宋_GB2312" w:cs="仿宋_GB2312" w:hint="eastAsia"/>
          <w:b/>
          <w:color w:val="000000"/>
          <w:sz w:val="32"/>
          <w:szCs w:val="32"/>
        </w:rPr>
      </w:pPr>
      <w:bookmarkStart w:id="144" w:name="_Toc15377217"/>
      <w:bookmarkStart w:id="145" w:name="_Toc23984"/>
      <w:r>
        <w:rPr>
          <w:rFonts w:ascii="仿宋_GB2312" w:eastAsia="仿宋_GB2312" w:cs="仿宋_GB2312" w:hint="eastAsia"/>
          <w:b/>
          <w:color w:val="000000"/>
          <w:sz w:val="32"/>
          <w:szCs w:val="32"/>
        </w:rPr>
        <w:t>（二）“三公”经费财政拨款支出决算具体情况说明</w:t>
      </w:r>
      <w:bookmarkEnd w:id="144"/>
      <w:bookmarkEnd w:id="145"/>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rPr>
        <w:t>“三公”经费财政拨款支出</w:t>
      </w:r>
      <w:r>
        <w:rPr>
          <w:rFonts w:ascii="仿宋_GB2312" w:eastAsia="仿宋_GB2312" w:cs="仿宋_GB2312" w:hint="eastAsia"/>
          <w:color w:val="auto"/>
          <w:sz w:val="32"/>
          <w:szCs w:val="32"/>
        </w:rPr>
        <w:t>决算</w:t>
      </w:r>
      <w:r>
        <w:rPr>
          <w:rFonts w:ascii="仿宋_GB2312" w:eastAsia="仿宋_GB2312" w:cs="仿宋_GB2312" w:hint="eastAsia"/>
          <w:color w:val="auto"/>
          <w:sz w:val="32"/>
          <w:szCs w:val="32"/>
          <w:lang w:val="en-US" w:eastAsia="zh-CN"/>
        </w:rPr>
        <w:t>34万元</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其中：</w:t>
      </w:r>
      <w:r>
        <w:rPr>
          <w:rFonts w:ascii="仿宋_GB2312" w:eastAsia="仿宋_GB2312" w:cs="仿宋_GB2312" w:hint="eastAsia"/>
          <w:color w:val="000000"/>
          <w:sz w:val="32"/>
          <w:szCs w:val="32"/>
        </w:rPr>
        <w:t>因公出国（境）费支出决算</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%；公务用车购置及运行维护费支出决算</w:t>
      </w:r>
      <w:r>
        <w:rPr>
          <w:rFonts w:ascii="仿宋_GB2312" w:eastAsia="仿宋_GB2312" w:cs="仿宋_GB2312" w:hint="eastAsia"/>
          <w:color w:val="000000"/>
          <w:sz w:val="32"/>
          <w:szCs w:val="32"/>
          <w:lang w:val="en-US" w:eastAsia="zh-CN"/>
        </w:rPr>
        <w:t>34</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%；公务接待费支出决算</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%。具体情况如下：</w:t>
      </w:r>
    </w:p>
    <w:p>
      <w:pPr>
        <w:spacing w:line="600" w:lineRule="exact"/>
        <w:ind w:firstLine="640"/>
        <w:rPr>
          <w:rFonts w:ascii="仿宋_GB2312" w:eastAsia="仿宋_GB2312" w:cs="仿宋_GB2312" w:hint="eastAsia"/>
          <w:color w:val="000000"/>
          <w:sz w:val="32"/>
          <w:szCs w:val="32"/>
          <w:lang w:eastAsia="zh-CN"/>
        </w:rPr>
      </w:pPr>
      <w:r>
        <w:drawing>
          <wp:anchor distT="0" distB="0" distL="114300" distR="114300" simplePos="0" relativeHeight="24" behindDoc="0" locked="0" layoutInCell="1" hidden="0" allowOverlap="1">
            <wp:simplePos x="0" y="0"/>
            <wp:positionH relativeFrom="column">
              <wp:posOffset>377190</wp:posOffset>
            </wp:positionH>
            <wp:positionV relativeFrom="paragraph">
              <wp:posOffset>47625</wp:posOffset>
            </wp:positionV>
            <wp:extent cx="4571998" cy="1791970"/>
            <wp:effectExtent l="0" t="0" r="0" b="0"/>
            <wp:wrapSquare wrapText="bothSides"/>
            <wp:docPr id="9" name="图表 7"/>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b/>
          <w:color w:val="000000"/>
          <w:sz w:val="32"/>
          <w:szCs w:val="32"/>
          <w:lang w:val="en-US" w:eastAsia="zh-CN"/>
        </w:rPr>
        <w:t>1.</w:t>
      </w:r>
      <w:r>
        <w:rPr>
          <w:rFonts w:ascii="仿宋_GB2312" w:eastAsia="仿宋_GB2312" w:cs="仿宋_GB2312" w:hint="eastAsia"/>
          <w:b/>
          <w:color w:val="000000"/>
          <w:sz w:val="32"/>
          <w:szCs w:val="32"/>
        </w:rPr>
        <w:t>因公出国（境）经费支出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r>
        <w:rPr>
          <w:rStyle w:val="27"/>
          <w:rFonts w:ascii="仿宋_GB2312" w:eastAsia="仿宋_GB2312" w:cs="仿宋_GB2312" w:hint="eastAsia"/>
          <w:b w:val="0"/>
          <w:bCs/>
          <w:color w:val="000000"/>
          <w:sz w:val="32"/>
          <w:szCs w:val="32"/>
        </w:rPr>
        <w:t>完成预算</w:t>
      </w:r>
      <w:r>
        <w:rPr>
          <w:rStyle w:val="27"/>
          <w:rFonts w:ascii="仿宋_GB2312" w:eastAsia="仿宋_GB2312" w:cs="仿宋_GB2312" w:hint="eastAsia"/>
          <w:b w:val="0"/>
          <w:bCs/>
          <w:color w:val="000000"/>
          <w:sz w:val="32"/>
          <w:szCs w:val="32"/>
          <w:lang w:val="en-US" w:eastAsia="zh-CN"/>
        </w:rPr>
        <w:t>0。</w:t>
      </w:r>
      <w:r>
        <w:rPr>
          <w:rFonts w:ascii="仿宋_GB2312" w:eastAsia="仿宋_GB2312" w:cs="仿宋_GB2312" w:hint="eastAsia"/>
          <w:color w:val="auto"/>
          <w:sz w:val="32"/>
          <w:szCs w:val="32"/>
        </w:rPr>
        <w:t>全年安排因公出国（境）团组</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次，出国（境）</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人。因</w:t>
      </w:r>
      <w:r>
        <w:rPr>
          <w:rFonts w:ascii="仿宋_GB2312" w:eastAsia="仿宋_GB2312" w:cs="仿宋_GB2312" w:hint="eastAsia"/>
          <w:color w:val="000000"/>
          <w:sz w:val="32"/>
          <w:szCs w:val="32"/>
        </w:rPr>
        <w:t>公出国（境）支出决算比</w:t>
      </w:r>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lang w:val="en-US" w:eastAsia="zh-CN"/>
        </w:rPr>
        <w:t>增加0万元。</w:t>
      </w:r>
    </w:p>
    <w:p>
      <w:pPr>
        <w:spacing w:line="600" w:lineRule="exact"/>
        <w:ind w:firstLine="640"/>
        <w:rPr>
          <w:rFonts w:ascii="仿宋_GB2312" w:eastAsia="仿宋_GB2312" w:cs="仿宋_GB2312" w:hint="eastAsia"/>
          <w:b/>
          <w:color w:val="auto"/>
          <w:sz w:val="32"/>
          <w:szCs w:val="32"/>
          <w:lang w:eastAsia="zh-CN"/>
        </w:rPr>
      </w:pPr>
      <w:r>
        <w:rPr>
          <w:rFonts w:ascii="仿宋_GB2312" w:eastAsia="仿宋_GB2312" w:cs="仿宋_GB2312" w:hint="eastAsia"/>
          <w:b/>
          <w:color w:val="000000"/>
          <w:sz w:val="32"/>
          <w:szCs w:val="32"/>
        </w:rPr>
        <w:t>2.</w:t>
      </w:r>
      <w:r>
        <w:rPr>
          <w:rFonts w:ascii="仿宋_GB2312" w:eastAsia="仿宋_GB2312" w:cs="仿宋_GB2312" w:hint="eastAsia"/>
          <w:b/>
          <w:color w:val="000000"/>
          <w:sz w:val="32"/>
          <w:szCs w:val="32"/>
          <w:lang w:val="en-US" w:eastAsia="zh-CN"/>
        </w:rPr>
        <w:t>公务</w:t>
      </w:r>
      <w:r>
        <w:rPr>
          <w:rFonts w:ascii="仿宋_GB2312" w:eastAsia="仿宋_GB2312" w:cs="仿宋_GB2312" w:hint="eastAsia"/>
          <w:b/>
          <w:color w:val="auto"/>
          <w:sz w:val="32"/>
          <w:szCs w:val="32"/>
          <w:shd w:val="clear" w:color="auto" w:fill="auto"/>
        </w:rPr>
        <w:t>用车</w:t>
      </w:r>
      <w:r>
        <w:rPr>
          <w:rFonts w:ascii="仿宋_GB2312" w:eastAsia="仿宋_GB2312" w:cs="仿宋_GB2312" w:hint="eastAsia"/>
          <w:b/>
          <w:color w:val="000000"/>
          <w:sz w:val="32"/>
          <w:szCs w:val="32"/>
          <w:shd w:val="clear" w:color="auto" w:fill="auto"/>
        </w:rPr>
        <w:t>购置</w:t>
      </w:r>
      <w:r>
        <w:rPr>
          <w:rFonts w:ascii="仿宋_GB2312" w:eastAsia="仿宋_GB2312" w:cs="仿宋_GB2312" w:hint="eastAsia"/>
          <w:b/>
          <w:color w:val="000000"/>
          <w:sz w:val="32"/>
          <w:szCs w:val="32"/>
        </w:rPr>
        <w:t>及运行维护费支出</w:t>
      </w:r>
      <w:r>
        <w:rPr>
          <w:rFonts w:ascii="仿宋_GB2312" w:eastAsia="仿宋_GB2312" w:cs="仿宋_GB2312" w:hint="eastAsia"/>
          <w:b/>
          <w:color w:val="000000"/>
          <w:sz w:val="32"/>
          <w:szCs w:val="32"/>
          <w:lang w:val="en-US" w:eastAsia="zh-CN"/>
        </w:rPr>
        <w:t>34</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eastAsia="zh-CN"/>
        </w:rPr>
        <w:t>，</w:t>
      </w:r>
      <w:r>
        <w:rPr>
          <w:rStyle w:val="27"/>
          <w:rFonts w:ascii="仿宋_GB2312" w:eastAsia="仿宋_GB2312" w:cs="仿宋_GB2312" w:hint="eastAsia"/>
          <w:b w:val="0"/>
          <w:bCs/>
          <w:color w:val="000000"/>
          <w:sz w:val="32"/>
          <w:szCs w:val="32"/>
        </w:rPr>
        <w:t>完成预算</w:t>
      </w:r>
      <w:r>
        <w:rPr>
          <w:rStyle w:val="27"/>
          <w:rFonts w:ascii="仿宋_GB2312" w:eastAsia="仿宋_GB2312" w:cs="仿宋_GB2312" w:hint="eastAsia"/>
          <w:b w:val="0"/>
          <w:bCs/>
          <w:color w:val="000000"/>
          <w:sz w:val="32"/>
          <w:szCs w:val="32"/>
          <w:lang w:val="en-US" w:eastAsia="zh-CN"/>
        </w:rPr>
        <w:t>100%</w:t>
      </w:r>
      <w:r>
        <w:rPr>
          <w:rStyle w:val="27"/>
          <w:rFonts w:ascii="仿宋_GB2312" w:eastAsia="仿宋_GB2312" w:cs="仿宋_GB2312" w:hint="eastAsia"/>
          <w:b w:val="0"/>
          <w:bCs/>
          <w:color w:val="000000"/>
          <w:sz w:val="32"/>
          <w:szCs w:val="32"/>
        </w:rPr>
        <w:t>。</w:t>
      </w:r>
      <w:r>
        <w:rPr>
          <w:rFonts w:ascii="仿宋_GB2312" w:eastAsia="仿宋_GB2312" w:cs="仿宋_GB2312" w:hint="eastAsia"/>
          <w:color w:val="000000"/>
          <w:sz w:val="32"/>
          <w:szCs w:val="32"/>
        </w:rPr>
        <w:t>公务用车购置及运行维护费支出决算比</w:t>
      </w:r>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3</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lang w:val="en-US" w:eastAsia="zh-CN"/>
        </w:rPr>
        <w:t>增加0.06</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lang w:val="en-US" w:eastAsia="zh-CN"/>
        </w:rPr>
        <w:t>增加</w:t>
      </w:r>
      <w:r>
        <w:rPr>
          <w:rFonts w:ascii="仿宋_GB2312" w:eastAsia="仿宋_GB2312" w:hint="eastAsia"/>
          <w:sz w:val="32"/>
          <w:szCs w:val="32"/>
          <w:lang w:val="en-US" w:eastAsia="zh-CN"/>
        </w:rPr>
        <w:t>0.18</w:t>
      </w:r>
      <w:r>
        <w:rPr>
          <w:rFonts w:ascii="仿宋_GB2312" w:eastAsia="仿宋_GB2312" w:hint="eastAsia"/>
          <w:sz w:val="32"/>
          <w:szCs w:val="32"/>
        </w:rPr>
        <w:t>%，主要原因是</w:t>
      </w:r>
      <w:r>
        <w:rPr>
          <w:rFonts w:ascii="仿宋_GB2312" w:eastAsia="仿宋_GB2312" w:hint="eastAsia"/>
          <w:sz w:val="32"/>
          <w:szCs w:val="32"/>
          <w:lang w:val="en-US" w:eastAsia="zh-CN"/>
        </w:rPr>
        <w:t>车辆维修次数增多</w:t>
      </w:r>
      <w:r>
        <w:rPr>
          <w:rFonts w:ascii="仿宋_GB2312" w:eastAsia="仿宋_GB2312" w:hint="eastAsia"/>
          <w:sz w:val="32"/>
          <w:szCs w:val="32"/>
        </w:rPr>
        <w:t>。</w:t>
      </w:r>
    </w:p>
    <w:p>
      <w:pPr>
        <w:autoSpaceDE w:val="0"/>
        <w:autoSpaceDN w:val="0"/>
        <w:adjustRightInd w:val="0"/>
        <w:spacing w:line="600" w:lineRule="exact"/>
        <w:ind w:firstLineChars="200" w:firstLine="640"/>
        <w:jc w:val="left"/>
        <w:rPr>
          <w:rFonts w:ascii="仿宋_GB2312" w:eastAsia="仿宋_GB2312" w:cs="仿宋_GB2312" w:hint="eastAsia"/>
          <w:b/>
          <w:color w:val="000000"/>
          <w:sz w:val="32"/>
          <w:szCs w:val="32"/>
          <w:lang w:val="en-US" w:eastAsia="zh-CN"/>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lang w:eastAsia="zh-CN"/>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日，共有车辆5辆，其中：部级领导干部用车0辆、主要领导干部用车0辆、机要通信用车0辆、应急保障用车0辆、执法执勤用车0辆、特种专业技术用车0辆、离退休干部用车0辆、</w:t>
      </w:r>
      <w:r>
        <w:rPr>
          <w:rFonts w:ascii="仿宋_GB2312" w:eastAsia="仿宋_GB2312" w:hint="eastAsia"/>
          <w:sz w:val="32"/>
          <w:szCs w:val="32"/>
        </w:rPr>
        <w:t>其他用车5辆；</w:t>
      </w:r>
    </w:p>
    <w:p>
      <w:pPr>
        <w:pageBreakBefore w:val="0"/>
        <w:widowControl w:val="0"/>
        <w:kinsoku/>
        <w:wordWrap/>
        <w:overflowPunct/>
        <w:topLinePunct w:val="0"/>
        <w:bidi w:val="0"/>
        <w:spacing w:line="600" w:lineRule="exact"/>
        <w:ind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b/>
          <w:color w:val="000000"/>
          <w:sz w:val="32"/>
          <w:szCs w:val="32"/>
        </w:rPr>
        <w:t>公务用车运行维护费支出</w:t>
      </w:r>
      <w:r>
        <w:rPr>
          <w:rFonts w:ascii="仿宋_GB2312" w:eastAsia="仿宋_GB2312" w:cs="仿宋_GB2312" w:hint="eastAsia"/>
          <w:b/>
          <w:color w:val="000000"/>
          <w:sz w:val="32"/>
          <w:szCs w:val="32"/>
          <w:lang w:val="en-US" w:eastAsia="zh-CN"/>
        </w:rPr>
        <w:t>34</w:t>
      </w:r>
      <w:r>
        <w:rPr>
          <w:rFonts w:ascii="仿宋_GB2312" w:eastAsia="仿宋_GB2312" w:cs="仿宋_GB2312" w:hint="eastAsia"/>
          <w:color w:val="auto"/>
          <w:sz w:val="32"/>
          <w:szCs w:val="32"/>
        </w:rPr>
        <w:t>万元</w:t>
      </w:r>
      <w:r>
        <w:rPr>
          <w:rFonts w:ascii="仿宋_GB2312" w:eastAsia="仿宋_GB2312" w:cs="仿宋_GB2312" w:hint="eastAsia"/>
          <w:color w:val="auto"/>
          <w:sz w:val="32"/>
          <w:szCs w:val="32"/>
          <w:lang w:eastAsia="zh-CN"/>
        </w:rPr>
        <w:t>，</w:t>
      </w:r>
      <w:r>
        <w:rPr>
          <w:rFonts w:ascii="仿宋_GB2312" w:eastAsia="仿宋_GB2312" w:hint="eastAsia"/>
          <w:color w:val="000000"/>
          <w:sz w:val="32"/>
          <w:szCs w:val="32"/>
        </w:rPr>
        <w:t>主要用于我单位所需的公务用车燃料费、维修费、过路过桥费、保险费等支出。</w:t>
      </w:r>
    </w:p>
    <w:p>
      <w:pPr>
        <w:pageBreakBefore w:val="0"/>
        <w:widowControl w:val="0"/>
        <w:kinsoku/>
        <w:wordWrap/>
        <w:overflowPunct/>
        <w:topLinePunct w:val="0"/>
        <w:bidi w:val="0"/>
        <w:spacing w:line="600" w:lineRule="exact"/>
        <w:ind w:left="640"/>
        <w:textAlignment w:val="auto"/>
        <w:rPr>
          <w:rFonts w:ascii="仿宋_GB2312" w:eastAsia="仿宋_GB2312" w:cs="仿宋"/>
          <w:color w:val="000000"/>
          <w:sz w:val="32"/>
          <w:szCs w:val="32"/>
        </w:rPr>
      </w:pPr>
      <w:bookmarkStart w:id="146" w:name="_Toc15377218"/>
      <w:bookmarkStart w:id="147" w:name="_Toc15396610"/>
      <w:bookmarkStart w:id="148" w:name="_Toc11583"/>
      <w:bookmarkStart w:id="149" w:name="_Toc26072"/>
      <w:bookmarkStart w:id="150" w:name="_Toc27667"/>
      <w:r>
        <w:rPr>
          <w:rFonts w:ascii="仿宋_GB2312" w:eastAsia="仿宋_GB2312" w:cs="仿宋_GB2312" w:hint="eastAsia"/>
          <w:b/>
          <w:color w:val="000000"/>
          <w:sz w:val="32"/>
          <w:szCs w:val="32"/>
          <w:lang w:val="en-US" w:eastAsia="zh-CN"/>
        </w:rPr>
        <w:t>3.</w:t>
      </w:r>
      <w:r>
        <w:rPr>
          <w:rFonts w:ascii="仿宋_GB2312" w:eastAsia="仿宋_GB2312" w:cs="仿宋_GB2312" w:hint="eastAsia"/>
          <w:b/>
          <w:color w:val="000000"/>
          <w:sz w:val="32"/>
          <w:szCs w:val="32"/>
        </w:rPr>
        <w:t>公务接待费支出</w:t>
      </w:r>
      <w:r>
        <w:rPr>
          <w:rFonts w:ascii="仿宋_GB2312" w:eastAsia="仿宋_GB2312" w:hint="eastAsia"/>
          <w:color w:val="000000"/>
          <w:sz w:val="32"/>
          <w:szCs w:val="32"/>
        </w:rPr>
        <w:t>0万元，</w:t>
      </w:r>
      <w:r>
        <w:rPr>
          <w:rStyle w:val="27"/>
          <w:rFonts w:ascii="仿宋" w:eastAsia="仿宋" w:hint="eastAsia"/>
          <w:b w:val="0"/>
          <w:bCs/>
          <w:color w:val="000000"/>
          <w:sz w:val="32"/>
          <w:szCs w:val="32"/>
        </w:rPr>
        <w:t>完成预算0</w:t>
      </w:r>
      <w:r>
        <w:rPr>
          <w:rStyle w:val="27"/>
          <w:rFonts w:ascii="仿宋" w:eastAsia="仿宋"/>
          <w:b w:val="0"/>
          <w:bCs/>
          <w:color w:val="000000"/>
          <w:sz w:val="32"/>
          <w:szCs w:val="32"/>
        </w:rPr>
        <w:t>%</w:t>
      </w:r>
      <w:r>
        <w:rPr>
          <w:rStyle w:val="27"/>
          <w:rFonts w:ascii="仿宋" w:eastAsia="仿宋" w:hint="eastAsia"/>
          <w:b w:val="0"/>
          <w:bCs/>
          <w:color w:val="000000"/>
          <w:sz w:val="32"/>
          <w:szCs w:val="32"/>
        </w:rPr>
        <w:t>。</w:t>
      </w:r>
      <w:r>
        <w:rPr>
          <w:rFonts w:ascii="仿宋_GB2312" w:eastAsia="仿宋_GB2312" w:cs="仿宋" w:hint="eastAsia"/>
          <w:color w:val="000000"/>
          <w:sz w:val="32"/>
          <w:szCs w:val="32"/>
        </w:rPr>
        <w:t>公务接待费0万元。</w:t>
      </w:r>
    </w:p>
    <w:p>
      <w:pPr>
        <w:spacing w:line="600" w:lineRule="exact"/>
        <w:ind w:firstLineChars="200" w:firstLine="640"/>
        <w:outlineLvl w:val="1"/>
        <w:rPr>
          <w:rFonts w:ascii="仿宋_GB2312" w:eastAsia="仿宋_GB2312" w:cs="仿宋_GB2312" w:hint="eastAsia"/>
          <w:color w:val="000000"/>
          <w:sz w:val="32"/>
          <w:szCs w:val="32"/>
        </w:rPr>
      </w:pPr>
      <w:bookmarkStart w:id="151" w:name="_Toc16183"/>
      <w:bookmarkStart w:id="152" w:name="_Toc13522"/>
      <w:bookmarkStart w:id="153" w:name="_Toc25115"/>
      <w:r>
        <w:rPr>
          <w:rFonts w:ascii="仿宋_GB2312" w:eastAsia="仿宋_GB2312" w:cs="仿宋_GB2312" w:hint="eastAsia"/>
          <w:b/>
          <w:color w:val="000000"/>
          <w:sz w:val="32"/>
          <w:szCs w:val="32"/>
          <w:lang w:val="en-US" w:eastAsia="zh-CN"/>
        </w:rPr>
        <w:t>4.</w:t>
      </w:r>
      <w:r>
        <w:rPr>
          <w:rFonts w:ascii="仿宋_GB2312" w:eastAsia="仿宋_GB2312" w:cs="仿宋_GB2312" w:hint="eastAsia"/>
          <w:b/>
          <w:color w:val="000000"/>
          <w:sz w:val="32"/>
          <w:szCs w:val="32"/>
        </w:rPr>
        <w:t>外事接待支出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万元，外事接待</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批次，</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人，共计支出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bookmarkEnd w:id="151"/>
      <w:bookmarkEnd w:id="152"/>
      <w:bookmarkEnd w:id="153"/>
    </w:p>
    <w:p>
      <w:pPr>
        <w:spacing w:line="600" w:lineRule="exact"/>
        <w:rPr>
          <w:rStyle w:val="2Char"/>
          <w:rFonts w:ascii="仿宋_GB2312" w:eastAsia="仿宋_GB2312" w:cs="仿宋_GB2312" w:hint="eastAsia"/>
          <w:b w:val="0"/>
          <w:lang w:val="en-US" w:eastAsia="zh-CN"/>
        </w:rPr>
      </w:pPr>
      <w:bookmarkStart w:id="154" w:name="_Toc21196"/>
      <w:r>
        <w:rPr>
          <w:rFonts w:ascii="黑体" w:eastAsia="黑体" w:cs="Times New Roman" w:hint="eastAsia"/>
          <w:b w:val="0"/>
          <w:bCs/>
          <w:color w:val="000000"/>
          <w:kern w:val="2"/>
          <w:sz w:val="32"/>
          <w:szCs w:val="32"/>
          <w:lang w:val="en-US" w:eastAsia="zh-CN" w:bidi="ar-SA"/>
        </w:rPr>
        <w:t xml:space="preserve">  </w:t>
      </w:r>
      <w:bookmarkStart w:id="155" w:name="_Toc11152"/>
      <w:r>
        <w:rPr>
          <w:rStyle w:val="2Char"/>
          <w:rFonts w:ascii="仿宋_GB2312" w:eastAsia="仿宋_GB2312" w:cs="仿宋_GB2312" w:hint="eastAsia"/>
          <w:b w:val="0"/>
          <w:lang w:val="en-US" w:eastAsia="zh-CN"/>
        </w:rPr>
        <w:t xml:space="preserve"> 八、政府性基金预算支出决算情况说明</w:t>
      </w:r>
      <w:bookmarkEnd w:id="146"/>
      <w:bookmarkEnd w:id="147"/>
      <w:bookmarkEnd w:id="154"/>
    </w:p>
    <w:p>
      <w:pPr>
        <w:spacing w:line="600" w:lineRule="exact"/>
        <w:ind w:firstLine="640"/>
        <w:rPr>
          <w:rFonts w:ascii="仿宋_GB2312" w:eastAsia="仿宋_GB2312" w:cs="仿宋_GB2312" w:hint="eastAsia"/>
          <w:color w:val="000000"/>
          <w:sz w:val="32"/>
          <w:szCs w:val="32"/>
        </w:rPr>
      </w:pPr>
      <w:bookmarkEnd w:id="148"/>
      <w:bookmarkEnd w:id="149"/>
      <w:bookmarkEnd w:id="150"/>
      <w:bookmarkEnd w:id="155"/>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rPr>
        <w:t>政府性基金预算拨款支出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spacing w:line="600" w:lineRule="exact"/>
        <w:rPr>
          <w:rStyle w:val="2Char"/>
          <w:rFonts w:ascii="仿宋_GB2312" w:eastAsia="仿宋_GB2312" w:cs="仿宋_GB2312" w:hint="eastAsia"/>
          <w:b w:val="0"/>
          <w:lang w:val="en-US" w:eastAsia="zh-CN"/>
        </w:rPr>
      </w:pPr>
      <w:bookmarkStart w:id="156" w:name="_Toc15396611"/>
      <w:bookmarkStart w:id="157" w:name="_Toc15377219"/>
      <w:bookmarkStart w:id="158" w:name="_Toc2417"/>
      <w:bookmarkStart w:id="159" w:name="_Toc13305"/>
      <w:bookmarkStart w:id="160" w:name="_Toc12200"/>
      <w:bookmarkStart w:id="161" w:name="_Toc7769"/>
      <w:r>
        <w:rPr>
          <w:rFonts w:ascii="黑体" w:eastAsia="黑体" w:cs="Times New Roman" w:hint="eastAsia"/>
          <w:b w:val="0"/>
          <w:bCs/>
          <w:color w:val="000000"/>
          <w:kern w:val="2"/>
          <w:sz w:val="32"/>
          <w:szCs w:val="32"/>
          <w:lang w:val="en-US" w:eastAsia="zh-CN" w:bidi="ar-SA"/>
        </w:rPr>
        <w:t xml:space="preserve">  </w:t>
      </w:r>
      <w:bookmarkStart w:id="162" w:name="_Toc28038"/>
      <w:r>
        <w:rPr>
          <w:rStyle w:val="2Char"/>
          <w:rFonts w:ascii="仿宋_GB2312" w:eastAsia="仿宋_GB2312" w:cs="仿宋_GB2312" w:hint="eastAsia"/>
          <w:b w:val="0"/>
          <w:lang w:val="en-US" w:eastAsia="zh-CN"/>
        </w:rPr>
        <w:t xml:space="preserve"> 九、国有资本经营预算支出决算情况说明</w:t>
      </w:r>
      <w:bookmarkEnd w:id="156"/>
      <w:bookmarkEnd w:id="157"/>
      <w:bookmarkEnd w:id="158"/>
    </w:p>
    <w:p>
      <w:pPr>
        <w:spacing w:line="600" w:lineRule="exact"/>
        <w:ind w:firstLine="640"/>
        <w:rPr>
          <w:rFonts w:ascii="仿宋_GB2312" w:eastAsia="仿宋_GB2312" w:cs="仿宋_GB2312" w:hint="eastAsia"/>
          <w:color w:val="000000"/>
          <w:sz w:val="32"/>
          <w:szCs w:val="32"/>
        </w:rPr>
      </w:pPr>
      <w:bookmarkEnd w:id="159"/>
      <w:bookmarkEnd w:id="160"/>
      <w:bookmarkEnd w:id="161"/>
      <w:bookmarkEnd w:id="162"/>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rPr>
        <w:t>国有资本经营预算拨款支出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spacing w:line="600" w:lineRule="exact"/>
        <w:rPr>
          <w:rStyle w:val="2Char"/>
          <w:rFonts w:ascii="仿宋_GB2312" w:eastAsia="仿宋_GB2312" w:cs="仿宋_GB2312" w:hint="eastAsia"/>
          <w:b w:val="0"/>
          <w:lang w:val="en-US" w:eastAsia="zh-CN"/>
        </w:rPr>
      </w:pPr>
      <w:bookmarkStart w:id="163" w:name="_Toc14416"/>
      <w:bookmarkStart w:id="164" w:name="_Toc953"/>
      <w:bookmarkStart w:id="165" w:name="_Toc26917"/>
      <w:bookmarkStart w:id="166" w:name="_Toc5045"/>
      <w:r>
        <w:rPr>
          <w:rFonts w:ascii="黑体" w:eastAsia="黑体" w:cs="Times New Roman" w:hint="eastAsia"/>
          <w:b w:val="0"/>
          <w:bCs/>
          <w:color w:val="000000"/>
          <w:kern w:val="2"/>
          <w:sz w:val="32"/>
          <w:szCs w:val="32"/>
          <w:lang w:val="en-US" w:eastAsia="zh-CN" w:bidi="ar-SA"/>
        </w:rPr>
        <w:t xml:space="preserve">   </w:t>
      </w:r>
      <w:bookmarkStart w:id="167" w:name="_Toc24621"/>
      <w:r>
        <w:rPr>
          <w:rStyle w:val="2Char"/>
          <w:rFonts w:ascii="仿宋_GB2312" w:eastAsia="仿宋_GB2312" w:cs="仿宋_GB2312" w:hint="eastAsia"/>
          <w:b w:val="0"/>
          <w:lang w:val="en-US" w:eastAsia="zh-CN"/>
        </w:rPr>
        <w:t>十、预算绩效情况说明</w:t>
      </w:r>
    </w:p>
    <w:p>
      <w:pPr>
        <w:numPr>
          <w:ilvl w:val="0"/>
          <w:numId w:val="2"/>
        </w:numPr>
        <w:spacing w:line="580" w:lineRule="exact"/>
        <w:ind w:left="0" w:firstLineChars="200" w:firstLine="640"/>
        <w:rPr>
          <w:rFonts w:ascii="仿宋_GB2312" w:eastAsia="仿宋_GB2312" w:cs="仿宋_GB2312" w:hint="eastAsia"/>
          <w:b/>
          <w:bCs/>
          <w:sz w:val="32"/>
          <w:szCs w:val="32"/>
        </w:rPr>
      </w:pPr>
      <w:bookmarkEnd w:id="163"/>
      <w:bookmarkEnd w:id="164"/>
      <w:bookmarkEnd w:id="165"/>
      <w:bookmarkEnd w:id="166"/>
      <w:bookmarkEnd w:id="167"/>
      <w:r>
        <w:rPr>
          <w:rFonts w:ascii="仿宋_GB2312" w:eastAsia="仿宋_GB2312" w:cs="仿宋_GB2312" w:hint="eastAsia"/>
          <w:b/>
          <w:bCs/>
          <w:sz w:val="32"/>
          <w:szCs w:val="32"/>
        </w:rPr>
        <w:t>预算绩效管理工作开展情况。</w:t>
      </w:r>
    </w:p>
    <w:p>
      <w:pPr>
        <w:rPr>
          <w:rFonts w:ascii="仿宋_GB2312" w:eastAsia="仿宋_GB2312" w:cs="仿宋_GB2312" w:hint="eastAsia"/>
          <w:lang w:eastAsia="zh-CN"/>
        </w:rPr>
      </w:pPr>
      <w:r>
        <w:rPr>
          <w:rFonts w:ascii="仿宋_GB2312" w:eastAsia="仿宋_GB2312" w:cs="仿宋_GB2312" w:hint="eastAsia"/>
          <w:color w:val="FF0000"/>
          <w:sz w:val="32"/>
          <w:szCs w:val="32"/>
          <w:lang w:eastAsia="zh-CN"/>
        </w:rPr>
        <w:t>　　</w:t>
      </w:r>
      <w:r>
        <w:rPr>
          <w:rFonts w:ascii="仿宋_GB2312" w:eastAsia="仿宋_GB2312" w:cs="仿宋_GB2312" w:hint="eastAsia"/>
          <w:color w:val="auto"/>
          <w:sz w:val="32"/>
          <w:szCs w:val="32"/>
        </w:rPr>
        <w:t>根据预算绩效管理要求，</w:t>
      </w:r>
      <w:r>
        <w:rPr>
          <w:rFonts w:ascii="仿宋_GB2312" w:eastAsia="仿宋_GB2312" w:cs="仿宋_GB2312" w:hint="eastAsia"/>
          <w:sz w:val="32"/>
          <w:szCs w:val="32"/>
          <w:lang w:val="en-US" w:eastAsia="zh-CN"/>
        </w:rPr>
        <w:t>我</w:t>
      </w:r>
      <w:r>
        <w:rPr>
          <w:rFonts w:ascii="仿宋_GB2312" w:eastAsia="仿宋_GB2312" w:cs="仿宋_GB2312" w:hint="eastAsia"/>
          <w:sz w:val="32"/>
          <w:szCs w:val="32"/>
        </w:rPr>
        <w:t>单位在年初预算编制阶段，开展了预算事前绩效评估，编制了</w:t>
      </w:r>
      <w:r>
        <w:rPr>
          <w:rFonts w:ascii="仿宋_GB2312" w:eastAsia="仿宋_GB2312" w:cs="仿宋_GB2312" w:hint="eastAsia"/>
          <w:sz w:val="32"/>
          <w:szCs w:val="32"/>
          <w:lang w:eastAsia="zh-CN"/>
        </w:rPr>
        <w:t>部门整体</w:t>
      </w:r>
      <w:r>
        <w:rPr>
          <w:rFonts w:ascii="仿宋_GB2312" w:eastAsia="仿宋_GB2312" w:cs="仿宋_GB2312" w:hint="eastAsia"/>
          <w:sz w:val="32"/>
          <w:szCs w:val="32"/>
        </w:rPr>
        <w:t>绩效目标</w:t>
      </w:r>
      <w:r>
        <w:rPr>
          <w:rFonts w:ascii="仿宋_GB2312" w:eastAsia="仿宋_GB2312" w:cs="仿宋_GB2312" w:hint="eastAsia"/>
          <w:sz w:val="32"/>
          <w:szCs w:val="32"/>
          <w:lang w:eastAsia="zh-CN"/>
        </w:rPr>
        <w:t>。</w:t>
      </w:r>
    </w:p>
    <w:p>
      <w:pPr>
        <w:numPr>
          <w:ilvl w:val="0"/>
          <w:numId w:val="2"/>
        </w:numPr>
        <w:spacing w:line="580" w:lineRule="exact"/>
        <w:ind w:left="0" w:firstLineChars="200" w:firstLine="640"/>
        <w:rPr>
          <w:rFonts w:ascii="仿宋_GB2312" w:eastAsia="仿宋_GB2312" w:cs="仿宋_GB2312" w:hint="eastAsia"/>
          <w:sz w:val="32"/>
          <w:szCs w:val="32"/>
        </w:rPr>
      </w:pPr>
      <w:r>
        <w:rPr>
          <w:rFonts w:ascii="仿宋_GB2312" w:eastAsia="仿宋_GB2312" w:cs="仿宋_GB2312" w:hint="eastAsia"/>
          <w:b/>
          <w:bCs/>
          <w:sz w:val="32"/>
          <w:szCs w:val="32"/>
        </w:rPr>
        <w:t>部门开展绩效评价结果。</w:t>
      </w:r>
    </w:p>
    <w:p>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eastAsia="zh-CN"/>
        </w:rPr>
        <w:t>年</w:t>
      </w:r>
      <w:r>
        <w:rPr>
          <w:rFonts w:ascii="仿宋_GB2312" w:eastAsia="仿宋_GB2312" w:cs="仿宋_GB2312" w:hint="eastAsia"/>
          <w:sz w:val="32"/>
          <w:szCs w:val="32"/>
        </w:rPr>
        <w:t>部门整体支出绩效评价情况开展自评，《</w:t>
      </w:r>
      <w:r>
        <w:rPr>
          <w:rFonts w:ascii="仿宋_GB2312" w:eastAsia="仿宋_GB2312" w:hint="eastAsia"/>
          <w:sz w:val="32"/>
          <w:szCs w:val="32"/>
          <w:lang w:eastAsia="zh-CN"/>
        </w:rPr>
        <w:t>金川县</w:t>
      </w:r>
      <w:r>
        <w:rPr>
          <w:rFonts w:ascii="仿宋_GB2312" w:eastAsia="仿宋_GB2312" w:hint="eastAsia"/>
          <w:sz w:val="32"/>
          <w:szCs w:val="32"/>
          <w:lang w:val="en-US" w:eastAsia="zh-CN"/>
        </w:rPr>
        <w:t>人大办2043年</w:t>
      </w:r>
      <w:r>
        <w:rPr>
          <w:rFonts w:ascii="仿宋_GB2312" w:eastAsia="仿宋_GB2312" w:hint="eastAsia"/>
          <w:sz w:val="32"/>
          <w:szCs w:val="32"/>
        </w:rPr>
        <w:t>部门</w:t>
      </w:r>
      <w:r>
        <w:rPr>
          <w:rFonts w:ascii="仿宋_GB2312" w:eastAsia="仿宋_GB2312" w:hint="eastAsia"/>
          <w:sz w:val="32"/>
          <w:szCs w:val="32"/>
          <w:lang w:eastAsia="zh-CN"/>
        </w:rPr>
        <w:t>预算</w:t>
      </w:r>
      <w:r>
        <w:rPr>
          <w:rFonts w:ascii="仿宋_GB2312" w:eastAsia="仿宋_GB2312" w:hint="eastAsia"/>
          <w:sz w:val="32"/>
          <w:szCs w:val="32"/>
          <w:lang w:val="en-US" w:eastAsia="zh-CN"/>
        </w:rPr>
        <w:t>整体</w:t>
      </w:r>
      <w:r>
        <w:rPr>
          <w:rFonts w:ascii="仿宋_GB2312" w:eastAsia="仿宋_GB2312" w:hint="eastAsia"/>
          <w:sz w:val="32"/>
          <w:szCs w:val="32"/>
        </w:rPr>
        <w:t>支出绩效</w:t>
      </w:r>
      <w:r>
        <w:rPr>
          <w:rFonts w:ascii="仿宋_GB2312" w:eastAsia="仿宋_GB2312" w:hint="eastAsia"/>
          <w:sz w:val="32"/>
          <w:szCs w:val="32"/>
          <w:lang w:val="en-US" w:eastAsia="zh-CN"/>
        </w:rPr>
        <w:t>评价</w:t>
      </w:r>
      <w:r>
        <w:rPr>
          <w:rFonts w:ascii="仿宋_GB2312" w:eastAsia="仿宋_GB2312" w:hint="eastAsia"/>
          <w:sz w:val="32"/>
          <w:szCs w:val="32"/>
        </w:rPr>
        <w:t>报告</w:t>
      </w:r>
      <w:r>
        <w:rPr>
          <w:rFonts w:ascii="仿宋_GB2312" w:eastAsia="仿宋_GB2312" w:cs="仿宋_GB2312" w:hint="eastAsia"/>
          <w:sz w:val="32"/>
          <w:szCs w:val="32"/>
        </w:rPr>
        <w:t>》见附件。</w:t>
      </w:r>
    </w:p>
    <w:p>
      <w:pPr>
        <w:spacing w:line="600" w:lineRule="exact"/>
        <w:rPr>
          <w:rStyle w:val="2Char"/>
          <w:rFonts w:ascii="仿宋_GB2312" w:eastAsia="仿宋_GB2312" w:cs="仿宋_GB2312" w:hint="eastAsia"/>
          <w:b w:val="0"/>
          <w:lang w:val="en-US" w:eastAsia="zh-CN"/>
        </w:rPr>
      </w:pPr>
      <w:bookmarkStart w:id="168" w:name="_Toc2669"/>
      <w:bookmarkStart w:id="169" w:name="_Toc15377221"/>
      <w:bookmarkStart w:id="170" w:name="_Toc15396612"/>
      <w:r>
        <w:rPr>
          <w:rFonts w:ascii="黑体" w:eastAsia="黑体" w:cs="Times New Roman" w:hint="eastAsia"/>
          <w:b w:val="0"/>
          <w:bCs/>
          <w:color w:val="000000"/>
          <w:kern w:val="2"/>
          <w:sz w:val="32"/>
          <w:szCs w:val="32"/>
          <w:lang w:val="en-US" w:eastAsia="zh-CN" w:bidi="ar-SA"/>
        </w:rPr>
        <w:t xml:space="preserve">   </w:t>
      </w:r>
      <w:bookmarkStart w:id="171" w:name="_Toc24399"/>
      <w:r>
        <w:rPr>
          <w:rStyle w:val="2Char"/>
          <w:rFonts w:ascii="仿宋_GB2312" w:eastAsia="仿宋_GB2312" w:cs="仿宋_GB2312" w:hint="eastAsia"/>
          <w:b w:val="0"/>
          <w:lang w:val="en-US" w:eastAsia="zh-CN"/>
        </w:rPr>
        <w:t>十一、其他重要事项的情况说明</w:t>
      </w:r>
      <w:bookmarkEnd w:id="168"/>
      <w:bookmarkEnd w:id="169"/>
      <w:bookmarkEnd w:id="170"/>
    </w:p>
    <w:p>
      <w:pPr>
        <w:spacing w:line="600" w:lineRule="exact"/>
        <w:ind w:firstLineChars="200" w:firstLine="640"/>
        <w:outlineLvl w:val="2"/>
        <w:rPr>
          <w:rFonts w:ascii="仿宋_GB2312" w:eastAsia="仿宋_GB2312" w:cs="仿宋_GB2312" w:hint="eastAsia"/>
          <w:color w:val="000000"/>
          <w:sz w:val="32"/>
          <w:szCs w:val="32"/>
        </w:rPr>
      </w:pPr>
      <w:bookmarkStart w:id="172" w:name="_Toc15377222"/>
      <w:bookmarkStart w:id="173" w:name="_Toc25882"/>
      <w:bookmarkEnd w:id="171"/>
      <w:r>
        <w:rPr>
          <w:rFonts w:ascii="仿宋_GB2312" w:eastAsia="仿宋_GB2312" w:cs="仿宋_GB2312" w:hint="eastAsia"/>
          <w:b/>
          <w:color w:val="000000"/>
          <w:sz w:val="32"/>
          <w:szCs w:val="32"/>
        </w:rPr>
        <w:t>（一）机关运行经费支出情况</w:t>
      </w:r>
      <w:bookmarkEnd w:id="172"/>
      <w:bookmarkEnd w:id="173"/>
    </w:p>
    <w:p>
      <w:pPr>
        <w:pageBreakBefore w:val="0"/>
        <w:widowControl w:val="0"/>
        <w:kinsoku/>
        <w:wordWrap/>
        <w:overflowPunct/>
        <w:topLinePunct w:val="0"/>
        <w:bidi w:val="0"/>
        <w:spacing w:line="600" w:lineRule="exact"/>
        <w:ind w:firstLineChars="200" w:firstLine="640"/>
        <w:textAlignment w:val="auto"/>
        <w:rPr>
          <w:rFonts w:ascii="仿宋_GB2312" w:eastAsia="仿宋_GB2312" w:cs="仿宋_GB2312"/>
          <w:color w:val="FF0000"/>
          <w:sz w:val="32"/>
          <w:szCs w:val="32"/>
        </w:rPr>
      </w:pPr>
      <w:bookmarkStart w:id="174" w:name="_Toc23145"/>
      <w:bookmarkStart w:id="175" w:name="_Toc15377223"/>
      <w:r>
        <w:rPr>
          <w:rFonts w:ascii="仿宋_GB2312" w:eastAsia="仿宋_GB2312" w:cs="仿宋_GB2312" w:hint="eastAsia"/>
          <w:color w:val="auto"/>
          <w:sz w:val="32"/>
          <w:szCs w:val="32"/>
          <w:lang w:eastAsia="zh-CN"/>
        </w:rPr>
        <w:t>202</w:t>
      </w:r>
      <w:r>
        <w:rPr>
          <w:rFonts w:ascii="仿宋_GB2312" w:eastAsia="仿宋_GB2312" w:cs="仿宋_GB2312" w:hint="eastAsia"/>
          <w:color w:val="auto"/>
          <w:sz w:val="32"/>
          <w:szCs w:val="32"/>
          <w:lang w:val="en-US" w:eastAsia="zh-CN"/>
        </w:rPr>
        <w:t>4</w:t>
      </w:r>
      <w:r>
        <w:rPr>
          <w:rFonts w:ascii="仿宋_GB2312" w:eastAsia="仿宋_GB2312" w:cs="仿宋_GB2312" w:hint="eastAsia"/>
          <w:color w:val="auto"/>
          <w:sz w:val="32"/>
          <w:szCs w:val="32"/>
          <w:lang w:eastAsia="zh-CN"/>
        </w:rPr>
        <w:t>年</w:t>
      </w:r>
      <w:r>
        <w:rPr>
          <w:rFonts w:ascii="仿宋_GB2312" w:eastAsia="仿宋_GB2312" w:cs="仿宋_GB2312" w:hint="eastAsia"/>
          <w:color w:val="auto"/>
          <w:sz w:val="32"/>
          <w:szCs w:val="32"/>
        </w:rPr>
        <w:t>，县人大办</w:t>
      </w:r>
      <w:r>
        <w:rPr>
          <w:rFonts w:ascii="仿宋_GB2312" w:eastAsia="仿宋_GB2312" w:cs="仿宋_GB2312" w:hint="eastAsia"/>
          <w:color w:val="auto"/>
          <w:sz w:val="32"/>
          <w:szCs w:val="32"/>
          <w:lang w:eastAsia="zh-CN"/>
        </w:rPr>
        <w:t>机关</w:t>
      </w:r>
      <w:r>
        <w:rPr>
          <w:rFonts w:ascii="仿宋_GB2312" w:eastAsia="仿宋_GB2312" w:cs="仿宋_GB2312" w:hint="eastAsia"/>
          <w:color w:val="auto"/>
          <w:sz w:val="32"/>
          <w:szCs w:val="32"/>
        </w:rPr>
        <w:t>运行经费支出</w:t>
      </w:r>
      <w:r>
        <w:rPr>
          <w:rFonts w:ascii="仿宋_GB2312" w:eastAsia="仿宋_GB2312" w:cs="仿宋_GB2312" w:hint="eastAsia"/>
          <w:color w:val="auto"/>
          <w:sz w:val="32"/>
          <w:szCs w:val="32"/>
          <w:lang w:val="en-US" w:eastAsia="zh-CN"/>
        </w:rPr>
        <w:t>88.77</w:t>
      </w:r>
      <w:r>
        <w:rPr>
          <w:rFonts w:ascii="仿宋_GB2312" w:eastAsia="仿宋_GB2312" w:cs="仿宋_GB2312" w:hint="eastAsia"/>
          <w:color w:val="auto"/>
          <w:sz w:val="32"/>
          <w:szCs w:val="32"/>
        </w:rPr>
        <w:t>万元，比</w:t>
      </w:r>
      <w:r>
        <w:rPr>
          <w:rFonts w:ascii="仿宋_GB2312" w:eastAsia="仿宋_GB2312" w:cs="仿宋_GB2312" w:hint="eastAsia"/>
          <w:color w:val="auto"/>
          <w:sz w:val="32"/>
          <w:szCs w:val="32"/>
          <w:lang w:eastAsia="zh-CN"/>
        </w:rPr>
        <w:t>202</w:t>
      </w:r>
      <w:r>
        <w:rPr>
          <w:rFonts w:ascii="仿宋_GB2312" w:eastAsia="仿宋_GB2312" w:cs="仿宋_GB2312" w:hint="eastAsia"/>
          <w:color w:val="auto"/>
          <w:sz w:val="32"/>
          <w:szCs w:val="32"/>
          <w:lang w:val="en-US" w:eastAsia="zh-CN"/>
        </w:rPr>
        <w:t>3</w:t>
      </w:r>
      <w:r>
        <w:rPr>
          <w:rFonts w:ascii="仿宋_GB2312" w:eastAsia="仿宋_GB2312" w:cs="仿宋_GB2312" w:hint="eastAsia"/>
          <w:color w:val="auto"/>
          <w:sz w:val="32"/>
          <w:szCs w:val="32"/>
          <w:lang w:eastAsia="zh-CN"/>
        </w:rPr>
        <w:t>年</w:t>
      </w:r>
      <w:r>
        <w:rPr>
          <w:rFonts w:ascii="仿宋_GB2312" w:eastAsia="仿宋_GB2312" w:cs="仿宋_GB2312" w:hint="eastAsia"/>
          <w:color w:val="auto"/>
          <w:sz w:val="32"/>
          <w:szCs w:val="32"/>
          <w:lang w:val="en-US" w:eastAsia="zh-CN"/>
        </w:rPr>
        <w:t>增加55.34</w:t>
      </w:r>
      <w:r>
        <w:rPr>
          <w:rFonts w:ascii="仿宋_GB2312" w:eastAsia="仿宋_GB2312" w:cs="仿宋_GB2312" w:hint="eastAsia"/>
          <w:color w:val="auto"/>
          <w:sz w:val="32"/>
          <w:szCs w:val="32"/>
        </w:rPr>
        <w:t>万元，</w:t>
      </w:r>
      <w:r>
        <w:rPr>
          <w:rFonts w:ascii="仿宋_GB2312" w:eastAsia="仿宋_GB2312" w:cs="仿宋_GB2312" w:hint="eastAsia"/>
          <w:color w:val="auto"/>
          <w:sz w:val="32"/>
          <w:szCs w:val="32"/>
          <w:lang w:val="en-US" w:eastAsia="zh-CN"/>
        </w:rPr>
        <w:t>增加165.54</w:t>
      </w:r>
      <w:r>
        <w:rPr>
          <w:rFonts w:ascii="仿宋_GB2312" w:eastAsia="仿宋_GB2312" w:cs="仿宋_GB2312"/>
          <w:color w:val="auto"/>
          <w:sz w:val="32"/>
          <w:szCs w:val="32"/>
        </w:rPr>
        <w:t>%</w:t>
      </w:r>
      <w:r>
        <w:rPr>
          <w:rFonts w:ascii="仿宋_GB2312" w:eastAsia="仿宋_GB2312" w:cs="仿宋_GB2312" w:hint="eastAsia"/>
          <w:color w:val="auto"/>
          <w:sz w:val="32"/>
          <w:szCs w:val="32"/>
        </w:rPr>
        <w:t>。原因是</w:t>
      </w:r>
      <w:r>
        <w:rPr>
          <w:rFonts w:ascii="仿宋_GB2312" w:eastAsia="仿宋_GB2312" w:cs="仿宋_GB2312" w:hint="eastAsia"/>
          <w:color w:val="auto"/>
          <w:sz w:val="32"/>
          <w:szCs w:val="32"/>
          <w:lang w:eastAsia="zh-CN"/>
        </w:rPr>
        <w:t>202</w:t>
      </w:r>
      <w:r>
        <w:rPr>
          <w:rFonts w:ascii="仿宋_GB2312" w:eastAsia="仿宋_GB2312" w:cs="仿宋_GB2312" w:hint="eastAsia"/>
          <w:color w:val="auto"/>
          <w:sz w:val="32"/>
          <w:szCs w:val="32"/>
          <w:lang w:val="en-US" w:eastAsia="zh-CN"/>
        </w:rPr>
        <w:t>4年增加的人代会经费及常委会经费在本款</w:t>
      </w:r>
      <w:r>
        <w:rPr>
          <w:rFonts w:ascii="仿宋_GB2312" w:eastAsia="仿宋_GB2312" w:cs="仿宋_GB2312" w:hint="eastAsia"/>
          <w:color w:val="auto"/>
          <w:sz w:val="32"/>
          <w:szCs w:val="32"/>
        </w:rPr>
        <w:t>。</w:t>
      </w:r>
    </w:p>
    <w:p>
      <w:pPr>
        <w:autoSpaceDE w:val="0"/>
        <w:autoSpaceDN w:val="0"/>
        <w:adjustRightInd w:val="0"/>
        <w:spacing w:line="600" w:lineRule="exact"/>
        <w:ind w:firstLineChars="200" w:firstLine="640"/>
        <w:jc w:val="left"/>
        <w:outlineLvl w:val="2"/>
        <w:rPr>
          <w:rFonts w:ascii="仿宋_GB2312" w:eastAsia="仿宋_GB2312" w:cs="仿宋_GB2312" w:hint="eastAsia"/>
          <w:b/>
          <w:color w:val="000000"/>
          <w:sz w:val="32"/>
          <w:szCs w:val="32"/>
        </w:rPr>
      </w:pPr>
      <w:r>
        <w:rPr>
          <w:rFonts w:ascii="仿宋_GB2312" w:eastAsia="仿宋_GB2312" w:cs="仿宋_GB2312" w:hint="eastAsia"/>
          <w:b/>
          <w:color w:val="000000"/>
          <w:sz w:val="32"/>
          <w:szCs w:val="32"/>
        </w:rPr>
        <w:t>（二）政府采购支出情况</w:t>
      </w:r>
      <w:bookmarkEnd w:id="174"/>
      <w:bookmarkEnd w:id="175"/>
    </w:p>
    <w:p>
      <w:pPr>
        <w:spacing w:line="600" w:lineRule="exact"/>
        <w:ind w:firstLineChars="200" w:firstLine="640"/>
        <w:rPr>
          <w:rFonts w:ascii="仿宋_GB2312" w:eastAsia="仿宋_GB2312" w:cs="仿宋_GB2312" w:hint="eastAsia"/>
          <w:b/>
          <w:color w:val="auto"/>
          <w:sz w:val="32"/>
          <w:szCs w:val="32"/>
          <w:lang w:val="en-US" w:eastAsia="zh-CN"/>
        </w:rPr>
      </w:pPr>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rPr>
        <w:t>，政府采购支出总额</w:t>
      </w:r>
      <w:r>
        <w:rPr>
          <w:rFonts w:ascii="仿宋_GB2312" w:eastAsia="仿宋_GB2312" w:cs="仿宋_GB2312" w:hint="eastAsia"/>
          <w:color w:val="000000"/>
          <w:sz w:val="32"/>
          <w:szCs w:val="32"/>
          <w:lang w:val="en-US" w:eastAsia="zh-CN"/>
        </w:rPr>
        <w:t>1.85</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val="en-US" w:eastAsia="zh-CN"/>
        </w:rPr>
        <w:t>主要为</w:t>
      </w:r>
      <w:r>
        <w:rPr>
          <w:rFonts w:ascii="仿宋_GB2312" w:eastAsia="仿宋_GB2312" w:cs="仿宋_GB2312" w:hint="eastAsia"/>
          <w:color w:val="000000"/>
          <w:sz w:val="32"/>
          <w:szCs w:val="32"/>
        </w:rPr>
        <w:t>政府采购货物支出</w:t>
      </w:r>
      <w:r>
        <w:rPr>
          <w:rFonts w:ascii="仿宋_GB2312" w:eastAsia="仿宋_GB2312" w:cs="仿宋_GB2312" w:hint="eastAsia"/>
          <w:color w:val="000000"/>
          <w:sz w:val="32"/>
          <w:szCs w:val="32"/>
          <w:lang w:val="en-US" w:eastAsia="zh-CN"/>
        </w:rPr>
        <w:t>1.85</w:t>
      </w:r>
      <w:r>
        <w:rPr>
          <w:rFonts w:ascii="仿宋_GB2312" w:eastAsia="仿宋_GB2312" w:cs="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_GB2312" w:eastAsia="仿宋_GB2312" w:cs="仿宋_GB2312" w:hint="eastAsia"/>
          <w:b/>
          <w:color w:val="000000"/>
          <w:sz w:val="32"/>
          <w:szCs w:val="32"/>
        </w:rPr>
      </w:pPr>
      <w:bookmarkStart w:id="176" w:name="_Toc13674"/>
      <w:bookmarkStart w:id="177" w:name="_Toc15377224"/>
      <w:r>
        <w:rPr>
          <w:rFonts w:ascii="仿宋_GB2312" w:eastAsia="仿宋_GB2312" w:cs="仿宋_GB2312" w:hint="eastAsia"/>
          <w:b/>
          <w:color w:val="000000"/>
          <w:sz w:val="32"/>
          <w:szCs w:val="32"/>
        </w:rPr>
        <w:t>（三）国有资产占有使用情况</w:t>
      </w:r>
      <w:bookmarkEnd w:id="176"/>
      <w:bookmarkEnd w:id="177"/>
    </w:p>
    <w:p>
      <w:pPr>
        <w:widowControl/>
        <w:ind w:firstLineChars="200" w:firstLine="640"/>
        <w:jc w:val="left"/>
        <w:rPr>
          <w:rFonts w:ascii="仿宋_GB2312" w:eastAsia="仿宋_GB2312" w:cs="仿宋_GB2312" w:hint="eastAsia"/>
          <w:b/>
          <w:color w:val="000000"/>
          <w:sz w:val="32"/>
          <w:szCs w:val="32"/>
          <w:lang w:val="en-US" w:eastAsia="zh-CN"/>
        </w:rPr>
      </w:pPr>
      <w:r>
        <w:rPr>
          <w:rFonts w:ascii="仿宋_GB2312" w:eastAsia="仿宋_GB2312" w:cs="仿宋_GB2312" w:hint="eastAsia"/>
          <w:color w:val="000000"/>
          <w:sz w:val="32"/>
          <w:szCs w:val="32"/>
        </w:rPr>
        <w:t>截至</w:t>
      </w:r>
      <w:r>
        <w:rPr>
          <w:rFonts w:ascii="仿宋_GB2312" w:eastAsia="仿宋_GB2312" w:cs="仿宋_GB2312" w:hint="eastAsia"/>
          <w:color w:val="000000"/>
          <w:sz w:val="32"/>
          <w:szCs w:val="32"/>
          <w:lang w:eastAsia="zh-CN"/>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lang w:eastAsia="zh-CN"/>
        </w:rPr>
        <w:t>年</w:t>
      </w:r>
      <w:r>
        <w:rPr>
          <w:rFonts w:ascii="仿宋_GB2312" w:eastAsia="仿宋_GB2312" w:cs="仿宋_GB2312" w:hint="eastAsia"/>
          <w:color w:val="000000"/>
          <w:sz w:val="32"/>
          <w:szCs w:val="32"/>
        </w:rPr>
        <w:t>12月31日，共有车辆</w:t>
      </w:r>
      <w:r>
        <w:rPr>
          <w:rFonts w:ascii="仿宋_GB2312" w:eastAsia="仿宋_GB2312" w:cs="仿宋_GB2312" w:hint="eastAsia"/>
          <w:color w:val="000000"/>
          <w:sz w:val="32"/>
          <w:szCs w:val="32"/>
          <w:lang w:val="en-US" w:eastAsia="zh-CN"/>
        </w:rPr>
        <w:t>5</w:t>
      </w:r>
      <w:r>
        <w:rPr>
          <w:rFonts w:ascii="仿宋_GB2312" w:eastAsia="仿宋_GB2312" w:cs="仿宋_GB2312" w:hint="eastAsia"/>
          <w:color w:val="000000"/>
          <w:sz w:val="32"/>
          <w:szCs w:val="32"/>
        </w:rPr>
        <w:t>辆</w:t>
      </w:r>
      <w:r>
        <w:rPr>
          <w:rFonts w:ascii="仿宋_GB2312" w:eastAsia="仿宋_GB2312" w:cs="仿宋_GB2312" w:hint="eastAsia"/>
          <w:color w:val="000000"/>
          <w:sz w:val="32"/>
          <w:szCs w:val="32"/>
          <w:lang w:eastAsia="zh-CN"/>
        </w:rPr>
        <w:t>。</w:t>
      </w:r>
      <w:r>
        <w:rPr>
          <w:rFonts w:ascii="仿宋_GB2312" w:eastAsia="仿宋_GB2312" w:cs="仿宋_GB2312" w:hint="eastAsia"/>
          <w:b/>
          <w:color w:val="000000"/>
          <w:sz w:val="32"/>
          <w:szCs w:val="32"/>
          <w:lang w:val="en-US" w:eastAsia="zh-CN"/>
        </w:rPr>
        <w:t xml:space="preserve"> </w:t>
      </w:r>
    </w:p>
    <w:p>
      <w:pPr>
        <w:widowControl/>
        <w:ind w:firstLineChars="200" w:firstLine="640"/>
        <w:jc w:val="left"/>
        <w:rPr>
          <w:rFonts w:ascii="仿宋_GB2312" w:eastAsia="仿宋_GB2312" w:cs="仿宋_GB2312" w:hint="eastAsia"/>
          <w:b/>
          <w:color w:val="000000"/>
          <w:sz w:val="32"/>
          <w:szCs w:val="32"/>
          <w:lang w:val="en-US" w:eastAsia="zh-CN"/>
        </w:rPr>
      </w:pPr>
      <w:r>
        <w:rPr>
          <w:rFonts w:ascii="仿宋_GB2312" w:eastAsia="仿宋_GB2312" w:cs="仿宋_GB2312" w:hint="eastAsia"/>
          <w:b/>
          <w:color w:val="000000"/>
          <w:sz w:val="32"/>
          <w:szCs w:val="32"/>
          <w:lang w:val="en-US" w:eastAsia="zh-CN"/>
        </w:rPr>
        <w:t xml:space="preserve">   </w:t>
      </w:r>
    </w:p>
    <w:p>
      <w:pPr>
        <w:pStyle w:val="16"/>
        <w:rPr>
          <w:rFonts w:hint="eastAsia"/>
          <w:lang w:val="en-US" w:eastAsia="zh-CN"/>
        </w:rPr>
      </w:pPr>
    </w:p>
    <w:p>
      <w:pPr>
        <w:numPr>
          <w:ilvl w:val="0"/>
          <w:numId w:val="3"/>
        </w:numPr>
        <w:spacing w:line="600" w:lineRule="exact"/>
        <w:ind w:left="0" w:firstLineChars="150" w:firstLine="660"/>
        <w:jc w:val="center"/>
        <w:outlineLvl w:val="0"/>
        <w:rPr>
          <w:rStyle w:val="1Char"/>
          <w:rFonts w:ascii="仿宋_GB2312" w:eastAsia="仿宋_GB2312" w:cs="仿宋_GB2312" w:hint="eastAsia"/>
          <w:b/>
          <w:bCs/>
        </w:rPr>
      </w:pPr>
      <w:bookmarkStart w:id="178" w:name="_Toc15396613"/>
      <w:bookmarkStart w:id="179" w:name="_Toc4580"/>
      <w:bookmarkStart w:id="180" w:name="_Toc15377225"/>
      <w:bookmarkStart w:id="181" w:name="_Toc6806"/>
      <w:bookmarkStart w:id="182" w:name="_Toc31705"/>
      <w:r>
        <w:rPr>
          <w:rStyle w:val="1Char"/>
          <w:rFonts w:ascii="仿宋_GB2312" w:eastAsia="仿宋_GB2312" w:cs="仿宋_GB2312" w:hint="eastAsia"/>
          <w:b/>
          <w:bCs/>
        </w:rPr>
        <w:t>名词解释</w:t>
      </w:r>
      <w:bookmarkEnd w:id="178"/>
      <w:bookmarkEnd w:id="179"/>
      <w:bookmarkEnd w:id="180"/>
    </w:p>
    <w:p>
      <w:pPr>
        <w:pStyle w:val="32"/>
        <w:spacing w:line="560" w:lineRule="exact"/>
        <w:ind w:firstLineChars="200" w:firstLine="640"/>
        <w:rPr>
          <w:rFonts w:ascii="仿宋_GB2312" w:eastAsia="仿宋_GB2312" w:cs="仿宋_GB2312" w:hint="eastAsia"/>
          <w:sz w:val="32"/>
          <w:szCs w:val="32"/>
        </w:rPr>
      </w:pPr>
      <w:bookmarkEnd w:id="181"/>
      <w:bookmarkEnd w:id="182"/>
      <w:r>
        <w:rPr>
          <w:rFonts w:ascii="仿宋_GB2312" w:eastAsia="仿宋_GB2312" w:cs="仿宋_GB2312" w:hint="eastAsia"/>
          <w:sz w:val="32"/>
          <w:szCs w:val="32"/>
        </w:rPr>
        <w:t>1.财政拨款收入：指单位从同级财政部门取得的财政预算资金。</w:t>
      </w:r>
    </w:p>
    <w:p>
      <w:pPr>
        <w:pStyle w:val="32"/>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2.事业收入：指事业单位开展专业业务活动及辅助活动取得的收入。</w:t>
      </w:r>
    </w:p>
    <w:p>
      <w:pPr>
        <w:pStyle w:val="32"/>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3.经营收入：指事业单位在专业业务活动及其辅助活动之外开展非独立核算经营活动取得的收入。</w:t>
      </w:r>
    </w:p>
    <w:p>
      <w:pPr>
        <w:pStyle w:val="32"/>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4.其他收入：指单位取得的除上述收入以外的各项收入。主要是</w:t>
      </w:r>
      <w:r>
        <w:rPr>
          <w:rFonts w:ascii="仿宋_GB2312" w:eastAsia="仿宋_GB2312" w:cs="仿宋_GB2312" w:hint="eastAsia"/>
          <w:sz w:val="32"/>
          <w:szCs w:val="32"/>
          <w:lang w:val="en-US" w:eastAsia="zh-CN"/>
        </w:rPr>
        <w:t>银行存款利息和伙食团缴费</w:t>
      </w:r>
      <w:r>
        <w:rPr>
          <w:rFonts w:ascii="仿宋_GB2312" w:eastAsia="仿宋_GB2312" w:cs="仿宋_GB2312" w:hint="eastAsia"/>
          <w:sz w:val="32"/>
          <w:szCs w:val="32"/>
        </w:rPr>
        <w:t xml:space="preserve">等。 </w:t>
      </w:r>
    </w:p>
    <w:p>
      <w:pPr>
        <w:pStyle w:val="32"/>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 xml:space="preserve">5. 年初结转和结余：指以前年度尚未完成、结转到本年按有关规定继续使用的资金。 </w:t>
      </w:r>
    </w:p>
    <w:p>
      <w:pPr>
        <w:pStyle w:val="32"/>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.结余分配：指事业单位按照事业单位会计制度的规定从非财政补助结余中分配的事业基金和职工福利基金等。</w:t>
      </w:r>
    </w:p>
    <w:p>
      <w:pPr>
        <w:pStyle w:val="32"/>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年末结转和结余：指单位按有关规定结转到下年或以后年度继续使用的资金。</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8</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一般公共服务支出（类）政府办公厅（室）及相关机构事务（款）事业运行（项）：指事业单位的基本支出</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9</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单位为职工缴纳的基本养老保险费</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10</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单位为职工实际缴纳的职业年金</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11.</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eastAsia="zh-CN"/>
        </w:rPr>
        <w:t>公共卫生</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突发公共卫生事件应急处理</w:t>
      </w:r>
      <w:r>
        <w:rPr>
          <w:rFonts w:ascii="仿宋_GB2312" w:eastAsia="仿宋_GB2312" w:cs="仿宋_GB2312" w:hint="eastAsia"/>
          <w:color w:val="000000"/>
          <w:sz w:val="32"/>
          <w:szCs w:val="32"/>
        </w:rPr>
        <w:t>（项）：</w:t>
      </w:r>
      <w:r>
        <w:rPr>
          <w:rFonts w:ascii="仿宋_GB2312" w:eastAsia="仿宋_GB2312" w:cs="仿宋_GB2312" w:hint="eastAsia"/>
          <w:color w:val="000000"/>
          <w:sz w:val="32"/>
          <w:szCs w:val="32"/>
          <w:lang w:eastAsia="zh-CN"/>
        </w:rPr>
        <w:t>反映用于突发公共卫生事件应急处理的支出。</w:t>
      </w:r>
    </w:p>
    <w:p>
      <w:pPr>
        <w:ind w:firstLineChars="200"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12</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val="en-US" w:eastAsia="zh-CN"/>
        </w:rPr>
        <w:t>行政事业单位医疗</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事业单位医疗</w:t>
      </w:r>
      <w:r>
        <w:rPr>
          <w:rFonts w:ascii="仿宋_GB2312" w:eastAsia="仿宋_GB2312" w:cs="仿宋_GB2312" w:hint="eastAsia"/>
          <w:color w:val="000000"/>
          <w:sz w:val="32"/>
          <w:szCs w:val="32"/>
        </w:rPr>
        <w:t>（项）：指</w:t>
      </w:r>
      <w:r>
        <w:rPr>
          <w:rFonts w:ascii="仿宋_GB2312" w:eastAsia="仿宋_GB2312" w:cs="仿宋_GB2312" w:hint="eastAsia"/>
          <w:color w:val="000000"/>
          <w:sz w:val="32"/>
          <w:szCs w:val="32"/>
          <w:lang w:val="en-US" w:eastAsia="zh-CN"/>
        </w:rPr>
        <w:t>反映财政部门安排的事业单位基本医疗保险缴纳经费，未参加医疗保险的事业单位的公费医疗经费，按照国家规定享受离休人员待遇的医疗经费。</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13</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val="en-US" w:eastAsia="zh-CN"/>
        </w:rPr>
        <w:t>行政事业单位医疗</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其他行政事业单位医疗支出</w:t>
      </w:r>
      <w:r>
        <w:rPr>
          <w:rFonts w:ascii="仿宋_GB2312" w:eastAsia="仿宋_GB2312" w:cs="仿宋_GB2312" w:hint="eastAsia"/>
          <w:color w:val="000000"/>
          <w:sz w:val="32"/>
          <w:szCs w:val="32"/>
        </w:rPr>
        <w:t>（项）：</w:t>
      </w:r>
      <w:r>
        <w:rPr>
          <w:rFonts w:ascii="仿宋_GB2312" w:eastAsia="仿宋_GB2312" w:cs="仿宋_GB2312" w:hint="eastAsia"/>
          <w:color w:val="000000"/>
          <w:sz w:val="32"/>
          <w:szCs w:val="32"/>
          <w:lang w:eastAsia="zh-CN"/>
        </w:rPr>
        <w:t>反映除上述项目以外的其他用于行政事业单位医疗方面的支出</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14</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住房保障（类）住房改革支出（款）住房公积金（项）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单位按规定为职工缴纳的住房公积金</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15</w:t>
      </w:r>
      <w:r>
        <w:rPr>
          <w:rFonts w:ascii="仿宋_GB2312" w:eastAsia="仿宋_GB2312" w:cs="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16</w:t>
      </w:r>
      <w:r>
        <w:rPr>
          <w:rFonts w:ascii="仿宋_GB2312" w:eastAsia="仿宋_GB2312" w:cs="仿宋_GB2312" w:hint="eastAsia"/>
          <w:color w:val="000000"/>
          <w:sz w:val="32"/>
          <w:szCs w:val="32"/>
        </w:rPr>
        <w:t xml:space="preserve">.项目支出：指在基本支出之外为完成特定行政任务和事业发展目标所发生的支出。 </w:t>
      </w:r>
    </w:p>
    <w:p>
      <w:pPr>
        <w:pStyle w:val="32"/>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17</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18</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83" w:name="_Toc15396614"/>
      <w:bookmarkStart w:id="184" w:name="_Toc15377226"/>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pStyle w:val="32"/>
        <w:spacing w:line="560" w:lineRule="exact"/>
        <w:ind w:firstLineChars="200" w:firstLine="640"/>
        <w:rPr>
          <w:rFonts w:ascii="仿宋_GB2312" w:eastAsia="仿宋_GB2312" w:cs="仿宋_GB2312" w:hint="eastAsia"/>
          <w:sz w:val="32"/>
          <w:szCs w:val="32"/>
        </w:rPr>
      </w:pPr>
    </w:p>
    <w:p>
      <w:pPr>
        <w:rPr>
          <w:rFonts w:hint="eastAsia"/>
        </w:rPr>
      </w:pPr>
    </w:p>
    <w:p>
      <w:pPr>
        <w:numPr>
          <w:ilvl w:val="0"/>
          <w:numId w:val="3"/>
        </w:numPr>
        <w:spacing w:line="600" w:lineRule="exact"/>
        <w:ind w:left="0" w:firstLineChars="150" w:firstLine="660"/>
        <w:jc w:val="center"/>
        <w:outlineLvl w:val="0"/>
        <w:rPr>
          <w:rStyle w:val="1Char"/>
          <w:rFonts w:ascii="仿宋_GB2312" w:eastAsia="仿宋_GB2312" w:cs="仿宋_GB2312" w:hint="eastAsia"/>
          <w:b/>
          <w:bCs w:val="0"/>
        </w:rPr>
      </w:pPr>
      <w:bookmarkStart w:id="185" w:name="_Toc26512"/>
      <w:bookmarkStart w:id="186" w:name="_Toc17647"/>
      <w:bookmarkStart w:id="187" w:name="_Toc27820"/>
      <w:bookmarkStart w:id="188" w:name="_Toc5876"/>
      <w:bookmarkStart w:id="189" w:name="_Toc9035"/>
      <w:r>
        <w:rPr>
          <w:rStyle w:val="1Char"/>
          <w:rFonts w:ascii="仿宋_GB2312" w:eastAsia="仿宋_GB2312" w:cs="仿宋_GB2312" w:hint="eastAsia"/>
          <w:b/>
          <w:bCs w:val="0"/>
          <w:lang w:val="en-US"/>
        </w:rPr>
        <w:t>部门整体支出绩效报告</w:t>
      </w:r>
      <w:bookmarkEnd w:id="183"/>
      <w:bookmarkEnd w:id="185"/>
    </w:p>
    <w:p>
      <w:pPr>
        <w:pStyle w:val="17"/>
        <w:rPr>
          <w:rFonts w:hint="eastAsia"/>
          <w:b/>
          <w:bCs w:val="0"/>
        </w:rPr>
      </w:pPr>
      <w:bookmarkEnd w:id="186"/>
    </w:p>
    <w:p>
      <w:pPr>
        <w:keepNext w:val="0"/>
        <w:keepLines w:val="0"/>
        <w:pageBreakBefore w:val="0"/>
        <w:widowControl/>
        <w:kinsoku/>
        <w:wordWrap/>
        <w:overflowPunct/>
        <w:topLinePunct w:val="0"/>
        <w:autoSpaceDE/>
        <w:autoSpaceDN/>
        <w:bidi w:val="0"/>
        <w:spacing w:line="552" w:lineRule="exact"/>
        <w:ind w:firstLineChars="400" w:firstLine="1760"/>
        <w:jc w:val="both"/>
        <w:textAlignment w:val="auto"/>
        <w:rPr>
          <w:rFonts w:ascii="方正小标宋简体" w:eastAsia="方正小标宋简体" w:cs="方正小标宋简体"/>
          <w:sz w:val="44"/>
          <w:szCs w:val="44"/>
        </w:rPr>
      </w:pPr>
      <w:bookmarkEnd w:id="184"/>
      <w:bookmarkEnd w:id="187"/>
      <w:bookmarkEnd w:id="188"/>
      <w:bookmarkEnd w:id="189"/>
      <w:r>
        <w:rPr>
          <w:rFonts w:ascii="方正小标宋简体" w:eastAsia="方正小标宋简体" w:cs="方正小标宋简体" w:hint="eastAsia"/>
          <w:sz w:val="44"/>
          <w:szCs w:val="44"/>
        </w:rPr>
        <w:t>金川县人大常委会办公室</w:t>
      </w:r>
    </w:p>
    <w:p>
      <w:pPr>
        <w:keepNext w:val="0"/>
        <w:keepLines w:val="0"/>
        <w:pageBreakBefore w:val="0"/>
        <w:widowControl/>
        <w:kinsoku/>
        <w:wordWrap/>
        <w:overflowPunct/>
        <w:topLinePunct w:val="0"/>
        <w:autoSpaceDE/>
        <w:autoSpaceDN/>
        <w:bidi w:val="0"/>
        <w:adjustRightInd w:val="0"/>
        <w:snapToGrid w:val="0"/>
        <w:spacing w:line="552" w:lineRule="exact"/>
        <w:contextualSpacing/>
        <w:jc w:val="center"/>
        <w:textAlignment w:val="auto"/>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lang w:eastAsia="zh-CN"/>
        </w:rPr>
        <w:t>202</w:t>
      </w:r>
      <w:r>
        <w:rPr>
          <w:rFonts w:ascii="方正小标宋简体" w:eastAsia="方正小标宋简体" w:cs="方正小标宋简体" w:hint="eastAsia"/>
          <w:sz w:val="44"/>
          <w:szCs w:val="44"/>
          <w:lang w:val="en-US" w:eastAsia="zh-CN"/>
        </w:rPr>
        <w:t>4</w:t>
      </w:r>
      <w:r>
        <w:rPr>
          <w:rFonts w:ascii="方正小标宋简体" w:eastAsia="方正小标宋简体" w:cs="方正小标宋简体" w:hint="eastAsia"/>
          <w:sz w:val="44"/>
          <w:szCs w:val="44"/>
          <w:lang w:eastAsia="zh-CN"/>
        </w:rPr>
        <w:t>年</w:t>
      </w:r>
      <w:r>
        <w:rPr>
          <w:rFonts w:ascii="方正小标宋简体" w:eastAsia="方正小标宋简体" w:cs="方正小标宋简体" w:hint="eastAsia"/>
          <w:sz w:val="44"/>
          <w:szCs w:val="44"/>
        </w:rPr>
        <w:t>部门整体支出绩效报告</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color w:val="000000"/>
          <w:kern w:val="0"/>
          <w:sz w:val="32"/>
          <w:szCs w:val="32"/>
          <w:lang w:val="en-US" w:eastAsia="zh-CN" w:bidi="ar-SA"/>
        </w:rPr>
        <w:t>根据《金川县财政局关于202</w:t>
      </w:r>
      <w:r>
        <w:rPr>
          <w:rFonts w:ascii="仿宋_GB2312" w:eastAsia="仿宋_GB2312" w:cs="仿宋_GB2312" w:hint="eastAsia"/>
          <w:color w:val="000000"/>
          <w:kern w:val="0"/>
          <w:sz w:val="32"/>
          <w:szCs w:val="32"/>
          <w:lang w:val="en-US" w:eastAsia="zh-CN" w:bidi="ar-SA"/>
        </w:rPr>
        <w:t>4</w:t>
      </w:r>
      <w:r>
        <w:rPr>
          <w:rFonts w:ascii="仿宋_GB2312" w:eastAsia="仿宋_GB2312" w:cs="仿宋_GB2312"/>
          <w:color w:val="000000"/>
          <w:kern w:val="0"/>
          <w:sz w:val="32"/>
          <w:szCs w:val="32"/>
          <w:lang w:val="en-US" w:eastAsia="zh-CN" w:bidi="ar-SA"/>
        </w:rPr>
        <w:t>年县级部门绩效自评工作的通知》的通知</w:t>
      </w:r>
      <w:r>
        <w:rPr>
          <w:rFonts w:ascii="仿宋_GB2312" w:eastAsia="仿宋_GB2312" w:cs="仿宋_GB2312" w:hint="eastAsia"/>
          <w:color w:val="000000"/>
          <w:kern w:val="0"/>
          <w:sz w:val="32"/>
          <w:szCs w:val="32"/>
          <w:lang w:val="en-US" w:eastAsia="zh-CN" w:bidi="ar-SA"/>
        </w:rPr>
        <w:t>（</w:t>
      </w:r>
      <w:r>
        <w:rPr>
          <w:rFonts w:ascii="仿宋_GB2312" w:eastAsia="仿宋_GB2312" w:cs="仿宋_GB2312"/>
          <w:color w:val="000000"/>
          <w:kern w:val="0"/>
          <w:sz w:val="32"/>
          <w:szCs w:val="32"/>
          <w:lang w:val="en-US" w:eastAsia="zh-CN" w:bidi="ar-SA"/>
        </w:rPr>
        <w:t>金财监绩〔202</w:t>
      </w:r>
      <w:r>
        <w:rPr>
          <w:rFonts w:ascii="仿宋_GB2312" w:eastAsia="仿宋_GB2312" w:cs="仿宋_GB2312" w:hint="eastAsia"/>
          <w:color w:val="000000"/>
          <w:kern w:val="0"/>
          <w:sz w:val="32"/>
          <w:szCs w:val="32"/>
          <w:lang w:val="en-US" w:eastAsia="zh-CN" w:bidi="ar-SA"/>
        </w:rPr>
        <w:t>5</w:t>
      </w:r>
      <w:r>
        <w:rPr>
          <w:rFonts w:ascii="仿宋_GB2312" w:eastAsia="仿宋_GB2312" w:cs="仿宋_GB2312"/>
          <w:color w:val="000000"/>
          <w:kern w:val="0"/>
          <w:sz w:val="32"/>
          <w:szCs w:val="32"/>
          <w:lang w:val="en-US" w:eastAsia="zh-CN" w:bidi="ar-SA"/>
        </w:rPr>
        <w:t>〕35号</w:t>
      </w:r>
      <w:r>
        <w:rPr>
          <w:rFonts w:ascii="仿宋_GB2312" w:eastAsia="仿宋_GB2312" w:cs="仿宋_GB2312" w:hint="eastAsia"/>
          <w:color w:val="000000"/>
          <w:kern w:val="0"/>
          <w:sz w:val="32"/>
          <w:szCs w:val="32"/>
          <w:lang w:val="en-US" w:eastAsia="zh-CN" w:bidi="ar-SA"/>
        </w:rPr>
        <w:t>）</w:t>
      </w:r>
      <w:r>
        <w:rPr>
          <w:rFonts w:ascii="仿宋_GB2312" w:eastAsia="仿宋_GB2312" w:cs="仿宋_GB2312"/>
          <w:color w:val="000000"/>
          <w:kern w:val="0"/>
          <w:sz w:val="32"/>
          <w:szCs w:val="32"/>
          <w:lang w:val="en-US" w:eastAsia="zh-CN" w:bidi="ar-SA"/>
        </w:rPr>
        <w:t>文件要求，我办高度重视，认真开展了部门整体支出绩效</w:t>
      </w:r>
      <w:r>
        <w:rPr>
          <w:rFonts w:ascii="仿宋_GB2312" w:eastAsia="仿宋_GB2312" w:cs="仿宋_GB2312" w:hint="eastAsia"/>
          <w:color w:val="000000"/>
          <w:kern w:val="0"/>
          <w:sz w:val="32"/>
          <w:szCs w:val="32"/>
          <w:lang w:val="en-US" w:eastAsia="zh-CN" w:bidi="ar-SA"/>
        </w:rPr>
        <w:t>自评</w:t>
      </w:r>
      <w:r>
        <w:rPr>
          <w:rFonts w:ascii="仿宋_GB2312" w:eastAsia="仿宋_GB2312" w:cs="仿宋_GB2312"/>
          <w:color w:val="000000"/>
          <w:kern w:val="0"/>
          <w:sz w:val="32"/>
          <w:szCs w:val="32"/>
          <w:lang w:val="en-US" w:eastAsia="zh-CN" w:bidi="ar-SA"/>
        </w:rPr>
        <w:t>工作，现将有关情况报告如下。</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黑体_GBK" w:eastAsia="方正黑体_GBK" w:cs="方正黑体_GBK" w:hint="eastAsia"/>
          <w:sz w:val="32"/>
          <w:szCs w:val="32"/>
        </w:rPr>
      </w:pPr>
      <w:r>
        <w:rPr>
          <w:rFonts w:ascii="方正黑体_GBK" w:eastAsia="方正黑体_GBK" w:cs="方正黑体_GBK" w:hint="eastAsia"/>
          <w:color w:val="000000"/>
          <w:kern w:val="0"/>
          <w:sz w:val="32"/>
          <w:szCs w:val="32"/>
          <w:shd w:val="clear" w:color="auto" w:fill="FFFFFF"/>
          <w:lang w:val="zh-CN"/>
          <w:highlight w:val="auto"/>
        </w:rPr>
        <w:t>一、部门（单位）基本情况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楷体_GBK" w:eastAsia="方正楷体_GBK" w:cs="方正楷体_GBK" w:hint="eastAsia"/>
          <w:b/>
          <w:bCs/>
          <w:color w:val="000000"/>
          <w:kern w:val="0"/>
          <w:sz w:val="32"/>
          <w:szCs w:val="32"/>
          <w:shd w:val="clear" w:color="auto" w:fill="FFFFFF"/>
          <w:lang w:val="zh-CN"/>
          <w:highlight w:val="auto"/>
        </w:rPr>
      </w:pPr>
      <w:r>
        <w:rPr>
          <w:rFonts w:ascii="方正楷体_GBK" w:eastAsia="方正楷体_GBK" w:cs="方正楷体_GBK" w:hint="eastAsia"/>
          <w:b/>
          <w:bCs/>
          <w:color w:val="000000"/>
          <w:kern w:val="0"/>
          <w:sz w:val="32"/>
          <w:szCs w:val="32"/>
          <w:shd w:val="clear" w:color="auto" w:fill="FFFFFF"/>
          <w:lang w:val="zh-CN"/>
          <w:highlight w:val="auto"/>
        </w:rPr>
        <w:t>（一）机构组成</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zh-CN" w:eastAsia="zh-CN" w:bidi="ar-SA"/>
        </w:rPr>
      </w:pPr>
      <w:r>
        <w:rPr>
          <w:rFonts w:ascii="仿宋_GB2312" w:eastAsia="仿宋_GB2312" w:cs="仿宋_GB2312" w:hint="eastAsia"/>
          <w:color w:val="000000"/>
          <w:kern w:val="0"/>
          <w:sz w:val="32"/>
          <w:szCs w:val="32"/>
          <w:lang w:val="zh-CN" w:eastAsia="zh-CN" w:bidi="ar-SA"/>
        </w:rPr>
        <w:t>金川县人大常委会是县人民代表大会的常设机构，内设县人大常委会办公室、县人大常委会人事代表工作委员会、法制监察司法和民族宗教外事委员会、财政经济预算和农业农村城乡环境保护委员会、教育科学文化卫生和社会建设委员会。办公室下设一个人大信息中心。</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楷体_GBK" w:eastAsia="方正楷体_GBK" w:cs="方正楷体_GBK" w:hint="eastAsia"/>
          <w:b/>
          <w:bCs/>
          <w:color w:val="000000"/>
          <w:kern w:val="0"/>
          <w:sz w:val="32"/>
          <w:szCs w:val="32"/>
          <w:shd w:val="clear" w:color="auto" w:fill="FFFFFF"/>
          <w:lang w:val="zh-CN"/>
          <w:highlight w:val="auto"/>
        </w:rPr>
      </w:pPr>
      <w:r>
        <w:rPr>
          <w:rFonts w:ascii="方正楷体_GBK" w:eastAsia="方正楷体_GBK" w:cs="方正楷体_GBK" w:hint="eastAsia"/>
          <w:b/>
          <w:bCs/>
          <w:color w:val="000000"/>
          <w:kern w:val="0"/>
          <w:sz w:val="32"/>
          <w:szCs w:val="32"/>
          <w:shd w:val="clear" w:color="auto" w:fill="FFFFFF"/>
          <w:lang w:val="zh-CN"/>
          <w:highlight w:val="auto"/>
        </w:rPr>
        <w:t>（二）</w:t>
      </w:r>
      <w:r>
        <w:rPr>
          <w:rFonts w:ascii="方正楷体_GBK" w:eastAsia="方正楷体_GBK" w:cs="方正楷体_GBK"/>
          <w:b/>
          <w:bCs/>
          <w:color w:val="000000"/>
          <w:kern w:val="0"/>
          <w:sz w:val="32"/>
          <w:szCs w:val="32"/>
          <w:shd w:val="clear" w:color="auto" w:fill="FFFFFF"/>
          <w:lang w:val="zh-CN"/>
          <w:highlight w:val="auto"/>
        </w:rPr>
        <w:t>机构职能</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zh-CN" w:eastAsia="zh-CN" w:bidi="ar-SA"/>
        </w:rPr>
      </w:pPr>
      <w:r>
        <w:rPr>
          <w:rFonts w:ascii="仿宋_GB2312" w:eastAsia="仿宋_GB2312" w:cs="仿宋_GB2312" w:hint="eastAsia"/>
          <w:color w:val="000000"/>
          <w:kern w:val="0"/>
          <w:sz w:val="32"/>
          <w:szCs w:val="32"/>
          <w:lang w:val="zh-CN" w:eastAsia="zh-CN" w:bidi="ar-SA"/>
        </w:rPr>
        <w:t>县人大常委会办公室负责县人大常委会机关工作的综合协调，密切与各工作委员会联系，当好常委会和主任会议的参谋，搞好下情上报，上情下达；承担代表大会会议、常委会会议和主任会议及其它会议的筹备工作和会务工作：负责上级和本会文件、资料的收发、打印、分发、传阅、清退、立卷、归档和印章的管理工作，做好保密、保卫、消防等工作；负责机关财务、财产、办公用品、办公设施、机关人事的管理工作，做好用车等机关后勤服务工作等等。</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楷体_GBK" w:eastAsia="方正楷体_GBK" w:cs="方正楷体_GBK" w:hint="eastAsia"/>
          <w:b/>
          <w:bCs/>
          <w:color w:val="000000"/>
          <w:kern w:val="0"/>
          <w:sz w:val="32"/>
          <w:szCs w:val="32"/>
          <w:shd w:val="clear" w:color="auto" w:fill="FFFFFF"/>
          <w:lang w:val="zh-CN"/>
          <w:highlight w:val="auto"/>
        </w:rPr>
      </w:pPr>
      <w:r>
        <w:rPr>
          <w:rFonts w:ascii="方正楷体_GBK" w:eastAsia="方正楷体_GBK" w:cs="方正楷体_GBK"/>
          <w:b/>
          <w:bCs/>
          <w:color w:val="000000"/>
          <w:kern w:val="0"/>
          <w:sz w:val="32"/>
          <w:szCs w:val="32"/>
          <w:shd w:val="clear" w:color="auto" w:fill="FFFFFF"/>
          <w:lang w:val="zh-CN"/>
          <w:highlight w:val="auto"/>
        </w:rPr>
        <w:t>（</w:t>
      </w:r>
      <w:r>
        <w:rPr>
          <w:rFonts w:ascii="方正楷体_GBK" w:eastAsia="方正楷体_GBK" w:cs="方正楷体_GBK" w:hint="eastAsia"/>
          <w:b/>
          <w:bCs/>
          <w:color w:val="000000"/>
          <w:kern w:val="0"/>
          <w:sz w:val="32"/>
          <w:szCs w:val="32"/>
          <w:shd w:val="clear" w:color="auto" w:fill="FFFFFF"/>
          <w:lang w:val="zh-CN"/>
          <w:highlight w:val="auto"/>
        </w:rPr>
        <w:t>三</w:t>
      </w:r>
      <w:r>
        <w:rPr>
          <w:rFonts w:ascii="方正楷体_GBK" w:eastAsia="方正楷体_GBK" w:cs="方正楷体_GBK"/>
          <w:b/>
          <w:bCs/>
          <w:color w:val="000000"/>
          <w:kern w:val="0"/>
          <w:sz w:val="32"/>
          <w:szCs w:val="32"/>
          <w:shd w:val="clear" w:color="auto" w:fill="FFFFFF"/>
          <w:lang w:val="zh-CN"/>
          <w:highlight w:val="auto"/>
        </w:rPr>
        <w:t>）人员概况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zh-CN" w:eastAsia="zh-CN" w:bidi="ar-SA"/>
        </w:rPr>
      </w:pPr>
      <w:r>
        <w:rPr>
          <w:rFonts w:ascii="仿宋_GB2312" w:eastAsia="仿宋_GB2312" w:cs="仿宋_GB2312"/>
          <w:color w:val="000000"/>
          <w:kern w:val="0"/>
          <w:sz w:val="32"/>
          <w:szCs w:val="32"/>
          <w:lang w:val="zh-CN" w:eastAsia="zh-CN" w:bidi="ar-SA"/>
        </w:rPr>
        <w:t>截至202</w:t>
      </w:r>
      <w:r>
        <w:rPr>
          <w:rFonts w:ascii="仿宋_GB2312" w:eastAsia="仿宋_GB2312" w:cs="仿宋_GB2312" w:hint="eastAsia"/>
          <w:color w:val="000000"/>
          <w:kern w:val="0"/>
          <w:sz w:val="32"/>
          <w:szCs w:val="32"/>
          <w:lang w:val="en-US" w:eastAsia="zh-CN" w:bidi="ar-SA"/>
        </w:rPr>
        <w:t>4</w:t>
      </w:r>
      <w:r>
        <w:rPr>
          <w:rFonts w:ascii="仿宋_GB2312" w:eastAsia="仿宋_GB2312" w:cs="仿宋_GB2312"/>
          <w:color w:val="000000"/>
          <w:kern w:val="0"/>
          <w:sz w:val="32"/>
          <w:szCs w:val="32"/>
          <w:lang w:val="zh-CN" w:eastAsia="zh-CN" w:bidi="ar-SA"/>
        </w:rPr>
        <w:t>年末，</w:t>
      </w:r>
      <w:r>
        <w:rPr>
          <w:rFonts w:ascii="仿宋_GB2312" w:eastAsia="仿宋_GB2312" w:cs="仿宋_GB2312" w:hint="eastAsia"/>
          <w:color w:val="000000"/>
          <w:kern w:val="0"/>
          <w:sz w:val="32"/>
          <w:szCs w:val="32"/>
          <w:lang w:val="zh-CN" w:eastAsia="zh-CN" w:bidi="ar-SA"/>
        </w:rPr>
        <w:t>人大常委会机关决算汇编范围的独立核算单位共</w:t>
      </w:r>
      <w:r>
        <w:rPr>
          <w:rFonts w:ascii="仿宋_GB2312" w:eastAsia="仿宋_GB2312" w:cs="仿宋_GB2312" w:hint="eastAsia"/>
          <w:color w:val="000000"/>
          <w:kern w:val="0"/>
          <w:sz w:val="32"/>
          <w:szCs w:val="32"/>
          <w:lang w:val="en-US" w:eastAsia="zh-CN" w:bidi="ar-SA"/>
        </w:rPr>
        <w:t>2个，分别是金川县人民代表大会常务委员会办公室和人大常委会办公室信息中心。</w:t>
      </w:r>
      <w:r>
        <w:rPr>
          <w:rFonts w:ascii="仿宋_GB2312" w:eastAsia="仿宋_GB2312" w:cs="仿宋_GB2312" w:hint="eastAsia"/>
          <w:color w:val="000000"/>
          <w:kern w:val="0"/>
          <w:sz w:val="32"/>
          <w:szCs w:val="32"/>
          <w:lang w:val="zh-CN" w:eastAsia="zh-CN" w:bidi="ar-SA"/>
        </w:rPr>
        <w:t>单位编制数</w:t>
      </w:r>
      <w:r>
        <w:rPr>
          <w:rFonts w:ascii="仿宋_GB2312" w:eastAsia="仿宋_GB2312" w:cs="仿宋_GB2312" w:hint="eastAsia"/>
          <w:color w:val="000000"/>
          <w:kern w:val="0"/>
          <w:sz w:val="32"/>
          <w:szCs w:val="32"/>
          <w:lang w:val="en-US" w:eastAsia="zh-CN" w:bidi="ar-SA"/>
        </w:rPr>
        <w:t>22</w:t>
      </w:r>
      <w:r>
        <w:rPr>
          <w:rFonts w:ascii="仿宋_GB2312" w:eastAsia="仿宋_GB2312" w:cs="仿宋_GB2312" w:hint="eastAsia"/>
          <w:color w:val="000000"/>
          <w:kern w:val="0"/>
          <w:sz w:val="32"/>
          <w:szCs w:val="32"/>
          <w:lang w:val="zh-CN" w:eastAsia="zh-CN" w:bidi="ar-SA"/>
        </w:rPr>
        <w:t>个，其中：</w:t>
      </w:r>
      <w:r>
        <w:rPr>
          <w:rFonts w:ascii="仿宋_GB2312" w:eastAsia="仿宋_GB2312" w:cs="仿宋_GB2312" w:hint="eastAsia"/>
          <w:color w:val="000000"/>
          <w:kern w:val="0"/>
          <w:sz w:val="32"/>
          <w:szCs w:val="32"/>
          <w:lang w:val="en-US" w:eastAsia="zh-CN" w:bidi="ar-SA"/>
        </w:rPr>
        <w:t>公务员18人（超编1人）</w:t>
      </w:r>
      <w:r>
        <w:rPr>
          <w:rFonts w:ascii="仿宋_GB2312" w:eastAsia="仿宋_GB2312" w:cs="仿宋_GB2312" w:hint="eastAsia"/>
          <w:color w:val="000000"/>
          <w:kern w:val="0"/>
          <w:sz w:val="32"/>
          <w:szCs w:val="32"/>
          <w:lang w:val="zh-CN" w:eastAsia="zh-CN" w:bidi="ar-SA"/>
        </w:rPr>
        <w:t>，</w:t>
      </w:r>
      <w:r>
        <w:rPr>
          <w:rFonts w:ascii="仿宋_GB2312" w:eastAsia="仿宋_GB2312" w:cs="仿宋_GB2312" w:hint="eastAsia"/>
          <w:color w:val="000000"/>
          <w:kern w:val="0"/>
          <w:sz w:val="32"/>
          <w:szCs w:val="32"/>
          <w:lang w:val="en-US" w:eastAsia="zh-CN" w:bidi="ar-SA"/>
        </w:rPr>
        <w:t>工勤3人，</w:t>
      </w:r>
      <w:r>
        <w:rPr>
          <w:rFonts w:ascii="仿宋_GB2312" w:eastAsia="仿宋_GB2312" w:cs="仿宋_GB2312" w:hint="eastAsia"/>
          <w:color w:val="000000"/>
          <w:kern w:val="0"/>
          <w:sz w:val="32"/>
          <w:szCs w:val="32"/>
          <w:lang w:val="zh-CN" w:eastAsia="zh-CN" w:bidi="ar-SA"/>
        </w:rPr>
        <w:t>事业编制</w:t>
      </w:r>
      <w:r>
        <w:rPr>
          <w:rFonts w:ascii="仿宋_GB2312" w:eastAsia="仿宋_GB2312" w:cs="仿宋_GB2312" w:hint="eastAsia"/>
          <w:color w:val="000000"/>
          <w:kern w:val="0"/>
          <w:sz w:val="32"/>
          <w:szCs w:val="32"/>
          <w:lang w:val="en-US" w:eastAsia="zh-CN" w:bidi="ar-SA"/>
        </w:rPr>
        <w:t>2</w:t>
      </w:r>
      <w:r>
        <w:rPr>
          <w:rFonts w:ascii="仿宋_GB2312" w:eastAsia="仿宋_GB2312" w:cs="仿宋_GB2312" w:hint="eastAsia"/>
          <w:color w:val="000000"/>
          <w:kern w:val="0"/>
          <w:sz w:val="32"/>
          <w:szCs w:val="32"/>
          <w:lang w:val="zh-CN" w:eastAsia="zh-CN" w:bidi="ar-SA"/>
        </w:rPr>
        <w:t>名，</w:t>
      </w:r>
      <w:r>
        <w:rPr>
          <w:rFonts w:ascii="仿宋_GB2312" w:eastAsia="仿宋_GB2312" w:cs="仿宋_GB2312" w:hint="eastAsia"/>
          <w:color w:val="000000"/>
          <w:kern w:val="0"/>
          <w:sz w:val="32"/>
          <w:szCs w:val="32"/>
          <w:lang w:val="en-US" w:eastAsia="zh-CN" w:bidi="ar-SA"/>
        </w:rPr>
        <w:t>遗属2人，</w:t>
      </w:r>
      <w:r>
        <w:rPr>
          <w:rFonts w:ascii="仿宋_GB2312" w:eastAsia="仿宋_GB2312" w:cs="仿宋_GB2312" w:hint="eastAsia"/>
          <w:color w:val="000000"/>
          <w:kern w:val="0"/>
          <w:sz w:val="32"/>
          <w:szCs w:val="32"/>
          <w:lang w:val="zh-CN" w:eastAsia="zh-CN" w:bidi="ar-SA"/>
        </w:rPr>
        <w:t>退休人员工资转由社保部门发放。</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黑体_GBK" w:eastAsia="方正黑体_GBK" w:cs="方正黑体_GBK"/>
          <w:color w:val="000000"/>
          <w:kern w:val="0"/>
          <w:sz w:val="32"/>
          <w:szCs w:val="32"/>
          <w:shd w:val="clear" w:color="auto" w:fill="FFFFFF"/>
          <w:lang w:val="zh-CN"/>
          <w:highlight w:val="auto"/>
        </w:rPr>
      </w:pPr>
      <w:r>
        <w:rPr>
          <w:rFonts w:ascii="方正黑体_GBK" w:eastAsia="方正黑体_GBK" w:cs="方正黑体_GBK"/>
          <w:color w:val="000000"/>
          <w:kern w:val="0"/>
          <w:sz w:val="32"/>
          <w:szCs w:val="32"/>
          <w:shd w:val="clear" w:color="auto" w:fill="FFFFFF"/>
          <w:lang w:val="zh-CN"/>
          <w:highlight w:val="auto"/>
        </w:rPr>
        <w:t>二、</w:t>
      </w:r>
      <w:r>
        <w:rPr>
          <w:rFonts w:ascii="方正黑体_GBK" w:eastAsia="方正黑体_GBK" w:cs="方正黑体_GBK"/>
          <w:color w:val="000000"/>
          <w:kern w:val="0"/>
          <w:sz w:val="32"/>
          <w:szCs w:val="32"/>
          <w:shd w:val="clear" w:color="auto" w:fill="FFFFFF"/>
          <w:lang w:val="zh-CN" w:eastAsia="zh-CN"/>
          <w:highlight w:val="auto"/>
        </w:rPr>
        <w:t>部门</w:t>
      </w:r>
      <w:r>
        <w:rPr>
          <w:rFonts w:ascii="方正黑体_GBK" w:eastAsia="方正黑体_GBK" w:cs="方正黑体_GBK"/>
          <w:color w:val="000000"/>
          <w:kern w:val="0"/>
          <w:sz w:val="32"/>
          <w:szCs w:val="32"/>
          <w:shd w:val="clear" w:color="auto" w:fill="FFFFFF"/>
          <w:lang w:val="zh-CN"/>
          <w:highlight w:val="auto"/>
        </w:rPr>
        <w:t>资金收支情况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楷体_GBK" w:eastAsia="方正楷体_GBK" w:cs="方正楷体_GBK"/>
          <w:b/>
          <w:bCs/>
          <w:color w:val="000000"/>
          <w:kern w:val="0"/>
          <w:sz w:val="32"/>
          <w:szCs w:val="32"/>
          <w:shd w:val="clear" w:color="auto" w:fill="FFFFFF"/>
          <w:lang w:val="zh-CN"/>
          <w:highlight w:val="auto"/>
        </w:rPr>
      </w:pPr>
      <w:r>
        <w:rPr>
          <w:rFonts w:ascii="方正楷体_GBK" w:eastAsia="方正楷体_GBK" w:cs="方正楷体_GBK"/>
          <w:b/>
          <w:bCs/>
          <w:color w:val="000000"/>
          <w:kern w:val="0"/>
          <w:sz w:val="32"/>
          <w:szCs w:val="32"/>
          <w:shd w:val="clear" w:color="auto" w:fill="FFFFFF"/>
          <w:lang w:val="zh-CN"/>
          <w:highlight w:val="auto"/>
        </w:rPr>
        <w:t>（一）</w:t>
      </w:r>
      <w:r>
        <w:rPr>
          <w:rFonts w:ascii="方正楷体_GBK" w:eastAsia="方正楷体_GBK" w:cs="方正楷体_GBK" w:hint="eastAsia"/>
          <w:b/>
          <w:bCs/>
          <w:color w:val="000000"/>
          <w:kern w:val="0"/>
          <w:sz w:val="32"/>
          <w:szCs w:val="32"/>
          <w:shd w:val="clear" w:color="auto" w:fill="FFFFFF"/>
          <w:lang w:val="zh-CN"/>
          <w:highlight w:val="auto"/>
        </w:rPr>
        <w:t>收入情况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en-US" w:eastAsia="zh-CN" w:bidi="ar-SA"/>
        </w:rPr>
      </w:pPr>
      <w:r>
        <w:rPr>
          <w:rFonts w:ascii="仿宋_GB2312" w:eastAsia="仿宋_GB2312" w:cs="仿宋_GB2312" w:hint="eastAsia"/>
          <w:color w:val="000000"/>
          <w:kern w:val="0"/>
          <w:sz w:val="32"/>
          <w:szCs w:val="32"/>
          <w:lang w:val="en-US" w:eastAsia="zh-CN" w:bidi="ar-SA"/>
        </w:rPr>
        <w:t>2024年年初预算收入946.35万元。</w:t>
      </w:r>
      <w:bookmarkStart w:id="190" w:name="_Toc18400"/>
      <w:bookmarkStart w:id="191" w:name="_Toc26843610"/>
      <w:r>
        <w:rPr>
          <w:rFonts w:ascii="仿宋_GB2312" w:eastAsia="仿宋_GB2312" w:cs="仿宋_GB2312" w:hint="eastAsia"/>
          <w:color w:val="000000"/>
          <w:kern w:val="0"/>
          <w:sz w:val="32"/>
          <w:szCs w:val="32"/>
          <w:lang w:val="en-US" w:eastAsia="zh-CN" w:bidi="ar-SA"/>
        </w:rPr>
        <w:t>2024年度总收入1049.86万元，较上年收入减少197.13万元，减少15.81%。主要原因是2024年人员经费调整。</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en-US" w:eastAsia="zh-CN" w:bidi="ar-SA"/>
        </w:rPr>
      </w:pPr>
      <w:r>
        <w:rPr>
          <w:rFonts w:ascii="仿宋_GB2312" w:eastAsia="仿宋_GB2312" w:cs="仿宋_GB2312" w:hint="eastAsia"/>
          <w:color w:val="000000"/>
          <w:kern w:val="0"/>
          <w:sz w:val="32"/>
          <w:szCs w:val="32"/>
          <w:lang w:val="en-US" w:eastAsia="zh-CN" w:bidi="ar-SA"/>
        </w:rPr>
        <w:t>其中：一般公共预算</w:t>
      </w:r>
      <w:r>
        <w:rPr>
          <w:rFonts w:ascii="仿宋_GB2312" w:eastAsia="仿宋_GB2312" w:cs="仿宋_GB2312" w:hint="eastAsia"/>
          <w:color w:val="000000"/>
          <w:kern w:val="0"/>
          <w:sz w:val="32"/>
          <w:szCs w:val="32"/>
          <w:lang w:val="zh-CN" w:eastAsia="zh-CN" w:bidi="ar-SA"/>
        </w:rPr>
        <w:t>财政拨款收入</w:t>
      </w:r>
      <w:r>
        <w:rPr>
          <w:rFonts w:ascii="仿宋_GB2312" w:eastAsia="仿宋_GB2312" w:cs="仿宋_GB2312" w:hint="eastAsia"/>
          <w:color w:val="000000"/>
          <w:kern w:val="0"/>
          <w:sz w:val="32"/>
          <w:szCs w:val="32"/>
          <w:lang w:val="en-US" w:eastAsia="zh-CN" w:bidi="ar-SA"/>
        </w:rPr>
        <w:t>1049.86万元</w:t>
      </w:r>
      <w:r>
        <w:rPr>
          <w:rFonts w:ascii="仿宋_GB2312" w:eastAsia="仿宋_GB2312" w:cs="仿宋_GB2312" w:hint="eastAsia"/>
          <w:color w:val="000000"/>
          <w:kern w:val="0"/>
          <w:sz w:val="32"/>
          <w:szCs w:val="32"/>
          <w:lang w:val="zh-CN" w:eastAsia="zh-CN" w:bidi="ar-SA"/>
        </w:rPr>
        <w:t>，占</w:t>
      </w:r>
      <w:r>
        <w:rPr>
          <w:rFonts w:ascii="仿宋_GB2312" w:eastAsia="仿宋_GB2312" w:cs="仿宋_GB2312" w:hint="eastAsia"/>
          <w:color w:val="000000"/>
          <w:kern w:val="0"/>
          <w:sz w:val="32"/>
          <w:szCs w:val="32"/>
          <w:lang w:val="en-US" w:eastAsia="zh-CN" w:bidi="ar-SA"/>
        </w:rPr>
        <w:t>100</w:t>
      </w:r>
      <w:r>
        <w:rPr>
          <w:rFonts w:ascii="仿宋_GB2312" w:eastAsia="仿宋_GB2312" w:cs="仿宋_GB2312" w:hint="eastAsia"/>
          <w:color w:val="000000"/>
          <w:kern w:val="0"/>
          <w:sz w:val="32"/>
          <w:szCs w:val="32"/>
          <w:lang w:val="zh-CN" w:eastAsia="zh-CN" w:bidi="ar-SA"/>
        </w:rPr>
        <w:t>%；政府性基金预算财政拨款收入</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万元，</w:t>
      </w:r>
      <w:r>
        <w:rPr>
          <w:rFonts w:ascii="仿宋_GB2312" w:eastAsia="仿宋_GB2312" w:cs="仿宋_GB2312" w:hint="eastAsia"/>
          <w:color w:val="000000"/>
          <w:kern w:val="0"/>
          <w:sz w:val="32"/>
          <w:szCs w:val="32"/>
          <w:lang w:val="en-US" w:eastAsia="zh-CN" w:bidi="ar-SA"/>
        </w:rPr>
        <w:t xml:space="preserve"> </w:t>
      </w:r>
      <w:r>
        <w:rPr>
          <w:rFonts w:ascii="仿宋_GB2312" w:eastAsia="仿宋_GB2312" w:cs="仿宋_GB2312" w:hint="eastAsia"/>
          <w:color w:val="000000"/>
          <w:kern w:val="0"/>
          <w:sz w:val="32"/>
          <w:szCs w:val="32"/>
          <w:lang w:val="zh-CN" w:eastAsia="zh-CN" w:bidi="ar-SA"/>
        </w:rPr>
        <w:t>占</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%；国有资本经营预算财政拨款收入</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万元，占</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%；事业收入</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万元，占</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%；经营收入</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万元，占</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%；附属单位上缴收入</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万元，占</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%；其他收入</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万元，占</w:t>
      </w:r>
      <w:r>
        <w:rPr>
          <w:rFonts w:ascii="仿宋_GB2312" w:eastAsia="仿宋_GB2312" w:cs="仿宋_GB2312" w:hint="eastAsia"/>
          <w:color w:val="000000"/>
          <w:kern w:val="0"/>
          <w:sz w:val="32"/>
          <w:szCs w:val="32"/>
          <w:lang w:val="en-US" w:eastAsia="zh-CN" w:bidi="ar-SA"/>
        </w:rPr>
        <w:t>0</w:t>
      </w:r>
      <w:r>
        <w:rPr>
          <w:rFonts w:ascii="仿宋_GB2312" w:eastAsia="仿宋_GB2312" w:cs="仿宋_GB2312" w:hint="eastAsia"/>
          <w:color w:val="000000"/>
          <w:kern w:val="0"/>
          <w:sz w:val="32"/>
          <w:szCs w:val="32"/>
          <w:lang w:val="zh-CN" w:eastAsia="zh-CN" w:bidi="ar-SA"/>
        </w:rPr>
        <w:t>%</w:t>
      </w:r>
      <w:r>
        <w:rPr>
          <w:rFonts w:ascii="仿宋_GB2312" w:eastAsia="仿宋_GB2312" w:cs="仿宋_GB2312" w:hint="eastAsia"/>
          <w:color w:val="000000"/>
          <w:kern w:val="0"/>
          <w:sz w:val="32"/>
          <w:szCs w:val="32"/>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楷体_GBK" w:eastAsia="方正楷体_GBK" w:cs="方正楷体_GBK"/>
          <w:b/>
          <w:bCs/>
          <w:color w:val="000000"/>
          <w:kern w:val="0"/>
          <w:sz w:val="32"/>
          <w:szCs w:val="32"/>
          <w:shd w:val="clear" w:color="auto" w:fill="FFFFFF"/>
          <w:lang w:val="zh-CN"/>
          <w:highlight w:val="auto"/>
        </w:rPr>
      </w:pPr>
      <w:bookmarkEnd w:id="190"/>
      <w:bookmarkEnd w:id="191"/>
      <w:r>
        <w:rPr>
          <w:rFonts w:ascii="方正楷体_GBK" w:eastAsia="方正楷体_GBK" w:cs="方正楷体_GBK" w:hint="eastAsia"/>
          <w:b/>
          <w:bCs/>
          <w:color w:val="000000"/>
          <w:kern w:val="0"/>
          <w:sz w:val="32"/>
          <w:szCs w:val="32"/>
          <w:shd w:val="clear" w:color="auto" w:fill="FFFFFF"/>
          <w:lang w:val="zh-CN"/>
          <w:highlight w:val="auto"/>
        </w:rPr>
        <w:t>（</w:t>
      </w:r>
      <w:r>
        <w:rPr>
          <w:rFonts w:ascii="方正楷体_GBK" w:eastAsia="方正楷体_GBK" w:cs="方正楷体_GBK" w:hint="eastAsia"/>
          <w:b/>
          <w:bCs/>
          <w:color w:val="000000"/>
          <w:kern w:val="0"/>
          <w:sz w:val="32"/>
          <w:szCs w:val="32"/>
          <w:shd w:val="clear" w:color="auto" w:fill="FFFFFF"/>
          <w:lang w:val="en-US" w:eastAsia="zh-CN"/>
          <w:highlight w:val="auto"/>
        </w:rPr>
        <w:t>二</w:t>
      </w:r>
      <w:r>
        <w:rPr>
          <w:rFonts w:ascii="方正楷体_GBK" w:eastAsia="方正楷体_GBK" w:cs="方正楷体_GBK" w:hint="eastAsia"/>
          <w:b/>
          <w:bCs/>
          <w:color w:val="000000"/>
          <w:kern w:val="0"/>
          <w:sz w:val="32"/>
          <w:szCs w:val="32"/>
          <w:shd w:val="clear" w:color="auto" w:fill="FFFFFF"/>
          <w:lang w:val="zh-CN"/>
          <w:highlight w:val="auto"/>
        </w:rPr>
        <w:t>）支出情况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en-US" w:eastAsia="zh-CN" w:bidi="ar-SA"/>
        </w:rPr>
      </w:pPr>
      <w:r>
        <w:rPr>
          <w:rFonts w:ascii="仿宋_GB2312" w:eastAsia="仿宋_GB2312" w:cs="仿宋_GB2312" w:hint="eastAsia"/>
          <w:color w:val="000000"/>
          <w:kern w:val="0"/>
          <w:sz w:val="32"/>
          <w:szCs w:val="32"/>
          <w:lang w:val="en-US" w:eastAsia="zh-CN" w:bidi="ar-SA"/>
        </w:rPr>
        <w:t>2024年度总支出1049.86万元，较上年支出减少197.13万元，增加15.81%。主要原因是2024年人员经费调整。</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zh-CN" w:eastAsia="zh-CN" w:bidi="ar-SA"/>
        </w:rPr>
      </w:pPr>
      <w:r>
        <w:rPr>
          <w:rFonts w:ascii="仿宋_GB2312" w:eastAsia="仿宋_GB2312" w:cs="仿宋_GB2312" w:hint="eastAsia"/>
          <w:color w:val="000000"/>
          <w:kern w:val="0"/>
          <w:sz w:val="32"/>
          <w:szCs w:val="32"/>
          <w:lang w:val="en-US" w:eastAsia="zh-CN" w:bidi="ar-SA"/>
        </w:rPr>
        <w:t>2024年一般公共预算财政拨款支出1049.86万元，主要用于以下方面：</w:t>
      </w:r>
      <w:r>
        <w:rPr>
          <w:rFonts w:ascii="仿宋_GB2312" w:eastAsia="仿宋_GB2312" w:cs="仿宋_GB2312" w:hint="eastAsia"/>
          <w:color w:val="000000"/>
          <w:kern w:val="0"/>
          <w:sz w:val="32"/>
          <w:szCs w:val="32"/>
          <w:lang w:val="zh-CN" w:eastAsia="zh-CN" w:bidi="ar-SA"/>
        </w:rPr>
        <w:t>一般公共服务（类）支出</w:t>
      </w:r>
      <w:r>
        <w:rPr>
          <w:rFonts w:ascii="仿宋_GB2312" w:eastAsia="仿宋_GB2312" w:cs="仿宋_GB2312" w:hint="eastAsia"/>
          <w:color w:val="000000"/>
          <w:kern w:val="0"/>
          <w:sz w:val="32"/>
          <w:szCs w:val="32"/>
          <w:lang w:val="en-US" w:eastAsia="zh-CN" w:bidi="ar-SA"/>
        </w:rPr>
        <w:t>857.76</w:t>
      </w:r>
      <w:r>
        <w:rPr>
          <w:rFonts w:ascii="仿宋_GB2312" w:eastAsia="仿宋_GB2312" w:cs="仿宋_GB2312" w:hint="eastAsia"/>
          <w:color w:val="000000"/>
          <w:kern w:val="0"/>
          <w:sz w:val="32"/>
          <w:szCs w:val="32"/>
          <w:lang w:val="zh-CN" w:eastAsia="zh-CN" w:bidi="ar-SA"/>
        </w:rPr>
        <w:t>万元，占</w:t>
      </w:r>
      <w:r>
        <w:rPr>
          <w:rFonts w:ascii="仿宋_GB2312" w:eastAsia="仿宋_GB2312" w:cs="仿宋_GB2312" w:hint="eastAsia"/>
          <w:color w:val="000000"/>
          <w:kern w:val="0"/>
          <w:sz w:val="32"/>
          <w:szCs w:val="32"/>
          <w:lang w:val="en-US" w:eastAsia="zh-CN" w:bidi="ar-SA"/>
        </w:rPr>
        <w:t>81.7</w:t>
      </w:r>
      <w:r>
        <w:rPr>
          <w:rFonts w:ascii="仿宋_GB2312" w:eastAsia="仿宋_GB2312" w:cs="仿宋_GB2312" w:hint="eastAsia"/>
          <w:color w:val="000000"/>
          <w:kern w:val="0"/>
          <w:sz w:val="32"/>
          <w:szCs w:val="32"/>
          <w:lang w:val="zh-CN" w:eastAsia="zh-CN" w:bidi="ar-SA"/>
        </w:rPr>
        <w:t>%；教育支出</w:t>
      </w:r>
      <w:r>
        <w:rPr>
          <w:rFonts w:ascii="仿宋_GB2312" w:eastAsia="仿宋_GB2312" w:cs="仿宋_GB2312" w:hint="eastAsia"/>
          <w:color w:val="000000"/>
          <w:kern w:val="0"/>
          <w:sz w:val="32"/>
          <w:szCs w:val="32"/>
          <w:lang w:val="en-US" w:eastAsia="zh-CN" w:bidi="ar-SA"/>
        </w:rPr>
        <w:t>1.11万元，占0.1%；</w:t>
      </w:r>
      <w:r>
        <w:rPr>
          <w:rFonts w:ascii="仿宋_GB2312" w:eastAsia="仿宋_GB2312" w:cs="仿宋_GB2312" w:hint="eastAsia"/>
          <w:color w:val="000000"/>
          <w:kern w:val="0"/>
          <w:sz w:val="32"/>
          <w:szCs w:val="32"/>
          <w:lang w:val="zh-CN" w:eastAsia="zh-CN" w:bidi="ar-SA"/>
        </w:rPr>
        <w:t>社会保障和就业（类）支出</w:t>
      </w:r>
      <w:r>
        <w:rPr>
          <w:rFonts w:ascii="仿宋_GB2312" w:eastAsia="仿宋_GB2312" w:cs="仿宋_GB2312" w:hint="eastAsia"/>
          <w:color w:val="000000"/>
          <w:kern w:val="0"/>
          <w:sz w:val="32"/>
          <w:szCs w:val="32"/>
          <w:lang w:val="en-US" w:eastAsia="zh-CN" w:bidi="ar-SA"/>
        </w:rPr>
        <w:t>93.62</w:t>
      </w:r>
      <w:r>
        <w:rPr>
          <w:rFonts w:ascii="仿宋_GB2312" w:eastAsia="仿宋_GB2312" w:cs="仿宋_GB2312" w:hint="eastAsia"/>
          <w:color w:val="000000"/>
          <w:kern w:val="0"/>
          <w:sz w:val="32"/>
          <w:szCs w:val="32"/>
          <w:lang w:val="zh-CN" w:eastAsia="zh-CN" w:bidi="ar-SA"/>
        </w:rPr>
        <w:t>万元，占</w:t>
      </w:r>
      <w:r>
        <w:rPr>
          <w:rFonts w:ascii="仿宋_GB2312" w:eastAsia="仿宋_GB2312" w:cs="仿宋_GB2312" w:hint="eastAsia"/>
          <w:color w:val="000000"/>
          <w:kern w:val="0"/>
          <w:sz w:val="32"/>
          <w:szCs w:val="32"/>
          <w:lang w:val="en-US" w:eastAsia="zh-CN" w:bidi="ar-SA"/>
        </w:rPr>
        <w:t>8.9</w:t>
      </w:r>
      <w:r>
        <w:rPr>
          <w:rFonts w:ascii="仿宋_GB2312" w:eastAsia="仿宋_GB2312" w:cs="仿宋_GB2312" w:hint="eastAsia"/>
          <w:color w:val="000000"/>
          <w:kern w:val="0"/>
          <w:sz w:val="32"/>
          <w:szCs w:val="32"/>
          <w:lang w:val="zh-CN" w:eastAsia="zh-CN" w:bidi="ar-SA"/>
        </w:rPr>
        <w:t>%；卫生健康支出</w:t>
      </w:r>
      <w:r>
        <w:rPr>
          <w:rFonts w:ascii="仿宋_GB2312" w:eastAsia="仿宋_GB2312" w:cs="仿宋_GB2312" w:hint="eastAsia"/>
          <w:color w:val="000000"/>
          <w:kern w:val="0"/>
          <w:sz w:val="32"/>
          <w:szCs w:val="32"/>
          <w:lang w:val="en-US" w:eastAsia="zh-CN" w:bidi="ar-SA"/>
        </w:rPr>
        <w:t>42.53</w:t>
      </w:r>
      <w:r>
        <w:rPr>
          <w:rFonts w:ascii="仿宋_GB2312" w:eastAsia="仿宋_GB2312" w:cs="仿宋_GB2312" w:hint="eastAsia"/>
          <w:color w:val="000000"/>
          <w:kern w:val="0"/>
          <w:sz w:val="32"/>
          <w:szCs w:val="32"/>
          <w:lang w:val="zh-CN" w:eastAsia="zh-CN" w:bidi="ar-SA"/>
        </w:rPr>
        <w:t>万元，占</w:t>
      </w:r>
      <w:r>
        <w:rPr>
          <w:rFonts w:ascii="仿宋_GB2312" w:eastAsia="仿宋_GB2312" w:cs="仿宋_GB2312" w:hint="eastAsia"/>
          <w:color w:val="000000"/>
          <w:kern w:val="0"/>
          <w:sz w:val="32"/>
          <w:szCs w:val="32"/>
          <w:lang w:val="en-US" w:eastAsia="zh-CN" w:bidi="ar-SA"/>
        </w:rPr>
        <w:t>4.1</w:t>
      </w:r>
      <w:r>
        <w:rPr>
          <w:rFonts w:ascii="仿宋_GB2312" w:eastAsia="仿宋_GB2312" w:cs="仿宋_GB2312" w:hint="eastAsia"/>
          <w:color w:val="000000"/>
          <w:kern w:val="0"/>
          <w:sz w:val="32"/>
          <w:szCs w:val="32"/>
          <w:lang w:val="zh-CN" w:eastAsia="zh-CN" w:bidi="ar-SA"/>
        </w:rPr>
        <w:t>%；住房保障支出</w:t>
      </w:r>
      <w:r>
        <w:rPr>
          <w:rFonts w:ascii="仿宋_GB2312" w:eastAsia="仿宋_GB2312" w:cs="仿宋_GB2312" w:hint="eastAsia"/>
          <w:color w:val="000000"/>
          <w:kern w:val="0"/>
          <w:sz w:val="32"/>
          <w:szCs w:val="32"/>
          <w:lang w:val="en-US" w:eastAsia="zh-CN" w:bidi="ar-SA"/>
        </w:rPr>
        <w:t>54.84</w:t>
      </w:r>
      <w:r>
        <w:rPr>
          <w:rFonts w:ascii="仿宋_GB2312" w:eastAsia="仿宋_GB2312" w:cs="仿宋_GB2312" w:hint="eastAsia"/>
          <w:color w:val="000000"/>
          <w:kern w:val="0"/>
          <w:sz w:val="32"/>
          <w:szCs w:val="32"/>
          <w:lang w:val="zh-CN" w:eastAsia="zh-CN" w:bidi="ar-SA"/>
        </w:rPr>
        <w:t>万元，占</w:t>
      </w:r>
      <w:r>
        <w:rPr>
          <w:rFonts w:ascii="仿宋_GB2312" w:eastAsia="仿宋_GB2312" w:cs="仿宋_GB2312" w:hint="eastAsia"/>
          <w:color w:val="000000"/>
          <w:kern w:val="0"/>
          <w:sz w:val="32"/>
          <w:szCs w:val="32"/>
          <w:lang w:val="en-US" w:eastAsia="zh-CN" w:bidi="ar-SA"/>
        </w:rPr>
        <w:t>5.2</w:t>
      </w:r>
      <w:r>
        <w:rPr>
          <w:rFonts w:ascii="仿宋_GB2312" w:eastAsia="仿宋_GB2312" w:cs="仿宋_GB2312" w:hint="eastAsia"/>
          <w:color w:val="000000"/>
          <w:kern w:val="0"/>
          <w:sz w:val="32"/>
          <w:szCs w:val="32"/>
          <w:lang w:val="zh-CN" w:eastAsia="zh-CN" w:bidi="ar-SA"/>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hint="eastAsia"/>
          <w:color w:val="000000"/>
          <w:kern w:val="0"/>
          <w:sz w:val="32"/>
          <w:szCs w:val="32"/>
          <w:lang w:val="en-US" w:eastAsia="zh-CN" w:bidi="ar-SA"/>
        </w:rPr>
        <w:t>其中：</w:t>
      </w:r>
      <w:r>
        <w:rPr>
          <w:rFonts w:ascii="仿宋_GB2312" w:eastAsia="仿宋_GB2312" w:cs="仿宋_GB2312" w:hint="eastAsia"/>
          <w:color w:val="000000"/>
          <w:kern w:val="0"/>
          <w:sz w:val="32"/>
          <w:szCs w:val="32"/>
          <w:lang w:val="zh-CN" w:eastAsia="zh-CN" w:bidi="ar-SA"/>
        </w:rPr>
        <w:t>人员经费</w:t>
      </w:r>
      <w:r>
        <w:rPr>
          <w:rFonts w:ascii="仿宋_GB2312" w:eastAsia="仿宋_GB2312" w:cs="仿宋_GB2312" w:hint="eastAsia"/>
          <w:color w:val="000000"/>
          <w:kern w:val="0"/>
          <w:sz w:val="32"/>
          <w:szCs w:val="32"/>
          <w:lang w:val="en-US" w:eastAsia="zh-CN" w:bidi="ar-SA"/>
        </w:rPr>
        <w:t>682.08</w:t>
      </w:r>
      <w:r>
        <w:rPr>
          <w:rFonts w:ascii="仿宋_GB2312" w:eastAsia="仿宋_GB2312" w:cs="仿宋_GB2312" w:hint="eastAsia"/>
          <w:color w:val="000000"/>
          <w:kern w:val="0"/>
          <w:sz w:val="32"/>
          <w:szCs w:val="32"/>
          <w:lang w:val="zh-CN" w:eastAsia="zh-CN" w:bidi="ar-SA"/>
        </w:rPr>
        <w:t>万元，主要包括：基本工资</w:t>
      </w:r>
      <w:r>
        <w:rPr>
          <w:rFonts w:ascii="仿宋_GB2312" w:eastAsia="仿宋_GB2312" w:cs="仿宋_GB2312" w:hint="eastAsia"/>
          <w:color w:val="000000"/>
          <w:kern w:val="0"/>
          <w:sz w:val="32"/>
          <w:szCs w:val="32"/>
          <w:lang w:val="en-US" w:eastAsia="zh-CN" w:bidi="ar-SA"/>
        </w:rPr>
        <w:t>132.46</w:t>
      </w:r>
      <w:r>
        <w:rPr>
          <w:rFonts w:ascii="仿宋_GB2312" w:eastAsia="仿宋_GB2312" w:cs="仿宋_GB2312" w:hint="eastAsia"/>
          <w:color w:val="000000"/>
          <w:kern w:val="0"/>
          <w:sz w:val="32"/>
          <w:szCs w:val="32"/>
          <w:lang w:val="zh-CN" w:eastAsia="zh-CN" w:bidi="ar-SA"/>
        </w:rPr>
        <w:t>万元、津贴补贴</w:t>
      </w:r>
      <w:r>
        <w:rPr>
          <w:rFonts w:ascii="仿宋_GB2312" w:eastAsia="仿宋_GB2312" w:cs="仿宋_GB2312" w:hint="eastAsia"/>
          <w:color w:val="000000"/>
          <w:kern w:val="0"/>
          <w:sz w:val="32"/>
          <w:szCs w:val="32"/>
          <w:lang w:val="en-US" w:eastAsia="zh-CN" w:bidi="ar-SA"/>
        </w:rPr>
        <w:t>146.57</w:t>
      </w:r>
      <w:r>
        <w:rPr>
          <w:rFonts w:ascii="仿宋_GB2312" w:eastAsia="仿宋_GB2312" w:cs="仿宋_GB2312" w:hint="eastAsia"/>
          <w:color w:val="000000"/>
          <w:kern w:val="0"/>
          <w:sz w:val="32"/>
          <w:szCs w:val="32"/>
          <w:lang w:val="zh-CN" w:eastAsia="zh-CN" w:bidi="ar-SA"/>
        </w:rPr>
        <w:t>万元、奖金</w:t>
      </w:r>
      <w:r>
        <w:rPr>
          <w:rFonts w:ascii="仿宋_GB2312" w:eastAsia="仿宋_GB2312" w:cs="仿宋_GB2312" w:hint="eastAsia"/>
          <w:color w:val="000000"/>
          <w:kern w:val="0"/>
          <w:sz w:val="32"/>
          <w:szCs w:val="32"/>
          <w:lang w:val="en-US" w:eastAsia="zh-CN" w:bidi="ar-SA"/>
        </w:rPr>
        <w:t>159.69</w:t>
      </w:r>
      <w:r>
        <w:rPr>
          <w:rFonts w:ascii="仿宋_GB2312" w:eastAsia="仿宋_GB2312" w:cs="仿宋_GB2312" w:hint="eastAsia"/>
          <w:color w:val="000000"/>
          <w:kern w:val="0"/>
          <w:sz w:val="32"/>
          <w:szCs w:val="32"/>
          <w:lang w:val="zh-CN" w:eastAsia="zh-CN" w:bidi="ar-SA"/>
        </w:rPr>
        <w:t>万元、机关事业单位基本养老保险缴费</w:t>
      </w:r>
      <w:r>
        <w:rPr>
          <w:rFonts w:ascii="仿宋_GB2312" w:eastAsia="仿宋_GB2312" w:cs="仿宋_GB2312" w:hint="eastAsia"/>
          <w:color w:val="000000"/>
          <w:kern w:val="0"/>
          <w:sz w:val="32"/>
          <w:szCs w:val="32"/>
          <w:lang w:val="en-US" w:eastAsia="zh-CN" w:bidi="ar-SA"/>
        </w:rPr>
        <w:t>62.41</w:t>
      </w:r>
      <w:r>
        <w:rPr>
          <w:rFonts w:ascii="仿宋_GB2312" w:eastAsia="仿宋_GB2312" w:cs="仿宋_GB2312" w:hint="eastAsia"/>
          <w:color w:val="000000"/>
          <w:kern w:val="0"/>
          <w:sz w:val="32"/>
          <w:szCs w:val="32"/>
          <w:lang w:val="zh-CN" w:eastAsia="zh-CN" w:bidi="ar-SA"/>
        </w:rPr>
        <w:t>万元、</w:t>
      </w:r>
      <w:r>
        <w:rPr>
          <w:rFonts w:ascii="仿宋_GB2312" w:eastAsia="仿宋_GB2312" w:cs="仿宋_GB2312" w:hint="eastAsia"/>
          <w:color w:val="000000"/>
          <w:kern w:val="0"/>
          <w:sz w:val="32"/>
          <w:szCs w:val="32"/>
          <w:lang w:val="en-US" w:eastAsia="zh-CN" w:bidi="ar-SA"/>
        </w:rPr>
        <w:t>绩效工资5.97、</w:t>
      </w:r>
      <w:r>
        <w:rPr>
          <w:rFonts w:ascii="仿宋_GB2312" w:eastAsia="仿宋_GB2312" w:cs="仿宋_GB2312" w:hint="eastAsia"/>
          <w:color w:val="000000"/>
          <w:kern w:val="0"/>
          <w:sz w:val="32"/>
          <w:szCs w:val="32"/>
          <w:lang w:val="zh-CN" w:eastAsia="zh-CN" w:bidi="ar-SA"/>
        </w:rPr>
        <w:t>职业年金缴费</w:t>
      </w:r>
      <w:r>
        <w:rPr>
          <w:rFonts w:ascii="仿宋_GB2312" w:eastAsia="仿宋_GB2312" w:cs="仿宋_GB2312" w:hint="eastAsia"/>
          <w:color w:val="000000"/>
          <w:kern w:val="0"/>
          <w:sz w:val="32"/>
          <w:szCs w:val="32"/>
          <w:lang w:val="en-US" w:eastAsia="zh-CN" w:bidi="ar-SA"/>
        </w:rPr>
        <w:t>31.21</w:t>
      </w:r>
      <w:r>
        <w:rPr>
          <w:rFonts w:ascii="仿宋_GB2312" w:eastAsia="仿宋_GB2312" w:cs="仿宋_GB2312" w:hint="eastAsia"/>
          <w:color w:val="000000"/>
          <w:kern w:val="0"/>
          <w:sz w:val="32"/>
          <w:szCs w:val="32"/>
          <w:lang w:val="zh-CN" w:eastAsia="zh-CN" w:bidi="ar-SA"/>
        </w:rPr>
        <w:t>万元、职工基本医疗保险缴费</w:t>
      </w:r>
      <w:r>
        <w:rPr>
          <w:rFonts w:ascii="仿宋_GB2312" w:eastAsia="仿宋_GB2312" w:cs="仿宋_GB2312" w:hint="eastAsia"/>
          <w:color w:val="000000"/>
          <w:kern w:val="0"/>
          <w:sz w:val="32"/>
          <w:szCs w:val="32"/>
          <w:lang w:val="en-US" w:eastAsia="zh-CN" w:bidi="ar-SA"/>
        </w:rPr>
        <w:t>29.65</w:t>
      </w:r>
      <w:r>
        <w:rPr>
          <w:rFonts w:ascii="仿宋_GB2312" w:eastAsia="仿宋_GB2312" w:cs="仿宋_GB2312" w:hint="eastAsia"/>
          <w:color w:val="000000"/>
          <w:kern w:val="0"/>
          <w:sz w:val="32"/>
          <w:szCs w:val="32"/>
          <w:lang w:val="zh-CN" w:eastAsia="zh-CN" w:bidi="ar-SA"/>
        </w:rPr>
        <w:t>万元、公务员医疗补助缴费</w:t>
      </w:r>
      <w:r>
        <w:rPr>
          <w:rFonts w:ascii="仿宋_GB2312" w:eastAsia="仿宋_GB2312" w:cs="仿宋_GB2312" w:hint="eastAsia"/>
          <w:color w:val="000000"/>
          <w:kern w:val="0"/>
          <w:sz w:val="32"/>
          <w:szCs w:val="32"/>
          <w:lang w:val="en-US" w:eastAsia="zh-CN" w:bidi="ar-SA"/>
        </w:rPr>
        <w:t>12.44</w:t>
      </w:r>
      <w:r>
        <w:rPr>
          <w:rFonts w:ascii="仿宋_GB2312" w:eastAsia="仿宋_GB2312" w:cs="仿宋_GB2312" w:hint="eastAsia"/>
          <w:color w:val="000000"/>
          <w:kern w:val="0"/>
          <w:sz w:val="32"/>
          <w:szCs w:val="32"/>
          <w:lang w:val="zh-CN" w:eastAsia="zh-CN" w:bidi="ar-SA"/>
        </w:rPr>
        <w:t>万元、其他社会保障缴费</w:t>
      </w:r>
      <w:r>
        <w:rPr>
          <w:rFonts w:ascii="仿宋_GB2312" w:eastAsia="仿宋_GB2312" w:cs="仿宋_GB2312" w:hint="eastAsia"/>
          <w:color w:val="000000"/>
          <w:kern w:val="0"/>
          <w:sz w:val="32"/>
          <w:szCs w:val="32"/>
          <w:lang w:val="en-US" w:eastAsia="zh-CN" w:bidi="ar-SA"/>
        </w:rPr>
        <w:t>1.46</w:t>
      </w:r>
      <w:r>
        <w:rPr>
          <w:rFonts w:ascii="仿宋_GB2312" w:eastAsia="仿宋_GB2312" w:cs="仿宋_GB2312" w:hint="eastAsia"/>
          <w:color w:val="000000"/>
          <w:kern w:val="0"/>
          <w:sz w:val="32"/>
          <w:szCs w:val="32"/>
          <w:lang w:val="zh-CN" w:eastAsia="zh-CN" w:bidi="ar-SA"/>
        </w:rPr>
        <w:t>万元、住房公积金</w:t>
      </w:r>
      <w:r>
        <w:rPr>
          <w:rFonts w:ascii="仿宋_GB2312" w:eastAsia="仿宋_GB2312" w:cs="仿宋_GB2312" w:hint="eastAsia"/>
          <w:color w:val="000000"/>
          <w:kern w:val="0"/>
          <w:sz w:val="32"/>
          <w:szCs w:val="32"/>
          <w:lang w:val="en-US" w:eastAsia="zh-CN" w:bidi="ar-SA"/>
        </w:rPr>
        <w:t>49.03</w:t>
      </w:r>
      <w:r>
        <w:rPr>
          <w:rFonts w:ascii="仿宋_GB2312" w:eastAsia="仿宋_GB2312" w:cs="仿宋_GB2312" w:hint="eastAsia"/>
          <w:color w:val="000000"/>
          <w:kern w:val="0"/>
          <w:sz w:val="32"/>
          <w:szCs w:val="32"/>
          <w:lang w:val="zh-CN" w:eastAsia="zh-CN" w:bidi="ar-SA"/>
        </w:rPr>
        <w:t>万元，</w:t>
      </w:r>
      <w:r>
        <w:rPr>
          <w:rFonts w:ascii="仿宋_GB2312" w:eastAsia="仿宋_GB2312" w:cs="仿宋_GB2312" w:hint="eastAsia"/>
          <w:color w:val="000000"/>
          <w:kern w:val="0"/>
          <w:sz w:val="32"/>
          <w:szCs w:val="32"/>
          <w:lang w:val="en-US" w:eastAsia="zh-CN" w:bidi="ar-SA"/>
        </w:rPr>
        <w:t>生活补助51.17万元，奖励金0.01万元。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zh-CN" w:eastAsia="zh-CN" w:bidi="ar-SA"/>
        </w:rPr>
      </w:pPr>
      <w:r>
        <w:rPr>
          <w:rFonts w:ascii="仿宋_GB2312" w:eastAsia="仿宋_GB2312" w:cs="仿宋_GB2312" w:hint="eastAsia"/>
          <w:color w:val="000000"/>
          <w:kern w:val="0"/>
          <w:sz w:val="32"/>
          <w:szCs w:val="32"/>
          <w:lang w:val="zh-CN" w:eastAsia="zh-CN" w:bidi="ar-SA"/>
        </w:rPr>
        <w:t>公用经费</w:t>
      </w:r>
      <w:r>
        <w:rPr>
          <w:rFonts w:ascii="仿宋_GB2312" w:eastAsia="仿宋_GB2312" w:cs="仿宋_GB2312" w:hint="eastAsia"/>
          <w:color w:val="000000"/>
          <w:kern w:val="0"/>
          <w:sz w:val="32"/>
          <w:szCs w:val="32"/>
          <w:lang w:val="en-US" w:eastAsia="zh-CN" w:bidi="ar-SA"/>
        </w:rPr>
        <w:t>89.73</w:t>
      </w:r>
      <w:r>
        <w:rPr>
          <w:rFonts w:ascii="仿宋_GB2312" w:eastAsia="仿宋_GB2312" w:cs="仿宋_GB2312" w:hint="eastAsia"/>
          <w:color w:val="000000"/>
          <w:kern w:val="0"/>
          <w:sz w:val="32"/>
          <w:szCs w:val="32"/>
          <w:lang w:val="zh-CN" w:eastAsia="zh-CN" w:bidi="ar-SA"/>
        </w:rPr>
        <w:t>万元，主要包括：办公费</w:t>
      </w:r>
      <w:r>
        <w:rPr>
          <w:rFonts w:ascii="仿宋_GB2312" w:eastAsia="仿宋_GB2312" w:cs="仿宋_GB2312" w:hint="eastAsia"/>
          <w:color w:val="000000"/>
          <w:kern w:val="0"/>
          <w:sz w:val="32"/>
          <w:szCs w:val="32"/>
          <w:lang w:val="en-US" w:eastAsia="zh-CN" w:bidi="ar-SA"/>
        </w:rPr>
        <w:t>8.2</w:t>
      </w:r>
      <w:r>
        <w:rPr>
          <w:rFonts w:ascii="仿宋_GB2312" w:eastAsia="仿宋_GB2312" w:cs="仿宋_GB2312" w:hint="eastAsia"/>
          <w:color w:val="000000"/>
          <w:kern w:val="0"/>
          <w:sz w:val="32"/>
          <w:szCs w:val="32"/>
          <w:lang w:val="zh-CN" w:eastAsia="zh-CN" w:bidi="ar-SA"/>
        </w:rPr>
        <w:t>万元、差旅费</w:t>
      </w:r>
      <w:r>
        <w:rPr>
          <w:rFonts w:ascii="仿宋_GB2312" w:eastAsia="仿宋_GB2312" w:cs="仿宋_GB2312" w:hint="eastAsia"/>
          <w:color w:val="000000"/>
          <w:kern w:val="0"/>
          <w:sz w:val="32"/>
          <w:szCs w:val="32"/>
          <w:lang w:val="en-US" w:eastAsia="zh-CN" w:bidi="ar-SA"/>
        </w:rPr>
        <w:t>29.03</w:t>
      </w:r>
      <w:r>
        <w:rPr>
          <w:rFonts w:ascii="仿宋_GB2312" w:eastAsia="仿宋_GB2312" w:cs="仿宋_GB2312" w:hint="eastAsia"/>
          <w:color w:val="000000"/>
          <w:kern w:val="0"/>
          <w:sz w:val="32"/>
          <w:szCs w:val="32"/>
          <w:lang w:val="zh-CN" w:eastAsia="zh-CN" w:bidi="ar-SA"/>
        </w:rPr>
        <w:t>万元、维修（护）费</w:t>
      </w:r>
      <w:r>
        <w:rPr>
          <w:rFonts w:ascii="仿宋_GB2312" w:eastAsia="仿宋_GB2312" w:cs="仿宋_GB2312" w:hint="eastAsia"/>
          <w:color w:val="000000"/>
          <w:kern w:val="0"/>
          <w:sz w:val="32"/>
          <w:szCs w:val="32"/>
          <w:lang w:val="en-US" w:eastAsia="zh-CN" w:bidi="ar-SA"/>
        </w:rPr>
        <w:t>0.41</w:t>
      </w:r>
      <w:r>
        <w:rPr>
          <w:rFonts w:ascii="仿宋_GB2312" w:eastAsia="仿宋_GB2312" w:cs="仿宋_GB2312" w:hint="eastAsia"/>
          <w:color w:val="000000"/>
          <w:kern w:val="0"/>
          <w:sz w:val="32"/>
          <w:szCs w:val="32"/>
          <w:lang w:val="zh-CN" w:eastAsia="zh-CN" w:bidi="ar-SA"/>
        </w:rPr>
        <w:t>万元、</w:t>
      </w:r>
      <w:r>
        <w:rPr>
          <w:rFonts w:ascii="仿宋_GB2312" w:eastAsia="仿宋_GB2312" w:cs="仿宋_GB2312" w:hint="eastAsia"/>
          <w:color w:val="000000"/>
          <w:kern w:val="0"/>
          <w:sz w:val="32"/>
          <w:szCs w:val="32"/>
          <w:lang w:val="en-US" w:eastAsia="zh-CN" w:bidi="ar-SA"/>
        </w:rPr>
        <w:t>培训费1.50万元、</w:t>
      </w:r>
      <w:r>
        <w:rPr>
          <w:rFonts w:ascii="仿宋_GB2312" w:eastAsia="仿宋_GB2312" w:cs="仿宋_GB2312" w:hint="eastAsia"/>
          <w:color w:val="000000"/>
          <w:kern w:val="0"/>
          <w:sz w:val="32"/>
          <w:szCs w:val="32"/>
          <w:lang w:val="zh-CN" w:eastAsia="zh-CN" w:bidi="ar-SA"/>
        </w:rPr>
        <w:t>劳务费</w:t>
      </w:r>
      <w:r>
        <w:rPr>
          <w:rFonts w:ascii="仿宋_GB2312" w:eastAsia="仿宋_GB2312" w:cs="仿宋_GB2312" w:hint="eastAsia"/>
          <w:color w:val="000000"/>
          <w:kern w:val="0"/>
          <w:sz w:val="32"/>
          <w:szCs w:val="32"/>
          <w:lang w:val="en-US" w:eastAsia="zh-CN" w:bidi="ar-SA"/>
        </w:rPr>
        <w:t>1.56</w:t>
      </w:r>
      <w:r>
        <w:rPr>
          <w:rFonts w:ascii="仿宋_GB2312" w:eastAsia="仿宋_GB2312" w:cs="仿宋_GB2312" w:hint="eastAsia"/>
          <w:color w:val="000000"/>
          <w:kern w:val="0"/>
          <w:sz w:val="32"/>
          <w:szCs w:val="32"/>
          <w:lang w:val="zh-CN" w:eastAsia="zh-CN" w:bidi="ar-SA"/>
        </w:rPr>
        <w:t>万元、</w:t>
      </w:r>
      <w:r>
        <w:rPr>
          <w:rFonts w:ascii="仿宋_GB2312" w:eastAsia="仿宋_GB2312" w:cs="仿宋_GB2312" w:hint="eastAsia"/>
          <w:color w:val="000000"/>
          <w:kern w:val="0"/>
          <w:sz w:val="32"/>
          <w:szCs w:val="32"/>
          <w:lang w:val="en-US" w:eastAsia="zh-CN" w:bidi="ar-SA"/>
        </w:rPr>
        <w:t>邮电费11.79万元、</w:t>
      </w:r>
      <w:r>
        <w:rPr>
          <w:rFonts w:ascii="仿宋_GB2312" w:eastAsia="仿宋_GB2312" w:cs="仿宋_GB2312" w:hint="eastAsia"/>
          <w:color w:val="000000"/>
          <w:kern w:val="0"/>
          <w:sz w:val="32"/>
          <w:szCs w:val="32"/>
          <w:lang w:val="zh-CN" w:eastAsia="zh-CN" w:bidi="ar-SA"/>
        </w:rPr>
        <w:t>福利费</w:t>
      </w:r>
      <w:r>
        <w:rPr>
          <w:rFonts w:ascii="仿宋_GB2312" w:eastAsia="仿宋_GB2312" w:cs="仿宋_GB2312" w:hint="eastAsia"/>
          <w:color w:val="000000"/>
          <w:kern w:val="0"/>
          <w:sz w:val="32"/>
          <w:szCs w:val="32"/>
          <w:lang w:val="en-US" w:eastAsia="zh-CN" w:bidi="ar-SA"/>
        </w:rPr>
        <w:t>3.24</w:t>
      </w:r>
      <w:r>
        <w:rPr>
          <w:rFonts w:ascii="仿宋_GB2312" w:eastAsia="仿宋_GB2312" w:cs="仿宋_GB2312" w:hint="eastAsia"/>
          <w:color w:val="000000"/>
          <w:kern w:val="0"/>
          <w:sz w:val="32"/>
          <w:szCs w:val="32"/>
          <w:lang w:val="zh-CN" w:eastAsia="zh-CN" w:bidi="ar-SA"/>
        </w:rPr>
        <w:t>万元、公务用车运行维护费</w:t>
      </w:r>
      <w:r>
        <w:rPr>
          <w:rFonts w:ascii="仿宋_GB2312" w:eastAsia="仿宋_GB2312" w:cs="仿宋_GB2312" w:hint="eastAsia"/>
          <w:color w:val="000000"/>
          <w:kern w:val="0"/>
          <w:sz w:val="32"/>
          <w:szCs w:val="32"/>
          <w:lang w:val="en-US" w:eastAsia="zh-CN" w:bidi="ar-SA"/>
        </w:rPr>
        <w:t>34</w:t>
      </w:r>
      <w:r>
        <w:rPr>
          <w:rFonts w:ascii="仿宋_GB2312" w:eastAsia="仿宋_GB2312" w:cs="仿宋_GB2312" w:hint="eastAsia"/>
          <w:color w:val="000000"/>
          <w:kern w:val="0"/>
          <w:sz w:val="32"/>
          <w:szCs w:val="32"/>
          <w:lang w:val="zh-CN" w:eastAsia="zh-CN" w:bidi="ar-SA"/>
        </w:rPr>
        <w:t>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hint="eastAsia"/>
          <w:color w:val="000000"/>
          <w:kern w:val="0"/>
          <w:sz w:val="32"/>
          <w:szCs w:val="32"/>
          <w:lang w:val="zh-CN" w:eastAsia="zh-CN" w:bidi="ar-SA"/>
        </w:rPr>
        <w:t>202</w:t>
      </w:r>
      <w:r>
        <w:rPr>
          <w:rFonts w:ascii="仿宋_GB2312" w:eastAsia="仿宋_GB2312" w:cs="仿宋_GB2312" w:hint="eastAsia"/>
          <w:color w:val="000000"/>
          <w:kern w:val="0"/>
          <w:sz w:val="32"/>
          <w:szCs w:val="32"/>
          <w:lang w:val="en-US" w:eastAsia="zh-CN" w:bidi="ar-SA"/>
        </w:rPr>
        <w:t>4</w:t>
      </w:r>
      <w:r>
        <w:rPr>
          <w:rFonts w:ascii="仿宋_GB2312" w:eastAsia="仿宋_GB2312" w:cs="仿宋_GB2312" w:hint="eastAsia"/>
          <w:color w:val="000000"/>
          <w:kern w:val="0"/>
          <w:sz w:val="32"/>
          <w:szCs w:val="32"/>
          <w:lang w:val="zh-CN" w:eastAsia="zh-CN" w:bidi="ar-SA"/>
        </w:rPr>
        <w:t>年一般公共预算财政拨款项目支出</w:t>
      </w:r>
      <w:r>
        <w:rPr>
          <w:rFonts w:ascii="仿宋_GB2312" w:eastAsia="仿宋_GB2312" w:cs="仿宋_GB2312" w:hint="eastAsia"/>
          <w:color w:val="000000"/>
          <w:kern w:val="0"/>
          <w:sz w:val="32"/>
          <w:szCs w:val="32"/>
          <w:lang w:val="en-US" w:eastAsia="zh-CN" w:bidi="ar-SA"/>
        </w:rPr>
        <w:t>278.05</w:t>
      </w:r>
      <w:r>
        <w:rPr>
          <w:rFonts w:ascii="仿宋_GB2312" w:eastAsia="仿宋_GB2312" w:cs="仿宋_GB2312" w:hint="eastAsia"/>
          <w:color w:val="000000"/>
          <w:kern w:val="0"/>
          <w:sz w:val="32"/>
          <w:szCs w:val="32"/>
          <w:lang w:val="zh-CN" w:eastAsia="zh-CN" w:bidi="ar-SA"/>
        </w:rPr>
        <w:t>万元，其中：人大会议</w:t>
      </w:r>
      <w:r>
        <w:rPr>
          <w:rFonts w:ascii="仿宋_GB2312" w:eastAsia="仿宋_GB2312" w:cs="仿宋_GB2312" w:hint="eastAsia"/>
          <w:color w:val="000000"/>
          <w:kern w:val="0"/>
          <w:sz w:val="32"/>
          <w:szCs w:val="32"/>
          <w:lang w:val="en-US" w:eastAsia="zh-CN" w:bidi="ar-SA"/>
        </w:rPr>
        <w:t>43.48</w:t>
      </w:r>
      <w:r>
        <w:rPr>
          <w:rFonts w:ascii="仿宋_GB2312" w:eastAsia="仿宋_GB2312" w:cs="仿宋_GB2312" w:hint="eastAsia"/>
          <w:color w:val="000000"/>
          <w:kern w:val="0"/>
          <w:sz w:val="32"/>
          <w:szCs w:val="32"/>
          <w:lang w:val="zh-CN" w:eastAsia="zh-CN" w:bidi="ar-SA"/>
        </w:rPr>
        <w:t>万元，代表工作</w:t>
      </w:r>
      <w:r>
        <w:rPr>
          <w:rFonts w:ascii="仿宋_GB2312" w:eastAsia="仿宋_GB2312" w:cs="仿宋_GB2312" w:hint="eastAsia"/>
          <w:color w:val="000000"/>
          <w:kern w:val="0"/>
          <w:sz w:val="32"/>
          <w:szCs w:val="32"/>
          <w:lang w:val="en-US" w:eastAsia="zh-CN" w:bidi="ar-SA"/>
        </w:rPr>
        <w:t>187.56</w:t>
      </w:r>
      <w:r>
        <w:rPr>
          <w:rFonts w:ascii="仿宋_GB2312" w:eastAsia="仿宋_GB2312" w:cs="仿宋_GB2312" w:hint="eastAsia"/>
          <w:color w:val="000000"/>
          <w:kern w:val="0"/>
          <w:sz w:val="32"/>
          <w:szCs w:val="32"/>
          <w:lang w:val="zh-CN" w:eastAsia="zh-CN" w:bidi="ar-SA"/>
        </w:rPr>
        <w:t>万元，</w:t>
      </w:r>
      <w:r>
        <w:rPr>
          <w:rFonts w:ascii="仿宋_GB2312" w:eastAsia="仿宋_GB2312" w:cs="仿宋_GB2312" w:hint="eastAsia"/>
          <w:color w:val="000000"/>
          <w:kern w:val="0"/>
          <w:sz w:val="32"/>
          <w:szCs w:val="32"/>
          <w:lang w:val="en-US" w:eastAsia="zh-CN" w:bidi="ar-SA"/>
        </w:rPr>
        <w:t>培训支出1.11万元，其他人大事务支出45.90万元。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both"/>
        <w:textAlignment w:val="auto"/>
        <w:outlineLvl w:val="9"/>
        <w:rPr>
          <w:rFonts w:ascii="Times New Roman" w:eastAsia="方正仿宋_GBK" w:cs="Times New Roman" w:hAnsi="Times New Roman" w:hint="eastAsia"/>
          <w:sz w:val="32"/>
          <w:szCs w:val="32"/>
          <w:lang w:val="zh-CN" w:eastAsia="zh-CN"/>
        </w:rPr>
      </w:pPr>
      <w:r>
        <w:rPr>
          <w:rFonts w:ascii="方正楷体_GBK" w:eastAsia="方正楷体_GBK" w:cs="方正楷体_GBK" w:hint="eastAsia"/>
          <w:b/>
          <w:bCs/>
          <w:color w:val="000000"/>
          <w:kern w:val="0"/>
          <w:sz w:val="32"/>
          <w:szCs w:val="32"/>
          <w:shd w:val="clear" w:color="auto" w:fill="FFFFFF"/>
          <w:lang w:val="zh-CN" w:eastAsia="zh-CN"/>
          <w:highlight w:val="auto"/>
        </w:rPr>
        <w:t>（</w:t>
      </w:r>
      <w:r>
        <w:rPr>
          <w:rFonts w:ascii="方正楷体_GBK" w:eastAsia="方正楷体_GBK" w:cs="方正楷体_GBK" w:hint="eastAsia"/>
          <w:b/>
          <w:bCs/>
          <w:color w:val="000000"/>
          <w:kern w:val="0"/>
          <w:sz w:val="32"/>
          <w:szCs w:val="32"/>
          <w:shd w:val="clear" w:color="auto" w:fill="FFFFFF"/>
          <w:lang w:val="en-US" w:eastAsia="zh-CN"/>
          <w:highlight w:val="auto"/>
        </w:rPr>
        <w:t>三</w:t>
      </w:r>
      <w:r>
        <w:rPr>
          <w:rFonts w:ascii="方正楷体_GBK" w:eastAsia="方正楷体_GBK" w:cs="方正楷体_GBK" w:hint="eastAsia"/>
          <w:b/>
          <w:bCs/>
          <w:color w:val="000000"/>
          <w:kern w:val="0"/>
          <w:sz w:val="32"/>
          <w:szCs w:val="32"/>
          <w:shd w:val="clear" w:color="auto" w:fill="FFFFFF"/>
          <w:lang w:val="zh-CN" w:eastAsia="zh-CN"/>
          <w:highlight w:val="auto"/>
        </w:rPr>
        <w:t>）</w:t>
      </w:r>
      <w:r>
        <w:rPr>
          <w:rFonts w:ascii="方正楷体_GBK" w:eastAsia="方正楷体_GBK" w:cs="方正楷体_GBK"/>
          <w:b/>
          <w:bCs/>
          <w:color w:val="000000"/>
          <w:kern w:val="0"/>
          <w:sz w:val="32"/>
          <w:szCs w:val="32"/>
          <w:shd w:val="clear" w:color="auto" w:fill="FFFFFF"/>
          <w:lang w:val="zh-CN"/>
          <w:highlight w:val="auto"/>
        </w:rPr>
        <w:t>结余分配和结转结余情况</w:t>
      </w:r>
      <w:r>
        <w:rPr>
          <w:rFonts w:ascii="方正楷体_GBK" w:eastAsia="方正楷体_GBK" w:cs="方正楷体_GBK" w:hint="eastAsia"/>
          <w:b/>
          <w:bCs/>
          <w:color w:val="000000"/>
          <w:kern w:val="0"/>
          <w:sz w:val="32"/>
          <w:szCs w:val="32"/>
          <w:shd w:val="clear" w:color="auto" w:fill="FFFFFF"/>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zh-CN" w:eastAsia="zh-CN" w:bidi="ar-SA"/>
        </w:rPr>
      </w:pPr>
      <w:r>
        <w:rPr>
          <w:rFonts w:ascii="仿宋_GB2312" w:eastAsia="仿宋_GB2312" w:cs="仿宋_GB2312" w:hint="eastAsia"/>
          <w:color w:val="000000"/>
          <w:kern w:val="0"/>
          <w:sz w:val="32"/>
          <w:szCs w:val="32"/>
          <w:lang w:val="en-US" w:eastAsia="zh-CN" w:bidi="ar-SA"/>
        </w:rPr>
        <w:t>本单位2024年决算报表无</w:t>
      </w:r>
      <w:r>
        <w:rPr>
          <w:rFonts w:ascii="仿宋_GB2312" w:eastAsia="仿宋_GB2312" w:cs="仿宋_GB2312"/>
          <w:color w:val="000000"/>
          <w:kern w:val="0"/>
          <w:sz w:val="32"/>
          <w:szCs w:val="32"/>
          <w:lang w:val="en-US" w:eastAsia="zh-CN" w:bidi="ar-SA"/>
        </w:rPr>
        <w:t>结转结余</w:t>
      </w:r>
      <w:r>
        <w:rPr>
          <w:rFonts w:ascii="仿宋_GB2312" w:eastAsia="仿宋_GB2312" w:cs="仿宋_GB2312" w:hint="eastAsia"/>
          <w:color w:val="000000"/>
          <w:kern w:val="0"/>
          <w:sz w:val="32"/>
          <w:szCs w:val="32"/>
          <w:lang w:val="en-US" w:eastAsia="zh-CN" w:bidi="ar-SA"/>
        </w:rPr>
        <w:t>情况</w:t>
      </w:r>
      <w:r>
        <w:rPr>
          <w:rFonts w:ascii="仿宋_GB2312" w:eastAsia="仿宋_GB2312" w:cs="仿宋_GB2312"/>
          <w:color w:val="000000"/>
          <w:kern w:val="0"/>
          <w:sz w:val="32"/>
          <w:szCs w:val="32"/>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黑体_GBK" w:eastAsia="方正黑体_GBK" w:cs="方正黑体_GBK"/>
          <w:color w:val="000000"/>
          <w:kern w:val="0"/>
          <w:sz w:val="32"/>
          <w:szCs w:val="32"/>
          <w:shd w:val="clear" w:color="auto" w:fill="FFFFFF"/>
          <w:lang w:val="zh-CN"/>
          <w:highlight w:val="auto"/>
        </w:rPr>
      </w:pPr>
      <w:r>
        <w:rPr>
          <w:rFonts w:ascii="方正黑体_GBK" w:eastAsia="方正黑体_GBK" w:cs="方正黑体_GBK"/>
          <w:color w:val="000000"/>
          <w:kern w:val="0"/>
          <w:sz w:val="32"/>
          <w:szCs w:val="32"/>
          <w:shd w:val="clear" w:color="auto" w:fill="FFFFFF"/>
          <w:lang w:val="zh-CN"/>
          <w:highlight w:val="auto"/>
        </w:rPr>
        <w:t>三、部门</w:t>
      </w:r>
      <w:r>
        <w:rPr>
          <w:rFonts w:ascii="方正黑体_GBK" w:eastAsia="方正黑体_GBK" w:cs="方正黑体_GBK"/>
          <w:color w:val="000000"/>
          <w:kern w:val="0"/>
          <w:sz w:val="32"/>
          <w:szCs w:val="32"/>
          <w:shd w:val="clear" w:color="auto" w:fill="FFFFFF"/>
          <w:lang w:val="zh-CN" w:eastAsia="zh-CN"/>
          <w:highlight w:val="auto"/>
        </w:rPr>
        <w:t>预算</w:t>
      </w:r>
      <w:r>
        <w:rPr>
          <w:rFonts w:ascii="方正黑体_GBK" w:eastAsia="方正黑体_GBK" w:cs="方正黑体_GBK"/>
          <w:color w:val="000000"/>
          <w:kern w:val="0"/>
          <w:sz w:val="32"/>
          <w:szCs w:val="32"/>
          <w:shd w:val="clear" w:color="auto" w:fill="FFFFFF"/>
          <w:lang w:val="zh-CN"/>
          <w:highlight w:val="auto"/>
        </w:rPr>
        <w:t>绩效</w:t>
      </w:r>
      <w:r>
        <w:rPr>
          <w:rFonts w:ascii="方正黑体_GBK" w:eastAsia="方正黑体_GBK" w:cs="方正黑体_GBK"/>
          <w:color w:val="000000"/>
          <w:kern w:val="0"/>
          <w:sz w:val="32"/>
          <w:szCs w:val="32"/>
          <w:shd w:val="clear" w:color="auto" w:fill="FFFFFF"/>
          <w:lang w:val="zh-CN" w:eastAsia="zh-CN"/>
          <w:highlight w:val="auto"/>
        </w:rPr>
        <w:t>分析</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楷体_GBK" w:eastAsia="方正楷体_GBK" w:cs="方正楷体_GBK"/>
          <w:b/>
          <w:bCs/>
          <w:color w:val="000000"/>
          <w:kern w:val="0"/>
          <w:sz w:val="32"/>
          <w:szCs w:val="32"/>
          <w:shd w:val="clear" w:color="auto" w:fill="FFFFFF"/>
          <w:lang w:val="zh-CN" w:eastAsia="zh-CN"/>
          <w:highlight w:val="auto"/>
        </w:rPr>
      </w:pPr>
      <w:r>
        <w:rPr>
          <w:rFonts w:ascii="方正楷体_GBK" w:eastAsia="方正楷体_GBK" w:cs="方正楷体_GBK"/>
          <w:b/>
          <w:bCs/>
          <w:color w:val="000000"/>
          <w:kern w:val="0"/>
          <w:sz w:val="32"/>
          <w:szCs w:val="32"/>
          <w:shd w:val="clear" w:color="auto" w:fill="FFFFFF"/>
          <w:lang w:val="zh-CN" w:eastAsia="zh-CN"/>
          <w:highlight w:val="auto"/>
        </w:rPr>
        <w:t>（一）</w:t>
      </w:r>
      <w:r>
        <w:rPr>
          <w:rFonts w:ascii="方正楷体_GBK" w:eastAsia="方正楷体_GBK" w:cs="方正楷体_GBK" w:hint="eastAsia"/>
          <w:b/>
          <w:bCs/>
          <w:color w:val="000000"/>
          <w:kern w:val="0"/>
          <w:sz w:val="32"/>
          <w:szCs w:val="32"/>
          <w:shd w:val="clear" w:color="auto" w:fill="FFFFFF"/>
          <w:lang w:val="zh-CN" w:eastAsia="zh-CN"/>
          <w:highlight w:val="auto"/>
        </w:rPr>
        <w:t>部门预算</w:t>
      </w:r>
      <w:r>
        <w:rPr>
          <w:rFonts w:ascii="方正楷体_GBK" w:eastAsia="方正楷体_GBK" w:cs="方正楷体_GBK"/>
          <w:b/>
          <w:bCs/>
          <w:color w:val="000000"/>
          <w:kern w:val="0"/>
          <w:sz w:val="32"/>
          <w:szCs w:val="32"/>
          <w:shd w:val="clear" w:color="auto" w:fill="FFFFFF"/>
          <w:lang w:val="zh-CN" w:eastAsia="zh-CN"/>
          <w:highlight w:val="auto"/>
        </w:rPr>
        <w:t>总体绩效分析</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zh-CN" w:eastAsia="zh-CN" w:bidi="ar-SA"/>
        </w:rPr>
      </w:pPr>
      <w:r>
        <w:rPr>
          <w:rFonts w:ascii="仿宋_GB2312" w:eastAsia="仿宋_GB2312" w:cs="仿宋_GB2312" w:hint="eastAsia"/>
          <w:color w:val="000000"/>
          <w:kern w:val="0"/>
          <w:sz w:val="32"/>
          <w:szCs w:val="32"/>
          <w:lang w:val="zh-CN" w:eastAsia="zh-CN" w:bidi="ar-SA"/>
        </w:rPr>
        <w:t>我</w:t>
      </w:r>
      <w:r>
        <w:rPr>
          <w:rFonts w:ascii="仿宋_GB2312" w:eastAsia="仿宋_GB2312" w:cs="仿宋_GB2312" w:hint="eastAsia"/>
          <w:color w:val="000000"/>
          <w:kern w:val="0"/>
          <w:sz w:val="32"/>
          <w:szCs w:val="32"/>
          <w:lang w:val="en-US" w:eastAsia="zh-CN" w:bidi="ar-SA"/>
        </w:rPr>
        <w:t>办</w:t>
      </w:r>
      <w:r>
        <w:rPr>
          <w:rFonts w:ascii="仿宋_GB2312" w:eastAsia="仿宋_GB2312" w:cs="仿宋_GB2312" w:hint="eastAsia"/>
          <w:color w:val="000000"/>
          <w:kern w:val="0"/>
          <w:sz w:val="32"/>
          <w:szCs w:val="32"/>
          <w:lang w:val="zh-CN" w:eastAsia="zh-CN" w:bidi="ar-SA"/>
        </w:rPr>
        <w:t>按照规定完全履行职责，整体评价良好，服务对象基本满意从预算执行情况</w:t>
      </w:r>
      <w:r>
        <w:rPr>
          <w:rFonts w:ascii="仿宋_GB2312" w:eastAsia="仿宋_GB2312" w:cs="仿宋_GB2312" w:hint="eastAsia"/>
          <w:color w:val="000000"/>
          <w:kern w:val="0"/>
          <w:sz w:val="32"/>
          <w:szCs w:val="32"/>
          <w:lang w:val="en-US" w:eastAsia="zh-CN" w:bidi="ar-SA"/>
        </w:rPr>
        <w:t>来</w:t>
      </w:r>
      <w:r>
        <w:rPr>
          <w:rFonts w:ascii="仿宋_GB2312" w:eastAsia="仿宋_GB2312" w:cs="仿宋_GB2312" w:hint="eastAsia"/>
          <w:color w:val="000000"/>
          <w:kern w:val="0"/>
          <w:sz w:val="32"/>
          <w:szCs w:val="32"/>
          <w:lang w:val="zh-CN" w:eastAsia="zh-CN" w:bidi="ar-SA"/>
        </w:rPr>
        <w:t>看，预算资金覆盖我单位工作的各个方面，按照保工资、保运转、保民生的保障序列科学编制，分配办法科学，考虑的因素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仿宋_GBK" w:eastAsia="方正仿宋_GBK" w:cs="方正仿宋_GBK" w:hint="eastAsia"/>
          <w:b/>
          <w:bCs/>
          <w:color w:val="000000"/>
          <w:kern w:val="0"/>
          <w:sz w:val="32"/>
          <w:szCs w:val="32"/>
          <w:shd w:val="clear" w:color="auto" w:fill="FFFFFF"/>
          <w:lang w:val="zh-CN"/>
          <w:highlight w:val="auto"/>
        </w:rPr>
      </w:pPr>
      <w:r>
        <w:rPr>
          <w:rFonts w:ascii="方正仿宋_GBK" w:eastAsia="方正仿宋_GBK" w:cs="方正仿宋_GBK" w:hint="eastAsia"/>
          <w:b/>
          <w:bCs/>
          <w:color w:val="000000"/>
          <w:kern w:val="0"/>
          <w:sz w:val="32"/>
          <w:szCs w:val="32"/>
          <w:shd w:val="clear" w:color="auto" w:fill="FFFFFF"/>
          <w:lang w:val="en-US" w:eastAsia="zh-CN"/>
          <w:highlight w:val="auto"/>
        </w:rPr>
        <w:t>1.</w:t>
      </w:r>
      <w:r>
        <w:rPr>
          <w:rFonts w:ascii="方正仿宋_GBK" w:eastAsia="方正仿宋_GBK" w:cs="方正仿宋_GBK" w:hint="eastAsia"/>
          <w:b/>
          <w:bCs/>
          <w:color w:val="000000"/>
          <w:kern w:val="0"/>
          <w:sz w:val="32"/>
          <w:szCs w:val="32"/>
          <w:shd w:val="clear" w:color="auto" w:fill="FFFFFF"/>
          <w:lang w:val="zh-CN"/>
          <w:highlight w:val="auto"/>
        </w:rPr>
        <w:t>履职效能</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zh-CN" w:eastAsia="zh-CN" w:bidi="ar-SA"/>
        </w:rPr>
      </w:pPr>
      <w:r>
        <w:rPr>
          <w:rFonts w:ascii="仿宋_GB2312" w:eastAsia="仿宋_GB2312" w:cs="仿宋_GB2312" w:hint="eastAsia"/>
          <w:color w:val="000000"/>
          <w:kern w:val="0"/>
          <w:sz w:val="32"/>
          <w:szCs w:val="32"/>
          <w:lang w:val="zh-CN" w:eastAsia="zh-CN" w:bidi="ar-SA"/>
        </w:rPr>
        <w:t>数量指标履职效果：</w:t>
      </w:r>
      <w:r>
        <w:rPr>
          <w:rFonts w:ascii="仿宋_GB2312" w:eastAsia="仿宋_GB2312" w:cs="仿宋_GB2312" w:hint="eastAsia"/>
          <w:color w:val="000000"/>
          <w:kern w:val="0"/>
          <w:sz w:val="32"/>
          <w:szCs w:val="32"/>
          <w:lang w:val="en-US" w:eastAsia="zh-CN" w:bidi="ar-SA"/>
        </w:rPr>
        <w:t>严格控制数量确保无遗漏无浪费，厉行节约</w:t>
      </w:r>
      <w:r>
        <w:rPr>
          <w:rFonts w:ascii="仿宋_GB2312" w:eastAsia="仿宋_GB2312" w:cs="仿宋_GB2312" w:hint="eastAsia"/>
          <w:color w:val="000000"/>
          <w:kern w:val="0"/>
          <w:sz w:val="32"/>
          <w:szCs w:val="32"/>
          <w:lang w:val="zh-CN" w:eastAsia="zh-CN" w:bidi="ar-SA"/>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en-US" w:eastAsia="zh-CN" w:bidi="ar-SA"/>
        </w:rPr>
      </w:pPr>
      <w:r>
        <w:rPr>
          <w:rFonts w:ascii="仿宋_GB2312" w:eastAsia="仿宋_GB2312" w:cs="仿宋_GB2312" w:hint="eastAsia"/>
          <w:color w:val="000000"/>
          <w:kern w:val="0"/>
          <w:sz w:val="32"/>
          <w:szCs w:val="32"/>
          <w:lang w:val="zh-CN" w:eastAsia="zh-CN" w:bidi="ar-SA"/>
        </w:rPr>
        <w:t>质量指标履职效果：</w:t>
      </w:r>
      <w:r>
        <w:rPr>
          <w:rFonts w:ascii="仿宋_GB2312" w:eastAsia="仿宋_GB2312" w:cs="仿宋_GB2312" w:hint="eastAsia"/>
          <w:color w:val="000000"/>
          <w:kern w:val="0"/>
          <w:sz w:val="32"/>
          <w:szCs w:val="32"/>
          <w:lang w:val="en-US" w:eastAsia="zh-CN" w:bidi="ar-SA"/>
        </w:rPr>
        <w:t>严格把控质量关，确保与采购文件相匹配。</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en-US" w:eastAsia="zh-CN" w:bidi="ar-SA"/>
        </w:rPr>
      </w:pPr>
      <w:r>
        <w:rPr>
          <w:rFonts w:ascii="仿宋_GB2312" w:eastAsia="仿宋_GB2312" w:cs="仿宋_GB2312" w:hint="eastAsia"/>
          <w:color w:val="000000"/>
          <w:kern w:val="0"/>
          <w:sz w:val="32"/>
          <w:szCs w:val="32"/>
          <w:lang w:val="en-US" w:eastAsia="zh-CN" w:bidi="ar-SA"/>
        </w:rPr>
        <w:t>社会效益指标履职效果：确保每一项采购项目都能实现单位职能，提高社会效益，促进社会发展。</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en-US" w:eastAsia="zh-CN" w:bidi="ar-SA"/>
        </w:rPr>
      </w:pPr>
      <w:r>
        <w:rPr>
          <w:rFonts w:ascii="仿宋_GB2312" w:eastAsia="仿宋_GB2312" w:cs="仿宋_GB2312"/>
          <w:color w:val="000000"/>
          <w:kern w:val="0"/>
          <w:sz w:val="32"/>
          <w:szCs w:val="32"/>
          <w:lang w:val="en-US" w:eastAsia="zh-CN" w:bidi="ar-SA"/>
        </w:rPr>
        <w:t>服务对象满意度</w:t>
      </w:r>
      <w:r>
        <w:rPr>
          <w:rFonts w:ascii="仿宋_GB2312" w:eastAsia="仿宋_GB2312" w:cs="仿宋_GB2312" w:hint="eastAsia"/>
          <w:color w:val="000000"/>
          <w:kern w:val="0"/>
          <w:sz w:val="32"/>
          <w:szCs w:val="32"/>
          <w:lang w:val="en-US" w:eastAsia="zh-CN" w:bidi="ar-SA"/>
        </w:rPr>
        <w:t>指标</w:t>
      </w:r>
      <w:r>
        <w:rPr>
          <w:rFonts w:ascii="仿宋_GB2312" w:eastAsia="仿宋_GB2312" w:cs="仿宋_GB2312"/>
          <w:color w:val="000000"/>
          <w:kern w:val="0"/>
          <w:sz w:val="32"/>
          <w:szCs w:val="32"/>
          <w:lang w:val="en-US" w:eastAsia="zh-CN" w:bidi="ar-SA"/>
        </w:rPr>
        <w:t>履职效果</w:t>
      </w:r>
      <w:r>
        <w:rPr>
          <w:rFonts w:ascii="仿宋_GB2312" w:eastAsia="仿宋_GB2312" w:cs="仿宋_GB2312" w:hint="eastAsia"/>
          <w:color w:val="000000"/>
          <w:kern w:val="0"/>
          <w:sz w:val="32"/>
          <w:szCs w:val="32"/>
          <w:lang w:val="en-US" w:eastAsia="zh-CN" w:bidi="ar-SA"/>
        </w:rPr>
        <w:t>：以高质量、高标准、高要求实施采购项目，确保受益对象满意度。</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color w:val="000000"/>
          <w:kern w:val="0"/>
          <w:sz w:val="32"/>
          <w:szCs w:val="32"/>
          <w:lang w:val="en-US" w:eastAsia="zh-CN" w:bidi="ar-SA"/>
        </w:rPr>
        <w:t>经济成本指标履职效果</w:t>
      </w:r>
      <w:r>
        <w:rPr>
          <w:rFonts w:ascii="仿宋_GB2312" w:eastAsia="仿宋_GB2312" w:cs="仿宋_GB2312" w:hint="eastAsia"/>
          <w:color w:val="000000"/>
          <w:kern w:val="0"/>
          <w:sz w:val="32"/>
          <w:szCs w:val="32"/>
          <w:lang w:val="en-US" w:eastAsia="zh-CN" w:bidi="ar-SA"/>
        </w:rPr>
        <w:t>：经过专业评估，以合理的经济成本实现项目价值。</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仿宋_GBK" w:eastAsia="方正仿宋_GBK" w:cs="方正仿宋_GBK" w:hint="eastAsia"/>
          <w:b/>
          <w:bCs/>
          <w:color w:val="000000"/>
          <w:kern w:val="0"/>
          <w:sz w:val="32"/>
          <w:szCs w:val="32"/>
          <w:shd w:val="clear" w:color="auto" w:fill="FFFFFF"/>
          <w:lang w:val="zh-CN" w:eastAsia="zh-CN"/>
          <w:highlight w:val="auto"/>
        </w:rPr>
      </w:pPr>
      <w:r>
        <w:rPr>
          <w:rFonts w:ascii="方正仿宋_GBK" w:eastAsia="方正仿宋_GBK" w:cs="方正仿宋_GBK" w:hint="eastAsia"/>
          <w:b/>
          <w:bCs/>
          <w:color w:val="000000"/>
          <w:kern w:val="0"/>
          <w:sz w:val="32"/>
          <w:szCs w:val="32"/>
          <w:shd w:val="clear" w:color="auto" w:fill="FFFFFF"/>
          <w:lang w:val="en-US" w:eastAsia="zh-CN"/>
          <w:highlight w:val="auto"/>
        </w:rPr>
        <w:t>2.</w:t>
      </w:r>
      <w:r>
        <w:rPr>
          <w:rFonts w:ascii="方正仿宋_GBK" w:eastAsia="方正仿宋_GBK" w:cs="方正仿宋_GBK"/>
          <w:b/>
          <w:bCs/>
          <w:color w:val="000000"/>
          <w:kern w:val="0"/>
          <w:sz w:val="32"/>
          <w:szCs w:val="32"/>
          <w:shd w:val="clear" w:color="auto" w:fill="FFFFFF"/>
          <w:lang w:val="zh-CN" w:eastAsia="zh-CN"/>
          <w:highlight w:val="auto"/>
        </w:rPr>
        <w:t>预算管理</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zh-CN" w:eastAsia="zh-CN" w:bidi="ar-SA"/>
        </w:rPr>
      </w:pPr>
      <w:r>
        <w:rPr>
          <w:rFonts w:ascii="仿宋_GB2312" w:eastAsia="仿宋_GB2312" w:cs="仿宋_GB2312" w:hint="eastAsia"/>
          <w:color w:val="000000"/>
          <w:kern w:val="0"/>
          <w:sz w:val="32"/>
          <w:szCs w:val="32"/>
          <w:lang w:val="zh-CN" w:eastAsia="zh-CN" w:bidi="ar-SA"/>
        </w:rPr>
        <w:t>严格按照县级部门预算编制通知和有关要求，按时完成基础库、项目库报送工作，按时完成202</w:t>
      </w:r>
      <w:r>
        <w:rPr>
          <w:rFonts w:ascii="仿宋_GB2312" w:eastAsia="仿宋_GB2312" w:cs="仿宋_GB2312" w:hint="eastAsia"/>
          <w:color w:val="000000"/>
          <w:kern w:val="0"/>
          <w:sz w:val="32"/>
          <w:szCs w:val="32"/>
          <w:lang w:val="en-US" w:eastAsia="zh-CN" w:bidi="ar-SA"/>
        </w:rPr>
        <w:t>4</w:t>
      </w:r>
      <w:r>
        <w:rPr>
          <w:rFonts w:ascii="仿宋_GB2312" w:eastAsia="仿宋_GB2312" w:cs="仿宋_GB2312" w:hint="eastAsia"/>
          <w:color w:val="000000"/>
          <w:kern w:val="0"/>
          <w:sz w:val="32"/>
          <w:szCs w:val="32"/>
          <w:lang w:val="zh-CN" w:eastAsia="zh-CN" w:bidi="ar-SA"/>
        </w:rPr>
        <w:t>年预算编制工作，并按时提交部门预算草案。预算编制全面、科学。202</w:t>
      </w:r>
      <w:r>
        <w:rPr>
          <w:rFonts w:ascii="仿宋_GB2312" w:eastAsia="仿宋_GB2312" w:cs="仿宋_GB2312" w:hint="eastAsia"/>
          <w:color w:val="000000"/>
          <w:kern w:val="0"/>
          <w:sz w:val="32"/>
          <w:szCs w:val="32"/>
          <w:lang w:val="en-US" w:eastAsia="zh-CN" w:bidi="ar-SA"/>
        </w:rPr>
        <w:t>4</w:t>
      </w:r>
      <w:r>
        <w:rPr>
          <w:rFonts w:ascii="仿宋_GB2312" w:eastAsia="仿宋_GB2312" w:cs="仿宋_GB2312" w:hint="eastAsia"/>
          <w:color w:val="000000"/>
          <w:kern w:val="0"/>
          <w:sz w:val="32"/>
          <w:szCs w:val="32"/>
          <w:lang w:val="zh-CN" w:eastAsia="zh-CN" w:bidi="ar-SA"/>
        </w:rPr>
        <w:t>年实际支出和部门决算一致，绩效目标填报及年末结余结转都是严格按照县财政局的要求认真完成，不存在违规违纪使用资金的情况并按时完成202</w:t>
      </w:r>
      <w:r>
        <w:rPr>
          <w:rFonts w:ascii="仿宋_GB2312" w:eastAsia="仿宋_GB2312" w:cs="仿宋_GB2312" w:hint="eastAsia"/>
          <w:color w:val="000000"/>
          <w:kern w:val="0"/>
          <w:sz w:val="32"/>
          <w:szCs w:val="32"/>
          <w:lang w:val="en-US" w:eastAsia="zh-CN" w:bidi="ar-SA"/>
        </w:rPr>
        <w:t>5</w:t>
      </w:r>
      <w:r>
        <w:rPr>
          <w:rFonts w:ascii="仿宋_GB2312" w:eastAsia="仿宋_GB2312" w:cs="仿宋_GB2312" w:hint="eastAsia"/>
          <w:color w:val="000000"/>
          <w:kern w:val="0"/>
          <w:sz w:val="32"/>
          <w:szCs w:val="32"/>
          <w:lang w:val="zh-CN" w:eastAsia="zh-CN" w:bidi="ar-SA"/>
        </w:rPr>
        <w:t>年预算编制工作，及时提交了部门预算草案。</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仿宋_GBK" w:eastAsia="方正仿宋_GBK" w:cs="方正仿宋_GBK" w:hint="eastAsia"/>
          <w:b/>
          <w:bCs/>
          <w:color w:val="000000"/>
          <w:kern w:val="0"/>
          <w:sz w:val="32"/>
          <w:szCs w:val="32"/>
          <w:shd w:val="clear" w:color="auto" w:fill="FFFFFF"/>
          <w:lang w:val="zh-CN" w:eastAsia="zh-CN"/>
          <w:highlight w:val="auto"/>
        </w:rPr>
      </w:pPr>
      <w:r>
        <w:rPr>
          <w:rFonts w:ascii="方正仿宋_GBK" w:eastAsia="方正仿宋_GBK" w:cs="方正仿宋_GBK" w:hint="eastAsia"/>
          <w:b/>
          <w:bCs/>
          <w:color w:val="000000"/>
          <w:kern w:val="0"/>
          <w:sz w:val="32"/>
          <w:szCs w:val="32"/>
          <w:shd w:val="clear" w:color="auto" w:fill="FFFFFF"/>
          <w:lang w:val="en-US" w:eastAsia="zh-CN"/>
          <w:highlight w:val="auto"/>
        </w:rPr>
        <w:t>3.</w:t>
      </w:r>
      <w:r>
        <w:rPr>
          <w:rFonts w:ascii="方正仿宋_GBK" w:eastAsia="方正仿宋_GBK" w:cs="方正仿宋_GBK"/>
          <w:b/>
          <w:bCs/>
          <w:color w:val="000000"/>
          <w:kern w:val="0"/>
          <w:sz w:val="32"/>
          <w:szCs w:val="32"/>
          <w:shd w:val="clear" w:color="auto" w:fill="FFFFFF"/>
          <w:lang w:val="zh-CN" w:eastAsia="zh-CN"/>
          <w:highlight w:val="auto"/>
        </w:rPr>
        <w:t>财务管理</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both"/>
        <w:textAlignment w:val="auto"/>
        <w:outlineLvl w:val="9"/>
        <w:rPr>
          <w:rFonts w:ascii="Times New Roman" w:eastAsia="方正仿宋_GBK" w:cs="Times New Roman" w:hAnsi="Times New Roman" w:hint="eastAsia"/>
          <w:sz w:val="32"/>
          <w:szCs w:val="32"/>
          <w:lang w:val="zh-CN" w:eastAsia="zh-CN"/>
        </w:rPr>
      </w:pPr>
      <w:r>
        <w:rPr>
          <w:rFonts w:ascii="Times New Roman" w:eastAsia="方正仿宋_GBK" w:cs="Times New Roman" w:hAnsi="Times New Roman" w:hint="eastAsia"/>
          <w:sz w:val="32"/>
          <w:szCs w:val="32"/>
          <w:lang w:val="zh-CN" w:eastAsia="zh-CN"/>
        </w:rPr>
        <w:t>根据相关要求，单位使用预算资金基本符合相关的预算财务管理制度。我办在财政批复后20日内在指定网站公开预决算信息。按照相关要求进行绩效自我评价，按要求及时上报，对发现的问题提出整改措施，并整改落实到位。绩效评价及依法接受财政监督情况等。</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仿宋_GBK" w:eastAsia="方正仿宋_GBK" w:cs="方正仿宋_GBK" w:hint="eastAsia"/>
          <w:b/>
          <w:bCs/>
          <w:color w:val="000000"/>
          <w:kern w:val="0"/>
          <w:sz w:val="32"/>
          <w:szCs w:val="32"/>
          <w:shd w:val="clear" w:color="auto" w:fill="FFFFFF"/>
          <w:lang w:val="zh-CN" w:eastAsia="zh-CN"/>
          <w:highlight w:val="auto"/>
        </w:rPr>
      </w:pPr>
      <w:r>
        <w:rPr>
          <w:rFonts w:ascii="方正仿宋_GBK" w:eastAsia="方正仿宋_GBK" w:cs="方正仿宋_GBK" w:hint="eastAsia"/>
          <w:b/>
          <w:bCs/>
          <w:color w:val="000000"/>
          <w:kern w:val="0"/>
          <w:sz w:val="32"/>
          <w:szCs w:val="32"/>
          <w:shd w:val="clear" w:color="auto" w:fill="FFFFFF"/>
          <w:lang w:val="en-US" w:eastAsia="zh-CN"/>
          <w:highlight w:val="auto"/>
        </w:rPr>
        <w:t>4.</w:t>
      </w:r>
      <w:r>
        <w:rPr>
          <w:rFonts w:ascii="方正仿宋_GBK" w:eastAsia="方正仿宋_GBK" w:cs="方正仿宋_GBK"/>
          <w:b/>
          <w:bCs/>
          <w:color w:val="000000"/>
          <w:kern w:val="0"/>
          <w:sz w:val="32"/>
          <w:szCs w:val="32"/>
          <w:shd w:val="clear" w:color="auto" w:fill="FFFFFF"/>
          <w:lang w:val="zh-CN" w:eastAsia="zh-CN"/>
          <w:highlight w:val="auto"/>
        </w:rPr>
        <w:t>资产管理</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both"/>
        <w:textAlignment w:val="auto"/>
        <w:outlineLvl w:val="9"/>
        <w:rPr>
          <w:rFonts w:ascii="Times New Roman" w:eastAsia="方正仿宋_GBK" w:cs="Times New Roman" w:hAnsi="Times New Roman"/>
          <w:sz w:val="32"/>
          <w:szCs w:val="32"/>
          <w:lang w:val="en-US" w:eastAsia="zh-CN"/>
        </w:rPr>
      </w:pPr>
      <w:r>
        <w:rPr>
          <w:rFonts w:ascii="Times New Roman" w:eastAsia="方正仿宋_GBK" w:cs="Times New Roman" w:hAnsi="Times New Roman" w:hint="eastAsia"/>
          <w:sz w:val="32"/>
          <w:szCs w:val="32"/>
          <w:lang w:val="zh-CN" w:eastAsia="zh-CN"/>
        </w:rPr>
        <w:t>我办202</w:t>
      </w:r>
      <w:r>
        <w:rPr>
          <w:rFonts w:ascii="Times New Roman" w:eastAsia="方正仿宋_GBK" w:cs="Times New Roman" w:hAnsi="Times New Roman" w:hint="eastAsia"/>
          <w:sz w:val="32"/>
          <w:szCs w:val="32"/>
          <w:lang w:val="en-US" w:eastAsia="zh-CN"/>
        </w:rPr>
        <w:t>4</w:t>
      </w:r>
      <w:r>
        <w:rPr>
          <w:rFonts w:ascii="Times New Roman" w:eastAsia="方正仿宋_GBK" w:cs="Times New Roman" w:hAnsi="Times New Roman" w:hint="eastAsia"/>
          <w:sz w:val="32"/>
          <w:szCs w:val="32"/>
          <w:lang w:val="zh-CN" w:eastAsia="zh-CN"/>
        </w:rPr>
        <w:t>年所有国有资产纳入资产管理系统，及时准确上报并做好资产的管理工作，</w:t>
      </w:r>
      <w:r>
        <w:rPr>
          <w:rFonts w:ascii="Times New Roman" w:eastAsia="方正仿宋_GBK" w:cs="Times New Roman" w:hAnsi="Times New Roman" w:hint="eastAsia"/>
          <w:sz w:val="32"/>
          <w:szCs w:val="32"/>
          <w:lang w:val="en-US" w:eastAsia="zh-CN"/>
        </w:rPr>
        <w:t>无闲置资产。</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仿宋_GBK" w:eastAsia="方正仿宋_GBK" w:cs="方正仿宋_GBK" w:hint="eastAsia"/>
          <w:b/>
          <w:bCs/>
          <w:color w:val="000000"/>
          <w:kern w:val="0"/>
          <w:sz w:val="32"/>
          <w:szCs w:val="32"/>
          <w:shd w:val="clear" w:color="auto" w:fill="FFFFFF"/>
          <w:lang w:val="zh-CN" w:eastAsia="zh-CN"/>
          <w:highlight w:val="auto"/>
        </w:rPr>
      </w:pPr>
      <w:r>
        <w:rPr>
          <w:rFonts w:ascii="方正仿宋_GBK" w:eastAsia="方正仿宋_GBK" w:cs="方正仿宋_GBK" w:hint="eastAsia"/>
          <w:b/>
          <w:bCs/>
          <w:color w:val="000000"/>
          <w:kern w:val="0"/>
          <w:sz w:val="32"/>
          <w:szCs w:val="32"/>
          <w:shd w:val="clear" w:color="auto" w:fill="FFFFFF"/>
          <w:lang w:val="en-US" w:eastAsia="zh-CN"/>
          <w:highlight w:val="auto"/>
        </w:rPr>
        <w:t>5.</w:t>
      </w:r>
      <w:r>
        <w:rPr>
          <w:rFonts w:ascii="方正仿宋_GBK" w:eastAsia="方正仿宋_GBK" w:cs="方正仿宋_GBK"/>
          <w:b/>
          <w:bCs/>
          <w:color w:val="000000"/>
          <w:kern w:val="0"/>
          <w:sz w:val="32"/>
          <w:szCs w:val="32"/>
          <w:shd w:val="clear" w:color="auto" w:fill="FFFFFF"/>
          <w:lang w:val="zh-CN" w:eastAsia="zh-CN"/>
          <w:highlight w:val="auto"/>
        </w:rPr>
        <w:t>采购管理</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both"/>
        <w:textAlignment w:val="auto"/>
        <w:outlineLvl w:val="9"/>
        <w:rPr>
          <w:rFonts w:ascii="Times New Roman" w:eastAsia="方正仿宋_GBK" w:cs="Times New Roman" w:hAnsi="Times New Roman" w:hint="eastAsia"/>
          <w:sz w:val="32"/>
          <w:szCs w:val="32"/>
          <w:lang w:val="zh-CN" w:eastAsia="zh-CN"/>
        </w:rPr>
      </w:pPr>
      <w:r>
        <w:rPr>
          <w:rFonts w:ascii="Times New Roman" w:eastAsia="方正仿宋_GBK" w:cs="Times New Roman" w:hAnsi="Times New Roman" w:hint="eastAsia"/>
          <w:sz w:val="32"/>
          <w:szCs w:val="32"/>
          <w:lang w:val="en-US" w:eastAsia="zh-CN"/>
        </w:rPr>
        <w:t>为保障单位正常运转，实现机构职能，根据实际需求按照程序实施政府采购</w:t>
      </w:r>
      <w:r>
        <w:rPr>
          <w:rFonts w:ascii="Times New Roman" w:eastAsia="方正仿宋_GBK" w:cs="Times New Roman" w:hAnsi="Times New Roman" w:hint="eastAsia"/>
          <w:sz w:val="32"/>
          <w:szCs w:val="32"/>
          <w:lang w:val="zh-CN" w:eastAsia="zh-CN"/>
        </w:rPr>
        <w:t>、采购</w:t>
      </w:r>
      <w:r>
        <w:rPr>
          <w:rFonts w:ascii="Times New Roman" w:eastAsia="方正仿宋_GBK" w:cs="Times New Roman" w:hAnsi="Times New Roman" w:hint="eastAsia"/>
          <w:sz w:val="32"/>
          <w:szCs w:val="32"/>
          <w:lang w:val="en-US" w:eastAsia="zh-CN"/>
        </w:rPr>
        <w:t>项目</w:t>
      </w:r>
      <w:r>
        <w:rPr>
          <w:rFonts w:ascii="Times New Roman" w:eastAsia="方正仿宋_GBK" w:cs="Times New Roman" w:hAnsi="Times New Roman" w:hint="eastAsia"/>
          <w:sz w:val="32"/>
          <w:szCs w:val="32"/>
          <w:lang w:val="zh-CN" w:eastAsia="zh-CN"/>
        </w:rPr>
        <w:t>执行率</w:t>
      </w:r>
      <w:r>
        <w:rPr>
          <w:rFonts w:ascii="Times New Roman" w:eastAsia="方正仿宋_GBK" w:cs="Times New Roman" w:hAnsi="Times New Roman" w:hint="eastAsia"/>
          <w:sz w:val="32"/>
          <w:szCs w:val="32"/>
          <w:lang w:val="en-US" w:eastAsia="zh-CN"/>
        </w:rPr>
        <w:t>达100%，2024年，政府采购支出总额1.85万元，主要为政府采购货物支出1.85万元。采购结果与预期目标相匹配，通过科学合理的评价方法和标准，提高采购质量和效益</w:t>
      </w:r>
      <w:r>
        <w:rPr>
          <w:rFonts w:ascii="Times New Roman" w:eastAsia="方正仿宋_GBK" w:cs="Times New Roman" w:hAnsi="Times New Roman" w:hint="eastAsia"/>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both"/>
        <w:textAlignment w:val="auto"/>
        <w:outlineLvl w:val="9"/>
        <w:rPr>
          <w:rFonts w:ascii="Times New Roman" w:eastAsia="方正仿宋_GBK" w:cs="Times New Roman" w:hAnsi="Times New Roman"/>
          <w:sz w:val="32"/>
          <w:szCs w:val="32"/>
          <w:lang w:val="en-US" w:eastAsia="zh-CN"/>
        </w:rPr>
      </w:pPr>
      <w:r>
        <w:rPr>
          <w:rFonts w:ascii="方正楷体_GBK" w:eastAsia="方正楷体_GBK" w:cs="方正楷体_GBK"/>
          <w:b/>
          <w:bCs/>
          <w:color w:val="000000"/>
          <w:kern w:val="0"/>
          <w:sz w:val="32"/>
          <w:szCs w:val="32"/>
          <w:shd w:val="clear" w:color="auto" w:fill="FFFFFF"/>
          <w:lang w:val="zh-CN" w:eastAsia="zh-CN"/>
          <w:highlight w:val="auto"/>
        </w:rPr>
        <w:t>（二）部门预算项目绩效分析。</w:t>
      </w:r>
      <w:r>
        <w:rPr>
          <w:rFonts w:ascii="Times New Roman" w:eastAsia="方正仿宋_GBK" w:cs="Times New Roman" w:hAnsi="Times New Roman" w:hint="eastAsia"/>
          <w:sz w:val="32"/>
          <w:szCs w:val="32"/>
          <w:lang w:val="zh-CN" w:eastAsia="zh-CN"/>
        </w:rPr>
        <w:t>填报以下数据，并</w:t>
      </w:r>
      <w:r>
        <w:rPr>
          <w:rFonts w:ascii="Times New Roman" w:eastAsia="方正仿宋_GBK" w:cs="Times New Roman" w:hAnsi="Times New Roman"/>
          <w:sz w:val="32"/>
          <w:szCs w:val="32"/>
          <w:lang w:val="zh-CN" w:eastAsia="zh-CN"/>
        </w:rPr>
        <w:t>根据部门预算绩效评价指标体系“项目绩效”涉及</w:t>
      </w:r>
      <w:r>
        <w:rPr>
          <w:rFonts w:ascii="Times New Roman" w:eastAsia="方正仿宋_GBK" w:cs="Times New Roman" w:hAnsi="Times New Roman" w:hint="eastAsia"/>
          <w:sz w:val="32"/>
          <w:szCs w:val="32"/>
          <w:lang w:val="zh-CN" w:eastAsia="zh-CN"/>
        </w:rPr>
        <w:t>二、三级</w:t>
      </w:r>
      <w:r>
        <w:rPr>
          <w:rFonts w:ascii="Times New Roman" w:eastAsia="方正仿宋_GBK" w:cs="Times New Roman" w:hAnsi="Times New Roman"/>
          <w:sz w:val="32"/>
          <w:szCs w:val="32"/>
          <w:lang w:val="zh-CN" w:eastAsia="zh-CN"/>
        </w:rPr>
        <w:t>指标进行</w:t>
      </w:r>
      <w:r>
        <w:rPr>
          <w:rFonts w:ascii="Times New Roman" w:eastAsia="方正仿宋_GBK" w:cs="Times New Roman" w:hAnsi="Times New Roman" w:hint="eastAsia"/>
          <w:sz w:val="32"/>
          <w:szCs w:val="32"/>
          <w:lang w:val="zh-CN" w:eastAsia="zh-CN"/>
        </w:rPr>
        <w:t>逐项</w:t>
      </w:r>
      <w:r>
        <w:rPr>
          <w:rFonts w:ascii="Times New Roman" w:eastAsia="方正仿宋_GBK" w:cs="Times New Roman" w:hAnsi="Times New Roman"/>
          <w:sz w:val="32"/>
          <w:szCs w:val="32"/>
          <w:lang w:val="zh-CN" w:eastAsia="zh-CN"/>
        </w:rPr>
        <w:t>绩效分析</w:t>
      </w:r>
      <w:r>
        <w:rPr>
          <w:rFonts w:ascii="Times New Roman" w:eastAsia="方正仿宋_GBK" w:cs="Times New Roman" w:hAnsi="Times New Roman" w:hint="eastAsia"/>
          <w:sz w:val="32"/>
          <w:szCs w:val="32"/>
          <w:lang w:val="zh-CN" w:eastAsia="zh-CN"/>
        </w:rPr>
        <w:t>并评分</w:t>
      </w:r>
      <w:r>
        <w:rPr>
          <w:rFonts w:ascii="Times New Roman" w:eastAsia="方正仿宋_GBK" w:cs="Times New Roman" w:hAnsi="Times New Roman"/>
          <w:sz w:val="32"/>
          <w:szCs w:val="32"/>
          <w:lang w:val="zh-CN" w:eastAsia="zh-CN"/>
        </w:rPr>
        <w:t>，依次包括项目</w:t>
      </w:r>
      <w:r>
        <w:rPr>
          <w:rFonts w:ascii="Times New Roman" w:eastAsia="方正仿宋_GBK" w:cs="Times New Roman" w:hAnsi="Times New Roman"/>
          <w:sz w:val="32"/>
          <w:szCs w:val="32"/>
          <w:lang w:val="en-US" w:eastAsia="zh-CN"/>
        </w:rPr>
        <w:t>决策、项目执行、目标实现等情况</w:t>
      </w:r>
      <w:r>
        <w:rPr>
          <w:rFonts w:ascii="Times New Roman" w:eastAsia="方正仿宋_GBK" w:cs="Times New Roman" w:hAnsi="Times New Roman" w:hint="eastAsia"/>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both"/>
        <w:textAlignment w:val="auto"/>
        <w:outlineLvl w:val="9"/>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en-US" w:eastAsia="zh-CN"/>
        </w:rPr>
        <w:t>常年项目绩效分析。</w:t>
      </w:r>
      <w:r>
        <w:rPr>
          <w:rFonts w:ascii="Times New Roman" w:eastAsia="方正仿宋_GBK" w:cs="Times New Roman" w:hAnsi="Times New Roman"/>
          <w:sz w:val="32"/>
          <w:szCs w:val="32"/>
          <w:lang w:val="zh-CN" w:eastAsia="zh-CN"/>
        </w:rPr>
        <w:t>该类项目总数</w:t>
      </w:r>
      <w:r>
        <w:rPr>
          <w:rFonts w:ascii="Times New Roman" w:eastAsia="方正仿宋_GBK" w:cs="Times New Roman" w:hAnsi="Times New Roman" w:hint="eastAsia"/>
          <w:sz w:val="32"/>
          <w:szCs w:val="32"/>
          <w:lang w:val="en-US" w:eastAsia="zh-CN"/>
        </w:rPr>
        <w:t>47</w:t>
      </w:r>
      <w:r>
        <w:rPr>
          <w:rFonts w:ascii="Times New Roman" w:eastAsia="方正仿宋_GBK" w:cs="Times New Roman" w:hAnsi="Times New Roman"/>
          <w:sz w:val="32"/>
          <w:szCs w:val="32"/>
          <w:lang w:val="zh-CN" w:eastAsia="zh-CN"/>
        </w:rPr>
        <w:t>个，涉及预算总金额</w:t>
      </w:r>
      <w:r>
        <w:rPr>
          <w:rFonts w:ascii="Times New Roman" w:eastAsia="方正仿宋_GBK" w:cs="Times New Roman" w:hAnsi="Times New Roman" w:hint="eastAsia"/>
          <w:sz w:val="32"/>
          <w:szCs w:val="32"/>
          <w:lang w:val="en-US" w:eastAsia="zh-CN"/>
        </w:rPr>
        <w:t>1003.96</w:t>
      </w:r>
      <w:r>
        <w:rPr>
          <w:rFonts w:ascii="Times New Roman" w:eastAsia="方正仿宋_GBK" w:cs="Times New Roman" w:hAnsi="Times New Roman"/>
          <w:sz w:val="32"/>
          <w:szCs w:val="32"/>
          <w:lang w:val="zh-CN" w:eastAsia="zh-CN"/>
        </w:rPr>
        <w:t>万元，1</w:t>
      </w:r>
      <w:r>
        <w:rPr>
          <w:rFonts w:ascii="Times New Roman" w:eastAsia="方正仿宋_GBK" w:cs="Times New Roman" w:hAnsi="Times New Roman" w:hint="eastAsia"/>
          <w:sz w:val="32"/>
          <w:szCs w:val="32"/>
          <w:lang w:val="zh-CN" w:eastAsia="zh-CN"/>
        </w:rPr>
        <w:t>—</w:t>
      </w:r>
      <w:r>
        <w:rPr>
          <w:rFonts w:ascii="Times New Roman" w:eastAsia="方正仿宋_GBK" w:cs="Times New Roman" w:hAnsi="Times New Roman"/>
          <w:sz w:val="32"/>
          <w:szCs w:val="32"/>
          <w:lang w:val="zh-CN" w:eastAsia="zh-CN"/>
        </w:rPr>
        <w:t>1</w:t>
      </w:r>
      <w:r>
        <w:rPr>
          <w:rFonts w:ascii="Times New Roman" w:eastAsia="方正仿宋_GBK" w:cs="Times New Roman" w:hAnsi="Times New Roman"/>
          <w:sz w:val="32"/>
          <w:szCs w:val="32"/>
          <w:lang w:val="en-US" w:eastAsia="zh-CN"/>
        </w:rPr>
        <w:t>2</w:t>
      </w:r>
      <w:r>
        <w:rPr>
          <w:rFonts w:ascii="Times New Roman" w:eastAsia="方正仿宋_GBK" w:cs="Times New Roman" w:hAnsi="Times New Roman"/>
          <w:sz w:val="32"/>
          <w:szCs w:val="32"/>
          <w:lang w:val="zh-CN" w:eastAsia="zh-CN"/>
        </w:rPr>
        <w:t>月预算执行总体进度为</w:t>
      </w:r>
      <w:r>
        <w:rPr>
          <w:rFonts w:ascii="Times New Roman" w:eastAsia="方正仿宋_GBK" w:cs="Times New Roman" w:hAnsi="Times New Roman" w:hint="eastAsia"/>
          <w:sz w:val="32"/>
          <w:szCs w:val="32"/>
          <w:lang w:val="en-US" w:eastAsia="zh-CN"/>
        </w:rPr>
        <w:t>100</w:t>
      </w:r>
      <w:r>
        <w:rPr>
          <w:rFonts w:ascii="Times New Roman" w:eastAsia="方正仿宋_GBK" w:cs="Times New Roman" w:hAnsi="Times New Roman"/>
          <w:sz w:val="32"/>
          <w:szCs w:val="32"/>
          <w:lang w:val="zh-CN" w:eastAsia="zh-CN"/>
        </w:rPr>
        <w:t>%，其中：预算结余率大于</w:t>
      </w:r>
      <w:r>
        <w:rPr>
          <w:rFonts w:ascii="Times New Roman" w:eastAsia="方正仿宋_GBK" w:cs="Times New Roman" w:hAnsi="Times New Roman"/>
          <w:sz w:val="32"/>
          <w:szCs w:val="32"/>
          <w:lang w:val="en-US" w:eastAsia="zh-CN"/>
        </w:rPr>
        <w:t>10%</w:t>
      </w:r>
      <w:r>
        <w:rPr>
          <w:rFonts w:ascii="Times New Roman" w:eastAsia="方正仿宋_GBK" w:cs="Times New Roman" w:hAnsi="Times New Roman"/>
          <w:sz w:val="32"/>
          <w:szCs w:val="32"/>
          <w:lang w:val="zh-CN" w:eastAsia="zh-CN"/>
        </w:rPr>
        <w:t>的项目共计</w:t>
      </w:r>
      <w:r>
        <w:rPr>
          <w:rFonts w:ascii="Times New Roman" w:eastAsia="方正仿宋_GBK" w:cs="Times New Roman" w:hAnsi="Times New Roman" w:hint="eastAsia"/>
          <w:sz w:val="32"/>
          <w:szCs w:val="32"/>
          <w:lang w:val="en-US" w:eastAsia="zh-CN"/>
        </w:rPr>
        <w:t>0</w:t>
      </w:r>
      <w:r>
        <w:rPr>
          <w:rFonts w:ascii="Times New Roman" w:eastAsia="方正仿宋_GBK" w:cs="Times New Roman" w:hAnsi="Times New Roman"/>
          <w:sz w:val="32"/>
          <w:szCs w:val="32"/>
          <w:lang w:val="zh-CN" w:eastAsia="zh-CN"/>
        </w:rPr>
        <w:t>个。</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both"/>
        <w:textAlignment w:val="auto"/>
        <w:outlineLvl w:val="9"/>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en-US" w:eastAsia="zh-CN"/>
        </w:rPr>
        <w:t>阶段</w:t>
      </w:r>
      <w:r>
        <w:rPr>
          <w:rFonts w:ascii="Times New Roman" w:eastAsia="方正仿宋_GBK" w:cs="Times New Roman" w:hAnsi="Times New Roman" w:hint="eastAsia"/>
          <w:sz w:val="32"/>
          <w:szCs w:val="32"/>
          <w:lang w:val="en-US" w:eastAsia="zh-CN"/>
        </w:rPr>
        <w:t>（</w:t>
      </w:r>
      <w:r>
        <w:rPr>
          <w:rFonts w:ascii="Times New Roman" w:eastAsia="方正仿宋_GBK" w:cs="Times New Roman" w:hAnsi="Times New Roman"/>
          <w:sz w:val="32"/>
          <w:szCs w:val="32"/>
          <w:lang w:val="en-US" w:eastAsia="zh-CN"/>
        </w:rPr>
        <w:t>一次性</w:t>
      </w:r>
      <w:r>
        <w:rPr>
          <w:rFonts w:ascii="Times New Roman" w:eastAsia="方正仿宋_GBK" w:cs="Times New Roman" w:hAnsi="Times New Roman" w:hint="eastAsia"/>
          <w:sz w:val="32"/>
          <w:szCs w:val="32"/>
          <w:lang w:val="en-US" w:eastAsia="zh-CN"/>
        </w:rPr>
        <w:t>）</w:t>
      </w:r>
      <w:r>
        <w:rPr>
          <w:rFonts w:ascii="Times New Roman" w:eastAsia="方正仿宋_GBK" w:cs="Times New Roman" w:hAnsi="Times New Roman"/>
          <w:sz w:val="32"/>
          <w:szCs w:val="32"/>
          <w:lang w:val="en-US" w:eastAsia="zh-CN"/>
        </w:rPr>
        <w:t>项目绩效分析。</w:t>
      </w:r>
      <w:r>
        <w:rPr>
          <w:rFonts w:ascii="Times New Roman" w:eastAsia="方正仿宋_GBK" w:cs="Times New Roman" w:hAnsi="Times New Roman"/>
          <w:sz w:val="32"/>
          <w:szCs w:val="32"/>
          <w:lang w:val="zh-CN" w:eastAsia="zh-CN"/>
        </w:rPr>
        <w:t>该类项目总数</w:t>
      </w:r>
      <w:r>
        <w:rPr>
          <w:rFonts w:ascii="Times New Roman" w:eastAsia="方正仿宋_GBK" w:cs="Times New Roman" w:hAnsi="Times New Roman"/>
          <w:sz w:val="32"/>
          <w:szCs w:val="32"/>
          <w:lang w:val="en-US" w:eastAsia="zh-CN"/>
        </w:rPr>
        <w:t xml:space="preserve"> </w:t>
      </w:r>
      <w:r>
        <w:rPr>
          <w:rFonts w:ascii="Times New Roman" w:eastAsia="方正仿宋_GBK" w:cs="Times New Roman" w:hAnsi="Times New Roman" w:hint="eastAsia"/>
          <w:sz w:val="32"/>
          <w:szCs w:val="32"/>
          <w:lang w:val="en-US" w:eastAsia="zh-CN"/>
        </w:rPr>
        <w:t>1</w:t>
      </w:r>
      <w:r>
        <w:rPr>
          <w:rFonts w:ascii="Times New Roman" w:eastAsia="方正仿宋_GBK" w:cs="Times New Roman" w:hAnsi="Times New Roman"/>
          <w:sz w:val="32"/>
          <w:szCs w:val="32"/>
          <w:lang w:val="zh-CN" w:eastAsia="zh-CN"/>
        </w:rPr>
        <w:t>个，涉及预算总金额</w:t>
      </w:r>
      <w:r>
        <w:rPr>
          <w:rFonts w:ascii="Times New Roman" w:eastAsia="方正仿宋_GBK" w:cs="Times New Roman" w:hAnsi="Times New Roman" w:hint="eastAsia"/>
          <w:sz w:val="32"/>
          <w:szCs w:val="32"/>
          <w:lang w:val="en-US" w:eastAsia="zh-CN"/>
        </w:rPr>
        <w:t>55</w:t>
      </w:r>
      <w:r>
        <w:rPr>
          <w:rFonts w:ascii="Times New Roman" w:eastAsia="方正仿宋_GBK" w:cs="Times New Roman" w:hAnsi="Times New Roman"/>
          <w:sz w:val="32"/>
          <w:szCs w:val="32"/>
          <w:lang w:val="zh-CN" w:eastAsia="zh-CN"/>
        </w:rPr>
        <w:t>万元，1</w:t>
      </w:r>
      <w:r>
        <w:rPr>
          <w:rFonts w:ascii="Times New Roman" w:eastAsia="方正仿宋_GBK" w:cs="Times New Roman" w:hAnsi="Times New Roman" w:hint="eastAsia"/>
          <w:sz w:val="32"/>
          <w:szCs w:val="32"/>
          <w:lang w:val="zh-CN" w:eastAsia="zh-CN"/>
        </w:rPr>
        <w:t>—</w:t>
      </w:r>
      <w:r>
        <w:rPr>
          <w:rFonts w:ascii="Times New Roman" w:eastAsia="方正仿宋_GBK" w:cs="Times New Roman" w:hAnsi="Times New Roman"/>
          <w:sz w:val="32"/>
          <w:szCs w:val="32"/>
          <w:lang w:val="zh-CN" w:eastAsia="zh-CN"/>
        </w:rPr>
        <w:t>1</w:t>
      </w:r>
      <w:r>
        <w:rPr>
          <w:rFonts w:ascii="Times New Roman" w:eastAsia="方正仿宋_GBK" w:cs="Times New Roman" w:hAnsi="Times New Roman"/>
          <w:sz w:val="32"/>
          <w:szCs w:val="32"/>
          <w:lang w:val="en-US" w:eastAsia="zh-CN"/>
        </w:rPr>
        <w:t>2</w:t>
      </w:r>
      <w:r>
        <w:rPr>
          <w:rFonts w:ascii="Times New Roman" w:eastAsia="方正仿宋_GBK" w:cs="Times New Roman" w:hAnsi="Times New Roman"/>
          <w:sz w:val="32"/>
          <w:szCs w:val="32"/>
          <w:lang w:val="zh-CN" w:eastAsia="zh-CN"/>
        </w:rPr>
        <w:t>月预算执行总体进度为</w:t>
      </w:r>
      <w:r>
        <w:rPr>
          <w:rFonts w:ascii="Times New Roman" w:eastAsia="方正仿宋_GBK" w:cs="Times New Roman" w:hAnsi="Times New Roman" w:hint="eastAsia"/>
          <w:sz w:val="32"/>
          <w:szCs w:val="32"/>
          <w:lang w:val="en-US" w:eastAsia="zh-CN"/>
        </w:rPr>
        <w:t>83.45</w:t>
      </w:r>
      <w:r>
        <w:rPr>
          <w:rFonts w:ascii="Times New Roman" w:eastAsia="方正仿宋_GBK" w:cs="Times New Roman" w:hAnsi="Times New Roman"/>
          <w:sz w:val="32"/>
          <w:szCs w:val="32"/>
          <w:lang w:val="en-US" w:eastAsia="zh-CN"/>
        </w:rPr>
        <w:t xml:space="preserve"> </w:t>
      </w:r>
      <w:r>
        <w:rPr>
          <w:rFonts w:ascii="Times New Roman" w:eastAsia="方正仿宋_GBK" w:cs="Times New Roman" w:hAnsi="Times New Roman"/>
          <w:sz w:val="32"/>
          <w:szCs w:val="32"/>
          <w:lang w:val="zh-CN" w:eastAsia="zh-CN"/>
        </w:rPr>
        <w:t>%，其中：预算结余率大于</w:t>
      </w:r>
      <w:r>
        <w:rPr>
          <w:rFonts w:ascii="Times New Roman" w:eastAsia="方正仿宋_GBK" w:cs="Times New Roman" w:hAnsi="Times New Roman"/>
          <w:sz w:val="32"/>
          <w:szCs w:val="32"/>
          <w:lang w:val="en-US" w:eastAsia="zh-CN"/>
        </w:rPr>
        <w:t>10%</w:t>
      </w:r>
      <w:r>
        <w:rPr>
          <w:rFonts w:ascii="Times New Roman" w:eastAsia="方正仿宋_GBK" w:cs="Times New Roman" w:hAnsi="Times New Roman"/>
          <w:sz w:val="32"/>
          <w:szCs w:val="32"/>
          <w:lang w:val="zh-CN" w:eastAsia="zh-CN"/>
        </w:rPr>
        <w:t>的项目共计</w:t>
      </w:r>
      <w:r>
        <w:rPr>
          <w:rFonts w:ascii="Times New Roman" w:eastAsia="方正仿宋_GBK" w:cs="Times New Roman" w:hAnsi="Times New Roman" w:hint="eastAsia"/>
          <w:sz w:val="32"/>
          <w:szCs w:val="32"/>
          <w:lang w:val="en-US" w:eastAsia="zh-CN"/>
        </w:rPr>
        <w:t>1</w:t>
      </w:r>
      <w:r>
        <w:rPr>
          <w:rFonts w:ascii="Times New Roman" w:eastAsia="方正仿宋_GBK" w:cs="Times New Roman" w:hAnsi="Times New Roman"/>
          <w:sz w:val="32"/>
          <w:szCs w:val="32"/>
          <w:lang w:val="zh-CN" w:eastAsia="zh-CN"/>
        </w:rPr>
        <w:t>个。</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仿宋_GBK" w:eastAsia="方正仿宋_GBK" w:cs="方正仿宋_GBK" w:hint="eastAsia"/>
          <w:b/>
          <w:bCs/>
          <w:color w:val="000000"/>
          <w:kern w:val="0"/>
          <w:sz w:val="32"/>
          <w:szCs w:val="32"/>
          <w:shd w:val="clear" w:color="auto" w:fill="FFFFFF"/>
          <w:lang w:val="zh-CN" w:eastAsia="zh-CN"/>
          <w:highlight w:val="auto"/>
        </w:rPr>
      </w:pPr>
      <w:r>
        <w:rPr>
          <w:rFonts w:ascii="方正仿宋_GBK" w:eastAsia="方正仿宋_GBK" w:cs="方正仿宋_GBK" w:hint="eastAsia"/>
          <w:b/>
          <w:bCs/>
          <w:color w:val="000000"/>
          <w:kern w:val="0"/>
          <w:sz w:val="32"/>
          <w:szCs w:val="32"/>
          <w:shd w:val="clear" w:color="auto" w:fill="FFFFFF"/>
          <w:lang w:val="en-US" w:eastAsia="zh-CN"/>
          <w:highlight w:val="auto"/>
        </w:rPr>
        <w:t>1.</w:t>
      </w:r>
      <w:r>
        <w:rPr>
          <w:rFonts w:ascii="方正仿宋_GBK" w:eastAsia="方正仿宋_GBK" w:cs="方正仿宋_GBK" w:hint="eastAsia"/>
          <w:b/>
          <w:bCs/>
          <w:color w:val="000000"/>
          <w:kern w:val="0"/>
          <w:sz w:val="32"/>
          <w:szCs w:val="32"/>
          <w:shd w:val="clear" w:color="auto" w:fill="FFFFFF"/>
          <w:lang w:val="zh-CN" w:eastAsia="zh-CN"/>
          <w:highlight w:val="auto"/>
        </w:rPr>
        <w:t>项目决策</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zh-CN" w:eastAsia="zh-CN" w:bidi="ar-SA"/>
        </w:rPr>
      </w:pPr>
      <w:r>
        <w:rPr>
          <w:rFonts w:ascii="仿宋_GB2312" w:eastAsia="仿宋_GB2312" w:cs="仿宋_GB2312" w:hint="eastAsia"/>
          <w:color w:val="000000"/>
          <w:kern w:val="0"/>
          <w:sz w:val="32"/>
          <w:szCs w:val="32"/>
          <w:lang w:val="en-US" w:eastAsia="zh-CN" w:bidi="ar-SA"/>
        </w:rPr>
        <w:t>本单位</w:t>
      </w:r>
      <w:r>
        <w:rPr>
          <w:rFonts w:ascii="仿宋_GB2312" w:eastAsia="仿宋_GB2312" w:cs="仿宋_GB2312" w:hint="eastAsia"/>
          <w:color w:val="000000"/>
          <w:kern w:val="0"/>
          <w:sz w:val="32"/>
          <w:szCs w:val="32"/>
          <w:lang w:val="zh-CN" w:eastAsia="zh-CN" w:bidi="ar-SA"/>
        </w:rPr>
        <w:t>预算项目设立</w:t>
      </w:r>
      <w:r>
        <w:rPr>
          <w:rFonts w:ascii="仿宋_GB2312" w:eastAsia="仿宋_GB2312" w:cs="仿宋_GB2312" w:hint="eastAsia"/>
          <w:color w:val="000000"/>
          <w:kern w:val="0"/>
          <w:sz w:val="32"/>
          <w:szCs w:val="32"/>
          <w:lang w:val="en-US" w:eastAsia="zh-CN" w:bidi="ar-SA"/>
        </w:rPr>
        <w:t>都</w:t>
      </w:r>
      <w:r>
        <w:rPr>
          <w:rFonts w:ascii="仿宋_GB2312" w:eastAsia="仿宋_GB2312" w:cs="仿宋_GB2312" w:hint="eastAsia"/>
          <w:color w:val="000000"/>
          <w:kern w:val="0"/>
          <w:sz w:val="32"/>
          <w:szCs w:val="32"/>
          <w:lang w:val="zh-CN" w:eastAsia="zh-CN" w:bidi="ar-SA"/>
        </w:rPr>
        <w:t>按规定履行评估论证、按程序申报、预算项目绩效目标与计划期内的任务量、预算安排的资金量匹配情况，绩效目标设置科学合理、规范完整、量化细化、预算匹配、预算项目在规定时间</w:t>
      </w:r>
      <w:r>
        <w:rPr>
          <w:rFonts w:ascii="仿宋_GB2312" w:eastAsia="仿宋_GB2312" w:cs="仿宋_GB2312" w:hint="eastAsia"/>
          <w:color w:val="000000"/>
          <w:kern w:val="0"/>
          <w:sz w:val="32"/>
          <w:szCs w:val="32"/>
          <w:lang w:val="en-US" w:eastAsia="zh-CN" w:bidi="ar-SA"/>
        </w:rPr>
        <w:t>内</w:t>
      </w:r>
      <w:r>
        <w:rPr>
          <w:rFonts w:ascii="仿宋_GB2312" w:eastAsia="仿宋_GB2312" w:cs="仿宋_GB2312" w:hint="eastAsia"/>
          <w:color w:val="000000"/>
          <w:kern w:val="0"/>
          <w:sz w:val="32"/>
          <w:szCs w:val="32"/>
          <w:lang w:val="zh-CN" w:eastAsia="zh-CN" w:bidi="ar-SA"/>
        </w:rPr>
        <w:t>完成项目入库，</w:t>
      </w:r>
      <w:r>
        <w:rPr>
          <w:rFonts w:ascii="仿宋_GB2312" w:eastAsia="仿宋_GB2312" w:cs="仿宋_GB2312" w:hint="eastAsia"/>
          <w:color w:val="000000"/>
          <w:kern w:val="0"/>
          <w:sz w:val="32"/>
          <w:szCs w:val="32"/>
          <w:lang w:val="en-US" w:eastAsia="zh-CN" w:bidi="ar-SA"/>
        </w:rPr>
        <w:t>明确绩效目标，控制执行成本，提高项目发挥作用。</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仿宋_GBK" w:eastAsia="方正仿宋_GBK" w:cs="方正仿宋_GBK" w:hint="eastAsia"/>
          <w:b/>
          <w:bCs/>
          <w:color w:val="000000"/>
          <w:kern w:val="0"/>
          <w:sz w:val="32"/>
          <w:szCs w:val="32"/>
          <w:shd w:val="clear" w:color="auto" w:fill="FFFFFF"/>
          <w:lang w:val="zh-CN" w:eastAsia="zh-CN"/>
          <w:highlight w:val="auto"/>
        </w:rPr>
      </w:pPr>
      <w:r>
        <w:rPr>
          <w:rFonts w:ascii="方正仿宋_GBK" w:eastAsia="方正仿宋_GBK" w:cs="方正仿宋_GBK" w:hint="eastAsia"/>
          <w:b/>
          <w:bCs/>
          <w:color w:val="000000"/>
          <w:kern w:val="0"/>
          <w:sz w:val="32"/>
          <w:szCs w:val="32"/>
          <w:shd w:val="clear" w:color="auto" w:fill="FFFFFF"/>
          <w:lang w:val="en-US" w:eastAsia="zh-CN"/>
          <w:highlight w:val="auto"/>
        </w:rPr>
        <w:t>2.项目执行</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hint="eastAsia"/>
          <w:color w:val="000000"/>
          <w:kern w:val="0"/>
          <w:sz w:val="32"/>
          <w:szCs w:val="32"/>
          <w:lang w:val="en-US" w:eastAsia="zh-CN" w:bidi="ar-SA"/>
        </w:rPr>
        <w:t>围绕资金执行同向、项目调整、执行结果进行绩效分析，根据财政局统一要求编制了我办整体绩效目标报告及项目整体绩效目标表，并报县财政局。</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方正仿宋_GBK" w:eastAsia="方正仿宋_GBK" w:cs="方正仿宋_GBK" w:hint="eastAsia"/>
          <w:b/>
          <w:bCs/>
          <w:color w:val="000000"/>
          <w:kern w:val="0"/>
          <w:sz w:val="32"/>
          <w:szCs w:val="32"/>
          <w:shd w:val="clear" w:color="auto" w:fill="FFFFFF"/>
          <w:lang w:val="zh-CN" w:eastAsia="zh-CN"/>
          <w:highlight w:val="auto"/>
        </w:rPr>
      </w:pPr>
      <w:r>
        <w:rPr>
          <w:rFonts w:ascii="方正仿宋_GBK" w:eastAsia="方正仿宋_GBK" w:cs="方正仿宋_GBK" w:hint="eastAsia"/>
          <w:b/>
          <w:bCs/>
          <w:color w:val="000000"/>
          <w:kern w:val="0"/>
          <w:sz w:val="32"/>
          <w:szCs w:val="32"/>
          <w:shd w:val="clear" w:color="auto" w:fill="FFFFFF"/>
          <w:lang w:val="en-US" w:eastAsia="zh-CN"/>
          <w:highlight w:val="auto"/>
        </w:rPr>
        <w:t>3.</w:t>
      </w:r>
      <w:r>
        <w:rPr>
          <w:rFonts w:ascii="方正仿宋_GBK" w:eastAsia="方正仿宋_GBK" w:cs="方正仿宋_GBK" w:hint="eastAsia"/>
          <w:b/>
          <w:bCs/>
          <w:color w:val="000000"/>
          <w:kern w:val="0"/>
          <w:sz w:val="32"/>
          <w:szCs w:val="32"/>
          <w:shd w:val="clear" w:color="auto" w:fill="FFFFFF"/>
          <w:lang w:val="zh-CN" w:eastAsia="zh-CN"/>
          <w:highlight w:val="auto"/>
        </w:rPr>
        <w:t>目标实现</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hint="eastAsia"/>
          <w:color w:val="000000"/>
          <w:kern w:val="0"/>
          <w:sz w:val="32"/>
          <w:szCs w:val="32"/>
          <w:lang w:val="en-US" w:eastAsia="zh-CN" w:bidi="ar-SA"/>
        </w:rPr>
        <w:t>根据预算绩效管理要求，我单位在年初预算编制阶段，组织对项目开展了预算事前绩效评估，本部门按要求对2024年部门整体支出开展绩效自评，我单位深入贯彻落实党的二十大关于“全面实施绩效管理”的要求，努力提升本单位绩效预算管理业务水平。主动公开绩效结果，加大资金使用效率，提升政府管理水平。及时告知各部门（科室）部门预算及项目支出进度。</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both"/>
        <w:textAlignment w:val="auto"/>
        <w:outlineLvl w:val="9"/>
        <w:rPr>
          <w:rFonts w:ascii="方正楷体_GBK" w:eastAsia="方正楷体_GBK" w:cs="方正楷体_GBK" w:hint="eastAsia"/>
          <w:b/>
          <w:bCs/>
          <w:color w:val="000000"/>
          <w:kern w:val="0"/>
          <w:sz w:val="32"/>
          <w:szCs w:val="32"/>
          <w:shd w:val="clear" w:color="auto" w:fill="FFFFFF"/>
          <w:lang w:val="zh-CN" w:eastAsia="zh-CN"/>
          <w:highlight w:val="auto"/>
        </w:rPr>
      </w:pPr>
      <w:r>
        <w:rPr>
          <w:rFonts w:ascii="方正楷体_GBK" w:eastAsia="方正楷体_GBK" w:cs="方正楷体_GBK" w:hint="eastAsia"/>
          <w:b/>
          <w:bCs/>
          <w:color w:val="000000"/>
          <w:kern w:val="0"/>
          <w:sz w:val="32"/>
          <w:szCs w:val="32"/>
          <w:shd w:val="clear" w:color="auto" w:fill="FFFFFF"/>
          <w:lang w:val="zh-CN" w:eastAsia="zh-CN"/>
          <w:highlight w:val="auto"/>
        </w:rPr>
        <w:t>（</w:t>
      </w:r>
      <w:r>
        <w:rPr>
          <w:rFonts w:ascii="方正楷体_GBK" w:eastAsia="方正楷体_GBK" w:cs="方正楷体_GBK" w:hint="eastAsia"/>
          <w:b/>
          <w:bCs/>
          <w:color w:val="000000"/>
          <w:kern w:val="0"/>
          <w:sz w:val="32"/>
          <w:szCs w:val="32"/>
          <w:shd w:val="clear" w:color="auto" w:fill="FFFFFF"/>
          <w:lang w:val="en-US" w:eastAsia="zh-CN"/>
          <w:highlight w:val="auto"/>
        </w:rPr>
        <w:t>三</w:t>
      </w:r>
      <w:r>
        <w:rPr>
          <w:rFonts w:ascii="方正楷体_GBK" w:eastAsia="方正楷体_GBK" w:cs="方正楷体_GBK" w:hint="eastAsia"/>
          <w:b/>
          <w:bCs/>
          <w:color w:val="000000"/>
          <w:kern w:val="0"/>
          <w:sz w:val="32"/>
          <w:szCs w:val="32"/>
          <w:shd w:val="clear" w:color="auto" w:fill="FFFFFF"/>
          <w:lang w:val="zh-CN" w:eastAsia="zh-CN"/>
          <w:highlight w:val="auto"/>
        </w:rPr>
        <w:t>）</w:t>
      </w:r>
      <w:r>
        <w:rPr>
          <w:rFonts w:ascii="方正楷体_GBK" w:eastAsia="方正楷体_GBK" w:cs="方正楷体_GBK"/>
          <w:b/>
          <w:bCs/>
          <w:color w:val="000000"/>
          <w:kern w:val="0"/>
          <w:sz w:val="32"/>
          <w:szCs w:val="32"/>
          <w:shd w:val="clear" w:color="auto" w:fill="FFFFFF"/>
          <w:lang w:val="zh-CN" w:eastAsia="zh-CN"/>
          <w:highlight w:val="auto"/>
        </w:rPr>
        <w:t>绩效结果应用情况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hint="eastAsia"/>
          <w:color w:val="000000"/>
          <w:kern w:val="0"/>
          <w:sz w:val="32"/>
          <w:szCs w:val="32"/>
          <w:lang w:val="zh-CN" w:eastAsia="zh-CN" w:bidi="ar-SA"/>
        </w:rPr>
        <w:t>根据预算绩效管理要求，我单位在年初预算编制阶段，组织对项目开展了预算事前绩效评估，本部门按要求对202</w:t>
      </w:r>
      <w:r>
        <w:rPr>
          <w:rFonts w:ascii="仿宋_GB2312" w:eastAsia="仿宋_GB2312" w:cs="仿宋_GB2312" w:hint="eastAsia"/>
          <w:color w:val="000000"/>
          <w:kern w:val="0"/>
          <w:sz w:val="32"/>
          <w:szCs w:val="32"/>
          <w:lang w:val="en-US" w:eastAsia="zh-CN" w:bidi="ar-SA"/>
        </w:rPr>
        <w:t>4</w:t>
      </w:r>
      <w:r>
        <w:rPr>
          <w:rFonts w:ascii="仿宋_GB2312" w:eastAsia="仿宋_GB2312" w:cs="仿宋_GB2312" w:hint="eastAsia"/>
          <w:color w:val="000000"/>
          <w:kern w:val="0"/>
          <w:sz w:val="32"/>
          <w:szCs w:val="32"/>
          <w:lang w:val="zh-CN" w:eastAsia="zh-CN" w:bidi="ar-SA"/>
        </w:rPr>
        <w:t>年部门整体支出开展绩效自评，我单位深入贯彻落实党的二十大关于“全面实施绩效管理”的要求，努力提升本单位绩效预算管理业务水平。主动公开绩效结果，加大资金使用效率，提升政府管理水平。及时告知各部门（科室）部门预算及项目支出进度。</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color w:val="000000"/>
          <w:kern w:val="0"/>
          <w:sz w:val="32"/>
          <w:szCs w:val="32"/>
          <w:lang w:val="en-US" w:eastAsia="zh-CN" w:bidi="ar-SA"/>
        </w:rPr>
        <w:t>四、评价结论及建议</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zh-CN" w:eastAsia="zh-CN" w:bidi="ar-SA"/>
        </w:rPr>
      </w:pPr>
      <w:r>
        <w:rPr>
          <w:rFonts w:ascii="仿宋_GB2312" w:eastAsia="仿宋_GB2312" w:cs="仿宋_GB2312"/>
          <w:color w:val="000000"/>
          <w:kern w:val="0"/>
          <w:sz w:val="32"/>
          <w:szCs w:val="32"/>
          <w:lang w:val="zh-CN" w:eastAsia="zh-CN" w:bidi="ar-SA"/>
        </w:rPr>
        <w:t>（一）评价结论</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zh-CN" w:eastAsia="zh-CN" w:bidi="ar-SA"/>
        </w:rPr>
      </w:pPr>
      <w:r>
        <w:rPr>
          <w:rFonts w:ascii="仿宋_GB2312" w:eastAsia="仿宋_GB2312" w:cs="仿宋_GB2312" w:hint="eastAsia"/>
          <w:color w:val="000000"/>
          <w:kern w:val="0"/>
          <w:sz w:val="32"/>
          <w:szCs w:val="32"/>
          <w:lang w:val="zh-CN" w:eastAsia="zh-CN" w:bidi="ar-SA"/>
        </w:rPr>
        <w:t>我办对202</w:t>
      </w:r>
      <w:r>
        <w:rPr>
          <w:rFonts w:ascii="仿宋_GB2312" w:eastAsia="仿宋_GB2312" w:cs="仿宋_GB2312" w:hint="eastAsia"/>
          <w:color w:val="000000"/>
          <w:kern w:val="0"/>
          <w:sz w:val="32"/>
          <w:szCs w:val="32"/>
          <w:lang w:val="en-US" w:eastAsia="zh-CN" w:bidi="ar-SA"/>
        </w:rPr>
        <w:t>4</w:t>
      </w:r>
      <w:r>
        <w:rPr>
          <w:rFonts w:ascii="仿宋_GB2312" w:eastAsia="仿宋_GB2312" w:cs="仿宋_GB2312" w:hint="eastAsia"/>
          <w:color w:val="000000"/>
          <w:kern w:val="0"/>
          <w:sz w:val="32"/>
          <w:szCs w:val="32"/>
          <w:lang w:val="zh-CN" w:eastAsia="zh-CN" w:bidi="ar-SA"/>
        </w:rPr>
        <w:t>年度整体支出情况开展自评，得分</w:t>
      </w:r>
      <w:r>
        <w:rPr>
          <w:rFonts w:ascii="仿宋_GB2312" w:eastAsia="仿宋_GB2312" w:cs="仿宋_GB2312" w:hint="eastAsia"/>
          <w:color w:val="000000"/>
          <w:kern w:val="0"/>
          <w:sz w:val="32"/>
          <w:szCs w:val="32"/>
          <w:lang w:val="en-US" w:eastAsia="zh-CN" w:bidi="ar-SA"/>
        </w:rPr>
        <w:t>93</w:t>
      </w:r>
      <w:r>
        <w:rPr>
          <w:rFonts w:ascii="仿宋_GB2312" w:eastAsia="仿宋_GB2312" w:cs="仿宋_GB2312" w:hint="eastAsia"/>
          <w:color w:val="000000"/>
          <w:kern w:val="0"/>
          <w:sz w:val="32"/>
          <w:szCs w:val="32"/>
          <w:lang w:val="zh-CN" w:eastAsia="zh-CN" w:bidi="ar-SA"/>
        </w:rPr>
        <w:t>分。从总体性分析评价，全年整体支出较优，实现了年初绩效目标。从结构性分析评价，一般公共预算基本支出完成预算的</w:t>
      </w:r>
      <w:r>
        <w:rPr>
          <w:rFonts w:ascii="仿宋_GB2312" w:eastAsia="仿宋_GB2312" w:cs="仿宋_GB2312" w:hint="eastAsia"/>
          <w:color w:val="000000"/>
          <w:kern w:val="0"/>
          <w:sz w:val="32"/>
          <w:szCs w:val="32"/>
          <w:lang w:val="en-US" w:eastAsia="zh-CN" w:bidi="ar-SA"/>
        </w:rPr>
        <w:t>100</w:t>
      </w:r>
      <w:r>
        <w:rPr>
          <w:rFonts w:ascii="仿宋_GB2312" w:eastAsia="仿宋_GB2312" w:cs="仿宋_GB2312" w:hint="eastAsia"/>
          <w:color w:val="000000"/>
          <w:kern w:val="0"/>
          <w:sz w:val="32"/>
          <w:szCs w:val="32"/>
          <w:lang w:val="zh-CN" w:eastAsia="zh-CN" w:bidi="ar-SA"/>
        </w:rPr>
        <w:t>%，绩效目标实际实现程度与预期目标的偏离度为持平，整体绩效管理合理合规；一般公共预算项目支出完成预算的</w:t>
      </w:r>
      <w:r>
        <w:rPr>
          <w:rFonts w:ascii="仿宋_GB2312" w:eastAsia="仿宋_GB2312" w:cs="仿宋_GB2312" w:hint="eastAsia"/>
          <w:color w:val="000000"/>
          <w:kern w:val="0"/>
          <w:sz w:val="32"/>
          <w:szCs w:val="32"/>
          <w:lang w:val="en-US" w:eastAsia="zh-CN" w:bidi="ar-SA"/>
        </w:rPr>
        <w:t>100</w:t>
      </w:r>
      <w:r>
        <w:rPr>
          <w:rFonts w:ascii="仿宋_GB2312" w:eastAsia="仿宋_GB2312" w:cs="仿宋_GB2312" w:hint="eastAsia"/>
          <w:color w:val="000000"/>
          <w:kern w:val="0"/>
          <w:sz w:val="32"/>
          <w:szCs w:val="32"/>
          <w:lang w:val="zh-CN" w:eastAsia="zh-CN" w:bidi="ar-SA"/>
        </w:rPr>
        <w:t>%，绩效目标实际实现程度与预期目标的偏离度为持平，整体绩效管理合理合规。202</w:t>
      </w:r>
      <w:r>
        <w:rPr>
          <w:rFonts w:ascii="仿宋_GB2312" w:eastAsia="仿宋_GB2312" w:cs="仿宋_GB2312" w:hint="eastAsia"/>
          <w:color w:val="000000"/>
          <w:kern w:val="0"/>
          <w:sz w:val="32"/>
          <w:szCs w:val="32"/>
          <w:lang w:val="en-US" w:eastAsia="zh-CN" w:bidi="ar-SA"/>
        </w:rPr>
        <w:t>4</w:t>
      </w:r>
      <w:r>
        <w:rPr>
          <w:rFonts w:ascii="仿宋_GB2312" w:eastAsia="仿宋_GB2312" w:cs="仿宋_GB2312" w:hint="eastAsia"/>
          <w:color w:val="000000"/>
          <w:kern w:val="0"/>
          <w:sz w:val="32"/>
          <w:szCs w:val="32"/>
          <w:lang w:val="zh-CN" w:eastAsia="zh-CN" w:bidi="ar-SA"/>
        </w:rPr>
        <w:t>年度整体支出绩效评价优好，无违纪违规问题，预算编制、预算执行、完成结果等均达到既定目标管理。</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both"/>
        <w:textAlignment w:val="auto"/>
        <w:outlineLvl w:val="9"/>
        <w:rPr>
          <w:rFonts w:ascii="方正楷体_GBK" w:eastAsia="方正楷体_GBK" w:cs="方正楷体_GBK"/>
          <w:b/>
          <w:bCs/>
          <w:color w:val="000000"/>
          <w:kern w:val="0"/>
          <w:sz w:val="32"/>
          <w:szCs w:val="32"/>
          <w:shd w:val="clear" w:color="auto" w:fill="FFFFFF"/>
          <w:lang w:val="zh-CN" w:eastAsia="zh-CN"/>
          <w:highlight w:val="auto"/>
        </w:rPr>
      </w:pPr>
      <w:r>
        <w:rPr>
          <w:rFonts w:ascii="方正楷体_GBK" w:eastAsia="方正楷体_GBK" w:cs="方正楷体_GBK" w:hint="eastAsia"/>
          <w:b/>
          <w:bCs/>
          <w:color w:val="000000"/>
          <w:kern w:val="0"/>
          <w:sz w:val="32"/>
          <w:szCs w:val="32"/>
          <w:shd w:val="clear" w:color="auto" w:fill="FFFFFF"/>
          <w:lang w:val="zh-CN" w:eastAsia="zh-CN"/>
          <w:highlight w:val="auto"/>
        </w:rPr>
        <w:t>（</w:t>
      </w:r>
      <w:r>
        <w:rPr>
          <w:rFonts w:ascii="方正楷体_GBK" w:eastAsia="方正楷体_GBK" w:cs="方正楷体_GBK" w:hint="eastAsia"/>
          <w:b/>
          <w:bCs/>
          <w:color w:val="000000"/>
          <w:kern w:val="0"/>
          <w:sz w:val="32"/>
          <w:szCs w:val="32"/>
          <w:shd w:val="clear" w:color="auto" w:fill="FFFFFF"/>
          <w:lang w:val="en-US" w:eastAsia="zh-CN"/>
          <w:highlight w:val="auto"/>
        </w:rPr>
        <w:t>二</w:t>
      </w:r>
      <w:r>
        <w:rPr>
          <w:rFonts w:ascii="方正楷体_GBK" w:eastAsia="方正楷体_GBK" w:cs="方正楷体_GBK" w:hint="eastAsia"/>
          <w:b/>
          <w:bCs/>
          <w:color w:val="000000"/>
          <w:kern w:val="0"/>
          <w:sz w:val="32"/>
          <w:szCs w:val="32"/>
          <w:shd w:val="clear" w:color="auto" w:fill="FFFFFF"/>
          <w:lang w:val="zh-CN" w:eastAsia="zh-CN"/>
          <w:highlight w:val="auto"/>
        </w:rPr>
        <w:t>）</w:t>
      </w:r>
      <w:r>
        <w:rPr>
          <w:rFonts w:ascii="方正楷体_GBK" w:eastAsia="方正楷体_GBK" w:cs="方正楷体_GBK"/>
          <w:b/>
          <w:bCs/>
          <w:color w:val="000000"/>
          <w:kern w:val="0"/>
          <w:sz w:val="32"/>
          <w:szCs w:val="32"/>
          <w:shd w:val="clear" w:color="auto" w:fill="FFFFFF"/>
          <w:lang w:val="zh-CN" w:eastAsia="zh-CN"/>
          <w:highlight w:val="auto"/>
        </w:rPr>
        <w:t>存在问题</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zh-CN" w:eastAsia="zh-CN" w:bidi="ar-SA"/>
        </w:rPr>
      </w:pPr>
      <w:r>
        <w:rPr>
          <w:rFonts w:ascii="仿宋_GB2312" w:eastAsia="仿宋_GB2312" w:cs="仿宋_GB2312" w:hint="eastAsia"/>
          <w:color w:val="000000"/>
          <w:kern w:val="0"/>
          <w:sz w:val="32"/>
          <w:szCs w:val="32"/>
          <w:lang w:val="zh-CN" w:eastAsia="zh-CN" w:bidi="ar-SA"/>
        </w:rPr>
        <w:t>个别人员经费和公用经费测算标准及套用公式不够科学精准，部分经济科目在预算执行中存在较早亮红灯，预算经费支出进度较慢。</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both"/>
        <w:textAlignment w:val="auto"/>
        <w:outlineLvl w:val="9"/>
        <w:rPr>
          <w:rFonts w:ascii="方正楷体_GBK" w:eastAsia="方正楷体_GBK" w:cs="方正楷体_GBK"/>
          <w:b/>
          <w:bCs/>
          <w:color w:val="000000"/>
          <w:kern w:val="0"/>
          <w:sz w:val="32"/>
          <w:szCs w:val="32"/>
          <w:shd w:val="clear" w:color="auto" w:fill="FFFFFF"/>
          <w:lang w:val="zh-CN" w:eastAsia="zh-CN"/>
          <w:highlight w:val="auto"/>
        </w:rPr>
      </w:pPr>
      <w:r>
        <w:rPr>
          <w:rFonts w:ascii="方正楷体_GBK" w:eastAsia="方正楷体_GBK" w:cs="方正楷体_GBK" w:hint="eastAsia"/>
          <w:b/>
          <w:bCs/>
          <w:color w:val="000000"/>
          <w:kern w:val="0"/>
          <w:sz w:val="32"/>
          <w:szCs w:val="32"/>
          <w:shd w:val="clear" w:color="auto" w:fill="FFFFFF"/>
          <w:lang w:val="zh-CN" w:eastAsia="zh-CN"/>
          <w:highlight w:val="auto"/>
        </w:rPr>
        <w:t>（</w:t>
      </w:r>
      <w:r>
        <w:rPr>
          <w:rFonts w:ascii="方正楷体_GBK" w:eastAsia="方正楷体_GBK" w:cs="方正楷体_GBK" w:hint="eastAsia"/>
          <w:b/>
          <w:bCs/>
          <w:color w:val="000000"/>
          <w:kern w:val="0"/>
          <w:sz w:val="32"/>
          <w:szCs w:val="32"/>
          <w:shd w:val="clear" w:color="auto" w:fill="FFFFFF"/>
          <w:lang w:val="en-US" w:eastAsia="zh-CN"/>
          <w:highlight w:val="auto"/>
        </w:rPr>
        <w:t>三</w:t>
      </w:r>
      <w:r>
        <w:rPr>
          <w:rFonts w:ascii="方正楷体_GBK" w:eastAsia="方正楷体_GBK" w:cs="方正楷体_GBK" w:hint="eastAsia"/>
          <w:b/>
          <w:bCs/>
          <w:color w:val="000000"/>
          <w:kern w:val="0"/>
          <w:sz w:val="32"/>
          <w:szCs w:val="32"/>
          <w:shd w:val="clear" w:color="auto" w:fill="FFFFFF"/>
          <w:lang w:val="zh-CN" w:eastAsia="zh-CN"/>
          <w:highlight w:val="auto"/>
        </w:rPr>
        <w:t>）</w:t>
      </w:r>
      <w:r>
        <w:rPr>
          <w:rFonts w:ascii="方正楷体_GBK" w:eastAsia="方正楷体_GBK" w:cs="方正楷体_GBK"/>
          <w:b/>
          <w:bCs/>
          <w:color w:val="000000"/>
          <w:kern w:val="0"/>
          <w:sz w:val="32"/>
          <w:szCs w:val="32"/>
          <w:shd w:val="clear" w:color="auto" w:fill="FFFFFF"/>
          <w:lang w:val="zh-CN" w:eastAsia="zh-CN"/>
          <w:highlight w:val="auto"/>
        </w:rPr>
        <w:t>改进建议</w:t>
      </w:r>
      <w:bookmarkStart w:id="192" w:name="_Hlk110546638"/>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both"/>
        <w:textAlignment w:val="auto"/>
        <w:outlineLvl w:val="9"/>
        <w:rPr>
          <w:rFonts w:ascii="Times New Roman" w:eastAsia="方正仿宋_GBK" w:cs="Times New Roman" w:hAnsi="Times New Roman" w:hint="eastAsia"/>
          <w:sz w:val="32"/>
          <w:szCs w:val="32"/>
          <w:lang w:val="zh-CN" w:eastAsia="zh-CN"/>
        </w:rPr>
      </w:pPr>
      <w:r>
        <w:rPr>
          <w:rFonts w:ascii="仿宋_GB2312" w:eastAsia="仿宋_GB2312" w:cs="仿宋_GB2312" w:hint="eastAsia"/>
          <w:color w:val="000000"/>
          <w:kern w:val="0"/>
          <w:sz w:val="32"/>
          <w:szCs w:val="32"/>
          <w:lang w:val="zh-CN" w:eastAsia="zh-CN" w:bidi="ar-SA"/>
        </w:rPr>
        <w:t>我办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bookmarkEnd w:id="192"/>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both"/>
        <w:textAlignment w:val="auto"/>
        <w:outlineLvl w:val="9"/>
        <w:rPr>
          <w:rFonts w:ascii="Times New Roman" w:eastAsia="方正仿宋_GBK" w:cs="Times New Roman" w:hAnsi="Times New Roman"/>
          <w:sz w:val="32"/>
          <w:szCs w:val="32"/>
          <w:lang w:val="en-US" w:eastAsia="zh-CN"/>
        </w:rPr>
      </w:pP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hint="eastAsia"/>
          <w:color w:val="000000"/>
          <w:kern w:val="0"/>
          <w:sz w:val="32"/>
          <w:szCs w:val="32"/>
          <w:lang w:val="en-US" w:eastAsia="zh-CN" w:bidi="ar-SA"/>
        </w:rPr>
        <w:t>附表：1.</w:t>
      </w:r>
      <w:r>
        <w:rPr>
          <w:rFonts w:ascii="仿宋_GB2312" w:eastAsia="仿宋_GB2312" w:cs="仿宋_GB2312"/>
          <w:color w:val="000000"/>
          <w:kern w:val="0"/>
          <w:sz w:val="32"/>
          <w:szCs w:val="32"/>
          <w:lang w:val="en-US" w:eastAsia="zh-CN" w:bidi="ar-SA"/>
        </w:rPr>
        <w:t>部门</w:t>
      </w:r>
      <w:r>
        <w:rPr>
          <w:rFonts w:ascii="仿宋_GB2312" w:eastAsia="仿宋_GB2312" w:cs="仿宋_GB2312" w:hint="eastAsia"/>
          <w:color w:val="000000"/>
          <w:kern w:val="0"/>
          <w:sz w:val="32"/>
          <w:szCs w:val="32"/>
          <w:lang w:val="en-US" w:eastAsia="zh-CN" w:bidi="ar-SA"/>
        </w:rPr>
        <w:t>预算绩效自评打分表</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color w:val="000000"/>
          <w:kern w:val="0"/>
          <w:sz w:val="32"/>
          <w:szCs w:val="32"/>
          <w:lang w:val="en-US" w:eastAsia="zh-CN" w:bidi="ar-SA"/>
        </w:rPr>
        <w:t>2.部门整体绩效目标完成情况自评表</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000000"/>
          <w:kern w:val="0"/>
          <w:sz w:val="32"/>
          <w:szCs w:val="32"/>
          <w:lang w:val="en-US" w:eastAsia="zh-CN" w:bidi="ar-SA"/>
        </w:rPr>
      </w:pPr>
      <w:r>
        <w:rPr>
          <w:rFonts w:ascii="仿宋_GB2312" w:eastAsia="仿宋_GB2312" w:cs="仿宋_GB2312"/>
          <w:color w:val="000000"/>
          <w:kern w:val="0"/>
          <w:sz w:val="32"/>
          <w:szCs w:val="32"/>
          <w:lang w:val="en-US" w:eastAsia="zh-CN" w:bidi="ar-SA"/>
        </w:rPr>
        <w:t>3.部门预算项目支出绩效评价表（2024年度）</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000000"/>
          <w:kern w:val="0"/>
          <w:sz w:val="32"/>
          <w:szCs w:val="32"/>
          <w:lang w:val="en-US" w:eastAsia="zh-CN" w:bidi="ar-SA"/>
        </w:rPr>
      </w:pPr>
      <w:r>
        <w:rPr>
          <w:rFonts w:ascii="仿宋_GB2312" w:eastAsia="仿宋_GB2312" w:cs="仿宋_GB2312" w:hint="eastAsia"/>
          <w:color w:val="000000"/>
          <w:kern w:val="0"/>
          <w:sz w:val="32"/>
          <w:szCs w:val="32"/>
          <w:lang w:val="en-US" w:eastAsia="zh-CN" w:bidi="ar-SA"/>
        </w:rPr>
        <w:t xml:space="preserve">                           </w:t>
      </w:r>
    </w:p>
    <w:p>
      <w:pPr>
        <w:pStyle w:val="26"/>
        <w:rPr>
          <w:rFonts w:ascii="Times New Roman" w:eastAsia="仿宋_GB2312" w:cs="Times New Roman" w:hAnsi="Times New Roman" w:hint="eastAsia"/>
          <w:bCs/>
          <w:kern w:val="0"/>
          <w:sz w:val="32"/>
          <w:szCs w:val="32"/>
          <w:shd w:val="clear" w:color="auto" w:fill="FFFFFF"/>
          <w:lang w:val="en-US" w:eastAsia="zh-CN" w:bidi="ar-SA"/>
        </w:rPr>
      </w:pPr>
      <w:r>
        <w:rPr>
          <w:rFonts w:ascii="Times New Roman" w:eastAsia="仿宋_GB2312" w:cs="Times New Roman" w:hAnsi="Times New Roman" w:hint="eastAsia"/>
          <w:bCs/>
          <w:kern w:val="0"/>
          <w:sz w:val="32"/>
          <w:szCs w:val="32"/>
          <w:shd w:val="clear" w:color="auto" w:fill="FFFFFF"/>
          <w:lang w:val="en-US" w:eastAsia="zh-CN" w:bidi="ar-SA"/>
        </w:rPr>
        <w:t xml:space="preserve">                 </w:t>
      </w: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r>
        <w:rPr>
          <w:rFonts w:ascii="Times New Roman" w:eastAsia="仿宋_GB2312" w:cs="Times New Roman" w:hAnsi="Times New Roman" w:hint="eastAsia"/>
          <w:bCs/>
          <w:kern w:val="0"/>
          <w:sz w:val="32"/>
          <w:szCs w:val="32"/>
          <w:shd w:val="clear" w:color="auto" w:fill="FFFFFF"/>
          <w:lang w:val="en-US" w:eastAsia="zh-CN" w:bidi="ar-SA"/>
        </w:rPr>
        <w:t xml:space="preserve">         </w:t>
      </w: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r>
        <w:rPr>
          <w:rFonts w:ascii="Times New Roman" w:eastAsia="仿宋_GB2312" w:cs="Times New Roman" w:hAnsi="Times New Roman" w:hint="eastAsia"/>
          <w:bCs/>
          <w:kern w:val="0"/>
          <w:sz w:val="32"/>
          <w:szCs w:val="32"/>
          <w:shd w:val="clear" w:color="auto" w:fill="FFFFFF"/>
          <w:lang w:val="en-US" w:eastAsia="zh-CN" w:bidi="ar-SA"/>
        </w:rPr>
        <w:t xml:space="preserve">       </w:t>
      </w: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p>
    <w:p>
      <w:pPr>
        <w:pStyle w:val="26"/>
        <w:pBdr>
          <w:bottom w:val="none" w:sz="0" w:space="0" w:color="auto"/>
        </w:pBdr>
        <w:ind w:leftChars="0" w:left="0" w:firstLineChars="0" w:firstLine="0"/>
        <w:rPr>
          <w:rFonts w:ascii="Times New Roman" w:eastAsia="仿宋_GB2312" w:cs="Times New Roman" w:hAnsi="Times New Roman" w:hint="eastAsia"/>
          <w:bCs/>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hint="eastAsia"/>
          <w:kern w:val="2"/>
          <w:sz w:val="32"/>
          <w:szCs w:val="24"/>
          <w:lang w:val="en-US" w:eastAsia="zh-CN" w:bidi="ar-SA"/>
          <w:highlight w:val="auto"/>
        </w:rPr>
      </w:pPr>
      <w:r>
        <w:rPr>
          <w:rFonts w:ascii="Times New Roman" w:eastAsia="仿宋_GB2312" w:cs="Times New Roman" w:hAnsi="Times New Roman"/>
          <w:bCs/>
          <w:kern w:val="0"/>
          <w:sz w:val="32"/>
          <w:szCs w:val="32"/>
          <w:shd w:val="clear" w:color="auto" w:fill="FFFFFF"/>
          <w:lang w:val="en-US" w:eastAsia="zh-CN" w:bidi="ar-SA"/>
        </w:rPr>
        <w:br w:type="page"/>
      </w:r>
      <w:r>
        <w:rPr>
          <w:rFonts w:ascii="Times New Roman" w:eastAsia="黑体" w:cs="Times New Roman" w:hAnsi="Times New Roman"/>
          <w:kern w:val="2"/>
          <w:sz w:val="28"/>
          <w:szCs w:val="28"/>
          <w:lang w:val="en-US" w:eastAsia="zh-CN" w:bidi="ar-SA"/>
          <w:highlight w:val="auto"/>
        </w:rPr>
        <w:t>附表</w:t>
      </w:r>
      <w:r>
        <w:rPr>
          <w:rFonts w:ascii="Times New Roman" w:eastAsia="黑体" w:cs="Times New Roman" w:hAnsi="Times New Roman" w:hint="eastAsia"/>
          <w:kern w:val="2"/>
          <w:sz w:val="28"/>
          <w:szCs w:val="28"/>
          <w:lang w:val="en-US" w:eastAsia="zh-CN" w:bidi="ar-SA"/>
          <w:highlight w:val="auto"/>
        </w:rPr>
        <w:t>1</w:t>
      </w:r>
    </w:p>
    <w:p>
      <w:pPr>
        <w:keepNext w:val="0"/>
        <w:keepLines w:val="0"/>
        <w:pageBreakBefore w:val="0"/>
        <w:widowControl w:val="0"/>
        <w:kinsoku/>
        <w:wordWrap/>
        <w:overflowPunct/>
        <w:topLinePunct w:val="0"/>
        <w:autoSpaceDE/>
        <w:autoSpaceDN/>
        <w:bidi w:val="0"/>
        <w:adjustRightInd/>
        <w:snapToGrid/>
        <w:spacing w:line="470" w:lineRule="exact"/>
        <w:jc w:val="center"/>
        <w:textAlignment w:val="auto"/>
        <w:rPr>
          <w:rFonts w:ascii="仿宋_GB2312" w:eastAsia="仿宋_GB2312" w:cs="仿宋_GB2312"/>
          <w:sz w:val="32"/>
          <w:szCs w:val="32"/>
        </w:rPr>
      </w:pPr>
      <w:r>
        <w:rPr>
          <w:rFonts w:ascii="Times New Roman" w:eastAsia="方正小标宋简体" w:cs="Times New Roman" w:hAnsi="Times New Roman" w:hint="eastAsia"/>
          <w:i w:val="0"/>
          <w:color w:val="000000"/>
          <w:kern w:val="0"/>
          <w:sz w:val="32"/>
          <w:szCs w:val="32"/>
          <w:u w:val="none"/>
          <w:lang w:val="en-US" w:eastAsia="zh-CN"/>
        </w:rPr>
        <w:t>部门预算绩效自评打分表</w:t>
      </w:r>
    </w:p>
    <w:tbl>
      <w:tblPr>
        <w:jc w:val="center"/>
        <w:tblW w:w="1081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04"/>
        <w:gridCol w:w="1462"/>
        <w:gridCol w:w="1665"/>
        <w:gridCol w:w="720"/>
        <w:gridCol w:w="4734"/>
        <w:gridCol w:w="756"/>
        <w:gridCol w:w="478"/>
      </w:tblGrid>
      <w:tr>
        <w:trPr>
          <w:trHeight w:val="23"/>
        </w:trPr>
        <w:tc>
          <w:tcPr>
            <w:tcW w:w="4851"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1"/>
                <w:szCs w:val="21"/>
                <w:u w:val="none"/>
              </w:rPr>
            </w:pPr>
            <w:r>
              <w:rPr>
                <w:rFonts w:ascii="黑体" w:eastAsia="黑体" w:cs="黑体" w:hint="eastAsia"/>
                <w:i w:val="0"/>
                <w:color w:val="000000"/>
                <w:kern w:val="0"/>
                <w:sz w:val="21"/>
                <w:szCs w:val="21"/>
                <w:u w:val="none"/>
                <w:lang w:val="en-US" w:eastAsia="zh-CN"/>
              </w:rPr>
              <w:t>绩效评价指标分值</w:t>
            </w:r>
          </w:p>
        </w:tc>
        <w:tc>
          <w:tcPr>
            <w:tcW w:w="473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1"/>
                <w:szCs w:val="21"/>
                <w:u w:val="none"/>
              </w:rPr>
            </w:pPr>
            <w:r>
              <w:rPr>
                <w:rFonts w:ascii="黑体" w:eastAsia="黑体" w:cs="黑体" w:hint="eastAsia"/>
                <w:i w:val="0"/>
                <w:color w:val="000000"/>
                <w:kern w:val="0"/>
                <w:sz w:val="21"/>
                <w:szCs w:val="21"/>
                <w:u w:val="none"/>
                <w:lang w:val="en-US" w:eastAsia="zh-CN"/>
              </w:rPr>
              <w:t>指标解释</w:t>
            </w:r>
          </w:p>
        </w:tc>
        <w:tc>
          <w:tcPr>
            <w:tcW w:w="756"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1"/>
                <w:szCs w:val="21"/>
                <w:u w:val="none"/>
                <w:lang w:val="en-US" w:eastAsia="zh-CN"/>
              </w:rPr>
            </w:pPr>
            <w:r>
              <w:rPr>
                <w:rFonts w:ascii="黑体" w:eastAsia="黑体" w:cs="黑体" w:hint="eastAsia"/>
                <w:i w:val="0"/>
                <w:color w:val="000000"/>
                <w:kern w:val="0"/>
                <w:sz w:val="21"/>
                <w:szCs w:val="21"/>
                <w:u w:val="none"/>
                <w:lang w:val="en-US" w:eastAsia="zh-CN"/>
              </w:rPr>
              <w:t>自评得分</w:t>
            </w:r>
          </w:p>
        </w:tc>
        <w:tc>
          <w:tcPr>
            <w:tcW w:w="478"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1"/>
                <w:szCs w:val="21"/>
                <w:u w:val="none"/>
                <w:lang w:val="en-US" w:eastAsia="zh-CN"/>
              </w:rPr>
            </w:pPr>
            <w:r>
              <w:rPr>
                <w:rFonts w:ascii="黑体" w:eastAsia="黑体" w:cs="黑体" w:hint="eastAsia"/>
                <w:i w:val="0"/>
                <w:color w:val="000000"/>
                <w:kern w:val="0"/>
                <w:sz w:val="21"/>
                <w:szCs w:val="21"/>
                <w:u w:val="none"/>
                <w:lang w:val="en-US" w:eastAsia="zh-CN"/>
              </w:rPr>
              <w:t>备注</w:t>
            </w:r>
          </w:p>
        </w:tc>
      </w:tr>
      <w:tr>
        <w:trPr>
          <w:trHeight w:val="435"/>
        </w:trPr>
        <w:tc>
          <w:tcPr>
            <w:tcW w:w="1004" w:type="dxa"/>
            <w:tcBorders>
              <w:top w:val="single" w:sz="4" w:space="0" w:color="000000"/>
              <w:left w:val="single" w:sz="4" w:space="0" w:color="000000"/>
              <w:bottom w:val="single" w:sz="4" w:space="0" w:color="00000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1"/>
                <w:szCs w:val="21"/>
                <w:u w:val="none"/>
              </w:rPr>
            </w:pPr>
            <w:r>
              <w:rPr>
                <w:rFonts w:ascii="黑体" w:eastAsia="黑体" w:cs="黑体" w:hint="eastAsia"/>
                <w:i w:val="0"/>
                <w:color w:val="000000"/>
                <w:kern w:val="0"/>
                <w:sz w:val="21"/>
                <w:szCs w:val="21"/>
                <w:u w:val="none"/>
                <w:lang w:val="en-US" w:eastAsia="zh-CN"/>
              </w:rPr>
              <w:t>一级指标</w:t>
            </w:r>
          </w:p>
        </w:tc>
        <w:tc>
          <w:tcPr>
            <w:tcW w:w="14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1"/>
                <w:szCs w:val="21"/>
                <w:u w:val="none"/>
              </w:rPr>
            </w:pPr>
            <w:r>
              <w:rPr>
                <w:rFonts w:ascii="黑体" w:eastAsia="黑体" w:cs="黑体" w:hint="eastAsia"/>
                <w:i w:val="0"/>
                <w:color w:val="000000"/>
                <w:kern w:val="0"/>
                <w:sz w:val="21"/>
                <w:szCs w:val="21"/>
                <w:u w:val="none"/>
                <w:lang w:val="en-US" w:eastAsia="zh-CN"/>
              </w:rPr>
              <w:t>二级指标</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1"/>
                <w:szCs w:val="21"/>
                <w:u w:val="none"/>
              </w:rPr>
            </w:pPr>
            <w:r>
              <w:rPr>
                <w:rFonts w:ascii="黑体" w:eastAsia="黑体" w:cs="黑体" w:hint="eastAsia"/>
                <w:i w:val="0"/>
                <w:color w:val="000000"/>
                <w:kern w:val="0"/>
                <w:sz w:val="21"/>
                <w:szCs w:val="21"/>
                <w:u w:val="none"/>
                <w:lang w:val="en-US" w:eastAsia="zh-CN"/>
              </w:rPr>
              <w:t>三级指标</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1"/>
                <w:szCs w:val="21"/>
                <w:u w:val="none"/>
                <w:lang w:val="en-US" w:eastAsia="zh-CN"/>
              </w:rPr>
            </w:pPr>
            <w:r>
              <w:rPr>
                <w:rFonts w:ascii="黑体" w:eastAsia="黑体" w:cs="黑体" w:hint="eastAsia"/>
                <w:i w:val="0"/>
                <w:color w:val="000000"/>
                <w:kern w:val="0"/>
                <w:sz w:val="21"/>
                <w:szCs w:val="21"/>
                <w:u w:val="none"/>
                <w:lang w:val="en-US" w:eastAsia="zh-CN"/>
              </w:rPr>
              <w:t>指标</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1"/>
                <w:szCs w:val="21"/>
                <w:u w:val="none"/>
              </w:rPr>
            </w:pPr>
            <w:r>
              <w:rPr>
                <w:rFonts w:ascii="黑体" w:eastAsia="黑体" w:cs="黑体" w:hint="eastAsia"/>
                <w:i w:val="0"/>
                <w:color w:val="000000"/>
                <w:kern w:val="0"/>
                <w:sz w:val="21"/>
                <w:szCs w:val="21"/>
                <w:u w:val="none"/>
                <w:lang w:val="en-US" w:eastAsia="zh-CN"/>
              </w:rPr>
              <w:t>分值</w:t>
            </w:r>
          </w:p>
        </w:tc>
        <w:tc>
          <w:tcPr>
            <w:tcW w:w="4734" w:type="dxa"/>
            <w:vMerge/>
            <w:tcBorders>
              <w:top w:val="single" w:sz="4" w:space="0" w:color="000000"/>
              <w:left w:val="single" w:sz="4" w:space="0" w:color="000000"/>
              <w:bottom w:val="single" w:sz="4" w:space="0" w:color="000000"/>
              <w:right w:val="single" w:sz="4" w:space="0" w:color="000000"/>
            </w:tcBorders>
            <w:noWrap/>
            <w:vAlign w:val="center"/>
          </w:tcPr>
          <w:p/>
        </w:tc>
        <w:tc>
          <w:tcPr>
            <w:tcW w:w="756" w:type="dxa"/>
            <w:vMerge/>
            <w:tcBorders>
              <w:top w:val="nil"/>
              <w:left w:val="single" w:sz="4" w:space="0" w:color="000000"/>
              <w:bottom w:val="single" w:sz="4" w:space="0" w:color="000000"/>
              <w:right w:val="single" w:sz="4" w:space="0" w:color="000000"/>
            </w:tcBorders>
            <w:noWrap/>
            <w:vAlign w:val="center"/>
          </w:tcPr>
          <w:p/>
        </w:tc>
        <w:tc>
          <w:tcPr>
            <w:tcW w:w="478" w:type="dxa"/>
            <w:vMerge/>
            <w:tcBorders>
              <w:top w:val="nil"/>
              <w:left w:val="single" w:sz="4" w:space="0" w:color="000000"/>
              <w:bottom w:val="single" w:sz="4" w:space="0" w:color="000000"/>
              <w:right w:val="single" w:sz="4" w:space="0" w:color="000000"/>
            </w:tcBorders>
            <w:noWrap/>
            <w:vAlign w:val="center"/>
          </w:tcPr>
          <w:p/>
        </w:tc>
      </w:tr>
      <w:tr>
        <w:trPr>
          <w:trHeight w:val="375"/>
        </w:trPr>
        <w:tc>
          <w:tcPr>
            <w:tcW w:w="100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总体绩效</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（65分）</w:t>
            </w:r>
          </w:p>
        </w:tc>
        <w:tc>
          <w:tcPr>
            <w:tcW w:w="1462"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履职效能</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（15分）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数量指标履职效果</w:t>
            </w:r>
          </w:p>
        </w:tc>
        <w:tc>
          <w:tcPr>
            <w:tcW w:w="720" w:type="dxa"/>
            <w:tcBorders>
              <w:top w:val="nil"/>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5</w:t>
            </w:r>
          </w:p>
        </w:tc>
        <w:tc>
          <w:tcPr>
            <w:tcW w:w="4734"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部门整体绩效目标中选定3</w:t>
            </w:r>
            <w:r>
              <w:rPr>
                <w:rFonts w:ascii="宋体" w:cs="宋体" w:hint="eastAsia"/>
                <w:i w:val="0"/>
                <w:color w:val="000000"/>
                <w:kern w:val="0"/>
                <w:sz w:val="21"/>
                <w:szCs w:val="21"/>
                <w:u w:val="none"/>
                <w:lang w:val="en-US" w:eastAsia="zh-CN"/>
              </w:rPr>
              <w:t>～</w:t>
            </w:r>
            <w:r>
              <w:rPr>
                <w:rFonts w:ascii="宋体" w:eastAsia="宋体" w:cs="宋体" w:hint="eastAsia"/>
                <w:i w:val="0"/>
                <w:color w:val="000000"/>
                <w:kern w:val="0"/>
                <w:sz w:val="21"/>
                <w:szCs w:val="21"/>
                <w:u w:val="none"/>
                <w:lang w:val="en-US" w:eastAsia="zh-CN"/>
              </w:rPr>
              <w:t>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385"/>
        </w:trPr>
        <w:tc>
          <w:tcPr>
            <w:tcW w:w="1004" w:type="dxa"/>
            <w:vMerge/>
            <w:tcBorders>
              <w:top w:val="nil"/>
              <w:left w:val="single" w:sz="4" w:space="0" w:color="000000"/>
              <w:bottom w:val="nil"/>
              <w:right w:val="single" w:sz="4" w:space="0" w:color="000000"/>
            </w:tcBorders>
            <w:noWrap/>
            <w:vAlign w:val="center"/>
          </w:tcPr>
          <w:p/>
        </w:tc>
        <w:tc>
          <w:tcPr>
            <w:tcW w:w="1462" w:type="dxa"/>
            <w:vMerge/>
            <w:tcBorders>
              <w:top w:val="nil"/>
              <w:left w:val="single" w:sz="4" w:space="0" w:color="000000"/>
              <w:bottom w:val="nil"/>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质量指标履职效果</w:t>
            </w:r>
          </w:p>
        </w:tc>
        <w:tc>
          <w:tcPr>
            <w:tcW w:w="720" w:type="dxa"/>
            <w:tcBorders>
              <w:top w:val="nil"/>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34" w:type="dxa"/>
            <w:vMerge/>
            <w:tcBorders>
              <w:top w:val="nil"/>
              <w:left w:val="single" w:sz="4" w:space="0" w:color="000000"/>
              <w:bottom w:val="nil"/>
              <w:right w:val="single" w:sz="4" w:space="0" w:color="000000"/>
            </w:tcBorders>
            <w:noWrap/>
            <w:vAlign w:val="center"/>
          </w:tcP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370"/>
        </w:trPr>
        <w:tc>
          <w:tcPr>
            <w:tcW w:w="1004" w:type="dxa"/>
            <w:vMerge/>
            <w:tcBorders>
              <w:top w:val="nil"/>
              <w:left w:val="single" w:sz="4" w:space="0" w:color="000000"/>
              <w:bottom w:val="nil"/>
              <w:right w:val="single" w:sz="4" w:space="0" w:color="000000"/>
            </w:tcBorders>
            <w:noWrap/>
            <w:vAlign w:val="center"/>
          </w:tcPr>
          <w:p/>
        </w:tc>
        <w:tc>
          <w:tcPr>
            <w:tcW w:w="1462" w:type="dxa"/>
            <w:vMerge/>
            <w:tcBorders>
              <w:top w:val="nil"/>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社会效益履职效果</w:t>
            </w:r>
          </w:p>
        </w:tc>
        <w:tc>
          <w:tcPr>
            <w:tcW w:w="720" w:type="dxa"/>
            <w:tcBorders>
              <w:top w:val="nil"/>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34" w:type="dxa"/>
            <w:vMerge/>
            <w:tcBorders>
              <w:top w:val="nil"/>
              <w:left w:val="single" w:sz="4" w:space="0" w:color="000000"/>
              <w:bottom w:val="single" w:sz="4" w:space="0" w:color="000000"/>
              <w:right w:val="single" w:sz="4" w:space="0" w:color="000000"/>
            </w:tcBorders>
            <w:noWrap/>
            <w:vAlign w:val="center"/>
          </w:tcP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365"/>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预算管理</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（25分）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预算编制质量</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8</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8</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单位收入统筹</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部门统筹自有收入程度</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支出执行进度</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6</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部门1至6月、1至10月预算执行情况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预算年终结余</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部门整体年终预算结余情况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1</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严控一般性支出</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5</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财务管理</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（10分）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财务管理制度</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部门财务管理制度建立情况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财务岗位设置</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资金使用规范</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资产管理</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（9分）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人均资产变化率</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部门人均资产变化情况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资产利用率</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部门资产超最低使用年限情况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总体绩效</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（65分）</w:t>
            </w:r>
          </w:p>
        </w:tc>
        <w:tc>
          <w:tcPr>
            <w:tcW w:w="14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资产管理</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（9分）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资产盘活率</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0</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采购管理</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（6分）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支持中小企业发展</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采购执行率</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项目绩效</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（35分）</w:t>
            </w:r>
          </w:p>
        </w:tc>
        <w:tc>
          <w:tcPr>
            <w:tcW w:w="1462"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项目决策</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（12分）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决策程序</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nil"/>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目标设置</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nil"/>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项目入库</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405"/>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项目执行</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（12分）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执行同向</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nil"/>
              <w:right w:val="single" w:sz="4" w:space="0" w:color="000000"/>
            </w:tcBorders>
            <w:noWrap/>
            <w:vAlign w:val="center"/>
          </w:tcPr>
          <w:p/>
        </w:tc>
        <w:tc>
          <w:tcPr>
            <w:tcW w:w="1665" w:type="dxa"/>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项目调整</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nil"/>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执行结果</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部门预算项目预算执行情况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目标实现</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（11分）</w:t>
            </w: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目标完成</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目标偏离</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noWrap/>
            <w:vAlign w:val="center"/>
          </w:tcPr>
          <w:p/>
        </w:tc>
        <w:tc>
          <w:tcPr>
            <w:tcW w:w="1462" w:type="dxa"/>
            <w:vMerge/>
            <w:tcBorders>
              <w:top w:val="single" w:sz="4" w:space="0" w:color="000000"/>
              <w:left w:val="single" w:sz="4" w:space="0" w:color="000000"/>
              <w:bottom w:val="single" w:sz="4" w:space="0" w:color="000000"/>
              <w:right w:val="single" w:sz="4" w:space="0" w:color="000000"/>
            </w:tcBorders>
            <w:noWrap/>
            <w:vAlign w:val="center"/>
          </w:tcPr>
          <w:p/>
        </w:tc>
        <w:tc>
          <w:tcPr>
            <w:tcW w:w="16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实现效果</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r>
        <w:trPr>
          <w:trHeight w:val="23"/>
        </w:trPr>
        <w:tc>
          <w:tcPr>
            <w:tcW w:w="100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kern w:val="0"/>
                <w:sz w:val="21"/>
                <w:szCs w:val="21"/>
                <w:u w:val="none"/>
                <w:lang w:val="en-US" w:eastAsia="zh-CN"/>
              </w:rPr>
            </w:pPr>
            <w:r>
              <w:rPr>
                <w:rFonts w:ascii="宋体" w:eastAsia="宋体" w:cs="宋体" w:hint="eastAsia"/>
                <w:b/>
                <w:i w:val="0"/>
                <w:color w:val="000000"/>
                <w:kern w:val="0"/>
                <w:sz w:val="21"/>
                <w:szCs w:val="21"/>
                <w:u w:val="none"/>
                <w:lang w:val="en-US" w:eastAsia="zh-CN"/>
              </w:rPr>
              <w:t>扣分项</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21"/>
                <w:u w:val="none"/>
              </w:rPr>
            </w:pPr>
            <w:r>
              <w:rPr>
                <w:rFonts w:ascii="宋体" w:eastAsia="宋体" w:cs="宋体" w:hint="eastAsia"/>
                <w:b/>
                <w:i w:val="0"/>
                <w:color w:val="000000"/>
                <w:kern w:val="0"/>
                <w:sz w:val="21"/>
                <w:szCs w:val="21"/>
                <w:u w:val="none"/>
                <w:lang w:val="en-US" w:eastAsia="zh-CN"/>
              </w:rPr>
              <w:t>（10分）</w:t>
            </w:r>
          </w:p>
        </w:tc>
        <w:tc>
          <w:tcPr>
            <w:tcW w:w="3127"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被评价部门配合度</w:t>
            </w:r>
          </w:p>
        </w:tc>
        <w:tc>
          <w:tcPr>
            <w:tcW w:w="7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w:t>
            </w:r>
          </w:p>
        </w:tc>
        <w:tc>
          <w:tcPr>
            <w:tcW w:w="47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21"/>
                <w:u w:val="none"/>
              </w:rPr>
            </w:pPr>
            <w:r>
              <w:rPr>
                <w:rFonts w:ascii="宋体" w:eastAsia="宋体" w:cs="宋体" w:hint="eastAsia"/>
                <w:i w:val="0"/>
                <w:color w:val="000000"/>
                <w:kern w:val="0"/>
                <w:sz w:val="21"/>
                <w:szCs w:val="21"/>
                <w:u w:val="none"/>
                <w:lang w:val="en-US" w:eastAsia="zh-CN"/>
              </w:rPr>
              <w:t>被评价对象工作配合情况</w:t>
            </w:r>
          </w:p>
        </w:tc>
        <w:tc>
          <w:tcPr>
            <w:tcW w:w="7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i w:val="0"/>
                <w:color w:val="000000"/>
                <w:kern w:val="0"/>
                <w:sz w:val="21"/>
                <w:szCs w:val="21"/>
                <w:u w:val="none"/>
                <w:lang w:val="en-US" w:eastAsia="zh-CN"/>
              </w:rPr>
            </w:pPr>
            <w:r>
              <w:rPr>
                <w:rFonts w:ascii="宋体" w:eastAsia="宋体" w:cs="宋体" w:hint="eastAsia"/>
                <w:i w:val="0"/>
                <w:color w:val="000000"/>
                <w:kern w:val="0"/>
                <w:sz w:val="21"/>
                <w:szCs w:val="21"/>
                <w:u w:val="none"/>
                <w:lang w:val="en-US" w:eastAsia="zh-CN"/>
              </w:rPr>
              <w:t>93</w:t>
            </w:r>
          </w:p>
        </w:tc>
        <w:tc>
          <w:tcPr>
            <w:tcW w:w="4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21"/>
                <w:u w:val="none"/>
                <w:lang w:val="en-US" w:eastAsia="zh-CN"/>
              </w:rPr>
            </w:pPr>
          </w:p>
        </w:tc>
      </w:tr>
    </w:tbl>
    <w:p>
      <w:pPr>
        <w:pStyle w:val="15"/>
        <w:rPr>
          <w:rFonts w:ascii="Times New Roman" w:eastAsia="黑体" w:cs="Times New Roman" w:hAnsi="Times New Roman"/>
          <w:kern w:val="2"/>
          <w:sz w:val="32"/>
          <w:szCs w:val="24"/>
          <w:lang w:val="en-US" w:eastAsia="zh-CN" w:bidi="ar-SA"/>
          <w:highlight w:val="auto"/>
        </w:rPr>
      </w:pPr>
      <w:r>
        <w:rPr>
          <w:rFonts w:ascii="Times New Roman" w:eastAsia="黑体" w:cs="Times New Roman" w:hAnsi="Times New Roman"/>
          <w:kern w:val="2"/>
          <w:sz w:val="32"/>
          <w:szCs w:val="24"/>
          <w:lang w:val="en-US" w:eastAsia="zh-CN" w:bidi="ar-SA"/>
          <w:highlight w:val="auto"/>
        </w:rPr>
        <w:t>附表</w:t>
      </w:r>
      <w:r>
        <w:rPr>
          <w:rFonts w:ascii="Times New Roman" w:eastAsia="黑体" w:cs="Times New Roman" w:hAnsi="Times New Roman" w:hint="eastAsia"/>
          <w:kern w:val="2"/>
          <w:sz w:val="32"/>
          <w:szCs w:val="24"/>
          <w:lang w:val="en-US" w:eastAsia="zh-CN" w:bidi="ar-SA"/>
          <w:highlight w:val="auto"/>
        </w:rPr>
        <w:t>2</w:t>
      </w:r>
    </w:p>
    <w:tbl>
      <w:tblPr>
        <w:jc w:val="center"/>
        <w:tblW w:w="105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1309"/>
        <w:gridCol w:w="1347"/>
        <w:gridCol w:w="1273"/>
        <w:gridCol w:w="1112"/>
        <w:gridCol w:w="1132"/>
        <w:gridCol w:w="1"/>
        <w:gridCol w:w="1289"/>
        <w:gridCol w:w="1058"/>
        <w:gridCol w:w="926"/>
        <w:gridCol w:w="1113"/>
      </w:tblGrid>
      <w:tr>
        <w:trPr>
          <w:trHeight w:hRule="exact" w:val="762"/>
        </w:trPr>
        <w:tc>
          <w:tcPr>
            <w:tcW w:w="10560" w:type="dxa"/>
            <w:gridSpan w:val="10"/>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i w:val="0"/>
                <w:color w:val="000000"/>
                <w:sz w:val="28"/>
                <w:szCs w:val="28"/>
                <w:u w:val="none"/>
              </w:rPr>
            </w:pPr>
            <w:r>
              <w:rPr>
                <w:rFonts w:ascii="Times New Roman" w:eastAsia="方正小标宋简体" w:cs="Times New Roman" w:hAnsi="Times New Roman"/>
                <w:i w:val="0"/>
                <w:color w:val="000000"/>
                <w:kern w:val="0"/>
                <w:sz w:val="44"/>
                <w:szCs w:val="44"/>
                <w:u w:val="none"/>
                <w:lang w:val="en-US" w:eastAsia="zh-CN"/>
              </w:rPr>
              <w:t>部门整体绩效目标完成情况自评表</w:t>
            </w:r>
          </w:p>
        </w:tc>
      </w:tr>
      <w:tr>
        <w:trPr>
          <w:trHeight w:val="23"/>
        </w:trPr>
        <w:tc>
          <w:tcPr>
            <w:tcW w:w="10560" w:type="dxa"/>
            <w:gridSpan w:val="10"/>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rPr>
              <w:t>（202</w:t>
            </w:r>
            <w:r>
              <w:rPr>
                <w:rFonts w:eastAsia="宋体" w:cs="Times New Roman" w:hint="eastAsia"/>
                <w:i w:val="0"/>
                <w:color w:val="000000"/>
                <w:kern w:val="0"/>
                <w:sz w:val="28"/>
                <w:szCs w:val="28"/>
                <w:u w:val="none"/>
                <w:lang w:val="en-US" w:eastAsia="zh-CN"/>
              </w:rPr>
              <w:t>4</w:t>
            </w:r>
            <w:r>
              <w:rPr>
                <w:rFonts w:ascii="Times New Roman" w:eastAsia="宋体" w:cs="Times New Roman" w:hAnsi="Times New Roman"/>
                <w:i w:val="0"/>
                <w:color w:val="000000"/>
                <w:kern w:val="0"/>
                <w:sz w:val="28"/>
                <w:szCs w:val="28"/>
                <w:u w:val="none"/>
                <w:lang w:val="en-US" w:eastAsia="zh-CN"/>
              </w:rPr>
              <w:t>年度）</w:t>
            </w:r>
          </w:p>
        </w:tc>
      </w:tr>
      <w:tr>
        <w:trPr>
          <w:trHeight w:val="23"/>
        </w:trPr>
        <w:tc>
          <w:tcPr>
            <w:tcW w:w="10560" w:type="dxa"/>
            <w:gridSpan w:val="10"/>
            <w:tcBorders>
              <w:top w:val="nil"/>
              <w:left w:val="nil"/>
              <w:bottom w:val="single" w:sz="4" w:space="0" w:color="00000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部门名称</w:t>
            </w:r>
          </w:p>
        </w:tc>
        <w:tc>
          <w:tcPr>
            <w:tcW w:w="6631" w:type="dxa"/>
            <w:gridSpan w:val="7"/>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金川县人大常委会</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资金总额</w:t>
            </w:r>
          </w:p>
        </w:tc>
        <w:tc>
          <w:tcPr>
            <w:tcW w:w="2244"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财政拨款</w:t>
            </w:r>
          </w:p>
        </w:tc>
        <w:tc>
          <w:tcPr>
            <w:tcW w:w="4387"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其他资金</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946.35</w:t>
            </w:r>
          </w:p>
        </w:tc>
        <w:tc>
          <w:tcPr>
            <w:tcW w:w="2244"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946.35</w:t>
            </w:r>
          </w:p>
        </w:tc>
        <w:tc>
          <w:tcPr>
            <w:tcW w:w="4387"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p>
        </w:tc>
      </w:tr>
      <w:tr>
        <w:trPr>
          <w:trHeight w:val="23"/>
        </w:trPr>
        <w:tc>
          <w:tcPr>
            <w:tcW w:w="13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目标</w:t>
            </w:r>
          </w:p>
        </w:tc>
        <w:tc>
          <w:tcPr>
            <w:tcW w:w="9251"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rPr>
              <w:t>为“三会”（人民代表大会、常委会、主任会）</w:t>
            </w:r>
            <w:r>
              <w:rPr>
                <w:rFonts w:ascii="宋体" w:cs="宋体" w:hint="eastAsia"/>
                <w:i w:val="0"/>
                <w:iCs w:val="0"/>
                <w:color w:val="000000"/>
                <w:kern w:val="0"/>
                <w:sz w:val="18"/>
                <w:szCs w:val="18"/>
                <w:u w:val="none"/>
                <w:lang w:val="en-US" w:eastAsia="zh-CN"/>
              </w:rPr>
              <w:t>做好</w:t>
            </w:r>
            <w:r>
              <w:rPr>
                <w:rFonts w:ascii="宋体" w:eastAsia="宋体" w:cs="宋体"/>
                <w:i w:val="0"/>
                <w:iCs w:val="0"/>
                <w:color w:val="000000"/>
                <w:kern w:val="0"/>
                <w:sz w:val="18"/>
                <w:szCs w:val="18"/>
                <w:u w:val="none"/>
                <w:lang w:val="en-US" w:eastAsia="zh-CN"/>
              </w:rPr>
              <w:t>服务工作</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根据县人民代表大会常务委员会的工作计划，对县人民政府、县人民法院、县人民检察院提请县人民代表大会常务委员会审议的有关议题和工作报告进行调查研究和初步审查，向常务委员会提出调查报告和初审意见。拟订和修改有关的决议、决定和审查意见</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加强同县人民政府及其工作部门和县人民法院、县人民检察院的联系。对所联系部门和单位贯彻执行宪法、法律、法规和县人民代表大会及其常务委员会的决议、决定和审议意见的情况进行检查，向常务委员会提出检查情况的报告</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根据工作需要，听取县人民政府所属工作部门、县人民法院、县人民检察院的有关专题汇报，了解情况，提出建议和意见</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对属于县人民代表大会及其常务委员会职权范围内的有关问题进行调查研究，向县人民代表大会主席团或常务委员会提出专题调查报告和建议</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配合上级人民代表大会及其常务委员会做好立法调研和执法检查工作。对上级人民代表大会及其常务委员会发来征求意见的法律法规草案进行调查和组织有关部门、单位征求修改意见，并及时上报</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联系县人民代表大会代表，办理人民群众提出的申诉和意见，认真做好人大代表和人民群众来信来访工作</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办理县人民代表大会及其常务委员会和主任会议交办的其他事项。</w:t>
            </w:r>
          </w:p>
        </w:tc>
      </w:tr>
      <w:tr>
        <w:trPr>
          <w:trHeight w:val="23"/>
        </w:trPr>
        <w:tc>
          <w:tcPr>
            <w:tcW w:w="1309" w:type="dxa"/>
            <w:vMerge w:val="restart"/>
            <w:tcBorders>
              <w:top w:val="single" w:sz="4" w:space="0" w:color="auto"/>
              <w:left w:val="single" w:sz="4" w:space="0" w:color="auto"/>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w:t>
            </w:r>
          </w:p>
        </w:tc>
        <w:tc>
          <w:tcPr>
            <w:tcW w:w="2620" w:type="dxa"/>
            <w:gridSpan w:val="2"/>
            <w:tcBorders>
              <w:top w:val="single" w:sz="4" w:space="0" w:color="auto"/>
              <w:left w:val="single" w:sz="4" w:space="0" w:color="000000"/>
              <w:bottom w:val="single" w:sz="4" w:space="0" w:color="000000"/>
              <w:right w:val="single" w:sz="4" w:space="0" w:color="auto"/>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任务名称</w:t>
            </w:r>
          </w:p>
        </w:tc>
        <w:tc>
          <w:tcPr>
            <w:tcW w:w="6631" w:type="dxa"/>
            <w:gridSpan w:val="7"/>
            <w:tcBorders>
              <w:top w:val="single" w:sz="4" w:space="0" w:color="000000"/>
              <w:left w:val="single" w:sz="4" w:space="0" w:color="auto"/>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主要内容</w:t>
            </w:r>
          </w:p>
        </w:tc>
      </w:tr>
      <w:tr>
        <w:trPr>
          <w:trHeight w:val="23"/>
        </w:trPr>
        <w:tc>
          <w:tcPr>
            <w:tcW w:w="1309" w:type="dxa"/>
            <w:vMerge/>
            <w:tcBorders>
              <w:top w:val="nil"/>
              <w:left w:val="single" w:sz="4" w:space="0" w:color="auto"/>
              <w:bottom w:val="nil"/>
              <w:right w:val="single" w:sz="4" w:space="0" w:color="000000"/>
            </w:tcBorders>
            <w:noWrap/>
            <w:vAlign w:val="center"/>
          </w:tcPr>
          <w:p/>
        </w:tc>
        <w:tc>
          <w:tcPr>
            <w:tcW w:w="2620" w:type="dxa"/>
            <w:gridSpan w:val="2"/>
            <w:tcBorders>
              <w:top w:val="single" w:sz="4" w:space="0" w:color="000000"/>
              <w:left w:val="single" w:sz="4" w:space="0" w:color="000000"/>
              <w:bottom w:val="single" w:sz="4" w:space="0" w:color="000000"/>
              <w:right w:val="single" w:sz="4" w:space="0" w:color="auto"/>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代表活动</w:t>
            </w:r>
          </w:p>
        </w:tc>
        <w:tc>
          <w:tcPr>
            <w:tcW w:w="6631" w:type="dxa"/>
            <w:gridSpan w:val="7"/>
            <w:tcBorders>
              <w:top w:val="single" w:sz="4" w:space="0" w:color="000000"/>
              <w:left w:val="single" w:sz="4" w:space="0" w:color="auto"/>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rPr>
              <w:t>负责常委会与各级人大代表的联络工作，承办常委会代表资格审查委员会的日常工作。负责联系和组织各级人大代表开展视察和专题调研活动。负责人大代表提出的议案及代表建议、批评和意见的交办、转办、督办、考察交流等工作。负责人大代表和各级人大干部的学习培训。</w:t>
            </w:r>
          </w:p>
        </w:tc>
      </w:tr>
      <w:tr>
        <w:trPr>
          <w:trHeight w:val="23"/>
        </w:trPr>
        <w:tc>
          <w:tcPr>
            <w:tcW w:w="1309" w:type="dxa"/>
            <w:vMerge/>
            <w:tcBorders>
              <w:top w:val="nil"/>
              <w:left w:val="single" w:sz="4" w:space="0" w:color="auto"/>
              <w:bottom w:val="nil"/>
              <w:right w:val="single" w:sz="4" w:space="0" w:color="000000"/>
            </w:tcBorders>
            <w:noWrap/>
            <w:vAlign w:val="center"/>
          </w:tcPr>
          <w:p/>
        </w:tc>
        <w:tc>
          <w:tcPr>
            <w:tcW w:w="2620" w:type="dxa"/>
            <w:gridSpan w:val="2"/>
            <w:tcBorders>
              <w:top w:val="single" w:sz="4" w:space="0" w:color="000000"/>
              <w:left w:val="single" w:sz="4" w:space="0" w:color="000000"/>
              <w:bottom w:val="single" w:sz="4" w:space="0" w:color="000000"/>
              <w:right w:val="single" w:sz="4" w:space="0" w:color="auto"/>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人大监督</w:t>
            </w:r>
          </w:p>
        </w:tc>
        <w:tc>
          <w:tcPr>
            <w:tcW w:w="6631" w:type="dxa"/>
            <w:gridSpan w:val="7"/>
            <w:tcBorders>
              <w:top w:val="single" w:sz="4" w:space="0" w:color="000000"/>
              <w:left w:val="single" w:sz="4" w:space="0" w:color="auto"/>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rPr>
              <w:t>听取和审议县人民政府、县人民法院和县人民检察院有关专项工作报告；审查和批准决算，听取和审议国民经济和社会发展计划、预算的执行情况报告，听取和审议审计报告；开展县人大常委会执法检查工作；开展规范性文件备案审查工作；开展特定问题调查；开展专题询问；撤职案的审议和决定；承办县人大常委会和主任会议交办的其他事项。受理人民群众来信来访，向常委会领导报告来信来访中提出的重要建议和反映的重要问题，并负责催办督办。</w:t>
            </w:r>
          </w:p>
        </w:tc>
      </w:tr>
      <w:tr>
        <w:trPr>
          <w:trHeight w:val="23"/>
        </w:trPr>
        <w:tc>
          <w:tcPr>
            <w:tcW w:w="1309" w:type="dxa"/>
            <w:vMerge/>
            <w:tcBorders>
              <w:top w:val="nil"/>
              <w:left w:val="single" w:sz="4" w:space="0" w:color="auto"/>
              <w:bottom w:val="nil"/>
              <w:right w:val="single" w:sz="4" w:space="0" w:color="000000"/>
            </w:tcBorders>
            <w:noWrap/>
            <w:vAlign w:val="center"/>
          </w:tcPr>
          <w:p/>
        </w:tc>
        <w:tc>
          <w:tcPr>
            <w:tcW w:w="2620" w:type="dxa"/>
            <w:gridSpan w:val="2"/>
            <w:tcBorders>
              <w:top w:val="single" w:sz="4" w:space="0" w:color="000000"/>
              <w:left w:val="single" w:sz="4" w:space="0" w:color="000000"/>
              <w:bottom w:val="single" w:sz="4" w:space="0" w:color="000000"/>
              <w:right w:val="single" w:sz="4" w:space="0" w:color="auto"/>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召开会议</w:t>
            </w:r>
          </w:p>
        </w:tc>
        <w:tc>
          <w:tcPr>
            <w:tcW w:w="6631" w:type="dxa"/>
            <w:gridSpan w:val="7"/>
            <w:tcBorders>
              <w:top w:val="single" w:sz="4" w:space="0" w:color="000000"/>
              <w:left w:val="single" w:sz="4" w:space="0" w:color="auto"/>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宋体" w:eastAsia="宋体" w:cs="宋体"/>
                <w:i w:val="0"/>
                <w:iCs w:val="0"/>
                <w:color w:val="000000"/>
                <w:kern w:val="0"/>
                <w:sz w:val="18"/>
                <w:szCs w:val="18"/>
                <w:u w:val="none"/>
                <w:lang w:val="en-US" w:eastAsia="zh-CN"/>
              </w:rPr>
            </w:pPr>
            <w:r>
              <w:rPr>
                <w:rFonts w:ascii="宋体" w:eastAsia="宋体" w:cs="宋体"/>
                <w:i w:val="0"/>
                <w:iCs w:val="0"/>
                <w:color w:val="000000"/>
                <w:kern w:val="0"/>
                <w:sz w:val="18"/>
                <w:szCs w:val="18"/>
                <w:u w:val="none"/>
                <w:lang w:val="en-US" w:eastAsia="zh-CN"/>
              </w:rPr>
              <w:t>负责县人代会及人大常委会会议准备、组织实施、领导活动安排。</w:t>
            </w:r>
          </w:p>
        </w:tc>
      </w:tr>
      <w:tr>
        <w:trPr>
          <w:trHeight w:val="23"/>
        </w:trPr>
        <w:tc>
          <w:tcPr>
            <w:tcW w:w="1309" w:type="dxa"/>
            <w:vMerge/>
            <w:tcBorders>
              <w:top w:val="nil"/>
              <w:left w:val="single" w:sz="4" w:space="0" w:color="auto"/>
              <w:bottom w:val="single" w:sz="4" w:space="0" w:color="auto"/>
              <w:right w:val="single" w:sz="4" w:space="0" w:color="000000"/>
            </w:tcBorders>
            <w:noWrap/>
            <w:vAlign w:val="center"/>
          </w:tcPr>
          <w:p/>
        </w:tc>
        <w:tc>
          <w:tcPr>
            <w:tcW w:w="2620" w:type="dxa"/>
            <w:gridSpan w:val="2"/>
            <w:tcBorders>
              <w:top w:val="single" w:sz="4" w:space="0" w:color="000000"/>
              <w:left w:val="single" w:sz="4" w:space="0" w:color="000000"/>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综合管理</w:t>
            </w:r>
          </w:p>
        </w:tc>
        <w:tc>
          <w:tcPr>
            <w:tcW w:w="6631" w:type="dxa"/>
            <w:gridSpan w:val="7"/>
            <w:tcBorders>
              <w:top w:val="single" w:sz="4" w:space="0" w:color="000000"/>
              <w:left w:val="single" w:sz="4" w:space="0" w:color="auto"/>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kern w:val="2"/>
                <w:sz w:val="18"/>
                <w:szCs w:val="18"/>
                <w:u w:val="none"/>
                <w:lang w:val="en-US" w:eastAsia="zh-CN" w:bidi="ar-SA"/>
              </w:rPr>
            </w:pPr>
            <w:r>
              <w:rPr>
                <w:rFonts w:ascii="宋体" w:eastAsia="宋体" w:cs="宋体"/>
                <w:i w:val="0"/>
                <w:iCs w:val="0"/>
                <w:color w:val="000000"/>
                <w:kern w:val="0"/>
                <w:sz w:val="18"/>
                <w:szCs w:val="18"/>
                <w:u w:val="none"/>
                <w:lang w:val="en-US" w:eastAsia="zh-CN"/>
              </w:rPr>
              <w:t>负责办理人大常委会会议和主任会议；围绕各委、室职责，听取有关部门的工作报告，开展调查研究，提出意见和建议；开展相关业务工作研讨、形势分析和座谈，提出报告和建议，承办县人大常委会和主任会议交办的其他事项。负责协调和安排县人大常委会领导政务活动；根据领导要求起草领导讲话和其他综合性文稿。负责县人大常委会机关公文收发和机要保密、档案管理工作。负责县人大及其常委会通过的法规和决定、决议的上报备案工作。负责同州人大和各县人大的工作联系；负责与县内各乡镇人大的联系与指导工作。承办县人大常委会及主任会议交办的其他事项。本单位自身无法归类到上述职能的一般性工作。</w:t>
            </w:r>
          </w:p>
        </w:tc>
      </w:tr>
      <w:tr>
        <w:trPr>
          <w:trHeight w:val="23"/>
        </w:trPr>
        <w:tc>
          <w:tcPr>
            <w:tcW w:w="1309" w:type="dxa"/>
            <w:vMerge w:val="restart"/>
            <w:tcBorders>
              <w:top w:val="single" w:sz="4" w:space="0" w:color="auto"/>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347" w:type="dxa"/>
            <w:tcBorders>
              <w:top w:val="single" w:sz="4" w:space="0" w:color="auto"/>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一级指标</w:t>
            </w:r>
          </w:p>
        </w:tc>
        <w:tc>
          <w:tcPr>
            <w:tcW w:w="1273" w:type="dxa"/>
            <w:tcBorders>
              <w:top w:val="single" w:sz="4" w:space="0" w:color="auto"/>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二级指标</w:t>
            </w:r>
          </w:p>
        </w:tc>
        <w:tc>
          <w:tcPr>
            <w:tcW w:w="111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三级指标</w:t>
            </w:r>
          </w:p>
        </w:tc>
        <w:tc>
          <w:tcPr>
            <w:tcW w:w="1133"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性质</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绩效指标值</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绩效度量单位</w:t>
            </w:r>
          </w:p>
        </w:tc>
        <w:tc>
          <w:tcPr>
            <w:tcW w:w="926" w:type="dxa"/>
            <w:tcBorders>
              <w:top w:val="single" w:sz="4" w:space="0" w:color="000000"/>
              <w:left w:val="single" w:sz="4" w:space="0" w:color="000000"/>
              <w:bottom w:val="single" w:sz="4" w:space="0" w:color="00000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权重</w:t>
            </w:r>
          </w:p>
        </w:tc>
        <w:tc>
          <w:tcPr>
            <w:tcW w:w="111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指标值</w:t>
            </w:r>
          </w:p>
        </w:tc>
      </w:tr>
      <w:tr>
        <w:trPr>
          <w:trHeight w:val="23"/>
        </w:trPr>
        <w:tc>
          <w:tcPr>
            <w:tcW w:w="1309" w:type="dxa"/>
            <w:vMerge/>
            <w:tcBorders>
              <w:top w:val="nil"/>
              <w:left w:val="single" w:sz="4" w:space="0" w:color="000000"/>
              <w:bottom w:val="nil"/>
              <w:right w:val="single" w:sz="4" w:space="0" w:color="000000"/>
            </w:tcBorders>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产出指标</w:t>
            </w:r>
          </w:p>
        </w:tc>
        <w:tc>
          <w:tcPr>
            <w:tcW w:w="1273"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数量指标</w:t>
            </w:r>
          </w:p>
        </w:tc>
        <w:tc>
          <w:tcPr>
            <w:tcW w:w="111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听取审议报告次数</w:t>
            </w:r>
          </w:p>
        </w:tc>
        <w:tc>
          <w:tcPr>
            <w:tcW w:w="1133"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sz w:val="24"/>
                <w:szCs w:val="24"/>
                <w:u w:val="none"/>
                <w:lang w:eastAsia="zh-CN"/>
              </w:rPr>
            </w:pPr>
            <w:r>
              <w:rPr>
                <w:rFonts w:ascii="宋体" w:eastAsia="宋体" w:cs="宋体"/>
                <w:i w:val="0"/>
                <w:iCs w:val="0"/>
                <w:color w:val="000000"/>
                <w:kern w:val="0"/>
                <w:sz w:val="18"/>
                <w:szCs w:val="18"/>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12</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次</w:t>
            </w: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10</w:t>
            </w:r>
          </w:p>
        </w:tc>
        <w:tc>
          <w:tcPr>
            <w:tcW w:w="1113" w:type="dxa"/>
            <w:tcBorders>
              <w:top w:val="nil"/>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12</w:t>
            </w:r>
          </w:p>
        </w:tc>
      </w:tr>
      <w:tr>
        <w:trPr>
          <w:trHeight w:val="23"/>
        </w:trPr>
        <w:tc>
          <w:tcPr>
            <w:tcW w:w="1309" w:type="dxa"/>
            <w:vMerge/>
            <w:tcBorders>
              <w:top w:val="nil"/>
              <w:left w:val="single" w:sz="4" w:space="0" w:color="000000"/>
              <w:bottom w:val="nil"/>
              <w:right w:val="single" w:sz="4" w:space="0" w:color="000000"/>
            </w:tcBorders>
            <w:noWrap/>
            <w:vAlign w:val="center"/>
          </w:tcPr>
          <w:p/>
        </w:tc>
        <w:tc>
          <w:tcPr>
            <w:tcW w:w="1347" w:type="dxa"/>
            <w:vMerge/>
            <w:tcBorders>
              <w:top w:val="single" w:sz="4" w:space="0" w:color="000000"/>
              <w:left w:val="single" w:sz="4" w:space="0" w:color="000000"/>
              <w:bottom w:val="single" w:sz="4" w:space="0" w:color="000000"/>
              <w:right w:val="single" w:sz="4" w:space="0" w:color="000000"/>
            </w:tcBorders>
            <w:noWrap/>
            <w:vAlign w:val="center"/>
          </w:tcPr>
          <w:p/>
        </w:tc>
        <w:tc>
          <w:tcPr>
            <w:tcW w:w="1273" w:type="dxa"/>
            <w:vMerge/>
            <w:tcBorders>
              <w:top w:val="nil"/>
              <w:left w:val="single" w:sz="4" w:space="0" w:color="000000"/>
              <w:bottom w:val="nil"/>
              <w:right w:val="single" w:sz="4" w:space="0" w:color="000000"/>
            </w:tcBorders>
            <w:noWrap/>
            <w:vAlign w:val="center"/>
          </w:tcPr>
          <w:p/>
        </w:tc>
        <w:tc>
          <w:tcPr>
            <w:tcW w:w="111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组织监督、视察人次</w:t>
            </w:r>
          </w:p>
        </w:tc>
        <w:tc>
          <w:tcPr>
            <w:tcW w:w="1133"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人次</w:t>
            </w: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110</w:t>
            </w:r>
          </w:p>
        </w:tc>
      </w:tr>
      <w:tr>
        <w:trPr>
          <w:trHeight w:val="23"/>
        </w:trPr>
        <w:tc>
          <w:tcPr>
            <w:tcW w:w="1309" w:type="dxa"/>
            <w:vMerge/>
            <w:tcBorders>
              <w:top w:val="nil"/>
              <w:left w:val="single" w:sz="4" w:space="0" w:color="000000"/>
              <w:bottom w:val="nil"/>
              <w:right w:val="single" w:sz="4" w:space="0" w:color="000000"/>
            </w:tcBorders>
            <w:noWrap/>
            <w:vAlign w:val="center"/>
          </w:tcPr>
          <w:p/>
        </w:tc>
        <w:tc>
          <w:tcPr>
            <w:tcW w:w="1347" w:type="dxa"/>
            <w:vMerge/>
            <w:tcBorders>
              <w:top w:val="single" w:sz="4" w:space="0" w:color="000000"/>
              <w:left w:val="single" w:sz="4" w:space="0" w:color="000000"/>
              <w:bottom w:val="single" w:sz="4" w:space="0" w:color="000000"/>
              <w:right w:val="single" w:sz="4" w:space="0" w:color="000000"/>
            </w:tcBorders>
            <w:noWrap/>
            <w:vAlign w:val="center"/>
          </w:tcPr>
          <w:p/>
        </w:tc>
        <w:tc>
          <w:tcPr>
            <w:tcW w:w="1273" w:type="dxa"/>
            <w:vMerge/>
            <w:tcBorders>
              <w:top w:val="nil"/>
              <w:left w:val="single" w:sz="4" w:space="0" w:color="000000"/>
              <w:bottom w:val="nil"/>
              <w:right w:val="single" w:sz="4" w:space="0" w:color="000000"/>
            </w:tcBorders>
            <w:noWrap/>
            <w:vAlign w:val="center"/>
          </w:tcPr>
          <w:p/>
        </w:tc>
        <w:tc>
          <w:tcPr>
            <w:tcW w:w="111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组织人大代表培训次数</w:t>
            </w:r>
          </w:p>
        </w:tc>
        <w:tc>
          <w:tcPr>
            <w:tcW w:w="1133"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 xml:space="preserve">    3</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 xml:space="preserve">   批次</w:t>
            </w: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10</w:t>
            </w:r>
          </w:p>
        </w:tc>
        <w:tc>
          <w:tcPr>
            <w:tcW w:w="111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 xml:space="preserve"> </w:t>
            </w:r>
            <w:r>
              <w:rPr>
                <w:rFonts w:ascii="Times New Roman" w:eastAsia="宋体" w:cs="Times New Roman" w:hAnsi="Times New Roman" w:hint="eastAsia"/>
                <w:i w:val="0"/>
                <w:color w:val="000000"/>
                <w:sz w:val="24"/>
                <w:szCs w:val="24"/>
                <w:u w:val="none"/>
                <w:lang w:val="en-US" w:eastAsia="zh-CN"/>
              </w:rPr>
              <w:t xml:space="preserve"> </w:t>
            </w:r>
            <w:r>
              <w:rPr>
                <w:rFonts w:ascii="Times New Roman" w:eastAsia="宋体" w:cs="Times New Roman" w:hAnsi="Times New Roman"/>
                <w:i w:val="0"/>
                <w:color w:val="000000"/>
                <w:sz w:val="24"/>
                <w:szCs w:val="24"/>
                <w:u w:val="none"/>
              </w:rPr>
              <w:t xml:space="preserve"> 3</w:t>
            </w:r>
          </w:p>
        </w:tc>
      </w:tr>
      <w:tr>
        <w:trPr>
          <w:trHeight w:val="23"/>
        </w:trPr>
        <w:tc>
          <w:tcPr>
            <w:tcW w:w="1309" w:type="dxa"/>
            <w:vMerge/>
            <w:tcBorders>
              <w:top w:val="nil"/>
              <w:left w:val="single" w:sz="4" w:space="0" w:color="000000"/>
              <w:bottom w:val="nil"/>
              <w:right w:val="single" w:sz="4" w:space="0" w:color="000000"/>
            </w:tcBorders>
            <w:noWrap/>
            <w:vAlign w:val="center"/>
          </w:tcPr>
          <w:p/>
        </w:tc>
        <w:tc>
          <w:tcPr>
            <w:tcW w:w="1347" w:type="dxa"/>
            <w:vMerge/>
            <w:tcBorders>
              <w:top w:val="single" w:sz="4" w:space="0" w:color="000000"/>
              <w:left w:val="single" w:sz="4" w:space="0" w:color="000000"/>
              <w:bottom w:val="single" w:sz="4" w:space="0" w:color="000000"/>
              <w:right w:val="single" w:sz="4" w:space="0" w:color="000000"/>
            </w:tcBorders>
            <w:noWrap/>
            <w:vAlign w:val="center"/>
          </w:tcPr>
          <w:p/>
        </w:tc>
        <w:tc>
          <w:tcPr>
            <w:tcW w:w="127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质量指标</w:t>
            </w:r>
          </w:p>
        </w:tc>
        <w:tc>
          <w:tcPr>
            <w:tcW w:w="111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推动化解信访案件数</w:t>
            </w:r>
          </w:p>
        </w:tc>
        <w:tc>
          <w:tcPr>
            <w:tcW w:w="1133"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2</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件 </w:t>
            </w: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2</w:t>
            </w:r>
          </w:p>
        </w:tc>
      </w:tr>
      <w:tr>
        <w:trPr>
          <w:trHeight w:val="23"/>
        </w:trPr>
        <w:tc>
          <w:tcPr>
            <w:tcW w:w="1309" w:type="dxa"/>
            <w:vMerge/>
            <w:tcBorders>
              <w:top w:val="nil"/>
              <w:left w:val="single" w:sz="4" w:space="0" w:color="000000"/>
              <w:bottom w:val="nil"/>
              <w:right w:val="single" w:sz="4" w:space="0" w:color="000000"/>
            </w:tcBorders>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效益指标</w:t>
            </w:r>
          </w:p>
        </w:tc>
        <w:tc>
          <w:tcPr>
            <w:tcW w:w="1273" w:type="dxa"/>
            <w:vMerge w:val="restart"/>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11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保障代表活动顺利开展</w:t>
            </w:r>
          </w:p>
        </w:tc>
        <w:tc>
          <w:tcPr>
            <w:tcW w:w="1133"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定性</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优</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优</w:t>
            </w:r>
          </w:p>
        </w:tc>
      </w:tr>
      <w:tr>
        <w:trPr>
          <w:trHeight w:val="23"/>
        </w:trPr>
        <w:tc>
          <w:tcPr>
            <w:tcW w:w="1309" w:type="dxa"/>
            <w:vMerge/>
            <w:tcBorders>
              <w:top w:val="nil"/>
              <w:left w:val="single" w:sz="4" w:space="0" w:color="000000"/>
              <w:bottom w:val="nil"/>
              <w:right w:val="single" w:sz="4" w:space="0" w:color="000000"/>
            </w:tcBorders>
            <w:noWrap/>
            <w:vAlign w:val="center"/>
          </w:tcPr>
          <w:p/>
        </w:tc>
        <w:tc>
          <w:tcPr>
            <w:tcW w:w="1347" w:type="dxa"/>
            <w:vMerge/>
            <w:tcBorders>
              <w:top w:val="single" w:sz="4" w:space="0" w:color="000000"/>
              <w:left w:val="single" w:sz="4" w:space="0" w:color="000000"/>
              <w:bottom w:val="single" w:sz="4" w:space="0" w:color="000000"/>
              <w:right w:val="single" w:sz="4" w:space="0" w:color="000000"/>
            </w:tcBorders>
            <w:noWrap/>
            <w:vAlign w:val="center"/>
          </w:tcPr>
          <w:p/>
        </w:tc>
        <w:tc>
          <w:tcPr>
            <w:tcW w:w="1273" w:type="dxa"/>
            <w:vMerge/>
            <w:tcBorders>
              <w:top w:val="single" w:sz="4" w:space="0" w:color="000000"/>
              <w:left w:val="single" w:sz="4" w:space="0" w:color="000000"/>
              <w:bottom w:val="nil"/>
              <w:right w:val="single" w:sz="4" w:space="0" w:color="000000"/>
            </w:tcBorders>
            <w:noWrap/>
            <w:vAlign w:val="center"/>
          </w:tcPr>
          <w:p/>
        </w:tc>
        <w:tc>
          <w:tcPr>
            <w:tcW w:w="111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提高人大代表建言献策的水平</w:t>
            </w:r>
          </w:p>
        </w:tc>
        <w:tc>
          <w:tcPr>
            <w:tcW w:w="1133"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定性</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优</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优</w:t>
            </w:r>
          </w:p>
        </w:tc>
      </w:tr>
      <w:tr>
        <w:trPr>
          <w:trHeight w:val="23"/>
        </w:trPr>
        <w:tc>
          <w:tcPr>
            <w:tcW w:w="1309" w:type="dxa"/>
            <w:vMerge/>
            <w:tcBorders>
              <w:top w:val="nil"/>
              <w:left w:val="single" w:sz="4" w:space="0" w:color="000000"/>
              <w:bottom w:val="nil"/>
              <w:right w:val="single" w:sz="4" w:space="0" w:color="000000"/>
            </w:tcBorders>
            <w:noWrap/>
            <w:vAlign w:val="center"/>
          </w:tcPr>
          <w:p/>
        </w:tc>
        <w:tc>
          <w:tcPr>
            <w:tcW w:w="13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27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11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服务代表工作满意度</w:t>
            </w:r>
          </w:p>
        </w:tc>
        <w:tc>
          <w:tcPr>
            <w:tcW w:w="1133"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w:t>
            </w:r>
            <w:r>
              <w:rPr>
                <w:rFonts w:ascii="宋体" w:eastAsia="宋体" w:cs="宋体"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20</w:t>
            </w:r>
          </w:p>
        </w:tc>
        <w:tc>
          <w:tcPr>
            <w:tcW w:w="111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98</w:t>
            </w:r>
          </w:p>
        </w:tc>
      </w:tr>
      <w:tr>
        <w:trPr>
          <w:trHeight w:val="23"/>
        </w:trPr>
        <w:tc>
          <w:tcPr>
            <w:tcW w:w="1309" w:type="dxa"/>
            <w:vMerge/>
            <w:tcBorders>
              <w:top w:val="nil"/>
              <w:left w:val="single" w:sz="4" w:space="0" w:color="000000"/>
              <w:bottom w:val="single" w:sz="4" w:space="0" w:color="000000"/>
              <w:right w:val="single" w:sz="4" w:space="0" w:color="000000"/>
            </w:tcBorders>
            <w:noWrap/>
            <w:vAlign w:val="center"/>
          </w:tcPr>
          <w:p/>
        </w:tc>
        <w:tc>
          <w:tcPr>
            <w:tcW w:w="13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成本指标</w:t>
            </w:r>
          </w:p>
        </w:tc>
        <w:tc>
          <w:tcPr>
            <w:tcW w:w="127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经济成本指标</w:t>
            </w:r>
          </w:p>
        </w:tc>
        <w:tc>
          <w:tcPr>
            <w:tcW w:w="111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县代表年度人均支出标准</w:t>
            </w:r>
          </w:p>
        </w:tc>
        <w:tc>
          <w:tcPr>
            <w:tcW w:w="1133"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宋体" w:eastAsia="宋体" w:cs="宋体"/>
                <w:i w:val="0"/>
                <w:iCs w:val="0"/>
                <w:color w:val="000000"/>
                <w:kern w:val="0"/>
                <w:sz w:val="18"/>
                <w:szCs w:val="18"/>
                <w:u w:val="none"/>
                <w:lang w:val="en-US" w:eastAsia="zh-CN"/>
              </w:rPr>
            </w:pPr>
            <w:r>
              <w:rPr>
                <w:rFonts w:ascii="宋体" w:eastAsia="宋体" w:cs="宋体"/>
                <w:i w:val="0"/>
                <w:iCs w:val="0"/>
                <w:color w:val="000000"/>
                <w:kern w:val="0"/>
                <w:sz w:val="18"/>
                <w:szCs w:val="18"/>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1000</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元</w:t>
            </w: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20</w:t>
            </w:r>
          </w:p>
        </w:tc>
        <w:tc>
          <w:tcPr>
            <w:tcW w:w="111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hint="eastAsia"/>
                <w:i w:val="0"/>
                <w:color w:val="000000"/>
                <w:sz w:val="24"/>
                <w:szCs w:val="24"/>
                <w:u w:val="none"/>
                <w:lang w:val="en-US" w:eastAsia="zh-CN"/>
              </w:rPr>
              <w:t xml:space="preserve">   1000</w:t>
            </w:r>
          </w:p>
        </w:tc>
      </w:tr>
    </w:tbl>
    <w:p>
      <w:pPr>
        <w:rPr>
          <w:rFonts w:ascii="Times New Roman" w:eastAsia="黑体" w:cs="Times New Roman" w:hAnsi="Times New Roman" w:hint="eastAsia"/>
          <w:b w:val="0"/>
          <w:kern w:val="2"/>
          <w:sz w:val="28"/>
          <w:szCs w:val="28"/>
          <w:lang w:val="en-US" w:eastAsia="zh-CN" w:bidi="ar-SA"/>
          <w:highlight w:val="auto"/>
        </w:rPr>
      </w:pPr>
    </w:p>
    <w:p>
      <w:pPr>
        <w:rPr>
          <w:rFonts w:ascii="Times New Roman" w:eastAsia="黑体" w:cs="Times New Roman" w:hAnsi="Times New Roman" w:hint="eastAsia"/>
          <w:b w:val="0"/>
          <w:kern w:val="2"/>
          <w:sz w:val="28"/>
          <w:szCs w:val="28"/>
          <w:lang w:val="en-US" w:eastAsia="zh-CN" w:bidi="ar-SA"/>
          <w:highlight w:val="auto"/>
        </w:rPr>
      </w:pPr>
    </w:p>
    <w:p>
      <w:pPr>
        <w:rPr>
          <w:rFonts w:ascii="Times New Roman" w:eastAsia="黑体" w:cs="Times New Roman" w:hAnsi="Times New Roman" w:hint="eastAsia"/>
          <w:b w:val="0"/>
          <w:kern w:val="2"/>
          <w:sz w:val="28"/>
          <w:szCs w:val="28"/>
          <w:lang w:val="en-US" w:eastAsia="zh-CN" w:bidi="ar-SA"/>
          <w:highlight w:val="auto"/>
        </w:rPr>
      </w:pPr>
    </w:p>
    <w:p>
      <w:pPr>
        <w:rPr>
          <w:rFonts w:ascii="Times New Roman" w:eastAsia="黑体" w:cs="Times New Roman" w:hAnsi="Times New Roman" w:hint="eastAsia"/>
          <w:b w:val="0"/>
          <w:kern w:val="2"/>
          <w:sz w:val="28"/>
          <w:szCs w:val="28"/>
          <w:lang w:val="en-US" w:eastAsia="zh-CN" w:bidi="ar-SA"/>
          <w:highlight w:val="auto"/>
        </w:rPr>
      </w:pPr>
    </w:p>
    <w:p>
      <w:pPr>
        <w:rPr>
          <w:rFonts w:ascii="Times New Roman" w:eastAsia="黑体" w:cs="Times New Roman" w:hAnsi="Times New Roman" w:hint="eastAsia"/>
          <w:b w:val="0"/>
          <w:kern w:val="2"/>
          <w:sz w:val="28"/>
          <w:szCs w:val="28"/>
          <w:lang w:val="en-US" w:eastAsia="zh-CN" w:bidi="ar-SA"/>
          <w:highlight w:val="auto"/>
        </w:rPr>
      </w:pPr>
    </w:p>
    <w:p>
      <w:pPr>
        <w:rPr>
          <w:rFonts w:ascii="Times New Roman" w:eastAsia="黑体" w:cs="Times New Roman" w:hAnsi="Times New Roman" w:hint="eastAsia"/>
          <w:b w:val="0"/>
          <w:kern w:val="2"/>
          <w:sz w:val="28"/>
          <w:szCs w:val="28"/>
          <w:lang w:val="en-US" w:eastAsia="zh-CN" w:bidi="ar-SA"/>
          <w:highlight w:val="auto"/>
        </w:rPr>
      </w:pPr>
    </w:p>
    <w:p>
      <w:pPr>
        <w:rPr>
          <w:rFonts w:ascii="Times New Roman" w:eastAsia="黑体" w:cs="Times New Roman" w:hAnsi="Times New Roman" w:hint="eastAsia"/>
          <w:b w:val="0"/>
          <w:kern w:val="2"/>
          <w:sz w:val="28"/>
          <w:szCs w:val="28"/>
          <w:lang w:val="en-US" w:eastAsia="zh-CN" w:bidi="ar-SA"/>
          <w:highlight w:val="auto"/>
        </w:rPr>
      </w:pPr>
    </w:p>
    <w:p>
      <w:pPr>
        <w:pStyle w:val="15"/>
        <w:rPr>
          <w:rFonts w:ascii="Times New Roman" w:eastAsia="黑体" w:cs="Times New Roman" w:hAnsi="Times New Roman" w:hint="eastAsia"/>
          <w:b w:val="0"/>
          <w:kern w:val="2"/>
          <w:sz w:val="28"/>
          <w:szCs w:val="28"/>
          <w:lang w:val="en-US" w:eastAsia="zh-CN" w:bidi="ar-SA"/>
          <w:highlight w:val="auto"/>
        </w:rPr>
      </w:pPr>
    </w:p>
    <w:p>
      <w:pPr>
        <w:rPr>
          <w:rFonts w:ascii="Times New Roman" w:eastAsia="黑体" w:cs="Times New Roman" w:hAnsi="Times New Roman" w:hint="eastAsia"/>
          <w:b w:val="0"/>
          <w:kern w:val="2"/>
          <w:sz w:val="28"/>
          <w:szCs w:val="28"/>
          <w:lang w:val="en-US" w:eastAsia="zh-CN" w:bidi="ar-SA"/>
          <w:highlight w:val="auto"/>
        </w:rPr>
      </w:pPr>
    </w:p>
    <w:p>
      <w:pPr>
        <w:rPr>
          <w:rFonts w:ascii="Times New Roman" w:eastAsia="黑体" w:cs="Times New Roman" w:hAnsi="Times New Roman" w:hint="eastAsia"/>
          <w:b w:val="0"/>
          <w:kern w:val="2"/>
          <w:sz w:val="28"/>
          <w:szCs w:val="28"/>
          <w:lang w:val="en-US" w:eastAsia="zh-CN" w:bidi="ar-SA"/>
          <w:highlight w:val="auto"/>
        </w:rPr>
      </w:pPr>
    </w:p>
    <w:p>
      <w:pPr>
        <w:rPr>
          <w:rFonts w:ascii="Times New Roman" w:eastAsia="黑体" w:cs="Times New Roman" w:hAnsi="Times New Roman" w:hint="eastAsia"/>
          <w:b w:val="0"/>
          <w:kern w:val="2"/>
          <w:sz w:val="28"/>
          <w:szCs w:val="28"/>
          <w:lang w:val="en-US" w:eastAsia="zh-CN" w:bidi="ar-SA"/>
          <w:highlight w:val="auto"/>
        </w:rPr>
      </w:pPr>
      <w:r>
        <w:rPr>
          <w:rFonts w:ascii="Times New Roman" w:eastAsia="黑体" w:cs="Times New Roman" w:hAnsi="Times New Roman" w:hint="eastAsia"/>
          <w:b w:val="0"/>
          <w:kern w:val="2"/>
          <w:sz w:val="28"/>
          <w:szCs w:val="28"/>
          <w:lang w:val="en-US" w:eastAsia="zh-CN" w:bidi="ar-SA"/>
          <w:highlight w:val="auto"/>
        </w:rPr>
        <w:t>附件3</w:t>
      </w:r>
    </w:p>
    <w:tbl>
      <w:tblPr>
        <w:jc w:val="left"/>
        <w:tblInd w:w="0" w:type="dxa"/>
        <w:tblW w:w="906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16"/>
        <w:gridCol w:w="1229"/>
        <w:gridCol w:w="1051"/>
        <w:gridCol w:w="1365"/>
        <w:gridCol w:w="366"/>
        <w:gridCol w:w="988"/>
        <w:gridCol w:w="366"/>
        <w:gridCol w:w="741"/>
        <w:gridCol w:w="441"/>
        <w:gridCol w:w="441"/>
        <w:gridCol w:w="1557"/>
      </w:tblGrid>
      <w:tr>
        <w:trPr>
          <w:trHeight w:val="509"/>
        </w:trPr>
        <w:tc>
          <w:tcPr>
            <w:tcW w:w="9061"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15"/>
                <w:szCs w:val="15"/>
                <w:u w:val="none"/>
              </w:rPr>
            </w:pPr>
            <w:r>
              <w:rPr>
                <w:rFonts w:ascii="黑体" w:eastAsia="黑体" w:cs="黑体" w:hint="eastAsia"/>
                <w:b/>
                <w:bCs/>
                <w:i w:val="0"/>
                <w:iCs w:val="0"/>
                <w:color w:val="000000"/>
                <w:kern w:val="0"/>
                <w:sz w:val="15"/>
                <w:szCs w:val="15"/>
                <w:u w:val="none"/>
                <w:lang w:val="en-US" w:eastAsia="zh-CN"/>
              </w:rPr>
              <w:t>部门预算项目支出绩效自评表（2024年度）</w:t>
            </w:r>
          </w:p>
        </w:tc>
      </w:tr>
      <w:tr>
        <w:trPr>
          <w:trHeight w:val="286"/>
        </w:trPr>
        <w:tc>
          <w:tcPr>
            <w:tcW w:w="17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项目名称</w:t>
            </w:r>
          </w:p>
        </w:tc>
        <w:tc>
          <w:tcPr>
            <w:tcW w:w="7316"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51000021Y000000011490</w:t>
            </w:r>
            <w:r>
              <w:rPr>
                <w:rFonts w:ascii="宋体" w:cs="宋体" w:hint="eastAsia"/>
                <w:i w:val="0"/>
                <w:iCs w:val="0"/>
                <w:color w:val="000000"/>
                <w:kern w:val="0"/>
                <w:sz w:val="15"/>
                <w:szCs w:val="15"/>
                <w:u w:val="none"/>
                <w:lang w:val="en-US" w:eastAsia="zh-CN"/>
              </w:rPr>
              <w:t>－</w:t>
            </w:r>
            <w:r>
              <w:rPr>
                <w:rFonts w:ascii="宋体" w:eastAsia="宋体" w:cs="宋体"/>
                <w:i w:val="0"/>
                <w:iCs w:val="0"/>
                <w:color w:val="000000"/>
                <w:kern w:val="0"/>
                <w:sz w:val="15"/>
                <w:szCs w:val="15"/>
                <w:u w:val="none"/>
                <w:lang w:val="en-US" w:eastAsia="zh-CN"/>
              </w:rPr>
              <w:t>日常公用经费</w:t>
            </w:r>
          </w:p>
        </w:tc>
      </w:tr>
      <w:tr>
        <w:trPr>
          <w:trHeight w:val="628"/>
        </w:trPr>
        <w:tc>
          <w:tcPr>
            <w:tcW w:w="17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主管部门</w:t>
            </w:r>
          </w:p>
        </w:tc>
        <w:tc>
          <w:tcPr>
            <w:tcW w:w="413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金川县人大常委会</w:t>
            </w:r>
          </w:p>
        </w:tc>
        <w:tc>
          <w:tcPr>
            <w:tcW w:w="741"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5"/>
                <w:szCs w:val="15"/>
                <w:u w:val="none"/>
              </w:rPr>
            </w:pPr>
            <w:r>
              <w:rPr>
                <w:rFonts w:ascii="黑体" w:eastAsia="黑体" w:cs="黑体" w:hint="eastAsia"/>
                <w:i w:val="0"/>
                <w:iCs w:val="0"/>
                <w:color w:val="000000"/>
                <w:kern w:val="0"/>
                <w:sz w:val="15"/>
                <w:szCs w:val="15"/>
                <w:u w:val="none"/>
                <w:lang w:val="en-US" w:eastAsia="zh-CN"/>
              </w:rPr>
              <w:t>实施单位 （盖章）</w:t>
            </w:r>
          </w:p>
        </w:tc>
        <w:tc>
          <w:tcPr>
            <w:tcW w:w="2439"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金川县人大办公室</w:t>
            </w:r>
          </w:p>
        </w:tc>
      </w:tr>
      <w:tr>
        <w:trPr>
          <w:trHeight w:val="286"/>
        </w:trPr>
        <w:tc>
          <w:tcPr>
            <w:tcW w:w="51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项目基本情况</w:t>
            </w:r>
          </w:p>
        </w:tc>
        <w:tc>
          <w:tcPr>
            <w:tcW w:w="122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1.项目年度目标完成情况</w:t>
            </w:r>
          </w:p>
        </w:tc>
        <w:tc>
          <w:tcPr>
            <w:tcW w:w="413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项目年度目标</w:t>
            </w:r>
          </w:p>
        </w:tc>
        <w:tc>
          <w:tcPr>
            <w:tcW w:w="318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5"/>
                <w:szCs w:val="15"/>
                <w:u w:val="none"/>
              </w:rPr>
            </w:pPr>
            <w:r>
              <w:rPr>
                <w:rFonts w:ascii="黑体" w:eastAsia="黑体" w:cs="黑体" w:hint="eastAsia"/>
                <w:i w:val="0"/>
                <w:iCs w:val="0"/>
                <w:color w:val="000000"/>
                <w:kern w:val="0"/>
                <w:sz w:val="15"/>
                <w:szCs w:val="15"/>
                <w:u w:val="none"/>
                <w:lang w:val="en-US" w:eastAsia="zh-CN"/>
              </w:rPr>
              <w:t>年度目标完成情况</w:t>
            </w:r>
          </w:p>
        </w:tc>
      </w:tr>
      <w:tr>
        <w:trPr>
          <w:trHeight w:val="708"/>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vMerge/>
            <w:tcBorders>
              <w:top w:val="single" w:sz="4" w:space="0" w:color="000000"/>
              <w:left w:val="single" w:sz="4" w:space="0" w:color="000000"/>
              <w:bottom w:val="single" w:sz="4" w:space="0" w:color="000000"/>
              <w:right w:val="single" w:sz="4" w:space="0" w:color="000000"/>
            </w:tcBorders>
            <w:noWrap/>
            <w:vAlign w:val="center"/>
          </w:tcPr>
          <w:p/>
        </w:tc>
        <w:tc>
          <w:tcPr>
            <w:tcW w:w="413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提高预算编制质量，严格执行预算，保障单位日常运转。</w:t>
            </w:r>
          </w:p>
        </w:tc>
        <w:tc>
          <w:tcPr>
            <w:tcW w:w="318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5"/>
                <w:szCs w:val="15"/>
                <w:u w:val="none"/>
              </w:rPr>
            </w:pPr>
            <w:r>
              <w:rPr>
                <w:rFonts w:ascii="黑体" w:eastAsia="黑体" w:cs="黑体" w:hint="eastAsia"/>
                <w:i w:val="0"/>
                <w:iCs w:val="0"/>
                <w:color w:val="000000"/>
                <w:kern w:val="0"/>
                <w:sz w:val="15"/>
                <w:szCs w:val="15"/>
                <w:u w:val="none"/>
                <w:lang w:val="en-US" w:eastAsia="zh-CN"/>
              </w:rPr>
              <w:t>完成年度目标任务100%</w:t>
            </w:r>
          </w:p>
        </w:tc>
      </w:tr>
      <w:tr>
        <w:trPr>
          <w:trHeight w:val="693"/>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2.项目实施内容及过程概述</w:t>
            </w:r>
          </w:p>
        </w:tc>
        <w:tc>
          <w:tcPr>
            <w:tcW w:w="7316"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5"/>
                <w:szCs w:val="15"/>
                <w:u w:val="none"/>
              </w:rPr>
            </w:pPr>
          </w:p>
        </w:tc>
      </w:tr>
      <w:tr>
        <w:trPr>
          <w:trHeight w:val="361"/>
        </w:trPr>
        <w:tc>
          <w:tcPr>
            <w:tcW w:w="51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预算执行情况（10分）</w:t>
            </w:r>
          </w:p>
        </w:tc>
        <w:tc>
          <w:tcPr>
            <w:tcW w:w="12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年度预算数（万元）</w:t>
            </w:r>
          </w:p>
        </w:tc>
        <w:tc>
          <w:tcPr>
            <w:tcW w:w="10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年初预算</w:t>
            </w:r>
          </w:p>
        </w:tc>
        <w:tc>
          <w:tcPr>
            <w:tcW w:w="13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调整后预算数</w:t>
            </w:r>
          </w:p>
        </w:tc>
        <w:tc>
          <w:tcPr>
            <w:tcW w:w="172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预算执行数</w:t>
            </w:r>
          </w:p>
        </w:tc>
        <w:tc>
          <w:tcPr>
            <w:tcW w:w="7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预算执行率</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权重</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得分</w:t>
            </w:r>
          </w:p>
        </w:tc>
        <w:tc>
          <w:tcPr>
            <w:tcW w:w="1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原因</w:t>
            </w:r>
          </w:p>
        </w:tc>
      </w:tr>
      <w:tr>
        <w:trPr>
          <w:trHeight w:val="346"/>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总额</w:t>
            </w:r>
          </w:p>
        </w:tc>
        <w:tc>
          <w:tcPr>
            <w:tcW w:w="10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32.40</w:t>
            </w:r>
          </w:p>
        </w:tc>
        <w:tc>
          <w:tcPr>
            <w:tcW w:w="13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75.36</w:t>
            </w:r>
          </w:p>
        </w:tc>
        <w:tc>
          <w:tcPr>
            <w:tcW w:w="172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75.36</w:t>
            </w:r>
          </w:p>
        </w:tc>
        <w:tc>
          <w:tcPr>
            <w:tcW w:w="7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100.00%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10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10</w:t>
            </w:r>
          </w:p>
        </w:tc>
        <w:tc>
          <w:tcPr>
            <w:tcW w:w="1557"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5"/>
                <w:szCs w:val="15"/>
                <w:u w:val="none"/>
              </w:rPr>
            </w:pPr>
          </w:p>
        </w:tc>
      </w:tr>
      <w:tr>
        <w:trPr>
          <w:trHeight w:val="391"/>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其中：财政资金</w:t>
            </w:r>
          </w:p>
        </w:tc>
        <w:tc>
          <w:tcPr>
            <w:tcW w:w="10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32.40</w:t>
            </w:r>
          </w:p>
        </w:tc>
        <w:tc>
          <w:tcPr>
            <w:tcW w:w="13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75.36</w:t>
            </w:r>
          </w:p>
        </w:tc>
        <w:tc>
          <w:tcPr>
            <w:tcW w:w="172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75.36</w:t>
            </w:r>
          </w:p>
        </w:tc>
        <w:tc>
          <w:tcPr>
            <w:tcW w:w="7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100.00%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1557"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财政专户管理资金</w:t>
            </w:r>
          </w:p>
        </w:tc>
        <w:tc>
          <w:tcPr>
            <w:tcW w:w="10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0.00</w:t>
            </w:r>
          </w:p>
        </w:tc>
        <w:tc>
          <w:tcPr>
            <w:tcW w:w="13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0.00</w:t>
            </w:r>
          </w:p>
        </w:tc>
        <w:tc>
          <w:tcPr>
            <w:tcW w:w="172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0.00</w:t>
            </w:r>
          </w:p>
        </w:tc>
        <w:tc>
          <w:tcPr>
            <w:tcW w:w="7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0.00%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1557"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单位资金</w:t>
            </w:r>
          </w:p>
        </w:tc>
        <w:tc>
          <w:tcPr>
            <w:tcW w:w="10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0.00</w:t>
            </w:r>
          </w:p>
        </w:tc>
        <w:tc>
          <w:tcPr>
            <w:tcW w:w="13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0.00</w:t>
            </w:r>
          </w:p>
        </w:tc>
        <w:tc>
          <w:tcPr>
            <w:tcW w:w="172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0.00</w:t>
            </w:r>
          </w:p>
        </w:tc>
        <w:tc>
          <w:tcPr>
            <w:tcW w:w="7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0.00%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1557"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其他资金</w:t>
            </w:r>
          </w:p>
        </w:tc>
        <w:tc>
          <w:tcPr>
            <w:tcW w:w="1051"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5"/>
                <w:szCs w:val="15"/>
                <w:u w:val="none"/>
              </w:rPr>
            </w:pPr>
          </w:p>
        </w:tc>
        <w:tc>
          <w:tcPr>
            <w:tcW w:w="136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5"/>
                <w:szCs w:val="15"/>
                <w:u w:val="none"/>
              </w:rPr>
            </w:pPr>
          </w:p>
        </w:tc>
        <w:tc>
          <w:tcPr>
            <w:tcW w:w="1720"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5"/>
                <w:szCs w:val="15"/>
                <w:u w:val="none"/>
              </w:rPr>
            </w:pPr>
          </w:p>
        </w:tc>
        <w:tc>
          <w:tcPr>
            <w:tcW w:w="741"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5"/>
                <w:szCs w:val="15"/>
                <w:u w:val="none"/>
              </w:rPr>
            </w:pP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1557"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51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绩效指标（90分）</w:t>
            </w:r>
          </w:p>
        </w:tc>
        <w:tc>
          <w:tcPr>
            <w:tcW w:w="12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一级指标</w:t>
            </w:r>
          </w:p>
        </w:tc>
        <w:tc>
          <w:tcPr>
            <w:tcW w:w="10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二级指标</w:t>
            </w:r>
          </w:p>
        </w:tc>
        <w:tc>
          <w:tcPr>
            <w:tcW w:w="13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三级指标</w:t>
            </w:r>
          </w:p>
        </w:tc>
        <w:tc>
          <w:tcPr>
            <w:tcW w:w="3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指标性质</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指标值</w:t>
            </w:r>
          </w:p>
        </w:tc>
        <w:tc>
          <w:tcPr>
            <w:tcW w:w="3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度量单位</w:t>
            </w:r>
          </w:p>
        </w:tc>
        <w:tc>
          <w:tcPr>
            <w:tcW w:w="7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完成值</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权重</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得分</w:t>
            </w:r>
          </w:p>
        </w:tc>
        <w:tc>
          <w:tcPr>
            <w:tcW w:w="1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未完成原因分析</w:t>
            </w:r>
          </w:p>
        </w:tc>
      </w:tr>
      <w:tr>
        <w:trPr>
          <w:trHeight w:val="339"/>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产出指标</w:t>
            </w:r>
          </w:p>
        </w:tc>
        <w:tc>
          <w:tcPr>
            <w:tcW w:w="10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数量指标</w:t>
            </w:r>
          </w:p>
        </w:tc>
        <w:tc>
          <w:tcPr>
            <w:tcW w:w="13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科目调整次数</w:t>
            </w:r>
          </w:p>
        </w:tc>
        <w:tc>
          <w:tcPr>
            <w:tcW w:w="3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5</w:t>
            </w:r>
          </w:p>
        </w:tc>
        <w:tc>
          <w:tcPr>
            <w:tcW w:w="3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次</w:t>
            </w:r>
          </w:p>
        </w:tc>
        <w:tc>
          <w:tcPr>
            <w:tcW w:w="7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5"/>
                <w:szCs w:val="15"/>
                <w:u w:val="none"/>
              </w:rPr>
            </w:pPr>
            <w:r>
              <w:rPr>
                <w:rFonts w:ascii="微软雅黑" w:eastAsia="微软雅黑" w:cs="微软雅黑" w:hint="eastAsia"/>
                <w:i/>
                <w:iCs/>
                <w:color w:val="000000"/>
                <w:kern w:val="0"/>
                <w:sz w:val="15"/>
                <w:szCs w:val="15"/>
                <w:u w:val="none"/>
                <w:lang w:val="en-US" w:eastAsia="zh-CN"/>
              </w:rPr>
              <w:t>完成年度目标任务100%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20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20</w:t>
            </w:r>
          </w:p>
        </w:tc>
        <w:tc>
          <w:tcPr>
            <w:tcW w:w="155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5"/>
                <w:szCs w:val="15"/>
                <w:u w:val="none"/>
              </w:rPr>
            </w:pPr>
          </w:p>
        </w:tc>
      </w:tr>
      <w:tr>
        <w:trPr>
          <w:trHeight w:val="678"/>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vMerge/>
            <w:tcBorders>
              <w:top w:val="single" w:sz="4" w:space="0" w:color="000000"/>
              <w:left w:val="single" w:sz="4" w:space="0" w:color="000000"/>
              <w:bottom w:val="single" w:sz="4" w:space="0" w:color="000000"/>
              <w:right w:val="single" w:sz="4" w:space="0" w:color="000000"/>
            </w:tcBorders>
            <w:noWrap/>
            <w:vAlign w:val="center"/>
          </w:tcPr>
          <w:p/>
        </w:tc>
        <w:tc>
          <w:tcPr>
            <w:tcW w:w="10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质量指标</w:t>
            </w:r>
          </w:p>
        </w:tc>
        <w:tc>
          <w:tcPr>
            <w:tcW w:w="13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预算编制准确率（计算方法为：∣（执行数</w:t>
            </w:r>
            <w:r>
              <w:rPr>
                <w:rFonts w:ascii="宋体" w:cs="宋体" w:hint="eastAsia"/>
                <w:i w:val="0"/>
                <w:iCs w:val="0"/>
                <w:color w:val="000000"/>
                <w:kern w:val="0"/>
                <w:sz w:val="15"/>
                <w:szCs w:val="15"/>
                <w:u w:val="none"/>
                <w:lang w:val="en-US" w:eastAsia="zh-CN"/>
              </w:rPr>
              <w:t>－</w:t>
            </w:r>
            <w:r>
              <w:rPr>
                <w:rFonts w:ascii="宋体" w:eastAsia="宋体" w:cs="宋体"/>
                <w:i w:val="0"/>
                <w:iCs w:val="0"/>
                <w:color w:val="000000"/>
                <w:kern w:val="0"/>
                <w:sz w:val="15"/>
                <w:szCs w:val="15"/>
                <w:u w:val="none"/>
                <w:lang w:val="en-US" w:eastAsia="zh-CN"/>
              </w:rPr>
              <w:t>预算数）/预算数∣）</w:t>
            </w:r>
          </w:p>
        </w:tc>
        <w:tc>
          <w:tcPr>
            <w:tcW w:w="3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5</w:t>
            </w:r>
          </w:p>
        </w:tc>
        <w:tc>
          <w:tcPr>
            <w:tcW w:w="3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5"/>
                <w:szCs w:val="15"/>
                <w:u w:val="none"/>
              </w:rPr>
            </w:pPr>
            <w:r>
              <w:rPr>
                <w:rFonts w:ascii="微软雅黑" w:eastAsia="微软雅黑" w:cs="微软雅黑" w:hint="eastAsia"/>
                <w:i/>
                <w:iCs/>
                <w:color w:val="000000"/>
                <w:kern w:val="0"/>
                <w:sz w:val="15"/>
                <w:szCs w:val="15"/>
                <w:u w:val="none"/>
                <w:lang w:val="en-US" w:eastAsia="zh-CN"/>
              </w:rPr>
              <w:t>完成年度目标任务100%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30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30</w:t>
            </w:r>
          </w:p>
        </w:tc>
        <w:tc>
          <w:tcPr>
            <w:tcW w:w="155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5"/>
                <w:szCs w:val="15"/>
                <w:u w:val="none"/>
              </w:rPr>
            </w:pPr>
          </w:p>
        </w:tc>
      </w:tr>
      <w:tr>
        <w:trPr>
          <w:trHeight w:val="904"/>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效益指标</w:t>
            </w:r>
          </w:p>
        </w:tc>
        <w:tc>
          <w:tcPr>
            <w:tcW w:w="10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经济效益指标</w:t>
            </w:r>
          </w:p>
        </w:tc>
        <w:tc>
          <w:tcPr>
            <w:tcW w:w="13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cs="宋体" w:hint="eastAsia"/>
                <w:i w:val="0"/>
                <w:iCs w:val="0"/>
                <w:color w:val="000000"/>
                <w:kern w:val="0"/>
                <w:sz w:val="15"/>
                <w:szCs w:val="15"/>
                <w:u w:val="none"/>
                <w:lang w:val="en-US" w:eastAsia="zh-CN"/>
              </w:rPr>
              <w:t>“三公”经费</w:t>
            </w:r>
            <w:r>
              <w:rPr>
                <w:rFonts w:ascii="宋体" w:eastAsia="宋体" w:cs="宋体"/>
                <w:i w:val="0"/>
                <w:iCs w:val="0"/>
                <w:color w:val="000000"/>
                <w:kern w:val="0"/>
                <w:sz w:val="15"/>
                <w:szCs w:val="15"/>
                <w:u w:val="none"/>
                <w:lang w:val="en-US" w:eastAsia="zh-CN"/>
              </w:rPr>
              <w:t>控制率[计算方法为：（</w:t>
            </w:r>
            <w:r>
              <w:rPr>
                <w:rFonts w:ascii="宋体" w:cs="宋体" w:hint="eastAsia"/>
                <w:i w:val="0"/>
                <w:iCs w:val="0"/>
                <w:color w:val="000000"/>
                <w:kern w:val="0"/>
                <w:sz w:val="15"/>
                <w:szCs w:val="15"/>
                <w:u w:val="none"/>
                <w:lang w:val="en-US" w:eastAsia="zh-CN"/>
              </w:rPr>
              <w:t>“三公”经费</w:t>
            </w:r>
            <w:r>
              <w:rPr>
                <w:rFonts w:ascii="宋体" w:eastAsia="宋体" w:cs="宋体"/>
                <w:i w:val="0"/>
                <w:iCs w:val="0"/>
                <w:color w:val="000000"/>
                <w:kern w:val="0"/>
                <w:sz w:val="15"/>
                <w:szCs w:val="15"/>
                <w:u w:val="none"/>
                <w:lang w:val="en-US" w:eastAsia="zh-CN"/>
              </w:rPr>
              <w:t>实际支出数/预算安排数]×100%）</w:t>
            </w:r>
          </w:p>
        </w:tc>
        <w:tc>
          <w:tcPr>
            <w:tcW w:w="3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100</w:t>
            </w:r>
          </w:p>
        </w:tc>
        <w:tc>
          <w:tcPr>
            <w:tcW w:w="3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5"/>
                <w:szCs w:val="15"/>
                <w:u w:val="none"/>
              </w:rPr>
            </w:pPr>
            <w:r>
              <w:rPr>
                <w:rFonts w:ascii="微软雅黑" w:eastAsia="微软雅黑" w:cs="微软雅黑" w:hint="eastAsia"/>
                <w:i/>
                <w:iCs/>
                <w:color w:val="000000"/>
                <w:kern w:val="0"/>
                <w:sz w:val="15"/>
                <w:szCs w:val="15"/>
                <w:u w:val="none"/>
                <w:lang w:val="en-US" w:eastAsia="zh-CN"/>
              </w:rPr>
              <w:t>完成年度目标任务100%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20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20</w:t>
            </w:r>
          </w:p>
        </w:tc>
        <w:tc>
          <w:tcPr>
            <w:tcW w:w="155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5"/>
                <w:szCs w:val="15"/>
                <w:u w:val="none"/>
              </w:rPr>
            </w:pPr>
          </w:p>
        </w:tc>
      </w:tr>
      <w:tr>
        <w:trPr>
          <w:trHeight w:val="339"/>
        </w:trPr>
        <w:tc>
          <w:tcPr>
            <w:tcW w:w="516" w:type="dxa"/>
            <w:vMerge/>
            <w:tcBorders>
              <w:top w:val="single" w:sz="4" w:space="0" w:color="000000"/>
              <w:left w:val="single" w:sz="4" w:space="0" w:color="000000"/>
              <w:bottom w:val="single" w:sz="4" w:space="0" w:color="000000"/>
              <w:right w:val="single" w:sz="4" w:space="0" w:color="000000"/>
            </w:tcBorders>
            <w:noWrap/>
            <w:vAlign w:val="center"/>
          </w:tcPr>
          <w:p/>
        </w:tc>
        <w:tc>
          <w:tcPr>
            <w:tcW w:w="1229" w:type="dxa"/>
            <w:vMerge/>
            <w:tcBorders>
              <w:top w:val="single" w:sz="4" w:space="0" w:color="000000"/>
              <w:left w:val="single" w:sz="4" w:space="0" w:color="000000"/>
              <w:bottom w:val="single" w:sz="4" w:space="0" w:color="000000"/>
              <w:right w:val="single" w:sz="4" w:space="0" w:color="000000"/>
            </w:tcBorders>
            <w:noWrap/>
            <w:vAlign w:val="center"/>
          </w:tcPr>
          <w:p/>
        </w:tc>
        <w:tc>
          <w:tcPr>
            <w:tcW w:w="10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社会效益指标</w:t>
            </w:r>
          </w:p>
        </w:tc>
        <w:tc>
          <w:tcPr>
            <w:tcW w:w="13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运转保障率</w:t>
            </w:r>
          </w:p>
        </w:tc>
        <w:tc>
          <w:tcPr>
            <w:tcW w:w="3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100</w:t>
            </w:r>
          </w:p>
        </w:tc>
        <w:tc>
          <w:tcPr>
            <w:tcW w:w="3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5"/>
                <w:szCs w:val="15"/>
                <w:u w:val="none"/>
              </w:rPr>
            </w:pPr>
            <w:r>
              <w:rPr>
                <w:rFonts w:ascii="微软雅黑" w:eastAsia="微软雅黑" w:cs="微软雅黑" w:hint="eastAsia"/>
                <w:i/>
                <w:iCs/>
                <w:color w:val="000000"/>
                <w:kern w:val="0"/>
                <w:sz w:val="15"/>
                <w:szCs w:val="15"/>
                <w:u w:val="none"/>
                <w:lang w:val="en-US" w:eastAsia="zh-CN"/>
              </w:rPr>
              <w:t>完成年度目标任务100%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20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20</w:t>
            </w:r>
          </w:p>
        </w:tc>
        <w:tc>
          <w:tcPr>
            <w:tcW w:w="155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5"/>
                <w:szCs w:val="15"/>
                <w:u w:val="none"/>
              </w:rPr>
            </w:pPr>
          </w:p>
        </w:tc>
      </w:tr>
      <w:tr>
        <w:trPr>
          <w:trHeight w:val="286"/>
        </w:trPr>
        <w:tc>
          <w:tcPr>
            <w:tcW w:w="6622"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合计</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100</w:t>
            </w:r>
          </w:p>
        </w:tc>
        <w:tc>
          <w:tcPr>
            <w:tcW w:w="44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100</w:t>
            </w:r>
          </w:p>
        </w:tc>
        <w:tc>
          <w:tcPr>
            <w:tcW w:w="1557"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5"/>
                <w:szCs w:val="15"/>
                <w:u w:val="none"/>
              </w:rPr>
            </w:pPr>
          </w:p>
        </w:tc>
      </w:tr>
      <w:tr>
        <w:trPr>
          <w:trHeight w:val="603"/>
        </w:trPr>
        <w:tc>
          <w:tcPr>
            <w:tcW w:w="5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评价结论</w:t>
            </w:r>
          </w:p>
        </w:tc>
        <w:tc>
          <w:tcPr>
            <w:tcW w:w="8545"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5"/>
                <w:szCs w:val="15"/>
                <w:u w:val="none"/>
              </w:rPr>
            </w:pPr>
            <w:r>
              <w:rPr>
                <w:rFonts w:ascii="微软雅黑" w:eastAsia="微软雅黑" w:cs="微软雅黑" w:hint="eastAsia"/>
                <w:i/>
                <w:iCs/>
                <w:color w:val="000000"/>
                <w:kern w:val="0"/>
                <w:sz w:val="15"/>
                <w:szCs w:val="15"/>
                <w:u w:val="none"/>
                <w:lang w:val="en-US" w:eastAsia="zh-CN"/>
              </w:rPr>
              <w:t>优</w:t>
            </w:r>
          </w:p>
        </w:tc>
      </w:tr>
      <w:tr>
        <w:trPr>
          <w:trHeight w:val="572"/>
        </w:trPr>
        <w:tc>
          <w:tcPr>
            <w:tcW w:w="5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存在问题</w:t>
            </w:r>
          </w:p>
        </w:tc>
        <w:tc>
          <w:tcPr>
            <w:tcW w:w="854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5"/>
                <w:szCs w:val="15"/>
                <w:u w:val="none"/>
              </w:rPr>
            </w:pPr>
          </w:p>
        </w:tc>
      </w:tr>
      <w:tr>
        <w:trPr>
          <w:trHeight w:val="633"/>
        </w:trPr>
        <w:tc>
          <w:tcPr>
            <w:tcW w:w="5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改进措施</w:t>
            </w:r>
          </w:p>
        </w:tc>
        <w:tc>
          <w:tcPr>
            <w:tcW w:w="854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5"/>
                <w:szCs w:val="15"/>
                <w:u w:val="none"/>
              </w:rPr>
            </w:pPr>
          </w:p>
        </w:tc>
      </w:tr>
      <w:tr>
        <w:trPr>
          <w:trHeight w:val="286"/>
        </w:trPr>
        <w:tc>
          <w:tcPr>
            <w:tcW w:w="4527"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5"/>
                <w:szCs w:val="15"/>
                <w:u w:val="none"/>
              </w:rPr>
            </w:pPr>
            <w:r>
              <w:rPr>
                <w:rFonts w:ascii="黑体" w:eastAsia="黑体" w:cs="黑体" w:hint="eastAsia"/>
                <w:i w:val="0"/>
                <w:iCs w:val="0"/>
                <w:color w:val="000000"/>
                <w:kern w:val="0"/>
                <w:sz w:val="15"/>
                <w:szCs w:val="15"/>
                <w:u w:val="none"/>
                <w:lang w:val="en-US" w:eastAsia="zh-CN"/>
              </w:rPr>
              <w:t>项目负责人：赵明坤</w:t>
            </w:r>
          </w:p>
        </w:tc>
        <w:tc>
          <w:tcPr>
            <w:tcW w:w="4534"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5"/>
                <w:szCs w:val="15"/>
                <w:u w:val="none"/>
              </w:rPr>
            </w:pPr>
            <w:r>
              <w:rPr>
                <w:rFonts w:ascii="黑体" w:eastAsia="黑体" w:cs="黑体" w:hint="eastAsia"/>
                <w:i w:val="0"/>
                <w:iCs w:val="0"/>
                <w:color w:val="000000"/>
                <w:kern w:val="0"/>
                <w:sz w:val="15"/>
                <w:szCs w:val="15"/>
                <w:u w:val="none"/>
                <w:lang w:val="en-US" w:eastAsia="zh-CN"/>
              </w:rPr>
              <w:t>财务负责人：杨洪燕</w:t>
            </w:r>
          </w:p>
        </w:tc>
      </w:tr>
      <w:tr>
        <w:trPr>
          <w:trHeight w:val="286"/>
        </w:trPr>
        <w:tc>
          <w:tcPr>
            <w:tcW w:w="516"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c>
          <w:tcPr>
            <w:tcW w:w="1229"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c>
          <w:tcPr>
            <w:tcW w:w="1051"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c>
          <w:tcPr>
            <w:tcW w:w="1365"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c>
          <w:tcPr>
            <w:tcW w:w="366"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c>
          <w:tcPr>
            <w:tcW w:w="988"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c>
          <w:tcPr>
            <w:tcW w:w="366"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c>
          <w:tcPr>
            <w:tcW w:w="741"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c>
          <w:tcPr>
            <w:tcW w:w="441"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c>
          <w:tcPr>
            <w:tcW w:w="441"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c>
          <w:tcPr>
            <w:tcW w:w="1557" w:type="dxa"/>
            <w:tcBorders>
              <w:top w:val="nil"/>
              <w:left w:val="nil"/>
              <w:bottom w:val="nil"/>
              <w:right w:val="nil"/>
            </w:tcBorders>
            <w:noWrap/>
            <w:vAlign w:val="center"/>
          </w:tcPr>
          <w:p>
            <w:pPr>
              <w:rPr>
                <w:rFonts w:ascii="宋体" w:eastAsia="宋体" w:cs="宋体" w:hint="eastAsia"/>
                <w:i w:val="0"/>
                <w:iCs w:val="0"/>
                <w:color w:val="000000"/>
                <w:sz w:val="15"/>
                <w:szCs w:val="15"/>
                <w:u w:val="none"/>
              </w:rPr>
            </w:pPr>
          </w:p>
        </w:tc>
      </w:tr>
    </w:tbl>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lang w:val="en-US" w:eastAsia="zh-CN"/>
        </w:rPr>
      </w:pPr>
    </w:p>
    <w:p>
      <w:pPr>
        <w:pStyle w:val="15"/>
        <w:rPr>
          <w:lang w:val="en-US" w:eastAsia="zh-CN"/>
        </w:rPr>
      </w:pPr>
    </w:p>
    <w:p>
      <w:pPr>
        <w:rPr>
          <w:sz w:val="15"/>
          <w:szCs w:val="15"/>
          <w:lang w:val="en-US" w:eastAsia="zh-CN"/>
        </w:rPr>
      </w:pPr>
    </w:p>
    <w:tbl>
      <w:tblPr>
        <w:jc w:val="left"/>
        <w:tblInd w:w="0" w:type="dxa"/>
        <w:tblW w:w="906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76"/>
        <w:gridCol w:w="1166"/>
        <w:gridCol w:w="987"/>
        <w:gridCol w:w="1301"/>
        <w:gridCol w:w="397"/>
        <w:gridCol w:w="924"/>
        <w:gridCol w:w="397"/>
        <w:gridCol w:w="848"/>
        <w:gridCol w:w="486"/>
        <w:gridCol w:w="486"/>
        <w:gridCol w:w="1493"/>
      </w:tblGrid>
      <w:tr>
        <w:trPr>
          <w:trHeight w:val="609"/>
        </w:trPr>
        <w:tc>
          <w:tcPr>
            <w:tcW w:w="9061"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74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31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51322622R000000307551</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其他社会保障缴费（失业保险）</w:t>
            </w:r>
          </w:p>
        </w:tc>
      </w:tr>
      <w:tr>
        <w:trPr>
          <w:trHeight w:val="512"/>
        </w:trPr>
        <w:tc>
          <w:tcPr>
            <w:tcW w:w="174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0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848"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46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57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6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0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313"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vMerge/>
            <w:tcBorders>
              <w:top w:val="single" w:sz="4" w:space="0" w:color="000000"/>
              <w:left w:val="single" w:sz="4" w:space="0" w:color="000000"/>
              <w:bottom w:val="single" w:sz="4" w:space="0" w:color="000000"/>
              <w:right w:val="single" w:sz="4" w:space="0" w:color="000000"/>
            </w:tcBorders>
            <w:noWrap/>
            <w:vAlign w:val="center"/>
          </w:tcPr>
          <w:p/>
        </w:tc>
        <w:tc>
          <w:tcPr>
            <w:tcW w:w="400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3313"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319"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57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49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0.34</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0.26</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0.26</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493"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0.34</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0.26</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0.26</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493"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493"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493"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301"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84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493"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57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9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49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493"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493"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6596"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493"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85"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8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8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427"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634"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tbl>
      <w:tblPr>
        <w:tblpPr w:leftFromText="180" w:rightFromText="180" w:vertAnchor="text" w:horzAnchor="page" w:tblpX="1788" w:tblpY="1418"/>
        <w:tblOverlap w:val="never"/>
        <w:tblW w:w="870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76"/>
        <w:gridCol w:w="1166"/>
        <w:gridCol w:w="987"/>
        <w:gridCol w:w="1301"/>
        <w:gridCol w:w="397"/>
        <w:gridCol w:w="924"/>
        <w:gridCol w:w="397"/>
        <w:gridCol w:w="848"/>
        <w:gridCol w:w="486"/>
        <w:gridCol w:w="486"/>
        <w:gridCol w:w="1140"/>
      </w:tblGrid>
      <w:tr>
        <w:trPr>
          <w:trHeight w:val="494"/>
        </w:trPr>
        <w:tc>
          <w:tcPr>
            <w:tcW w:w="8708" w:type="dxa"/>
            <w:gridSpan w:val="11"/>
            <w:tcBorders>
              <w:top w:val="single" w:sz="4" w:space="0" w:color="000000"/>
              <w:left w:val="single" w:sz="4" w:space="0" w:color="000000"/>
              <w:bottom w:val="single" w:sz="4" w:space="0" w:color="000000"/>
              <w:right w:val="single" w:sz="4" w:space="0" w:color="000000"/>
            </w:tcBorders>
            <w:noWrap/>
            <w:vAlign w:val="center"/>
          </w:tcPr>
          <w:tbl>
            <w:tblPr>
              <w:tblpPr w:leftFromText="180" w:rightFromText="180" w:vertAnchor="text" w:horzAnchor="page" w:tblpX="-104" w:tblpY="-13120"/>
              <w:tblOverlap w:val="never"/>
              <w:tblW w:w="930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701"/>
              <w:gridCol w:w="1369"/>
              <w:gridCol w:w="730"/>
              <w:gridCol w:w="1338"/>
              <w:gridCol w:w="405"/>
              <w:gridCol w:w="1"/>
              <w:gridCol w:w="799"/>
              <w:gridCol w:w="423"/>
              <w:gridCol w:w="1065"/>
              <w:gridCol w:w="582"/>
              <w:gridCol w:w="570"/>
              <w:gridCol w:w="1317"/>
            </w:tblGrid>
            <w:tr>
              <w:trPr>
                <w:trHeight w:val="586"/>
              </w:trPr>
              <w:tc>
                <w:tcPr>
                  <w:tcW w:w="9300" w:type="dxa"/>
                  <w:gridSpan w:val="1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b/>
                      <w:bCs/>
                      <w:i w:val="0"/>
                      <w:iCs w:val="0"/>
                      <w:color w:val="000000"/>
                      <w:kern w:val="0"/>
                      <w:sz w:val="30"/>
                      <w:szCs w:val="30"/>
                      <w:u w:val="none"/>
                      <w:lang w:val="en-US" w:eastAsia="zh-CN"/>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98"/>
              </w:trPr>
              <w:tc>
                <w:tcPr>
                  <w:tcW w:w="207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30"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51322622R000000307567</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其他社会保障缴费（工伤保险）</w:t>
                  </w:r>
                </w:p>
              </w:tc>
            </w:tr>
            <w:tr>
              <w:trPr>
                <w:trHeight w:val="298"/>
              </w:trPr>
              <w:tc>
                <w:tcPr>
                  <w:tcW w:w="207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696"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065" w:type="dxa"/>
                  <w:tcBorders>
                    <w:top w:val="nil"/>
                    <w:left w:val="nil"/>
                    <w:bottom w:val="nil"/>
                    <w:right w:val="nil"/>
                  </w:tcBorders>
                  <w:noWrap/>
                  <w:vAlign w:val="center"/>
                </w:tcPr>
                <w:p>
                  <w:pPr>
                    <w:keepNext w:val="0"/>
                    <w:keepLines w:val="0"/>
                    <w:widowControl/>
                    <w:suppressLineNumbers w:val="0"/>
                    <w:jc w:val="left"/>
                    <w:textAlignment w:val="center"/>
                  </w:pPr>
                  <w:r>
                    <w:rPr>
                      <w:rFonts w:ascii="黑体" w:eastAsia="黑体" w:cs="黑体" w:hint="eastAsia"/>
                      <w:i w:val="0"/>
                      <w:iCs w:val="0"/>
                      <w:color w:val="000000"/>
                      <w:kern w:val="0"/>
                      <w:sz w:val="18"/>
                      <w:szCs w:val="18"/>
                      <w:u w:val="none"/>
                      <w:lang w:val="en-US" w:eastAsia="zh-CN"/>
                    </w:rPr>
                    <w:t xml:space="preserve">实施单位 </w:t>
                  </w:r>
                </w:p>
              </w:tc>
              <w:tc>
                <w:tcPr>
                  <w:tcW w:w="2469"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both"/>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98"/>
              </w:trPr>
              <w:tc>
                <w:tcPr>
                  <w:tcW w:w="70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36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696"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534"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874"/>
              </w:trPr>
              <w:tc>
                <w:tcPr>
                  <w:tcW w:w="701" w:type="dxa"/>
                  <w:vMerge/>
                  <w:tcBorders>
                    <w:top w:val="single" w:sz="4" w:space="0" w:color="000000"/>
                    <w:left w:val="single" w:sz="4" w:space="0" w:color="000000"/>
                    <w:bottom w:val="single" w:sz="4" w:space="0" w:color="000000"/>
                    <w:right w:val="single" w:sz="4" w:space="0" w:color="000000"/>
                  </w:tcBorders>
                  <w:noWrap/>
                  <w:vAlign w:val="center"/>
                </w:tcPr>
                <w:p/>
              </w:tc>
              <w:tc>
                <w:tcPr>
                  <w:tcW w:w="1369" w:type="dxa"/>
                  <w:vMerge/>
                  <w:tcBorders>
                    <w:top w:val="single" w:sz="4" w:space="0" w:color="000000"/>
                    <w:left w:val="single" w:sz="4" w:space="0" w:color="000000"/>
                    <w:bottom w:val="single" w:sz="4" w:space="0" w:color="000000"/>
                    <w:right w:val="single" w:sz="4" w:space="0" w:color="000000"/>
                  </w:tcBorders>
                  <w:noWrap/>
                  <w:vAlign w:val="center"/>
                </w:tcPr>
                <w:p/>
              </w:tc>
              <w:tc>
                <w:tcPr>
                  <w:tcW w:w="3696"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3534"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586"/>
              </w:trPr>
              <w:tc>
                <w:tcPr>
                  <w:tcW w:w="701" w:type="dxa"/>
                  <w:vMerge/>
                  <w:tcBorders>
                    <w:top w:val="single" w:sz="4" w:space="0" w:color="000000"/>
                    <w:left w:val="single" w:sz="4" w:space="0" w:color="000000"/>
                    <w:bottom w:val="single" w:sz="4" w:space="0" w:color="000000"/>
                    <w:right w:val="single" w:sz="4" w:space="0" w:color="000000"/>
                  </w:tcBorders>
                  <w:noWrap/>
                  <w:vAlign w:val="center"/>
                </w:tcPr>
                <w:p/>
              </w:tc>
              <w:tc>
                <w:tcPr>
                  <w:tcW w:w="136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30"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586"/>
              </w:trPr>
              <w:tc>
                <w:tcPr>
                  <w:tcW w:w="70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36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7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3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628"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0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8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31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both"/>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298"/>
              </w:trPr>
              <w:tc>
                <w:tcPr>
                  <w:tcW w:w="701" w:type="dxa"/>
                  <w:vMerge/>
                  <w:tcBorders>
                    <w:top w:val="single" w:sz="4" w:space="0" w:color="000000"/>
                    <w:left w:val="single" w:sz="4" w:space="0" w:color="000000"/>
                    <w:bottom w:val="single" w:sz="4" w:space="0" w:color="000000"/>
                    <w:right w:val="single" w:sz="4" w:space="0" w:color="000000"/>
                  </w:tcBorders>
                  <w:noWrap/>
                  <w:vAlign w:val="center"/>
                </w:tcPr>
                <w:p/>
              </w:tc>
              <w:tc>
                <w:tcPr>
                  <w:tcW w:w="136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7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0.70</w:t>
                  </w:r>
                </w:p>
              </w:tc>
              <w:tc>
                <w:tcPr>
                  <w:tcW w:w="13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0.59</w:t>
                  </w:r>
                </w:p>
              </w:tc>
              <w:tc>
                <w:tcPr>
                  <w:tcW w:w="1628"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0.59</w:t>
                  </w:r>
                </w:p>
              </w:tc>
              <w:tc>
                <w:tcPr>
                  <w:tcW w:w="10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8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317"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586"/>
              </w:trPr>
              <w:tc>
                <w:tcPr>
                  <w:tcW w:w="701" w:type="dxa"/>
                  <w:vMerge/>
                  <w:tcBorders>
                    <w:top w:val="single" w:sz="4" w:space="0" w:color="000000"/>
                    <w:left w:val="single" w:sz="4" w:space="0" w:color="000000"/>
                    <w:bottom w:val="single" w:sz="4" w:space="0" w:color="000000"/>
                    <w:right w:val="single" w:sz="4" w:space="0" w:color="000000"/>
                  </w:tcBorders>
                  <w:noWrap/>
                  <w:vAlign w:val="center"/>
                </w:tcPr>
                <w:p/>
              </w:tc>
              <w:tc>
                <w:tcPr>
                  <w:tcW w:w="136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7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0.70</w:t>
                  </w:r>
                </w:p>
              </w:tc>
              <w:tc>
                <w:tcPr>
                  <w:tcW w:w="13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0.59</w:t>
                  </w:r>
                </w:p>
              </w:tc>
              <w:tc>
                <w:tcPr>
                  <w:tcW w:w="1628"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0.59</w:t>
                  </w:r>
                </w:p>
              </w:tc>
              <w:tc>
                <w:tcPr>
                  <w:tcW w:w="10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8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17"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586"/>
              </w:trPr>
              <w:tc>
                <w:tcPr>
                  <w:tcW w:w="701" w:type="dxa"/>
                  <w:vMerge/>
                  <w:tcBorders>
                    <w:top w:val="single" w:sz="4" w:space="0" w:color="000000"/>
                    <w:left w:val="single" w:sz="4" w:space="0" w:color="000000"/>
                    <w:bottom w:val="single" w:sz="4" w:space="0" w:color="000000"/>
                    <w:right w:val="single" w:sz="4" w:space="0" w:color="000000"/>
                  </w:tcBorders>
                  <w:noWrap/>
                  <w:vAlign w:val="center"/>
                </w:tcPr>
                <w:p/>
              </w:tc>
              <w:tc>
                <w:tcPr>
                  <w:tcW w:w="136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7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28"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8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17"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298"/>
              </w:trPr>
              <w:tc>
                <w:tcPr>
                  <w:tcW w:w="701" w:type="dxa"/>
                  <w:vMerge/>
                  <w:tcBorders>
                    <w:top w:val="single" w:sz="4" w:space="0" w:color="000000"/>
                    <w:left w:val="single" w:sz="4" w:space="0" w:color="000000"/>
                    <w:bottom w:val="single" w:sz="4" w:space="0" w:color="000000"/>
                    <w:right w:val="single" w:sz="4" w:space="0" w:color="000000"/>
                  </w:tcBorders>
                  <w:noWrap/>
                  <w:vAlign w:val="center"/>
                </w:tcPr>
                <w:p/>
              </w:tc>
              <w:tc>
                <w:tcPr>
                  <w:tcW w:w="136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7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28"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8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17"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298"/>
              </w:trPr>
              <w:tc>
                <w:tcPr>
                  <w:tcW w:w="701" w:type="dxa"/>
                  <w:vMerge/>
                  <w:tcBorders>
                    <w:top w:val="single" w:sz="4" w:space="0" w:color="000000"/>
                    <w:left w:val="single" w:sz="4" w:space="0" w:color="000000"/>
                    <w:bottom w:val="single" w:sz="4" w:space="0" w:color="000000"/>
                    <w:right w:val="single" w:sz="4" w:space="0" w:color="000000"/>
                  </w:tcBorders>
                  <w:noWrap/>
                  <w:vAlign w:val="center"/>
                </w:tcPr>
                <w:p/>
              </w:tc>
              <w:tc>
                <w:tcPr>
                  <w:tcW w:w="136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73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33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628" w:type="dxa"/>
                  <w:gridSpan w:val="4"/>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8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17"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1162"/>
              </w:trPr>
              <w:tc>
                <w:tcPr>
                  <w:tcW w:w="70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36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7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3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0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9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4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0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8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31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both"/>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874"/>
              </w:trPr>
              <w:tc>
                <w:tcPr>
                  <w:tcW w:w="701" w:type="dxa"/>
                  <w:vMerge/>
                  <w:tcBorders>
                    <w:top w:val="single" w:sz="4" w:space="0" w:color="000000"/>
                    <w:left w:val="single" w:sz="4" w:space="0" w:color="000000"/>
                    <w:bottom w:val="single" w:sz="4" w:space="0" w:color="000000"/>
                    <w:right w:val="single" w:sz="4" w:space="0" w:color="000000"/>
                  </w:tcBorders>
                  <w:noWrap/>
                  <w:vAlign w:val="center"/>
                </w:tcPr>
                <w:p/>
              </w:tc>
              <w:tc>
                <w:tcPr>
                  <w:tcW w:w="136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7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3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40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8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31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874"/>
              </w:trPr>
              <w:tc>
                <w:tcPr>
                  <w:tcW w:w="701" w:type="dxa"/>
                  <w:vMerge/>
                  <w:tcBorders>
                    <w:top w:val="single" w:sz="4" w:space="0" w:color="000000"/>
                    <w:left w:val="single" w:sz="4" w:space="0" w:color="000000"/>
                    <w:bottom w:val="single" w:sz="4" w:space="0" w:color="000000"/>
                    <w:right w:val="single" w:sz="4" w:space="0" w:color="000000"/>
                  </w:tcBorders>
                  <w:noWrap/>
                  <w:vAlign w:val="center"/>
                </w:tcPr>
                <w:p/>
              </w:tc>
              <w:tc>
                <w:tcPr>
                  <w:tcW w:w="136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7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3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40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8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31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586"/>
              </w:trPr>
              <w:tc>
                <w:tcPr>
                  <w:tcW w:w="6831"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8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317"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586"/>
              </w:trPr>
              <w:tc>
                <w:tcPr>
                  <w:tcW w:w="7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599"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86"/>
              </w:trPr>
              <w:tc>
                <w:tcPr>
                  <w:tcW w:w="7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599" w:type="dxa"/>
                  <w:gridSpan w:val="11"/>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586"/>
              </w:trPr>
              <w:tc>
                <w:tcPr>
                  <w:tcW w:w="7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599" w:type="dxa"/>
                  <w:gridSpan w:val="11"/>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98"/>
              </w:trPr>
              <w:tc>
                <w:tcPr>
                  <w:tcW w:w="4543"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757" w:type="dxa"/>
                  <w:gridSpan w:val="7"/>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74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6"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51322622R000000307882</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住房公积金（职工）</w:t>
            </w:r>
          </w:p>
        </w:tc>
      </w:tr>
      <w:tr>
        <w:trPr>
          <w:trHeight w:val="512"/>
        </w:trPr>
        <w:tc>
          <w:tcPr>
            <w:tcW w:w="174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0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848"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1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57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6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0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6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vMerge/>
            <w:tcBorders>
              <w:top w:val="single" w:sz="4" w:space="0" w:color="000000"/>
              <w:left w:val="single" w:sz="4" w:space="0" w:color="000000"/>
              <w:bottom w:val="single" w:sz="4" w:space="0" w:color="000000"/>
              <w:right w:val="single" w:sz="4" w:space="0" w:color="000000"/>
            </w:tcBorders>
            <w:noWrap/>
            <w:vAlign w:val="center"/>
          </w:tcPr>
          <w:p/>
        </w:tc>
        <w:tc>
          <w:tcPr>
            <w:tcW w:w="400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6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6"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57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1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57.90</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46.12</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46.12</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140"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57.90</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46.12</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46.12</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301"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84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57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9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1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14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576" w:type="dxa"/>
            <w:vMerge/>
            <w:tcBorders>
              <w:top w:val="single" w:sz="4" w:space="0" w:color="000000"/>
              <w:left w:val="single" w:sz="4" w:space="0" w:color="000000"/>
              <w:bottom w:val="single" w:sz="4" w:space="0" w:color="000000"/>
              <w:right w:val="single" w:sz="4" w:space="0" w:color="000000"/>
            </w:tcBorders>
            <w:noWrap/>
            <w:vAlign w:val="center"/>
          </w:tcPr>
          <w:p/>
        </w:tc>
        <w:tc>
          <w:tcPr>
            <w:tcW w:w="11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8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14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6596"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14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132"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132"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132"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427"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81"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tbl>
      <w:tblPr>
        <w:tblpPr w:leftFromText="180" w:rightFromText="180" w:vertAnchor="text" w:horzAnchor="page" w:tblpX="1743" w:tblpY="67"/>
        <w:tblOverlap w:val="never"/>
        <w:tblW w:w="906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803"/>
        <w:gridCol w:w="938"/>
        <w:gridCol w:w="988"/>
        <w:gridCol w:w="1301"/>
        <w:gridCol w:w="397"/>
        <w:gridCol w:w="924"/>
        <w:gridCol w:w="397"/>
        <w:gridCol w:w="980"/>
        <w:gridCol w:w="598"/>
        <w:gridCol w:w="557"/>
        <w:gridCol w:w="1178"/>
      </w:tblGrid>
      <w:tr>
        <w:trPr>
          <w:trHeight w:val="564"/>
        </w:trPr>
        <w:tc>
          <w:tcPr>
            <w:tcW w:w="9061"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74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320"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51322622R000000308231</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基本退休费</w:t>
            </w:r>
          </w:p>
        </w:tc>
      </w:tr>
      <w:tr>
        <w:trPr>
          <w:trHeight w:val="372"/>
        </w:trPr>
        <w:tc>
          <w:tcPr>
            <w:tcW w:w="174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07"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980"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 xml:space="preserve">实施单位 </w:t>
            </w:r>
          </w:p>
        </w:tc>
        <w:tc>
          <w:tcPr>
            <w:tcW w:w="233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80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938"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07"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313"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43"/>
        </w:trPr>
        <w:tc>
          <w:tcPr>
            <w:tcW w:w="803" w:type="dxa"/>
            <w:vMerge/>
            <w:tcBorders>
              <w:top w:val="single" w:sz="4" w:space="0" w:color="000000"/>
              <w:left w:val="single" w:sz="4" w:space="0" w:color="000000"/>
              <w:bottom w:val="single" w:sz="4" w:space="0" w:color="000000"/>
              <w:right w:val="single" w:sz="4" w:space="0" w:color="000000"/>
            </w:tcBorders>
            <w:noWrap/>
            <w:vAlign w:val="center"/>
          </w:tcPr>
          <w:p/>
        </w:tc>
        <w:tc>
          <w:tcPr>
            <w:tcW w:w="938" w:type="dxa"/>
            <w:vMerge/>
            <w:tcBorders>
              <w:top w:val="single" w:sz="4" w:space="0" w:color="000000"/>
              <w:left w:val="single" w:sz="4" w:space="0" w:color="000000"/>
              <w:bottom w:val="single" w:sz="4" w:space="0" w:color="000000"/>
              <w:right w:val="single" w:sz="4" w:space="0" w:color="000000"/>
            </w:tcBorders>
            <w:noWrap/>
            <w:vAlign w:val="center"/>
          </w:tcPr>
          <w:p/>
        </w:tc>
        <w:tc>
          <w:tcPr>
            <w:tcW w:w="4007"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3313"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803" w:type="dxa"/>
            <w:vMerge/>
            <w:tcBorders>
              <w:top w:val="single" w:sz="4" w:space="0" w:color="000000"/>
              <w:left w:val="single" w:sz="4" w:space="0" w:color="000000"/>
              <w:bottom w:val="single" w:sz="4" w:space="0" w:color="000000"/>
              <w:right w:val="single" w:sz="4" w:space="0" w:color="000000"/>
            </w:tcBorders>
            <w:noWrap/>
            <w:vAlign w:val="center"/>
          </w:tcPr>
          <w:p/>
        </w:tc>
        <w:tc>
          <w:tcPr>
            <w:tcW w:w="9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320"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80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9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1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803" w:type="dxa"/>
            <w:vMerge/>
            <w:tcBorders>
              <w:top w:val="single" w:sz="4" w:space="0" w:color="000000"/>
              <w:left w:val="single" w:sz="4" w:space="0" w:color="000000"/>
              <w:bottom w:val="single" w:sz="4" w:space="0" w:color="000000"/>
              <w:right w:val="single" w:sz="4" w:space="0" w:color="000000"/>
            </w:tcBorders>
            <w:noWrap/>
            <w:vAlign w:val="center"/>
          </w:tcPr>
          <w:p/>
        </w:tc>
        <w:tc>
          <w:tcPr>
            <w:tcW w:w="9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0.02</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0.03</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0.03</w:t>
            </w:r>
          </w:p>
        </w:tc>
        <w:tc>
          <w:tcPr>
            <w:tcW w:w="9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9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178"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803" w:type="dxa"/>
            <w:vMerge/>
            <w:tcBorders>
              <w:top w:val="single" w:sz="4" w:space="0" w:color="000000"/>
              <w:left w:val="single" w:sz="4" w:space="0" w:color="000000"/>
              <w:bottom w:val="single" w:sz="4" w:space="0" w:color="000000"/>
              <w:right w:val="single" w:sz="4" w:space="0" w:color="000000"/>
            </w:tcBorders>
            <w:noWrap/>
            <w:vAlign w:val="center"/>
          </w:tcPr>
          <w:p/>
        </w:tc>
        <w:tc>
          <w:tcPr>
            <w:tcW w:w="9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0.02</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0.03</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0.03</w:t>
            </w:r>
          </w:p>
        </w:tc>
        <w:tc>
          <w:tcPr>
            <w:tcW w:w="9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9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78"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803" w:type="dxa"/>
            <w:vMerge/>
            <w:tcBorders>
              <w:top w:val="single" w:sz="4" w:space="0" w:color="000000"/>
              <w:left w:val="single" w:sz="4" w:space="0" w:color="000000"/>
              <w:bottom w:val="single" w:sz="4" w:space="0" w:color="000000"/>
              <w:right w:val="single" w:sz="4" w:space="0" w:color="000000"/>
            </w:tcBorders>
            <w:noWrap/>
            <w:vAlign w:val="center"/>
          </w:tcPr>
          <w:p/>
        </w:tc>
        <w:tc>
          <w:tcPr>
            <w:tcW w:w="9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9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78"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803" w:type="dxa"/>
            <w:vMerge/>
            <w:tcBorders>
              <w:top w:val="single" w:sz="4" w:space="0" w:color="000000"/>
              <w:left w:val="single" w:sz="4" w:space="0" w:color="000000"/>
              <w:bottom w:val="single" w:sz="4" w:space="0" w:color="000000"/>
              <w:right w:val="single" w:sz="4" w:space="0" w:color="000000"/>
            </w:tcBorders>
            <w:noWrap/>
            <w:vAlign w:val="center"/>
          </w:tcPr>
          <w:p/>
        </w:tc>
        <w:tc>
          <w:tcPr>
            <w:tcW w:w="9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9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78"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803" w:type="dxa"/>
            <w:vMerge/>
            <w:tcBorders>
              <w:top w:val="single" w:sz="4" w:space="0" w:color="000000"/>
              <w:left w:val="single" w:sz="4" w:space="0" w:color="000000"/>
              <w:bottom w:val="single" w:sz="4" w:space="0" w:color="000000"/>
              <w:right w:val="single" w:sz="4" w:space="0" w:color="000000"/>
            </w:tcBorders>
            <w:noWrap/>
            <w:vAlign w:val="center"/>
          </w:tcPr>
          <w:p/>
        </w:tc>
        <w:tc>
          <w:tcPr>
            <w:tcW w:w="9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301"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718"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9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9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78"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80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9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9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9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17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803" w:type="dxa"/>
            <w:vMerge/>
            <w:tcBorders>
              <w:top w:val="single" w:sz="4" w:space="0" w:color="000000"/>
              <w:left w:val="single" w:sz="4" w:space="0" w:color="000000"/>
              <w:bottom w:val="single" w:sz="4" w:space="0" w:color="000000"/>
              <w:right w:val="single" w:sz="4" w:space="0" w:color="000000"/>
            </w:tcBorders>
            <w:noWrap/>
            <w:vAlign w:val="center"/>
          </w:tcPr>
          <w:p/>
        </w:tc>
        <w:tc>
          <w:tcPr>
            <w:tcW w:w="9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9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117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803" w:type="dxa"/>
            <w:vMerge/>
            <w:tcBorders>
              <w:top w:val="single" w:sz="4" w:space="0" w:color="000000"/>
              <w:left w:val="single" w:sz="4" w:space="0" w:color="000000"/>
              <w:bottom w:val="single" w:sz="4" w:space="0" w:color="000000"/>
              <w:right w:val="single" w:sz="4" w:space="0" w:color="000000"/>
            </w:tcBorders>
            <w:noWrap/>
            <w:vAlign w:val="center"/>
          </w:tcPr>
          <w:p/>
        </w:tc>
        <w:tc>
          <w:tcPr>
            <w:tcW w:w="9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30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39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9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17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6728"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9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178"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80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58"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80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58"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80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258"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427"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634"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803"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3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8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30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39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2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39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8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9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5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7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sz w:val="15"/>
          <w:szCs w:val="15"/>
          <w:lang w:val="en-US" w:eastAsia="zh-CN"/>
        </w:rPr>
      </w:pPr>
    </w:p>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71"/>
        <w:gridCol w:w="1055"/>
        <w:gridCol w:w="927"/>
        <w:gridCol w:w="1207"/>
        <w:gridCol w:w="655"/>
        <w:gridCol w:w="651"/>
        <w:gridCol w:w="655"/>
        <w:gridCol w:w="1143"/>
        <w:gridCol w:w="510"/>
        <w:gridCol w:w="510"/>
        <w:gridCol w:w="684"/>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2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42"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51322622R000000308399</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生活补助（遗嘱人员）</w:t>
            </w:r>
          </w:p>
        </w:tc>
      </w:tr>
      <w:tr>
        <w:trPr>
          <w:trHeight w:val="512"/>
        </w:trPr>
        <w:tc>
          <w:tcPr>
            <w:tcW w:w="202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43"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04"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5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4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vMerge/>
            <w:tcBorders>
              <w:top w:val="single" w:sz="4" w:space="0" w:color="000000"/>
              <w:left w:val="single" w:sz="4" w:space="0" w:color="000000"/>
              <w:bottom w:val="single" w:sz="4" w:space="0" w:color="000000"/>
              <w:right w:val="single" w:sz="4" w:space="0" w:color="000000"/>
            </w:tcBorders>
            <w:noWrap/>
            <w:vAlign w:val="center"/>
          </w:tcP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4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42"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3.76</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2.22</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2.22</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84"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3.76</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2.22</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2.22</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43"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64"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1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5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7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2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0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43"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8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71"/>
        <w:gridCol w:w="1055"/>
        <w:gridCol w:w="927"/>
        <w:gridCol w:w="1207"/>
        <w:gridCol w:w="655"/>
        <w:gridCol w:w="651"/>
        <w:gridCol w:w="655"/>
        <w:gridCol w:w="1143"/>
        <w:gridCol w:w="510"/>
        <w:gridCol w:w="510"/>
        <w:gridCol w:w="684"/>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2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42"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51322622R000000308424-春节慰问金</w:t>
            </w:r>
          </w:p>
        </w:tc>
      </w:tr>
      <w:tr>
        <w:trPr>
          <w:trHeight w:val="512"/>
        </w:trPr>
        <w:tc>
          <w:tcPr>
            <w:tcW w:w="202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43"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04"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5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4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vMerge/>
            <w:tcBorders>
              <w:top w:val="single" w:sz="4" w:space="0" w:color="000000"/>
              <w:left w:val="single" w:sz="4" w:space="0" w:color="000000"/>
              <w:bottom w:val="single" w:sz="4" w:space="0" w:color="000000"/>
              <w:right w:val="single" w:sz="4" w:space="0" w:color="000000"/>
            </w:tcBorders>
            <w:noWrap/>
            <w:vAlign w:val="center"/>
          </w:tcP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4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42"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4.60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5.97</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5.97</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84"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4.60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5.97</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5.97</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43"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64"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1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5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7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2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0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43"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8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3"/>
        <w:gridCol w:w="1046"/>
        <w:gridCol w:w="920"/>
        <w:gridCol w:w="1260"/>
        <w:gridCol w:w="649"/>
        <w:gridCol w:w="647"/>
        <w:gridCol w:w="649"/>
        <w:gridCol w:w="1137"/>
        <w:gridCol w:w="509"/>
        <w:gridCol w:w="509"/>
        <w:gridCol w:w="67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5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51322622R000006494124</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退休人员一次性退休补贴</w:t>
            </w:r>
          </w:p>
        </w:tc>
      </w:tr>
      <w:tr>
        <w:trPr>
          <w:trHeight w:val="512"/>
        </w:trPr>
        <w:tc>
          <w:tcPr>
            <w:tcW w:w="200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1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7"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97"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6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1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34"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vMerge/>
            <w:tcBorders>
              <w:top w:val="single" w:sz="4" w:space="0" w:color="000000"/>
              <w:left w:val="single" w:sz="4" w:space="0" w:color="000000"/>
              <w:bottom w:val="single" w:sz="4" w:space="0" w:color="000000"/>
              <w:right w:val="single" w:sz="4" w:space="0" w:color="000000"/>
            </w:tcBorders>
            <w:noWrap/>
            <w:vAlign w:val="center"/>
          </w:tcPr>
          <w:p/>
        </w:tc>
        <w:tc>
          <w:tcPr>
            <w:tcW w:w="41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34"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59"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16.65</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16.65</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7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16.65</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16.65</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6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71"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5"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38"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30"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63"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4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2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6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7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tbl>
      <w:tblPr>
        <w:tblpPr w:leftFromText="180" w:rightFromText="180" w:vertAnchor="text" w:horzAnchor="page" w:tblpX="1688" w:tblpY="318"/>
        <w:tblOverlap w:val="never"/>
        <w:tblW w:w="906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6"/>
        <w:gridCol w:w="1050"/>
        <w:gridCol w:w="989"/>
        <w:gridCol w:w="1266"/>
        <w:gridCol w:w="651"/>
        <w:gridCol w:w="649"/>
        <w:gridCol w:w="651"/>
        <w:gridCol w:w="1139"/>
        <w:gridCol w:w="510"/>
        <w:gridCol w:w="510"/>
        <w:gridCol w:w="680"/>
      </w:tblGrid>
      <w:tr>
        <w:trPr>
          <w:trHeight w:val="904"/>
        </w:trPr>
        <w:tc>
          <w:tcPr>
            <w:tcW w:w="9061"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1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045"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51322623R000007822512</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机关事业单位基本养老保险缴费</w:t>
            </w:r>
          </w:p>
        </w:tc>
      </w:tr>
      <w:tr>
        <w:trPr>
          <w:trHeight w:val="512"/>
        </w:trPr>
        <w:tc>
          <w:tcPr>
            <w:tcW w:w="201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20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9"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0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6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50"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20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39"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50" w:type="dxa"/>
            <w:vMerge/>
            <w:tcBorders>
              <w:top w:val="single" w:sz="4" w:space="0" w:color="000000"/>
              <w:left w:val="single" w:sz="4" w:space="0" w:color="000000"/>
              <w:bottom w:val="single" w:sz="4" w:space="0" w:color="000000"/>
              <w:right w:val="single" w:sz="4" w:space="0" w:color="000000"/>
            </w:tcBorders>
            <w:noWrap/>
            <w:vAlign w:val="center"/>
          </w:tcPr>
          <w:p/>
        </w:tc>
        <w:tc>
          <w:tcPr>
            <w:tcW w:w="420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39"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5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045"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5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5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5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70.29</w:t>
            </w:r>
          </w:p>
        </w:tc>
        <w:tc>
          <w:tcPr>
            <w:tcW w:w="12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58.78</w:t>
            </w:r>
          </w:p>
        </w:tc>
        <w:tc>
          <w:tcPr>
            <w:tcW w:w="195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58.78</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80"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5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70.29</w:t>
            </w:r>
          </w:p>
        </w:tc>
        <w:tc>
          <w:tcPr>
            <w:tcW w:w="12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58.78</w:t>
            </w:r>
          </w:p>
        </w:tc>
        <w:tc>
          <w:tcPr>
            <w:tcW w:w="195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58.78</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5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5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5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5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5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6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51"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5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5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5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361"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8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95"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9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9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922"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39"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6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5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8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6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8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54"/>
        <w:gridCol w:w="1035"/>
        <w:gridCol w:w="979"/>
        <w:gridCol w:w="1248"/>
        <w:gridCol w:w="644"/>
        <w:gridCol w:w="644"/>
        <w:gridCol w:w="644"/>
        <w:gridCol w:w="1130"/>
        <w:gridCol w:w="509"/>
        <w:gridCol w:w="509"/>
        <w:gridCol w:w="672"/>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98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7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51322623R000007822795</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职业年金缴费</w:t>
            </w:r>
          </w:p>
        </w:tc>
      </w:tr>
      <w:tr>
        <w:trPr>
          <w:trHeight w:val="512"/>
        </w:trPr>
        <w:tc>
          <w:tcPr>
            <w:tcW w:w="198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0"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9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2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2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79"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35.15</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29.39</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29.39</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72"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35.15</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29.39</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29.39</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4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78"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60"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0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pStyle w:val="15"/>
        <w:rPr>
          <w:lang w:val="en-US" w:eastAsia="zh-CN"/>
        </w:rPr>
      </w:pPr>
    </w:p>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6"/>
        <w:gridCol w:w="1049"/>
        <w:gridCol w:w="989"/>
        <w:gridCol w:w="1265"/>
        <w:gridCol w:w="651"/>
        <w:gridCol w:w="648"/>
        <w:gridCol w:w="651"/>
        <w:gridCol w:w="1139"/>
        <w:gridCol w:w="510"/>
        <w:gridCol w:w="510"/>
        <w:gridCol w:w="590"/>
      </w:tblGrid>
      <w:tr>
        <w:trPr>
          <w:trHeight w:val="71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5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51322623R000007823104</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职工基本医疗保险缴费</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204"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9"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1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6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204"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749"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49" w:type="dxa"/>
            <w:vMerge/>
            <w:tcBorders>
              <w:top w:val="single" w:sz="4" w:space="0" w:color="000000"/>
              <w:left w:val="single" w:sz="4" w:space="0" w:color="000000"/>
              <w:bottom w:val="single" w:sz="4" w:space="0" w:color="000000"/>
              <w:right w:val="single" w:sz="4" w:space="0" w:color="000000"/>
            </w:tcBorders>
            <w:noWrap/>
            <w:vAlign w:val="center"/>
          </w:tcPr>
          <w:p/>
        </w:tc>
        <w:tc>
          <w:tcPr>
            <w:tcW w:w="4204"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749"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5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5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5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33.78</w:t>
            </w:r>
          </w:p>
        </w:tc>
        <w:tc>
          <w:tcPr>
            <w:tcW w:w="12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27.85</w:t>
            </w:r>
          </w:p>
        </w:tc>
        <w:tc>
          <w:tcPr>
            <w:tcW w:w="195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27.85</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90"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33.78</w:t>
            </w:r>
          </w:p>
        </w:tc>
        <w:tc>
          <w:tcPr>
            <w:tcW w:w="12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27.85</w:t>
            </w:r>
          </w:p>
        </w:tc>
        <w:tc>
          <w:tcPr>
            <w:tcW w:w="195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27.85</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9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5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9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5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9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6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50"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90"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5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9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6" w:type="dxa"/>
            <w:vMerge/>
            <w:tcBorders>
              <w:top w:val="single" w:sz="4" w:space="0" w:color="000000"/>
              <w:left w:val="single" w:sz="4" w:space="0" w:color="000000"/>
              <w:bottom w:val="single" w:sz="4" w:space="0" w:color="000000"/>
              <w:right w:val="single" w:sz="4" w:space="0" w:color="000000"/>
            </w:tcBorders>
            <w:noWrap/>
            <w:vAlign w:val="center"/>
          </w:tcPr>
          <w:p/>
        </w:tc>
        <w:tc>
          <w:tcPr>
            <w:tcW w:w="10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9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358"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9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2"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2"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2"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920"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04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54"/>
        <w:gridCol w:w="1035"/>
        <w:gridCol w:w="979"/>
        <w:gridCol w:w="1248"/>
        <w:gridCol w:w="644"/>
        <w:gridCol w:w="644"/>
        <w:gridCol w:w="644"/>
        <w:gridCol w:w="1130"/>
        <w:gridCol w:w="509"/>
        <w:gridCol w:w="509"/>
        <w:gridCol w:w="672"/>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98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7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51322623R000007823104</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职工基本医疗保险缴费</w:t>
            </w:r>
          </w:p>
        </w:tc>
      </w:tr>
      <w:tr>
        <w:trPr>
          <w:trHeight w:val="512"/>
        </w:trPr>
        <w:tc>
          <w:tcPr>
            <w:tcW w:w="198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0"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9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2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2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79"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33.78</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27.85</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27.85</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72"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33.78</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27.85</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27.85</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4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78"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60"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0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5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3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7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4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7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71"/>
        <w:gridCol w:w="1055"/>
        <w:gridCol w:w="927"/>
        <w:gridCol w:w="1207"/>
        <w:gridCol w:w="655"/>
        <w:gridCol w:w="651"/>
        <w:gridCol w:w="655"/>
        <w:gridCol w:w="1143"/>
        <w:gridCol w:w="510"/>
        <w:gridCol w:w="510"/>
        <w:gridCol w:w="684"/>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2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42"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51322623R000007823763</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奖励金</w:t>
            </w:r>
          </w:p>
        </w:tc>
      </w:tr>
      <w:tr>
        <w:trPr>
          <w:trHeight w:val="512"/>
        </w:trPr>
        <w:tc>
          <w:tcPr>
            <w:tcW w:w="202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43"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04"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5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4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vMerge/>
            <w:tcBorders>
              <w:top w:val="single" w:sz="4" w:space="0" w:color="000000"/>
              <w:left w:val="single" w:sz="4" w:space="0" w:color="000000"/>
              <w:bottom w:val="single" w:sz="4" w:space="0" w:color="000000"/>
              <w:right w:val="single" w:sz="4" w:space="0" w:color="000000"/>
            </w:tcBorders>
            <w:noWrap/>
            <w:vAlign w:val="center"/>
          </w:tcP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4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42"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0.01</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0.01</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0.01</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84"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0.01</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0.01</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0.01</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43"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64"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1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5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7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2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0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43"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8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rPr>
          <w:lang w:val="en-US" w:eastAsia="zh-CN"/>
        </w:rPr>
      </w:pPr>
    </w:p>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3"/>
        <w:gridCol w:w="1046"/>
        <w:gridCol w:w="920"/>
        <w:gridCol w:w="1260"/>
        <w:gridCol w:w="649"/>
        <w:gridCol w:w="647"/>
        <w:gridCol w:w="649"/>
        <w:gridCol w:w="1137"/>
        <w:gridCol w:w="509"/>
        <w:gridCol w:w="509"/>
        <w:gridCol w:w="67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5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51322623R000008940976</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年度考核奖</w:t>
            </w:r>
          </w:p>
        </w:tc>
      </w:tr>
      <w:tr>
        <w:trPr>
          <w:trHeight w:val="512"/>
        </w:trPr>
        <w:tc>
          <w:tcPr>
            <w:tcW w:w="200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1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7"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97"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6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1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34"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vMerge/>
            <w:tcBorders>
              <w:top w:val="single" w:sz="4" w:space="0" w:color="000000"/>
              <w:left w:val="single" w:sz="4" w:space="0" w:color="000000"/>
              <w:bottom w:val="single" w:sz="4" w:space="0" w:color="000000"/>
              <w:right w:val="single" w:sz="4" w:space="0" w:color="000000"/>
            </w:tcBorders>
            <w:noWrap/>
            <w:vAlign w:val="center"/>
          </w:tcPr>
          <w:p/>
        </w:tc>
        <w:tc>
          <w:tcPr>
            <w:tcW w:w="41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34"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59"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68.21</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68.21</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7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68.21</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68.21</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6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71"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5"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38"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30"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63"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4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2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6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7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71"/>
        <w:gridCol w:w="1055"/>
        <w:gridCol w:w="927"/>
        <w:gridCol w:w="1207"/>
        <w:gridCol w:w="655"/>
        <w:gridCol w:w="651"/>
        <w:gridCol w:w="655"/>
        <w:gridCol w:w="1143"/>
        <w:gridCol w:w="510"/>
        <w:gridCol w:w="510"/>
        <w:gridCol w:w="684"/>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2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42"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51322623R000009124010</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年度考核奖励奖金</w:t>
            </w:r>
          </w:p>
        </w:tc>
      </w:tr>
      <w:tr>
        <w:trPr>
          <w:trHeight w:val="512"/>
        </w:trPr>
        <w:tc>
          <w:tcPr>
            <w:tcW w:w="202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43"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04"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5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4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vMerge/>
            <w:tcBorders>
              <w:top w:val="single" w:sz="4" w:space="0" w:color="000000"/>
              <w:left w:val="single" w:sz="4" w:space="0" w:color="000000"/>
              <w:bottom w:val="single" w:sz="4" w:space="0" w:color="000000"/>
              <w:right w:val="single" w:sz="4" w:space="0" w:color="000000"/>
            </w:tcBorders>
            <w:noWrap/>
            <w:vAlign w:val="center"/>
          </w:tcP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4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42"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0.15</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0.15</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84"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0.15</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0.15</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43"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64"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1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5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7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2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0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43"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8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37"/>
        <w:gridCol w:w="1014"/>
        <w:gridCol w:w="1033"/>
        <w:gridCol w:w="1289"/>
        <w:gridCol w:w="633"/>
        <w:gridCol w:w="637"/>
        <w:gridCol w:w="633"/>
        <w:gridCol w:w="1117"/>
        <w:gridCol w:w="508"/>
        <w:gridCol w:w="508"/>
        <w:gridCol w:w="65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95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017"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51322624R000010562265</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在职在编人员基本工资</w:t>
            </w:r>
          </w:p>
        </w:tc>
      </w:tr>
      <w:tr>
        <w:trPr>
          <w:trHeight w:val="512"/>
        </w:trPr>
        <w:tc>
          <w:tcPr>
            <w:tcW w:w="195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2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17"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37"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1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2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792"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37" w:type="dxa"/>
            <w:vMerge/>
            <w:tcBorders>
              <w:top w:val="single" w:sz="4" w:space="0" w:color="000000"/>
              <w:left w:val="single" w:sz="4" w:space="0" w:color="000000"/>
              <w:bottom w:val="single" w:sz="4" w:space="0" w:color="000000"/>
              <w:right w:val="single" w:sz="4" w:space="0" w:color="000000"/>
            </w:tcBorders>
            <w:noWrap/>
            <w:vAlign w:val="center"/>
          </w:tcPr>
          <w:p/>
        </w:tc>
        <w:tc>
          <w:tcPr>
            <w:tcW w:w="1014" w:type="dxa"/>
            <w:vMerge/>
            <w:tcBorders>
              <w:top w:val="single" w:sz="4" w:space="0" w:color="000000"/>
              <w:left w:val="single" w:sz="4" w:space="0" w:color="000000"/>
              <w:bottom w:val="single" w:sz="4" w:space="0" w:color="000000"/>
              <w:right w:val="single" w:sz="4" w:space="0" w:color="000000"/>
            </w:tcBorders>
            <w:noWrap/>
            <w:vAlign w:val="center"/>
          </w:tcPr>
          <w:p/>
        </w:tc>
        <w:tc>
          <w:tcPr>
            <w:tcW w:w="42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792"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37" w:type="dxa"/>
            <w:vMerge/>
            <w:tcBorders>
              <w:top w:val="single" w:sz="4" w:space="0" w:color="000000"/>
              <w:left w:val="single" w:sz="4" w:space="0" w:color="000000"/>
              <w:bottom w:val="single" w:sz="4" w:space="0" w:color="000000"/>
              <w:right w:val="single" w:sz="4" w:space="0" w:color="000000"/>
            </w:tcBorders>
            <w:noWrap/>
            <w:vAlign w:val="center"/>
          </w:tcPr>
          <w:p/>
        </w:tc>
        <w:tc>
          <w:tcPr>
            <w:tcW w:w="10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017"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37"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0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1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5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37" w:type="dxa"/>
            <w:vMerge/>
            <w:tcBorders>
              <w:top w:val="single" w:sz="4" w:space="0" w:color="000000"/>
              <w:left w:val="single" w:sz="4" w:space="0" w:color="000000"/>
              <w:bottom w:val="single" w:sz="4" w:space="0" w:color="000000"/>
              <w:right w:val="single" w:sz="4" w:space="0" w:color="000000"/>
            </w:tcBorders>
            <w:noWrap/>
            <w:vAlign w:val="center"/>
          </w:tcPr>
          <w:p/>
        </w:tc>
        <w:tc>
          <w:tcPr>
            <w:tcW w:w="10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151.72</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126.21</w:t>
            </w:r>
          </w:p>
        </w:tc>
        <w:tc>
          <w:tcPr>
            <w:tcW w:w="190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126.21</w:t>
            </w:r>
          </w:p>
        </w:tc>
        <w:tc>
          <w:tcPr>
            <w:tcW w:w="111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5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37" w:type="dxa"/>
            <w:vMerge/>
            <w:tcBorders>
              <w:top w:val="single" w:sz="4" w:space="0" w:color="000000"/>
              <w:left w:val="single" w:sz="4" w:space="0" w:color="000000"/>
              <w:bottom w:val="single" w:sz="4" w:space="0" w:color="000000"/>
              <w:right w:val="single" w:sz="4" w:space="0" w:color="000000"/>
            </w:tcBorders>
            <w:noWrap/>
            <w:vAlign w:val="center"/>
          </w:tcPr>
          <w:p/>
        </w:tc>
        <w:tc>
          <w:tcPr>
            <w:tcW w:w="10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151.72</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126.21</w:t>
            </w:r>
          </w:p>
        </w:tc>
        <w:tc>
          <w:tcPr>
            <w:tcW w:w="190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126.21</w:t>
            </w:r>
          </w:p>
        </w:tc>
        <w:tc>
          <w:tcPr>
            <w:tcW w:w="111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37" w:type="dxa"/>
            <w:vMerge/>
            <w:tcBorders>
              <w:top w:val="single" w:sz="4" w:space="0" w:color="000000"/>
              <w:left w:val="single" w:sz="4" w:space="0" w:color="000000"/>
              <w:bottom w:val="single" w:sz="4" w:space="0" w:color="000000"/>
              <w:right w:val="single" w:sz="4" w:space="0" w:color="000000"/>
            </w:tcBorders>
            <w:noWrap/>
            <w:vAlign w:val="center"/>
          </w:tcPr>
          <w:p/>
        </w:tc>
        <w:tc>
          <w:tcPr>
            <w:tcW w:w="10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0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1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37" w:type="dxa"/>
            <w:vMerge/>
            <w:tcBorders>
              <w:top w:val="single" w:sz="4" w:space="0" w:color="000000"/>
              <w:left w:val="single" w:sz="4" w:space="0" w:color="000000"/>
              <w:bottom w:val="single" w:sz="4" w:space="0" w:color="000000"/>
              <w:right w:val="single" w:sz="4" w:space="0" w:color="000000"/>
            </w:tcBorders>
            <w:noWrap/>
            <w:vAlign w:val="center"/>
          </w:tcPr>
          <w:p/>
        </w:tc>
        <w:tc>
          <w:tcPr>
            <w:tcW w:w="10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0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1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37" w:type="dxa"/>
            <w:vMerge/>
            <w:tcBorders>
              <w:top w:val="single" w:sz="4" w:space="0" w:color="000000"/>
              <w:left w:val="single" w:sz="4" w:space="0" w:color="000000"/>
              <w:bottom w:val="single" w:sz="4" w:space="0" w:color="000000"/>
              <w:right w:val="single" w:sz="4" w:space="0" w:color="000000"/>
            </w:tcBorders>
            <w:noWrap/>
            <w:vAlign w:val="center"/>
          </w:tcPr>
          <w:p/>
        </w:tc>
        <w:tc>
          <w:tcPr>
            <w:tcW w:w="10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33"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8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03"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1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37"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1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5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37" w:type="dxa"/>
            <w:vMerge/>
            <w:tcBorders>
              <w:top w:val="single" w:sz="4" w:space="0" w:color="000000"/>
              <w:left w:val="single" w:sz="4" w:space="0" w:color="000000"/>
              <w:bottom w:val="single" w:sz="4" w:space="0" w:color="000000"/>
              <w:right w:val="single" w:sz="4" w:space="0" w:color="000000"/>
            </w:tcBorders>
            <w:noWrap/>
            <w:vAlign w:val="center"/>
          </w:tcPr>
          <w:p/>
        </w:tc>
        <w:tc>
          <w:tcPr>
            <w:tcW w:w="10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1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5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37" w:type="dxa"/>
            <w:vMerge/>
            <w:tcBorders>
              <w:top w:val="single" w:sz="4" w:space="0" w:color="000000"/>
              <w:left w:val="single" w:sz="4" w:space="0" w:color="000000"/>
              <w:bottom w:val="single" w:sz="4" w:space="0" w:color="000000"/>
              <w:right w:val="single" w:sz="4" w:space="0" w:color="000000"/>
            </w:tcBorders>
            <w:noWrap/>
            <w:vAlign w:val="center"/>
          </w:tcPr>
          <w:p/>
        </w:tc>
        <w:tc>
          <w:tcPr>
            <w:tcW w:w="10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8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3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1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5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93"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31"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31"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31"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90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062"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54"/>
        <w:gridCol w:w="1035"/>
        <w:gridCol w:w="979"/>
        <w:gridCol w:w="1248"/>
        <w:gridCol w:w="644"/>
        <w:gridCol w:w="644"/>
        <w:gridCol w:w="644"/>
        <w:gridCol w:w="1130"/>
        <w:gridCol w:w="509"/>
        <w:gridCol w:w="509"/>
        <w:gridCol w:w="672"/>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98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7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51322624R000010567592</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年终一次性奖金（行政）</w:t>
            </w:r>
          </w:p>
        </w:tc>
      </w:tr>
      <w:tr>
        <w:trPr>
          <w:trHeight w:val="512"/>
        </w:trPr>
        <w:tc>
          <w:tcPr>
            <w:tcW w:w="198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0"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9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2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2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79"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12.64</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10.38</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10.38</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72"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12.64</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10.38</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10.38</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4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78"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60"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0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5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3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7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4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7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54"/>
        <w:gridCol w:w="1035"/>
        <w:gridCol w:w="979"/>
        <w:gridCol w:w="1248"/>
        <w:gridCol w:w="644"/>
        <w:gridCol w:w="644"/>
        <w:gridCol w:w="644"/>
        <w:gridCol w:w="1130"/>
        <w:gridCol w:w="509"/>
        <w:gridCol w:w="509"/>
        <w:gridCol w:w="672"/>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98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7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51322624R000010568356</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公务员规范津贴补贴</w:t>
            </w:r>
          </w:p>
        </w:tc>
      </w:tr>
      <w:tr>
        <w:trPr>
          <w:trHeight w:val="512"/>
        </w:trPr>
        <w:tc>
          <w:tcPr>
            <w:tcW w:w="198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0"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9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2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2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79"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99.44</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82.61</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82.61</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72"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99.44</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82.61</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82.61</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4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78"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60"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0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5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3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7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4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7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46"/>
        <w:gridCol w:w="1025"/>
        <w:gridCol w:w="1040"/>
        <w:gridCol w:w="1234"/>
        <w:gridCol w:w="638"/>
        <w:gridCol w:w="640"/>
        <w:gridCol w:w="638"/>
        <w:gridCol w:w="1124"/>
        <w:gridCol w:w="508"/>
        <w:gridCol w:w="509"/>
        <w:gridCol w:w="666"/>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97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97"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51322624R000010570295</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基础绩效奖（行政）</w:t>
            </w:r>
          </w:p>
        </w:tc>
      </w:tr>
      <w:tr>
        <w:trPr>
          <w:trHeight w:val="512"/>
        </w:trPr>
        <w:tc>
          <w:tcPr>
            <w:tcW w:w="197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190"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24"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8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4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2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190"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46" w:type="dxa"/>
            <w:vMerge/>
            <w:tcBorders>
              <w:top w:val="single" w:sz="4" w:space="0" w:color="000000"/>
              <w:left w:val="single" w:sz="4" w:space="0" w:color="000000"/>
              <w:bottom w:val="single" w:sz="4" w:space="0" w:color="000000"/>
              <w:right w:val="single" w:sz="4" w:space="0" w:color="000000"/>
            </w:tcBorders>
            <w:noWrap/>
            <w:vAlign w:val="center"/>
          </w:tcPr>
          <w:p/>
        </w:tc>
        <w:tc>
          <w:tcPr>
            <w:tcW w:w="1025" w:type="dxa"/>
            <w:vMerge/>
            <w:tcBorders>
              <w:top w:val="single" w:sz="4" w:space="0" w:color="000000"/>
              <w:left w:val="single" w:sz="4" w:space="0" w:color="000000"/>
              <w:bottom w:val="single" w:sz="4" w:space="0" w:color="000000"/>
              <w:right w:val="single" w:sz="4" w:space="0" w:color="000000"/>
            </w:tcBorders>
            <w:noWrap/>
            <w:vAlign w:val="center"/>
          </w:tcPr>
          <w:p/>
        </w:tc>
        <w:tc>
          <w:tcPr>
            <w:tcW w:w="4190"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46" w:type="dxa"/>
            <w:vMerge/>
            <w:tcBorders>
              <w:top w:val="single" w:sz="4" w:space="0" w:color="000000"/>
              <w:left w:val="single" w:sz="4" w:space="0" w:color="000000"/>
              <w:bottom w:val="single" w:sz="4" w:space="0" w:color="000000"/>
              <w:right w:val="single" w:sz="4" w:space="0" w:color="000000"/>
            </w:tcBorders>
            <w:noWrap/>
            <w:vAlign w:val="center"/>
          </w:tcPr>
          <w:p/>
        </w:tc>
        <w:tc>
          <w:tcPr>
            <w:tcW w:w="102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97"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4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2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1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46" w:type="dxa"/>
            <w:vMerge/>
            <w:tcBorders>
              <w:top w:val="single" w:sz="4" w:space="0" w:color="000000"/>
              <w:left w:val="single" w:sz="4" w:space="0" w:color="000000"/>
              <w:bottom w:val="single" w:sz="4" w:space="0" w:color="000000"/>
              <w:right w:val="single" w:sz="4" w:space="0" w:color="000000"/>
            </w:tcBorders>
            <w:noWrap/>
            <w:vAlign w:val="center"/>
          </w:tcPr>
          <w:p/>
        </w:tc>
        <w:tc>
          <w:tcPr>
            <w:tcW w:w="102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117.31</w:t>
            </w:r>
          </w:p>
        </w:tc>
        <w:tc>
          <w:tcPr>
            <w:tcW w:w="12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97.53</w:t>
            </w:r>
          </w:p>
        </w:tc>
        <w:tc>
          <w:tcPr>
            <w:tcW w:w="191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97.53</w:t>
            </w:r>
          </w:p>
        </w:tc>
        <w:tc>
          <w:tcPr>
            <w:tcW w:w="11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66"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46" w:type="dxa"/>
            <w:vMerge/>
            <w:tcBorders>
              <w:top w:val="single" w:sz="4" w:space="0" w:color="000000"/>
              <w:left w:val="single" w:sz="4" w:space="0" w:color="000000"/>
              <w:bottom w:val="single" w:sz="4" w:space="0" w:color="000000"/>
              <w:right w:val="single" w:sz="4" w:space="0" w:color="000000"/>
            </w:tcBorders>
            <w:noWrap/>
            <w:vAlign w:val="center"/>
          </w:tcPr>
          <w:p/>
        </w:tc>
        <w:tc>
          <w:tcPr>
            <w:tcW w:w="102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117.31</w:t>
            </w:r>
          </w:p>
        </w:tc>
        <w:tc>
          <w:tcPr>
            <w:tcW w:w="12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97.53</w:t>
            </w:r>
          </w:p>
        </w:tc>
        <w:tc>
          <w:tcPr>
            <w:tcW w:w="191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97.53</w:t>
            </w:r>
          </w:p>
        </w:tc>
        <w:tc>
          <w:tcPr>
            <w:tcW w:w="11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46" w:type="dxa"/>
            <w:vMerge/>
            <w:tcBorders>
              <w:top w:val="single" w:sz="4" w:space="0" w:color="000000"/>
              <w:left w:val="single" w:sz="4" w:space="0" w:color="000000"/>
              <w:bottom w:val="single" w:sz="4" w:space="0" w:color="000000"/>
              <w:right w:val="single" w:sz="4" w:space="0" w:color="000000"/>
            </w:tcBorders>
            <w:noWrap/>
            <w:vAlign w:val="center"/>
          </w:tcPr>
          <w:p/>
        </w:tc>
        <w:tc>
          <w:tcPr>
            <w:tcW w:w="102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1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46" w:type="dxa"/>
            <w:vMerge/>
            <w:tcBorders>
              <w:top w:val="single" w:sz="4" w:space="0" w:color="000000"/>
              <w:left w:val="single" w:sz="4" w:space="0" w:color="000000"/>
              <w:bottom w:val="single" w:sz="4" w:space="0" w:color="000000"/>
              <w:right w:val="single" w:sz="4" w:space="0" w:color="000000"/>
            </w:tcBorders>
            <w:noWrap/>
            <w:vAlign w:val="center"/>
          </w:tcPr>
          <w:p/>
        </w:tc>
        <w:tc>
          <w:tcPr>
            <w:tcW w:w="102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1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46" w:type="dxa"/>
            <w:vMerge/>
            <w:tcBorders>
              <w:top w:val="single" w:sz="4" w:space="0" w:color="000000"/>
              <w:left w:val="single" w:sz="4" w:space="0" w:color="000000"/>
              <w:bottom w:val="single" w:sz="4" w:space="0" w:color="000000"/>
              <w:right w:val="single" w:sz="4" w:space="0" w:color="000000"/>
            </w:tcBorders>
            <w:noWrap/>
            <w:vAlign w:val="center"/>
          </w:tcPr>
          <w:p/>
        </w:tc>
        <w:tc>
          <w:tcPr>
            <w:tcW w:w="102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4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3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16"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2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4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2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6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46" w:type="dxa"/>
            <w:vMerge/>
            <w:tcBorders>
              <w:top w:val="single" w:sz="4" w:space="0" w:color="000000"/>
              <w:left w:val="single" w:sz="4" w:space="0" w:color="000000"/>
              <w:bottom w:val="single" w:sz="4" w:space="0" w:color="000000"/>
              <w:right w:val="single" w:sz="4" w:space="0" w:color="000000"/>
            </w:tcBorders>
            <w:noWrap/>
            <w:vAlign w:val="center"/>
          </w:tcPr>
          <w:p/>
        </w:tc>
        <w:tc>
          <w:tcPr>
            <w:tcW w:w="102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6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46" w:type="dxa"/>
            <w:vMerge/>
            <w:tcBorders>
              <w:top w:val="single" w:sz="4" w:space="0" w:color="000000"/>
              <w:left w:val="single" w:sz="4" w:space="0" w:color="000000"/>
              <w:bottom w:val="single" w:sz="4" w:space="0" w:color="000000"/>
              <w:right w:val="single" w:sz="4" w:space="0" w:color="000000"/>
            </w:tcBorders>
            <w:noWrap/>
            <w:vAlign w:val="center"/>
          </w:tcPr>
          <w:p/>
        </w:tc>
        <w:tc>
          <w:tcPr>
            <w:tcW w:w="102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3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6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85"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66"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22"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22"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22"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83"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085"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4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2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4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3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3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3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2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6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54"/>
        <w:gridCol w:w="1035"/>
        <w:gridCol w:w="979"/>
        <w:gridCol w:w="1248"/>
        <w:gridCol w:w="644"/>
        <w:gridCol w:w="644"/>
        <w:gridCol w:w="644"/>
        <w:gridCol w:w="1130"/>
        <w:gridCol w:w="509"/>
        <w:gridCol w:w="509"/>
        <w:gridCol w:w="672"/>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98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7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51322624R000010571106</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艰苦边远地区津贴</w:t>
            </w:r>
          </w:p>
        </w:tc>
      </w:tr>
      <w:tr>
        <w:trPr>
          <w:trHeight w:val="512"/>
        </w:trPr>
        <w:tc>
          <w:tcPr>
            <w:tcW w:w="198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0"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9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2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415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2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79"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44.27</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36.36</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36.36</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72"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44.27</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36.36</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36.36</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4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32"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2"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5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54"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4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78"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72"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14"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60"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0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5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3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7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4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7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3"/>
        <w:gridCol w:w="1046"/>
        <w:gridCol w:w="920"/>
        <w:gridCol w:w="1260"/>
        <w:gridCol w:w="649"/>
        <w:gridCol w:w="647"/>
        <w:gridCol w:w="649"/>
        <w:gridCol w:w="1137"/>
        <w:gridCol w:w="509"/>
        <w:gridCol w:w="509"/>
        <w:gridCol w:w="67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5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51322624R000010571424</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高海拔地区折算工龄补贴</w:t>
            </w:r>
          </w:p>
        </w:tc>
      </w:tr>
      <w:tr>
        <w:trPr>
          <w:trHeight w:val="512"/>
        </w:trPr>
        <w:tc>
          <w:tcPr>
            <w:tcW w:w="200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1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7"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97"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6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1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34"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vMerge/>
            <w:tcBorders>
              <w:top w:val="single" w:sz="4" w:space="0" w:color="000000"/>
              <w:left w:val="single" w:sz="4" w:space="0" w:color="000000"/>
              <w:bottom w:val="single" w:sz="4" w:space="0" w:color="000000"/>
              <w:right w:val="single" w:sz="4" w:space="0" w:color="000000"/>
            </w:tcBorders>
            <w:noWrap/>
            <w:vAlign w:val="center"/>
          </w:tcPr>
          <w:p/>
        </w:tc>
        <w:tc>
          <w:tcPr>
            <w:tcW w:w="412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34"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59"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9.77</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16.05</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16.05</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7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9.77</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16.05</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16.05</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6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7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3"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3" w:type="dxa"/>
            <w:vMerge/>
            <w:tcBorders>
              <w:top w:val="single" w:sz="4" w:space="0" w:color="000000"/>
              <w:left w:val="single" w:sz="4" w:space="0" w:color="000000"/>
              <w:bottom w:val="single" w:sz="4" w:space="0" w:color="000000"/>
              <w:right w:val="single" w:sz="4" w:space="0" w:color="000000"/>
            </w:tcBorders>
            <w:noWrap/>
            <w:vAlign w:val="center"/>
          </w:tcPr>
          <w:p/>
        </w:tc>
        <w:tc>
          <w:tcPr>
            <w:tcW w:w="1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71"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7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5"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5"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38"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30"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63"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4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2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6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7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71"/>
        <w:gridCol w:w="1055"/>
        <w:gridCol w:w="927"/>
        <w:gridCol w:w="1207"/>
        <w:gridCol w:w="655"/>
        <w:gridCol w:w="651"/>
        <w:gridCol w:w="655"/>
        <w:gridCol w:w="1143"/>
        <w:gridCol w:w="510"/>
        <w:gridCol w:w="510"/>
        <w:gridCol w:w="684"/>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2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42"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51322624R000010571692</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乡镇工作补贴（行政）</w:t>
            </w:r>
          </w:p>
        </w:tc>
      </w:tr>
      <w:tr>
        <w:trPr>
          <w:trHeight w:val="512"/>
        </w:trPr>
        <w:tc>
          <w:tcPr>
            <w:tcW w:w="2026"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43"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04"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5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84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vMerge/>
            <w:tcBorders>
              <w:top w:val="single" w:sz="4" w:space="0" w:color="000000"/>
              <w:left w:val="single" w:sz="4" w:space="0" w:color="000000"/>
              <w:bottom w:val="single" w:sz="4" w:space="0" w:color="000000"/>
              <w:right w:val="single" w:sz="4" w:space="0" w:color="000000"/>
            </w:tcBorders>
            <w:noWrap/>
            <w:vAlign w:val="center"/>
          </w:tcPr>
          <w:p/>
        </w:tc>
        <w:tc>
          <w:tcPr>
            <w:tcW w:w="409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84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42"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2.28</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0.59</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0.59</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84"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2.28</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0.59</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0.59</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61"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43"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84"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7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71" w:type="dxa"/>
            <w:vMerge/>
            <w:tcBorders>
              <w:top w:val="single" w:sz="4" w:space="0" w:color="000000"/>
              <w:left w:val="single" w:sz="4" w:space="0" w:color="000000"/>
              <w:bottom w:val="single" w:sz="4" w:space="0" w:color="000000"/>
              <w:right w:val="single" w:sz="4" w:space="0" w:color="000000"/>
            </w:tcBorders>
            <w:noWrap/>
            <w:vAlign w:val="center"/>
          </w:tcPr>
          <w:p/>
        </w:tc>
        <w:tc>
          <w:tcPr>
            <w:tcW w:w="10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64"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84"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7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9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1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15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7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2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20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43"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10"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8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rPr>
          <w:lang w:val="en-US" w:eastAsia="zh-CN"/>
        </w:rPr>
      </w:pPr>
    </w:p>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57"/>
        <w:gridCol w:w="1038"/>
        <w:gridCol w:w="914"/>
        <w:gridCol w:w="1185"/>
        <w:gridCol w:w="645"/>
        <w:gridCol w:w="645"/>
        <w:gridCol w:w="645"/>
        <w:gridCol w:w="1181"/>
        <w:gridCol w:w="524"/>
        <w:gridCol w:w="523"/>
        <w:gridCol w:w="711"/>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9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7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51322624R000010574781</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其他工资性支出</w:t>
            </w:r>
          </w:p>
        </w:tc>
      </w:tr>
      <w:tr>
        <w:trPr>
          <w:trHeight w:val="512"/>
        </w:trPr>
        <w:tc>
          <w:tcPr>
            <w:tcW w:w="19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34"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81"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58"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957"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38"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34"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39"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57" w:type="dxa"/>
            <w:vMerge/>
            <w:tcBorders>
              <w:top w:val="single" w:sz="4" w:space="0" w:color="000000"/>
              <w:left w:val="single" w:sz="4" w:space="0" w:color="000000"/>
              <w:bottom w:val="single" w:sz="4" w:space="0" w:color="000000"/>
              <w:right w:val="single" w:sz="4" w:space="0" w:color="000000"/>
            </w:tcBorders>
            <w:noWrap/>
            <w:vAlign w:val="center"/>
          </w:tcPr>
          <w:p/>
        </w:tc>
        <w:tc>
          <w:tcPr>
            <w:tcW w:w="1038" w:type="dxa"/>
            <w:vMerge/>
            <w:tcBorders>
              <w:top w:val="single" w:sz="4" w:space="0" w:color="000000"/>
              <w:left w:val="single" w:sz="4" w:space="0" w:color="000000"/>
              <w:bottom w:val="single" w:sz="4" w:space="0" w:color="000000"/>
              <w:right w:val="single" w:sz="4" w:space="0" w:color="000000"/>
            </w:tcBorders>
            <w:noWrap/>
            <w:vAlign w:val="center"/>
          </w:tcPr>
          <w:p/>
        </w:tc>
        <w:tc>
          <w:tcPr>
            <w:tcW w:w="4034"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39"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对照年度目标，说明相关任务目标的完成情况（100字以内）</w:t>
            </w:r>
          </w:p>
        </w:tc>
      </w:tr>
      <w:tr>
        <w:trPr>
          <w:trHeight w:val="693"/>
        </w:trPr>
        <w:tc>
          <w:tcPr>
            <w:tcW w:w="957" w:type="dxa"/>
            <w:vMerge/>
            <w:tcBorders>
              <w:top w:val="single" w:sz="4" w:space="0" w:color="000000"/>
              <w:left w:val="single" w:sz="4" w:space="0" w:color="000000"/>
              <w:bottom w:val="single" w:sz="4" w:space="0" w:color="000000"/>
              <w:right w:val="single" w:sz="4" w:space="0" w:color="000000"/>
            </w:tcBorders>
            <w:noWrap/>
            <w:vAlign w:val="center"/>
          </w:tcPr>
          <w:p/>
        </w:tc>
        <w:tc>
          <w:tcPr>
            <w:tcW w:w="1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7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57"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3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8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57" w:type="dxa"/>
            <w:vMerge/>
            <w:tcBorders>
              <w:top w:val="single" w:sz="4" w:space="0" w:color="000000"/>
              <w:left w:val="single" w:sz="4" w:space="0" w:color="000000"/>
              <w:bottom w:val="single" w:sz="4" w:space="0" w:color="000000"/>
              <w:right w:val="single" w:sz="4" w:space="0" w:color="000000"/>
            </w:tcBorders>
            <w:noWrap/>
            <w:vAlign w:val="center"/>
          </w:tcPr>
          <w:p/>
        </w:tc>
        <w:tc>
          <w:tcPr>
            <w:tcW w:w="1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1.88</w:t>
            </w:r>
          </w:p>
        </w:tc>
        <w:tc>
          <w:tcPr>
            <w:tcW w:w="11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1.55</w:t>
            </w:r>
          </w:p>
        </w:tc>
        <w:tc>
          <w:tcPr>
            <w:tcW w:w="193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1.55</w:t>
            </w:r>
          </w:p>
        </w:tc>
        <w:tc>
          <w:tcPr>
            <w:tcW w:w="118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1"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57" w:type="dxa"/>
            <w:vMerge/>
            <w:tcBorders>
              <w:top w:val="single" w:sz="4" w:space="0" w:color="000000"/>
              <w:left w:val="single" w:sz="4" w:space="0" w:color="000000"/>
              <w:bottom w:val="single" w:sz="4" w:space="0" w:color="000000"/>
              <w:right w:val="single" w:sz="4" w:space="0" w:color="000000"/>
            </w:tcBorders>
            <w:noWrap/>
            <w:vAlign w:val="center"/>
          </w:tcPr>
          <w:p/>
        </w:tc>
        <w:tc>
          <w:tcPr>
            <w:tcW w:w="1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1.88</w:t>
            </w:r>
          </w:p>
        </w:tc>
        <w:tc>
          <w:tcPr>
            <w:tcW w:w="11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1.55</w:t>
            </w:r>
          </w:p>
        </w:tc>
        <w:tc>
          <w:tcPr>
            <w:tcW w:w="193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1.55</w:t>
            </w:r>
          </w:p>
        </w:tc>
        <w:tc>
          <w:tcPr>
            <w:tcW w:w="118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1"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57" w:type="dxa"/>
            <w:vMerge/>
            <w:tcBorders>
              <w:top w:val="single" w:sz="4" w:space="0" w:color="000000"/>
              <w:left w:val="single" w:sz="4" w:space="0" w:color="000000"/>
              <w:bottom w:val="single" w:sz="4" w:space="0" w:color="000000"/>
              <w:right w:val="single" w:sz="4" w:space="0" w:color="000000"/>
            </w:tcBorders>
            <w:noWrap/>
            <w:vAlign w:val="center"/>
          </w:tcPr>
          <w:p/>
        </w:tc>
        <w:tc>
          <w:tcPr>
            <w:tcW w:w="1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8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1"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57" w:type="dxa"/>
            <w:vMerge/>
            <w:tcBorders>
              <w:top w:val="single" w:sz="4" w:space="0" w:color="000000"/>
              <w:left w:val="single" w:sz="4" w:space="0" w:color="000000"/>
              <w:bottom w:val="single" w:sz="4" w:space="0" w:color="000000"/>
              <w:right w:val="single" w:sz="4" w:space="0" w:color="000000"/>
            </w:tcBorders>
            <w:noWrap/>
            <w:vAlign w:val="center"/>
          </w:tcPr>
          <w:p/>
        </w:tc>
        <w:tc>
          <w:tcPr>
            <w:tcW w:w="1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3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8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1"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57" w:type="dxa"/>
            <w:vMerge/>
            <w:tcBorders>
              <w:top w:val="single" w:sz="4" w:space="0" w:color="000000"/>
              <w:left w:val="single" w:sz="4" w:space="0" w:color="000000"/>
              <w:bottom w:val="single" w:sz="4" w:space="0" w:color="000000"/>
              <w:right w:val="single" w:sz="4" w:space="0" w:color="000000"/>
            </w:tcBorders>
            <w:noWrap/>
            <w:vAlign w:val="center"/>
          </w:tcPr>
          <w:p/>
        </w:tc>
        <w:tc>
          <w:tcPr>
            <w:tcW w:w="1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8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3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81"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1"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57"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8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57" w:type="dxa"/>
            <w:vMerge/>
            <w:tcBorders>
              <w:top w:val="single" w:sz="4" w:space="0" w:color="000000"/>
              <w:left w:val="single" w:sz="4" w:space="0" w:color="000000"/>
              <w:bottom w:val="single" w:sz="4" w:space="0" w:color="000000"/>
              <w:right w:val="single" w:sz="4" w:space="0" w:color="000000"/>
            </w:tcBorders>
            <w:noWrap/>
            <w:vAlign w:val="center"/>
          </w:tcPr>
          <w:p/>
        </w:tc>
        <w:tc>
          <w:tcPr>
            <w:tcW w:w="1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8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1"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57" w:type="dxa"/>
            <w:vMerge/>
            <w:tcBorders>
              <w:top w:val="single" w:sz="4" w:space="0" w:color="000000"/>
              <w:left w:val="single" w:sz="4" w:space="0" w:color="000000"/>
              <w:bottom w:val="single" w:sz="4" w:space="0" w:color="000000"/>
              <w:right w:val="single" w:sz="4" w:space="0" w:color="000000"/>
            </w:tcBorders>
            <w:noWrap/>
            <w:vAlign w:val="center"/>
          </w:tcPr>
          <w:p/>
        </w:tc>
        <w:tc>
          <w:tcPr>
            <w:tcW w:w="1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8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1"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10"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1"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11"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11"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5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11"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39"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29"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5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38"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1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8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8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3"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1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rPr>
          <w:lang w:val="en-US" w:eastAsia="zh-CN"/>
        </w:rPr>
      </w:pPr>
    </w:p>
    <w:p>
      <w:pPr>
        <w:rPr>
          <w:lang w:val="en-US" w:eastAsia="zh-CN"/>
        </w:rPr>
      </w:pPr>
    </w:p>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729"/>
        <w:gridCol w:w="762"/>
        <w:gridCol w:w="283"/>
        <w:gridCol w:w="367"/>
        <w:gridCol w:w="305"/>
        <w:gridCol w:w="1755"/>
        <w:gridCol w:w="226"/>
        <w:gridCol w:w="231"/>
        <w:gridCol w:w="271"/>
        <w:gridCol w:w="278"/>
        <w:gridCol w:w="246"/>
        <w:gridCol w:w="226"/>
        <w:gridCol w:w="511"/>
        <w:gridCol w:w="654"/>
        <w:gridCol w:w="307"/>
        <w:gridCol w:w="495"/>
        <w:gridCol w:w="576"/>
        <w:gridCol w:w="746"/>
      </w:tblGrid>
      <w:tr>
        <w:trPr>
          <w:trHeight w:val="579"/>
        </w:trPr>
        <w:tc>
          <w:tcPr>
            <w:tcW w:w="8968" w:type="dxa"/>
            <w:gridSpan w:val="1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774"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194" w:type="dxa"/>
            <w:gridSpan w:val="1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51322624R000011908631</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退休人员建房补助</w:t>
            </w:r>
          </w:p>
        </w:tc>
      </w:tr>
      <w:tr>
        <w:trPr>
          <w:trHeight w:val="512"/>
        </w:trPr>
        <w:tc>
          <w:tcPr>
            <w:tcW w:w="1774"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905"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65" w:type="dxa"/>
            <w:gridSpan w:val="2"/>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124"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72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5" w:type="dxa"/>
            <w:gridSpan w:val="2"/>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905"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289"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1045"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3905"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3289"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10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194" w:type="dxa"/>
            <w:gridSpan w:val="15"/>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72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6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7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47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6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8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10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6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5.80</w:t>
            </w:r>
          </w:p>
        </w:tc>
        <w:tc>
          <w:tcPr>
            <w:tcW w:w="147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5.80</w:t>
            </w:r>
          </w:p>
        </w:tc>
        <w:tc>
          <w:tcPr>
            <w:tcW w:w="116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8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46"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10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6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5.80</w:t>
            </w:r>
          </w:p>
        </w:tc>
        <w:tc>
          <w:tcPr>
            <w:tcW w:w="147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5.80</w:t>
            </w:r>
          </w:p>
        </w:tc>
        <w:tc>
          <w:tcPr>
            <w:tcW w:w="116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8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10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6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47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6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10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6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478"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6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10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672" w:type="dxa"/>
            <w:gridSpan w:val="2"/>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75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478" w:type="dxa"/>
            <w:gridSpan w:val="6"/>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65" w:type="dxa"/>
            <w:gridSpan w:val="2"/>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8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72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6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7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57"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54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4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6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8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10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6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7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457"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4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6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8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104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6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75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457"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49"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7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6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8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6844" w:type="dxa"/>
            <w:gridSpan w:val="1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8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7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39" w:type="dxa"/>
            <w:gridSpan w:val="17"/>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7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39" w:type="dxa"/>
            <w:gridSpan w:val="17"/>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7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239" w:type="dxa"/>
            <w:gridSpan w:val="17"/>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658"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310"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729" w:type="dxa"/>
            <w:tcBorders>
              <w:top w:val="nil"/>
              <w:left w:val="nil"/>
              <w:bottom w:val="nil"/>
              <w:right w:val="nil"/>
            </w:tcBorders>
            <w:noWrap/>
            <w:vAlign w:val="center"/>
          </w:tcPr>
          <w:p>
            <w:pPr>
              <w:rPr>
                <w:rFonts w:hint="eastAsia"/>
              </w:rPr>
            </w:pPr>
          </w:p>
          <w:p>
            <w:pPr>
              <w:pStyle w:val="15"/>
              <w:rPr>
                <w:rFonts w:hint="eastAsia"/>
              </w:rPr>
            </w:pPr>
          </w:p>
        </w:tc>
        <w:tc>
          <w:tcPr>
            <w:tcW w:w="76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55" w:type="dxa"/>
            <w:gridSpan w:val="3"/>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75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457" w:type="dxa"/>
            <w:gridSpan w:val="2"/>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49" w:type="dxa"/>
            <w:gridSpan w:val="2"/>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472" w:type="dxa"/>
            <w:gridSpan w:val="2"/>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65" w:type="dxa"/>
            <w:gridSpan w:val="2"/>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802" w:type="dxa"/>
            <w:gridSpan w:val="2"/>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4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r>
        <w:trPr>
          <w:trHeight w:val="904"/>
        </w:trPr>
        <w:tc>
          <w:tcPr>
            <w:tcW w:w="8968" w:type="dxa"/>
            <w:gridSpan w:val="1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49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477" w:type="dxa"/>
            <w:gridSpan w:val="1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51322625Y000012345878</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日常公用经费-新</w:t>
            </w:r>
          </w:p>
        </w:tc>
      </w:tr>
      <w:tr>
        <w:trPr>
          <w:trHeight w:val="512"/>
        </w:trPr>
        <w:tc>
          <w:tcPr>
            <w:tcW w:w="149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699"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961" w:type="dxa"/>
            <w:gridSpan w:val="2"/>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817"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金川县人大办公室</w:t>
            </w:r>
          </w:p>
        </w:tc>
      </w:tr>
      <w:tr>
        <w:trPr>
          <w:trHeight w:val="286"/>
        </w:trPr>
        <w:tc>
          <w:tcPr>
            <w:tcW w:w="72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7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699"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778"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vMerge/>
            <w:tcBorders>
              <w:top w:val="single" w:sz="4" w:space="0" w:color="000000"/>
              <w:left w:val="single" w:sz="4" w:space="0" w:color="000000"/>
              <w:bottom w:val="single" w:sz="4" w:space="0" w:color="000000"/>
              <w:right w:val="single" w:sz="4" w:space="0" w:color="000000"/>
            </w:tcBorders>
            <w:noWrap/>
            <w:vAlign w:val="center"/>
          </w:tcPr>
          <w:p/>
        </w:tc>
        <w:tc>
          <w:tcPr>
            <w:tcW w:w="4699"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提高预算编制质量，严格执行预算，保障单位日常运转。</w:t>
            </w:r>
          </w:p>
        </w:tc>
        <w:tc>
          <w:tcPr>
            <w:tcW w:w="2778"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477" w:type="dxa"/>
            <w:gridSpan w:val="16"/>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72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7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76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14.51</w:t>
            </w:r>
          </w:p>
        </w:tc>
        <w:tc>
          <w:tcPr>
            <w:tcW w:w="176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14.51</w:t>
            </w: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46"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14.51</w:t>
            </w:r>
          </w:p>
        </w:tc>
        <w:tc>
          <w:tcPr>
            <w:tcW w:w="176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14.51</w:t>
            </w: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6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6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763" w:type="dxa"/>
            <w:gridSpan w:val="6"/>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6"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729"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76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524"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737"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5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4"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737"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678"/>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vMerge/>
            <w:tcBorders>
              <w:top w:val="single" w:sz="4" w:space="0" w:color="000000"/>
              <w:left w:val="single" w:sz="4" w:space="0" w:color="000000"/>
              <w:bottom w:val="single" w:sz="4" w:space="0" w:color="000000"/>
              <w:right w:val="single" w:sz="4" w:space="0" w:color="000000"/>
            </w:tcBorders>
            <w:noWrap/>
            <w:vAlign w:val="center"/>
          </w:tcP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预算编制准确率（计算方法为：∣（执行数</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预算数）/预算数∣）</w:t>
            </w:r>
          </w:p>
        </w:tc>
        <w:tc>
          <w:tcPr>
            <w:tcW w:w="5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4"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737"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904"/>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cs="宋体" w:hint="eastAsia"/>
                <w:i w:val="0"/>
                <w:iCs w:val="0"/>
                <w:color w:val="000000"/>
                <w:kern w:val="0"/>
                <w:sz w:val="18"/>
                <w:szCs w:val="18"/>
                <w:u w:val="none"/>
                <w:lang w:val="en-US" w:eastAsia="zh-CN"/>
              </w:rPr>
              <w:t>“三公”经费</w:t>
            </w:r>
            <w:r>
              <w:rPr>
                <w:rFonts w:ascii="宋体" w:eastAsia="宋体" w:cs="宋体"/>
                <w:i w:val="0"/>
                <w:iCs w:val="0"/>
                <w:color w:val="000000"/>
                <w:kern w:val="0"/>
                <w:sz w:val="18"/>
                <w:szCs w:val="18"/>
                <w:u w:val="none"/>
                <w:lang w:val="en-US" w:eastAsia="zh-CN"/>
              </w:rPr>
              <w:t>控制率[计算方法为：（</w:t>
            </w:r>
            <w:r>
              <w:rPr>
                <w:rFonts w:ascii="宋体" w:cs="宋体" w:hint="eastAsia"/>
                <w:i w:val="0"/>
                <w:iCs w:val="0"/>
                <w:color w:val="000000"/>
                <w:kern w:val="0"/>
                <w:sz w:val="18"/>
                <w:szCs w:val="18"/>
                <w:u w:val="none"/>
                <w:lang w:val="en-US" w:eastAsia="zh-CN"/>
              </w:rPr>
              <w:t>“三公”经费</w:t>
            </w:r>
            <w:r>
              <w:rPr>
                <w:rFonts w:ascii="宋体" w:eastAsia="宋体" w:cs="宋体"/>
                <w:i w:val="0"/>
                <w:iCs w:val="0"/>
                <w:color w:val="000000"/>
                <w:kern w:val="0"/>
                <w:sz w:val="18"/>
                <w:szCs w:val="18"/>
                <w:u w:val="none"/>
                <w:lang w:val="en-US" w:eastAsia="zh-CN"/>
              </w:rPr>
              <w:t>实际支出数/预算安排数]×100%）</w:t>
            </w:r>
          </w:p>
        </w:tc>
        <w:tc>
          <w:tcPr>
            <w:tcW w:w="5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4"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37"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729" w:type="dxa"/>
            <w:vMerge/>
            <w:tcBorders>
              <w:top w:val="single" w:sz="4" w:space="0" w:color="000000"/>
              <w:left w:val="single" w:sz="4" w:space="0" w:color="000000"/>
              <w:bottom w:val="single" w:sz="4" w:space="0" w:color="000000"/>
              <w:right w:val="single" w:sz="4" w:space="0" w:color="000000"/>
            </w:tcBorders>
            <w:noWrap/>
            <w:vAlign w:val="center"/>
          </w:tcPr>
          <w:p/>
        </w:tc>
        <w:tc>
          <w:tcPr>
            <w:tcW w:w="762" w:type="dxa"/>
            <w:vMerge/>
            <w:tcBorders>
              <w:top w:val="single" w:sz="4" w:space="0" w:color="000000"/>
              <w:left w:val="single" w:sz="4" w:space="0" w:color="000000"/>
              <w:bottom w:val="single" w:sz="4" w:space="0" w:color="000000"/>
              <w:right w:val="single" w:sz="4" w:space="0" w:color="000000"/>
            </w:tcBorders>
            <w:noWrap/>
            <w:vAlign w:val="center"/>
          </w:tcPr>
          <w:p/>
        </w:tc>
        <w:tc>
          <w:tcPr>
            <w:tcW w:w="6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2286"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运转保障率</w:t>
            </w:r>
          </w:p>
        </w:tc>
        <w:tc>
          <w:tcPr>
            <w:tcW w:w="50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4"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37"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61"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51" w:type="dxa"/>
            <w:gridSpan w:val="1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9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46"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7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39" w:type="dxa"/>
            <w:gridSpan w:val="17"/>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7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39" w:type="dxa"/>
            <w:gridSpan w:val="17"/>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7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239" w:type="dxa"/>
            <w:gridSpan w:val="17"/>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92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03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72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6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50" w:type="dxa"/>
            <w:gridSpan w:val="2"/>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2286" w:type="dxa"/>
            <w:gridSpan w:val="3"/>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02" w:type="dxa"/>
            <w:gridSpan w:val="2"/>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4" w:type="dxa"/>
            <w:gridSpan w:val="2"/>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37" w:type="dxa"/>
            <w:gridSpan w:val="2"/>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61" w:type="dxa"/>
            <w:gridSpan w:val="2"/>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495"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4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rPr>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lang w:val="en-US" w:eastAsia="zh-CN"/>
        </w:rPr>
      </w:pPr>
    </w:p>
    <w:p>
      <w:pPr>
        <w:rPr>
          <w:sz w:val="15"/>
          <w:szCs w:val="15"/>
          <w:lang w:val="en-US" w:eastAsia="zh-CN"/>
        </w:rPr>
      </w:pPr>
    </w:p>
    <w:p>
      <w:pPr>
        <w:rPr>
          <w:sz w:val="15"/>
          <w:szCs w:val="15"/>
          <w:lang w:val="en-US" w:eastAsia="zh-CN"/>
        </w:rPr>
      </w:pPr>
    </w:p>
    <w:tbl>
      <w:tblPr>
        <w:jc w:val="left"/>
        <w:tblInd w:w="0" w:type="dxa"/>
        <w:tblW w:w="906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864"/>
        <w:gridCol w:w="926"/>
        <w:gridCol w:w="718"/>
        <w:gridCol w:w="2251"/>
        <w:gridCol w:w="506"/>
        <w:gridCol w:w="542"/>
        <w:gridCol w:w="504"/>
        <w:gridCol w:w="1067"/>
        <w:gridCol w:w="518"/>
        <w:gridCol w:w="520"/>
        <w:gridCol w:w="645"/>
      </w:tblGrid>
      <w:tr>
        <w:trPr>
          <w:trHeight w:val="904"/>
        </w:trPr>
        <w:tc>
          <w:tcPr>
            <w:tcW w:w="9061"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79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71"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51000021Y000000011490</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日常公用经费</w:t>
            </w:r>
          </w:p>
        </w:tc>
      </w:tr>
      <w:tr>
        <w:trPr>
          <w:trHeight w:val="512"/>
        </w:trPr>
        <w:tc>
          <w:tcPr>
            <w:tcW w:w="179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521"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067"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68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86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92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521"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75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vMerge/>
            <w:tcBorders>
              <w:top w:val="single" w:sz="4" w:space="0" w:color="000000"/>
              <w:left w:val="single" w:sz="4" w:space="0" w:color="000000"/>
              <w:bottom w:val="single" w:sz="4" w:space="0" w:color="000000"/>
              <w:right w:val="single" w:sz="4" w:space="0" w:color="000000"/>
            </w:tcBorders>
            <w:noWrap/>
            <w:vAlign w:val="center"/>
          </w:tcPr>
          <w:p/>
        </w:tc>
        <w:tc>
          <w:tcPr>
            <w:tcW w:w="4521"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提高预算编制质量，严格执行预算，保障单位日常运转。</w:t>
            </w:r>
          </w:p>
        </w:tc>
        <w:tc>
          <w:tcPr>
            <w:tcW w:w="2750"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71"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86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7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22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55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0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7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1.57</w:t>
            </w:r>
          </w:p>
        </w:tc>
        <w:tc>
          <w:tcPr>
            <w:tcW w:w="22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155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10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7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1.57</w:t>
            </w:r>
          </w:p>
        </w:tc>
        <w:tc>
          <w:tcPr>
            <w:tcW w:w="22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155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0.96</w:t>
            </w:r>
          </w:p>
        </w:tc>
        <w:tc>
          <w:tcPr>
            <w:tcW w:w="10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5"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7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2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55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5"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7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2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552"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5"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71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2251"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552"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067"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5"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86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9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7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22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0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54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50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0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7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22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50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4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50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10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678"/>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vMerge/>
            <w:tcBorders>
              <w:top w:val="single" w:sz="4" w:space="0" w:color="000000"/>
              <w:left w:val="single" w:sz="4" w:space="0" w:color="000000"/>
              <w:bottom w:val="single" w:sz="4" w:space="0" w:color="000000"/>
              <w:right w:val="single" w:sz="4" w:space="0" w:color="000000"/>
            </w:tcBorders>
            <w:noWrap/>
            <w:vAlign w:val="center"/>
          </w:tcPr>
          <w:p/>
        </w:tc>
        <w:tc>
          <w:tcPr>
            <w:tcW w:w="7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22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预算编制准确率（计算方法为：∣（执行数</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预算数）/预算数∣）</w:t>
            </w:r>
          </w:p>
        </w:tc>
        <w:tc>
          <w:tcPr>
            <w:tcW w:w="50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4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50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904"/>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7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22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cs="宋体" w:hint="eastAsia"/>
                <w:i w:val="0"/>
                <w:iCs w:val="0"/>
                <w:color w:val="000000"/>
                <w:kern w:val="0"/>
                <w:sz w:val="18"/>
                <w:szCs w:val="18"/>
                <w:u w:val="none"/>
                <w:lang w:val="en-US" w:eastAsia="zh-CN"/>
              </w:rPr>
              <w:t>“三公”经费</w:t>
            </w:r>
            <w:r>
              <w:rPr>
                <w:rFonts w:ascii="宋体" w:eastAsia="宋体" w:cs="宋体"/>
                <w:i w:val="0"/>
                <w:iCs w:val="0"/>
                <w:color w:val="000000"/>
                <w:kern w:val="0"/>
                <w:sz w:val="18"/>
                <w:szCs w:val="18"/>
                <w:u w:val="none"/>
                <w:lang w:val="en-US" w:eastAsia="zh-CN"/>
              </w:rPr>
              <w:t>控制率[计算方法为：（</w:t>
            </w:r>
            <w:r>
              <w:rPr>
                <w:rFonts w:ascii="宋体" w:cs="宋体" w:hint="eastAsia"/>
                <w:i w:val="0"/>
                <w:iCs w:val="0"/>
                <w:color w:val="000000"/>
                <w:kern w:val="0"/>
                <w:sz w:val="18"/>
                <w:szCs w:val="18"/>
                <w:u w:val="none"/>
                <w:lang w:val="en-US" w:eastAsia="zh-CN"/>
              </w:rPr>
              <w:t>“三公”经费</w:t>
            </w:r>
            <w:r>
              <w:rPr>
                <w:rFonts w:ascii="宋体" w:eastAsia="宋体" w:cs="宋体"/>
                <w:i w:val="0"/>
                <w:iCs w:val="0"/>
                <w:color w:val="000000"/>
                <w:kern w:val="0"/>
                <w:sz w:val="18"/>
                <w:szCs w:val="18"/>
                <w:u w:val="none"/>
                <w:lang w:val="en-US" w:eastAsia="zh-CN"/>
              </w:rPr>
              <w:t>实际支出数/预算安排数]×100%）</w:t>
            </w:r>
          </w:p>
        </w:tc>
        <w:tc>
          <w:tcPr>
            <w:tcW w:w="50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4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864" w:type="dxa"/>
            <w:vMerge/>
            <w:tcBorders>
              <w:top w:val="single" w:sz="4" w:space="0" w:color="000000"/>
              <w:left w:val="single" w:sz="4" w:space="0" w:color="000000"/>
              <w:bottom w:val="single" w:sz="4" w:space="0" w:color="000000"/>
              <w:right w:val="single" w:sz="4" w:space="0" w:color="000000"/>
            </w:tcBorders>
            <w:noWrap/>
            <w:vAlign w:val="center"/>
          </w:tcPr>
          <w:p/>
        </w:tc>
        <w:tc>
          <w:tcPr>
            <w:tcW w:w="926" w:type="dxa"/>
            <w:vMerge/>
            <w:tcBorders>
              <w:top w:val="single" w:sz="4" w:space="0" w:color="000000"/>
              <w:left w:val="single" w:sz="4" w:space="0" w:color="000000"/>
              <w:bottom w:val="single" w:sz="4" w:space="0" w:color="000000"/>
              <w:right w:val="single" w:sz="4" w:space="0" w:color="000000"/>
            </w:tcBorders>
            <w:noWrap/>
            <w:vAlign w:val="center"/>
          </w:tcPr>
          <w:p/>
        </w:tc>
        <w:tc>
          <w:tcPr>
            <w:tcW w:w="7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22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运转保障率</w:t>
            </w:r>
          </w:p>
        </w:tc>
        <w:tc>
          <w:tcPr>
            <w:tcW w:w="50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4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0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378"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86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19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86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1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86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19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52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3796"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pStyle w:val="15"/>
        <w:rPr>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sz w:val="15"/>
          <w:szCs w:val="15"/>
          <w:lang w:val="en-US" w:eastAsia="zh-CN"/>
        </w:rPr>
      </w:pPr>
    </w:p>
    <w:p>
      <w:pPr>
        <w:pStyle w:val="15"/>
        <w:rPr>
          <w:sz w:val="15"/>
          <w:szCs w:val="15"/>
          <w:lang w:val="en-US" w:eastAsia="zh-CN"/>
        </w:rPr>
      </w:pPr>
    </w:p>
    <w:p>
      <w:pPr>
        <w:rPr>
          <w:lang w:val="en-US" w:eastAsia="zh-CN"/>
        </w:rPr>
      </w:pPr>
    </w:p>
    <w:p>
      <w:pPr>
        <w:rPr>
          <w:sz w:val="15"/>
          <w:szCs w:val="15"/>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51322622R000000307551</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其他社会保障缴费（失业保险）</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0.13</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0.14</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0.14</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0.13</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0.14</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0.14</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6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9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51322622R000000307567</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其他社会保障缴费（工伤保险）</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0.04</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0.04</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0.04</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0.04</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0.04</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0.04</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51322622R000000307882</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住房公积金（职工）</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3.05</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2.92</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2.92</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3.05</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2.92</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2.92</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6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9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sz w:val="15"/>
          <w:szCs w:val="15"/>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51322623R000007822512</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机关事业单位基本养老保险缴费</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3.56</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3.63</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3.63</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3.56</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3.63</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3.63</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51322623R000007822795</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职业年金缴费</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1.78</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1.82</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1.82</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1.78</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1.82</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1.82</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51322623R000007823104</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职工基本医疗保险缴费</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1.78</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1.78</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51322623R000007823488-公务员医疗补助缴费</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0.43</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0.44</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0.44</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0.43</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0.44</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0.44</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 xml:space="preserve">优 </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6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9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51322623R000008940976</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年度考核奖</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3.10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3.10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3.10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3.10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51322624R000010562265</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在职在编人员基本工资</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6.12</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6.25</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6.25</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6.12</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6.25</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6.25</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6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9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51322624R000010570025</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事业单位绩效工资</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6.14</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5.97</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5.97</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6.14</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5.97</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5.97</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项目负责人：杨洪燕</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财务负责人：赵明坤</w:t>
            </w: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51322624R000010570573</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基础绩效奖（事业）</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6.13</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6.13</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6.13</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6.13</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6.13</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6.13</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6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9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51322624R000010570840</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年终一次性奖金（事业）</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0.51</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0.52</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0.52</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0.51</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0.52</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0.52</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51322624R000010571106</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艰苦边远地区津贴</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2.95</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2.95</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2.95</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2.95</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2.95</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2.95</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r>
        <w:trPr>
          <w:trHeight w:val="286"/>
        </w:trPr>
        <w:tc>
          <w:tcPr>
            <w:tcW w:w="961"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044"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9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92"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7"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64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113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526"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c>
          <w:tcPr>
            <w:tcW w:w="719" w:type="dxa"/>
            <w:tcBorders>
              <w:top w:val="nil"/>
              <w:left w:val="nil"/>
              <w:bottom w:val="nil"/>
              <w:right w:val="nil"/>
            </w:tcBorders>
            <w:noWrap/>
            <w:vAlign w:val="center"/>
          </w:tcPr>
          <w:p>
            <w:pPr>
              <w:rPr>
                <w:rFonts w:ascii="宋体" w:eastAsia="宋体" w:cs="宋体" w:hint="eastAsia"/>
                <w:i w:val="0"/>
                <w:iCs w:val="0"/>
                <w:color w:val="000000"/>
                <w:sz w:val="18"/>
                <w:szCs w:val="18"/>
                <w:u w:val="none"/>
              </w:rPr>
            </w:pPr>
          </w:p>
        </w:tc>
      </w:tr>
    </w:tbl>
    <w:p>
      <w:pPr>
        <w:pStyle w:val="15"/>
        <w:rPr>
          <w:lang w:val="en-US" w:eastAsia="zh-CN"/>
        </w:rPr>
      </w:pPr>
    </w:p>
    <w:tbl>
      <w:tblPr>
        <w:jc w:val="left"/>
        <w:tblInd w:w="93" w:type="dxa"/>
        <w:tblW w:w="89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044"/>
        <w:gridCol w:w="919"/>
        <w:gridCol w:w="1192"/>
        <w:gridCol w:w="649"/>
        <w:gridCol w:w="647"/>
        <w:gridCol w:w="649"/>
        <w:gridCol w:w="1136"/>
        <w:gridCol w:w="526"/>
        <w:gridCol w:w="526"/>
        <w:gridCol w:w="719"/>
      </w:tblGrid>
      <w:tr>
        <w:trPr>
          <w:trHeight w:val="904"/>
        </w:trPr>
        <w:tc>
          <w:tcPr>
            <w:tcW w:w="8968"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51322624R000010571424</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高海拔地区折算工龄补贴</w:t>
            </w:r>
          </w:p>
        </w:tc>
      </w:tr>
      <w:tr>
        <w:trPr>
          <w:trHeight w:val="512"/>
        </w:trPr>
        <w:tc>
          <w:tcPr>
            <w:tcW w:w="200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36"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71"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4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vMerge/>
            <w:tcBorders>
              <w:top w:val="single" w:sz="4" w:space="0" w:color="000000"/>
              <w:left w:val="single" w:sz="4" w:space="0" w:color="000000"/>
              <w:bottom w:val="single" w:sz="4" w:space="0" w:color="000000"/>
              <w:right w:val="single" w:sz="4" w:space="0" w:color="000000"/>
            </w:tcBorders>
            <w:noWrap/>
            <w:vAlign w:val="center"/>
          </w:tcPr>
          <w:p/>
        </w:tc>
        <w:tc>
          <w:tcPr>
            <w:tcW w:w="4056"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0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63"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0.27</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1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0.27</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0.50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92"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45"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36"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1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6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61" w:type="dxa"/>
            <w:vMerge/>
            <w:tcBorders>
              <w:top w:val="single" w:sz="4" w:space="0" w:color="000000"/>
              <w:left w:val="single" w:sz="4" w:space="0" w:color="000000"/>
              <w:bottom w:val="single" w:sz="4" w:space="0" w:color="000000"/>
              <w:right w:val="single" w:sz="4" w:space="0" w:color="000000"/>
            </w:tcBorders>
            <w:noWrap/>
            <w:vAlign w:val="center"/>
          </w:tcPr>
          <w:p/>
        </w:tc>
        <w:tc>
          <w:tcPr>
            <w:tcW w:w="10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1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4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4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3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197"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1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6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0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765"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03"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tbl>
      <w:tblPr>
        <w:tblpPr w:leftFromText="180" w:rightFromText="180" w:vertAnchor="text" w:horzAnchor="page" w:tblpX="1733" w:tblpY="199"/>
        <w:tblOverlap w:val="never"/>
        <w:tblW w:w="906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74"/>
        <w:gridCol w:w="1058"/>
        <w:gridCol w:w="929"/>
        <w:gridCol w:w="1210"/>
        <w:gridCol w:w="656"/>
        <w:gridCol w:w="651"/>
        <w:gridCol w:w="656"/>
        <w:gridCol w:w="1144"/>
        <w:gridCol w:w="527"/>
        <w:gridCol w:w="527"/>
        <w:gridCol w:w="729"/>
      </w:tblGrid>
      <w:tr>
        <w:trPr>
          <w:trHeight w:val="904"/>
        </w:trPr>
        <w:tc>
          <w:tcPr>
            <w:tcW w:w="9061" w:type="dxa"/>
            <w:gridSpan w:val="11"/>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203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029" w:type="dxa"/>
            <w:gridSpan w:val="9"/>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51322624R000010574781</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其他工资性支出</w:t>
            </w:r>
          </w:p>
        </w:tc>
      </w:tr>
      <w:tr>
        <w:trPr>
          <w:trHeight w:val="512"/>
        </w:trPr>
        <w:tc>
          <w:tcPr>
            <w:tcW w:w="203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4102"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w:t>
            </w:r>
          </w:p>
        </w:tc>
        <w:tc>
          <w:tcPr>
            <w:tcW w:w="1144" w:type="dxa"/>
            <w:tcBorders>
              <w:top w:val="nil"/>
              <w:left w:val="nil"/>
              <w:bottom w:val="nil"/>
              <w:right w:val="nil"/>
            </w:tcBorders>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78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金川县人大常委会办公室信息中心</w:t>
            </w:r>
          </w:p>
        </w:tc>
      </w:tr>
      <w:tr>
        <w:trPr>
          <w:trHeight w:val="286"/>
        </w:trPr>
        <w:tc>
          <w:tcPr>
            <w:tcW w:w="97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58"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4102"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92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974" w:type="dxa"/>
            <w:vMerge/>
            <w:tcBorders>
              <w:top w:val="single" w:sz="4" w:space="0" w:color="000000"/>
              <w:left w:val="single" w:sz="4" w:space="0" w:color="000000"/>
              <w:bottom w:val="single" w:sz="4" w:space="0" w:color="000000"/>
              <w:right w:val="single" w:sz="4" w:space="0" w:color="000000"/>
            </w:tcBorders>
            <w:noWrap/>
            <w:vAlign w:val="center"/>
          </w:tcPr>
          <w:p/>
        </w:tc>
        <w:tc>
          <w:tcPr>
            <w:tcW w:w="1058" w:type="dxa"/>
            <w:vMerge/>
            <w:tcBorders>
              <w:top w:val="single" w:sz="4" w:space="0" w:color="000000"/>
              <w:left w:val="single" w:sz="4" w:space="0" w:color="000000"/>
              <w:bottom w:val="single" w:sz="4" w:space="0" w:color="000000"/>
              <w:right w:val="single" w:sz="4" w:space="0" w:color="000000"/>
            </w:tcBorders>
            <w:noWrap/>
            <w:vAlign w:val="center"/>
          </w:tcPr>
          <w:p/>
        </w:tc>
        <w:tc>
          <w:tcPr>
            <w:tcW w:w="4102"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严格执行相关政策，保障工资及时、足额发放或社保及时、足额缴纳，预算编制科学合理，减少结余资金。</w:t>
            </w:r>
          </w:p>
        </w:tc>
        <w:tc>
          <w:tcPr>
            <w:tcW w:w="2927" w:type="dxa"/>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完成年度目标任务100%</w:t>
            </w:r>
          </w:p>
        </w:tc>
      </w:tr>
      <w:tr>
        <w:trPr>
          <w:trHeight w:val="693"/>
        </w:trPr>
        <w:tc>
          <w:tcPr>
            <w:tcW w:w="974" w:type="dxa"/>
            <w:vMerge/>
            <w:tcBorders>
              <w:top w:val="single" w:sz="4" w:space="0" w:color="000000"/>
              <w:left w:val="single" w:sz="4" w:space="0" w:color="000000"/>
              <w:bottom w:val="single" w:sz="4" w:space="0" w:color="000000"/>
              <w:right w:val="single" w:sz="4" w:space="0" w:color="000000"/>
            </w:tcBorders>
            <w:noWrap/>
            <w:vAlign w:val="center"/>
          </w:tcP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029" w:type="dxa"/>
            <w:gridSpan w:val="9"/>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361"/>
        </w:trPr>
        <w:tc>
          <w:tcPr>
            <w:tcW w:w="97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96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1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6"/>
        </w:trPr>
        <w:tc>
          <w:tcPr>
            <w:tcW w:w="974" w:type="dxa"/>
            <w:vMerge/>
            <w:tcBorders>
              <w:top w:val="single" w:sz="4" w:space="0" w:color="000000"/>
              <w:left w:val="single" w:sz="4" w:space="0" w:color="000000"/>
              <w:bottom w:val="single" w:sz="4" w:space="0" w:color="000000"/>
              <w:right w:val="single" w:sz="4" w:space="0" w:color="000000"/>
            </w:tcBorders>
            <w:noWrap/>
            <w:vAlign w:val="center"/>
          </w:tcP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0.14</w:t>
            </w:r>
          </w:p>
        </w:tc>
        <w:tc>
          <w:tcPr>
            <w:tcW w:w="12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0.14</w:t>
            </w:r>
          </w:p>
        </w:tc>
        <w:tc>
          <w:tcPr>
            <w:tcW w:w="196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0.14</w:t>
            </w:r>
          </w:p>
        </w:tc>
        <w:tc>
          <w:tcPr>
            <w:tcW w:w="11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29" w:type="dxa"/>
            <w:vMerge w:val="restart"/>
            <w:tcBorders>
              <w:top w:val="single" w:sz="4" w:space="0" w:color="000000"/>
              <w:left w:val="single" w:sz="4" w:space="0" w:color="000000"/>
              <w:bottom w:val="single" w:sz="4" w:space="0" w:color="000000"/>
              <w:right w:val="single" w:sz="4" w:space="0" w:color="000000"/>
            </w:tcBorders>
            <w:noWrap/>
            <w:vAlign w:val="center"/>
          </w:tcPr>
          <w:p>
            <w:pPr>
              <w:rPr>
                <w:rFonts w:ascii="黑体" w:eastAsia="黑体" w:cs="黑体" w:hint="eastAsia"/>
                <w:i/>
                <w:iCs/>
                <w:color w:val="000000"/>
                <w:sz w:val="18"/>
                <w:szCs w:val="18"/>
                <w:u w:val="none"/>
              </w:rPr>
            </w:pPr>
          </w:p>
        </w:tc>
      </w:tr>
      <w:tr>
        <w:trPr>
          <w:trHeight w:val="391"/>
        </w:trPr>
        <w:tc>
          <w:tcPr>
            <w:tcW w:w="974" w:type="dxa"/>
            <w:vMerge/>
            <w:tcBorders>
              <w:top w:val="single" w:sz="4" w:space="0" w:color="000000"/>
              <w:left w:val="single" w:sz="4" w:space="0" w:color="000000"/>
              <w:bottom w:val="single" w:sz="4" w:space="0" w:color="000000"/>
              <w:right w:val="single" w:sz="4" w:space="0" w:color="000000"/>
            </w:tcBorders>
            <w:noWrap/>
            <w:vAlign w:val="center"/>
          </w:tcP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0.14</w:t>
            </w:r>
          </w:p>
        </w:tc>
        <w:tc>
          <w:tcPr>
            <w:tcW w:w="12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0.14</w:t>
            </w:r>
          </w:p>
        </w:tc>
        <w:tc>
          <w:tcPr>
            <w:tcW w:w="196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0.14</w:t>
            </w:r>
          </w:p>
        </w:tc>
        <w:tc>
          <w:tcPr>
            <w:tcW w:w="11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2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07"/>
        </w:trPr>
        <w:tc>
          <w:tcPr>
            <w:tcW w:w="974" w:type="dxa"/>
            <w:vMerge/>
            <w:tcBorders>
              <w:top w:val="single" w:sz="4" w:space="0" w:color="000000"/>
              <w:left w:val="single" w:sz="4" w:space="0" w:color="000000"/>
              <w:bottom w:val="single" w:sz="4" w:space="0" w:color="000000"/>
              <w:right w:val="single" w:sz="4" w:space="0" w:color="000000"/>
            </w:tcBorders>
            <w:noWrap/>
            <w:vAlign w:val="center"/>
          </w:tcP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2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61"/>
        </w:trPr>
        <w:tc>
          <w:tcPr>
            <w:tcW w:w="974" w:type="dxa"/>
            <w:vMerge/>
            <w:tcBorders>
              <w:top w:val="single" w:sz="4" w:space="0" w:color="000000"/>
              <w:left w:val="single" w:sz="4" w:space="0" w:color="000000"/>
              <w:bottom w:val="single" w:sz="4" w:space="0" w:color="000000"/>
              <w:right w:val="single" w:sz="4" w:space="0" w:color="000000"/>
            </w:tcBorders>
            <w:noWrap/>
            <w:vAlign w:val="center"/>
          </w:tcP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963"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2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339"/>
        </w:trPr>
        <w:tc>
          <w:tcPr>
            <w:tcW w:w="974" w:type="dxa"/>
            <w:vMerge/>
            <w:tcBorders>
              <w:top w:val="single" w:sz="4" w:space="0" w:color="000000"/>
              <w:left w:val="single" w:sz="4" w:space="0" w:color="000000"/>
              <w:bottom w:val="single" w:sz="4" w:space="0" w:color="000000"/>
              <w:right w:val="single" w:sz="4" w:space="0" w:color="000000"/>
            </w:tcBorders>
            <w:noWrap/>
            <w:vAlign w:val="center"/>
          </w:tcP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2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21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963" w:type="dxa"/>
            <w:gridSpan w:val="3"/>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1144"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29" w:type="dxa"/>
            <w:vMerge/>
            <w:tcBorders>
              <w:top w:val="single" w:sz="4" w:space="0" w:color="000000"/>
              <w:left w:val="single" w:sz="4" w:space="0" w:color="000000"/>
              <w:bottom w:val="single" w:sz="4" w:space="0" w:color="000000"/>
              <w:right w:val="single" w:sz="4" w:space="0" w:color="000000"/>
            </w:tcBorders>
            <w:noWrap/>
            <w:vAlign w:val="center"/>
          </w:tcPr>
          <w:p/>
        </w:tc>
      </w:tr>
      <w:tr>
        <w:trPr>
          <w:trHeight w:val="452"/>
        </w:trPr>
        <w:tc>
          <w:tcPr>
            <w:tcW w:w="97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6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7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974" w:type="dxa"/>
            <w:vMerge/>
            <w:tcBorders>
              <w:top w:val="single" w:sz="4" w:space="0" w:color="000000"/>
              <w:left w:val="single" w:sz="4" w:space="0" w:color="000000"/>
              <w:bottom w:val="single" w:sz="4" w:space="0" w:color="000000"/>
              <w:right w:val="single" w:sz="4" w:space="0" w:color="000000"/>
            </w:tcBorders>
            <w:noWrap/>
            <w:vAlign w:val="center"/>
          </w:tcP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发放（缴纳）覆盖率</w:t>
            </w:r>
          </w:p>
        </w:tc>
        <w:tc>
          <w:tcPr>
            <w:tcW w:w="6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72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339"/>
        </w:trPr>
        <w:tc>
          <w:tcPr>
            <w:tcW w:w="974" w:type="dxa"/>
            <w:vMerge/>
            <w:tcBorders>
              <w:top w:val="single" w:sz="4" w:space="0" w:color="000000"/>
              <w:left w:val="single" w:sz="4" w:space="0" w:color="000000"/>
              <w:bottom w:val="single" w:sz="4" w:space="0" w:color="000000"/>
              <w:right w:val="single" w:sz="4" w:space="0" w:color="000000"/>
            </w:tcBorders>
            <w:noWrap/>
            <w:vAlign w:val="center"/>
          </w:tcPr>
          <w:p/>
        </w:tc>
        <w:tc>
          <w:tcPr>
            <w:tcW w:w="105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2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6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5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4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完成年度目标任务100%</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72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微软雅黑" w:eastAsia="微软雅黑" w:cs="微软雅黑" w:hint="eastAsia"/>
                <w:i/>
                <w:iCs/>
                <w:color w:val="000000"/>
                <w:sz w:val="16"/>
                <w:szCs w:val="16"/>
                <w:u w:val="none"/>
              </w:rPr>
            </w:pPr>
          </w:p>
        </w:tc>
      </w:tr>
      <w:tr>
        <w:trPr>
          <w:trHeight w:val="286"/>
        </w:trPr>
        <w:tc>
          <w:tcPr>
            <w:tcW w:w="7278" w:type="dxa"/>
            <w:gridSpan w:val="8"/>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29"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18"/>
                <w:szCs w:val="18"/>
                <w:u w:val="none"/>
              </w:rPr>
            </w:pPr>
          </w:p>
        </w:tc>
      </w:tr>
      <w:tr>
        <w:trPr>
          <w:trHeight w:val="603"/>
        </w:trPr>
        <w:tc>
          <w:tcPr>
            <w:tcW w:w="97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087" w:type="dxa"/>
            <w:gridSpan w:val="10"/>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优</w:t>
            </w:r>
          </w:p>
        </w:tc>
      </w:tr>
      <w:tr>
        <w:trPr>
          <w:trHeight w:val="572"/>
        </w:trPr>
        <w:tc>
          <w:tcPr>
            <w:tcW w:w="97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08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633"/>
        </w:trPr>
        <w:tc>
          <w:tcPr>
            <w:tcW w:w="97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087" w:type="dxa"/>
            <w:gridSpan w:val="10"/>
            <w:tcBorders>
              <w:top w:val="single" w:sz="4" w:space="0" w:color="000000"/>
              <w:left w:val="single" w:sz="4" w:space="0" w:color="000000"/>
              <w:bottom w:val="single" w:sz="4" w:space="0" w:color="000000"/>
              <w:right w:val="single" w:sz="4" w:space="0" w:color="000000"/>
            </w:tcBorders>
            <w:noWrap/>
            <w:vAlign w:val="center"/>
          </w:tcPr>
          <w:p>
            <w:pPr>
              <w:rPr>
                <w:rFonts w:ascii="微软雅黑" w:eastAsia="微软雅黑" w:cs="微软雅黑" w:hint="eastAsia"/>
                <w:i/>
                <w:iCs/>
                <w:color w:val="000000"/>
                <w:sz w:val="16"/>
                <w:szCs w:val="16"/>
                <w:u w:val="none"/>
              </w:rPr>
            </w:pPr>
          </w:p>
        </w:tc>
      </w:tr>
      <w:tr>
        <w:trPr>
          <w:trHeight w:val="286"/>
        </w:trPr>
        <w:tc>
          <w:tcPr>
            <w:tcW w:w="4827" w:type="dxa"/>
            <w:gridSpan w:val="5"/>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项目负责人：赵明坤</w:t>
            </w:r>
          </w:p>
        </w:tc>
        <w:tc>
          <w:tcPr>
            <w:tcW w:w="4234" w:type="dxa"/>
            <w:gridSpan w:val="6"/>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财务负责人：杨洪燕</w:t>
            </w:r>
          </w:p>
        </w:tc>
      </w:tr>
    </w:tbl>
    <w:p>
      <w:pPr>
        <w:pStyle w:val="17"/>
        <w:rPr>
          <w:rFonts w:ascii="仿宋_GB2312" w:eastAsia="仿宋_GB2312" w:cs="仿宋_GB2312" w:hint="eastAsia"/>
          <w:sz w:val="32"/>
          <w:szCs w:val="32"/>
          <w:lang w:eastAsia="zh-CN"/>
        </w:rPr>
      </w:pPr>
    </w:p>
    <w:p>
      <w:pPr>
        <w:pStyle w:val="17"/>
        <w:rPr>
          <w:rFonts w:ascii="仿宋_GB2312" w:eastAsia="仿宋_GB2312" w:cs="仿宋_GB2312" w:hint="eastAsia"/>
          <w:sz w:val="32"/>
          <w:szCs w:val="32"/>
          <w:lang w:eastAsia="zh-CN"/>
        </w:rPr>
      </w:pPr>
    </w:p>
    <w:p>
      <w:pPr>
        <w:pageBreakBefore w:val="0"/>
        <w:widowControl w:val="0"/>
        <w:kinsoku/>
        <w:wordWrap/>
        <w:overflowPunct/>
        <w:topLinePunct w:val="0"/>
        <w:bidi w:val="0"/>
        <w:spacing w:line="576" w:lineRule="exact"/>
        <w:jc w:val="both"/>
        <w:outlineLvl w:val="0"/>
        <w:rPr>
          <w:rFonts w:ascii="Times New Roman" w:eastAsia="仿宋" w:cs="Times New Roman" w:hAnsi="Times New Roman"/>
          <w:b/>
          <w:bCs w:val="0"/>
        </w:rPr>
      </w:pPr>
      <w:bookmarkStart w:id="193" w:name="_Toc24270"/>
      <w:bookmarkStart w:id="194" w:name="_Toc26843625"/>
      <w:bookmarkStart w:id="195" w:name="_Toc15396618"/>
      <w:r>
        <w:rPr>
          <w:rStyle w:val="1Char"/>
          <w:rFonts w:eastAsia="黑体" w:cs="Times New Roman" w:hint="eastAsia"/>
          <w:b/>
          <w:bCs w:val="0"/>
        </w:rPr>
        <w:t>第五部分　</w:t>
      </w:r>
      <w:r>
        <w:rPr>
          <w:rStyle w:val="1Char"/>
          <w:rFonts w:ascii="Times New Roman" w:eastAsia="黑体" w:cs="Times New Roman" w:hAnsi="Times New Roman"/>
          <w:b/>
          <w:bCs w:val="0"/>
        </w:rPr>
        <w:t>附表</w:t>
      </w:r>
      <w:bookmarkStart w:id="196" w:name="_Toc15396619"/>
      <w:bookmarkEnd w:id="193"/>
      <w:bookmarkEnd w:id="194"/>
      <w:bookmarkEnd w:id="19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97" w:name="_Toc32290"/>
      <w:bookmarkStart w:id="198"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196"/>
      <w:bookmarkEnd w:id="197"/>
      <w:bookmarkEnd w:id="19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99" w:name="_Toc15396620"/>
      <w:bookmarkStart w:id="200" w:name="_Toc26843627"/>
      <w:bookmarkStart w:id="201" w:name="_Toc2925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199"/>
      <w:bookmarkEnd w:id="200"/>
      <w:bookmarkEnd w:id="20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02" w:name="_Toc5311"/>
      <w:bookmarkStart w:id="203" w:name="_Toc26843628"/>
      <w:bookmarkStart w:id="204" w:name="_Toc1539662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202"/>
      <w:bookmarkEnd w:id="203"/>
      <w:bookmarkEnd w:id="20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205" w:name="_Toc4383"/>
      <w:bookmarkStart w:id="206" w:name="_Toc26843629"/>
      <w:bookmarkStart w:id="207"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205"/>
      <w:bookmarkEnd w:id="206"/>
      <w:bookmarkEnd w:id="20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08" w:name="_Toc15396623"/>
      <w:bookmarkStart w:id="209" w:name="_Toc3880"/>
      <w:bookmarkStart w:id="210" w:name="_Toc2684363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211" w:name="_Toc15396624"/>
      <w:bookmarkEnd w:id="208"/>
      <w:bookmarkEnd w:id="209"/>
      <w:bookmarkEnd w:id="21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12" w:name="_Toc8069"/>
      <w:bookmarkStart w:id="213"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211"/>
      <w:bookmarkEnd w:id="212"/>
      <w:bookmarkEnd w:id="21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14" w:name="_Toc25400"/>
      <w:bookmarkStart w:id="215" w:name="_Toc26843632"/>
      <w:bookmarkStart w:id="216" w:name="_Toc15396625"/>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214"/>
      <w:bookmarkEnd w:id="215"/>
      <w:bookmarkEnd w:id="21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17" w:name="_Toc26843633"/>
      <w:bookmarkStart w:id="218" w:name="_Toc15665"/>
      <w:bookmarkStart w:id="219"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般公共预算财政拨款基本支出决算明细表</w:t>
      </w:r>
      <w:bookmarkEnd w:id="217"/>
      <w:bookmarkEnd w:id="218"/>
      <w:bookmarkEnd w:id="21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20" w:name="_Toc15396627"/>
      <w:bookmarkStart w:id="221" w:name="_Toc26843634"/>
      <w:bookmarkStart w:id="222" w:name="_Toc3014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220"/>
      <w:bookmarkEnd w:id="221"/>
      <w:bookmarkEnd w:id="222"/>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23" w:name="_Toc26843635"/>
      <w:bookmarkStart w:id="224" w:name="_Toc15396628"/>
      <w:bookmarkStart w:id="225" w:name="_Toc6032"/>
      <w:r>
        <w:rPr>
          <w:rStyle w:val="2Char"/>
          <w:rFonts w:ascii="Times New Roman" w:eastAsia="仿宋" w:cs="Times New Roman" w:hAnsi="Times New Roman"/>
          <w:b w:val="0"/>
          <w:bCs w:val="0"/>
        </w:rPr>
        <w:t>十、</w:t>
      </w:r>
      <w:bookmarkStart w:id="226" w:name="_Toc26843636"/>
      <w:bookmarkStart w:id="227" w:name="_Toc15396629"/>
      <w:bookmarkEnd w:id="223"/>
      <w:bookmarkEnd w:id="224"/>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225"/>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28" w:name="_Toc13012"/>
      <w:r>
        <w:rPr>
          <w:rStyle w:val="2Char"/>
          <w:rFonts w:ascii="Times New Roman" w:eastAsia="仿宋" w:cs="Times New Roman" w:hAnsi="Times New Roman"/>
          <w:b w:val="0"/>
          <w:bCs w:val="0"/>
        </w:rPr>
        <w:t>十一、</w:t>
      </w:r>
      <w:bookmarkStart w:id="229" w:name="_Toc15396630"/>
      <w:bookmarkStart w:id="230" w:name="_Toc26843637"/>
      <w:bookmarkEnd w:id="226"/>
      <w:bookmarkEnd w:id="227"/>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228"/>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31" w:name="_Toc30046"/>
      <w:r>
        <w:rPr>
          <w:rStyle w:val="2Char"/>
          <w:rFonts w:ascii="Times New Roman" w:eastAsia="仿宋" w:cs="Times New Roman" w:hAnsi="Times New Roman"/>
          <w:b w:val="0"/>
          <w:bCs w:val="0"/>
        </w:rPr>
        <w:t>十二、</w:t>
      </w:r>
      <w:bookmarkStart w:id="232" w:name="_Toc26843638"/>
      <w:bookmarkStart w:id="233" w:name="_Toc15396631"/>
      <w:bookmarkEnd w:id="229"/>
      <w:bookmarkEnd w:id="230"/>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有资本经营预算财政拨款支出决算表</w:t>
      </w:r>
      <w:bookmarkEnd w:id="231"/>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lang w:val="en-US" w:eastAsia="zh-CN"/>
        </w:rPr>
      </w:pPr>
      <w:bookmarkStart w:id="234" w:name="_Toc28010"/>
      <w:r>
        <w:rPr>
          <w:rStyle w:val="2Char"/>
          <w:rFonts w:ascii="Times New Roman" w:eastAsia="仿宋" w:cs="Times New Roman" w:hAnsi="Times New Roman"/>
          <w:b w:val="0"/>
          <w:bCs w:val="0"/>
        </w:rPr>
        <w:t>十三、</w:t>
      </w:r>
      <w:bookmarkEnd w:id="232"/>
      <w:bookmarkEnd w:id="233"/>
      <w:r>
        <w:rPr>
          <w:rFonts w:ascii="Times New Roman" w:eastAsia="仿宋" w:cs="Times New Roman" w:hAnsi="Times New Roman" w:hint="eastAsia"/>
          <w:b w:val="0"/>
          <w:lang w:val="en-US" w:eastAsia="zh-CN"/>
        </w:rPr>
        <w:t>财政拨款“三公”经费支出决算表</w:t>
      </w:r>
      <w:bookmarkEnd w:id="234"/>
    </w:p>
    <w:p>
      <w:pPr>
        <w:pStyle w:val="17"/>
        <w:rPr>
          <w:rFonts w:ascii="仿宋_GB2312" w:eastAsia="仿宋_GB2312" w:cs="仿宋_GB2312" w:hint="eastAsia"/>
          <w:sz w:val="32"/>
          <w:szCs w:val="32"/>
          <w:lang w:eastAsia="zh-C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panose1 w:val="02010609030101010101"/>
    <w:charset w:val="86"/>
    <w:family w:val="modern"/>
    <w:pitch w:val="variable"/>
    <w:sig w:usb0="00000001" w:usb1="080E0000" w:usb2="00000000" w:usb3="00000000" w:csb0="00040000" w:csb1="00000000"/>
  </w:font>
  <w:font w:name="Times New Roman">
    <w:altName w:val="DejaVu Sans"/>
    <w:panose1 w:val="02020603050405020304"/>
    <w:charset w:val="01"/>
    <w:family w:val="auto"/>
    <w:pitch w:val="variable"/>
    <w:sig w:usb0="E0002EFF" w:usb1="C000785B" w:usb2="00000009"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方正小标宋简体">
    <w:altName w:val="AR PL UKai CN"/>
    <w:panose1 w:val="02010601030101010101"/>
    <w:charset w:val="86"/>
    <w:family w:val="script"/>
    <w:pitch w:val="variable"/>
    <w:sig w:usb0="00000001" w:usb1="080E0000" w:usb2="00000000" w:usb3="00000000" w:csb0="00040000" w:csb1="00000000"/>
  </w:font>
  <w:font w:name="方正黑体_GBK">
    <w:panose1 w:val="03000509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方正仿宋_GBK">
    <w:panose1 w:val="03000509000000000000"/>
    <w:charset w:val="86"/>
    <w:family w:val="auto"/>
    <w:pitch w:val="variable"/>
    <w:sig w:usb0="00000001" w:usb1="080E0000" w:usb2="00000000" w:usb3="00000000" w:csb0="00040000" w:csb1="00000000"/>
  </w:font>
  <w:font w:name="宋体">
    <w:altName w:val="方正书宋_GBK"/>
    <w:panose1 w:val="02010600030101010101"/>
    <w:charset w:val="50"/>
    <w:family w:val="auto"/>
    <w:pitch w:val="variable"/>
    <w:sig w:usb0="00000003" w:usb1="288F0000" w:usb2="00000006" w:usb3="00000000" w:csb0="00040001" w:csb1="00000000"/>
  </w:font>
  <w:font w:name="微软雅黑">
    <w:altName w:val="AR PL UKai CN"/>
    <w:panose1 w:val="020B0503020204020204"/>
    <w:charset w:val="86"/>
    <w:family w:val="auto"/>
    <w:pitch w:val="variable"/>
    <w:sig w:usb0="80000287" w:usb1="2ACF3C50" w:usb2="00000016" w:usb3="00000000" w:csb0="0004001F" w:csb1="00000000"/>
  </w:font>
  <w:font w:name="Cambria">
    <w:altName w:val="DejaVu Sans"/>
    <w:panose1 w:val="02040503050406030204"/>
    <w:charset w:val="00"/>
    <w:family w:val="roman"/>
    <w:pitch w:val="variable"/>
    <w:sig w:usb0="E00006FF" w:usb1="420024FF" w:usb2="02000000" w:usb3="00000000" w:csb0="2000019F" w:csb1="00000000"/>
  </w:font>
  <w:font w:name="Arial">
    <w:altName w:val="DejaVu Sans"/>
    <w:panose1 w:val="020B0604020202020204"/>
    <w:charset w:val="01"/>
    <w:family w:val="swiss"/>
    <w:pitch w:val="variable"/>
    <w:sig w:usb0="E0002EFF" w:usb1="C000785B" w:usb2="00000009" w:usb3="00000000" w:csb0="400001FF" w:csb1="FFFF0000"/>
  </w:font>
  <w:font w:name="Calibri">
    <w:altName w:val="DejaVu Sans"/>
    <w:panose1 w:val="020F0502020204030204"/>
    <w:charset w:val="00"/>
    <w:family w:val="swiss"/>
    <w:pitch w:val="variable"/>
    <w:sig w:usb0="E4002EFF" w:usb1="C000247B" w:usb2="00000009" w:usb3="00000000" w:csb0="200001FF" w:csb1="00000000"/>
  </w:font>
  <w:font w:name="楷体_GB2312">
    <w:panose1 w:val="02010609030101010101"/>
    <w:charset w:val="86"/>
    <w:family w:val="modern"/>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953785323"/>
      <w:docPartList>
        <w:docPartGallery w:val="autotext"/>
      </w:docPartList>
    </w:sdtPr>
    <w:sdtContent>
      <w:p>
        <w:pPr>
          <w:pStyle w:val="21"/>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46F7071"/>
    <w:multiLevelType w:val="singleLevel"/>
    <w:tmpl w:val="746F7071"/>
    <w:lvl w:ilvl="0">
      <w:start w:val="3"/>
      <w:numFmt w:val="chineseCounting"/>
      <w:lvlRestart w:val="0"/>
      <w:suff w:val="nothing"/>
      <w:lvlText w:val="（%1）"/>
      <w:lvlJc w:val="left"/>
      <w:pPr>
        <w:tabs>
          <w:tab w:val="num" w:pos="0"/>
        </w:tabs>
        <w:ind w:left="0" w:hanging="0"/>
      </w:pPr>
      <w:rPr>
        <w:rFonts w:hint="eastAsia"/>
      </w:rPr>
    </w:lvl>
  </w:abstractNum>
  <w:abstractNum w:abstractNumId="1">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2">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jIwYmU3OGU3ZTIzMWIzNTgwMmJmZWUxZjBlZjRlOT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paragraph" w:styleId="16">
    <w:name w:val="Normal Indent"/>
    <w:basedOn w:val="0"/>
    <w:next w:val="0"/>
    <w:pPr>
      <w:ind w:firstLineChars="200" w:firstLine="200"/>
    </w:pPr>
  </w:style>
  <w:style w:type="paragraph" w:styleId="17">
    <w:name w:val="Body Text"/>
    <w:basedOn w:val="0"/>
    <w:pPr>
      <w:spacing w:beforeLines="30" w:before="30"/>
    </w:pPr>
    <w:rPr>
      <w:rFonts w:ascii="仿宋_GB2312" w:eastAsia="仿宋_GB2312"/>
      <w:kern w:val="0"/>
      <w:sz w:val="30"/>
    </w:rPr>
  </w:style>
  <w:style w:type="paragraph" w:styleId="18">
    <w:name w:val="Body Text Indent"/>
    <w:basedOn w:val="0"/>
    <w:pPr>
      <w:spacing w:after="120"/>
      <w:ind w:leftChars="200" w:left="200"/>
    </w:pPr>
    <w:rPr>
      <w:rFonts w:ascii="仿宋_GB2312" w:hAnsi="仿宋_GB2312"/>
      <w:szCs w:val="32"/>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paragraph" w:styleId="25">
    <w:name w:val="Normal (Web)"/>
    <w:basedOn w:val="0"/>
    <w:pPr>
      <w:widowControl/>
      <w:spacing w:before="100" w:beforeAutospacing="1" w:after="100" w:afterAutospacing="1"/>
      <w:jc w:val="left"/>
    </w:pPr>
    <w:rPr>
      <w:rFonts w:ascii="宋体" w:cs="宋体"/>
      <w:kern w:val="0"/>
      <w:sz w:val="24"/>
    </w:rPr>
  </w:style>
  <w:style w:type="paragraph" w:styleId="26">
    <w:name w:val="Body Text First Indent 2"/>
    <w:basedOn w:val="18"/>
    <w:pPr>
      <w:ind w:firstLineChars="200" w:firstLine="200"/>
    </w:pPr>
  </w:style>
  <w:style w:type="character" w:styleId="27">
    <w:name w:val="Strong"/>
    <w:basedOn w:val="10"/>
    <w:rPr>
      <w:b/>
    </w:rPr>
  </w:style>
  <w:style w:type="character" w:styleId="28">
    <w:name w:val="Hyperlink"/>
    <w:basedOn w:val="10"/>
    <w:rPr>
      <w:color w:val="0000FF"/>
      <w:u w:val="single"/>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customStyle="1" w:styleId="32">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3">
    <w:name w:val="List Paragraph"/>
    <w:basedOn w:val="0"/>
    <w:pPr>
      <w:ind w:firstLineChars="200" w:firstLine="200"/>
    </w:pPr>
  </w:style>
  <w:style w:type="paragraph" w:customStyle="1" w:styleId="34">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image" Target="media/3.png"/><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收、支决算结构图</a:t>
            </a:r>
          </a:p>
        </c:rich>
      </c:tx>
      <c:layout/>
      <c:overlay val="0"/>
      <c:spPr>
        <a:ln>
          <a:noFill/>
        </a:ln>
      </c:spPr>
    </c:title>
    <c:autoTitleDeleted val="1"/>
    <c:plotArea>
      <c:layout/>
      <c:barChart>
        <c:barDir val="col"/>
        <c:grouping val="clustered"/>
        <c:varyColors val="0"/>
        <c:ser>
          <c:idx val="0"/>
          <c:order val="0"/>
          <c:tx>
            <c:v>收入</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1246.99</c:v>
                </c:pt>
                <c:pt idx="1">
                  <c:v>1049.86</c:v>
                </c:pt>
              </c:numCache>
            </c:numRef>
          </c:val>
        </c:ser>
        <c:ser>
          <c:idx val="1"/>
          <c:order val="1"/>
          <c:tx>
            <c:v>支出</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1246.99</c:v>
                </c:pt>
                <c:pt idx="1">
                  <c:v>1049.86</c:v>
                </c:pt>
              </c:numCache>
            </c:numRef>
          </c:val>
        </c:ser>
        <c:gapWidth val="150"/>
        <c:axId val="0"/>
        <c:axId val="1"/>
      </c:barChart>
      <c:catAx>
        <c:axId val="0"/>
        <c:scaling>
          <c:orientation val="minMax"/>
        </c:scaling>
        <c:delete val="0"/>
        <c:axPos val="b"/>
        <c:numFmt formatCode="General" sourceLinked="0"/>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支出决算结构图</a:t>
            </a:r>
          </a:p>
        </c:rich>
      </c:tx>
      <c:layout/>
      <c:overlay val="0"/>
      <c:spPr>
        <a:ln>
          <a:noFill/>
        </a:ln>
      </c:spPr>
    </c:title>
    <c:autoTitleDeleted val="1"/>
    <c:plotArea>
      <c:layout>
        <c:manualLayout>
          <c:layoutTarget val="inner"/>
          <c:xMode val="edge"/>
          <c:yMode val="edge"/>
          <c:x val="0.003929273"/>
          <c:y val="0.24259259"/>
          <c:w val="0.7789129"/>
          <c:h val="0.75046295"/>
        </c:manualLayout>
      </c:layout>
      <c:pieChart>
        <c:varyColors val="1"/>
        <c:ser>
          <c:idx val="0"/>
          <c:order val="0"/>
          <c:tx>
            <c:v>支出决算结构图</c:v>
          </c:tx>
          <c:spPr>
            <a:ln>
              <a:noFill/>
            </a:ln>
          </c:spPr>
          <c:dPt>
            <c:idx val="0"/>
            <c:bubble3D val="0"/>
            <c:spPr>
              <a:solidFill>
                <a:srgbClr val="4F81BD"/>
              </a:solidFill>
              <a:ln>
                <a:noFill/>
              </a:ln>
            </c:spPr>
          </c:dPt>
          <c:dPt>
            <c:idx val="1"/>
            <c:bubble3D val="0"/>
            <c:spPr>
              <a:solidFill>
                <a:srgbClr val="C0504D"/>
              </a:solidFill>
              <a:ln>
                <a:noFill/>
              </a:ln>
            </c:spPr>
          </c:dPt>
          <c:dLbls>
            <c:showLegendKey val="0"/>
            <c:showVal val="0"/>
            <c:showCatName val="0"/>
            <c:showSerName val="0"/>
            <c:showPercent val="0"/>
            <c:showBubbleSize val="0"/>
            <c:showLeaderLines val="0"/>
          </c:dLbls>
          <c:cat>
            <c:strLit>
              <c:ptCount val="2"/>
              <c:pt idx="0">
                <c:v>基本支出</c:v>
              </c:pt>
              <c:pt idx="1">
                <c:v>项目支出</c:v>
              </c:pt>
            </c:strLit>
          </c:cat>
          <c:val>
            <c:numRef>
              <c:f/>
              <c:numCache>
                <c:formatCode>General</c:formatCode>
                <c:ptCount val="2"/>
                <c:pt idx="0">
                  <c:v>771.81</c:v>
                </c:pt>
                <c:pt idx="1">
                  <c:v>278.05</c:v>
                </c:pt>
              </c:numCache>
            </c:numRef>
          </c:val>
        </c:ser>
        <c:firstSliceAng val="0"/>
      </c:pieChart>
      <c:spPr>
        <a:noFill/>
        <a:ln>
          <a:noFill/>
        </a:ln>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00" b="1" i="0" u="none" strike="noStrike" baseline="0">
                <a:solidFill>
                  <a:srgbClr val="000000"/>
                </a:solidFill>
                <a:latin typeface="AR PL UKai CN"/>
                <a:ea typeface="AR PL UKai CN"/>
                <a:cs typeface="Lucida Sans"/>
              </a:defRPr>
            </a:pPr>
            <a:r>
              <a:rPr lang="zh-CN"/>
              <a:t>财政拨款收、支决算总计变动情况</a:t>
            </a:r>
          </a:p>
        </c:rich>
      </c:tx>
      <c:layout/>
      <c:overlay val="0"/>
      <c:spPr>
        <a:ln>
          <a:noFill/>
        </a:ln>
      </c:spPr>
    </c:title>
    <c:autoTitleDeleted val="1"/>
    <c:plotArea>
      <c:layout>
        <c:manualLayout>
          <c:layoutTarget val="inner"/>
          <c:xMode val="edge"/>
          <c:yMode val="edge"/>
          <c:x val="0.09555556"/>
          <c:y val="0.21264368"/>
          <c:w val="0.7561111"/>
          <c:h val="0.68712646"/>
        </c:manualLayout>
      </c:layout>
      <c:barChart>
        <c:barDir val="col"/>
        <c:grouping val="clustered"/>
        <c:varyColors val="0"/>
        <c:ser>
          <c:idx val="0"/>
          <c:order val="0"/>
          <c:tx>
            <c:v>收入</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1246.99</c:v>
                </c:pt>
                <c:pt idx="1">
                  <c:v>1049.86</c:v>
                </c:pt>
              </c:numCache>
            </c:numRef>
          </c:val>
        </c:ser>
        <c:ser>
          <c:idx val="1"/>
          <c:order val="1"/>
          <c:tx>
            <c:v>支出</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1246.99</c:v>
                </c:pt>
                <c:pt idx="1">
                  <c:v>1049.86</c:v>
                </c:pt>
              </c:numCache>
            </c:numRef>
          </c:val>
        </c:ser>
        <c:gapWidth val="150"/>
        <c:axId val="0"/>
        <c:axId val="1"/>
      </c:barChart>
      <c:catAx>
        <c:axId val="0"/>
        <c:scaling>
          <c:orientation val="minMax"/>
        </c:scaling>
        <c:delete val="0"/>
        <c:axPos val="b"/>
        <c:numFmt formatCode="General" sourceLinked="0"/>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AR PL UKai CN"/>
                <a:ea typeface="AR PL UKai CN"/>
                <a:cs typeface="Lucida Sans"/>
              </a:defRPr>
            </a:pPr>
            <a:r>
              <a:rPr lang="zh-CN"/>
              <a:t>一般公共预算财政拨款支出决算变动情况</a:t>
            </a:r>
          </a:p>
        </c:rich>
      </c:tx>
      <c:layout/>
      <c:overlay val="0"/>
      <c:spPr>
        <a:ln>
          <a:noFill/>
        </a:ln>
      </c:spPr>
    </c:title>
    <c:autoTitleDeleted val="1"/>
    <c:plotArea>
      <c:layout/>
      <c:barChart>
        <c:barDir val="col"/>
        <c:grouping val="clustered"/>
        <c:varyColors val="0"/>
        <c:ser>
          <c:idx val="0"/>
          <c:order val="0"/>
          <c:tx>
            <c:v>一般公共预算财政拨款支出决算变动情况</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1246.99</c:v>
                </c:pt>
                <c:pt idx="1">
                  <c:v>1049.86</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00" b="1" i="0" u="none" strike="noStrike" baseline="0">
                <a:solidFill>
                  <a:srgbClr val="000000"/>
                </a:solidFill>
                <a:latin typeface="AR PL UKai CN"/>
                <a:ea typeface="AR PL UKai CN"/>
                <a:cs typeface="Lucida Sans"/>
              </a:defRPr>
            </a:pPr>
            <a:r>
              <a:rPr lang="zh-CN"/>
              <a:t>一般公共预算财政拨款支出决算结构</a:t>
            </a:r>
          </a:p>
        </c:rich>
      </c:tx>
      <c:layout>
        <c:manualLayout>
          <c:xMode val="edge"/>
          <c:yMode val="edge"/>
          <c:x val="0.118"/>
          <c:y val="0.086419754"/>
        </c:manualLayout>
      </c:layout>
      <c:overlay val="0"/>
      <c:spPr>
        <a:ln>
          <a:noFill/>
        </a:ln>
      </c:spPr>
    </c:title>
    <c:autoTitleDeleted val="1"/>
    <c:plotArea>
      <c:layout/>
      <c:pieChart>
        <c:varyColors val="1"/>
        <c:ser>
          <c:idx val="0"/>
          <c:order val="0"/>
          <c:tx>
            <c:v>一般公共预算财政拨款支出决算结构</c:v>
          </c:tx>
          <c:spPr>
            <a:solidFill>
              <a:srgbClr val="4F81BD"/>
            </a:solidFill>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
              <c:idx val="1"/>
              <c:layout>
                <c:manualLayout>
                  <c:x val="-0.030715441"/>
                  <c:y val="-0.024292432"/>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43947943"/>
                  <c:y val="-0.088616945"/>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13650043"/>
                  <c:y val="-0.038926072"/>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4"/>
              <c:layout>
                <c:manualLayout>
                  <c:x val="0.18125"/>
                  <c:y val="-0.03617571"/>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5"/>
              <c:pt idx="0">
                <c:v>一般公共服务支出</c:v>
              </c:pt>
              <c:pt idx="1">
                <c:v>教育支出</c:v>
              </c:pt>
              <c:pt idx="2">
                <c:v>社会保障和就业支出</c:v>
              </c:pt>
              <c:pt idx="3">
                <c:v>卫生健康支出</c:v>
              </c:pt>
              <c:pt idx="4">
                <c:v>住房保障支出</c:v>
              </c:pt>
            </c:strLit>
          </c:cat>
          <c:val>
            <c:numRef>
              <c:f/>
              <c:numCache>
                <c:formatCode>General</c:formatCode>
                <c:ptCount val="5"/>
                <c:pt idx="0">
                  <c:v>82.07</c:v>
                </c:pt>
                <c:pt idx="1">
                  <c:v>0.1</c:v>
                </c:pt>
                <c:pt idx="2">
                  <c:v>8.71</c:v>
                </c:pt>
                <c:pt idx="3">
                  <c:v>40.29</c:v>
                </c:pt>
                <c:pt idx="4">
                  <c:v>5.12</c:v>
                </c:pt>
              </c:numCache>
            </c:numRef>
          </c:val>
        </c:ser>
        <c:firstSliceAng val="0"/>
      </c:pieChart>
      <c:spPr>
        <a:noFill/>
        <a:ln>
          <a:noFill/>
        </a:ln>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a:ln>
              <a:noFill/>
            </a:ln>
          </c:spPr>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2"/>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Lit>
              <c:ptCount val="3"/>
              <c:pt idx="0">
                <c:v>因公出国（境）费</c:v>
              </c:pt>
              <c:pt idx="1">
                <c:v>公务用车购置及运行维护费</c:v>
              </c:pt>
              <c:pt idx="2">
                <c:v>公务接待费</c:v>
              </c:pt>
            </c:strLit>
          </c:cat>
          <c:val>
            <c:numRef>
              <c:f/>
              <c:numCache>
                <c:formatCode>General</c:formatCode>
                <c:ptCount val="3"/>
                <c:pt idx="1">
                  <c:v>1.0</c:v>
                </c:pt>
                <c:pt idx="2">
                  <c:v>0.0</c:v>
                </c:pt>
              </c:numCache>
            </c:numRef>
          </c:val>
        </c:ser>
        <c:firstSliceAng val="15"/>
      </c:pieChart>
      <c:spPr>
        <a:noFill/>
        <a:ln>
          <a:noFill/>
        </a:ln>
      </c:spPr>
    </c:plotArea>
    <c:legend>
      <c:legendPos val="r"/>
      <c:layout>
        <c:manualLayout>
          <c:xMode val="edge"/>
          <c:yMode val="edge"/>
          <c:x val="0.6583347"/>
          <c:y val="0.29513988"/>
          <c:w val="0.3229173"/>
          <c:h val="0.4166681"/>
        </c:manualLayout>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27</TotalTime>
  <Application>Yozo_Office27021597764231179</Application>
  <Pages>1</Pages>
  <Words>11</Words>
  <Characters>15</Characters>
  <Lines>1</Lines>
  <Paragraphs>1</Paragraphs>
  <CharactersWithSpaces>19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24</cp:revision>
  <cp:lastPrinted>2020-09-29T10:36:00Z</cp:lastPrinted>
  <dcterms:created xsi:type="dcterms:W3CDTF">2019-08-01T01:14:00Z</dcterms:created>
  <dcterms:modified xsi:type="dcterms:W3CDTF">2025-08-18T04:11:10Z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2052-12.1.0.22215</vt:lpwstr>
  </property>
  <property fmtid="{D5CDD505-2E9C-101B-9397-08002B2CF9AE}" pid="3" name="ICV">
    <vt:lpwstr>2CE033C11D21406099F81B5C6CC47A34_13</vt:lpwstr>
  </property>
  <property fmtid="{D5CDD505-2E9C-101B-9397-08002B2CF9AE}" pid="4" name="commondata">
    <vt:lpwstr>eyJoZGlkIjoiNmRjOTJlNzJjZmZkOTQxZDA4NjRhMDllMWM3ZmQ2OTgifQ==</vt:lpwstr>
  </property>
  <property fmtid="{D5CDD505-2E9C-101B-9397-08002B2CF9AE}" pid="5" name="KSOTemplateDocerSaveRecord">
    <vt:lpwstr>eyJoZGlkIjoiNDU0ZWFjOTk2NGNlYTg2ZWRkMTIxNDA3MGIwZTlmOWQiLCJ1c2VySWQiOiIyOTQ0MDI2OTkifQ==</vt:lpwstr>
  </property>
</Properties>
</file>