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AFE31">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金川县2025年</w:t>
      </w:r>
      <w:r>
        <w:rPr>
          <w:rFonts w:hint="eastAsia" w:ascii="Times New Roman" w:hAnsi="Times New Roman" w:eastAsia="方正小标宋_GBK" w:cs="Times New Roman"/>
          <w:sz w:val="44"/>
          <w:szCs w:val="44"/>
          <w:lang w:val="en-US" w:eastAsia="zh-CN"/>
        </w:rPr>
        <w:t>人大办</w:t>
      </w:r>
      <w:r>
        <w:rPr>
          <w:rFonts w:ascii="Times New Roman" w:hAnsi="Times New Roman" w:eastAsia="方正小标宋_GBK" w:cs="Times New Roman"/>
          <w:sz w:val="44"/>
          <w:szCs w:val="44"/>
        </w:rPr>
        <w:t>预算绩效目标</w:t>
      </w:r>
    </w:p>
    <w:p w14:paraId="2ABFD003">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1DAA1126">
      <w:pPr>
        <w:pStyle w:val="2"/>
        <w:jc w:val="left"/>
      </w:pPr>
    </w:p>
    <w:p w14:paraId="535D117F">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2025年，我单位部门预算789.99万元 ，均严格按绩效管理要求实现项目绩效目标管理，其中重点项目预算3个，现将情况说明如下：</w:t>
      </w:r>
    </w:p>
    <w:p w14:paraId="61E9B98A">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25ECF5F8">
      <w:pPr>
        <w:spacing w:line="560" w:lineRule="exact"/>
        <w:ind w:left="0" w:firstLine="640" w:firstLineChars="200"/>
        <w:rPr>
          <w:rFonts w:hint="default"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完成了2025年本级部门预算整体绩效目标申报和3个重点项目预算绩效目标申报，并编报3个重点项目预算事前绩效评估报告。</w:t>
      </w:r>
    </w:p>
    <w:p w14:paraId="0AE7E4C7">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10E4875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三会”（人民代表大会、常委会、主任会）做好服务工作；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根据工作需要，听取县人民政府所属工作部门、县人民法院、县人民检察院的有关专题汇报，了解情况，提出建议和意见；对属于县人民代表大会及其常务委员会职权范围内的有关问题进行调查研究，向县人民代表大会主席团或常务委员会提出专题调查报告和建议；配合上级人民代表大会及其常务委员会做好立法调研和执法检查工作。对上级人民代表大会及其常务委员会发来征求意见的法律法规草案进行调查和组织有关部门、单位征求修改意见，并及时上报；联系县人民代表大会代表，办理人民群众提出的申诉和意见，认真做好人大代表和人民群众来信来访工作；办理县人民代表大会及其常务委员会和主任会议交办的其他事项。</w:t>
      </w:r>
    </w:p>
    <w:p w14:paraId="34D41BF6">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3EF5F51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重点项目1：县人大代表活动经费</w:t>
      </w:r>
    </w:p>
    <w:p w14:paraId="1E579E0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项目年度绩效目标：组织县人大代表视察和考察，提高人大代表建言献策的水平，充分发挥民主监督的作用，保障县人大代表活动经费。</w:t>
      </w:r>
    </w:p>
    <w:p w14:paraId="307732F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929126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重点项目2：乡镇人大代表履职和人大主席团工作经费</w:t>
      </w:r>
    </w:p>
    <w:p w14:paraId="28928D3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进一步加快推进全县各乡镇人大规范化建设进程，充分发挥基层国家权力机关的作用，保障乡镇人大主席团工作正常有序开展、代表充分履职，组织乡镇人大代表视察和考察，提高人大代表建言献策的水平，充分发挥民主监督的作用。</w:t>
      </w:r>
    </w:p>
    <w:p w14:paraId="3AB91AA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3CA658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重点项目3：参加州人代会经费</w:t>
      </w:r>
    </w:p>
    <w:p w14:paraId="59520F14">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项目年度绩效目标：为参加州人代会的代表及工作人员开展会前调研、视察及相关工作提供经费保障。</w:t>
      </w:r>
    </w:p>
    <w:p w14:paraId="0B3D67DC">
      <w:pPr>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14:paraId="2EDB4C51">
      <w:pPr>
        <w:spacing w:line="560" w:lineRule="exact"/>
        <w:ind w:firstLine="640" w:firstLineChars="200"/>
        <w:rPr>
          <w:rFonts w:hint="eastAsia" w:asci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jIwYmU3OGU3ZTIzMWIzNTgwMmJmZWUxZjBlZjRlOTIifQ=="/>
  </w:docVars>
  <w:rsids>
    <w:rsidRoot w:val="00000000"/>
    <w:rsid w:val="23C60A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338</Words>
  <Characters>354</Characters>
  <Lines>23</Lines>
  <Paragraphs>15</Paragraphs>
  <TotalTime>1</TotalTime>
  <ScaleCrop>false</ScaleCrop>
  <LinksUpToDate>false</LinksUpToDate>
  <CharactersWithSpaces>355</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dcterms:modified xsi:type="dcterms:W3CDTF">2025-02-18T15:49:13Z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19A3FFAD7ACF4439BDD2DCDC15F57D2A_12</vt:lpwstr>
  </property>
</Properties>
</file>