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6163D">
      <w:pPr>
        <w:spacing w:line="600" w:lineRule="exact"/>
        <w:jc w:val="center"/>
        <w:outlineLvl w:val="0"/>
        <w:rPr>
          <w:rFonts w:hint="eastAsia" w:ascii="仿宋_GB2312" w:eastAsia="仿宋_GB2312" w:cs="仿宋_GB2312"/>
          <w:color w:val="000000"/>
          <w:sz w:val="72"/>
          <w:szCs w:val="72"/>
        </w:rPr>
      </w:pPr>
      <w:bookmarkStart w:id="0" w:name="_Toc15306267"/>
      <w:bookmarkStart w:id="233" w:name="_GoBack"/>
      <w:bookmarkEnd w:id="233"/>
    </w:p>
    <w:p w14:paraId="22CF5C4A">
      <w:pPr>
        <w:spacing w:line="600" w:lineRule="exact"/>
        <w:jc w:val="center"/>
        <w:outlineLvl w:val="0"/>
        <w:rPr>
          <w:rFonts w:hint="eastAsia" w:ascii="仿宋_GB2312" w:eastAsia="仿宋_GB2312" w:cs="仿宋_GB2312"/>
          <w:color w:val="000000"/>
          <w:sz w:val="72"/>
          <w:szCs w:val="72"/>
        </w:rPr>
      </w:pPr>
    </w:p>
    <w:p w14:paraId="660DCCF8">
      <w:pPr>
        <w:spacing w:line="600" w:lineRule="exact"/>
        <w:jc w:val="center"/>
        <w:outlineLvl w:val="0"/>
        <w:rPr>
          <w:rFonts w:hint="eastAsia" w:ascii="仿宋_GB2312" w:eastAsia="仿宋_GB2312" w:cs="仿宋_GB2312"/>
          <w:color w:val="000000"/>
          <w:sz w:val="72"/>
          <w:szCs w:val="72"/>
        </w:rPr>
      </w:pPr>
    </w:p>
    <w:p w14:paraId="17256030">
      <w:pPr>
        <w:spacing w:line="600" w:lineRule="exact"/>
        <w:jc w:val="center"/>
        <w:outlineLvl w:val="0"/>
        <w:rPr>
          <w:rFonts w:hint="eastAsia" w:ascii="仿宋_GB2312" w:eastAsia="仿宋_GB2312" w:cs="仿宋_GB2312"/>
          <w:color w:val="000000"/>
          <w:sz w:val="72"/>
          <w:szCs w:val="72"/>
        </w:rPr>
      </w:pPr>
    </w:p>
    <w:p w14:paraId="6222AD66">
      <w:pPr>
        <w:adjustRightInd w:val="0"/>
        <w:snapToGrid w:val="0"/>
        <w:spacing w:line="360" w:lineRule="auto"/>
        <w:jc w:val="center"/>
        <w:outlineLvl w:val="0"/>
        <w:rPr>
          <w:rFonts w:hint="eastAsia" w:ascii="仿宋_GB2312" w:eastAsia="仿宋_GB2312" w:cs="仿宋_GB2312"/>
          <w:color w:val="000000"/>
          <w:sz w:val="72"/>
          <w:szCs w:val="72"/>
        </w:rPr>
      </w:pPr>
      <w:bookmarkStart w:id="1" w:name="_Toc15396597"/>
      <w:bookmarkStart w:id="2" w:name="_Toc15377193"/>
      <w:bookmarkStart w:id="3" w:name="_Toc15377425"/>
      <w:bookmarkStart w:id="4" w:name="_Toc15378441"/>
      <w:bookmarkStart w:id="5" w:name="_Toc15396475"/>
      <w:bookmarkStart w:id="6" w:name="_Toc2114"/>
      <w:r>
        <w:rPr>
          <w:rFonts w:hint="eastAsia" w:ascii="仿宋_GB2312" w:eastAsia="仿宋_GB2312" w:cs="仿宋_GB2312"/>
          <w:color w:val="000000"/>
          <w:sz w:val="72"/>
          <w:szCs w:val="72"/>
          <w:lang w:val="en-US" w:eastAsia="zh-CN"/>
        </w:rPr>
        <w:t>2022年</w:t>
      </w:r>
      <w:r>
        <w:rPr>
          <w:rFonts w:hint="eastAsia" w:ascii="仿宋_GB2312" w:eastAsia="仿宋_GB2312" w:cs="仿宋_GB2312"/>
          <w:color w:val="000000"/>
          <w:sz w:val="72"/>
          <w:szCs w:val="72"/>
        </w:rPr>
        <w:t>度</w:t>
      </w:r>
      <w:bookmarkEnd w:id="1"/>
      <w:bookmarkEnd w:id="2"/>
      <w:bookmarkEnd w:id="3"/>
      <w:bookmarkEnd w:id="4"/>
      <w:bookmarkEnd w:id="5"/>
      <w:bookmarkEnd w:id="6"/>
    </w:p>
    <w:bookmarkEnd w:id="0"/>
    <w:p w14:paraId="6C9A3D53">
      <w:pPr>
        <w:adjustRightInd w:val="0"/>
        <w:snapToGrid w:val="0"/>
        <w:spacing w:line="360" w:lineRule="auto"/>
        <w:jc w:val="center"/>
        <w:outlineLvl w:val="0"/>
        <w:rPr>
          <w:rFonts w:hint="eastAsia" w:ascii="仿宋_GB2312" w:eastAsia="仿宋_GB2312" w:cs="仿宋_GB2312"/>
          <w:color w:val="000000"/>
          <w:sz w:val="72"/>
          <w:szCs w:val="72"/>
          <w:lang w:val="en-US" w:eastAsia="zh-CN"/>
        </w:rPr>
      </w:pPr>
      <w:bookmarkStart w:id="7" w:name="_Toc15377426"/>
      <w:bookmarkStart w:id="8" w:name="_Toc15396476"/>
      <w:bookmarkStart w:id="9" w:name="_Toc15377194"/>
      <w:bookmarkStart w:id="10" w:name="_Toc15378442"/>
      <w:bookmarkStart w:id="11" w:name="_Toc15396598"/>
      <w:r>
        <w:rPr>
          <w:rFonts w:hint="eastAsia" w:ascii="仿宋_GB2312" w:eastAsia="仿宋_GB2312" w:cs="仿宋_GB2312"/>
          <w:color w:val="000000"/>
          <w:sz w:val="72"/>
          <w:szCs w:val="72"/>
          <w:lang w:val="en-US" w:eastAsia="zh-CN"/>
        </w:rPr>
        <w:t>四川省阿坝州</w:t>
      </w:r>
      <w:bookmarkStart w:id="12" w:name="_Toc15306268"/>
      <w:r>
        <w:rPr>
          <w:rFonts w:hint="eastAsia" w:ascii="仿宋_GB2312" w:eastAsia="仿宋_GB2312" w:cs="仿宋_GB2312"/>
          <w:color w:val="000000"/>
          <w:sz w:val="72"/>
          <w:szCs w:val="72"/>
          <w:lang w:val="en-US" w:eastAsia="zh-CN"/>
        </w:rPr>
        <w:t>金川县人大常委会办公室决算</w:t>
      </w:r>
      <w:bookmarkEnd w:id="7"/>
      <w:bookmarkEnd w:id="8"/>
      <w:bookmarkEnd w:id="9"/>
      <w:bookmarkEnd w:id="10"/>
      <w:bookmarkEnd w:id="11"/>
      <w:bookmarkEnd w:id="12"/>
    </w:p>
    <w:p w14:paraId="1E00AFF8">
      <w:pPr>
        <w:widowControl/>
        <w:jc w:val="center"/>
        <w:rPr>
          <w:rFonts w:hint="eastAsia" w:ascii="仿宋_GB2312" w:eastAsia="仿宋_GB2312" w:cs="仿宋_GB2312"/>
          <w:color w:val="000000"/>
          <w:sz w:val="36"/>
          <w:szCs w:val="36"/>
        </w:rPr>
      </w:pPr>
    </w:p>
    <w:p w14:paraId="5C4A8170">
      <w:pPr>
        <w:widowControl/>
        <w:jc w:val="center"/>
        <w:rPr>
          <w:rFonts w:hint="eastAsia" w:ascii="仿宋_GB2312" w:eastAsia="仿宋_GB2312" w:cs="仿宋_GB2312"/>
          <w:color w:val="000000"/>
          <w:sz w:val="36"/>
          <w:szCs w:val="36"/>
        </w:rPr>
      </w:pPr>
    </w:p>
    <w:p w14:paraId="2C439021">
      <w:pPr>
        <w:widowControl/>
        <w:jc w:val="center"/>
        <w:rPr>
          <w:rFonts w:hint="eastAsia" w:ascii="仿宋_GB2312" w:eastAsia="仿宋_GB2312" w:cs="仿宋_GB2312"/>
          <w:color w:val="000000"/>
          <w:sz w:val="36"/>
          <w:szCs w:val="36"/>
        </w:rPr>
      </w:pPr>
    </w:p>
    <w:p w14:paraId="0C23554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eastAsia="仿宋_GB2312" w:cs="仿宋_GB2312"/>
          <w:b/>
          <w:bCs/>
          <w:color w:val="000000"/>
          <w:sz w:val="28"/>
          <w:szCs w:val="28"/>
        </w:rPr>
      </w:pPr>
      <w:r>
        <w:rPr>
          <w:rFonts w:hint="eastAsia" w:ascii="仿宋_GB2312" w:eastAsia="仿宋_GB2312" w:cs="仿宋_GB2312"/>
          <w:color w:val="000000"/>
          <w:sz w:val="36"/>
          <w:szCs w:val="36"/>
        </w:rPr>
        <w:br w:type="page"/>
      </w:r>
      <w:r>
        <w:rPr>
          <w:rFonts w:hint="eastAsia" w:ascii="仿宋_GB2312" w:eastAsia="仿宋_GB2312" w:cs="仿宋_GB2312"/>
          <w:b/>
          <w:bCs/>
          <w:color w:val="000000"/>
          <w:sz w:val="28"/>
          <w:szCs w:val="28"/>
        </w:rPr>
        <w:t>目</w:t>
      </w:r>
      <w:r>
        <w:rPr>
          <w:rFonts w:hint="eastAsia" w:ascii="仿宋_GB2312" w:eastAsia="仿宋_GB2312" w:cs="仿宋_GB2312"/>
          <w:b/>
          <w:bCs/>
          <w:color w:val="000000"/>
          <w:sz w:val="28"/>
          <w:szCs w:val="28"/>
          <w:lang w:eastAsia="zh-CN"/>
        </w:rPr>
        <w:t>　</w:t>
      </w:r>
      <w:r>
        <w:rPr>
          <w:rFonts w:hint="eastAsia" w:ascii="仿宋_GB2312" w:eastAsia="仿宋_GB2312" w:cs="仿宋_GB2312"/>
          <w:b/>
          <w:bCs/>
          <w:color w:val="000000"/>
          <w:sz w:val="28"/>
          <w:szCs w:val="28"/>
        </w:rPr>
        <w:t>录</w:t>
      </w:r>
    </w:p>
    <w:p w14:paraId="724D0BB8">
      <w:pPr>
        <w:pStyle w:val="11"/>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t>公开时间：202</w:t>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t>年</w:t>
      </w:r>
      <w:r>
        <w:rPr>
          <w:rFonts w:hint="eastAsia" w:ascii="仿宋_GB2312" w:eastAsia="仿宋_GB2312" w:cs="仿宋_GB2312"/>
          <w:sz w:val="28"/>
          <w:szCs w:val="28"/>
          <w:lang w:val="en-US" w:eastAsia="zh-CN"/>
        </w:rPr>
        <w:t>8</w:t>
      </w:r>
      <w:r>
        <w:rPr>
          <w:rFonts w:hint="eastAsia" w:ascii="仿宋_GB2312" w:eastAsia="仿宋_GB2312" w:cs="仿宋_GB2312"/>
          <w:sz w:val="28"/>
          <w:szCs w:val="28"/>
        </w:rPr>
        <w:t>月2</w:t>
      </w:r>
      <w:r>
        <w:rPr>
          <w:rFonts w:hint="eastAsia" w:ascii="仿宋_GB2312" w:eastAsia="仿宋_GB2312" w:cs="仿宋_GB2312"/>
          <w:sz w:val="28"/>
          <w:szCs w:val="28"/>
          <w:lang w:val="en-US" w:eastAsia="zh-CN"/>
        </w:rPr>
        <w:t>8</w:t>
      </w:r>
      <w:r>
        <w:rPr>
          <w:rFonts w:hint="eastAsia" w:ascii="仿宋_GB2312" w:eastAsia="仿宋_GB2312" w:cs="仿宋_GB2312"/>
          <w:sz w:val="28"/>
          <w:szCs w:val="28"/>
        </w:rPr>
        <w:t>日</w:t>
      </w:r>
    </w:p>
    <w:p w14:paraId="442D4292">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TOC \o "1-4" \f \h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_Toc3537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第一部分 部门概况</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_Toc3537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196B76CA">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_Toc28493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一、基本职能及主要工作</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_Toc28493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750FC259">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_Toc25044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（一）主要职能</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_Toc25044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0F7F2BC8">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_Toc1961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（二）</w:t>
      </w:r>
      <w:r>
        <w:rPr>
          <w:rFonts w:hint="eastAsia" w:ascii="仿宋_GB2312" w:eastAsia="仿宋_GB2312" w:cs="仿宋_GB2312"/>
          <w:sz w:val="28"/>
          <w:szCs w:val="28"/>
          <w:lang w:val="en-US" w:eastAsia="zh-CN"/>
        </w:rPr>
        <w:t>2022年</w:t>
      </w:r>
      <w:r>
        <w:rPr>
          <w:rFonts w:hint="eastAsia" w:ascii="仿宋_GB2312" w:eastAsia="仿宋_GB2312" w:cs="仿宋_GB2312"/>
          <w:sz w:val="28"/>
          <w:szCs w:val="28"/>
        </w:rPr>
        <w:t>重点工作完成情况</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_Toc1961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5BA7AEF9">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_Toc611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二、机构设置</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_Toc611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7CDEC254">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_Toc1890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 xml:space="preserve">第二部分 </w:t>
      </w:r>
      <w:r>
        <w:rPr>
          <w:rFonts w:hint="eastAsia" w:ascii="仿宋_GB2312" w:eastAsia="仿宋_GB2312" w:cs="仿宋_GB2312"/>
          <w:bCs w:val="0"/>
          <w:sz w:val="28"/>
          <w:szCs w:val="28"/>
          <w:lang w:val="en-US"/>
        </w:rPr>
        <w:t>2022年</w:t>
      </w:r>
      <w:r>
        <w:rPr>
          <w:rFonts w:hint="eastAsia" w:ascii="仿宋_GB2312" w:eastAsia="仿宋_GB2312" w:cs="仿宋_GB2312"/>
          <w:bCs w:val="0"/>
          <w:sz w:val="28"/>
          <w:szCs w:val="28"/>
        </w:rPr>
        <w:t>度部门决算情况说明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_Toc1890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4605BCBC">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_Toc5265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一、收入支出决算总体情况说明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_Toc5265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47133C39">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_Toc25961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二、收入决算情况说明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_Toc25961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5</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452EC76F">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_Toc20190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三、支出决算情况说明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_Toc20190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6</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2EB7162E">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_Toc101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四、财政拨款收入支出决算总体情况说明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_Toc101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7</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5F65B6BF">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ind w:left="0" w:leftChars="0" w:firstLine="0"/>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t>　</w:t>
      </w: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_Toc3054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 xml:space="preserve"> 五、一般公共预算财政拨款支出决算情况说明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_Toc3054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8</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533ADCF2">
      <w:pPr>
        <w:pStyle w:val="12"/>
        <w:keepNext w:val="0"/>
        <w:keepLines w:val="0"/>
        <w:pageBreakBefore w:val="0"/>
        <w:widowControl w:val="0"/>
        <w:tabs>
          <w:tab w:val="right" w:pos="7600"/>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_Toc13620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六、一般公共预算财政拨款基本支出决算情况说明</w:t>
      </w:r>
      <w:r>
        <w:rPr>
          <w:rFonts w:hint="eastAsia" w:ascii="仿宋_GB2312" w:eastAsia="仿宋_GB2312" w:cs="仿宋_GB2312"/>
          <w:sz w:val="28"/>
          <w:szCs w:val="28"/>
          <w:lang w:val="en-US" w:eastAsia="zh-CN"/>
        </w:rPr>
        <w:tab/>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_Toc13620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54C5D3EE">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_Toc19002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七、“三公”经费财政拨款支出决算情况说明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_Toc19002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03D667A9">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_Toc11152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八、政府性基金预算支出决算情况说明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_Toc11152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3D668ACA">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_Toc28038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九、国有资本经营预算支出决算情况说明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_Toc28038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150B2807">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_Toc24621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十、预算绩效情况说明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_Toc24621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04D82663">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_Toc24399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lang w:val="en-US" w:eastAsia="zh-CN"/>
        </w:rPr>
        <w:t>十一、其他重要事项的情况说明</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_Toc24399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7BE70070">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_Toc6806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sz w:val="28"/>
          <w:szCs w:val="28"/>
        </w:rPr>
        <w:t>第三部分 名词解释</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_Toc6806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1F298AB1">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_Toc17647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 xml:space="preserve">第四部分 </w:t>
      </w:r>
      <w:r>
        <w:rPr>
          <w:rFonts w:hint="eastAsia" w:ascii="仿宋_GB2312" w:eastAsia="仿宋_GB2312" w:cs="仿宋_GB2312"/>
          <w:bCs w:val="0"/>
          <w:sz w:val="28"/>
          <w:szCs w:val="28"/>
          <w:lang w:val="en-US"/>
        </w:rPr>
        <w:t>部门整体支出绩效报告</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_Toc17647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17</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6A4C6520">
      <w:pPr>
        <w:pStyle w:val="11"/>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_Toc24270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第五部分　附表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_Toc24270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23</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3A6D0C49">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_Toc32290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一、收</w:t>
      </w:r>
      <w:r>
        <w:rPr>
          <w:rFonts w:hint="eastAsia" w:ascii="仿宋_GB2312" w:eastAsia="仿宋_GB2312" w:cs="仿宋_GB2312"/>
          <w:bCs w:val="0"/>
          <w:sz w:val="28"/>
          <w:szCs w:val="28"/>
        </w:rPr>
        <w:t>入支出决算总表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_Toc32290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773624C1">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_Toc29250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sz w:val="28"/>
          <w:szCs w:val="28"/>
        </w:rPr>
        <w:t>二、收</w:t>
      </w:r>
      <w:r>
        <w:rPr>
          <w:rFonts w:hint="eastAsia" w:ascii="仿宋_GB2312" w:eastAsia="仿宋_GB2312" w:cs="仿宋_GB2312"/>
          <w:bCs w:val="0"/>
          <w:sz w:val="28"/>
          <w:szCs w:val="28"/>
        </w:rPr>
        <w:t>入决算表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_Toc29250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321CA19E">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_Toc5311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三、</w:t>
      </w:r>
      <w:r>
        <w:rPr>
          <w:rFonts w:hint="eastAsia" w:ascii="仿宋_GB2312" w:eastAsia="仿宋_GB2312" w:cs="仿宋_GB2312"/>
          <w:sz w:val="28"/>
          <w:szCs w:val="28"/>
        </w:rPr>
        <w:t>支</w:t>
      </w:r>
      <w:r>
        <w:rPr>
          <w:rFonts w:hint="eastAsia" w:ascii="仿宋_GB2312" w:eastAsia="仿宋_GB2312" w:cs="仿宋_GB2312"/>
          <w:bCs w:val="0"/>
          <w:sz w:val="28"/>
          <w:szCs w:val="28"/>
        </w:rPr>
        <w:t>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_Toc5311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5AB65E59">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_Toc4383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四、</w:t>
      </w:r>
      <w:r>
        <w:rPr>
          <w:rFonts w:hint="eastAsia" w:ascii="仿宋_GB2312" w:eastAsia="仿宋_GB2312" w:cs="仿宋_GB2312"/>
          <w:sz w:val="28"/>
          <w:szCs w:val="28"/>
        </w:rPr>
        <w:t>财</w:t>
      </w:r>
      <w:r>
        <w:rPr>
          <w:rFonts w:hint="eastAsia" w:ascii="仿宋_GB2312" w:eastAsia="仿宋_GB2312" w:cs="仿宋_GB2312"/>
          <w:bCs w:val="0"/>
          <w:sz w:val="28"/>
          <w:szCs w:val="28"/>
        </w:rPr>
        <w:t>政拨款收入支出决算总表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_Toc4383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4044F752">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_Toc3880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五、</w:t>
      </w:r>
      <w:r>
        <w:rPr>
          <w:rFonts w:hint="eastAsia" w:ascii="仿宋_GB2312" w:eastAsia="仿宋_GB2312" w:cs="仿宋_GB2312"/>
          <w:sz w:val="28"/>
          <w:szCs w:val="28"/>
        </w:rPr>
        <w:t>财</w:t>
      </w:r>
      <w:r>
        <w:rPr>
          <w:rFonts w:hint="eastAsia" w:ascii="仿宋_GB2312" w:eastAsia="仿宋_GB2312" w:cs="仿宋_GB2312"/>
          <w:bCs w:val="0"/>
          <w:sz w:val="28"/>
          <w:szCs w:val="28"/>
        </w:rPr>
        <w:t>政拨款支出决算明细表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_Toc3880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58244E79">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_Toc8069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六、</w:t>
      </w:r>
      <w:r>
        <w:rPr>
          <w:rFonts w:hint="eastAsia" w:ascii="仿宋_GB2312" w:eastAsia="仿宋_GB2312" w:cs="仿宋_GB2312"/>
          <w:sz w:val="28"/>
          <w:szCs w:val="28"/>
        </w:rPr>
        <w:t>一</w:t>
      </w:r>
      <w:r>
        <w:rPr>
          <w:rFonts w:hint="eastAsia" w:ascii="仿宋_GB2312" w:eastAsia="仿宋_GB2312" w:cs="仿宋_GB2312"/>
          <w:bCs w:val="0"/>
          <w:sz w:val="28"/>
          <w:szCs w:val="28"/>
        </w:rPr>
        <w:t>般公共预算财政拨款支出决算表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_Toc8069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048973A7">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_Toc25400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七、</w:t>
      </w:r>
      <w:r>
        <w:rPr>
          <w:rFonts w:hint="eastAsia" w:ascii="仿宋_GB2312" w:eastAsia="仿宋_GB2312" w:cs="仿宋_GB2312"/>
          <w:sz w:val="28"/>
          <w:szCs w:val="28"/>
        </w:rPr>
        <w:t>一</w:t>
      </w:r>
      <w:r>
        <w:rPr>
          <w:rFonts w:hint="eastAsia" w:ascii="仿宋_GB2312" w:eastAsia="仿宋_GB2312" w:cs="仿宋_GB2312"/>
          <w:bCs w:val="0"/>
          <w:sz w:val="28"/>
          <w:szCs w:val="28"/>
        </w:rPr>
        <w:t>般公共预算财政拨款支出决算明细表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_Toc25400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2B965223">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_Toc15665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八、</w:t>
      </w:r>
      <w:r>
        <w:rPr>
          <w:rFonts w:hint="eastAsia" w:ascii="仿宋_GB2312" w:eastAsia="仿宋_GB2312" w:cs="仿宋_GB2312"/>
          <w:sz w:val="28"/>
          <w:szCs w:val="28"/>
        </w:rPr>
        <w:t>一</w:t>
      </w:r>
      <w:r>
        <w:rPr>
          <w:rFonts w:hint="eastAsia" w:ascii="仿宋_GB2312" w:eastAsia="仿宋_GB2312" w:cs="仿宋_GB2312"/>
          <w:bCs w:val="0"/>
          <w:sz w:val="28"/>
          <w:szCs w:val="28"/>
        </w:rPr>
        <w:t>般公共预算财政拨款基本支出决算明细表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_Toc15665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1B9D88C7">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_Toc30144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九、</w:t>
      </w:r>
      <w:r>
        <w:rPr>
          <w:rFonts w:hint="eastAsia" w:ascii="仿宋_GB2312" w:eastAsia="仿宋_GB2312" w:cs="仿宋_GB2312"/>
          <w:sz w:val="28"/>
          <w:szCs w:val="28"/>
        </w:rPr>
        <w:t>一</w:t>
      </w:r>
      <w:r>
        <w:rPr>
          <w:rFonts w:hint="eastAsia" w:ascii="仿宋_GB2312" w:eastAsia="仿宋_GB2312" w:cs="仿宋_GB2312"/>
          <w:bCs w:val="0"/>
          <w:sz w:val="28"/>
          <w:szCs w:val="28"/>
        </w:rPr>
        <w:t>般公共预算财政拨款项目支出决算表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_Toc30144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31A69160">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_Toc6032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十、</w:t>
      </w:r>
      <w:r>
        <w:rPr>
          <w:rFonts w:hint="eastAsia" w:ascii="仿宋_GB2312" w:eastAsia="仿宋_GB2312" w:cs="仿宋_GB2312"/>
          <w:sz w:val="28"/>
          <w:szCs w:val="28"/>
        </w:rPr>
        <w:t>政</w:t>
      </w:r>
      <w:r>
        <w:rPr>
          <w:rFonts w:hint="eastAsia" w:ascii="仿宋_GB2312" w:eastAsia="仿宋_GB2312" w:cs="仿宋_GB2312"/>
          <w:bCs w:val="0"/>
          <w:sz w:val="28"/>
          <w:szCs w:val="28"/>
        </w:rPr>
        <w:t>府性基金预算财政拨款收入支出决算表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_Toc6032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786A50B1">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_Toc13012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十一、</w:t>
      </w:r>
      <w:r>
        <w:rPr>
          <w:rFonts w:hint="eastAsia" w:ascii="仿宋_GB2312" w:eastAsia="仿宋_GB2312" w:cs="仿宋_GB2312"/>
          <w:sz w:val="28"/>
          <w:szCs w:val="28"/>
        </w:rPr>
        <w:t>国</w:t>
      </w:r>
      <w:r>
        <w:rPr>
          <w:rFonts w:hint="eastAsia" w:ascii="仿宋_GB2312" w:eastAsia="仿宋_GB2312" w:cs="仿宋_GB2312"/>
          <w:bCs w:val="0"/>
          <w:sz w:val="28"/>
          <w:szCs w:val="28"/>
        </w:rPr>
        <w:t>有资本经营预算财政拨款收入支出决算表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_Toc13012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44B6D819">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_Toc30046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十二、</w:t>
      </w:r>
      <w:r>
        <w:rPr>
          <w:rFonts w:hint="eastAsia" w:ascii="仿宋_GB2312" w:eastAsia="仿宋_GB2312" w:cs="仿宋_GB2312"/>
          <w:sz w:val="28"/>
          <w:szCs w:val="28"/>
        </w:rPr>
        <w:t>国</w:t>
      </w:r>
      <w:r>
        <w:rPr>
          <w:rFonts w:hint="eastAsia" w:ascii="仿宋_GB2312" w:eastAsia="仿宋_GB2312" w:cs="仿宋_GB2312"/>
          <w:bCs w:val="0"/>
          <w:sz w:val="28"/>
          <w:szCs w:val="28"/>
        </w:rPr>
        <w:t>有资本经营预算财政拨款支出决算表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_Toc30046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43E9A3B1">
      <w:pPr>
        <w:pStyle w:val="12"/>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exact"/>
        <w:textAlignment w:val="auto"/>
        <w:rPr>
          <w:rFonts w:hint="eastAsia" w:ascii="仿宋_GB2312" w:eastAsia="仿宋_GB2312" w:cs="仿宋_GB2312"/>
          <w:sz w:val="28"/>
          <w:szCs w:val="28"/>
        </w:rPr>
      </w:pPr>
      <w:r>
        <w:rPr>
          <w:rFonts w:hint="eastAsia" w:ascii="仿宋_GB2312" w:eastAsia="仿宋_GB2312" w:cs="仿宋_GB2312"/>
          <w:sz w:val="28"/>
          <w:szCs w:val="28"/>
          <w:lang w:val="en-US" w:eastAsia="zh-CN"/>
        </w:rPr>
        <w:fldChar w:fldCharType="begin"/>
      </w:r>
      <w:r>
        <w:rPr>
          <w:rFonts w:hint="eastAsia" w:ascii="仿宋_GB2312" w:eastAsia="仿宋_GB2312" w:cs="仿宋_GB2312"/>
          <w:sz w:val="28"/>
          <w:szCs w:val="28"/>
          <w:lang w:val="en-US" w:eastAsia="zh-CN"/>
        </w:rPr>
        <w:instrText xml:space="preserve"> HYPERLINK \l _Toc28010 </w:instrText>
      </w:r>
      <w:r>
        <w:rPr>
          <w:rFonts w:hint="eastAsia" w:ascii="仿宋_GB2312" w:eastAsia="仿宋_GB2312" w:cs="仿宋_GB2312"/>
          <w:sz w:val="28"/>
          <w:szCs w:val="28"/>
          <w:lang w:val="en-US" w:eastAsia="zh-CN"/>
        </w:rPr>
        <w:fldChar w:fldCharType="separate"/>
      </w:r>
      <w:r>
        <w:rPr>
          <w:rFonts w:hint="eastAsia" w:ascii="仿宋_GB2312" w:eastAsia="仿宋_GB2312" w:cs="仿宋_GB2312"/>
          <w:bCs w:val="0"/>
          <w:sz w:val="28"/>
          <w:szCs w:val="28"/>
        </w:rPr>
        <w:t>十三、</w:t>
      </w:r>
      <w:r>
        <w:rPr>
          <w:rFonts w:hint="eastAsia" w:ascii="仿宋_GB2312" w:eastAsia="仿宋_GB2312" w:cs="仿宋_GB2312"/>
          <w:sz w:val="28"/>
          <w:szCs w:val="28"/>
          <w:lang w:val="en-US" w:eastAsia="zh-CN"/>
        </w:rPr>
        <w:t>财政拨款“三公”经费支出决算表</w:t>
      </w:r>
      <w:r>
        <w:rPr>
          <w:rFonts w:hint="eastAsia" w:ascii="仿宋_GB2312" w:eastAsia="仿宋_GB2312" w:cs="仿宋_GB2312"/>
          <w:sz w:val="28"/>
          <w:szCs w:val="28"/>
        </w:rPr>
        <w:tab/>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PAGEREF _Toc28010 \h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24</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fldChar w:fldCharType="end"/>
      </w:r>
    </w:p>
    <w:p w14:paraId="6C2ED265">
      <w:pPr>
        <w:pStyle w:val="11"/>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eastAsia="仿宋_GB2312" w:cs="仿宋_GB2312"/>
          <w:bCs/>
          <w:kern w:val="2"/>
          <w:szCs w:val="21"/>
          <w:lang w:val="en-US" w:eastAsia="zh-CN" w:bidi="ar-SA"/>
        </w:rPr>
      </w:pPr>
      <w:r>
        <w:rPr>
          <w:rFonts w:hint="eastAsia" w:ascii="仿宋_GB2312" w:eastAsia="仿宋_GB2312" w:cs="仿宋_GB2312"/>
          <w:sz w:val="28"/>
          <w:szCs w:val="28"/>
          <w:lang w:val="en-US" w:eastAsia="zh-CN"/>
        </w:rPr>
        <w:fldChar w:fldCharType="end"/>
      </w:r>
      <w:bookmarkStart w:id="13" w:name="_Toc31727"/>
      <w:bookmarkStart w:id="14" w:name="_Toc15396599"/>
      <w:bookmarkStart w:id="15" w:name="_Toc15377196"/>
      <w:bookmarkStart w:id="16" w:name="_Toc8167"/>
      <w:bookmarkStart w:id="17" w:name="_Toc15992"/>
      <w:bookmarkStart w:id="18" w:name="_Toc23005"/>
    </w:p>
    <w:p w14:paraId="5921B3C3">
      <w:pPr>
        <w:pStyle w:val="3"/>
        <w:jc w:val="both"/>
        <w:rPr>
          <w:rFonts w:hint="eastAsia" w:ascii="黑体" w:eastAsia="黑体"/>
          <w:b w:val="0"/>
        </w:rPr>
      </w:pPr>
      <w:r>
        <w:rPr>
          <w:rFonts w:hint="eastAsia" w:ascii="仿宋_GB2312" w:eastAsia="仿宋_GB2312" w:cs="仿宋_GB2312"/>
          <w:b w:val="0"/>
          <w:lang w:eastAsia="zh-CN"/>
        </w:rPr>
        <w:t>　　　</w:t>
      </w:r>
      <w:r>
        <w:rPr>
          <w:rFonts w:hint="eastAsia" w:ascii="黑体" w:eastAsia="黑体"/>
          <w:b w:val="0"/>
          <w:lang w:eastAsia="zh-CN"/>
        </w:rPr>
        <w:t>　</w:t>
      </w:r>
      <w:bookmarkStart w:id="19" w:name="_Toc3537"/>
      <w:r>
        <w:rPr>
          <w:rFonts w:hint="eastAsia" w:ascii="黑体" w:eastAsia="黑体"/>
          <w:b w:val="0"/>
        </w:rPr>
        <w:t>第一部分 部门概况</w:t>
      </w:r>
      <w:bookmarkEnd w:id="13"/>
      <w:bookmarkEnd w:id="14"/>
      <w:bookmarkEnd w:id="15"/>
      <w:bookmarkEnd w:id="16"/>
      <w:bookmarkEnd w:id="17"/>
      <w:bookmarkEnd w:id="18"/>
      <w:bookmarkEnd w:id="19"/>
    </w:p>
    <w:p w14:paraId="62BDE80D">
      <w:pPr>
        <w:pStyle w:val="4"/>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19"/>
          <w:rFonts w:hint="eastAsia" w:ascii="仿宋_GB2312" w:eastAsia="仿宋_GB2312" w:cs="仿宋_GB2312"/>
          <w:b w:val="0"/>
          <w:bCs w:val="0"/>
        </w:rPr>
      </w:pPr>
      <w:bookmarkStart w:id="20" w:name="_Toc15396600"/>
      <w:bookmarkStart w:id="21" w:name="_Toc30841"/>
      <w:bookmarkStart w:id="22" w:name="_Toc12207"/>
      <w:bookmarkStart w:id="23" w:name="_Toc2736"/>
      <w:bookmarkStart w:id="24" w:name="_Toc4547"/>
      <w:bookmarkStart w:id="25" w:name="_Toc15377197"/>
      <w:r>
        <w:rPr>
          <w:rFonts w:hint="eastAsia" w:ascii="黑体" w:eastAsia="黑体"/>
          <w:b w:val="0"/>
          <w:color w:val="000000"/>
          <w:lang w:eastAsia="zh-CN"/>
        </w:rPr>
        <w:t>　　</w:t>
      </w:r>
      <w:bookmarkStart w:id="26" w:name="_Toc28493"/>
      <w:r>
        <w:rPr>
          <w:rFonts w:hint="eastAsia" w:ascii="黑体" w:eastAsia="黑体"/>
          <w:b w:val="0"/>
          <w:color w:val="000000"/>
        </w:rPr>
        <w:t>一、基本职能及主要工作</w:t>
      </w:r>
      <w:bookmarkEnd w:id="20"/>
      <w:bookmarkEnd w:id="21"/>
      <w:bookmarkEnd w:id="22"/>
      <w:bookmarkEnd w:id="23"/>
      <w:bookmarkEnd w:id="24"/>
      <w:bookmarkEnd w:id="25"/>
      <w:bookmarkEnd w:id="26"/>
      <w:bookmarkStart w:id="27" w:name="_Toc15378445"/>
      <w:bookmarkStart w:id="28" w:name="_Toc15377198"/>
    </w:p>
    <w:p w14:paraId="461A9C0D">
      <w:pPr>
        <w:pStyle w:val="4"/>
        <w:spacing w:before="0" w:after="0" w:line="240" w:lineRule="auto"/>
        <w:ind w:left="642" w:leftChars="153" w:hanging="321" w:hangingChars="100"/>
        <w:rPr>
          <w:rFonts w:hint="eastAsia" w:ascii="楷体" w:eastAsia="楷体" w:cs="楷体"/>
          <w:color w:val="000000"/>
        </w:rPr>
      </w:pPr>
      <w:bookmarkStart w:id="29" w:name="_Toc1651"/>
      <w:bookmarkStart w:id="30" w:name="_Toc5977"/>
      <w:bookmarkStart w:id="31" w:name="_Toc1839"/>
      <w:bookmarkStart w:id="32" w:name="_Toc23053"/>
      <w:r>
        <w:rPr>
          <w:rFonts w:hint="eastAsia" w:ascii="楷体" w:eastAsia="楷体" w:cs="楷体"/>
          <w:color w:val="000000"/>
          <w:lang w:eastAsia="zh-CN"/>
        </w:rPr>
        <w:t>　</w:t>
      </w:r>
      <w:bookmarkStart w:id="33" w:name="_Toc25044"/>
      <w:r>
        <w:rPr>
          <w:rFonts w:hint="eastAsia" w:ascii="楷体" w:eastAsia="楷体" w:cs="楷体"/>
          <w:color w:val="000000"/>
        </w:rPr>
        <w:t>（一）主要职能</w:t>
      </w:r>
      <w:bookmarkEnd w:id="27"/>
      <w:bookmarkEnd w:id="28"/>
      <w:bookmarkEnd w:id="29"/>
      <w:bookmarkEnd w:id="30"/>
      <w:bookmarkEnd w:id="31"/>
      <w:bookmarkEnd w:id="32"/>
      <w:bookmarkEnd w:id="33"/>
      <w:bookmarkStart w:id="34" w:name="_Toc15377199"/>
      <w:bookmarkStart w:id="35" w:name="_Toc15378446"/>
    </w:p>
    <w:p w14:paraId="3A5E33CA">
      <w:pPr>
        <w:pStyle w:val="4"/>
        <w:spacing w:before="0" w:after="0" w:line="240" w:lineRule="auto"/>
        <w:ind w:firstLine="640" w:firstLineChars="200"/>
        <w:rPr>
          <w:rFonts w:ascii="仿宋_GB2312" w:eastAsia="仿宋_GB2312"/>
          <w:b w:val="0"/>
          <w:bCs w:val="0"/>
        </w:rPr>
      </w:pPr>
      <w:bookmarkStart w:id="36" w:name="_Toc10470"/>
      <w:bookmarkStart w:id="37" w:name="_Toc98838272"/>
      <w:bookmarkStart w:id="38" w:name="_Toc5967"/>
      <w:bookmarkStart w:id="39" w:name="_Toc952"/>
      <w:bookmarkStart w:id="40" w:name="_Toc15872"/>
      <w:bookmarkStart w:id="41" w:name="_Toc16225"/>
      <w:bookmarkStart w:id="42" w:name="_Toc13327"/>
      <w:bookmarkStart w:id="43" w:name="_Toc28227"/>
      <w:bookmarkStart w:id="44" w:name="_Toc9486"/>
      <w:bookmarkStart w:id="45" w:name="_Toc18962"/>
      <w:bookmarkStart w:id="46" w:name="_Toc1908"/>
      <w:r>
        <w:rPr>
          <w:rFonts w:hint="eastAsia" w:ascii="仿宋_GB2312" w:eastAsia="仿宋_GB2312"/>
          <w:b w:val="0"/>
          <w:bCs w:val="0"/>
        </w:rPr>
        <w:t>1、为“三会”（人民代表大会、常委会、主任会）作好服务工作。</w:t>
      </w:r>
      <w:bookmarkEnd w:id="36"/>
      <w:bookmarkEnd w:id="37"/>
      <w:bookmarkEnd w:id="38"/>
      <w:bookmarkEnd w:id="39"/>
      <w:bookmarkEnd w:id="40"/>
      <w:bookmarkEnd w:id="41"/>
      <w:bookmarkEnd w:id="42"/>
    </w:p>
    <w:p w14:paraId="34C09013">
      <w:pPr>
        <w:pStyle w:val="4"/>
        <w:spacing w:before="0" w:after="0" w:line="240" w:lineRule="auto"/>
        <w:ind w:firstLine="640" w:firstLineChars="200"/>
        <w:rPr>
          <w:rFonts w:ascii="仿宋_GB2312" w:eastAsia="仿宋_GB2312"/>
          <w:b w:val="0"/>
          <w:bCs w:val="0"/>
        </w:rPr>
      </w:pPr>
      <w:bookmarkStart w:id="47" w:name="_Toc98838273"/>
      <w:bookmarkStart w:id="48" w:name="_Toc22862"/>
      <w:bookmarkStart w:id="49" w:name="_Toc11046"/>
      <w:bookmarkStart w:id="50" w:name="_Toc13905"/>
      <w:bookmarkStart w:id="51" w:name="_Toc22883"/>
      <w:bookmarkStart w:id="52" w:name="_Toc3179"/>
      <w:bookmarkStart w:id="53" w:name="_Toc27952"/>
      <w:r>
        <w:rPr>
          <w:rFonts w:hint="eastAsia" w:ascii="仿宋_GB2312" w:eastAsia="仿宋_GB2312"/>
          <w:b w:val="0"/>
          <w:bCs w:val="0"/>
        </w:rPr>
        <w:t>2、根据县人民代表大会常务委员会的工作计划，对县人民政府、县人民法院、县人民检察院提请县人民代表大会常务委员会审议的有关议题和工作报告进行调查研究和初步审查，向常务委员会提出调查报告和初审意见。拟订和修改有关的决议、决定和审查意见。</w:t>
      </w:r>
      <w:bookmarkEnd w:id="47"/>
      <w:bookmarkEnd w:id="48"/>
      <w:bookmarkEnd w:id="49"/>
      <w:bookmarkEnd w:id="50"/>
      <w:bookmarkEnd w:id="51"/>
      <w:bookmarkEnd w:id="52"/>
      <w:bookmarkEnd w:id="53"/>
    </w:p>
    <w:p w14:paraId="4500929C">
      <w:pPr>
        <w:ind w:firstLine="640" w:firstLineChars="200"/>
        <w:rPr>
          <w:rFonts w:ascii="仿宋_GB2312" w:eastAsia="仿宋_GB2312"/>
          <w:sz w:val="32"/>
          <w:szCs w:val="32"/>
        </w:rPr>
      </w:pPr>
      <w:r>
        <w:rPr>
          <w:rFonts w:hint="eastAsia" w:ascii="仿宋_GB2312" w:eastAsia="仿宋_GB2312"/>
          <w:sz w:val="32"/>
          <w:szCs w:val="32"/>
        </w:rPr>
        <w:t>3、加强同县人民政府及其工作部门和县人民法院、县人民检察院的联系。对所联系部门和单位贯彻执行宪法、法律、法规和县人民代表大会及其常务委员会的决议、决定和审议意见的情况进行检查，向常务委员会提出检查情况的报告。</w:t>
      </w:r>
    </w:p>
    <w:p w14:paraId="02C5B878">
      <w:pPr>
        <w:ind w:firstLine="640" w:firstLineChars="200"/>
        <w:rPr>
          <w:rFonts w:ascii="仿宋_GB2312" w:eastAsia="仿宋_GB2312"/>
          <w:sz w:val="32"/>
          <w:szCs w:val="32"/>
        </w:rPr>
      </w:pPr>
      <w:r>
        <w:rPr>
          <w:rFonts w:hint="eastAsia" w:ascii="仿宋_GB2312" w:eastAsia="仿宋_GB2312"/>
          <w:sz w:val="32"/>
          <w:szCs w:val="32"/>
        </w:rPr>
        <w:t>4、根据工作需要，听取县人民政府所属工作部门、县人民法院、县人民检察院的有关专题汇报，了解情况，提出建议和意见。</w:t>
      </w:r>
    </w:p>
    <w:p w14:paraId="2C34EFE9">
      <w:pPr>
        <w:ind w:firstLine="640" w:firstLineChars="200"/>
        <w:rPr>
          <w:rFonts w:ascii="仿宋_GB2312" w:eastAsia="仿宋_GB2312"/>
          <w:sz w:val="32"/>
          <w:szCs w:val="32"/>
        </w:rPr>
      </w:pPr>
      <w:r>
        <w:rPr>
          <w:rFonts w:hint="eastAsia" w:ascii="仿宋_GB2312" w:eastAsia="仿宋_GB2312"/>
          <w:sz w:val="32"/>
          <w:szCs w:val="32"/>
        </w:rPr>
        <w:t>5、对属于县人民代表大会及其常务委员会职权范围内的有关问题进行调查研究，向县人民代表大会主席团或常务委员会提出专题调查报告和建议。</w:t>
      </w:r>
    </w:p>
    <w:p w14:paraId="3A51240D">
      <w:pPr>
        <w:ind w:firstLine="640" w:firstLineChars="200"/>
        <w:rPr>
          <w:rFonts w:ascii="仿宋_GB2312" w:eastAsia="仿宋_GB2312"/>
          <w:sz w:val="32"/>
          <w:szCs w:val="32"/>
        </w:rPr>
      </w:pPr>
      <w:r>
        <w:rPr>
          <w:rFonts w:hint="eastAsia" w:ascii="仿宋_GB2312" w:eastAsia="仿宋_GB2312"/>
          <w:sz w:val="32"/>
          <w:szCs w:val="32"/>
        </w:rPr>
        <w:t>6、配合上级人民代表大会及其常务委员会做好立法调研和执法检查工作。对上级人民代表大会及其常务委员会发来征求意见的法律法规草案进行调查和组织有关部门、单位征求修改意见，并及时上报。</w:t>
      </w:r>
    </w:p>
    <w:p w14:paraId="7C7D4E86">
      <w:pPr>
        <w:ind w:firstLine="640" w:firstLineChars="200"/>
        <w:rPr>
          <w:rFonts w:ascii="仿宋_GB2312" w:eastAsia="仿宋_GB2312"/>
          <w:sz w:val="32"/>
          <w:szCs w:val="32"/>
        </w:rPr>
      </w:pPr>
      <w:r>
        <w:rPr>
          <w:rFonts w:hint="eastAsia" w:ascii="仿宋_GB2312" w:eastAsia="仿宋_GB2312"/>
          <w:sz w:val="32"/>
          <w:szCs w:val="32"/>
        </w:rPr>
        <w:t>7、联系县人民代表大会代表，办理人民群众提出的申诉和意见，认真做好人大代表和人民群众来信来访工作。</w:t>
      </w:r>
    </w:p>
    <w:p w14:paraId="47B068B0">
      <w:pPr>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8、办理县人民代表大会及其常务委员会和主任会议交办的其他事项。</w:t>
      </w:r>
    </w:p>
    <w:p w14:paraId="3D417DD2">
      <w:pPr>
        <w:pStyle w:val="4"/>
        <w:spacing w:before="0" w:after="0" w:line="240" w:lineRule="auto"/>
        <w:ind w:left="642" w:leftChars="153" w:hanging="321" w:hangingChars="100"/>
        <w:rPr>
          <w:rFonts w:hint="eastAsia" w:ascii="楷体" w:eastAsia="楷体" w:cs="楷体"/>
          <w:color w:val="000000"/>
        </w:rPr>
      </w:pPr>
      <w:r>
        <w:rPr>
          <w:rFonts w:hint="eastAsia" w:ascii="楷体" w:eastAsia="楷体" w:cs="楷体"/>
          <w:color w:val="000000"/>
          <w:lang w:eastAsia="zh-CN"/>
        </w:rPr>
        <w:t>　</w:t>
      </w:r>
      <w:bookmarkStart w:id="54" w:name="_Toc1961"/>
      <w:r>
        <w:rPr>
          <w:rFonts w:hint="eastAsia" w:ascii="楷体" w:eastAsia="楷体" w:cs="楷体"/>
          <w:color w:val="000000"/>
        </w:rPr>
        <w:t>（二）</w:t>
      </w:r>
      <w:r>
        <w:rPr>
          <w:rFonts w:hint="eastAsia" w:ascii="楷体" w:eastAsia="楷体" w:cs="楷体"/>
          <w:color w:val="000000"/>
          <w:lang w:val="en-US" w:eastAsia="zh-CN"/>
        </w:rPr>
        <w:t>2022年</w:t>
      </w:r>
      <w:r>
        <w:rPr>
          <w:rFonts w:hint="eastAsia" w:ascii="楷体" w:eastAsia="楷体" w:cs="楷体"/>
          <w:color w:val="000000"/>
        </w:rPr>
        <w:t>重点工作完成情况</w:t>
      </w:r>
      <w:bookmarkEnd w:id="34"/>
      <w:bookmarkEnd w:id="35"/>
      <w:bookmarkEnd w:id="43"/>
      <w:bookmarkEnd w:id="44"/>
      <w:bookmarkEnd w:id="45"/>
      <w:bookmarkEnd w:id="46"/>
      <w:bookmarkEnd w:id="54"/>
    </w:p>
    <w:p w14:paraId="7B2FE9BA">
      <w:pPr>
        <w:snapToGrid w:val="0"/>
        <w:spacing w:line="520" w:lineRule="exact"/>
        <w:ind w:firstLine="632" w:firstLineChars="200"/>
        <w:rPr>
          <w:rFonts w:hint="eastAsia" w:ascii="仿宋_GB2312" w:eastAsia="仿宋_GB2312" w:cs="仿宋_GB2312"/>
          <w:color w:val="000000"/>
          <w:spacing w:val="-2"/>
          <w:kern w:val="2"/>
          <w:sz w:val="32"/>
          <w:szCs w:val="32"/>
          <w:lang w:val="en-US" w:eastAsia="zh-CN" w:bidi="ar-SA"/>
        </w:rPr>
      </w:pPr>
      <w:bookmarkStart w:id="55" w:name="_Toc28066"/>
      <w:bookmarkStart w:id="56" w:name="_Toc6603"/>
      <w:bookmarkStart w:id="57" w:name="_Toc15396601"/>
      <w:bookmarkStart w:id="58" w:name="_Toc14136"/>
      <w:bookmarkStart w:id="59" w:name="_Toc11460"/>
      <w:bookmarkStart w:id="60" w:name="_Toc15377200"/>
      <w:r>
        <w:rPr>
          <w:rFonts w:hint="eastAsia" w:ascii="仿宋_GB2312" w:eastAsia="仿宋_GB2312" w:cs="仿宋_GB2312"/>
          <w:color w:val="000000"/>
          <w:spacing w:val="-2"/>
          <w:kern w:val="2"/>
          <w:sz w:val="32"/>
          <w:szCs w:val="32"/>
          <w:lang w:val="en-US" w:eastAsia="zh-CN" w:bidi="ar-SA"/>
        </w:rPr>
        <w:t xml:space="preserve"> </w:t>
      </w:r>
      <w:r>
        <w:rPr>
          <w:rFonts w:hint="eastAsia" w:ascii="仿宋_GB2312" w:eastAsia="仿宋_GB2312"/>
          <w:color w:val="000000"/>
          <w:sz w:val="32"/>
          <w:szCs w:val="32"/>
        </w:rPr>
        <w:t>2022年县人大常委会在县委的坚强领导、州人大常委会的悉心指导下，始终坚持以习近平新时代中国特色社会主义思想、习近平关于坚持和完善人民代表大会制度重要思想指导，全面贯彻落实中央、省州县委系列重大决策部署，主动担当作为、依法履职行权，圆满完成了县十五届人大一次会议确定的各项目标任务，为助推金川经济社会平稳健康发展贡献了人大智慧和力量。</w:t>
      </w:r>
    </w:p>
    <w:p w14:paraId="746C6B37">
      <w:pPr>
        <w:spacing w:line="578" w:lineRule="exact"/>
        <w:ind w:firstLine="640" w:firstLineChars="200"/>
        <w:rPr>
          <w:rStyle w:val="19"/>
          <w:rFonts w:hint="eastAsia" w:ascii="黑体" w:eastAsia="黑体"/>
          <w:b w:val="0"/>
          <w:bCs w:val="0"/>
          <w:lang w:eastAsia="zh-CN"/>
        </w:rPr>
      </w:pPr>
      <w:bookmarkStart w:id="61" w:name="_Toc611"/>
      <w:r>
        <w:rPr>
          <w:rStyle w:val="19"/>
          <w:rFonts w:hint="eastAsia" w:ascii="黑体" w:eastAsia="黑体"/>
          <w:b w:val="0"/>
          <w:bCs w:val="0"/>
        </w:rPr>
        <w:t>二、机构设置</w:t>
      </w:r>
      <w:bookmarkEnd w:id="55"/>
      <w:bookmarkEnd w:id="56"/>
      <w:bookmarkEnd w:id="57"/>
      <w:bookmarkEnd w:id="58"/>
      <w:bookmarkEnd w:id="59"/>
      <w:bookmarkEnd w:id="60"/>
      <w:bookmarkStart w:id="62" w:name="_Toc15377204"/>
      <w:bookmarkStart w:id="63" w:name="_Toc15396602"/>
    </w:p>
    <w:bookmarkEnd w:id="61"/>
    <w:p w14:paraId="7F1134BC">
      <w:pPr>
        <w:snapToGrid w:val="0"/>
        <w:spacing w:line="360" w:lineRule="auto"/>
        <w:rPr>
          <w:rFonts w:hint="eastAsia" w:ascii="仿宋_GB2312" w:eastAsia="仿宋_GB2312" w:cs="仿宋_GB2312"/>
          <w:sz w:val="30"/>
          <w:szCs w:val="30"/>
        </w:rPr>
      </w:pP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度，人大机关决算汇编范围的独立核算单位共</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个，</w:t>
      </w:r>
      <w:r>
        <w:rPr>
          <w:rFonts w:hint="eastAsia" w:ascii="仿宋_GB2312" w:eastAsia="仿宋_GB2312"/>
          <w:color w:val="000000"/>
          <w:sz w:val="32"/>
          <w:szCs w:val="32"/>
          <w:lang w:eastAsia="zh-CN"/>
        </w:rPr>
        <w:t>比</w:t>
      </w:r>
      <w:r>
        <w:rPr>
          <w:rFonts w:hint="eastAsia" w:ascii="仿宋_GB2312" w:eastAsia="仿宋_GB2312"/>
          <w:color w:val="000000"/>
          <w:sz w:val="32"/>
          <w:szCs w:val="32"/>
          <w:lang w:val="en-US" w:eastAsia="zh-CN"/>
        </w:rPr>
        <w:t>2021年</w:t>
      </w:r>
      <w:r>
        <w:rPr>
          <w:rFonts w:hint="eastAsia" w:ascii="仿宋_GB2312" w:eastAsia="仿宋_GB2312"/>
          <w:color w:val="000000"/>
          <w:sz w:val="32"/>
          <w:szCs w:val="32"/>
        </w:rPr>
        <w:t>增</w:t>
      </w:r>
      <w:r>
        <w:rPr>
          <w:rFonts w:hint="eastAsia" w:ascii="仿宋_GB2312" w:eastAsia="仿宋_GB2312"/>
          <w:color w:val="000000"/>
          <w:sz w:val="32"/>
          <w:szCs w:val="32"/>
          <w:lang w:eastAsia="zh-CN"/>
        </w:rPr>
        <w:t>加</w:t>
      </w:r>
      <w:r>
        <w:rPr>
          <w:rFonts w:hint="eastAsia" w:ascii="仿宋_GB2312" w:eastAsia="仿宋_GB2312"/>
          <w:color w:val="000000"/>
          <w:sz w:val="32"/>
          <w:szCs w:val="32"/>
          <w:lang w:val="en-US" w:eastAsia="zh-CN"/>
        </w:rPr>
        <w:t>1个，原因是2022年人大常委会办公室信息中心单独核算</w:t>
      </w:r>
      <w:r>
        <w:rPr>
          <w:rFonts w:hint="eastAsia" w:ascii="仿宋_GB2312" w:eastAsia="仿宋_GB2312"/>
          <w:color w:val="000000"/>
          <w:sz w:val="32"/>
          <w:szCs w:val="32"/>
        </w:rPr>
        <w:t>。截止</w:t>
      </w:r>
      <w:r>
        <w:rPr>
          <w:rFonts w:hint="eastAsia" w:ascii="仿宋_GB2312" w:eastAsia="仿宋_GB2312"/>
          <w:color w:val="000000"/>
          <w:sz w:val="32"/>
          <w:szCs w:val="32"/>
          <w:lang w:eastAsia="zh-CN"/>
        </w:rPr>
        <w:t>2022年</w:t>
      </w:r>
      <w:r>
        <w:rPr>
          <w:rFonts w:hint="eastAsia" w:ascii="仿宋_GB2312" w:eastAsia="仿宋_GB2312"/>
          <w:color w:val="000000"/>
          <w:sz w:val="32"/>
          <w:szCs w:val="32"/>
        </w:rPr>
        <w:t>末，单位实有人数3</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人，</w:t>
      </w:r>
      <w:r>
        <w:rPr>
          <w:rFonts w:hint="eastAsia" w:ascii="仿宋_GB2312" w:eastAsia="仿宋_GB2312"/>
          <w:sz w:val="32"/>
          <w:szCs w:val="32"/>
        </w:rPr>
        <w:t>其中：在职3</w:t>
      </w:r>
      <w:r>
        <w:rPr>
          <w:rFonts w:hint="eastAsia" w:ascii="仿宋_GB2312" w:eastAsia="仿宋_GB2312"/>
          <w:sz w:val="32"/>
          <w:szCs w:val="32"/>
          <w:lang w:val="en-US" w:eastAsia="zh-CN"/>
        </w:rPr>
        <w:t>3</w:t>
      </w:r>
      <w:r>
        <w:rPr>
          <w:rFonts w:hint="eastAsia" w:ascii="仿宋_GB2312" w:eastAsia="仿宋_GB2312"/>
          <w:sz w:val="32"/>
          <w:szCs w:val="32"/>
        </w:rPr>
        <w:t>人</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人、事业人员</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人）</w:t>
      </w:r>
      <w:r>
        <w:rPr>
          <w:rFonts w:hint="eastAsia" w:ascii="仿宋_GB2312" w:eastAsia="仿宋_GB2312"/>
          <w:sz w:val="32"/>
          <w:szCs w:val="32"/>
        </w:rPr>
        <w:t>，离休1人，遗属4人。</w:t>
      </w:r>
      <w:r>
        <w:rPr>
          <w:rFonts w:hint="eastAsia" w:ascii="仿宋_GB2312" w:eastAsia="仿宋_GB2312"/>
          <w:color w:val="000000"/>
          <w:sz w:val="32"/>
          <w:szCs w:val="32"/>
        </w:rPr>
        <w:t>退休人员工资继续由社保部门发放。</w:t>
      </w:r>
    </w:p>
    <w:p w14:paraId="206237CD">
      <w:pPr>
        <w:snapToGrid w:val="0"/>
        <w:spacing w:line="360" w:lineRule="auto"/>
        <w:ind w:firstLine="604"/>
        <w:rPr>
          <w:rFonts w:hint="eastAsia" w:ascii="仿宋_GB2312" w:eastAsia="仿宋_GB2312" w:cs="仿宋_GB2312"/>
          <w:sz w:val="30"/>
          <w:szCs w:val="30"/>
        </w:rPr>
      </w:pPr>
    </w:p>
    <w:p w14:paraId="2F58B75E">
      <w:pPr>
        <w:pStyle w:val="3"/>
        <w:ind w:right="440"/>
        <w:jc w:val="right"/>
        <w:rPr>
          <w:rFonts w:hint="eastAsia" w:ascii="仿宋_GB2312" w:eastAsia="仿宋_GB2312" w:cs="仿宋_GB2312"/>
          <w:b/>
          <w:bCs w:val="0"/>
        </w:rPr>
      </w:pPr>
      <w:bookmarkStart w:id="64" w:name="_Toc26137"/>
      <w:bookmarkStart w:id="65" w:name="_Toc1049"/>
      <w:bookmarkStart w:id="66" w:name="_Toc27838"/>
      <w:bookmarkStart w:id="67" w:name="_Toc29443"/>
      <w:bookmarkStart w:id="68" w:name="_Toc1890"/>
      <w:r>
        <w:rPr>
          <w:rFonts w:hint="eastAsia" w:ascii="仿宋_GB2312" w:eastAsia="仿宋_GB2312" w:cs="仿宋_GB2312"/>
          <w:b/>
          <w:bCs w:val="0"/>
          <w:color w:val="000000"/>
        </w:rPr>
        <w:t xml:space="preserve">第二部分 </w:t>
      </w:r>
      <w:r>
        <w:rPr>
          <w:rStyle w:val="18"/>
          <w:rFonts w:hint="eastAsia" w:ascii="仿宋_GB2312" w:eastAsia="仿宋_GB2312" w:cs="仿宋_GB2312"/>
          <w:b/>
          <w:bCs w:val="0"/>
          <w:lang w:val="en-US"/>
        </w:rPr>
        <w:t>2022年</w:t>
      </w:r>
      <w:r>
        <w:rPr>
          <w:rStyle w:val="18"/>
          <w:rFonts w:hint="eastAsia" w:ascii="仿宋_GB2312" w:eastAsia="仿宋_GB2312" w:cs="仿宋_GB2312"/>
          <w:b/>
          <w:bCs w:val="0"/>
        </w:rPr>
        <w:t>度部门决算情况说明</w:t>
      </w:r>
      <w:bookmarkEnd w:id="62"/>
      <w:bookmarkEnd w:id="63"/>
      <w:bookmarkEnd w:id="64"/>
      <w:bookmarkEnd w:id="65"/>
      <w:bookmarkEnd w:id="66"/>
      <w:bookmarkEnd w:id="67"/>
      <w:bookmarkEnd w:id="68"/>
    </w:p>
    <w:p w14:paraId="70636CCB">
      <w:pPr>
        <w:pStyle w:val="24"/>
        <w:spacing w:line="240" w:lineRule="auto"/>
        <w:outlineLvl w:val="1"/>
        <w:rPr>
          <w:rStyle w:val="19"/>
          <w:rFonts w:hint="eastAsia" w:ascii="仿宋_GB2312" w:eastAsia="仿宋_GB2312" w:cs="仿宋_GB2312"/>
          <w:b w:val="0"/>
          <w:lang w:val="en-US" w:eastAsia="zh-CN"/>
        </w:rPr>
      </w:pPr>
      <w:bookmarkStart w:id="69" w:name="_Toc15377205"/>
      <w:bookmarkStart w:id="70" w:name="_Toc15396603"/>
      <w:bookmarkStart w:id="71" w:name="_Toc30925"/>
      <w:bookmarkStart w:id="72" w:name="_Toc23404"/>
      <w:bookmarkStart w:id="73" w:name="_Toc6930"/>
      <w:bookmarkStart w:id="74" w:name="_Toc6550"/>
      <w:bookmarkStart w:id="75" w:name="_Toc5265"/>
      <w:r>
        <w:rPr>
          <w:rStyle w:val="19"/>
          <w:rFonts w:hint="eastAsia" w:ascii="仿宋_GB2312" w:eastAsia="仿宋_GB2312" w:cs="仿宋_GB2312"/>
          <w:b w:val="0"/>
          <w:lang w:val="en-US" w:eastAsia="zh-CN"/>
        </w:rPr>
        <w:t>一、收入支出决算总体情况说明</w:t>
      </w:r>
      <w:bookmarkEnd w:id="69"/>
      <w:bookmarkEnd w:id="70"/>
      <w:bookmarkEnd w:id="71"/>
    </w:p>
    <w:bookmarkEnd w:id="72"/>
    <w:bookmarkEnd w:id="73"/>
    <w:bookmarkEnd w:id="74"/>
    <w:bookmarkEnd w:id="75"/>
    <w:p w14:paraId="1807A8D9">
      <w:pPr>
        <w:snapToGrid w:val="0"/>
        <w:spacing w:line="520" w:lineRule="exact"/>
        <w:ind w:firstLine="632" w:firstLineChars="200"/>
        <w:rPr>
          <w:rFonts w:hint="eastAsia" w:ascii="仿宋_GB2312" w:eastAsia="仿宋_GB2312" w:cs="仿宋_GB2312"/>
          <w:color w:val="auto"/>
          <w:spacing w:val="-2"/>
          <w:kern w:val="2"/>
          <w:sz w:val="32"/>
          <w:szCs w:val="32"/>
          <w:lang w:val="en-US" w:eastAsia="zh-CN" w:bidi="ar-SA"/>
        </w:rPr>
      </w:pPr>
      <w:bookmarkStart w:id="76" w:name="_Toc15377206"/>
      <w:bookmarkStart w:id="77" w:name="_Toc15396604"/>
      <w:bookmarkStart w:id="78" w:name="_Toc22529"/>
      <w:bookmarkStart w:id="79" w:name="_Toc10892"/>
      <w:bookmarkStart w:id="80" w:name="_Toc9817"/>
      <w:r>
        <w:rPr>
          <w:rFonts w:hint="eastAsia" w:ascii="仿宋_GB2312" w:eastAsia="仿宋_GB2312" w:cs="仿宋_GB2312"/>
          <w:color w:val="auto"/>
          <w:spacing w:val="-2"/>
          <w:kern w:val="2"/>
          <w:sz w:val="32"/>
          <w:szCs w:val="32"/>
          <w:lang w:val="en-US" w:eastAsia="zh-CN" w:bidi="ar-SA"/>
        </w:rPr>
        <w:t>2022年度总收入1232.05万元，较上年收入增加114.47万元，增加10.24%。主要原因是2022年度目标奖纳入工资，人员经费调整。</w:t>
      </w:r>
    </w:p>
    <w:p w14:paraId="7AE19474">
      <w:pPr>
        <w:snapToGrid w:val="0"/>
        <w:spacing w:line="520" w:lineRule="exact"/>
        <w:ind w:firstLine="632" w:firstLineChars="200"/>
        <w:rPr>
          <w:rFonts w:hint="eastAsia" w:ascii="仿宋_GB2312" w:eastAsia="仿宋_GB2312" w:cs="仿宋_GB2312"/>
          <w:color w:val="auto"/>
          <w:spacing w:val="-2"/>
          <w:kern w:val="2"/>
          <w:sz w:val="32"/>
          <w:szCs w:val="32"/>
          <w:lang w:val="en-US" w:eastAsia="zh-CN" w:bidi="ar-SA"/>
        </w:rPr>
      </w:pPr>
      <w:bookmarkStart w:id="81" w:name="_Toc32710"/>
      <w:r>
        <w:rPr>
          <w:rFonts w:hint="eastAsia" w:ascii="仿宋_GB2312" w:eastAsia="仿宋_GB2312" w:cs="仿宋_GB2312"/>
          <w:color w:val="auto"/>
          <w:spacing w:val="-2"/>
          <w:kern w:val="2"/>
          <w:sz w:val="32"/>
          <w:szCs w:val="32"/>
          <w:lang w:val="en-US" w:eastAsia="zh-CN" w:bidi="ar-SA"/>
        </w:rPr>
        <w:t>2022年度总支出1232.05万元，较上年收入增加114.47万元，增加10.24%。主要原因是2022年度目标奖纳入工资，人员经费调整。</w:t>
      </w:r>
    </w:p>
    <w:p w14:paraId="351A0DAB">
      <w:pPr>
        <w:spacing w:line="600" w:lineRule="exact"/>
        <w:rPr>
          <w:rStyle w:val="19"/>
          <w:rFonts w:hint="eastAsia" w:ascii="仿宋_GB2312" w:eastAsia="仿宋_GB2312" w:cs="仿宋_GB2312"/>
          <w:b w:val="0"/>
          <w:lang w:val="en-US" w:eastAsia="zh-CN"/>
        </w:rPr>
      </w:pPr>
      <w:bookmarkStart w:id="82" w:name="_Toc21139"/>
      <w:bookmarkStart w:id="83" w:name="_Toc27085"/>
      <w:r>
        <w:drawing>
          <wp:anchor distT="0" distB="0" distL="114300" distR="114300" simplePos="0" relativeHeight="251659264" behindDoc="0" locked="0" layoutInCell="1" allowOverlap="1">
            <wp:simplePos x="0" y="0"/>
            <wp:positionH relativeFrom="column">
              <wp:posOffset>40640</wp:posOffset>
            </wp:positionH>
            <wp:positionV relativeFrom="paragraph">
              <wp:posOffset>180975</wp:posOffset>
            </wp:positionV>
            <wp:extent cx="4913630" cy="3087370"/>
            <wp:effectExtent l="0" t="0" r="43" b="17"/>
            <wp:wrapSquare wrapText="bothSides"/>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End w:id="81"/>
      <w:bookmarkEnd w:id="82"/>
      <w:bookmarkEnd w:id="83"/>
      <w:bookmarkStart w:id="84" w:name="_Toc31756"/>
      <w:r>
        <w:rPr>
          <w:rFonts w:hint="eastAsia"/>
          <w:lang w:val="en-US" w:eastAsia="zh-CN"/>
        </w:rPr>
        <w:t xml:space="preserve">     </w:t>
      </w:r>
      <w:bookmarkStart w:id="85" w:name="_Toc25961"/>
      <w:r>
        <w:rPr>
          <w:rStyle w:val="19"/>
          <w:rFonts w:hint="eastAsia" w:ascii="仿宋_GB2312" w:eastAsia="仿宋_GB2312" w:cs="仿宋_GB2312"/>
          <w:b w:val="0"/>
          <w:lang w:val="en-US" w:eastAsia="zh-CN"/>
        </w:rPr>
        <w:t xml:space="preserve"> 二、收入决算情况说明</w:t>
      </w:r>
      <w:bookmarkEnd w:id="76"/>
      <w:bookmarkEnd w:id="77"/>
    </w:p>
    <w:bookmarkEnd w:id="78"/>
    <w:bookmarkEnd w:id="79"/>
    <w:bookmarkEnd w:id="80"/>
    <w:bookmarkEnd w:id="84"/>
    <w:bookmarkEnd w:id="85"/>
    <w:p w14:paraId="6A9E846A">
      <w:pPr>
        <w:spacing w:line="600" w:lineRule="exact"/>
        <w:ind w:firstLine="640" w:firstLineChars="200"/>
        <w:outlineLvl w:val="1"/>
        <w:rPr>
          <w:rFonts w:hint="eastAsia" w:ascii="仿宋_GB2312" w:eastAsia="仿宋_GB2312" w:cs="仿宋_GB2312"/>
          <w:color w:val="000000"/>
          <w:sz w:val="32"/>
          <w:szCs w:val="32"/>
          <w:lang w:val="en-US" w:eastAsia="zh-CN"/>
        </w:rPr>
      </w:pPr>
      <w:bookmarkStart w:id="86" w:name="_Toc21083"/>
      <w:bookmarkStart w:id="87" w:name="_Toc9610"/>
      <w:bookmarkStart w:id="88" w:name="_Toc3536"/>
      <w:bookmarkStart w:id="89" w:name="_Toc15396605"/>
      <w:bookmarkStart w:id="90" w:name="_Toc15377207"/>
      <w:bookmarkStart w:id="91" w:name="_Toc30988"/>
      <w:bookmarkStart w:id="92" w:name="_Toc25926"/>
      <w:bookmarkStart w:id="93" w:name="_Toc5227"/>
      <w:r>
        <w:rPr>
          <w:rFonts w:hint="eastAsia" w:ascii="仿宋_GB2312" w:eastAsia="仿宋_GB2312" w:cs="仿宋_GB2312"/>
          <w:color w:val="000000"/>
          <w:sz w:val="32"/>
          <w:szCs w:val="32"/>
          <w:lang w:eastAsia="zh-CN"/>
        </w:rPr>
        <w:t>2022</w:t>
      </w:r>
      <w:r>
        <w:rPr>
          <w:rFonts w:hint="eastAsia" w:ascii="仿宋_GB2312" w:eastAsia="仿宋_GB2312" w:cs="仿宋_GB2312"/>
          <w:color w:val="000000"/>
          <w:sz w:val="32"/>
          <w:szCs w:val="32"/>
        </w:rPr>
        <w:t>年</w:t>
      </w:r>
      <w:r>
        <w:rPr>
          <w:rFonts w:hint="eastAsia" w:ascii="仿宋_GB2312" w:eastAsia="仿宋_GB2312" w:cs="仿宋_GB2312"/>
          <w:color w:val="000000"/>
          <w:sz w:val="32"/>
          <w:szCs w:val="32"/>
          <w:lang w:val="en-US" w:eastAsia="zh-CN"/>
        </w:rPr>
        <w:t>总</w:t>
      </w:r>
      <w:r>
        <w:rPr>
          <w:rFonts w:hint="eastAsia" w:ascii="仿宋_GB2312" w:eastAsia="仿宋_GB2312" w:cs="仿宋_GB2312"/>
          <w:color w:val="000000"/>
          <w:sz w:val="32"/>
          <w:szCs w:val="32"/>
        </w:rPr>
        <w:t>收入</w:t>
      </w:r>
      <w:r>
        <w:rPr>
          <w:rFonts w:hint="eastAsia" w:ascii="仿宋_GB2312" w:eastAsia="仿宋_GB2312" w:cs="仿宋_GB2312"/>
          <w:color w:val="000000"/>
          <w:sz w:val="32"/>
          <w:szCs w:val="32"/>
          <w:lang w:val="en-US" w:eastAsia="zh-CN"/>
        </w:rPr>
        <w:t>1232.05</w:t>
      </w:r>
      <w:r>
        <w:rPr>
          <w:rFonts w:hint="eastAsia" w:ascii="仿宋_GB2312" w:eastAsia="仿宋_GB2312" w:cs="仿宋_GB2312"/>
          <w:color w:val="000000"/>
          <w:sz w:val="32"/>
          <w:szCs w:val="32"/>
        </w:rPr>
        <w:t>万元，其中：一般公共预算财政拨款收入</w:t>
      </w:r>
      <w:r>
        <w:rPr>
          <w:rFonts w:hint="eastAsia" w:ascii="仿宋_GB2312" w:eastAsia="仿宋_GB2312" w:cs="仿宋_GB2312"/>
          <w:color w:val="000000"/>
          <w:sz w:val="32"/>
          <w:szCs w:val="32"/>
          <w:lang w:val="en-US" w:eastAsia="zh-CN"/>
        </w:rPr>
        <w:t>1232.05</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%；政府性基金预算财政拨款收入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%；国有资本经营预算财政拨款收入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%；事业收入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%；经营收入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%；附属单位上缴收入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%；其他收入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w:t>
      </w:r>
      <w:bookmarkEnd w:id="86"/>
      <w:bookmarkEnd w:id="87"/>
      <w:bookmarkEnd w:id="88"/>
    </w:p>
    <w:p w14:paraId="670DF2B6">
      <w:pPr>
        <w:spacing w:line="600" w:lineRule="exact"/>
        <w:ind w:firstLine="640" w:firstLineChars="200"/>
        <w:outlineLvl w:val="1"/>
        <w:rPr>
          <w:rStyle w:val="19"/>
          <w:rFonts w:hint="eastAsia" w:ascii="仿宋_GB2312" w:eastAsia="仿宋_GB2312" w:cs="仿宋_GB2312"/>
          <w:b w:val="0"/>
          <w:lang w:val="en-US" w:eastAsia="zh-CN"/>
        </w:rPr>
      </w:pPr>
      <w:bookmarkStart w:id="94" w:name="_Toc27544"/>
      <w:bookmarkStart w:id="95" w:name="_Toc15579"/>
    </w:p>
    <w:bookmarkEnd w:id="94"/>
    <w:bookmarkEnd w:id="95"/>
    <w:p w14:paraId="012D6162">
      <w:pPr>
        <w:spacing w:line="600" w:lineRule="exact"/>
        <w:ind w:firstLine="420" w:firstLineChars="200"/>
        <w:outlineLvl w:val="1"/>
        <w:rPr>
          <w:rStyle w:val="19"/>
          <w:rFonts w:hint="eastAsia" w:ascii="仿宋_GB2312" w:eastAsia="仿宋_GB2312" w:cs="仿宋_GB2312"/>
          <w:b w:val="0"/>
          <w:lang w:val="en-US" w:eastAsia="zh-CN"/>
        </w:rPr>
      </w:pPr>
      <w:r>
        <w:rPr>
          <w:rFonts w:hint="eastAsia" w:ascii="仿宋_GB2312" w:eastAsia="仿宋_GB2312" w:cs="仿宋_GB2312"/>
        </w:rPr>
        <w:drawing>
          <wp:anchor distT="0" distB="0" distL="114300" distR="114300" simplePos="0" relativeHeight="251659264" behindDoc="0" locked="0" layoutInCell="1" allowOverlap="1">
            <wp:simplePos x="0" y="0"/>
            <wp:positionH relativeFrom="column">
              <wp:posOffset>90170</wp:posOffset>
            </wp:positionH>
            <wp:positionV relativeFrom="paragraph">
              <wp:posOffset>45085</wp:posOffset>
            </wp:positionV>
            <wp:extent cx="4947920" cy="2863215"/>
            <wp:effectExtent l="0" t="0" r="0" b="0"/>
            <wp:wrapNone/>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pic:cNvPicPr>
                      <a:picLocks noChangeAspect="1"/>
                    </pic:cNvPicPr>
                  </pic:nvPicPr>
                  <pic:blipFill>
                    <a:blip r:embed="rId7"/>
                    <a:stretch>
                      <a:fillRect/>
                    </a:stretch>
                  </pic:blipFill>
                  <pic:spPr>
                    <a:xfrm>
                      <a:off x="0" y="0"/>
                      <a:ext cx="4947920" cy="2863215"/>
                    </a:xfrm>
                    <a:prstGeom prst="rect">
                      <a:avLst/>
                    </a:prstGeom>
                    <a:noFill/>
                    <a:ln w="9525" cap="flat" cmpd="sng">
                      <a:noFill/>
                      <a:prstDash val="solid"/>
                      <a:round/>
                    </a:ln>
                  </pic:spPr>
                </pic:pic>
              </a:graphicData>
            </a:graphic>
          </wp:anchor>
        </w:drawing>
      </w:r>
      <w:bookmarkStart w:id="96" w:name="_Toc7583"/>
      <w:bookmarkStart w:id="97" w:name="_Toc25316"/>
      <w:bookmarkStart w:id="98" w:name="_Toc19987"/>
    </w:p>
    <w:bookmarkEnd w:id="96"/>
    <w:bookmarkEnd w:id="97"/>
    <w:bookmarkEnd w:id="98"/>
    <w:p w14:paraId="5A2BF81E">
      <w:pPr>
        <w:spacing w:line="600" w:lineRule="exact"/>
        <w:ind w:firstLine="640" w:firstLineChars="200"/>
        <w:outlineLvl w:val="1"/>
        <w:rPr>
          <w:rStyle w:val="19"/>
          <w:rFonts w:hint="eastAsia" w:ascii="仿宋_GB2312" w:eastAsia="仿宋_GB2312" w:cs="仿宋_GB2312"/>
          <w:b w:val="0"/>
          <w:lang w:val="en-US" w:eastAsia="zh-CN"/>
        </w:rPr>
      </w:pPr>
    </w:p>
    <w:p w14:paraId="10AEA570">
      <w:pPr>
        <w:spacing w:line="600" w:lineRule="exact"/>
        <w:ind w:firstLine="640" w:firstLineChars="200"/>
        <w:outlineLvl w:val="1"/>
        <w:rPr>
          <w:rStyle w:val="19"/>
          <w:rFonts w:hint="eastAsia" w:ascii="仿宋_GB2312" w:eastAsia="仿宋_GB2312" w:cs="仿宋_GB2312"/>
          <w:b w:val="0"/>
          <w:lang w:val="en-US" w:eastAsia="zh-CN"/>
        </w:rPr>
      </w:pPr>
    </w:p>
    <w:p w14:paraId="7F8C663D">
      <w:pPr>
        <w:spacing w:line="600" w:lineRule="exact"/>
        <w:ind w:firstLine="640" w:firstLineChars="200"/>
        <w:outlineLvl w:val="1"/>
        <w:rPr>
          <w:rStyle w:val="19"/>
          <w:rFonts w:hint="eastAsia" w:ascii="仿宋_GB2312" w:eastAsia="仿宋_GB2312" w:cs="仿宋_GB2312"/>
          <w:b w:val="0"/>
          <w:lang w:val="en-US" w:eastAsia="zh-CN"/>
        </w:rPr>
      </w:pPr>
    </w:p>
    <w:p w14:paraId="683EEA46">
      <w:pPr>
        <w:spacing w:line="600" w:lineRule="exact"/>
        <w:ind w:firstLine="640" w:firstLineChars="200"/>
        <w:outlineLvl w:val="1"/>
        <w:rPr>
          <w:rStyle w:val="19"/>
          <w:rFonts w:hint="eastAsia" w:ascii="仿宋_GB2312" w:eastAsia="仿宋_GB2312" w:cs="仿宋_GB2312"/>
          <w:b w:val="0"/>
          <w:lang w:val="en-US" w:eastAsia="zh-CN"/>
        </w:rPr>
      </w:pPr>
    </w:p>
    <w:p w14:paraId="4045291F">
      <w:pPr>
        <w:spacing w:line="600" w:lineRule="exact"/>
        <w:ind w:firstLine="640" w:firstLineChars="200"/>
        <w:outlineLvl w:val="1"/>
        <w:rPr>
          <w:rStyle w:val="19"/>
          <w:rFonts w:hint="eastAsia" w:ascii="仿宋_GB2312" w:eastAsia="仿宋_GB2312" w:cs="仿宋_GB2312"/>
          <w:b w:val="0"/>
          <w:lang w:val="en-US" w:eastAsia="zh-CN"/>
        </w:rPr>
      </w:pPr>
    </w:p>
    <w:p w14:paraId="6EBEA85B">
      <w:pPr>
        <w:spacing w:line="600" w:lineRule="exact"/>
        <w:ind w:firstLine="640" w:firstLineChars="200"/>
        <w:outlineLvl w:val="1"/>
        <w:rPr>
          <w:rStyle w:val="19"/>
          <w:rFonts w:hint="eastAsia" w:ascii="仿宋_GB2312" w:eastAsia="仿宋_GB2312" w:cs="仿宋_GB2312"/>
          <w:b w:val="0"/>
          <w:lang w:val="en-US" w:eastAsia="zh-CN"/>
        </w:rPr>
      </w:pPr>
    </w:p>
    <w:p w14:paraId="0800D707">
      <w:pPr>
        <w:spacing w:line="600" w:lineRule="exact"/>
        <w:outlineLvl w:val="1"/>
        <w:rPr>
          <w:rStyle w:val="19"/>
          <w:rFonts w:hint="eastAsia" w:ascii="仿宋_GB2312" w:eastAsia="仿宋_GB2312" w:cs="仿宋_GB2312"/>
          <w:b w:val="0"/>
          <w:lang w:val="en-US" w:eastAsia="zh-CN"/>
        </w:rPr>
      </w:pPr>
    </w:p>
    <w:p w14:paraId="171B654A">
      <w:pPr>
        <w:pStyle w:val="24"/>
        <w:spacing w:line="240" w:lineRule="auto"/>
        <w:outlineLvl w:val="1"/>
        <w:rPr>
          <w:rStyle w:val="19"/>
          <w:rFonts w:hint="eastAsia" w:ascii="仿宋_GB2312" w:eastAsia="仿宋_GB2312" w:cs="仿宋_GB2312"/>
          <w:b w:val="0"/>
          <w:lang w:val="en-US" w:eastAsia="zh-CN"/>
        </w:rPr>
      </w:pPr>
      <w:bookmarkStart w:id="99" w:name="_Toc24478"/>
      <w:bookmarkStart w:id="100" w:name="_Toc20190"/>
      <w:r>
        <w:rPr>
          <w:rStyle w:val="19"/>
          <w:rFonts w:hint="eastAsia" w:ascii="仿宋_GB2312" w:eastAsia="仿宋_GB2312" w:cs="仿宋_GB2312"/>
          <w:b w:val="0"/>
          <w:lang w:val="en-US" w:eastAsia="zh-CN"/>
        </w:rPr>
        <w:t>三、支出决算情况说明</w:t>
      </w:r>
      <w:bookmarkEnd w:id="89"/>
      <w:bookmarkEnd w:id="90"/>
      <w:bookmarkEnd w:id="99"/>
    </w:p>
    <w:bookmarkEnd w:id="91"/>
    <w:bookmarkEnd w:id="92"/>
    <w:bookmarkEnd w:id="93"/>
    <w:bookmarkEnd w:id="100"/>
    <w:p w14:paraId="0A118044">
      <w:pPr>
        <w:spacing w:line="600" w:lineRule="exact"/>
        <w:ind w:firstLine="640" w:firstLineChars="200"/>
        <w:outlineLvl w:val="1"/>
        <w:rPr>
          <w:rFonts w:hint="eastAsia" w:ascii="仿宋_GB2312" w:eastAsia="仿宋_GB2312" w:cs="仿宋_GB2312"/>
          <w:color w:val="FF0000"/>
          <w:sz w:val="32"/>
          <w:szCs w:val="32"/>
          <w:lang w:eastAsia="zh-CN"/>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年本年总支出</w:t>
      </w:r>
      <w:r>
        <w:rPr>
          <w:rFonts w:hint="eastAsia" w:ascii="仿宋_GB2312" w:eastAsia="仿宋_GB2312" w:cs="仿宋_GB2312"/>
          <w:color w:val="000000"/>
          <w:sz w:val="32"/>
          <w:szCs w:val="32"/>
          <w:lang w:val="en-US" w:eastAsia="zh-CN"/>
        </w:rPr>
        <w:t>1232.05</w:t>
      </w:r>
      <w:r>
        <w:rPr>
          <w:rFonts w:hint="eastAsia" w:ascii="仿宋_GB2312" w:eastAsia="仿宋_GB2312" w:cs="仿宋_GB2312"/>
          <w:color w:val="000000"/>
          <w:sz w:val="32"/>
          <w:szCs w:val="32"/>
        </w:rPr>
        <w:t>万元，其中：基本支出</w:t>
      </w:r>
      <w:r>
        <w:rPr>
          <w:rFonts w:hint="eastAsia" w:ascii="仿宋_GB2312" w:eastAsia="仿宋_GB2312" w:cs="仿宋"/>
          <w:color w:val="000000"/>
          <w:sz w:val="32"/>
          <w:szCs w:val="32"/>
          <w:lang w:val="en-US" w:eastAsia="zh-CN"/>
        </w:rPr>
        <w:t>948.31</w:t>
      </w:r>
      <w:r>
        <w:rPr>
          <w:rFonts w:hint="eastAsia" w:ascii="仿宋_GB2312" w:eastAsia="仿宋_GB2312" w:cs="仿宋"/>
          <w:color w:val="000000"/>
          <w:sz w:val="32"/>
          <w:szCs w:val="32"/>
        </w:rPr>
        <w:t>万元</w:t>
      </w:r>
      <w:r>
        <w:rPr>
          <w:rFonts w:hint="eastAsia" w:ascii="仿宋_GB2312" w:eastAsia="仿宋_GB2312" w:cs="仿宋_GB2312"/>
          <w:color w:val="000000"/>
          <w:sz w:val="32"/>
          <w:szCs w:val="32"/>
        </w:rPr>
        <w:t>，占</w:t>
      </w:r>
      <w:r>
        <w:rPr>
          <w:rFonts w:hint="eastAsia" w:ascii="仿宋_GB2312" w:eastAsia="仿宋_GB2312" w:cs="仿宋_GB2312"/>
          <w:color w:val="000000"/>
          <w:sz w:val="32"/>
          <w:szCs w:val="32"/>
          <w:lang w:val="en-US" w:eastAsia="zh-CN"/>
        </w:rPr>
        <w:t>76.97</w:t>
      </w:r>
      <w:r>
        <w:rPr>
          <w:rFonts w:hint="eastAsia" w:ascii="仿宋_GB2312" w:eastAsia="仿宋_GB2312" w:cs="仿宋_GB2312"/>
          <w:color w:val="000000"/>
          <w:sz w:val="32"/>
          <w:szCs w:val="32"/>
        </w:rPr>
        <w:t>%；项目支出</w:t>
      </w:r>
      <w:r>
        <w:rPr>
          <w:rFonts w:hint="eastAsia" w:ascii="仿宋_GB2312" w:eastAsia="仿宋_GB2312" w:cs="仿宋"/>
          <w:sz w:val="32"/>
          <w:szCs w:val="32"/>
          <w:lang w:val="en-US" w:eastAsia="zh-CN"/>
        </w:rPr>
        <w:t>283.74</w:t>
      </w:r>
      <w:r>
        <w:rPr>
          <w:rFonts w:hint="eastAsia" w:ascii="仿宋_GB2312" w:eastAsia="仿宋_GB2312" w:cs="仿宋"/>
          <w:sz w:val="32"/>
          <w:szCs w:val="32"/>
        </w:rPr>
        <w:t>万元</w:t>
      </w:r>
      <w:r>
        <w:rPr>
          <w:rFonts w:hint="eastAsia" w:ascii="仿宋_GB2312" w:eastAsia="仿宋_GB2312" w:cs="仿宋_GB2312"/>
          <w:color w:val="000000"/>
          <w:sz w:val="32"/>
          <w:szCs w:val="32"/>
        </w:rPr>
        <w:t>，占</w:t>
      </w:r>
      <w:r>
        <w:rPr>
          <w:rFonts w:hint="eastAsia" w:ascii="仿宋_GB2312" w:eastAsia="仿宋_GB2312" w:cs="仿宋_GB2312"/>
          <w:color w:val="000000"/>
          <w:sz w:val="32"/>
          <w:szCs w:val="32"/>
          <w:lang w:val="en-US" w:eastAsia="zh-CN"/>
        </w:rPr>
        <w:t>23.03</w:t>
      </w:r>
      <w:r>
        <w:rPr>
          <w:rFonts w:hint="eastAsia" w:ascii="仿宋_GB2312" w:eastAsia="仿宋_GB2312" w:cs="仿宋_GB2312"/>
          <w:color w:val="000000"/>
          <w:sz w:val="32"/>
          <w:szCs w:val="32"/>
        </w:rPr>
        <w:t>%；上缴上级支出0万元，占0%；经营支出0万元，占0%；对附属单位补助支出0万元，占0%。</w:t>
      </w:r>
    </w:p>
    <w:p w14:paraId="7037CC86">
      <w:pPr>
        <w:spacing w:line="600" w:lineRule="exact"/>
        <w:ind w:firstLine="420" w:firstLineChars="200"/>
        <w:rPr>
          <w:rFonts w:hint="eastAsia" w:ascii="仿宋_GB2312" w:eastAsia="仿宋_GB2312" w:cs="仿宋_GB2312"/>
          <w:color w:val="FF0000"/>
          <w:sz w:val="32"/>
          <w:szCs w:val="32"/>
          <w:lang w:eastAsia="zh-CN"/>
        </w:rPr>
      </w:pPr>
      <w:r>
        <w:drawing>
          <wp:anchor distT="0" distB="0" distL="114300" distR="114300" simplePos="0" relativeHeight="251659264" behindDoc="0" locked="0" layoutInCell="1" allowOverlap="1">
            <wp:simplePos x="0" y="0"/>
            <wp:positionH relativeFrom="column">
              <wp:posOffset>184150</wp:posOffset>
            </wp:positionH>
            <wp:positionV relativeFrom="paragraph">
              <wp:posOffset>354965</wp:posOffset>
            </wp:positionV>
            <wp:extent cx="4572000" cy="2743200"/>
            <wp:effectExtent l="0" t="0" r="25" b="42"/>
            <wp:wrapSquare wrapText="bothSides"/>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5BC49415">
      <w:pPr>
        <w:spacing w:line="600" w:lineRule="exact"/>
        <w:ind w:firstLine="640" w:firstLineChars="200"/>
        <w:rPr>
          <w:rFonts w:hint="eastAsia" w:ascii="仿宋_GB2312" w:eastAsia="仿宋_GB2312" w:cs="仿宋_GB2312"/>
          <w:color w:val="FF0000"/>
          <w:sz w:val="32"/>
          <w:szCs w:val="32"/>
          <w:lang w:eastAsia="zh-CN"/>
        </w:rPr>
      </w:pPr>
    </w:p>
    <w:p w14:paraId="0E9B8094">
      <w:pPr>
        <w:spacing w:line="600" w:lineRule="exact"/>
        <w:ind w:firstLine="640" w:firstLineChars="200"/>
        <w:rPr>
          <w:rFonts w:hint="eastAsia" w:ascii="仿宋_GB2312" w:eastAsia="仿宋_GB2312" w:cs="仿宋_GB2312"/>
          <w:color w:val="FF0000"/>
          <w:sz w:val="32"/>
          <w:szCs w:val="32"/>
          <w:lang w:eastAsia="zh-CN"/>
        </w:rPr>
      </w:pPr>
    </w:p>
    <w:p w14:paraId="62CCDD8B">
      <w:pPr>
        <w:spacing w:line="600" w:lineRule="exact"/>
        <w:ind w:firstLine="640" w:firstLineChars="200"/>
        <w:rPr>
          <w:rFonts w:hint="eastAsia" w:ascii="仿宋_GB2312" w:eastAsia="仿宋_GB2312" w:cs="仿宋_GB2312"/>
          <w:color w:val="FF0000"/>
          <w:sz w:val="32"/>
          <w:szCs w:val="32"/>
          <w:lang w:eastAsia="zh-CN"/>
        </w:rPr>
      </w:pPr>
    </w:p>
    <w:p w14:paraId="25740233">
      <w:pPr>
        <w:spacing w:line="600" w:lineRule="exact"/>
        <w:outlineLvl w:val="1"/>
        <w:rPr>
          <w:rStyle w:val="19"/>
          <w:rFonts w:hint="eastAsia" w:ascii="仿宋_GB2312" w:eastAsia="仿宋_GB2312" w:cs="仿宋_GB2312"/>
          <w:b w:val="0"/>
        </w:rPr>
      </w:pPr>
      <w:bookmarkStart w:id="101" w:name="_Toc15396606"/>
      <w:bookmarkStart w:id="102" w:name="_Toc15377208"/>
      <w:bookmarkStart w:id="103" w:name="_Toc21662"/>
      <w:bookmarkStart w:id="104" w:name="_Toc5847"/>
      <w:bookmarkStart w:id="105" w:name="_Toc10840"/>
      <w:bookmarkStart w:id="106" w:name="_Toc26287"/>
    </w:p>
    <w:p w14:paraId="2C3557D9">
      <w:pPr>
        <w:spacing w:line="600" w:lineRule="exact"/>
        <w:ind w:firstLine="640" w:firstLineChars="200"/>
        <w:outlineLvl w:val="1"/>
        <w:rPr>
          <w:rStyle w:val="19"/>
          <w:rFonts w:hint="eastAsia" w:ascii="仿宋_GB2312" w:eastAsia="仿宋_GB2312" w:cs="仿宋_GB2312"/>
          <w:b w:val="0"/>
        </w:rPr>
      </w:pPr>
    </w:p>
    <w:p w14:paraId="0017646F">
      <w:pPr>
        <w:spacing w:line="600" w:lineRule="exact"/>
        <w:ind w:firstLine="640" w:firstLineChars="200"/>
        <w:outlineLvl w:val="1"/>
        <w:rPr>
          <w:rStyle w:val="19"/>
          <w:rFonts w:hint="eastAsia" w:ascii="仿宋_GB2312" w:eastAsia="仿宋_GB2312" w:cs="仿宋_GB2312"/>
          <w:b w:val="0"/>
        </w:rPr>
      </w:pPr>
    </w:p>
    <w:p w14:paraId="30D24A09">
      <w:pPr>
        <w:pStyle w:val="24"/>
        <w:spacing w:line="240" w:lineRule="auto"/>
        <w:outlineLvl w:val="1"/>
        <w:rPr>
          <w:rFonts w:hint="eastAsia" w:ascii="黑体" w:eastAsia="黑体" w:cs="Times New Roman"/>
          <w:b w:val="0"/>
          <w:bCs/>
          <w:color w:val="000000"/>
          <w:kern w:val="2"/>
          <w:sz w:val="32"/>
          <w:szCs w:val="32"/>
          <w:lang w:val="en-US" w:eastAsia="zh-CN" w:bidi="ar-SA"/>
        </w:rPr>
      </w:pPr>
    </w:p>
    <w:p w14:paraId="666B99A9">
      <w:pPr>
        <w:pStyle w:val="24"/>
        <w:spacing w:line="240" w:lineRule="auto"/>
        <w:outlineLvl w:val="1"/>
        <w:rPr>
          <w:rFonts w:hint="eastAsia" w:ascii="黑体" w:eastAsia="黑体" w:cs="Times New Roman"/>
          <w:b w:val="0"/>
          <w:bCs/>
          <w:color w:val="000000"/>
          <w:kern w:val="2"/>
          <w:sz w:val="32"/>
          <w:szCs w:val="32"/>
          <w:lang w:val="en-US" w:eastAsia="zh-CN" w:bidi="ar-SA"/>
        </w:rPr>
      </w:pPr>
    </w:p>
    <w:p w14:paraId="1C4021FE">
      <w:pPr>
        <w:pStyle w:val="24"/>
        <w:spacing w:line="240" w:lineRule="auto"/>
        <w:outlineLvl w:val="1"/>
        <w:rPr>
          <w:rStyle w:val="19"/>
          <w:rFonts w:hint="eastAsia" w:ascii="仿宋_GB2312" w:eastAsia="仿宋_GB2312" w:cs="仿宋_GB2312"/>
          <w:b w:val="0"/>
          <w:lang w:val="en-US" w:eastAsia="zh-CN"/>
        </w:rPr>
      </w:pPr>
      <w:bookmarkStart w:id="107" w:name="_Toc101"/>
      <w:r>
        <w:rPr>
          <w:rStyle w:val="19"/>
          <w:rFonts w:hint="eastAsia" w:ascii="仿宋_GB2312" w:eastAsia="仿宋_GB2312" w:cs="仿宋_GB2312"/>
          <w:b w:val="0"/>
          <w:lang w:val="en-US" w:eastAsia="zh-CN"/>
        </w:rPr>
        <w:t>四、财政拨款收入支出决算总体情况说明</w:t>
      </w:r>
      <w:bookmarkEnd w:id="101"/>
      <w:bookmarkEnd w:id="102"/>
      <w:bookmarkEnd w:id="103"/>
    </w:p>
    <w:bookmarkEnd w:id="104"/>
    <w:bookmarkEnd w:id="105"/>
    <w:bookmarkEnd w:id="106"/>
    <w:bookmarkEnd w:id="107"/>
    <w:p w14:paraId="27B5ACFE">
      <w:pPr>
        <w:snapToGrid w:val="0"/>
        <w:spacing w:line="520" w:lineRule="exact"/>
        <w:ind w:firstLine="632" w:firstLineChars="200"/>
        <w:rPr>
          <w:rFonts w:hint="eastAsia" w:ascii="仿宋_GB2312" w:eastAsia="仿宋_GB2312" w:cs="仿宋_GB2312"/>
          <w:color w:val="auto"/>
          <w:spacing w:val="-2"/>
          <w:kern w:val="2"/>
          <w:sz w:val="32"/>
          <w:szCs w:val="32"/>
          <w:lang w:val="en-US" w:eastAsia="zh-CN" w:bidi="ar-SA"/>
        </w:rPr>
      </w:pPr>
      <w:r>
        <w:rPr>
          <w:rFonts w:hint="eastAsia" w:ascii="仿宋_GB2312" w:eastAsia="仿宋_GB2312" w:cs="仿宋_GB2312"/>
          <w:color w:val="auto"/>
          <w:spacing w:val="-2"/>
          <w:kern w:val="2"/>
          <w:sz w:val="32"/>
          <w:szCs w:val="32"/>
          <w:lang w:val="en-US" w:eastAsia="zh-CN" w:bidi="ar-SA"/>
        </w:rPr>
        <w:t>2022年度总收入1232.05万元，较上年收入增加114.47万元，增加10.24%。主要原因是2022年度目标奖纳入工资，人员经费调整。</w:t>
      </w:r>
    </w:p>
    <w:p w14:paraId="373C77DB">
      <w:pPr>
        <w:snapToGrid w:val="0"/>
        <w:spacing w:line="520" w:lineRule="exact"/>
        <w:ind w:firstLine="640" w:firstLineChars="200"/>
        <w:rPr>
          <w:rStyle w:val="19"/>
          <w:rFonts w:hint="eastAsia" w:ascii="仿宋_GB2312" w:eastAsia="仿宋_GB2312" w:cs="仿宋_GB2312"/>
          <w:b w:val="0"/>
        </w:rPr>
      </w:pPr>
      <w:r>
        <w:rPr>
          <w:rFonts w:hint="eastAsia" w:ascii="仿宋_GB2312" w:eastAsia="仿宋_GB2312" w:cs="仿宋_GB2312"/>
          <w:color w:val="000000"/>
          <w:sz w:val="32"/>
          <w:szCs w:val="32"/>
          <w:lang w:val="en-US" w:eastAsia="zh-CN"/>
        </w:rPr>
        <w:t>2022年财政拨款支出</w:t>
      </w:r>
      <w:r>
        <w:rPr>
          <w:rFonts w:hint="eastAsia" w:ascii="仿宋_GB2312" w:eastAsia="仿宋_GB2312" w:cs="仿宋_GB2312"/>
          <w:color w:val="auto"/>
          <w:spacing w:val="-2"/>
          <w:kern w:val="2"/>
          <w:sz w:val="32"/>
          <w:szCs w:val="32"/>
          <w:lang w:val="en-US" w:eastAsia="zh-CN" w:bidi="ar-SA"/>
        </w:rPr>
        <w:t>1232.05万元，较上年收入增加114.47万元，增加10.24%。主要原因是2022年度目标奖纳入工资，人员经费调整。</w:t>
      </w:r>
      <w:bookmarkStart w:id="108" w:name="_Toc15377209"/>
      <w:bookmarkStart w:id="109" w:name="_Toc15396607"/>
      <w:bookmarkStart w:id="110" w:name="_Toc14980"/>
      <w:bookmarkStart w:id="111" w:name="_Toc29867"/>
      <w:bookmarkStart w:id="112" w:name="_Toc29357"/>
    </w:p>
    <w:p w14:paraId="214F565F">
      <w:pPr>
        <w:spacing w:line="600" w:lineRule="exact"/>
        <w:ind w:firstLine="420" w:firstLineChars="200"/>
        <w:rPr>
          <w:rStyle w:val="19"/>
          <w:rFonts w:hint="eastAsia" w:ascii="仿宋_GB2312" w:eastAsia="仿宋_GB2312" w:cs="仿宋_GB2312"/>
          <w:b w:val="0"/>
        </w:rPr>
      </w:pPr>
      <w:bookmarkStart w:id="113" w:name="_Toc27654"/>
      <w:bookmarkStart w:id="114" w:name="_Toc7011"/>
      <w:r>
        <w:drawing>
          <wp:anchor distT="0" distB="0" distL="114300" distR="114300" simplePos="0" relativeHeight="251659264" behindDoc="0" locked="0" layoutInCell="1" allowOverlap="1">
            <wp:simplePos x="0" y="0"/>
            <wp:positionH relativeFrom="column">
              <wp:posOffset>287020</wp:posOffset>
            </wp:positionH>
            <wp:positionV relativeFrom="paragraph">
              <wp:posOffset>266065</wp:posOffset>
            </wp:positionV>
            <wp:extent cx="4572000" cy="2929255"/>
            <wp:effectExtent l="0" t="0" r="25" b="19"/>
            <wp:wrapSquare wrapText="bothSides"/>
            <wp:docPr id="6"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115" w:name="_Toc25440"/>
    </w:p>
    <w:bookmarkEnd w:id="113"/>
    <w:bookmarkEnd w:id="114"/>
    <w:bookmarkEnd w:id="115"/>
    <w:p w14:paraId="0F10C619">
      <w:pPr>
        <w:spacing w:line="600" w:lineRule="exact"/>
        <w:ind w:firstLine="640" w:firstLineChars="200"/>
        <w:rPr>
          <w:rStyle w:val="19"/>
          <w:rFonts w:hint="eastAsia" w:ascii="仿宋_GB2312" w:eastAsia="仿宋_GB2312" w:cs="仿宋_GB2312"/>
          <w:b w:val="0"/>
        </w:rPr>
      </w:pPr>
    </w:p>
    <w:p w14:paraId="65EE42C8">
      <w:pPr>
        <w:spacing w:line="600" w:lineRule="exact"/>
        <w:ind w:firstLine="640" w:firstLineChars="200"/>
        <w:rPr>
          <w:rStyle w:val="19"/>
          <w:rFonts w:hint="eastAsia" w:ascii="仿宋_GB2312" w:eastAsia="仿宋_GB2312" w:cs="仿宋_GB2312"/>
          <w:b w:val="0"/>
        </w:rPr>
      </w:pPr>
    </w:p>
    <w:p w14:paraId="1C95D942">
      <w:pPr>
        <w:spacing w:line="600" w:lineRule="exact"/>
        <w:ind w:firstLine="640" w:firstLineChars="200"/>
        <w:rPr>
          <w:rStyle w:val="19"/>
          <w:rFonts w:hint="eastAsia" w:ascii="仿宋_GB2312" w:eastAsia="仿宋_GB2312" w:cs="仿宋_GB2312"/>
          <w:b w:val="0"/>
        </w:rPr>
      </w:pPr>
    </w:p>
    <w:p w14:paraId="7D3ED196">
      <w:pPr>
        <w:spacing w:line="600" w:lineRule="exact"/>
        <w:ind w:firstLine="640" w:firstLineChars="200"/>
        <w:rPr>
          <w:rStyle w:val="19"/>
          <w:rFonts w:hint="eastAsia" w:ascii="仿宋_GB2312" w:eastAsia="仿宋_GB2312" w:cs="仿宋_GB2312"/>
          <w:b w:val="0"/>
        </w:rPr>
      </w:pPr>
    </w:p>
    <w:p w14:paraId="0EF73119">
      <w:pPr>
        <w:spacing w:line="600" w:lineRule="exact"/>
        <w:ind w:firstLine="640" w:firstLineChars="200"/>
        <w:rPr>
          <w:rStyle w:val="19"/>
          <w:rFonts w:hint="eastAsia" w:ascii="仿宋_GB2312" w:eastAsia="仿宋_GB2312" w:cs="仿宋_GB2312"/>
          <w:b w:val="0"/>
        </w:rPr>
      </w:pPr>
    </w:p>
    <w:p w14:paraId="5771AB87">
      <w:pPr>
        <w:spacing w:line="600" w:lineRule="exact"/>
        <w:ind w:firstLine="640" w:firstLineChars="200"/>
        <w:rPr>
          <w:rStyle w:val="19"/>
          <w:rFonts w:hint="eastAsia" w:ascii="仿宋_GB2312" w:eastAsia="仿宋_GB2312" w:cs="仿宋_GB2312"/>
          <w:b w:val="0"/>
        </w:rPr>
      </w:pPr>
      <w:bookmarkStart w:id="116" w:name="_Toc1488"/>
    </w:p>
    <w:p w14:paraId="4D76EDE8">
      <w:pPr>
        <w:spacing w:line="600" w:lineRule="exact"/>
        <w:ind w:firstLine="640" w:firstLineChars="200"/>
        <w:rPr>
          <w:rStyle w:val="19"/>
          <w:rFonts w:hint="eastAsia" w:ascii="仿宋_GB2312" w:eastAsia="仿宋_GB2312" w:cs="仿宋_GB2312"/>
          <w:b w:val="0"/>
        </w:rPr>
      </w:pPr>
    </w:p>
    <w:p w14:paraId="792BAFC7">
      <w:pPr>
        <w:spacing w:line="600" w:lineRule="exact"/>
        <w:rPr>
          <w:rStyle w:val="19"/>
          <w:rFonts w:hint="eastAsia" w:ascii="仿宋_GB2312" w:eastAsia="仿宋_GB2312" w:cs="仿宋_GB2312"/>
          <w:b w:val="0"/>
        </w:rPr>
      </w:pPr>
    </w:p>
    <w:p w14:paraId="79DCFBA8">
      <w:pPr>
        <w:spacing w:line="600" w:lineRule="exact"/>
        <w:rPr>
          <w:rFonts w:hint="eastAsia" w:ascii="黑体" w:eastAsia="黑体" w:cs="Times New Roman"/>
          <w:b w:val="0"/>
          <w:bCs/>
          <w:color w:val="000000"/>
          <w:kern w:val="2"/>
          <w:sz w:val="32"/>
          <w:szCs w:val="32"/>
          <w:lang w:val="en-US" w:eastAsia="zh-CN" w:bidi="ar-SA"/>
        </w:rPr>
      </w:pPr>
      <w:r>
        <w:rPr>
          <w:rStyle w:val="19"/>
          <w:rFonts w:hint="eastAsia" w:ascii="仿宋_GB2312" w:eastAsia="仿宋_GB2312" w:cs="仿宋_GB2312"/>
          <w:b w:val="0"/>
          <w:lang w:val="en-US"/>
        </w:rPr>
        <w:t xml:space="preserve">  </w:t>
      </w:r>
      <w:r>
        <w:rPr>
          <w:rFonts w:hint="eastAsia" w:ascii="黑体" w:eastAsia="黑体" w:cs="Times New Roman"/>
          <w:b w:val="0"/>
          <w:bCs/>
          <w:color w:val="000000"/>
          <w:kern w:val="2"/>
          <w:sz w:val="32"/>
          <w:szCs w:val="32"/>
          <w:lang w:val="en-US" w:eastAsia="zh-CN" w:bidi="ar-SA"/>
        </w:rPr>
        <w:t xml:space="preserve"> </w:t>
      </w:r>
    </w:p>
    <w:p w14:paraId="1E37FFED">
      <w:pPr>
        <w:pStyle w:val="24"/>
        <w:spacing w:line="240" w:lineRule="auto"/>
        <w:outlineLvl w:val="1"/>
        <w:rPr>
          <w:rStyle w:val="19"/>
          <w:rFonts w:hint="eastAsia" w:ascii="仿宋_GB2312" w:eastAsia="仿宋_GB2312" w:cs="仿宋_GB2312"/>
          <w:b w:val="0"/>
          <w:lang w:eastAsia="zh-CN"/>
        </w:rPr>
      </w:pPr>
      <w:bookmarkStart w:id="117" w:name="_Toc3054"/>
      <w:r>
        <w:rPr>
          <w:rStyle w:val="19"/>
          <w:rFonts w:hint="eastAsia" w:ascii="仿宋_GB2312" w:eastAsia="仿宋_GB2312" w:cs="仿宋_GB2312"/>
          <w:b w:val="0"/>
          <w:lang w:val="en-US" w:eastAsia="zh-CN"/>
        </w:rPr>
        <w:t xml:space="preserve"> 五、一般公共预算财政拨款支出决算情况说明</w:t>
      </w:r>
      <w:bookmarkEnd w:id="108"/>
      <w:bookmarkEnd w:id="109"/>
    </w:p>
    <w:bookmarkEnd w:id="110"/>
    <w:bookmarkEnd w:id="111"/>
    <w:bookmarkEnd w:id="112"/>
    <w:bookmarkEnd w:id="116"/>
    <w:bookmarkEnd w:id="117"/>
    <w:p w14:paraId="52101B0D">
      <w:pPr>
        <w:spacing w:line="600" w:lineRule="exact"/>
        <w:ind w:firstLine="643" w:firstLineChars="200"/>
        <w:outlineLvl w:val="2"/>
        <w:rPr>
          <w:rFonts w:hint="eastAsia" w:ascii="仿宋_GB2312" w:eastAsia="仿宋_GB2312" w:cs="仿宋_GB2312"/>
          <w:b/>
          <w:color w:val="000000"/>
          <w:sz w:val="32"/>
          <w:szCs w:val="32"/>
        </w:rPr>
      </w:pPr>
      <w:bookmarkStart w:id="118" w:name="_Toc15377210"/>
      <w:bookmarkStart w:id="119" w:name="_Toc27391"/>
      <w:r>
        <w:rPr>
          <w:rFonts w:hint="eastAsia" w:ascii="仿宋_GB2312" w:eastAsia="仿宋_GB2312" w:cs="仿宋_GB2312"/>
          <w:b/>
          <w:color w:val="000000"/>
          <w:sz w:val="32"/>
          <w:szCs w:val="32"/>
        </w:rPr>
        <w:t>（一）一般公共预算财政拨款支出决算总体情况</w:t>
      </w:r>
      <w:bookmarkEnd w:id="118"/>
      <w:bookmarkEnd w:id="119"/>
    </w:p>
    <w:p w14:paraId="767115FB">
      <w:pPr>
        <w:snapToGrid w:val="0"/>
        <w:spacing w:line="520" w:lineRule="exact"/>
        <w:ind w:firstLine="640" w:firstLineChars="200"/>
        <w:rPr>
          <w:rStyle w:val="19"/>
          <w:rFonts w:hint="eastAsia" w:ascii="仿宋_GB2312" w:eastAsia="仿宋_GB2312" w:cs="仿宋_GB2312"/>
          <w:b w:val="0"/>
        </w:rPr>
      </w:pPr>
      <w:r>
        <w:rPr>
          <w:rFonts w:hint="eastAsia" w:ascii="仿宋_GB2312" w:eastAsia="仿宋_GB2312" w:cs="仿宋_GB2312"/>
          <w:color w:val="000000"/>
          <w:sz w:val="32"/>
          <w:szCs w:val="32"/>
          <w:lang w:eastAsia="zh-CN"/>
        </w:rPr>
        <w:t>2022</w:t>
      </w:r>
      <w:r>
        <w:rPr>
          <w:rFonts w:hint="eastAsia" w:ascii="仿宋_GB2312" w:eastAsia="仿宋_GB2312" w:cs="仿宋_GB2312"/>
          <w:color w:val="000000"/>
          <w:sz w:val="32"/>
          <w:szCs w:val="32"/>
        </w:rPr>
        <w:t>年</w:t>
      </w:r>
      <w:r>
        <w:rPr>
          <w:rFonts w:hint="eastAsia" w:ascii="仿宋_GB2312" w:eastAsia="仿宋_GB2312" w:cs="仿宋_GB2312"/>
          <w:spacing w:val="-2"/>
          <w:kern w:val="2"/>
          <w:sz w:val="32"/>
          <w:szCs w:val="32"/>
          <w:lang w:val="en-US" w:eastAsia="zh-CN" w:bidi="ar-SA"/>
        </w:rPr>
        <w:t>一般公共预算财政拨款支出</w:t>
      </w:r>
      <w:r>
        <w:rPr>
          <w:rFonts w:hint="eastAsia" w:ascii="仿宋_GB2312" w:eastAsia="仿宋_GB2312" w:cs="仿宋_GB2312"/>
          <w:color w:val="auto"/>
          <w:spacing w:val="-2"/>
          <w:kern w:val="2"/>
          <w:sz w:val="32"/>
          <w:szCs w:val="32"/>
          <w:lang w:val="en-US" w:eastAsia="zh-CN" w:bidi="ar-SA"/>
        </w:rPr>
        <w:t>1232.05</w:t>
      </w:r>
      <w:r>
        <w:rPr>
          <w:rFonts w:hint="eastAsia" w:ascii="仿宋_GB2312" w:eastAsia="仿宋_GB2312" w:cs="仿宋_GB2312"/>
          <w:spacing w:val="-2"/>
          <w:kern w:val="2"/>
          <w:sz w:val="32"/>
          <w:szCs w:val="32"/>
          <w:lang w:val="en-US" w:eastAsia="zh-CN" w:bidi="ar-SA"/>
        </w:rPr>
        <w:t>万元，</w:t>
      </w:r>
      <w:r>
        <w:rPr>
          <w:rFonts w:hint="eastAsia" w:ascii="仿宋_GB2312" w:eastAsia="仿宋_GB2312" w:cs="仿宋_GB2312"/>
          <w:color w:val="000000"/>
          <w:sz w:val="32"/>
          <w:szCs w:val="32"/>
        </w:rPr>
        <w:t>占本年</w:t>
      </w:r>
      <w:r>
        <w:rPr>
          <w:rFonts w:hint="eastAsia" w:ascii="仿宋_GB2312" w:eastAsia="仿宋_GB2312" w:cs="仿宋_GB2312"/>
          <w:color w:val="000000"/>
          <w:sz w:val="32"/>
          <w:szCs w:val="32"/>
          <w:lang w:val="en-US" w:eastAsia="zh-CN"/>
        </w:rPr>
        <w:t>总</w:t>
      </w:r>
      <w:r>
        <w:rPr>
          <w:rFonts w:hint="eastAsia" w:ascii="仿宋_GB2312" w:eastAsia="仿宋_GB2312" w:cs="仿宋_GB2312"/>
          <w:color w:val="000000"/>
          <w:sz w:val="32"/>
          <w:szCs w:val="32"/>
        </w:rPr>
        <w:t>支出</w:t>
      </w:r>
      <w:r>
        <w:rPr>
          <w:rFonts w:hint="eastAsia" w:ascii="仿宋_GB2312" w:eastAsia="仿宋_GB2312" w:cs="仿宋_GB2312"/>
          <w:color w:val="000000"/>
          <w:sz w:val="32"/>
          <w:szCs w:val="32"/>
          <w:lang w:val="en-US" w:eastAsia="zh-CN"/>
        </w:rPr>
        <w:t>的100</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与</w:t>
      </w:r>
      <w:r>
        <w:rPr>
          <w:rFonts w:hint="eastAsia" w:ascii="仿宋_GB2312" w:eastAsia="仿宋_GB2312" w:cs="仿宋_GB2312"/>
          <w:color w:val="000000"/>
          <w:sz w:val="32"/>
          <w:szCs w:val="32"/>
          <w:lang w:eastAsia="zh-CN"/>
        </w:rPr>
        <w:t>2021</w:t>
      </w:r>
      <w:r>
        <w:rPr>
          <w:rFonts w:hint="eastAsia" w:ascii="仿宋_GB2312" w:eastAsia="仿宋_GB2312" w:cs="仿宋_GB2312"/>
          <w:color w:val="000000"/>
          <w:sz w:val="32"/>
          <w:szCs w:val="32"/>
        </w:rPr>
        <w:t>年相比，</w:t>
      </w:r>
      <w:r>
        <w:rPr>
          <w:rFonts w:hint="eastAsia" w:ascii="仿宋_GB2312" w:eastAsia="仿宋_GB2312" w:cs="仿宋_GB2312"/>
          <w:color w:val="auto"/>
          <w:spacing w:val="-2"/>
          <w:kern w:val="2"/>
          <w:sz w:val="32"/>
          <w:szCs w:val="32"/>
          <w:lang w:val="en-US" w:eastAsia="zh-CN" w:bidi="ar-SA"/>
        </w:rPr>
        <w:t>较上年收入增加114.47万元，增加10.24%。主要原因是2022年度目标奖纳入工资，人员经费调整。</w:t>
      </w:r>
    </w:p>
    <w:p w14:paraId="4BF017A5">
      <w:pPr>
        <w:snapToGrid w:val="0"/>
        <w:spacing w:line="520" w:lineRule="exact"/>
        <w:ind w:firstLine="632" w:firstLineChars="200"/>
        <w:rPr>
          <w:rFonts w:hint="eastAsia" w:ascii="仿宋_GB2312" w:eastAsia="仿宋_GB2312" w:cs="仿宋_GB2312"/>
          <w:color w:val="000000"/>
          <w:spacing w:val="-2"/>
          <w:kern w:val="2"/>
          <w:sz w:val="32"/>
          <w:szCs w:val="32"/>
          <w:lang w:val="en-US" w:eastAsia="zh-CN" w:bidi="ar-SA"/>
        </w:rPr>
      </w:pPr>
    </w:p>
    <w:p w14:paraId="48E70202">
      <w:pPr>
        <w:pStyle w:val="6"/>
        <w:rPr>
          <w:rFonts w:hint="eastAsia" w:ascii="仿宋_GB2312" w:eastAsia="仿宋_GB2312" w:cs="仿宋_GB2312"/>
          <w:spacing w:val="-2"/>
          <w:kern w:val="2"/>
          <w:sz w:val="32"/>
          <w:szCs w:val="32"/>
          <w:lang w:val="en-US" w:eastAsia="zh-CN" w:bidi="ar-SA"/>
        </w:rPr>
      </w:pPr>
      <w:r>
        <w:drawing>
          <wp:inline distT="0" distB="0" distL="114300" distR="114300">
            <wp:extent cx="4572000" cy="2103120"/>
            <wp:effectExtent l="0" t="0" r="0" b="0"/>
            <wp:docPr id="7"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0571639">
      <w:pPr>
        <w:snapToGrid w:val="0"/>
        <w:spacing w:line="520" w:lineRule="exact"/>
        <w:ind w:firstLine="643" w:firstLineChars="200"/>
        <w:rPr>
          <w:rFonts w:hint="eastAsia" w:ascii="仿宋_GB2312" w:eastAsia="仿宋_GB2312" w:cs="仿宋_GB2312"/>
          <w:b/>
          <w:color w:val="000000"/>
          <w:sz w:val="32"/>
          <w:szCs w:val="32"/>
        </w:rPr>
      </w:pPr>
      <w:bookmarkStart w:id="120" w:name="_Toc15377211"/>
      <w:r>
        <w:rPr>
          <w:rFonts w:hint="eastAsia" w:ascii="仿宋_GB2312" w:eastAsia="仿宋_GB2312" w:cs="仿宋_GB2312"/>
          <w:b/>
          <w:color w:val="000000"/>
          <w:sz w:val="32"/>
          <w:szCs w:val="32"/>
        </w:rPr>
        <w:t>（二）一般公共预算财政拨款支出决算结构情况</w:t>
      </w:r>
      <w:bookmarkEnd w:id="120"/>
    </w:p>
    <w:p w14:paraId="76E7F4C5">
      <w:pPr>
        <w:spacing w:line="600" w:lineRule="exact"/>
        <w:ind w:firstLine="640"/>
        <w:rPr>
          <w:rFonts w:hint="eastAsia" w:ascii="仿宋_GB2312" w:eastAsia="仿宋_GB2312" w:cs="仿宋_GB2312"/>
          <w:color w:val="000000"/>
          <w:sz w:val="32"/>
          <w:szCs w:val="32"/>
        </w:rPr>
      </w:pPr>
      <w:bookmarkStart w:id="121" w:name="_Toc15378460"/>
      <w:bookmarkStart w:id="122" w:name="_Toc15377444"/>
      <w:bookmarkStart w:id="123" w:name="_Toc15377213"/>
      <w:r>
        <w:rPr>
          <w:rFonts w:hint="eastAsia" w:ascii="仿宋_GB2312" w:eastAsia="仿宋_GB2312" w:cs="仿宋_GB2312"/>
          <w:color w:val="000000"/>
          <w:sz w:val="32"/>
          <w:szCs w:val="32"/>
          <w:lang w:eastAsia="zh-CN"/>
        </w:rPr>
        <w:t>2022</w:t>
      </w:r>
      <w:r>
        <w:rPr>
          <w:rFonts w:hint="eastAsia" w:ascii="仿宋_GB2312" w:eastAsia="仿宋_GB2312" w:cs="仿宋_GB2312"/>
          <w:color w:val="000000"/>
          <w:sz w:val="32"/>
          <w:szCs w:val="32"/>
        </w:rPr>
        <w:t>年一般公共预算财政拨款支出</w:t>
      </w:r>
      <w:r>
        <w:rPr>
          <w:rFonts w:hint="eastAsia" w:ascii="仿宋_GB2312" w:eastAsia="仿宋_GB2312" w:cs="仿宋_GB2312"/>
          <w:color w:val="auto"/>
          <w:spacing w:val="-2"/>
          <w:kern w:val="2"/>
          <w:sz w:val="32"/>
          <w:szCs w:val="32"/>
          <w:lang w:val="en-US" w:eastAsia="zh-CN" w:bidi="ar-SA"/>
        </w:rPr>
        <w:t>1232.05</w:t>
      </w:r>
      <w:r>
        <w:rPr>
          <w:rFonts w:hint="eastAsia" w:ascii="仿宋_GB2312" w:eastAsia="仿宋_GB2312" w:cs="仿宋_GB2312"/>
          <w:color w:val="000000"/>
          <w:sz w:val="32"/>
          <w:szCs w:val="32"/>
        </w:rPr>
        <w:t>万元，主要用于以下方面:</w:t>
      </w:r>
      <w:r>
        <w:rPr>
          <w:rFonts w:hint="eastAsia" w:ascii="仿宋_GB2312" w:eastAsia="仿宋_GB2312" w:cs="仿宋_GB2312"/>
          <w:b/>
          <w:color w:val="000000"/>
          <w:sz w:val="32"/>
          <w:szCs w:val="32"/>
        </w:rPr>
        <w:t>一般公共服务（类）</w:t>
      </w:r>
      <w:r>
        <w:rPr>
          <w:rFonts w:hint="eastAsia" w:ascii="仿宋_GB2312" w:eastAsia="仿宋_GB2312" w:cs="仿宋_GB2312"/>
          <w:color w:val="000000"/>
          <w:sz w:val="32"/>
          <w:szCs w:val="32"/>
        </w:rPr>
        <w:t>支出</w:t>
      </w:r>
      <w:r>
        <w:rPr>
          <w:rFonts w:hint="eastAsia" w:ascii="仿宋_GB2312" w:eastAsia="仿宋_GB2312" w:cs="宋体"/>
          <w:color w:val="000000"/>
          <w:kern w:val="0"/>
          <w:sz w:val="32"/>
          <w:szCs w:val="32"/>
          <w:shd w:val="clear" w:color="auto" w:fill="FFFFFF"/>
          <w:lang w:val="en-US" w:eastAsia="zh-CN"/>
        </w:rPr>
        <w:t>1021.8</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82.94</w:t>
      </w:r>
      <w:r>
        <w:rPr>
          <w:rFonts w:hint="eastAsia" w:ascii="仿宋_GB2312" w:eastAsia="仿宋_GB2312" w:cs="仿宋_GB2312"/>
          <w:color w:val="000000"/>
          <w:sz w:val="32"/>
          <w:szCs w:val="32"/>
        </w:rPr>
        <w:t>%；</w:t>
      </w:r>
      <w:r>
        <w:rPr>
          <w:rFonts w:hint="eastAsia" w:ascii="仿宋_GB2312" w:eastAsia="仿宋_GB2312" w:cs="仿宋_GB2312"/>
          <w:b/>
          <w:color w:val="000000"/>
          <w:sz w:val="32"/>
          <w:szCs w:val="32"/>
        </w:rPr>
        <w:t>社会保障和就业（类）</w:t>
      </w:r>
      <w:r>
        <w:rPr>
          <w:rFonts w:hint="eastAsia" w:ascii="仿宋_GB2312" w:eastAsia="仿宋_GB2312" w:cs="仿宋_GB2312"/>
          <w:color w:val="000000"/>
          <w:sz w:val="32"/>
          <w:szCs w:val="32"/>
        </w:rPr>
        <w:t>支出</w:t>
      </w:r>
      <w:r>
        <w:rPr>
          <w:rFonts w:hint="eastAsia" w:ascii="仿宋_GB2312" w:eastAsia="仿宋_GB2312" w:cs="宋体"/>
          <w:color w:val="000000"/>
          <w:kern w:val="0"/>
          <w:sz w:val="32"/>
          <w:szCs w:val="32"/>
          <w:shd w:val="clear" w:color="auto" w:fill="FFFFFF"/>
          <w:lang w:val="en-US" w:eastAsia="zh-CN"/>
        </w:rPr>
        <w:t>104.61</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8.49</w:t>
      </w:r>
      <w:r>
        <w:rPr>
          <w:rFonts w:hint="eastAsia" w:ascii="仿宋_GB2312" w:eastAsia="仿宋_GB2312" w:cs="仿宋_GB2312"/>
          <w:color w:val="000000"/>
          <w:sz w:val="32"/>
          <w:szCs w:val="32"/>
        </w:rPr>
        <w:t>%；</w:t>
      </w:r>
      <w:r>
        <w:rPr>
          <w:rFonts w:hint="eastAsia" w:ascii="仿宋_GB2312" w:eastAsia="仿宋_GB2312" w:cs="仿宋_GB2312"/>
          <w:b/>
          <w:bCs/>
          <w:color w:val="000000"/>
          <w:sz w:val="32"/>
          <w:szCs w:val="32"/>
        </w:rPr>
        <w:t>卫生</w:t>
      </w:r>
      <w:r>
        <w:rPr>
          <w:rFonts w:hint="eastAsia" w:ascii="仿宋_GB2312" w:eastAsia="仿宋_GB2312" w:cs="仿宋_GB2312"/>
          <w:b/>
          <w:bCs/>
          <w:color w:val="000000"/>
          <w:sz w:val="32"/>
          <w:szCs w:val="32"/>
          <w:lang w:eastAsia="zh-CN"/>
        </w:rPr>
        <w:t>健康</w:t>
      </w:r>
      <w:r>
        <w:rPr>
          <w:rFonts w:hint="eastAsia" w:ascii="仿宋_GB2312" w:eastAsia="仿宋_GB2312" w:cs="仿宋_GB2312"/>
          <w:b/>
          <w:bCs/>
          <w:color w:val="000000"/>
          <w:sz w:val="32"/>
          <w:szCs w:val="32"/>
        </w:rPr>
        <w:t>支出</w:t>
      </w:r>
      <w:r>
        <w:rPr>
          <w:rFonts w:hint="eastAsia" w:ascii="仿宋_GB2312" w:eastAsia="仿宋_GB2312" w:cs="宋体"/>
          <w:color w:val="000000"/>
          <w:kern w:val="0"/>
          <w:sz w:val="32"/>
          <w:szCs w:val="32"/>
          <w:shd w:val="clear" w:color="auto" w:fill="FFFFFF"/>
          <w:lang w:val="en-US" w:eastAsia="zh-CN"/>
        </w:rPr>
        <w:t>45.12</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3.66</w:t>
      </w:r>
      <w:r>
        <w:rPr>
          <w:rFonts w:hint="eastAsia" w:ascii="仿宋_GB2312" w:eastAsia="仿宋_GB2312" w:cs="仿宋_GB2312"/>
          <w:color w:val="000000"/>
          <w:sz w:val="32"/>
          <w:szCs w:val="32"/>
        </w:rPr>
        <w:t>%；</w:t>
      </w:r>
      <w:r>
        <w:rPr>
          <w:rFonts w:hint="eastAsia" w:ascii="仿宋_GB2312" w:eastAsia="仿宋_GB2312" w:cs="仿宋_GB2312"/>
          <w:b/>
          <w:bCs/>
          <w:color w:val="000000"/>
          <w:sz w:val="32"/>
          <w:szCs w:val="32"/>
        </w:rPr>
        <w:t>住房保障支出</w:t>
      </w:r>
      <w:r>
        <w:rPr>
          <w:rFonts w:hint="eastAsia" w:ascii="仿宋_GB2312" w:eastAsia="仿宋_GB2312" w:cs="宋体"/>
          <w:color w:val="000000"/>
          <w:kern w:val="0"/>
          <w:sz w:val="32"/>
          <w:szCs w:val="32"/>
          <w:shd w:val="clear" w:color="auto" w:fill="FFFFFF"/>
          <w:lang w:val="en-US" w:eastAsia="zh-CN"/>
        </w:rPr>
        <w:t>60.52</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4.91</w:t>
      </w:r>
      <w:r>
        <w:rPr>
          <w:rFonts w:hint="eastAsia" w:ascii="仿宋_GB2312" w:eastAsia="仿宋_GB2312" w:cs="仿宋_GB2312"/>
          <w:color w:val="000000"/>
          <w:sz w:val="32"/>
          <w:szCs w:val="32"/>
        </w:rPr>
        <w:t>%。</w:t>
      </w:r>
    </w:p>
    <w:p w14:paraId="75DAD06F">
      <w:pPr>
        <w:spacing w:line="600" w:lineRule="exact"/>
        <w:ind w:firstLine="5460" w:firstLineChars="2600"/>
        <w:outlineLvl w:val="2"/>
        <w:rPr>
          <w:rFonts w:hint="eastAsia" w:ascii="仿宋_GB2312" w:eastAsia="仿宋_GB2312" w:cs="仿宋_GB2312"/>
          <w:b/>
          <w:color w:val="000000"/>
          <w:sz w:val="32"/>
          <w:szCs w:val="32"/>
          <w:lang w:val="en-US" w:eastAsia="zh-CN"/>
        </w:rPr>
      </w:pPr>
      <w:r>
        <w:drawing>
          <wp:anchor distT="0" distB="0" distL="114300" distR="114300" simplePos="0" relativeHeight="251659264" behindDoc="0" locked="0" layoutInCell="1" allowOverlap="1">
            <wp:simplePos x="0" y="0"/>
            <wp:positionH relativeFrom="column">
              <wp:posOffset>187960</wp:posOffset>
            </wp:positionH>
            <wp:positionV relativeFrom="paragraph">
              <wp:posOffset>60960</wp:posOffset>
            </wp:positionV>
            <wp:extent cx="4572000" cy="1746250"/>
            <wp:effectExtent l="0" t="0" r="25" b="36"/>
            <wp:wrapSquare wrapText="bothSides"/>
            <wp:docPr id="8"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550E65E5">
      <w:pPr>
        <w:spacing w:line="600" w:lineRule="exact"/>
        <w:ind w:firstLine="8353" w:firstLineChars="2600"/>
        <w:outlineLvl w:val="2"/>
        <w:rPr>
          <w:rFonts w:hint="eastAsia" w:ascii="仿宋_GB2312" w:eastAsia="仿宋_GB2312" w:cs="仿宋_GB2312"/>
          <w:b/>
          <w:color w:val="000000"/>
          <w:sz w:val="32"/>
          <w:szCs w:val="32"/>
          <w:lang w:val="en-US" w:eastAsia="zh-CN"/>
        </w:rPr>
      </w:pPr>
    </w:p>
    <w:p w14:paraId="51AF67E7">
      <w:pPr>
        <w:spacing w:line="600" w:lineRule="exact"/>
        <w:ind w:firstLine="8353" w:firstLineChars="2600"/>
        <w:outlineLvl w:val="2"/>
        <w:rPr>
          <w:rFonts w:hint="eastAsia" w:ascii="仿宋_GB2312" w:eastAsia="仿宋_GB2312" w:cs="仿宋_GB2312"/>
          <w:b/>
          <w:color w:val="000000"/>
          <w:sz w:val="32"/>
          <w:szCs w:val="32"/>
          <w:lang w:val="en-US" w:eastAsia="zh-CN"/>
        </w:rPr>
      </w:pPr>
    </w:p>
    <w:p w14:paraId="64BC290C">
      <w:pPr>
        <w:spacing w:line="600" w:lineRule="exact"/>
        <w:ind w:firstLine="8353" w:firstLineChars="2600"/>
        <w:outlineLvl w:val="2"/>
        <w:rPr>
          <w:rFonts w:hint="eastAsia" w:ascii="仿宋_GB2312" w:eastAsia="仿宋_GB2312" w:cs="仿宋_GB2312"/>
          <w:b/>
          <w:color w:val="000000"/>
          <w:sz w:val="32"/>
          <w:szCs w:val="32"/>
          <w:lang w:val="en-US" w:eastAsia="zh-CN"/>
        </w:rPr>
      </w:pPr>
    </w:p>
    <w:p w14:paraId="60FD605A">
      <w:pPr>
        <w:spacing w:line="600" w:lineRule="exact"/>
        <w:ind w:firstLine="8353" w:firstLineChars="2600"/>
        <w:outlineLvl w:val="2"/>
        <w:rPr>
          <w:rFonts w:hint="eastAsia" w:ascii="仿宋_GB2312" w:eastAsia="仿宋_GB2312" w:cs="仿宋_GB2312"/>
          <w:b/>
          <w:color w:val="000000"/>
          <w:sz w:val="32"/>
          <w:szCs w:val="32"/>
          <w:lang w:val="en-US" w:eastAsia="zh-CN"/>
        </w:rPr>
      </w:pPr>
    </w:p>
    <w:p w14:paraId="124FA4C9">
      <w:pPr>
        <w:numPr>
          <w:ilvl w:val="0"/>
          <w:numId w:val="1"/>
        </w:numPr>
        <w:spacing w:line="600" w:lineRule="exact"/>
        <w:ind w:left="0" w:firstLine="643" w:firstLineChars="200"/>
        <w:outlineLvl w:val="2"/>
        <w:rPr>
          <w:rFonts w:hint="eastAsia" w:ascii="仿宋_GB2312" w:eastAsia="仿宋_GB2312" w:cs="仿宋_GB2312"/>
          <w:b/>
          <w:color w:val="000000"/>
          <w:sz w:val="32"/>
          <w:szCs w:val="32"/>
          <w:lang w:val="en-US" w:eastAsia="zh-CN"/>
        </w:rPr>
      </w:pPr>
      <w:bookmarkStart w:id="124" w:name="_Toc15377212"/>
      <w:bookmarkStart w:id="125" w:name="_Toc13152"/>
      <w:r>
        <w:rPr>
          <w:rFonts w:hint="eastAsia" w:ascii="仿宋_GB2312" w:eastAsia="仿宋_GB2312" w:cs="仿宋_GB2312"/>
          <w:b/>
          <w:color w:val="000000"/>
          <w:sz w:val="32"/>
          <w:szCs w:val="32"/>
        </w:rPr>
        <w:t>一般公共预算财政拨款支出决算具体情况</w:t>
      </w:r>
      <w:bookmarkEnd w:id="124"/>
      <w:bookmarkEnd w:id="125"/>
    </w:p>
    <w:p w14:paraId="592A7937">
      <w:pPr>
        <w:spacing w:line="600" w:lineRule="exact"/>
        <w:outlineLvl w:val="2"/>
        <w:rPr>
          <w:rFonts w:hint="eastAsia" w:ascii="仿宋_GB2312" w:eastAsia="仿宋_GB2312" w:cs="仿宋_GB2312"/>
          <w:b w:val="0"/>
          <w:bCs/>
          <w:color w:val="000000"/>
          <w:sz w:val="32"/>
          <w:szCs w:val="32"/>
        </w:rPr>
      </w:pPr>
      <w:r>
        <w:rPr>
          <w:rFonts w:hint="eastAsia" w:ascii="仿宋_GB2312" w:eastAsia="仿宋_GB2312" w:cs="仿宋_GB2312"/>
          <w:b w:val="0"/>
          <w:bCs/>
          <w:color w:val="000000"/>
          <w:sz w:val="32"/>
          <w:szCs w:val="32"/>
          <w:lang w:val="en-US" w:eastAsia="zh-CN"/>
        </w:rPr>
        <w:t xml:space="preserve">    </w:t>
      </w:r>
      <w:bookmarkEnd w:id="121"/>
      <w:bookmarkEnd w:id="122"/>
      <w:bookmarkEnd w:id="123"/>
      <w:bookmarkStart w:id="126" w:name="_Toc15377214"/>
      <w:bookmarkStart w:id="127" w:name="_Toc15396608"/>
      <w:r>
        <w:rPr>
          <w:rFonts w:hint="eastAsia" w:ascii="仿宋_GB2312" w:eastAsia="仿宋_GB2312" w:cs="仿宋_GB2312"/>
          <w:b w:val="0"/>
          <w:bCs/>
          <w:color w:val="000000"/>
          <w:sz w:val="32"/>
          <w:szCs w:val="32"/>
          <w:lang w:val="en-US" w:eastAsia="zh-CN"/>
        </w:rPr>
        <w:t xml:space="preserve"> </w:t>
      </w:r>
      <w:bookmarkStart w:id="128" w:name="_Toc10153"/>
      <w:bookmarkStart w:id="129" w:name="_Toc29261"/>
      <w:bookmarkStart w:id="130" w:name="_Toc25815"/>
      <w:r>
        <w:rPr>
          <w:rFonts w:hint="eastAsia" w:ascii="仿宋_GB2312" w:eastAsia="仿宋_GB2312" w:cs="仿宋_GB2312"/>
          <w:b w:val="0"/>
          <w:bCs/>
          <w:color w:val="000000"/>
          <w:sz w:val="32"/>
          <w:szCs w:val="32"/>
          <w:lang w:eastAsia="zh-CN"/>
        </w:rPr>
        <w:t>2022</w:t>
      </w:r>
      <w:r>
        <w:rPr>
          <w:rFonts w:hint="eastAsia" w:ascii="仿宋_GB2312" w:eastAsia="仿宋_GB2312" w:cs="仿宋_GB2312"/>
          <w:b w:val="0"/>
          <w:bCs/>
          <w:color w:val="000000"/>
          <w:sz w:val="32"/>
          <w:szCs w:val="32"/>
        </w:rPr>
        <w:t>年</w:t>
      </w:r>
      <w:r>
        <w:rPr>
          <w:rFonts w:hint="eastAsia" w:ascii="仿宋_GB2312" w:eastAsia="仿宋_GB2312" w:cs="仿宋_GB2312"/>
          <w:b w:val="0"/>
          <w:bCs/>
          <w:color w:val="000000"/>
          <w:sz w:val="32"/>
          <w:szCs w:val="32"/>
          <w:lang w:eastAsia="zh-CN"/>
        </w:rPr>
        <w:t>一</w:t>
      </w:r>
      <w:r>
        <w:rPr>
          <w:rFonts w:hint="eastAsia" w:ascii="仿宋_GB2312" w:eastAsia="仿宋_GB2312" w:cs="仿宋_GB2312"/>
          <w:b w:val="0"/>
          <w:bCs/>
          <w:color w:val="000000"/>
          <w:sz w:val="32"/>
          <w:szCs w:val="32"/>
        </w:rPr>
        <w:t>般公共预算</w:t>
      </w:r>
      <w:r>
        <w:rPr>
          <w:rFonts w:hint="eastAsia" w:ascii="仿宋_GB2312" w:eastAsia="仿宋_GB2312" w:cs="仿宋_GB2312"/>
          <w:b w:val="0"/>
          <w:bCs/>
          <w:color w:val="000000"/>
          <w:sz w:val="32"/>
          <w:szCs w:val="32"/>
          <w:lang w:val="en-US" w:eastAsia="zh-CN"/>
        </w:rPr>
        <w:t>数为</w:t>
      </w:r>
      <w:r>
        <w:rPr>
          <w:rFonts w:hint="eastAsia" w:ascii="仿宋_GB2312" w:eastAsia="仿宋_GB2312" w:cs="仿宋_GB2312"/>
          <w:color w:val="auto"/>
          <w:spacing w:val="-2"/>
          <w:kern w:val="2"/>
          <w:sz w:val="32"/>
          <w:szCs w:val="32"/>
          <w:lang w:val="en-US" w:eastAsia="zh-CN" w:bidi="ar-SA"/>
        </w:rPr>
        <w:t>1232.05</w:t>
      </w:r>
      <w:r>
        <w:rPr>
          <w:rFonts w:hint="eastAsia" w:ascii="仿宋_GB2312" w:eastAsia="仿宋_GB2312" w:cs="仿宋_GB2312"/>
          <w:b w:val="0"/>
          <w:bCs/>
          <w:color w:val="000000"/>
          <w:sz w:val="32"/>
          <w:szCs w:val="32"/>
          <w:lang w:val="en-US" w:eastAsia="zh-CN"/>
        </w:rPr>
        <w:t>万元，</w:t>
      </w:r>
      <w:r>
        <w:rPr>
          <w:rFonts w:hint="eastAsia" w:ascii="仿宋_GB2312" w:eastAsia="仿宋_GB2312" w:cs="仿宋_GB2312"/>
          <w:b w:val="0"/>
          <w:bCs/>
          <w:color w:val="000000"/>
          <w:sz w:val="32"/>
          <w:szCs w:val="32"/>
        </w:rPr>
        <w:t>支出决算数为</w:t>
      </w:r>
      <w:r>
        <w:rPr>
          <w:rFonts w:hint="eastAsia" w:ascii="仿宋_GB2312" w:eastAsia="仿宋_GB2312" w:cs="仿宋_GB2312"/>
          <w:color w:val="auto"/>
          <w:spacing w:val="-2"/>
          <w:kern w:val="2"/>
          <w:sz w:val="32"/>
          <w:szCs w:val="32"/>
          <w:lang w:val="en-US" w:eastAsia="zh-CN" w:bidi="ar-SA"/>
        </w:rPr>
        <w:t>1232.05</w:t>
      </w:r>
      <w:r>
        <w:rPr>
          <w:rFonts w:hint="eastAsia" w:ascii="仿宋_GB2312" w:eastAsia="仿宋_GB2312" w:cs="仿宋_GB2312"/>
          <w:b w:val="0"/>
          <w:bCs/>
          <w:color w:val="000000"/>
          <w:sz w:val="32"/>
          <w:szCs w:val="32"/>
          <w:lang w:val="en-US" w:eastAsia="zh-CN"/>
        </w:rPr>
        <w:t>万元</w:t>
      </w:r>
      <w:r>
        <w:rPr>
          <w:rFonts w:hint="eastAsia" w:ascii="仿宋_GB2312" w:eastAsia="仿宋_GB2312" w:cs="仿宋_GB2312"/>
          <w:b w:val="0"/>
          <w:bCs/>
          <w:color w:val="000000"/>
          <w:sz w:val="32"/>
          <w:szCs w:val="32"/>
        </w:rPr>
        <w:t>，完</w:t>
      </w:r>
      <w:r>
        <w:rPr>
          <w:rStyle w:val="16"/>
          <w:rFonts w:hint="eastAsia" w:ascii="仿宋_GB2312" w:eastAsia="仿宋_GB2312" w:cs="仿宋_GB2312"/>
          <w:b w:val="0"/>
          <w:bCs/>
          <w:color w:val="000000"/>
          <w:sz w:val="32"/>
          <w:szCs w:val="32"/>
        </w:rPr>
        <w:t>成预算</w:t>
      </w:r>
      <w:r>
        <w:rPr>
          <w:rStyle w:val="16"/>
          <w:rFonts w:hint="eastAsia" w:ascii="仿宋_GB2312" w:eastAsia="仿宋_GB2312" w:cs="仿宋_GB2312"/>
          <w:b w:val="0"/>
          <w:bCs/>
          <w:color w:val="000000"/>
          <w:sz w:val="32"/>
          <w:szCs w:val="32"/>
          <w:lang w:val="en-US" w:eastAsia="zh-CN"/>
        </w:rPr>
        <w:t>100</w:t>
      </w:r>
      <w:r>
        <w:rPr>
          <w:rStyle w:val="16"/>
          <w:rFonts w:hint="eastAsia" w:ascii="仿宋_GB2312" w:eastAsia="仿宋_GB2312" w:cs="仿宋_GB2312"/>
          <w:b w:val="0"/>
          <w:bCs/>
          <w:color w:val="000000"/>
          <w:sz w:val="32"/>
          <w:szCs w:val="32"/>
        </w:rPr>
        <w:t>%。</w:t>
      </w:r>
      <w:r>
        <w:rPr>
          <w:rStyle w:val="16"/>
          <w:rFonts w:hint="eastAsia" w:ascii="仿宋_GB2312" w:eastAsia="仿宋_GB2312" w:cs="仿宋_GB2312"/>
          <w:b w:val="0"/>
          <w:bCs/>
          <w:color w:val="000000"/>
          <w:sz w:val="32"/>
          <w:szCs w:val="32"/>
          <w:lang w:val="en-US" w:eastAsia="zh-CN"/>
        </w:rPr>
        <w:t>结转下年0万元。</w:t>
      </w:r>
      <w:r>
        <w:rPr>
          <w:rStyle w:val="16"/>
          <w:rFonts w:hint="eastAsia" w:ascii="仿宋_GB2312" w:eastAsia="仿宋_GB2312" w:cs="仿宋_GB2312"/>
          <w:b w:val="0"/>
          <w:bCs/>
          <w:color w:val="000000"/>
          <w:sz w:val="32"/>
          <w:szCs w:val="32"/>
        </w:rPr>
        <w:t>其中：</w:t>
      </w:r>
      <w:bookmarkEnd w:id="128"/>
      <w:bookmarkEnd w:id="129"/>
      <w:bookmarkEnd w:id="130"/>
    </w:p>
    <w:p w14:paraId="68F05AA4">
      <w:pPr>
        <w:spacing w:line="600" w:lineRule="exact"/>
        <w:ind w:firstLine="643" w:firstLineChars="200"/>
        <w:rPr>
          <w:rStyle w:val="16"/>
          <w:rFonts w:hint="eastAsia" w:ascii="仿宋" w:eastAsia="仿宋"/>
          <w:b w:val="0"/>
          <w:bCs/>
          <w:sz w:val="32"/>
          <w:szCs w:val="32"/>
          <w:lang w:eastAsia="zh-CN"/>
        </w:rPr>
      </w:pPr>
      <w:bookmarkStart w:id="131" w:name="_Toc31827"/>
      <w:bookmarkStart w:id="132" w:name="_Toc16119"/>
      <w:bookmarkStart w:id="133" w:name="_Toc30846"/>
      <w:bookmarkStart w:id="134" w:name="_Toc11997"/>
      <w:r>
        <w:rPr>
          <w:rStyle w:val="16"/>
          <w:rFonts w:hint="eastAsia" w:ascii="仿宋" w:eastAsia="仿宋"/>
          <w:bCs/>
          <w:sz w:val="32"/>
          <w:szCs w:val="32"/>
        </w:rPr>
        <w:t>1.一般公共服务（类）人大事务（款）行政运行（项）</w:t>
      </w:r>
      <w:r>
        <w:rPr>
          <w:rStyle w:val="16"/>
          <w:rFonts w:ascii="仿宋" w:eastAsia="仿宋"/>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717.07</w:t>
      </w:r>
      <w:r>
        <w:rPr>
          <w:rStyle w:val="16"/>
          <w:rFonts w:hint="eastAsia" w:ascii="仿宋" w:eastAsia="仿宋"/>
          <w:b w:val="0"/>
          <w:bCs/>
          <w:sz w:val="32"/>
          <w:szCs w:val="32"/>
        </w:rPr>
        <w:t>万元，完成预算100</w:t>
      </w:r>
      <w:r>
        <w:rPr>
          <w:rStyle w:val="16"/>
          <w:rFonts w:ascii="仿宋" w:eastAsia="仿宋"/>
          <w:b w:val="0"/>
          <w:bCs/>
          <w:sz w:val="32"/>
          <w:szCs w:val="32"/>
        </w:rPr>
        <w:t>%</w:t>
      </w:r>
      <w:r>
        <w:rPr>
          <w:rStyle w:val="16"/>
          <w:rFonts w:hint="eastAsia" w:ascii="仿宋" w:eastAsia="仿宋"/>
          <w:b w:val="0"/>
          <w:bCs/>
          <w:sz w:val="32"/>
          <w:szCs w:val="32"/>
          <w:lang w:eastAsia="zh-CN"/>
        </w:rPr>
        <w:t>。</w:t>
      </w:r>
    </w:p>
    <w:p w14:paraId="48C12571">
      <w:pPr>
        <w:pStyle w:val="2"/>
        <w:rPr>
          <w:rFonts w:hint="eastAsia"/>
          <w:lang w:eastAsia="zh-CN"/>
        </w:rPr>
      </w:pPr>
      <w:r>
        <w:rPr>
          <w:rStyle w:val="16"/>
          <w:rFonts w:hint="eastAsia" w:ascii="仿宋" w:eastAsia="仿宋"/>
          <w:bCs/>
          <w:sz w:val="32"/>
          <w:szCs w:val="32"/>
          <w:lang w:val="en-US" w:eastAsia="zh-CN"/>
        </w:rPr>
        <w:t>2</w:t>
      </w:r>
      <w:r>
        <w:rPr>
          <w:rStyle w:val="16"/>
          <w:rFonts w:hint="eastAsia" w:ascii="仿宋" w:eastAsia="仿宋"/>
          <w:bCs/>
          <w:sz w:val="32"/>
          <w:szCs w:val="32"/>
        </w:rPr>
        <w:t>.一般公共服务（类）人大事务（款）</w:t>
      </w:r>
      <w:r>
        <w:rPr>
          <w:rStyle w:val="16"/>
          <w:rFonts w:hint="eastAsia" w:ascii="仿宋" w:eastAsia="仿宋"/>
          <w:bCs/>
          <w:sz w:val="32"/>
          <w:szCs w:val="32"/>
          <w:lang w:val="en-US" w:eastAsia="zh-CN"/>
        </w:rPr>
        <w:t>事业</w:t>
      </w:r>
      <w:r>
        <w:rPr>
          <w:rStyle w:val="16"/>
          <w:rFonts w:hint="eastAsia" w:ascii="仿宋" w:eastAsia="仿宋"/>
          <w:bCs/>
          <w:sz w:val="32"/>
          <w:szCs w:val="32"/>
        </w:rPr>
        <w:t>运行（项）</w:t>
      </w:r>
      <w:r>
        <w:rPr>
          <w:rStyle w:val="16"/>
          <w:rFonts w:ascii="仿宋" w:eastAsia="仿宋"/>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20.99</w:t>
      </w:r>
      <w:r>
        <w:rPr>
          <w:rStyle w:val="16"/>
          <w:rFonts w:hint="eastAsia" w:ascii="仿宋" w:eastAsia="仿宋"/>
          <w:b w:val="0"/>
          <w:bCs/>
          <w:sz w:val="32"/>
          <w:szCs w:val="32"/>
        </w:rPr>
        <w:t>万元，完成预算100</w:t>
      </w:r>
      <w:r>
        <w:rPr>
          <w:rStyle w:val="16"/>
          <w:rFonts w:ascii="仿宋" w:eastAsia="仿宋"/>
          <w:b w:val="0"/>
          <w:bCs/>
          <w:sz w:val="32"/>
          <w:szCs w:val="32"/>
        </w:rPr>
        <w:t>%</w:t>
      </w:r>
      <w:r>
        <w:rPr>
          <w:rStyle w:val="16"/>
          <w:rFonts w:hint="eastAsia" w:ascii="仿宋" w:eastAsia="仿宋"/>
          <w:b w:val="0"/>
          <w:bCs/>
          <w:sz w:val="32"/>
          <w:szCs w:val="32"/>
        </w:rPr>
        <w:t>，</w:t>
      </w:r>
    </w:p>
    <w:p w14:paraId="31A44484">
      <w:pPr>
        <w:spacing w:line="600" w:lineRule="exact"/>
        <w:ind w:firstLine="643" w:firstLineChars="200"/>
        <w:rPr>
          <w:rStyle w:val="16"/>
          <w:rFonts w:ascii="仿宋" w:eastAsia="仿宋"/>
          <w:b w:val="0"/>
          <w:bCs/>
          <w:sz w:val="32"/>
          <w:szCs w:val="32"/>
        </w:rPr>
      </w:pPr>
      <w:r>
        <w:rPr>
          <w:rStyle w:val="16"/>
          <w:rFonts w:hint="eastAsia" w:ascii="仿宋" w:eastAsia="仿宋"/>
          <w:bCs/>
          <w:sz w:val="32"/>
          <w:szCs w:val="32"/>
          <w:lang w:val="en-US" w:eastAsia="zh-CN"/>
        </w:rPr>
        <w:t>3</w:t>
      </w:r>
      <w:r>
        <w:rPr>
          <w:rStyle w:val="16"/>
          <w:rFonts w:ascii="仿宋" w:eastAsia="仿宋"/>
          <w:bCs/>
          <w:sz w:val="32"/>
          <w:szCs w:val="32"/>
        </w:rPr>
        <w:t>.</w:t>
      </w:r>
      <w:r>
        <w:rPr>
          <w:rStyle w:val="16"/>
          <w:rFonts w:hint="eastAsia" w:ascii="仿宋" w:eastAsia="仿宋"/>
          <w:bCs/>
          <w:sz w:val="32"/>
          <w:szCs w:val="32"/>
        </w:rPr>
        <w:t>一般公共服务（类）人大事务（款）一般行政管理事务（项）</w:t>
      </w:r>
      <w:r>
        <w:rPr>
          <w:rStyle w:val="16"/>
          <w:rFonts w:ascii="仿宋" w:eastAsia="仿宋"/>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45.99</w:t>
      </w:r>
      <w:r>
        <w:rPr>
          <w:rStyle w:val="16"/>
          <w:rFonts w:hint="eastAsia" w:ascii="仿宋" w:eastAsia="仿宋"/>
          <w:b w:val="0"/>
          <w:bCs/>
          <w:sz w:val="32"/>
          <w:szCs w:val="32"/>
        </w:rPr>
        <w:t>万元，完成预算100%。</w:t>
      </w:r>
    </w:p>
    <w:p w14:paraId="2CDCE585">
      <w:pPr>
        <w:spacing w:line="600" w:lineRule="exact"/>
        <w:ind w:firstLine="643" w:firstLineChars="200"/>
        <w:rPr>
          <w:rStyle w:val="16"/>
          <w:rFonts w:ascii="仿宋" w:eastAsia="仿宋"/>
          <w:b w:val="0"/>
          <w:bCs/>
          <w:color w:val="auto"/>
          <w:sz w:val="32"/>
          <w:szCs w:val="32"/>
        </w:rPr>
      </w:pPr>
      <w:r>
        <w:rPr>
          <w:rStyle w:val="16"/>
          <w:rFonts w:hint="eastAsia" w:ascii="仿宋" w:eastAsia="仿宋"/>
          <w:bCs/>
          <w:color w:val="auto"/>
          <w:sz w:val="32"/>
          <w:szCs w:val="32"/>
          <w:lang w:val="en-US" w:eastAsia="zh-CN"/>
        </w:rPr>
        <w:t>4</w:t>
      </w:r>
      <w:r>
        <w:rPr>
          <w:rStyle w:val="16"/>
          <w:rFonts w:ascii="仿宋" w:eastAsia="仿宋"/>
          <w:bCs/>
          <w:color w:val="auto"/>
          <w:sz w:val="32"/>
          <w:szCs w:val="32"/>
        </w:rPr>
        <w:t>.</w:t>
      </w:r>
      <w:r>
        <w:rPr>
          <w:rStyle w:val="16"/>
          <w:rFonts w:hint="eastAsia" w:ascii="仿宋" w:eastAsia="仿宋"/>
          <w:bCs/>
          <w:color w:val="auto"/>
          <w:sz w:val="32"/>
          <w:szCs w:val="32"/>
        </w:rPr>
        <w:t>一般公共服务（类）人大事务（款）</w:t>
      </w:r>
      <w:r>
        <w:rPr>
          <w:rStyle w:val="16"/>
          <w:rFonts w:hint="eastAsia" w:ascii="仿宋" w:eastAsia="仿宋"/>
          <w:bCs/>
          <w:color w:val="auto"/>
          <w:sz w:val="32"/>
          <w:szCs w:val="32"/>
          <w:lang w:val="en-US" w:eastAsia="zh-CN"/>
        </w:rPr>
        <w:t>人大会议</w:t>
      </w:r>
      <w:r>
        <w:rPr>
          <w:rStyle w:val="16"/>
          <w:rFonts w:hint="eastAsia" w:ascii="仿宋" w:eastAsia="仿宋"/>
          <w:bCs/>
          <w:color w:val="auto"/>
          <w:sz w:val="32"/>
          <w:szCs w:val="32"/>
        </w:rPr>
        <w:t>支出（项）</w:t>
      </w:r>
      <w:r>
        <w:rPr>
          <w:rStyle w:val="16"/>
          <w:rFonts w:ascii="仿宋" w:eastAsia="仿宋"/>
          <w:bCs/>
          <w:color w:val="auto"/>
          <w:sz w:val="32"/>
          <w:szCs w:val="32"/>
        </w:rPr>
        <w:t>:</w:t>
      </w:r>
      <w:r>
        <w:rPr>
          <w:rStyle w:val="16"/>
          <w:rFonts w:ascii="仿宋" w:eastAsia="仿宋"/>
          <w:b w:val="0"/>
          <w:bCs/>
          <w:color w:val="auto"/>
          <w:sz w:val="32"/>
          <w:szCs w:val="32"/>
        </w:rPr>
        <w:t xml:space="preserve"> </w:t>
      </w:r>
      <w:r>
        <w:rPr>
          <w:rStyle w:val="16"/>
          <w:rFonts w:hint="eastAsia" w:ascii="仿宋" w:eastAsia="仿宋"/>
          <w:b w:val="0"/>
          <w:bCs/>
          <w:color w:val="auto"/>
          <w:sz w:val="32"/>
          <w:szCs w:val="32"/>
        </w:rPr>
        <w:t>支出决算为</w:t>
      </w:r>
      <w:r>
        <w:rPr>
          <w:rStyle w:val="16"/>
          <w:rFonts w:hint="eastAsia" w:ascii="仿宋" w:eastAsia="仿宋"/>
          <w:b w:val="0"/>
          <w:bCs/>
          <w:color w:val="auto"/>
          <w:sz w:val="32"/>
          <w:szCs w:val="32"/>
          <w:lang w:val="en-US" w:eastAsia="zh-CN"/>
        </w:rPr>
        <w:t>41.59</w:t>
      </w:r>
      <w:r>
        <w:rPr>
          <w:rStyle w:val="16"/>
          <w:rFonts w:hint="eastAsia" w:ascii="仿宋" w:eastAsia="仿宋"/>
          <w:b w:val="0"/>
          <w:bCs/>
          <w:color w:val="auto"/>
          <w:sz w:val="32"/>
          <w:szCs w:val="32"/>
        </w:rPr>
        <w:t>万元，完成预算100%。</w:t>
      </w:r>
    </w:p>
    <w:p w14:paraId="1668F872">
      <w:pPr>
        <w:spacing w:line="600" w:lineRule="exact"/>
        <w:ind w:firstLine="643" w:firstLineChars="200"/>
        <w:rPr>
          <w:rStyle w:val="16"/>
          <w:rFonts w:ascii="仿宋" w:eastAsia="仿宋"/>
          <w:b w:val="0"/>
          <w:bCs/>
          <w:color w:val="FF0000"/>
          <w:sz w:val="32"/>
          <w:szCs w:val="32"/>
        </w:rPr>
      </w:pPr>
      <w:r>
        <w:rPr>
          <w:rStyle w:val="16"/>
          <w:rFonts w:hint="eastAsia" w:ascii="仿宋" w:eastAsia="仿宋"/>
          <w:bCs/>
          <w:color w:val="auto"/>
          <w:sz w:val="32"/>
          <w:szCs w:val="32"/>
          <w:lang w:val="en-US" w:eastAsia="zh-CN"/>
        </w:rPr>
        <w:t>5</w:t>
      </w:r>
      <w:r>
        <w:rPr>
          <w:rStyle w:val="16"/>
          <w:rFonts w:ascii="仿宋" w:eastAsia="仿宋"/>
          <w:bCs/>
          <w:color w:val="auto"/>
          <w:sz w:val="32"/>
          <w:szCs w:val="32"/>
        </w:rPr>
        <w:t>.</w:t>
      </w:r>
      <w:r>
        <w:rPr>
          <w:rStyle w:val="16"/>
          <w:rFonts w:hint="eastAsia" w:ascii="仿宋" w:eastAsia="仿宋"/>
          <w:bCs/>
          <w:color w:val="auto"/>
          <w:sz w:val="32"/>
          <w:szCs w:val="32"/>
        </w:rPr>
        <w:t>一般公共服务（类）人大事务（款）代表工作（项）</w:t>
      </w:r>
      <w:r>
        <w:rPr>
          <w:rStyle w:val="16"/>
          <w:rFonts w:ascii="仿宋" w:eastAsia="仿宋"/>
          <w:bCs/>
          <w:color w:val="auto"/>
          <w:sz w:val="32"/>
          <w:szCs w:val="32"/>
        </w:rPr>
        <w:t>:</w:t>
      </w:r>
      <w:r>
        <w:rPr>
          <w:rStyle w:val="16"/>
          <w:rFonts w:ascii="仿宋" w:eastAsia="仿宋"/>
          <w:b w:val="0"/>
          <w:bCs/>
          <w:color w:val="auto"/>
          <w:sz w:val="32"/>
          <w:szCs w:val="32"/>
        </w:rPr>
        <w:t xml:space="preserve"> </w:t>
      </w:r>
      <w:r>
        <w:rPr>
          <w:rStyle w:val="16"/>
          <w:rFonts w:hint="eastAsia" w:ascii="仿宋" w:eastAsia="仿宋"/>
          <w:b w:val="0"/>
          <w:bCs/>
          <w:color w:val="auto"/>
          <w:sz w:val="32"/>
          <w:szCs w:val="32"/>
        </w:rPr>
        <w:t>支出决算为</w:t>
      </w:r>
      <w:r>
        <w:rPr>
          <w:rStyle w:val="16"/>
          <w:rFonts w:hint="eastAsia" w:ascii="仿宋" w:eastAsia="仿宋"/>
          <w:b w:val="0"/>
          <w:bCs/>
          <w:color w:val="auto"/>
          <w:sz w:val="32"/>
          <w:szCs w:val="32"/>
          <w:lang w:val="en-US" w:eastAsia="zh-CN"/>
        </w:rPr>
        <w:t>196.16</w:t>
      </w:r>
      <w:r>
        <w:rPr>
          <w:rStyle w:val="16"/>
          <w:rFonts w:hint="eastAsia" w:ascii="仿宋" w:eastAsia="仿宋"/>
          <w:b w:val="0"/>
          <w:bCs/>
          <w:color w:val="auto"/>
          <w:sz w:val="32"/>
          <w:szCs w:val="32"/>
        </w:rPr>
        <w:t>万元，完成预算100%。</w:t>
      </w:r>
    </w:p>
    <w:p w14:paraId="44ECD7C6">
      <w:pPr>
        <w:spacing w:line="600" w:lineRule="exact"/>
        <w:ind w:left="0" w:firstLine="643" w:firstLineChars="200"/>
        <w:rPr>
          <w:rStyle w:val="16"/>
          <w:rFonts w:hint="eastAsia" w:ascii="仿宋_GB2312" w:eastAsia="仿宋_GB2312" w:cs="仿宋_GB2312"/>
          <w:b w:val="0"/>
          <w:bCs/>
          <w:color w:val="000000"/>
          <w:sz w:val="32"/>
          <w:szCs w:val="32"/>
          <w:lang w:val="en-US" w:eastAsia="zh-CN"/>
        </w:rPr>
      </w:pPr>
      <w:r>
        <w:rPr>
          <w:rStyle w:val="16"/>
          <w:rFonts w:hint="eastAsia" w:ascii="仿宋_GB2312" w:eastAsia="仿宋_GB2312" w:cs="仿宋_GB2312"/>
          <w:b/>
          <w:bCs w:val="0"/>
          <w:color w:val="000000"/>
          <w:sz w:val="32"/>
          <w:szCs w:val="32"/>
          <w:lang w:val="en-US" w:eastAsia="zh-CN"/>
        </w:rPr>
        <w:t>6. 社会保障和就业（类）行政事业单位离退休（款）机关事业单位基本养老保险缴费支出（项）:</w:t>
      </w:r>
      <w:r>
        <w:rPr>
          <w:rStyle w:val="16"/>
          <w:rFonts w:hint="eastAsia" w:ascii="仿宋_GB2312" w:eastAsia="仿宋_GB2312" w:cs="仿宋_GB2312"/>
          <w:b w:val="0"/>
          <w:bCs/>
          <w:color w:val="000000"/>
          <w:sz w:val="32"/>
          <w:szCs w:val="32"/>
          <w:lang w:val="en-US" w:eastAsia="zh-CN"/>
        </w:rPr>
        <w:t xml:space="preserve"> 支出决算为69.74万元，完成预算100%。</w:t>
      </w:r>
    </w:p>
    <w:p w14:paraId="010F3033">
      <w:pPr>
        <w:spacing w:line="600" w:lineRule="exact"/>
        <w:ind w:left="0" w:firstLine="643" w:firstLineChars="200"/>
        <w:rPr>
          <w:rStyle w:val="16"/>
          <w:rFonts w:hint="eastAsia" w:ascii="仿宋_GB2312" w:eastAsia="仿宋_GB2312" w:cs="仿宋_GB2312"/>
          <w:b w:val="0"/>
          <w:bCs/>
          <w:color w:val="000000"/>
          <w:sz w:val="32"/>
          <w:szCs w:val="32"/>
          <w:lang w:val="en-US" w:eastAsia="zh-CN"/>
        </w:rPr>
      </w:pPr>
      <w:r>
        <w:rPr>
          <w:rStyle w:val="16"/>
          <w:rFonts w:hint="eastAsia" w:ascii="仿宋_GB2312" w:eastAsia="仿宋_GB2312" w:cs="仿宋_GB2312"/>
          <w:b/>
          <w:bCs w:val="0"/>
          <w:color w:val="000000"/>
          <w:sz w:val="32"/>
          <w:szCs w:val="32"/>
          <w:lang w:val="en-US" w:eastAsia="zh-CN"/>
        </w:rPr>
        <w:t>7.社会保障和就业（类）行政事业单位离退休（款）机关事业单位基本职业年金缴费支出（项）:</w:t>
      </w:r>
      <w:r>
        <w:rPr>
          <w:rStyle w:val="16"/>
          <w:rFonts w:hint="eastAsia" w:ascii="仿宋_GB2312" w:eastAsia="仿宋_GB2312" w:cs="仿宋_GB2312"/>
          <w:b w:val="0"/>
          <w:bCs/>
          <w:color w:val="000000"/>
          <w:sz w:val="32"/>
          <w:szCs w:val="32"/>
          <w:lang w:val="en-US" w:eastAsia="zh-CN"/>
        </w:rPr>
        <w:t>支出决算为34.87万元，完成预算100%。</w:t>
      </w:r>
    </w:p>
    <w:p w14:paraId="4FFC774D">
      <w:pPr>
        <w:spacing w:line="600" w:lineRule="exact"/>
        <w:ind w:left="0" w:firstLine="643" w:firstLineChars="200"/>
        <w:rPr>
          <w:rStyle w:val="16"/>
          <w:rFonts w:hint="eastAsia" w:ascii="仿宋_GB2312" w:eastAsia="仿宋_GB2312" w:cs="仿宋_GB2312"/>
          <w:b w:val="0"/>
          <w:bCs/>
          <w:color w:val="000000"/>
          <w:sz w:val="32"/>
          <w:szCs w:val="32"/>
          <w:lang w:val="en-US" w:eastAsia="zh-CN"/>
        </w:rPr>
      </w:pPr>
      <w:r>
        <w:rPr>
          <w:rStyle w:val="16"/>
          <w:rFonts w:hint="eastAsia" w:ascii="仿宋_GB2312" w:eastAsia="仿宋_GB2312" w:cs="仿宋_GB2312"/>
          <w:b/>
          <w:bCs w:val="0"/>
          <w:color w:val="000000"/>
          <w:sz w:val="32"/>
          <w:szCs w:val="32"/>
          <w:lang w:val="en-US" w:eastAsia="zh-CN"/>
        </w:rPr>
        <w:t>8.卫生健康支出（类）行政事业单位医疗（款）行政单位医疗（项）:</w:t>
      </w:r>
      <w:r>
        <w:rPr>
          <w:rStyle w:val="16"/>
          <w:rFonts w:hint="eastAsia" w:ascii="仿宋_GB2312" w:eastAsia="仿宋_GB2312" w:cs="仿宋_GB2312"/>
          <w:b w:val="0"/>
          <w:bCs/>
          <w:color w:val="000000"/>
          <w:sz w:val="32"/>
          <w:szCs w:val="32"/>
          <w:lang w:val="en-US" w:eastAsia="zh-CN"/>
        </w:rPr>
        <w:t>支出决算为32.43万元，完成预算100%。</w:t>
      </w:r>
    </w:p>
    <w:p w14:paraId="6076DDDC">
      <w:pPr>
        <w:spacing w:line="600" w:lineRule="exact"/>
        <w:ind w:firstLine="643" w:firstLineChars="200"/>
        <w:rPr>
          <w:rFonts w:hint="eastAsia"/>
          <w:color w:val="000000"/>
          <w:lang w:val="en-US" w:eastAsia="zh-CN"/>
        </w:rPr>
      </w:pPr>
      <w:r>
        <w:rPr>
          <w:rStyle w:val="16"/>
          <w:rFonts w:hint="eastAsia" w:ascii="仿宋_GB2312" w:eastAsia="仿宋_GB2312" w:cs="仿宋_GB2312"/>
          <w:b/>
          <w:bCs w:val="0"/>
          <w:color w:val="000000"/>
          <w:sz w:val="32"/>
          <w:szCs w:val="32"/>
          <w:lang w:val="en-US" w:eastAsia="zh-CN"/>
        </w:rPr>
        <w:t>9.</w:t>
      </w:r>
      <w:r>
        <w:rPr>
          <w:rStyle w:val="16"/>
          <w:rFonts w:hint="eastAsia" w:ascii="仿宋_GB2312" w:eastAsia="仿宋_GB2312" w:cs="仿宋_GB2312"/>
          <w:bCs/>
          <w:color w:val="000000"/>
          <w:sz w:val="32"/>
          <w:szCs w:val="32"/>
          <w:lang w:eastAsia="zh-CN"/>
        </w:rPr>
        <w:t>卫生健康支出</w:t>
      </w:r>
      <w:r>
        <w:rPr>
          <w:rStyle w:val="16"/>
          <w:rFonts w:hint="eastAsia" w:ascii="仿宋_GB2312" w:eastAsia="仿宋_GB2312" w:cs="仿宋_GB2312"/>
          <w:bCs/>
          <w:color w:val="000000"/>
          <w:sz w:val="32"/>
          <w:szCs w:val="32"/>
        </w:rPr>
        <w:t>（类）</w:t>
      </w:r>
      <w:r>
        <w:rPr>
          <w:rStyle w:val="16"/>
          <w:rFonts w:hint="eastAsia" w:ascii="仿宋_GB2312" w:eastAsia="仿宋_GB2312" w:cs="仿宋_GB2312"/>
          <w:bCs/>
          <w:color w:val="000000"/>
          <w:sz w:val="32"/>
          <w:szCs w:val="32"/>
          <w:lang w:val="en-US" w:eastAsia="zh-CN"/>
        </w:rPr>
        <w:t>行政事业单位医疗</w:t>
      </w:r>
      <w:r>
        <w:rPr>
          <w:rStyle w:val="16"/>
          <w:rFonts w:hint="eastAsia" w:ascii="仿宋_GB2312" w:eastAsia="仿宋_GB2312" w:cs="仿宋_GB2312"/>
          <w:bCs/>
          <w:color w:val="000000"/>
          <w:sz w:val="32"/>
          <w:szCs w:val="32"/>
        </w:rPr>
        <w:t>（款）</w:t>
      </w:r>
      <w:r>
        <w:rPr>
          <w:rStyle w:val="16"/>
          <w:rFonts w:hint="eastAsia" w:ascii="仿宋_GB2312" w:eastAsia="仿宋_GB2312" w:cs="仿宋_GB2312"/>
          <w:bCs/>
          <w:color w:val="000000"/>
          <w:sz w:val="32"/>
          <w:szCs w:val="32"/>
          <w:lang w:val="en-US" w:eastAsia="zh-CN"/>
        </w:rPr>
        <w:t>事业单位医疗</w:t>
      </w:r>
      <w:r>
        <w:rPr>
          <w:rStyle w:val="16"/>
          <w:rFonts w:hint="eastAsia" w:ascii="仿宋_GB2312" w:eastAsia="仿宋_GB2312" w:cs="仿宋_GB2312"/>
          <w:bCs/>
          <w:color w:val="000000"/>
          <w:sz w:val="32"/>
          <w:szCs w:val="32"/>
        </w:rPr>
        <w:t>（项）:</w:t>
      </w:r>
      <w:r>
        <w:rPr>
          <w:rStyle w:val="16"/>
          <w:rFonts w:hint="eastAsia" w:ascii="仿宋_GB2312" w:eastAsia="仿宋_GB2312" w:cs="仿宋_GB2312"/>
          <w:b w:val="0"/>
          <w:bCs/>
          <w:color w:val="000000"/>
          <w:sz w:val="32"/>
          <w:szCs w:val="32"/>
        </w:rPr>
        <w:t>支出决算为</w:t>
      </w:r>
      <w:r>
        <w:rPr>
          <w:rStyle w:val="16"/>
          <w:rFonts w:hint="eastAsia" w:ascii="仿宋_GB2312" w:eastAsia="仿宋_GB2312" w:cs="仿宋_GB2312"/>
          <w:b w:val="0"/>
          <w:bCs/>
          <w:color w:val="000000"/>
          <w:sz w:val="32"/>
          <w:szCs w:val="32"/>
          <w:lang w:val="en-US" w:eastAsia="zh-CN"/>
        </w:rPr>
        <w:t>0.88</w:t>
      </w:r>
      <w:r>
        <w:rPr>
          <w:rStyle w:val="16"/>
          <w:rFonts w:hint="eastAsia" w:ascii="仿宋_GB2312" w:eastAsia="仿宋_GB2312" w:cs="仿宋_GB2312"/>
          <w:b w:val="0"/>
          <w:bCs/>
          <w:color w:val="000000"/>
          <w:sz w:val="32"/>
          <w:szCs w:val="32"/>
        </w:rPr>
        <w:t>万元，完成预算</w:t>
      </w:r>
      <w:r>
        <w:rPr>
          <w:rStyle w:val="16"/>
          <w:rFonts w:hint="eastAsia" w:ascii="仿宋_GB2312" w:eastAsia="仿宋_GB2312" w:cs="仿宋_GB2312"/>
          <w:b w:val="0"/>
          <w:bCs/>
          <w:color w:val="000000"/>
          <w:sz w:val="32"/>
          <w:szCs w:val="32"/>
          <w:lang w:val="en-US" w:eastAsia="zh-CN"/>
        </w:rPr>
        <w:t>100</w:t>
      </w:r>
      <w:r>
        <w:rPr>
          <w:rStyle w:val="16"/>
          <w:rFonts w:hint="eastAsia" w:ascii="仿宋_GB2312" w:eastAsia="仿宋_GB2312" w:cs="仿宋_GB2312"/>
          <w:b w:val="0"/>
          <w:bCs/>
          <w:color w:val="000000"/>
          <w:sz w:val="32"/>
          <w:szCs w:val="32"/>
        </w:rPr>
        <w:t>%。</w:t>
      </w:r>
    </w:p>
    <w:p w14:paraId="18B33583">
      <w:pPr>
        <w:spacing w:line="600" w:lineRule="exact"/>
        <w:ind w:left="0" w:firstLine="643" w:firstLineChars="200"/>
        <w:rPr>
          <w:rStyle w:val="16"/>
          <w:rFonts w:hint="eastAsia" w:ascii="仿宋_GB2312" w:eastAsia="仿宋_GB2312" w:cs="仿宋_GB2312"/>
          <w:b w:val="0"/>
          <w:bCs/>
          <w:color w:val="000000"/>
          <w:sz w:val="32"/>
          <w:szCs w:val="32"/>
          <w:lang w:val="en-US" w:eastAsia="zh-CN"/>
        </w:rPr>
      </w:pPr>
      <w:r>
        <w:rPr>
          <w:rStyle w:val="16"/>
          <w:rFonts w:hint="eastAsia" w:ascii="仿宋_GB2312" w:eastAsia="仿宋_GB2312" w:cs="仿宋_GB2312"/>
          <w:b/>
          <w:bCs w:val="0"/>
          <w:color w:val="000000"/>
          <w:sz w:val="32"/>
          <w:szCs w:val="32"/>
          <w:lang w:val="en-US" w:eastAsia="zh-CN"/>
        </w:rPr>
        <w:t>10.卫生健康支出（类）行政事业单位医疗（款）公务员医疗补助（项）:</w:t>
      </w:r>
      <w:r>
        <w:rPr>
          <w:rStyle w:val="16"/>
          <w:rFonts w:hint="eastAsia" w:ascii="仿宋_GB2312" w:eastAsia="仿宋_GB2312" w:cs="仿宋_GB2312"/>
          <w:b w:val="0"/>
          <w:bCs/>
          <w:color w:val="000000"/>
          <w:sz w:val="32"/>
          <w:szCs w:val="32"/>
          <w:lang w:val="en-US" w:eastAsia="zh-CN"/>
        </w:rPr>
        <w:t>支出决算为11.57万元，完成预算100%。</w:t>
      </w:r>
    </w:p>
    <w:p w14:paraId="18A01B3E">
      <w:pPr>
        <w:spacing w:line="600" w:lineRule="exact"/>
        <w:ind w:firstLine="643" w:firstLineChars="200"/>
        <w:rPr>
          <w:rFonts w:hint="eastAsia"/>
          <w:color w:val="000000"/>
          <w:lang w:val="en-US" w:eastAsia="zh-CN"/>
        </w:rPr>
      </w:pPr>
      <w:r>
        <w:rPr>
          <w:rStyle w:val="16"/>
          <w:rFonts w:hint="eastAsia" w:ascii="仿宋_GB2312" w:eastAsia="仿宋_GB2312" w:cs="仿宋_GB2312"/>
          <w:b/>
          <w:bCs w:val="0"/>
          <w:color w:val="000000"/>
          <w:sz w:val="32"/>
          <w:szCs w:val="32"/>
          <w:lang w:val="en-US" w:eastAsia="zh-CN"/>
        </w:rPr>
        <w:t>11.</w:t>
      </w:r>
      <w:r>
        <w:rPr>
          <w:rStyle w:val="16"/>
          <w:rFonts w:hint="eastAsia" w:ascii="仿宋_GB2312" w:eastAsia="仿宋_GB2312" w:cs="仿宋_GB2312"/>
          <w:bCs/>
          <w:color w:val="000000"/>
          <w:sz w:val="32"/>
          <w:szCs w:val="32"/>
          <w:lang w:eastAsia="zh-CN"/>
        </w:rPr>
        <w:t>卫生健康支出</w:t>
      </w:r>
      <w:r>
        <w:rPr>
          <w:rStyle w:val="16"/>
          <w:rFonts w:hint="eastAsia" w:ascii="仿宋_GB2312" w:eastAsia="仿宋_GB2312" w:cs="仿宋_GB2312"/>
          <w:bCs/>
          <w:color w:val="000000"/>
          <w:sz w:val="32"/>
          <w:szCs w:val="32"/>
        </w:rPr>
        <w:t>（类）</w:t>
      </w:r>
      <w:r>
        <w:rPr>
          <w:rStyle w:val="16"/>
          <w:rFonts w:hint="eastAsia" w:ascii="仿宋_GB2312" w:eastAsia="仿宋_GB2312" w:cs="仿宋_GB2312"/>
          <w:bCs/>
          <w:color w:val="000000"/>
          <w:sz w:val="32"/>
          <w:szCs w:val="32"/>
          <w:lang w:val="en-US" w:eastAsia="zh-CN"/>
        </w:rPr>
        <w:t>行政事业单位医疗</w:t>
      </w:r>
      <w:r>
        <w:rPr>
          <w:rStyle w:val="16"/>
          <w:rFonts w:hint="eastAsia" w:ascii="仿宋_GB2312" w:eastAsia="仿宋_GB2312" w:cs="仿宋_GB2312"/>
          <w:bCs/>
          <w:color w:val="000000"/>
          <w:sz w:val="32"/>
          <w:szCs w:val="32"/>
        </w:rPr>
        <w:t>（款）</w:t>
      </w:r>
      <w:r>
        <w:rPr>
          <w:rStyle w:val="16"/>
          <w:rFonts w:hint="eastAsia" w:ascii="仿宋_GB2312" w:eastAsia="仿宋_GB2312" w:cs="仿宋_GB2312"/>
          <w:bCs/>
          <w:color w:val="000000"/>
          <w:sz w:val="32"/>
          <w:szCs w:val="32"/>
          <w:lang w:val="en-US" w:eastAsia="zh-CN"/>
        </w:rPr>
        <w:t>其他行政事业单位医疗支出</w:t>
      </w:r>
      <w:r>
        <w:rPr>
          <w:rStyle w:val="16"/>
          <w:rFonts w:hint="eastAsia" w:ascii="仿宋_GB2312" w:eastAsia="仿宋_GB2312" w:cs="仿宋_GB2312"/>
          <w:bCs/>
          <w:color w:val="000000"/>
          <w:sz w:val="32"/>
          <w:szCs w:val="32"/>
        </w:rPr>
        <w:t>（项）:</w:t>
      </w:r>
      <w:r>
        <w:rPr>
          <w:rStyle w:val="16"/>
          <w:rFonts w:hint="eastAsia" w:ascii="仿宋_GB2312" w:eastAsia="仿宋_GB2312" w:cs="仿宋_GB2312"/>
          <w:b w:val="0"/>
          <w:bCs/>
          <w:color w:val="000000"/>
          <w:sz w:val="32"/>
          <w:szCs w:val="32"/>
        </w:rPr>
        <w:t>支出决算为</w:t>
      </w:r>
      <w:r>
        <w:rPr>
          <w:rStyle w:val="16"/>
          <w:rFonts w:hint="eastAsia" w:ascii="仿宋_GB2312" w:eastAsia="仿宋_GB2312" w:cs="仿宋_GB2312"/>
          <w:b w:val="0"/>
          <w:bCs/>
          <w:color w:val="000000"/>
          <w:sz w:val="32"/>
          <w:szCs w:val="32"/>
          <w:lang w:val="en-US" w:eastAsia="zh-CN"/>
        </w:rPr>
        <w:t>0.24</w:t>
      </w:r>
      <w:r>
        <w:rPr>
          <w:rStyle w:val="16"/>
          <w:rFonts w:hint="eastAsia" w:ascii="仿宋_GB2312" w:eastAsia="仿宋_GB2312" w:cs="仿宋_GB2312"/>
          <w:b w:val="0"/>
          <w:bCs/>
          <w:color w:val="000000"/>
          <w:sz w:val="32"/>
          <w:szCs w:val="32"/>
        </w:rPr>
        <w:t>万元，完成预算</w:t>
      </w:r>
      <w:r>
        <w:rPr>
          <w:rStyle w:val="16"/>
          <w:rFonts w:hint="eastAsia" w:ascii="仿宋_GB2312" w:eastAsia="仿宋_GB2312" w:cs="仿宋_GB2312"/>
          <w:b w:val="0"/>
          <w:bCs/>
          <w:color w:val="000000"/>
          <w:sz w:val="32"/>
          <w:szCs w:val="32"/>
          <w:lang w:val="en-US" w:eastAsia="zh-CN"/>
        </w:rPr>
        <w:t>100</w:t>
      </w:r>
      <w:r>
        <w:rPr>
          <w:rStyle w:val="16"/>
          <w:rFonts w:hint="eastAsia" w:ascii="仿宋_GB2312" w:eastAsia="仿宋_GB2312" w:cs="仿宋_GB2312"/>
          <w:b w:val="0"/>
          <w:bCs/>
          <w:color w:val="000000"/>
          <w:sz w:val="32"/>
          <w:szCs w:val="32"/>
        </w:rPr>
        <w:t>%。</w:t>
      </w:r>
    </w:p>
    <w:p w14:paraId="095253AB">
      <w:pPr>
        <w:spacing w:line="600" w:lineRule="exact"/>
        <w:ind w:left="0" w:firstLine="643" w:firstLineChars="200"/>
        <w:rPr>
          <w:rStyle w:val="16"/>
          <w:rFonts w:hint="eastAsia" w:ascii="仿宋_GB2312" w:eastAsia="仿宋_GB2312" w:cs="仿宋_GB2312"/>
          <w:b w:val="0"/>
          <w:bCs/>
          <w:color w:val="000000"/>
          <w:sz w:val="32"/>
          <w:szCs w:val="32"/>
          <w:lang w:val="en-US" w:eastAsia="zh-CN"/>
        </w:rPr>
      </w:pPr>
      <w:r>
        <w:rPr>
          <w:rStyle w:val="16"/>
          <w:rFonts w:hint="eastAsia" w:ascii="仿宋_GB2312" w:eastAsia="仿宋_GB2312" w:cs="仿宋_GB2312"/>
          <w:b/>
          <w:bCs w:val="0"/>
          <w:color w:val="000000"/>
          <w:sz w:val="32"/>
          <w:szCs w:val="32"/>
          <w:lang w:val="en-US" w:eastAsia="zh-CN"/>
        </w:rPr>
        <w:t>12.住房保障（类）住房改革支出（款）住房公积金（项）：</w:t>
      </w:r>
      <w:r>
        <w:rPr>
          <w:rStyle w:val="16"/>
          <w:rFonts w:hint="eastAsia" w:ascii="仿宋_GB2312" w:eastAsia="仿宋_GB2312" w:cs="仿宋_GB2312"/>
          <w:b w:val="0"/>
          <w:bCs/>
          <w:color w:val="000000"/>
          <w:sz w:val="32"/>
          <w:szCs w:val="32"/>
          <w:lang w:val="en-US" w:eastAsia="zh-CN"/>
        </w:rPr>
        <w:t>支出决算为60.52万元，完成预算100%。</w:t>
      </w:r>
    </w:p>
    <w:p w14:paraId="118B47CD">
      <w:pPr>
        <w:spacing w:line="600" w:lineRule="exact"/>
        <w:rPr>
          <w:rStyle w:val="19"/>
          <w:rFonts w:hint="eastAsia" w:ascii="仿宋_GB2312" w:eastAsia="仿宋_GB2312" w:cs="仿宋_GB2312"/>
          <w:b w:val="0"/>
          <w:lang w:val="en-US" w:eastAsia="zh-CN"/>
        </w:rPr>
      </w:pPr>
      <w:r>
        <w:rPr>
          <w:rFonts w:hint="eastAsia" w:ascii="黑体" w:eastAsia="黑体" w:cs="Times New Roman"/>
          <w:b w:val="0"/>
          <w:bCs/>
          <w:color w:val="000000"/>
          <w:kern w:val="2"/>
          <w:sz w:val="32"/>
          <w:szCs w:val="32"/>
          <w:lang w:val="en-US" w:eastAsia="zh-CN" w:bidi="ar-SA"/>
        </w:rPr>
        <w:t xml:space="preserve">   </w:t>
      </w:r>
      <w:bookmarkStart w:id="135" w:name="_Toc13620"/>
      <w:r>
        <w:rPr>
          <w:rStyle w:val="19"/>
          <w:rFonts w:hint="eastAsia" w:ascii="仿宋_GB2312" w:eastAsia="仿宋_GB2312" w:cs="仿宋_GB2312"/>
          <w:b w:val="0"/>
          <w:lang w:val="en-US" w:eastAsia="zh-CN"/>
        </w:rPr>
        <w:t>六、一般公共预算财政拨款基本支出决算情况说明</w:t>
      </w:r>
      <w:bookmarkEnd w:id="126"/>
      <w:bookmarkEnd w:id="127"/>
      <w:r>
        <w:rPr>
          <w:rStyle w:val="19"/>
          <w:rFonts w:hint="eastAsia" w:ascii="仿宋_GB2312" w:eastAsia="仿宋_GB2312" w:cs="仿宋_GB2312"/>
          <w:b w:val="0"/>
          <w:lang w:val="en-US" w:eastAsia="zh-CN"/>
        </w:rPr>
        <w:tab/>
      </w:r>
    </w:p>
    <w:bookmarkEnd w:id="131"/>
    <w:bookmarkEnd w:id="132"/>
    <w:bookmarkEnd w:id="133"/>
    <w:bookmarkEnd w:id="134"/>
    <w:bookmarkEnd w:id="135"/>
    <w:p w14:paraId="43DE148C">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hint="eastAsia" w:ascii="仿宋_GB2312" w:eastAsia="仿宋_GB2312" w:cs="仿宋"/>
          <w:color w:val="000000"/>
          <w:sz w:val="32"/>
          <w:szCs w:val="32"/>
        </w:rPr>
      </w:pPr>
      <w:r>
        <w:rPr>
          <w:rFonts w:hint="eastAsia" w:ascii="仿宋_GB2312" w:eastAsia="仿宋_GB2312" w:cs="仿宋"/>
          <w:color w:val="000000"/>
          <w:sz w:val="32"/>
          <w:szCs w:val="32"/>
          <w:lang w:eastAsia="zh-CN"/>
        </w:rPr>
        <w:t>2022年</w:t>
      </w:r>
      <w:r>
        <w:rPr>
          <w:rFonts w:hint="eastAsia" w:ascii="仿宋_GB2312" w:eastAsia="仿宋_GB2312" w:cs="仿宋"/>
          <w:color w:val="000000"/>
          <w:sz w:val="32"/>
          <w:szCs w:val="32"/>
        </w:rPr>
        <w:t>一般公共预算财政拨款基本支出</w:t>
      </w:r>
      <w:r>
        <w:rPr>
          <w:rFonts w:hint="eastAsia" w:ascii="仿宋_GB2312" w:eastAsia="仿宋_GB2312" w:cs="仿宋"/>
          <w:color w:val="000000"/>
          <w:sz w:val="32"/>
          <w:szCs w:val="32"/>
          <w:lang w:val="en-US" w:eastAsia="zh-CN"/>
        </w:rPr>
        <w:t>948.31</w:t>
      </w:r>
      <w:r>
        <w:rPr>
          <w:rFonts w:hint="eastAsia" w:ascii="仿宋_GB2312" w:eastAsia="仿宋_GB2312" w:cs="仿宋"/>
          <w:color w:val="000000"/>
          <w:sz w:val="32"/>
          <w:szCs w:val="32"/>
        </w:rPr>
        <w:t>万元，其中：</w:t>
      </w:r>
    </w:p>
    <w:p w14:paraId="683D5C09">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hint="eastAsia" w:ascii="仿宋_GB2312" w:eastAsia="仿宋_GB2312" w:cs="仿宋"/>
          <w:color w:val="000000"/>
          <w:sz w:val="32"/>
          <w:szCs w:val="32"/>
        </w:rPr>
      </w:pPr>
      <w:r>
        <w:rPr>
          <w:rFonts w:hint="eastAsia" w:ascii="仿宋_GB2312" w:eastAsia="仿宋_GB2312" w:cs="仿宋"/>
          <w:color w:val="000000"/>
          <w:sz w:val="32"/>
          <w:szCs w:val="32"/>
        </w:rPr>
        <w:t>人员经费</w:t>
      </w:r>
      <w:r>
        <w:rPr>
          <w:rFonts w:hint="eastAsia" w:ascii="仿宋_GB2312" w:eastAsia="仿宋_GB2312" w:cs="仿宋"/>
          <w:color w:val="000000"/>
          <w:sz w:val="32"/>
          <w:szCs w:val="32"/>
          <w:lang w:val="en-US" w:eastAsia="zh-CN"/>
        </w:rPr>
        <w:t>911.10</w:t>
      </w:r>
      <w:r>
        <w:rPr>
          <w:rFonts w:hint="eastAsia" w:ascii="仿宋_GB2312" w:eastAsia="仿宋_GB2312" w:cs="仿宋"/>
          <w:color w:val="000000"/>
          <w:sz w:val="32"/>
          <w:szCs w:val="32"/>
        </w:rPr>
        <w:t>万元，主要包括：基本工资</w:t>
      </w:r>
      <w:r>
        <w:rPr>
          <w:rFonts w:hint="eastAsia" w:ascii="仿宋_GB2312" w:eastAsia="仿宋_GB2312" w:cs="仿宋"/>
          <w:color w:val="000000"/>
          <w:sz w:val="32"/>
          <w:szCs w:val="32"/>
          <w:lang w:val="en-US" w:eastAsia="zh-CN"/>
        </w:rPr>
        <w:t>195.94</w:t>
      </w:r>
      <w:r>
        <w:rPr>
          <w:rFonts w:hint="eastAsia" w:ascii="仿宋_GB2312" w:eastAsia="仿宋_GB2312" w:cs="仿宋"/>
          <w:color w:val="000000"/>
          <w:sz w:val="32"/>
          <w:szCs w:val="32"/>
        </w:rPr>
        <w:t>万元、津贴补贴</w:t>
      </w:r>
      <w:r>
        <w:rPr>
          <w:rFonts w:hint="eastAsia" w:ascii="仿宋_GB2312" w:eastAsia="仿宋_GB2312" w:cs="仿宋"/>
          <w:color w:val="000000"/>
          <w:sz w:val="32"/>
          <w:szCs w:val="32"/>
          <w:lang w:val="en-US" w:eastAsia="zh-CN"/>
        </w:rPr>
        <w:t>196.10</w:t>
      </w:r>
      <w:r>
        <w:rPr>
          <w:rFonts w:hint="eastAsia" w:ascii="仿宋_GB2312" w:eastAsia="仿宋_GB2312" w:cs="仿宋"/>
          <w:color w:val="000000"/>
          <w:sz w:val="32"/>
          <w:szCs w:val="32"/>
        </w:rPr>
        <w:t>万元、奖金</w:t>
      </w:r>
      <w:r>
        <w:rPr>
          <w:rFonts w:hint="eastAsia" w:ascii="仿宋_GB2312" w:eastAsia="仿宋_GB2312" w:cs="仿宋"/>
          <w:color w:val="000000"/>
          <w:sz w:val="32"/>
          <w:szCs w:val="32"/>
          <w:lang w:val="en-US" w:eastAsia="zh-CN"/>
        </w:rPr>
        <w:t>138.94</w:t>
      </w:r>
      <w:r>
        <w:rPr>
          <w:rFonts w:hint="eastAsia" w:ascii="仿宋_GB2312" w:eastAsia="仿宋_GB2312" w:cs="仿宋"/>
          <w:color w:val="000000"/>
          <w:sz w:val="32"/>
          <w:szCs w:val="32"/>
        </w:rPr>
        <w:t>万元、</w:t>
      </w:r>
      <w:r>
        <w:rPr>
          <w:rFonts w:hint="eastAsia" w:ascii="仿宋_GB2312" w:eastAsia="仿宋_GB2312" w:cs="仿宋"/>
          <w:color w:val="000000"/>
          <w:sz w:val="32"/>
          <w:szCs w:val="32"/>
          <w:lang w:eastAsia="zh-CN"/>
        </w:rPr>
        <w:t>绩效工资</w:t>
      </w:r>
      <w:r>
        <w:rPr>
          <w:rFonts w:hint="eastAsia" w:ascii="仿宋_GB2312" w:eastAsia="仿宋_GB2312" w:cs="仿宋"/>
          <w:color w:val="000000"/>
          <w:sz w:val="32"/>
          <w:szCs w:val="32"/>
          <w:lang w:val="en-US" w:eastAsia="zh-CN"/>
        </w:rPr>
        <w:t>4.12万元、</w:t>
      </w:r>
      <w:r>
        <w:rPr>
          <w:rFonts w:hint="eastAsia" w:ascii="仿宋_GB2312" w:eastAsia="仿宋_GB2312" w:cs="仿宋"/>
          <w:color w:val="000000"/>
          <w:sz w:val="32"/>
          <w:szCs w:val="32"/>
        </w:rPr>
        <w:t>机关事业单位基本养老保险缴费</w:t>
      </w:r>
      <w:r>
        <w:rPr>
          <w:rFonts w:hint="eastAsia" w:ascii="仿宋_GB2312" w:eastAsia="仿宋_GB2312" w:cs="仿宋"/>
          <w:color w:val="000000"/>
          <w:sz w:val="32"/>
          <w:szCs w:val="32"/>
          <w:lang w:val="en-US" w:eastAsia="zh-CN"/>
        </w:rPr>
        <w:t>69.74</w:t>
      </w:r>
      <w:r>
        <w:rPr>
          <w:rFonts w:hint="eastAsia" w:ascii="仿宋_GB2312" w:eastAsia="仿宋_GB2312" w:cs="仿宋"/>
          <w:color w:val="000000"/>
          <w:sz w:val="32"/>
          <w:szCs w:val="32"/>
        </w:rPr>
        <w:t>万元、职业年金缴费</w:t>
      </w:r>
      <w:r>
        <w:rPr>
          <w:rFonts w:hint="eastAsia" w:ascii="仿宋_GB2312" w:eastAsia="仿宋_GB2312" w:cs="仿宋"/>
          <w:color w:val="000000"/>
          <w:sz w:val="32"/>
          <w:szCs w:val="32"/>
          <w:lang w:val="en-US" w:eastAsia="zh-CN"/>
        </w:rPr>
        <w:t>34.87</w:t>
      </w:r>
      <w:r>
        <w:rPr>
          <w:rFonts w:hint="eastAsia" w:ascii="仿宋_GB2312" w:eastAsia="仿宋_GB2312" w:cs="仿宋"/>
          <w:color w:val="000000"/>
          <w:sz w:val="32"/>
          <w:szCs w:val="32"/>
        </w:rPr>
        <w:t>万元、职工基本医疗保险缴费</w:t>
      </w:r>
      <w:r>
        <w:rPr>
          <w:rFonts w:hint="eastAsia" w:ascii="仿宋_GB2312" w:eastAsia="仿宋_GB2312" w:cs="仿宋"/>
          <w:color w:val="000000"/>
          <w:sz w:val="32"/>
          <w:szCs w:val="32"/>
          <w:lang w:val="en-US" w:eastAsia="zh-CN"/>
        </w:rPr>
        <w:t>33.31</w:t>
      </w:r>
      <w:r>
        <w:rPr>
          <w:rFonts w:hint="eastAsia" w:ascii="仿宋_GB2312" w:eastAsia="仿宋_GB2312" w:cs="仿宋"/>
          <w:color w:val="000000"/>
          <w:sz w:val="32"/>
          <w:szCs w:val="32"/>
        </w:rPr>
        <w:t>万元、公务员医疗补助缴费</w:t>
      </w:r>
      <w:r>
        <w:rPr>
          <w:rFonts w:hint="eastAsia" w:ascii="仿宋_GB2312" w:eastAsia="仿宋_GB2312" w:cs="仿宋"/>
          <w:color w:val="000000"/>
          <w:sz w:val="32"/>
          <w:szCs w:val="32"/>
          <w:lang w:val="en-US" w:eastAsia="zh-CN"/>
        </w:rPr>
        <w:t>11.57</w:t>
      </w:r>
      <w:r>
        <w:rPr>
          <w:rFonts w:hint="eastAsia" w:ascii="仿宋_GB2312" w:eastAsia="仿宋_GB2312" w:cs="仿宋"/>
          <w:color w:val="000000"/>
          <w:sz w:val="32"/>
          <w:szCs w:val="32"/>
        </w:rPr>
        <w:t>万元、其他社会保障缴费</w:t>
      </w:r>
      <w:r>
        <w:rPr>
          <w:rFonts w:hint="eastAsia" w:ascii="仿宋_GB2312" w:eastAsia="仿宋_GB2312" w:cs="仿宋"/>
          <w:color w:val="000000"/>
          <w:sz w:val="32"/>
          <w:szCs w:val="32"/>
          <w:lang w:val="en-US" w:eastAsia="zh-CN"/>
        </w:rPr>
        <w:t>1.34</w:t>
      </w:r>
      <w:r>
        <w:rPr>
          <w:rFonts w:hint="eastAsia" w:ascii="仿宋_GB2312" w:eastAsia="仿宋_GB2312" w:cs="仿宋"/>
          <w:color w:val="000000"/>
          <w:sz w:val="32"/>
          <w:szCs w:val="32"/>
        </w:rPr>
        <w:t>万元、住房公积金</w:t>
      </w:r>
      <w:r>
        <w:rPr>
          <w:rFonts w:hint="eastAsia" w:ascii="仿宋_GB2312" w:eastAsia="仿宋_GB2312" w:cs="仿宋"/>
          <w:color w:val="000000"/>
          <w:sz w:val="32"/>
          <w:szCs w:val="32"/>
          <w:lang w:val="en-US" w:eastAsia="zh-CN"/>
        </w:rPr>
        <w:t>60.52</w:t>
      </w:r>
      <w:r>
        <w:rPr>
          <w:rFonts w:hint="eastAsia" w:ascii="仿宋_GB2312" w:eastAsia="仿宋_GB2312" w:cs="仿宋"/>
          <w:color w:val="000000"/>
          <w:sz w:val="32"/>
          <w:szCs w:val="32"/>
        </w:rPr>
        <w:t>万元、离休费</w:t>
      </w:r>
      <w:r>
        <w:rPr>
          <w:rFonts w:hint="eastAsia" w:ascii="仿宋_GB2312" w:eastAsia="仿宋_GB2312" w:cs="仿宋"/>
          <w:color w:val="000000"/>
          <w:sz w:val="32"/>
          <w:szCs w:val="32"/>
          <w:lang w:val="en-US" w:eastAsia="zh-CN"/>
        </w:rPr>
        <w:t>20.39</w:t>
      </w:r>
      <w:r>
        <w:rPr>
          <w:rFonts w:hint="eastAsia" w:ascii="仿宋_GB2312" w:eastAsia="仿宋_GB2312" w:cs="仿宋"/>
          <w:color w:val="000000"/>
          <w:sz w:val="32"/>
          <w:szCs w:val="32"/>
        </w:rPr>
        <w:t>万元、</w:t>
      </w:r>
      <w:r>
        <w:rPr>
          <w:rFonts w:hint="eastAsia" w:ascii="仿宋_GB2312" w:eastAsia="仿宋_GB2312" w:cs="仿宋"/>
          <w:color w:val="000000"/>
          <w:sz w:val="32"/>
          <w:szCs w:val="32"/>
          <w:lang w:eastAsia="zh-CN"/>
        </w:rPr>
        <w:t>抚恤金</w:t>
      </w:r>
      <w:r>
        <w:rPr>
          <w:rFonts w:hint="eastAsia" w:ascii="仿宋_GB2312" w:eastAsia="仿宋_GB2312" w:cs="仿宋"/>
          <w:color w:val="000000"/>
          <w:sz w:val="32"/>
          <w:szCs w:val="32"/>
          <w:lang w:val="en-US" w:eastAsia="zh-CN"/>
        </w:rPr>
        <w:t>20.89万元、</w:t>
      </w:r>
      <w:r>
        <w:rPr>
          <w:rFonts w:hint="eastAsia" w:ascii="仿宋_GB2312" w:eastAsia="仿宋_GB2312" w:cs="仿宋"/>
          <w:color w:val="000000"/>
          <w:sz w:val="32"/>
          <w:szCs w:val="32"/>
        </w:rPr>
        <w:t>生活补助</w:t>
      </w:r>
      <w:r>
        <w:rPr>
          <w:rFonts w:hint="eastAsia" w:ascii="仿宋_GB2312" w:eastAsia="仿宋_GB2312" w:cs="仿宋"/>
          <w:color w:val="000000"/>
          <w:sz w:val="32"/>
          <w:szCs w:val="32"/>
          <w:lang w:val="en-US" w:eastAsia="zh-CN"/>
        </w:rPr>
        <w:t>34.08</w:t>
      </w:r>
      <w:r>
        <w:rPr>
          <w:rFonts w:hint="eastAsia" w:ascii="仿宋_GB2312" w:eastAsia="仿宋_GB2312" w:cs="仿宋"/>
          <w:color w:val="000000"/>
          <w:sz w:val="32"/>
          <w:szCs w:val="32"/>
        </w:rPr>
        <w:t>万元、奖励金</w:t>
      </w:r>
      <w:r>
        <w:rPr>
          <w:rFonts w:hint="eastAsia" w:ascii="仿宋_GB2312" w:eastAsia="仿宋_GB2312" w:cs="仿宋"/>
          <w:color w:val="000000"/>
          <w:sz w:val="32"/>
          <w:szCs w:val="32"/>
          <w:lang w:val="en-US" w:eastAsia="zh-CN"/>
        </w:rPr>
        <w:t>89.29</w:t>
      </w:r>
      <w:r>
        <w:rPr>
          <w:rFonts w:hint="eastAsia" w:ascii="仿宋_GB2312" w:eastAsia="仿宋_GB2312" w:cs="仿宋"/>
          <w:color w:val="000000"/>
          <w:sz w:val="32"/>
          <w:szCs w:val="32"/>
        </w:rPr>
        <w:t>万元。</w:t>
      </w:r>
    </w:p>
    <w:p w14:paraId="4C50E203">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hint="eastAsia" w:ascii="仿宋_GB2312" w:eastAsia="仿宋_GB2312" w:cs="仿宋"/>
          <w:color w:val="000000"/>
          <w:sz w:val="32"/>
          <w:szCs w:val="32"/>
        </w:rPr>
      </w:pPr>
      <w:r>
        <w:rPr>
          <w:rFonts w:hint="eastAsia" w:ascii="仿宋_GB2312" w:eastAsia="仿宋_GB2312" w:cs="仿宋"/>
          <w:color w:val="000000"/>
          <w:sz w:val="32"/>
          <w:szCs w:val="32"/>
        </w:rPr>
        <w:t>公用经费</w:t>
      </w:r>
      <w:r>
        <w:rPr>
          <w:rFonts w:hint="eastAsia" w:ascii="仿宋_GB2312" w:eastAsia="仿宋_GB2312" w:cs="仿宋"/>
          <w:color w:val="000000"/>
          <w:sz w:val="32"/>
          <w:szCs w:val="32"/>
          <w:lang w:val="en-US" w:eastAsia="zh-CN"/>
        </w:rPr>
        <w:t>37.21</w:t>
      </w:r>
      <w:r>
        <w:rPr>
          <w:rFonts w:hint="eastAsia" w:ascii="仿宋_GB2312" w:eastAsia="仿宋_GB2312" w:cs="仿宋"/>
          <w:color w:val="000000"/>
          <w:sz w:val="32"/>
          <w:szCs w:val="32"/>
        </w:rPr>
        <w:t>万元，主要包括：办公费</w:t>
      </w:r>
      <w:r>
        <w:rPr>
          <w:rFonts w:hint="eastAsia" w:ascii="仿宋_GB2312" w:eastAsia="仿宋_GB2312" w:cs="仿宋"/>
          <w:color w:val="000000"/>
          <w:sz w:val="32"/>
          <w:szCs w:val="32"/>
          <w:lang w:val="en-US" w:eastAsia="zh-CN"/>
        </w:rPr>
        <w:t>3.59</w:t>
      </w:r>
      <w:r>
        <w:rPr>
          <w:rFonts w:hint="eastAsia" w:ascii="仿宋_GB2312" w:eastAsia="仿宋_GB2312" w:cs="仿宋"/>
          <w:color w:val="000000"/>
          <w:sz w:val="32"/>
          <w:szCs w:val="32"/>
        </w:rPr>
        <w:t>万元、差旅费</w:t>
      </w:r>
      <w:r>
        <w:rPr>
          <w:rFonts w:hint="eastAsia" w:ascii="仿宋_GB2312" w:eastAsia="仿宋_GB2312" w:cs="仿宋"/>
          <w:color w:val="000000"/>
          <w:sz w:val="32"/>
          <w:szCs w:val="32"/>
          <w:lang w:val="en-US" w:eastAsia="zh-CN"/>
        </w:rPr>
        <w:t>8.5</w:t>
      </w:r>
      <w:r>
        <w:rPr>
          <w:rFonts w:hint="eastAsia" w:ascii="仿宋_GB2312" w:eastAsia="仿宋_GB2312" w:cs="仿宋"/>
          <w:color w:val="000000"/>
          <w:sz w:val="32"/>
          <w:szCs w:val="32"/>
        </w:rPr>
        <w:t>万元、维修（护）费</w:t>
      </w:r>
      <w:r>
        <w:rPr>
          <w:rFonts w:hint="eastAsia" w:ascii="仿宋_GB2312" w:eastAsia="仿宋_GB2312" w:cs="仿宋"/>
          <w:color w:val="000000"/>
          <w:sz w:val="32"/>
          <w:szCs w:val="32"/>
          <w:lang w:val="en-US" w:eastAsia="zh-CN"/>
        </w:rPr>
        <w:t>0.5</w:t>
      </w:r>
      <w:r>
        <w:rPr>
          <w:rFonts w:hint="eastAsia" w:ascii="仿宋_GB2312" w:eastAsia="仿宋_GB2312" w:cs="仿宋"/>
          <w:color w:val="000000"/>
          <w:sz w:val="32"/>
          <w:szCs w:val="32"/>
        </w:rPr>
        <w:t>万元、劳务费</w:t>
      </w:r>
      <w:r>
        <w:rPr>
          <w:rFonts w:hint="eastAsia" w:ascii="仿宋_GB2312" w:eastAsia="仿宋_GB2312" w:cs="仿宋"/>
          <w:color w:val="000000"/>
          <w:sz w:val="32"/>
          <w:szCs w:val="32"/>
          <w:lang w:val="en-US" w:eastAsia="zh-CN"/>
        </w:rPr>
        <w:t>1.86</w:t>
      </w:r>
      <w:r>
        <w:rPr>
          <w:rFonts w:hint="eastAsia" w:ascii="仿宋_GB2312" w:eastAsia="仿宋_GB2312" w:cs="仿宋"/>
          <w:color w:val="000000"/>
          <w:sz w:val="32"/>
          <w:szCs w:val="32"/>
        </w:rPr>
        <w:t>万元、福利费2.</w:t>
      </w:r>
      <w:r>
        <w:rPr>
          <w:rFonts w:hint="eastAsia" w:ascii="仿宋_GB2312" w:eastAsia="仿宋_GB2312" w:cs="仿宋"/>
          <w:color w:val="000000"/>
          <w:sz w:val="32"/>
          <w:szCs w:val="32"/>
          <w:lang w:val="en-US" w:eastAsia="zh-CN"/>
        </w:rPr>
        <w:t>76</w:t>
      </w:r>
      <w:r>
        <w:rPr>
          <w:rFonts w:hint="eastAsia" w:ascii="仿宋_GB2312" w:eastAsia="仿宋_GB2312" w:cs="仿宋"/>
          <w:color w:val="000000"/>
          <w:sz w:val="32"/>
          <w:szCs w:val="32"/>
        </w:rPr>
        <w:t>万元、公务用车运行维护费20万元。</w:t>
      </w:r>
    </w:p>
    <w:p w14:paraId="629E3B3C">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ascii="仿宋" w:eastAsia="仿宋"/>
          <w:color w:val="000000"/>
          <w:sz w:val="32"/>
          <w:szCs w:val="32"/>
        </w:rPr>
      </w:pPr>
      <w:r>
        <w:rPr>
          <w:rFonts w:hint="eastAsia" w:ascii="仿宋_GB2312" w:eastAsia="仿宋_GB2312" w:cs="仿宋"/>
          <w:color w:val="000000"/>
          <w:sz w:val="32"/>
          <w:szCs w:val="32"/>
          <w:lang w:eastAsia="zh-CN"/>
        </w:rPr>
        <w:t>2022年</w:t>
      </w:r>
      <w:r>
        <w:rPr>
          <w:rFonts w:hint="eastAsia" w:ascii="仿宋_GB2312" w:eastAsia="仿宋_GB2312" w:cs="仿宋"/>
          <w:color w:val="000000"/>
          <w:sz w:val="32"/>
          <w:szCs w:val="32"/>
        </w:rPr>
        <w:t>一般公共预算财政拨款项目支出</w:t>
      </w:r>
      <w:r>
        <w:rPr>
          <w:rFonts w:hint="eastAsia" w:ascii="仿宋_GB2312" w:eastAsia="仿宋_GB2312" w:cs="仿宋"/>
          <w:color w:val="000000"/>
          <w:sz w:val="32"/>
          <w:szCs w:val="32"/>
          <w:lang w:val="en-US" w:eastAsia="zh-CN"/>
        </w:rPr>
        <w:t>283.74</w:t>
      </w:r>
      <w:r>
        <w:rPr>
          <w:rFonts w:hint="eastAsia" w:ascii="仿宋_GB2312" w:eastAsia="仿宋_GB2312" w:cs="仿宋"/>
          <w:color w:val="000000"/>
          <w:sz w:val="32"/>
          <w:szCs w:val="32"/>
        </w:rPr>
        <w:t>万元，其中：一般行政管理事务支出</w:t>
      </w:r>
      <w:r>
        <w:rPr>
          <w:rFonts w:hint="eastAsia" w:ascii="仿宋_GB2312" w:eastAsia="仿宋_GB2312" w:cs="仿宋"/>
          <w:color w:val="000000"/>
          <w:sz w:val="32"/>
          <w:szCs w:val="32"/>
          <w:lang w:val="en-US" w:eastAsia="zh-CN"/>
        </w:rPr>
        <w:t>45.99</w:t>
      </w:r>
      <w:r>
        <w:rPr>
          <w:rFonts w:hint="eastAsia" w:ascii="仿宋_GB2312" w:eastAsia="仿宋_GB2312" w:cs="仿宋"/>
          <w:color w:val="000000"/>
          <w:sz w:val="32"/>
          <w:szCs w:val="32"/>
        </w:rPr>
        <w:t>万元，</w:t>
      </w:r>
      <w:r>
        <w:rPr>
          <w:rFonts w:hint="eastAsia" w:ascii="仿宋_GB2312" w:eastAsia="仿宋_GB2312" w:cs="仿宋"/>
          <w:color w:val="000000"/>
          <w:sz w:val="32"/>
          <w:szCs w:val="32"/>
          <w:lang w:eastAsia="zh-CN"/>
        </w:rPr>
        <w:t>人大会议</w:t>
      </w:r>
      <w:r>
        <w:rPr>
          <w:rFonts w:hint="eastAsia" w:ascii="仿宋_GB2312" w:eastAsia="仿宋_GB2312" w:cs="仿宋"/>
          <w:color w:val="000000"/>
          <w:sz w:val="32"/>
          <w:szCs w:val="32"/>
          <w:lang w:val="en-US" w:eastAsia="zh-CN"/>
        </w:rPr>
        <w:t>41.59</w:t>
      </w:r>
      <w:r>
        <w:rPr>
          <w:rFonts w:hint="eastAsia" w:ascii="仿宋_GB2312" w:eastAsia="仿宋_GB2312" w:cs="仿宋"/>
          <w:color w:val="000000"/>
          <w:sz w:val="32"/>
          <w:szCs w:val="32"/>
        </w:rPr>
        <w:t>万元,代表工作</w:t>
      </w:r>
      <w:r>
        <w:rPr>
          <w:rFonts w:hint="eastAsia" w:ascii="仿宋_GB2312" w:eastAsia="仿宋_GB2312" w:cs="仿宋"/>
          <w:color w:val="000000"/>
          <w:sz w:val="32"/>
          <w:szCs w:val="32"/>
          <w:lang w:val="en-US" w:eastAsia="zh-CN"/>
        </w:rPr>
        <w:t>196.16</w:t>
      </w:r>
      <w:r>
        <w:rPr>
          <w:rFonts w:hint="eastAsia" w:ascii="仿宋_GB2312" w:eastAsia="仿宋_GB2312" w:cs="仿宋"/>
          <w:color w:val="000000"/>
          <w:sz w:val="32"/>
          <w:szCs w:val="32"/>
        </w:rPr>
        <w:t>万元。</w:t>
      </w:r>
    </w:p>
    <w:p w14:paraId="5A7F6850">
      <w:pPr>
        <w:spacing w:line="600" w:lineRule="exact"/>
        <w:rPr>
          <w:rStyle w:val="19"/>
          <w:rFonts w:hint="eastAsia" w:ascii="仿宋_GB2312" w:eastAsia="仿宋_GB2312" w:cs="仿宋_GB2312"/>
          <w:b w:val="0"/>
          <w:lang w:val="en-US" w:eastAsia="zh-CN"/>
        </w:rPr>
      </w:pPr>
      <w:bookmarkStart w:id="136" w:name="_Toc26242"/>
      <w:bookmarkStart w:id="137" w:name="_Toc15377215"/>
      <w:bookmarkStart w:id="138" w:name="_Toc15396609"/>
      <w:bookmarkStart w:id="139" w:name="_Toc6732"/>
      <w:bookmarkStart w:id="140" w:name="_Toc20641"/>
      <w:bookmarkStart w:id="141" w:name="_Toc28477"/>
      <w:r>
        <w:rPr>
          <w:rFonts w:hint="eastAsia" w:ascii="黑体" w:eastAsia="黑体" w:cs="Times New Roman"/>
          <w:b w:val="0"/>
          <w:bCs/>
          <w:color w:val="000000"/>
          <w:kern w:val="2"/>
          <w:sz w:val="32"/>
          <w:szCs w:val="32"/>
          <w:lang w:val="en-US" w:eastAsia="zh-CN" w:bidi="ar-SA"/>
        </w:rPr>
        <w:t xml:space="preserve">  </w:t>
      </w:r>
      <w:bookmarkStart w:id="142" w:name="_Toc19002"/>
      <w:r>
        <w:rPr>
          <w:rStyle w:val="19"/>
          <w:rFonts w:hint="eastAsia" w:ascii="仿宋_GB2312" w:eastAsia="仿宋_GB2312" w:cs="仿宋_GB2312"/>
          <w:b w:val="0"/>
          <w:lang w:val="en-US" w:eastAsia="zh-CN"/>
        </w:rPr>
        <w:t>七、“三公”经费财政拨款支出决算情况说明</w:t>
      </w:r>
      <w:bookmarkEnd w:id="136"/>
      <w:bookmarkEnd w:id="137"/>
      <w:bookmarkEnd w:id="138"/>
    </w:p>
    <w:bookmarkEnd w:id="139"/>
    <w:bookmarkEnd w:id="140"/>
    <w:bookmarkEnd w:id="141"/>
    <w:bookmarkEnd w:id="142"/>
    <w:p w14:paraId="6ADF6BC5">
      <w:pPr>
        <w:spacing w:line="600" w:lineRule="exact"/>
        <w:ind w:firstLine="640"/>
        <w:outlineLvl w:val="2"/>
        <w:rPr>
          <w:rFonts w:hint="eastAsia" w:ascii="仿宋_GB2312" w:eastAsia="仿宋_GB2312" w:cs="仿宋_GB2312"/>
          <w:b/>
          <w:color w:val="000000"/>
          <w:sz w:val="32"/>
          <w:szCs w:val="32"/>
        </w:rPr>
      </w:pPr>
      <w:bookmarkStart w:id="143" w:name="_Toc11137"/>
      <w:bookmarkStart w:id="144" w:name="_Toc15377216"/>
      <w:r>
        <w:rPr>
          <w:rFonts w:hint="eastAsia" w:ascii="仿宋_GB2312" w:eastAsia="仿宋_GB2312" w:cs="仿宋_GB2312"/>
          <w:b/>
          <w:color w:val="000000"/>
          <w:sz w:val="32"/>
          <w:szCs w:val="32"/>
        </w:rPr>
        <w:t>（一）“三公”经费财政拨款支出决算总体情况说明</w:t>
      </w:r>
      <w:bookmarkEnd w:id="143"/>
      <w:bookmarkEnd w:id="144"/>
    </w:p>
    <w:p w14:paraId="4474051E">
      <w:pPr>
        <w:spacing w:line="600" w:lineRule="exact"/>
        <w:ind w:firstLine="640"/>
        <w:rPr>
          <w:rFonts w:hint="eastAsia" w:ascii="仿宋_GB2312" w:eastAsia="仿宋_GB2312" w:cs="仿宋_GB2312"/>
          <w:color w:val="000000"/>
          <w:sz w:val="32"/>
          <w:szCs w:val="32"/>
          <w:lang w:val="en-US" w:eastAsia="zh-CN"/>
        </w:rPr>
      </w:pPr>
      <w:r>
        <w:rPr>
          <w:rFonts w:hint="eastAsia" w:ascii="仿宋_GB2312" w:eastAsia="仿宋_GB2312" w:cs="仿宋_GB2312"/>
          <w:color w:val="000000"/>
          <w:sz w:val="32"/>
          <w:szCs w:val="32"/>
          <w:lang w:eastAsia="zh-CN"/>
        </w:rPr>
        <w:t>2022年</w:t>
      </w:r>
      <w:r>
        <w:rPr>
          <w:rFonts w:hint="eastAsia" w:ascii="仿宋_GB2312" w:eastAsia="仿宋_GB2312" w:cs="仿宋_GB2312"/>
          <w:color w:val="000000"/>
          <w:sz w:val="32"/>
          <w:szCs w:val="32"/>
        </w:rPr>
        <w:t>“三公”经费财政拨款支出决算为</w:t>
      </w:r>
      <w:r>
        <w:rPr>
          <w:rFonts w:hint="eastAsia" w:ascii="仿宋_GB2312" w:eastAsia="仿宋_GB2312" w:cs="仿宋_GB2312"/>
          <w:color w:val="000000"/>
          <w:sz w:val="32"/>
          <w:szCs w:val="32"/>
          <w:lang w:val="en-US" w:eastAsia="zh-CN"/>
        </w:rPr>
        <w:t>34.07</w:t>
      </w:r>
      <w:r>
        <w:rPr>
          <w:rFonts w:hint="eastAsia" w:ascii="仿宋_GB2312" w:eastAsia="仿宋_GB2312" w:cs="仿宋_GB2312"/>
          <w:color w:val="000000"/>
          <w:sz w:val="32"/>
          <w:szCs w:val="32"/>
        </w:rPr>
        <w:t>万元，完成预算</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w:t>
      </w:r>
      <w:r>
        <w:rPr>
          <w:rFonts w:hint="eastAsia" w:ascii="仿宋" w:eastAsia="仿宋"/>
          <w:sz w:val="32"/>
          <w:szCs w:val="32"/>
        </w:rPr>
        <w:t>决算数与预算数持平。</w:t>
      </w:r>
    </w:p>
    <w:p w14:paraId="379ACFFF">
      <w:pPr>
        <w:spacing w:line="600" w:lineRule="exact"/>
        <w:ind w:firstLine="640"/>
        <w:outlineLvl w:val="2"/>
        <w:rPr>
          <w:rFonts w:hint="eastAsia" w:ascii="仿宋_GB2312" w:eastAsia="仿宋_GB2312" w:cs="仿宋_GB2312"/>
          <w:b/>
          <w:color w:val="000000"/>
          <w:sz w:val="32"/>
          <w:szCs w:val="32"/>
        </w:rPr>
      </w:pPr>
      <w:bookmarkStart w:id="145" w:name="_Toc15377217"/>
      <w:bookmarkStart w:id="146" w:name="_Toc23984"/>
      <w:r>
        <w:rPr>
          <w:rFonts w:hint="eastAsia" w:ascii="仿宋_GB2312" w:eastAsia="仿宋_GB2312" w:cs="仿宋_GB2312"/>
          <w:b/>
          <w:color w:val="000000"/>
          <w:sz w:val="32"/>
          <w:szCs w:val="32"/>
        </w:rPr>
        <w:t>（二）“三公”经费财政拨款支出决算具体情况说明</w:t>
      </w:r>
      <w:bookmarkEnd w:id="145"/>
      <w:bookmarkEnd w:id="146"/>
    </w:p>
    <w:p w14:paraId="2B01F2CC">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eastAsia="zh-CN"/>
        </w:rPr>
        <w:t>2022年</w:t>
      </w:r>
      <w:r>
        <w:rPr>
          <w:rFonts w:hint="eastAsia" w:ascii="仿宋_GB2312" w:eastAsia="仿宋_GB2312" w:cs="仿宋_GB2312"/>
          <w:color w:val="000000"/>
          <w:sz w:val="32"/>
          <w:szCs w:val="32"/>
        </w:rPr>
        <w:t>“三公”经费财政拨款支出</w:t>
      </w:r>
      <w:r>
        <w:rPr>
          <w:rFonts w:hint="eastAsia" w:ascii="仿宋_GB2312" w:eastAsia="仿宋_GB2312" w:cs="仿宋_GB2312"/>
          <w:color w:val="auto"/>
          <w:sz w:val="32"/>
          <w:szCs w:val="32"/>
        </w:rPr>
        <w:t>决算</w:t>
      </w:r>
      <w:r>
        <w:rPr>
          <w:rFonts w:hint="eastAsia" w:ascii="仿宋_GB2312" w:eastAsia="仿宋_GB2312" w:cs="仿宋_GB2312"/>
          <w:color w:val="auto"/>
          <w:sz w:val="32"/>
          <w:szCs w:val="32"/>
          <w:lang w:val="en-US" w:eastAsia="zh-CN"/>
        </w:rPr>
        <w:t>34.07万元</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其中：</w:t>
      </w:r>
      <w:r>
        <w:rPr>
          <w:rFonts w:hint="eastAsia" w:ascii="仿宋_GB2312" w:eastAsia="仿宋_GB2312" w:cs="仿宋_GB2312"/>
          <w:color w:val="000000"/>
          <w:sz w:val="32"/>
          <w:szCs w:val="32"/>
        </w:rPr>
        <w:t>因公出国（境）费支出决算</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%；公务用车购置及运行维护费支出决算</w:t>
      </w:r>
      <w:r>
        <w:rPr>
          <w:rFonts w:hint="eastAsia" w:ascii="仿宋_GB2312" w:eastAsia="仿宋_GB2312" w:cs="仿宋_GB2312"/>
          <w:color w:val="000000"/>
          <w:sz w:val="32"/>
          <w:szCs w:val="32"/>
          <w:lang w:val="en-US" w:eastAsia="zh-CN"/>
        </w:rPr>
        <w:t>34.07</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%；公务接待费支出决算</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%。具体情况如下：</w:t>
      </w:r>
    </w:p>
    <w:p w14:paraId="54B92BB1">
      <w:pPr>
        <w:spacing w:line="600" w:lineRule="exact"/>
        <w:ind w:firstLine="640"/>
        <w:rPr>
          <w:rFonts w:hint="eastAsia" w:ascii="仿宋_GB2312" w:eastAsia="仿宋_GB2312" w:cs="仿宋_GB2312"/>
          <w:color w:val="000000"/>
          <w:sz w:val="32"/>
          <w:szCs w:val="32"/>
          <w:lang w:eastAsia="zh-CN"/>
        </w:rPr>
      </w:pPr>
      <w:r>
        <w:drawing>
          <wp:anchor distT="0" distB="0" distL="114300" distR="114300" simplePos="0" relativeHeight="251659264" behindDoc="0" locked="0" layoutInCell="1" allowOverlap="1">
            <wp:simplePos x="0" y="0"/>
            <wp:positionH relativeFrom="column">
              <wp:posOffset>377190</wp:posOffset>
            </wp:positionH>
            <wp:positionV relativeFrom="paragraph">
              <wp:posOffset>47625</wp:posOffset>
            </wp:positionV>
            <wp:extent cx="4572000" cy="1791970"/>
            <wp:effectExtent l="0" t="1" r="26" b="35"/>
            <wp:wrapSquare wrapText="bothSides"/>
            <wp:docPr id="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5313197A">
      <w:pPr>
        <w:spacing w:line="600" w:lineRule="exact"/>
        <w:ind w:firstLine="640"/>
        <w:rPr>
          <w:rFonts w:hint="eastAsia" w:ascii="仿宋_GB2312" w:eastAsia="仿宋_GB2312" w:cs="仿宋_GB2312"/>
          <w:color w:val="000000"/>
          <w:sz w:val="32"/>
          <w:szCs w:val="32"/>
          <w:lang w:eastAsia="zh-CN"/>
        </w:rPr>
      </w:pPr>
    </w:p>
    <w:p w14:paraId="1B876239">
      <w:pPr>
        <w:spacing w:line="600" w:lineRule="exact"/>
        <w:ind w:firstLine="640"/>
        <w:rPr>
          <w:rFonts w:hint="eastAsia" w:ascii="仿宋_GB2312" w:eastAsia="仿宋_GB2312" w:cs="仿宋_GB2312"/>
          <w:color w:val="000000"/>
          <w:sz w:val="32"/>
          <w:szCs w:val="32"/>
          <w:lang w:eastAsia="zh-CN"/>
        </w:rPr>
      </w:pPr>
    </w:p>
    <w:p w14:paraId="208FFF2A">
      <w:pPr>
        <w:spacing w:line="600" w:lineRule="exact"/>
        <w:ind w:firstLine="640"/>
        <w:rPr>
          <w:rFonts w:hint="eastAsia" w:ascii="仿宋_GB2312" w:eastAsia="仿宋_GB2312" w:cs="仿宋_GB2312"/>
          <w:color w:val="000000"/>
          <w:sz w:val="32"/>
          <w:szCs w:val="32"/>
          <w:lang w:eastAsia="zh-CN"/>
        </w:rPr>
      </w:pPr>
    </w:p>
    <w:p w14:paraId="74D6C6AF">
      <w:pPr>
        <w:spacing w:line="600" w:lineRule="exact"/>
        <w:ind w:firstLine="640"/>
        <w:rPr>
          <w:rFonts w:hint="eastAsia" w:ascii="仿宋_GB2312" w:eastAsia="仿宋_GB2312" w:cs="仿宋_GB2312"/>
          <w:color w:val="000000"/>
          <w:sz w:val="32"/>
          <w:szCs w:val="32"/>
          <w:lang w:eastAsia="zh-CN"/>
        </w:rPr>
      </w:pPr>
    </w:p>
    <w:p w14:paraId="46B5E80D">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b/>
          <w:color w:val="000000"/>
          <w:sz w:val="32"/>
          <w:szCs w:val="32"/>
          <w:lang w:val="en-US" w:eastAsia="zh-CN"/>
        </w:rPr>
        <w:t>1.</w:t>
      </w:r>
      <w:r>
        <w:rPr>
          <w:rFonts w:hint="eastAsia" w:ascii="仿宋_GB2312" w:eastAsia="仿宋_GB2312" w:cs="仿宋_GB2312"/>
          <w:b/>
          <w:color w:val="000000"/>
          <w:sz w:val="32"/>
          <w:szCs w:val="32"/>
        </w:rPr>
        <w:t>因公出国（境）经费支出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w:t>
      </w:r>
      <w:r>
        <w:rPr>
          <w:rStyle w:val="16"/>
          <w:rFonts w:hint="eastAsia" w:ascii="仿宋_GB2312" w:eastAsia="仿宋_GB2312" w:cs="仿宋_GB2312"/>
          <w:b w:val="0"/>
          <w:bCs/>
          <w:color w:val="000000"/>
          <w:sz w:val="32"/>
          <w:szCs w:val="32"/>
        </w:rPr>
        <w:t>完成预算</w:t>
      </w:r>
      <w:r>
        <w:rPr>
          <w:rStyle w:val="16"/>
          <w:rFonts w:hint="eastAsia" w:ascii="仿宋_GB2312" w:eastAsia="仿宋_GB2312" w:cs="仿宋_GB2312"/>
          <w:b w:val="0"/>
          <w:bCs/>
          <w:color w:val="000000"/>
          <w:sz w:val="32"/>
          <w:szCs w:val="32"/>
          <w:lang w:val="en-US" w:eastAsia="zh-CN"/>
        </w:rPr>
        <w:t>0。</w:t>
      </w:r>
      <w:r>
        <w:rPr>
          <w:rFonts w:hint="eastAsia" w:ascii="仿宋_GB2312" w:eastAsia="仿宋_GB2312" w:cs="仿宋_GB2312"/>
          <w:color w:val="auto"/>
          <w:sz w:val="32"/>
          <w:szCs w:val="32"/>
        </w:rPr>
        <w:t>全年安排因公出国（境）团组</w:t>
      </w:r>
      <w:r>
        <w:rPr>
          <w:rFonts w:hint="eastAsia" w:ascii="仿宋_GB2312" w:eastAsia="仿宋_GB2312" w:cs="仿宋_GB2312"/>
          <w:color w:val="auto"/>
          <w:sz w:val="32"/>
          <w:szCs w:val="32"/>
          <w:lang w:val="en-US" w:eastAsia="zh-CN"/>
        </w:rPr>
        <w:t>0</w:t>
      </w:r>
      <w:r>
        <w:rPr>
          <w:rFonts w:hint="eastAsia" w:ascii="仿宋_GB2312" w:eastAsia="仿宋_GB2312" w:cs="仿宋_GB2312"/>
          <w:color w:val="auto"/>
          <w:sz w:val="32"/>
          <w:szCs w:val="32"/>
        </w:rPr>
        <w:t>次，出国（境）</w:t>
      </w:r>
      <w:r>
        <w:rPr>
          <w:rFonts w:hint="eastAsia" w:ascii="仿宋_GB2312" w:eastAsia="仿宋_GB2312" w:cs="仿宋_GB2312"/>
          <w:color w:val="auto"/>
          <w:sz w:val="32"/>
          <w:szCs w:val="32"/>
          <w:lang w:val="en-US" w:eastAsia="zh-CN"/>
        </w:rPr>
        <w:t>0</w:t>
      </w:r>
      <w:r>
        <w:rPr>
          <w:rFonts w:hint="eastAsia" w:ascii="仿宋_GB2312" w:eastAsia="仿宋_GB2312" w:cs="仿宋_GB2312"/>
          <w:color w:val="auto"/>
          <w:sz w:val="32"/>
          <w:szCs w:val="32"/>
        </w:rPr>
        <w:t>人。因</w:t>
      </w:r>
      <w:r>
        <w:rPr>
          <w:rFonts w:hint="eastAsia" w:ascii="仿宋_GB2312" w:eastAsia="仿宋_GB2312" w:cs="仿宋_GB2312"/>
          <w:color w:val="000000"/>
          <w:sz w:val="32"/>
          <w:szCs w:val="32"/>
        </w:rPr>
        <w:t>公出国（境）支出决算比</w:t>
      </w:r>
      <w:r>
        <w:rPr>
          <w:rFonts w:hint="eastAsia" w:ascii="仿宋_GB2312" w:eastAsia="仿宋_GB2312" w:cs="仿宋_GB2312"/>
          <w:color w:val="000000"/>
          <w:sz w:val="32"/>
          <w:szCs w:val="32"/>
          <w:lang w:eastAsia="zh-CN"/>
        </w:rPr>
        <w:t>2021年</w:t>
      </w:r>
      <w:r>
        <w:rPr>
          <w:rFonts w:hint="eastAsia" w:ascii="仿宋_GB2312" w:eastAsia="仿宋_GB2312" w:cs="仿宋_GB2312"/>
          <w:color w:val="000000"/>
          <w:sz w:val="32"/>
          <w:szCs w:val="32"/>
          <w:lang w:val="en-US" w:eastAsia="zh-CN"/>
        </w:rPr>
        <w:t>增加0万元。</w:t>
      </w:r>
    </w:p>
    <w:p w14:paraId="767E8C45">
      <w:pPr>
        <w:spacing w:line="600" w:lineRule="exact"/>
        <w:ind w:firstLine="640"/>
        <w:rPr>
          <w:rFonts w:hint="eastAsia" w:ascii="仿宋_GB2312" w:eastAsia="仿宋_GB2312" w:cs="仿宋_GB2312"/>
          <w:b/>
          <w:color w:val="auto"/>
          <w:sz w:val="32"/>
          <w:szCs w:val="32"/>
          <w:lang w:eastAsia="zh-CN"/>
        </w:rPr>
      </w:pPr>
      <w:r>
        <w:rPr>
          <w:rFonts w:hint="eastAsia" w:ascii="仿宋_GB2312" w:eastAsia="仿宋_GB2312" w:cs="仿宋_GB2312"/>
          <w:b/>
          <w:color w:val="000000"/>
          <w:sz w:val="32"/>
          <w:szCs w:val="32"/>
        </w:rPr>
        <w:t>2.</w:t>
      </w:r>
      <w:r>
        <w:rPr>
          <w:rFonts w:hint="eastAsia" w:ascii="仿宋_GB2312" w:eastAsia="仿宋_GB2312" w:cs="仿宋_GB2312"/>
          <w:b/>
          <w:color w:val="000000"/>
          <w:sz w:val="32"/>
          <w:szCs w:val="32"/>
          <w:lang w:val="en-US" w:eastAsia="zh-CN"/>
        </w:rPr>
        <w:t>公务</w:t>
      </w:r>
      <w:r>
        <w:rPr>
          <w:rFonts w:hint="eastAsia" w:ascii="仿宋_GB2312" w:eastAsia="仿宋_GB2312" w:cs="仿宋_GB2312"/>
          <w:b/>
          <w:color w:val="auto"/>
          <w:sz w:val="32"/>
          <w:szCs w:val="32"/>
          <w:shd w:val="clear" w:color="auto" w:fill="auto"/>
        </w:rPr>
        <w:t>用车</w:t>
      </w:r>
      <w:r>
        <w:rPr>
          <w:rFonts w:hint="eastAsia" w:ascii="仿宋_GB2312" w:eastAsia="仿宋_GB2312" w:cs="仿宋_GB2312"/>
          <w:b/>
          <w:color w:val="000000"/>
          <w:sz w:val="32"/>
          <w:szCs w:val="32"/>
          <w:shd w:val="clear" w:color="auto" w:fill="auto"/>
        </w:rPr>
        <w:t>购置</w:t>
      </w:r>
      <w:r>
        <w:rPr>
          <w:rFonts w:hint="eastAsia" w:ascii="仿宋_GB2312" w:eastAsia="仿宋_GB2312" w:cs="仿宋_GB2312"/>
          <w:b/>
          <w:color w:val="000000"/>
          <w:sz w:val="32"/>
          <w:szCs w:val="32"/>
        </w:rPr>
        <w:t>及运行维护费支出</w:t>
      </w:r>
      <w:r>
        <w:rPr>
          <w:rFonts w:hint="eastAsia" w:ascii="仿宋_GB2312" w:eastAsia="仿宋_GB2312" w:cs="仿宋_GB2312"/>
          <w:color w:val="000000"/>
          <w:sz w:val="32"/>
          <w:szCs w:val="32"/>
          <w:lang w:val="en-US" w:eastAsia="zh-CN"/>
        </w:rPr>
        <w:t>34.07</w:t>
      </w:r>
      <w:r>
        <w:rPr>
          <w:rFonts w:hint="eastAsia" w:ascii="仿宋_GB2312" w:eastAsia="仿宋_GB2312" w:cs="仿宋_GB2312"/>
          <w:color w:val="000000"/>
          <w:sz w:val="32"/>
          <w:szCs w:val="32"/>
        </w:rPr>
        <w:t>万元,</w:t>
      </w:r>
      <w:r>
        <w:rPr>
          <w:rStyle w:val="16"/>
          <w:rFonts w:hint="eastAsia" w:ascii="仿宋_GB2312" w:eastAsia="仿宋_GB2312" w:cs="仿宋_GB2312"/>
          <w:b w:val="0"/>
          <w:bCs/>
          <w:color w:val="000000"/>
          <w:sz w:val="32"/>
          <w:szCs w:val="32"/>
        </w:rPr>
        <w:t>完成预算</w:t>
      </w:r>
      <w:r>
        <w:rPr>
          <w:rStyle w:val="16"/>
          <w:rFonts w:hint="eastAsia" w:ascii="仿宋_GB2312" w:eastAsia="仿宋_GB2312" w:cs="仿宋_GB2312"/>
          <w:b w:val="0"/>
          <w:bCs/>
          <w:color w:val="000000"/>
          <w:sz w:val="32"/>
          <w:szCs w:val="32"/>
          <w:lang w:val="en-US" w:eastAsia="zh-CN"/>
        </w:rPr>
        <w:t>100%</w:t>
      </w:r>
      <w:r>
        <w:rPr>
          <w:rStyle w:val="16"/>
          <w:rFonts w:hint="eastAsia" w:ascii="仿宋_GB2312" w:eastAsia="仿宋_GB2312" w:cs="仿宋_GB2312"/>
          <w:b w:val="0"/>
          <w:bCs/>
          <w:color w:val="000000"/>
          <w:sz w:val="32"/>
          <w:szCs w:val="32"/>
        </w:rPr>
        <w:t>。</w:t>
      </w:r>
      <w:r>
        <w:rPr>
          <w:rFonts w:hint="eastAsia" w:ascii="仿宋_GB2312" w:eastAsia="仿宋_GB2312" w:cs="仿宋_GB2312"/>
          <w:color w:val="000000"/>
          <w:sz w:val="32"/>
          <w:szCs w:val="32"/>
        </w:rPr>
        <w:t>公务用车购置及运行维护费支出决算比</w:t>
      </w:r>
      <w:r>
        <w:rPr>
          <w:rFonts w:hint="eastAsia" w:ascii="仿宋_GB2312" w:eastAsia="仿宋_GB2312" w:cs="仿宋_GB2312"/>
          <w:color w:val="000000"/>
          <w:sz w:val="32"/>
          <w:szCs w:val="32"/>
          <w:lang w:eastAsia="zh-CN"/>
        </w:rPr>
        <w:t>2021年</w:t>
      </w:r>
      <w:r>
        <w:rPr>
          <w:rFonts w:hint="eastAsia" w:ascii="仿宋_GB2312" w:eastAsia="仿宋_GB2312" w:cs="仿宋_GB2312"/>
          <w:color w:val="000000"/>
          <w:sz w:val="32"/>
          <w:szCs w:val="32"/>
          <w:lang w:val="en-US" w:eastAsia="zh-CN"/>
        </w:rPr>
        <w:t>减少10.5</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w:t>
      </w:r>
      <w:r>
        <w:rPr>
          <w:rFonts w:hint="eastAsia" w:ascii="仿宋_GB2312" w:eastAsia="仿宋_GB2312"/>
          <w:sz w:val="32"/>
          <w:szCs w:val="32"/>
        </w:rPr>
        <w:t>降低</w:t>
      </w:r>
      <w:r>
        <w:rPr>
          <w:rFonts w:hint="eastAsia" w:ascii="仿宋_GB2312" w:eastAsia="仿宋_GB2312"/>
          <w:sz w:val="32"/>
          <w:szCs w:val="32"/>
          <w:lang w:val="en-US" w:eastAsia="zh-CN"/>
        </w:rPr>
        <w:t>23.56</w:t>
      </w:r>
      <w:r>
        <w:rPr>
          <w:rFonts w:hint="eastAsia" w:ascii="仿宋_GB2312" w:eastAsia="仿宋_GB2312"/>
          <w:sz w:val="32"/>
          <w:szCs w:val="32"/>
        </w:rPr>
        <w:t>%，主要原因是节约开支。</w:t>
      </w:r>
    </w:p>
    <w:p w14:paraId="6C3EB805">
      <w:pPr>
        <w:autoSpaceDE w:val="0"/>
        <w:autoSpaceDN w:val="0"/>
        <w:adjustRightInd w:val="0"/>
        <w:spacing w:line="600" w:lineRule="exact"/>
        <w:ind w:firstLine="640" w:firstLineChars="200"/>
        <w:jc w:val="left"/>
        <w:rPr>
          <w:rFonts w:hint="eastAsia" w:ascii="仿宋_GB2312" w:eastAsia="仿宋_GB2312" w:cs="仿宋_GB2312"/>
          <w:b/>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2</w:t>
      </w:r>
      <w:r>
        <w:rPr>
          <w:rFonts w:ascii="仿宋_GB2312" w:eastAsia="仿宋_GB2312"/>
          <w:color w:val="000000"/>
          <w:sz w:val="32"/>
          <w:szCs w:val="32"/>
        </w:rPr>
        <w:t>年12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日，共有车辆5辆，其中：部级领导干部用车0辆、主要领导干部用车0辆、机要通信用车0辆、应急保障用车0辆、执法执勤用车0辆、特种专业技术用车0辆、离退休干部用车0辆、</w:t>
      </w:r>
      <w:r>
        <w:rPr>
          <w:rFonts w:hint="eastAsia" w:ascii="仿宋_GB2312" w:eastAsia="仿宋_GB2312"/>
          <w:sz w:val="32"/>
          <w:szCs w:val="32"/>
        </w:rPr>
        <w:t>其他用车5辆；</w:t>
      </w:r>
    </w:p>
    <w:p w14:paraId="030EDD56">
      <w:pPr>
        <w:pageBreakBefore w:val="0"/>
        <w:widowControl w:val="0"/>
        <w:kinsoku/>
        <w:wordWrap/>
        <w:overflowPunct/>
        <w:topLinePunct w:val="0"/>
        <w:bidi w:val="0"/>
        <w:spacing w:line="600" w:lineRule="exact"/>
        <w:ind w:firstLine="640"/>
        <w:textAlignment w:val="auto"/>
        <w:rPr>
          <w:rFonts w:hint="eastAsia" w:ascii="仿宋_GB2312" w:eastAsia="仿宋_GB2312" w:cs="仿宋_GB2312"/>
          <w:color w:val="000000"/>
          <w:sz w:val="32"/>
          <w:szCs w:val="32"/>
          <w:lang w:eastAsia="zh-CN"/>
        </w:rPr>
      </w:pPr>
      <w:r>
        <w:rPr>
          <w:rFonts w:hint="eastAsia" w:ascii="仿宋_GB2312" w:eastAsia="仿宋_GB2312" w:cs="仿宋_GB2312"/>
          <w:b/>
          <w:color w:val="000000"/>
          <w:sz w:val="32"/>
          <w:szCs w:val="32"/>
        </w:rPr>
        <w:t>公务用车运行维护费支出</w:t>
      </w:r>
      <w:r>
        <w:rPr>
          <w:rFonts w:hint="eastAsia" w:ascii="仿宋_GB2312" w:eastAsia="仿宋_GB2312" w:cs="仿宋_GB2312"/>
          <w:color w:val="auto"/>
          <w:sz w:val="32"/>
          <w:szCs w:val="32"/>
          <w:lang w:val="en-US" w:eastAsia="zh-CN"/>
        </w:rPr>
        <w:t>34.07</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lang w:eastAsia="zh-CN"/>
        </w:rPr>
        <w:t>，</w:t>
      </w:r>
      <w:r>
        <w:rPr>
          <w:rFonts w:hint="eastAsia" w:ascii="仿宋_GB2312" w:eastAsia="仿宋_GB2312"/>
          <w:color w:val="000000"/>
          <w:sz w:val="32"/>
          <w:szCs w:val="32"/>
        </w:rPr>
        <w:t>主要用于我单位所需的公务用车燃料费、维修费、过路过桥费、保险费等支出。</w:t>
      </w:r>
    </w:p>
    <w:p w14:paraId="5A4D7532">
      <w:pPr>
        <w:pageBreakBefore w:val="0"/>
        <w:widowControl w:val="0"/>
        <w:kinsoku/>
        <w:wordWrap/>
        <w:overflowPunct/>
        <w:topLinePunct w:val="0"/>
        <w:bidi w:val="0"/>
        <w:spacing w:line="600" w:lineRule="exact"/>
        <w:ind w:left="640"/>
        <w:textAlignment w:val="auto"/>
        <w:rPr>
          <w:rFonts w:ascii="仿宋_GB2312" w:eastAsia="仿宋_GB2312" w:cs="仿宋"/>
          <w:color w:val="000000"/>
          <w:sz w:val="32"/>
          <w:szCs w:val="32"/>
        </w:rPr>
      </w:pPr>
      <w:bookmarkStart w:id="147" w:name="_Toc15396610"/>
      <w:bookmarkStart w:id="148" w:name="_Toc15377218"/>
      <w:bookmarkStart w:id="149" w:name="_Toc27667"/>
      <w:bookmarkStart w:id="150" w:name="_Toc26072"/>
      <w:bookmarkStart w:id="151" w:name="_Toc11583"/>
      <w:r>
        <w:rPr>
          <w:rFonts w:hint="eastAsia" w:ascii="仿宋_GB2312" w:eastAsia="仿宋_GB2312" w:cs="仿宋_GB2312"/>
          <w:b/>
          <w:color w:val="000000"/>
          <w:sz w:val="32"/>
          <w:szCs w:val="32"/>
          <w:lang w:val="en-US" w:eastAsia="zh-CN"/>
        </w:rPr>
        <w:t>3.</w:t>
      </w:r>
      <w:r>
        <w:rPr>
          <w:rFonts w:hint="eastAsia" w:ascii="仿宋_GB2312" w:eastAsia="仿宋_GB2312" w:cs="仿宋_GB2312"/>
          <w:b/>
          <w:color w:val="000000"/>
          <w:sz w:val="32"/>
          <w:szCs w:val="32"/>
        </w:rPr>
        <w:t>公务接待费支出</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6"/>
          <w:rFonts w:hint="eastAsia" w:ascii="仿宋" w:eastAsia="仿宋"/>
          <w:b w:val="0"/>
          <w:bCs/>
          <w:color w:val="000000"/>
          <w:sz w:val="32"/>
          <w:szCs w:val="32"/>
        </w:rPr>
        <w:t>完成预算0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s="仿宋"/>
          <w:color w:val="000000"/>
          <w:sz w:val="32"/>
          <w:szCs w:val="32"/>
        </w:rPr>
        <w:t>公务接待费0万元。</w:t>
      </w:r>
    </w:p>
    <w:p w14:paraId="36FD3FE8">
      <w:pPr>
        <w:spacing w:line="600" w:lineRule="exact"/>
        <w:ind w:firstLine="643" w:firstLineChars="200"/>
        <w:outlineLvl w:val="1"/>
        <w:rPr>
          <w:rFonts w:hint="eastAsia" w:ascii="仿宋_GB2312" w:eastAsia="仿宋_GB2312" w:cs="仿宋_GB2312"/>
          <w:color w:val="000000"/>
          <w:sz w:val="32"/>
          <w:szCs w:val="32"/>
        </w:rPr>
      </w:pPr>
      <w:bookmarkStart w:id="152" w:name="_Toc25115"/>
      <w:bookmarkStart w:id="153" w:name="_Toc16183"/>
      <w:bookmarkStart w:id="154" w:name="_Toc13522"/>
      <w:r>
        <w:rPr>
          <w:rFonts w:hint="eastAsia" w:ascii="仿宋_GB2312" w:eastAsia="仿宋_GB2312" w:cs="仿宋_GB2312"/>
          <w:b/>
          <w:color w:val="000000"/>
          <w:sz w:val="32"/>
          <w:szCs w:val="32"/>
          <w:lang w:val="en-US" w:eastAsia="zh-CN"/>
        </w:rPr>
        <w:t>4.</w:t>
      </w:r>
      <w:r>
        <w:rPr>
          <w:rFonts w:hint="eastAsia" w:ascii="仿宋_GB2312" w:eastAsia="仿宋_GB2312" w:cs="仿宋_GB2312"/>
          <w:b/>
          <w:color w:val="000000"/>
          <w:sz w:val="32"/>
          <w:szCs w:val="32"/>
        </w:rPr>
        <w:t>外事接待支出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万元，外事接待</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批次，</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人，共计支出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w:t>
      </w:r>
      <w:bookmarkEnd w:id="152"/>
      <w:bookmarkEnd w:id="153"/>
      <w:bookmarkEnd w:id="154"/>
    </w:p>
    <w:p w14:paraId="06C7BA07">
      <w:pPr>
        <w:spacing w:line="600" w:lineRule="exact"/>
        <w:rPr>
          <w:rStyle w:val="19"/>
          <w:rFonts w:hint="eastAsia" w:ascii="仿宋_GB2312" w:eastAsia="仿宋_GB2312" w:cs="仿宋_GB2312"/>
          <w:b w:val="0"/>
          <w:lang w:val="en-US" w:eastAsia="zh-CN"/>
        </w:rPr>
      </w:pPr>
      <w:bookmarkStart w:id="155" w:name="_Toc21196"/>
      <w:r>
        <w:rPr>
          <w:rFonts w:hint="eastAsia" w:ascii="黑体" w:eastAsia="黑体" w:cs="Times New Roman"/>
          <w:b w:val="0"/>
          <w:bCs/>
          <w:color w:val="000000"/>
          <w:kern w:val="2"/>
          <w:sz w:val="32"/>
          <w:szCs w:val="32"/>
          <w:lang w:val="en-US" w:eastAsia="zh-CN" w:bidi="ar-SA"/>
        </w:rPr>
        <w:t xml:space="preserve">  </w:t>
      </w:r>
      <w:bookmarkStart w:id="156" w:name="_Toc11152"/>
      <w:r>
        <w:rPr>
          <w:rStyle w:val="19"/>
          <w:rFonts w:hint="eastAsia" w:ascii="仿宋_GB2312" w:eastAsia="仿宋_GB2312" w:cs="仿宋_GB2312"/>
          <w:b w:val="0"/>
          <w:lang w:val="en-US" w:eastAsia="zh-CN"/>
        </w:rPr>
        <w:t xml:space="preserve"> 八、政府性基金预算支出决算情况说明</w:t>
      </w:r>
      <w:bookmarkEnd w:id="147"/>
      <w:bookmarkEnd w:id="148"/>
      <w:bookmarkEnd w:id="155"/>
    </w:p>
    <w:bookmarkEnd w:id="149"/>
    <w:bookmarkEnd w:id="150"/>
    <w:bookmarkEnd w:id="151"/>
    <w:bookmarkEnd w:id="156"/>
    <w:p w14:paraId="1B2011E1">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eastAsia="zh-CN"/>
        </w:rPr>
        <w:t>2022年</w:t>
      </w:r>
      <w:r>
        <w:rPr>
          <w:rFonts w:hint="eastAsia" w:ascii="仿宋_GB2312" w:eastAsia="仿宋_GB2312" w:cs="仿宋_GB2312"/>
          <w:color w:val="000000"/>
          <w:sz w:val="32"/>
          <w:szCs w:val="32"/>
        </w:rPr>
        <w:t>政府性基金预算拨款支出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w:t>
      </w:r>
    </w:p>
    <w:p w14:paraId="5CED7C79">
      <w:pPr>
        <w:spacing w:line="600" w:lineRule="exact"/>
        <w:rPr>
          <w:rStyle w:val="19"/>
          <w:rFonts w:hint="eastAsia" w:ascii="仿宋_GB2312" w:eastAsia="仿宋_GB2312" w:cs="仿宋_GB2312"/>
          <w:b w:val="0"/>
          <w:lang w:val="en-US" w:eastAsia="zh-CN"/>
        </w:rPr>
      </w:pPr>
      <w:bookmarkStart w:id="157" w:name="_Toc15377219"/>
      <w:bookmarkStart w:id="158" w:name="_Toc15396611"/>
      <w:bookmarkStart w:id="159" w:name="_Toc2417"/>
      <w:bookmarkStart w:id="160" w:name="_Toc13305"/>
      <w:bookmarkStart w:id="161" w:name="_Toc12200"/>
      <w:bookmarkStart w:id="162" w:name="_Toc7769"/>
      <w:r>
        <w:rPr>
          <w:rFonts w:hint="eastAsia" w:ascii="黑体" w:eastAsia="黑体" w:cs="Times New Roman"/>
          <w:b w:val="0"/>
          <w:bCs/>
          <w:color w:val="000000"/>
          <w:kern w:val="2"/>
          <w:sz w:val="32"/>
          <w:szCs w:val="32"/>
          <w:lang w:val="en-US" w:eastAsia="zh-CN" w:bidi="ar-SA"/>
        </w:rPr>
        <w:t xml:space="preserve">  </w:t>
      </w:r>
      <w:bookmarkStart w:id="163" w:name="_Toc28038"/>
      <w:r>
        <w:rPr>
          <w:rStyle w:val="19"/>
          <w:rFonts w:hint="eastAsia" w:ascii="仿宋_GB2312" w:eastAsia="仿宋_GB2312" w:cs="仿宋_GB2312"/>
          <w:b w:val="0"/>
          <w:lang w:val="en-US" w:eastAsia="zh-CN"/>
        </w:rPr>
        <w:t xml:space="preserve"> 九、国有资本经营预算支出决算情况说明</w:t>
      </w:r>
      <w:bookmarkEnd w:id="157"/>
      <w:bookmarkEnd w:id="158"/>
      <w:bookmarkEnd w:id="159"/>
    </w:p>
    <w:bookmarkEnd w:id="160"/>
    <w:bookmarkEnd w:id="161"/>
    <w:bookmarkEnd w:id="162"/>
    <w:bookmarkEnd w:id="163"/>
    <w:p w14:paraId="5BC7242C">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eastAsia="zh-CN"/>
        </w:rPr>
        <w:t>2022年</w:t>
      </w:r>
      <w:r>
        <w:rPr>
          <w:rFonts w:hint="eastAsia" w:ascii="仿宋_GB2312" w:eastAsia="仿宋_GB2312" w:cs="仿宋_GB2312"/>
          <w:color w:val="000000"/>
          <w:sz w:val="32"/>
          <w:szCs w:val="32"/>
        </w:rPr>
        <w:t>国有资本经营预算拨款支出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w:t>
      </w:r>
    </w:p>
    <w:p w14:paraId="4A9F1E89">
      <w:pPr>
        <w:spacing w:line="600" w:lineRule="exact"/>
        <w:rPr>
          <w:rStyle w:val="19"/>
          <w:rFonts w:hint="eastAsia" w:ascii="仿宋_GB2312" w:eastAsia="仿宋_GB2312" w:cs="仿宋_GB2312"/>
          <w:b w:val="0"/>
          <w:lang w:val="en-US" w:eastAsia="zh-CN"/>
        </w:rPr>
      </w:pPr>
      <w:bookmarkStart w:id="164" w:name="_Toc26917"/>
      <w:bookmarkStart w:id="165" w:name="_Toc5045"/>
      <w:bookmarkStart w:id="166" w:name="_Toc14416"/>
      <w:bookmarkStart w:id="167" w:name="_Toc953"/>
      <w:r>
        <w:rPr>
          <w:rFonts w:hint="eastAsia" w:ascii="黑体" w:eastAsia="黑体" w:cs="Times New Roman"/>
          <w:b w:val="0"/>
          <w:bCs/>
          <w:color w:val="000000"/>
          <w:kern w:val="2"/>
          <w:sz w:val="32"/>
          <w:szCs w:val="32"/>
          <w:lang w:val="en-US" w:eastAsia="zh-CN" w:bidi="ar-SA"/>
        </w:rPr>
        <w:t xml:space="preserve">   </w:t>
      </w:r>
      <w:bookmarkStart w:id="168" w:name="_Toc24621"/>
      <w:r>
        <w:rPr>
          <w:rStyle w:val="19"/>
          <w:rFonts w:hint="eastAsia" w:ascii="仿宋_GB2312" w:eastAsia="仿宋_GB2312" w:cs="仿宋_GB2312"/>
          <w:b w:val="0"/>
          <w:lang w:val="en-US" w:eastAsia="zh-CN"/>
        </w:rPr>
        <w:t>十、预算绩效情况说明</w:t>
      </w:r>
    </w:p>
    <w:bookmarkEnd w:id="164"/>
    <w:bookmarkEnd w:id="165"/>
    <w:bookmarkEnd w:id="166"/>
    <w:bookmarkEnd w:id="167"/>
    <w:bookmarkEnd w:id="168"/>
    <w:p w14:paraId="61DA6123">
      <w:pPr>
        <w:numPr>
          <w:ilvl w:val="0"/>
          <w:numId w:val="2"/>
        </w:numPr>
        <w:spacing w:line="580" w:lineRule="exact"/>
        <w:ind w:left="0" w:firstLine="643" w:firstLineChars="200"/>
        <w:rPr>
          <w:rFonts w:hint="eastAsia" w:ascii="仿宋_GB2312" w:eastAsia="仿宋_GB2312" w:cs="仿宋_GB2312"/>
          <w:b/>
          <w:bCs/>
          <w:sz w:val="32"/>
          <w:szCs w:val="32"/>
        </w:rPr>
      </w:pPr>
      <w:r>
        <w:rPr>
          <w:rFonts w:hint="eastAsia" w:ascii="仿宋_GB2312" w:eastAsia="仿宋_GB2312" w:cs="仿宋_GB2312"/>
          <w:b/>
          <w:bCs/>
          <w:sz w:val="32"/>
          <w:szCs w:val="32"/>
        </w:rPr>
        <w:t>预算绩效管理工作开展情况。</w:t>
      </w:r>
    </w:p>
    <w:p w14:paraId="5F1923E7">
      <w:pPr>
        <w:rPr>
          <w:rFonts w:hint="eastAsia" w:ascii="仿宋_GB2312" w:eastAsia="仿宋_GB2312" w:cs="仿宋_GB2312"/>
          <w:lang w:eastAsia="zh-CN"/>
        </w:rPr>
      </w:pPr>
      <w:r>
        <w:rPr>
          <w:rFonts w:hint="eastAsia" w:ascii="仿宋_GB2312" w:eastAsia="仿宋_GB2312" w:cs="仿宋_GB2312"/>
          <w:color w:val="FF0000"/>
          <w:sz w:val="32"/>
          <w:szCs w:val="32"/>
          <w:lang w:eastAsia="zh-CN"/>
        </w:rPr>
        <w:t>　　</w:t>
      </w:r>
      <w:r>
        <w:rPr>
          <w:rFonts w:hint="eastAsia" w:ascii="仿宋_GB2312" w:eastAsia="仿宋_GB2312" w:cs="仿宋_GB2312"/>
          <w:color w:val="auto"/>
          <w:sz w:val="32"/>
          <w:szCs w:val="32"/>
        </w:rPr>
        <w:t>根据预算绩效管理要求，</w:t>
      </w:r>
      <w:r>
        <w:rPr>
          <w:rFonts w:hint="eastAsia" w:ascii="仿宋_GB2312" w:eastAsia="仿宋_GB2312" w:cs="仿宋_GB2312"/>
          <w:sz w:val="32"/>
          <w:szCs w:val="32"/>
          <w:lang w:val="en-US" w:eastAsia="zh-CN"/>
        </w:rPr>
        <w:t>我</w:t>
      </w:r>
      <w:r>
        <w:rPr>
          <w:rFonts w:hint="eastAsia" w:ascii="仿宋_GB2312" w:eastAsia="仿宋_GB2312" w:cs="仿宋_GB2312"/>
          <w:sz w:val="32"/>
          <w:szCs w:val="32"/>
        </w:rPr>
        <w:t>单位在年初预算编制阶段，开展了预算事前绩效评估，编制了</w:t>
      </w:r>
      <w:r>
        <w:rPr>
          <w:rFonts w:hint="eastAsia" w:ascii="仿宋_GB2312" w:eastAsia="仿宋_GB2312" w:cs="仿宋_GB2312"/>
          <w:sz w:val="32"/>
          <w:szCs w:val="32"/>
          <w:lang w:eastAsia="zh-CN"/>
        </w:rPr>
        <w:t>部门整体</w:t>
      </w:r>
      <w:r>
        <w:rPr>
          <w:rFonts w:hint="eastAsia" w:ascii="仿宋_GB2312" w:eastAsia="仿宋_GB2312" w:cs="仿宋_GB2312"/>
          <w:sz w:val="32"/>
          <w:szCs w:val="32"/>
        </w:rPr>
        <w:t>绩效目标</w:t>
      </w:r>
      <w:r>
        <w:rPr>
          <w:rFonts w:hint="eastAsia" w:ascii="仿宋_GB2312" w:eastAsia="仿宋_GB2312" w:cs="仿宋_GB2312"/>
          <w:sz w:val="32"/>
          <w:szCs w:val="32"/>
          <w:lang w:eastAsia="zh-CN"/>
        </w:rPr>
        <w:t>。</w:t>
      </w:r>
    </w:p>
    <w:p w14:paraId="6333FD8C">
      <w:pPr>
        <w:numPr>
          <w:ilvl w:val="0"/>
          <w:numId w:val="2"/>
        </w:numPr>
        <w:spacing w:line="580" w:lineRule="exact"/>
        <w:ind w:left="0" w:firstLine="643" w:firstLineChars="200"/>
        <w:rPr>
          <w:rFonts w:hint="eastAsia" w:ascii="仿宋_GB2312" w:eastAsia="仿宋_GB2312" w:cs="仿宋_GB2312"/>
          <w:sz w:val="32"/>
          <w:szCs w:val="32"/>
        </w:rPr>
      </w:pPr>
      <w:r>
        <w:rPr>
          <w:rFonts w:hint="eastAsia" w:ascii="仿宋_GB2312" w:eastAsia="仿宋_GB2312" w:cs="仿宋_GB2312"/>
          <w:b/>
          <w:bCs/>
          <w:sz w:val="32"/>
          <w:szCs w:val="32"/>
        </w:rPr>
        <w:t>部门开展绩效评价结果。</w:t>
      </w:r>
    </w:p>
    <w:p w14:paraId="11953EB5">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w:t>
      </w:r>
      <w:r>
        <w:rPr>
          <w:rFonts w:hint="eastAsia" w:ascii="仿宋_GB2312" w:eastAsia="仿宋_GB2312" w:cs="仿宋_GB2312"/>
          <w:sz w:val="32"/>
          <w:szCs w:val="32"/>
        </w:rPr>
        <w:t>部门整体支出绩效评价情况开展自评，《</w:t>
      </w:r>
      <w:r>
        <w:rPr>
          <w:rFonts w:hint="eastAsia" w:ascii="仿宋_GB2312" w:eastAsia="仿宋_GB2312"/>
          <w:sz w:val="32"/>
          <w:szCs w:val="32"/>
          <w:lang w:eastAsia="zh-CN"/>
        </w:rPr>
        <w:t>金川县</w:t>
      </w:r>
      <w:r>
        <w:rPr>
          <w:rFonts w:hint="eastAsia" w:ascii="仿宋_GB2312" w:eastAsia="仿宋_GB2312"/>
          <w:sz w:val="32"/>
          <w:szCs w:val="32"/>
          <w:lang w:val="en-US" w:eastAsia="zh-CN"/>
        </w:rPr>
        <w:t>人大办2022年</w:t>
      </w:r>
      <w:r>
        <w:rPr>
          <w:rFonts w:hint="eastAsia" w:ascii="仿宋_GB2312" w:eastAsia="仿宋_GB2312"/>
          <w:sz w:val="32"/>
          <w:szCs w:val="32"/>
        </w:rPr>
        <w:t>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eastAsia="仿宋_GB2312" w:cs="仿宋_GB2312"/>
          <w:sz w:val="32"/>
          <w:szCs w:val="32"/>
        </w:rPr>
        <w:t>》见附件。</w:t>
      </w:r>
    </w:p>
    <w:p w14:paraId="7E1F1516">
      <w:pPr>
        <w:spacing w:line="600" w:lineRule="exact"/>
        <w:rPr>
          <w:rStyle w:val="19"/>
          <w:rFonts w:hint="eastAsia" w:ascii="仿宋_GB2312" w:eastAsia="仿宋_GB2312" w:cs="仿宋_GB2312"/>
          <w:b w:val="0"/>
          <w:lang w:val="en-US" w:eastAsia="zh-CN"/>
        </w:rPr>
      </w:pPr>
      <w:bookmarkStart w:id="169" w:name="_Toc15396612"/>
      <w:bookmarkStart w:id="170" w:name="_Toc2669"/>
      <w:bookmarkStart w:id="171" w:name="_Toc15377221"/>
      <w:r>
        <w:rPr>
          <w:rFonts w:hint="eastAsia" w:ascii="黑体" w:eastAsia="黑体" w:cs="Times New Roman"/>
          <w:b w:val="0"/>
          <w:bCs/>
          <w:color w:val="000000"/>
          <w:kern w:val="2"/>
          <w:sz w:val="32"/>
          <w:szCs w:val="32"/>
          <w:lang w:val="en-US" w:eastAsia="zh-CN" w:bidi="ar-SA"/>
        </w:rPr>
        <w:t xml:space="preserve">   </w:t>
      </w:r>
      <w:bookmarkStart w:id="172" w:name="_Toc24399"/>
      <w:r>
        <w:rPr>
          <w:rStyle w:val="19"/>
          <w:rFonts w:hint="eastAsia" w:ascii="仿宋_GB2312" w:eastAsia="仿宋_GB2312" w:cs="仿宋_GB2312"/>
          <w:b w:val="0"/>
          <w:lang w:val="en-US" w:eastAsia="zh-CN"/>
        </w:rPr>
        <w:t>十一、其他重要事项的情况说明</w:t>
      </w:r>
      <w:bookmarkEnd w:id="169"/>
      <w:bookmarkEnd w:id="170"/>
      <w:bookmarkEnd w:id="171"/>
    </w:p>
    <w:bookmarkEnd w:id="172"/>
    <w:p w14:paraId="5308B5B2">
      <w:pPr>
        <w:spacing w:line="600" w:lineRule="exact"/>
        <w:ind w:firstLine="643" w:firstLineChars="200"/>
        <w:outlineLvl w:val="2"/>
        <w:rPr>
          <w:rFonts w:hint="eastAsia" w:ascii="仿宋_GB2312" w:eastAsia="仿宋_GB2312" w:cs="仿宋_GB2312"/>
          <w:color w:val="000000"/>
          <w:sz w:val="32"/>
          <w:szCs w:val="32"/>
        </w:rPr>
      </w:pPr>
      <w:bookmarkStart w:id="173" w:name="_Toc25882"/>
      <w:bookmarkStart w:id="174" w:name="_Toc15377222"/>
      <w:r>
        <w:rPr>
          <w:rFonts w:hint="eastAsia" w:ascii="仿宋_GB2312" w:eastAsia="仿宋_GB2312" w:cs="仿宋_GB2312"/>
          <w:b/>
          <w:color w:val="000000"/>
          <w:sz w:val="32"/>
          <w:szCs w:val="32"/>
        </w:rPr>
        <w:t>（一）机关运行经费支出情况</w:t>
      </w:r>
      <w:bookmarkEnd w:id="173"/>
      <w:bookmarkEnd w:id="174"/>
    </w:p>
    <w:p w14:paraId="25D6488B">
      <w:pPr>
        <w:pageBreakBefore w:val="0"/>
        <w:widowControl w:val="0"/>
        <w:kinsoku/>
        <w:wordWrap/>
        <w:overflowPunct/>
        <w:topLinePunct w:val="0"/>
        <w:bidi w:val="0"/>
        <w:spacing w:line="600" w:lineRule="exact"/>
        <w:ind w:firstLine="640" w:firstLineChars="200"/>
        <w:textAlignment w:val="auto"/>
        <w:rPr>
          <w:rFonts w:ascii="仿宋_GB2312" w:eastAsia="仿宋_GB2312" w:cs="仿宋_GB2312"/>
          <w:color w:val="FF0000"/>
          <w:sz w:val="32"/>
          <w:szCs w:val="32"/>
        </w:rPr>
      </w:pPr>
      <w:bookmarkStart w:id="175" w:name="_Toc23145"/>
      <w:bookmarkStart w:id="176" w:name="_Toc15377223"/>
      <w:r>
        <w:rPr>
          <w:rFonts w:hint="eastAsia" w:ascii="仿宋_GB2312" w:eastAsia="仿宋_GB2312" w:cs="仿宋_GB2312"/>
          <w:color w:val="auto"/>
          <w:sz w:val="32"/>
          <w:szCs w:val="32"/>
        </w:rPr>
        <w:t>202</w:t>
      </w:r>
      <w:r>
        <w:rPr>
          <w:rFonts w:hint="eastAsia" w:ascii="仿宋_GB2312" w:eastAsia="仿宋_GB2312" w:cs="仿宋_GB2312"/>
          <w:color w:val="auto"/>
          <w:sz w:val="32"/>
          <w:szCs w:val="32"/>
          <w:lang w:val="en-US" w:eastAsia="zh-CN"/>
        </w:rPr>
        <w:t>2</w:t>
      </w:r>
      <w:r>
        <w:rPr>
          <w:rFonts w:hint="eastAsia" w:ascii="仿宋_GB2312" w:eastAsia="仿宋_GB2312" w:cs="仿宋_GB2312"/>
          <w:color w:val="auto"/>
          <w:sz w:val="32"/>
          <w:szCs w:val="32"/>
        </w:rPr>
        <w:t>年，县人大办运行经费支出</w:t>
      </w:r>
      <w:r>
        <w:rPr>
          <w:rFonts w:hint="eastAsia" w:ascii="仿宋_GB2312" w:eastAsia="仿宋_GB2312" w:cs="仿宋_GB2312"/>
          <w:color w:val="auto"/>
          <w:sz w:val="32"/>
          <w:szCs w:val="32"/>
          <w:lang w:val="en-US" w:eastAsia="zh-CN"/>
        </w:rPr>
        <w:t>35.41</w:t>
      </w:r>
      <w:r>
        <w:rPr>
          <w:rFonts w:hint="eastAsia" w:ascii="仿宋_GB2312" w:eastAsia="仿宋_GB2312" w:cs="仿宋_GB2312"/>
          <w:color w:val="auto"/>
          <w:sz w:val="32"/>
          <w:szCs w:val="32"/>
        </w:rPr>
        <w:t>万元，比202</w:t>
      </w:r>
      <w:r>
        <w:rPr>
          <w:rFonts w:hint="eastAsia" w:ascii="仿宋_GB2312" w:eastAsia="仿宋_GB2312" w:cs="仿宋_GB2312"/>
          <w:color w:val="auto"/>
          <w:sz w:val="32"/>
          <w:szCs w:val="32"/>
          <w:lang w:val="en-US" w:eastAsia="zh-CN"/>
        </w:rPr>
        <w:t>1</w:t>
      </w:r>
      <w:r>
        <w:rPr>
          <w:rFonts w:hint="eastAsia" w:ascii="仿宋_GB2312" w:eastAsia="仿宋_GB2312" w:cs="仿宋_GB2312"/>
          <w:color w:val="auto"/>
          <w:sz w:val="32"/>
          <w:szCs w:val="32"/>
        </w:rPr>
        <w:t>年减少</w:t>
      </w:r>
      <w:r>
        <w:rPr>
          <w:rFonts w:hint="eastAsia" w:ascii="仿宋_GB2312" w:eastAsia="仿宋_GB2312" w:cs="仿宋_GB2312"/>
          <w:color w:val="auto"/>
          <w:sz w:val="32"/>
          <w:szCs w:val="32"/>
          <w:lang w:val="en-US" w:eastAsia="zh-CN"/>
        </w:rPr>
        <w:t>5.51</w:t>
      </w:r>
      <w:r>
        <w:rPr>
          <w:rFonts w:hint="eastAsia" w:ascii="仿宋_GB2312" w:eastAsia="仿宋_GB2312" w:cs="仿宋_GB2312"/>
          <w:color w:val="auto"/>
          <w:sz w:val="32"/>
          <w:szCs w:val="32"/>
        </w:rPr>
        <w:t>万元，降低</w:t>
      </w:r>
      <w:r>
        <w:rPr>
          <w:rFonts w:hint="eastAsia" w:ascii="仿宋_GB2312" w:eastAsia="仿宋_GB2312" w:cs="仿宋_GB2312"/>
          <w:color w:val="auto"/>
          <w:sz w:val="32"/>
          <w:szCs w:val="32"/>
          <w:lang w:val="en-US" w:eastAsia="zh-CN"/>
        </w:rPr>
        <w:t>13.47</w:t>
      </w:r>
      <w:r>
        <w:rPr>
          <w:rFonts w:ascii="仿宋_GB2312" w:eastAsia="仿宋_GB2312" w:cs="仿宋_GB2312"/>
          <w:color w:val="auto"/>
          <w:sz w:val="32"/>
          <w:szCs w:val="32"/>
        </w:rPr>
        <w:t>%</w:t>
      </w:r>
      <w:r>
        <w:rPr>
          <w:rFonts w:hint="eastAsia" w:ascii="仿宋_GB2312" w:eastAsia="仿宋_GB2312" w:cs="仿宋_GB2312"/>
          <w:color w:val="auto"/>
          <w:sz w:val="32"/>
          <w:szCs w:val="32"/>
        </w:rPr>
        <w:t>。原因是202</w:t>
      </w:r>
      <w:r>
        <w:rPr>
          <w:rFonts w:hint="eastAsia" w:ascii="仿宋_GB2312" w:eastAsia="仿宋_GB2312" w:cs="仿宋_GB2312"/>
          <w:color w:val="auto"/>
          <w:sz w:val="32"/>
          <w:szCs w:val="32"/>
          <w:lang w:val="en-US" w:eastAsia="zh-CN"/>
        </w:rPr>
        <w:t>2</w:t>
      </w:r>
      <w:r>
        <w:rPr>
          <w:rFonts w:hint="eastAsia" w:ascii="仿宋_GB2312" w:eastAsia="仿宋_GB2312" w:cs="仿宋_GB2312"/>
          <w:color w:val="auto"/>
          <w:sz w:val="32"/>
          <w:szCs w:val="32"/>
        </w:rPr>
        <w:t>年</w:t>
      </w:r>
      <w:r>
        <w:rPr>
          <w:rFonts w:hint="eastAsia" w:ascii="仿宋_GB2312" w:eastAsia="仿宋_GB2312" w:cs="仿宋_GB2312"/>
          <w:color w:val="auto"/>
          <w:sz w:val="32"/>
          <w:szCs w:val="32"/>
          <w:lang w:val="en-US" w:eastAsia="zh-CN"/>
        </w:rPr>
        <w:t>厉行节约</w:t>
      </w:r>
      <w:r>
        <w:rPr>
          <w:rFonts w:hint="eastAsia" w:ascii="仿宋_GB2312" w:eastAsia="仿宋_GB2312" w:cs="仿宋_GB2312"/>
          <w:color w:val="auto"/>
          <w:sz w:val="32"/>
          <w:szCs w:val="32"/>
        </w:rPr>
        <w:t>。</w:t>
      </w:r>
    </w:p>
    <w:p w14:paraId="40A6FFC5">
      <w:pPr>
        <w:autoSpaceDE w:val="0"/>
        <w:autoSpaceDN w:val="0"/>
        <w:adjustRightInd w:val="0"/>
        <w:spacing w:line="600" w:lineRule="exact"/>
        <w:ind w:firstLine="643" w:firstLineChars="200"/>
        <w:jc w:val="left"/>
        <w:outlineLvl w:val="2"/>
        <w:rPr>
          <w:rFonts w:hint="eastAsia" w:ascii="仿宋_GB2312" w:eastAsia="仿宋_GB2312" w:cs="仿宋_GB2312"/>
          <w:b/>
          <w:color w:val="000000"/>
          <w:sz w:val="32"/>
          <w:szCs w:val="32"/>
        </w:rPr>
      </w:pPr>
      <w:r>
        <w:rPr>
          <w:rFonts w:hint="eastAsia" w:ascii="仿宋_GB2312" w:eastAsia="仿宋_GB2312" w:cs="仿宋_GB2312"/>
          <w:b/>
          <w:color w:val="000000"/>
          <w:sz w:val="32"/>
          <w:szCs w:val="32"/>
        </w:rPr>
        <w:t>（二）政府采购支出情况</w:t>
      </w:r>
      <w:bookmarkEnd w:id="175"/>
      <w:bookmarkEnd w:id="176"/>
    </w:p>
    <w:p w14:paraId="6229E020">
      <w:pPr>
        <w:spacing w:line="600" w:lineRule="exact"/>
        <w:ind w:firstLine="640" w:firstLineChars="200"/>
        <w:rPr>
          <w:rFonts w:hint="eastAsia" w:ascii="仿宋_GB2312" w:eastAsia="仿宋_GB2312" w:cs="仿宋_GB2312"/>
          <w:b/>
          <w:color w:val="auto"/>
          <w:sz w:val="32"/>
          <w:szCs w:val="32"/>
          <w:lang w:val="en-US" w:eastAsia="zh-CN"/>
        </w:rPr>
      </w:pPr>
      <w:r>
        <w:rPr>
          <w:rFonts w:hint="eastAsia" w:ascii="仿宋_GB2312" w:eastAsia="仿宋_GB2312" w:cs="仿宋_GB2312"/>
          <w:color w:val="000000"/>
          <w:sz w:val="32"/>
          <w:szCs w:val="32"/>
          <w:lang w:eastAsia="zh-CN"/>
        </w:rPr>
        <w:t>2022年</w:t>
      </w:r>
      <w:r>
        <w:rPr>
          <w:rFonts w:hint="eastAsia" w:ascii="仿宋_GB2312" w:eastAsia="仿宋_GB2312" w:cs="仿宋_GB2312"/>
          <w:color w:val="000000"/>
          <w:sz w:val="32"/>
          <w:szCs w:val="32"/>
        </w:rPr>
        <w:t>，政府采购支出总额</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万元，其中：政府采购货物支出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万元、政府采购服务支出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w:t>
      </w:r>
    </w:p>
    <w:p w14:paraId="3B73E952">
      <w:pPr>
        <w:autoSpaceDE w:val="0"/>
        <w:autoSpaceDN w:val="0"/>
        <w:adjustRightInd w:val="0"/>
        <w:spacing w:line="600" w:lineRule="exact"/>
        <w:ind w:firstLine="643" w:firstLineChars="200"/>
        <w:jc w:val="left"/>
        <w:outlineLvl w:val="2"/>
        <w:rPr>
          <w:rFonts w:hint="eastAsia" w:ascii="仿宋_GB2312" w:eastAsia="仿宋_GB2312" w:cs="仿宋_GB2312"/>
          <w:b/>
          <w:color w:val="000000"/>
          <w:sz w:val="32"/>
          <w:szCs w:val="32"/>
        </w:rPr>
      </w:pPr>
      <w:bookmarkStart w:id="177" w:name="_Toc13674"/>
      <w:bookmarkStart w:id="178" w:name="_Toc15377224"/>
      <w:r>
        <w:rPr>
          <w:rFonts w:hint="eastAsia" w:ascii="仿宋_GB2312" w:eastAsia="仿宋_GB2312" w:cs="仿宋_GB2312"/>
          <w:b/>
          <w:color w:val="000000"/>
          <w:sz w:val="32"/>
          <w:szCs w:val="32"/>
        </w:rPr>
        <w:t>（三）国有资产占有使用情况</w:t>
      </w:r>
      <w:bookmarkEnd w:id="177"/>
      <w:bookmarkEnd w:id="178"/>
    </w:p>
    <w:p w14:paraId="1FE38949">
      <w:pPr>
        <w:widowControl/>
        <w:ind w:firstLine="640" w:firstLineChars="200"/>
        <w:jc w:val="left"/>
        <w:rPr>
          <w:rFonts w:hint="eastAsia" w:ascii="仿宋_GB2312" w:eastAsia="仿宋_GB2312" w:cs="仿宋_GB2312"/>
          <w:b/>
          <w:color w:val="000000"/>
          <w:sz w:val="32"/>
          <w:szCs w:val="32"/>
          <w:lang w:val="en-US" w:eastAsia="zh-CN"/>
        </w:rPr>
      </w:pPr>
      <w:r>
        <w:rPr>
          <w:rFonts w:hint="eastAsia" w:ascii="仿宋_GB2312" w:eastAsia="仿宋_GB2312" w:cs="仿宋_GB2312"/>
          <w:color w:val="000000"/>
          <w:sz w:val="32"/>
          <w:szCs w:val="32"/>
        </w:rPr>
        <w:t>截至</w:t>
      </w:r>
      <w:r>
        <w:rPr>
          <w:rFonts w:hint="eastAsia" w:ascii="仿宋_GB2312" w:eastAsia="仿宋_GB2312" w:cs="仿宋_GB2312"/>
          <w:color w:val="000000"/>
          <w:sz w:val="32"/>
          <w:szCs w:val="32"/>
          <w:lang w:eastAsia="zh-CN"/>
        </w:rPr>
        <w:t>2022年</w:t>
      </w:r>
      <w:r>
        <w:rPr>
          <w:rFonts w:hint="eastAsia" w:ascii="仿宋_GB2312" w:eastAsia="仿宋_GB2312" w:cs="仿宋_GB2312"/>
          <w:color w:val="000000"/>
          <w:sz w:val="32"/>
          <w:szCs w:val="32"/>
        </w:rPr>
        <w:t>12月31日，共有车辆</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辆</w:t>
      </w:r>
      <w:r>
        <w:rPr>
          <w:rFonts w:hint="eastAsia" w:ascii="仿宋_GB2312" w:eastAsia="仿宋_GB2312" w:cs="仿宋_GB2312"/>
          <w:color w:val="000000"/>
          <w:sz w:val="32"/>
          <w:szCs w:val="32"/>
          <w:lang w:eastAsia="zh-CN"/>
        </w:rPr>
        <w:t>。</w:t>
      </w:r>
      <w:r>
        <w:rPr>
          <w:rFonts w:hint="eastAsia" w:ascii="仿宋_GB2312" w:eastAsia="仿宋_GB2312" w:cs="仿宋_GB2312"/>
          <w:b/>
          <w:color w:val="000000"/>
          <w:sz w:val="32"/>
          <w:szCs w:val="32"/>
          <w:lang w:val="en-US" w:eastAsia="zh-CN"/>
        </w:rPr>
        <w:t xml:space="preserve">    </w:t>
      </w:r>
    </w:p>
    <w:p w14:paraId="0A02BD1C">
      <w:pPr>
        <w:pStyle w:val="2"/>
        <w:rPr>
          <w:rFonts w:hint="eastAsia"/>
          <w:lang w:val="en-US" w:eastAsia="zh-CN"/>
        </w:rPr>
      </w:pPr>
    </w:p>
    <w:p w14:paraId="2503ED78">
      <w:pPr>
        <w:numPr>
          <w:ilvl w:val="0"/>
          <w:numId w:val="3"/>
        </w:numPr>
        <w:spacing w:line="600" w:lineRule="exact"/>
        <w:ind w:left="0" w:firstLine="663" w:firstLineChars="150"/>
        <w:jc w:val="center"/>
        <w:outlineLvl w:val="0"/>
        <w:rPr>
          <w:rStyle w:val="18"/>
          <w:rFonts w:hint="eastAsia" w:ascii="仿宋_GB2312" w:eastAsia="仿宋_GB2312" w:cs="仿宋_GB2312"/>
          <w:b/>
          <w:bCs/>
        </w:rPr>
      </w:pPr>
      <w:bookmarkStart w:id="179" w:name="_Toc15396613"/>
      <w:bookmarkStart w:id="180" w:name="_Toc15377225"/>
      <w:bookmarkStart w:id="181" w:name="_Toc4580"/>
      <w:bookmarkStart w:id="182" w:name="_Toc31705"/>
      <w:bookmarkStart w:id="183" w:name="_Toc6806"/>
      <w:r>
        <w:rPr>
          <w:rStyle w:val="18"/>
          <w:rFonts w:hint="eastAsia" w:ascii="仿宋_GB2312" w:eastAsia="仿宋_GB2312" w:cs="仿宋_GB2312"/>
          <w:b/>
          <w:bCs/>
        </w:rPr>
        <w:t>名词解释</w:t>
      </w:r>
      <w:bookmarkEnd w:id="179"/>
      <w:bookmarkEnd w:id="180"/>
      <w:bookmarkEnd w:id="181"/>
    </w:p>
    <w:bookmarkEnd w:id="182"/>
    <w:bookmarkEnd w:id="183"/>
    <w:p w14:paraId="6B87329E">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1.财政拨款收入：指单位从同级财政部门取得的财政预算资金。</w:t>
      </w:r>
    </w:p>
    <w:p w14:paraId="391CA5AA">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2.事业收入：指事业单位开展专业业务活动及辅助活动取得的收入。</w:t>
      </w:r>
    </w:p>
    <w:p w14:paraId="173B366C">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3.经营收入：指事业单位在专业业务活动及其辅助活动之外开展非独立核算经营活动取得的收入。</w:t>
      </w:r>
    </w:p>
    <w:p w14:paraId="6B072AAA">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4.其他收入：指单位取得的除上述收入以外的各项收入。主要是</w:t>
      </w:r>
      <w:r>
        <w:rPr>
          <w:rFonts w:hint="eastAsia" w:ascii="仿宋_GB2312" w:eastAsia="仿宋_GB2312" w:cs="仿宋_GB2312"/>
          <w:sz w:val="32"/>
          <w:szCs w:val="32"/>
          <w:lang w:val="en-US" w:eastAsia="zh-CN"/>
        </w:rPr>
        <w:t>银行存款利息和伙食团缴费</w:t>
      </w:r>
      <w:r>
        <w:rPr>
          <w:rFonts w:hint="eastAsia" w:ascii="仿宋_GB2312" w:eastAsia="仿宋_GB2312" w:cs="仿宋_GB2312"/>
          <w:sz w:val="32"/>
          <w:szCs w:val="32"/>
        </w:rPr>
        <w:t xml:space="preserve">等。 </w:t>
      </w:r>
    </w:p>
    <w:p w14:paraId="51D08F31">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 xml:space="preserve">5. 年初结转和结余：指以前年度尚未完成、结转到本年按有关规定继续使用的资金。 </w:t>
      </w:r>
    </w:p>
    <w:p w14:paraId="473BB78E">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.结余分配：指事业单位按照事业单位会计制度的规定从非财政补助结余中分配的事业基金和职工福利基金等。</w:t>
      </w:r>
    </w:p>
    <w:p w14:paraId="46C7D6D7">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、年末结转和结余：指单位按有关规定结转到下年或以后年度继续使用的资金。</w:t>
      </w:r>
    </w:p>
    <w:p w14:paraId="2272D369">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8</w:t>
      </w:r>
      <w:r>
        <w:rPr>
          <w:rFonts w:hint="eastAsia" w:ascii="仿宋_GB2312" w:eastAsia="仿宋_GB2312" w:cs="仿宋_GB2312"/>
          <w:color w:val="000000"/>
          <w:sz w:val="32"/>
          <w:szCs w:val="32"/>
        </w:rPr>
        <w:t>.</w:t>
      </w:r>
      <w:r>
        <w:rPr>
          <w:rFonts w:hint="eastAsia" w:ascii="仿宋_GB2312" w:eastAsia="仿宋_GB2312" w:cs="仿宋_GB2312"/>
          <w:color w:val="000000"/>
          <w:kern w:val="0"/>
          <w:sz w:val="32"/>
          <w:szCs w:val="32"/>
          <w:lang w:val="en-US" w:eastAsia="zh-CN" w:bidi="ar-SA"/>
        </w:rPr>
        <w:t>一般公共服务支出（类）政府办公厅（室）及相关机构事务（款）事业运行（项）：指事业单位的基本支出</w:t>
      </w:r>
      <w:r>
        <w:rPr>
          <w:rFonts w:hint="eastAsia" w:ascii="仿宋_GB2312" w:eastAsia="仿宋_GB2312" w:cs="仿宋_GB2312"/>
          <w:color w:val="000000"/>
          <w:sz w:val="32"/>
          <w:szCs w:val="32"/>
        </w:rPr>
        <w:t>。</w:t>
      </w:r>
    </w:p>
    <w:p w14:paraId="6F752688">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w:t>
      </w:r>
      <w:r>
        <w:rPr>
          <w:rFonts w:hint="eastAsia" w:ascii="仿宋_GB2312" w:eastAsia="仿宋_GB2312" w:cs="仿宋_GB2312"/>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s="仿宋_GB2312"/>
          <w:color w:val="000000"/>
          <w:sz w:val="32"/>
          <w:szCs w:val="32"/>
        </w:rPr>
        <w:t>指</w:t>
      </w:r>
      <w:r>
        <w:rPr>
          <w:rFonts w:hint="eastAsia" w:ascii="仿宋_GB2312" w:eastAsia="仿宋_GB2312" w:cs="仿宋_GB2312"/>
          <w:color w:val="000000"/>
          <w:sz w:val="32"/>
          <w:szCs w:val="32"/>
          <w:lang w:val="en-US" w:eastAsia="zh-CN"/>
        </w:rPr>
        <w:t>单位为职工缴纳的基本养老保险费</w:t>
      </w:r>
      <w:r>
        <w:rPr>
          <w:rFonts w:hint="eastAsia" w:ascii="仿宋_GB2312" w:eastAsia="仿宋_GB2312" w:cs="仿宋_GB2312"/>
          <w:color w:val="000000"/>
          <w:sz w:val="32"/>
          <w:szCs w:val="32"/>
        </w:rPr>
        <w:t>。</w:t>
      </w:r>
    </w:p>
    <w:p w14:paraId="6F819D46">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10</w:t>
      </w:r>
      <w:r>
        <w:rPr>
          <w:rFonts w:hint="eastAsia" w:ascii="仿宋_GB2312" w:eastAsia="仿宋_GB2312" w:cs="仿宋_GB2312"/>
          <w:color w:val="000000"/>
          <w:sz w:val="32"/>
          <w:szCs w:val="32"/>
        </w:rPr>
        <w:t>.</w:t>
      </w:r>
      <w:r>
        <w:rPr>
          <w:rFonts w:hint="eastAsia" w:ascii="仿宋_GB2312" w:eastAsia="仿宋_GB2312" w:cs="仿宋_GB2312"/>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s="仿宋_GB2312"/>
          <w:color w:val="000000"/>
          <w:sz w:val="32"/>
          <w:szCs w:val="32"/>
        </w:rPr>
        <w:t>指</w:t>
      </w:r>
      <w:r>
        <w:rPr>
          <w:rFonts w:hint="eastAsia" w:ascii="仿宋_GB2312" w:eastAsia="仿宋_GB2312" w:cs="仿宋_GB2312"/>
          <w:color w:val="000000"/>
          <w:sz w:val="32"/>
          <w:szCs w:val="32"/>
          <w:lang w:val="en-US" w:eastAsia="zh-CN"/>
        </w:rPr>
        <w:t>单位为职工实际缴纳的职业年金</w:t>
      </w:r>
      <w:r>
        <w:rPr>
          <w:rFonts w:hint="eastAsia" w:ascii="仿宋_GB2312" w:eastAsia="仿宋_GB2312" w:cs="仿宋_GB2312"/>
          <w:color w:val="000000"/>
          <w:sz w:val="32"/>
          <w:szCs w:val="32"/>
        </w:rPr>
        <w:t>。</w:t>
      </w:r>
    </w:p>
    <w:p w14:paraId="625DC9AB">
      <w:pPr>
        <w:ind w:firstLine="640" w:firstLineChars="200"/>
        <w:rPr>
          <w:rFonts w:hint="eastAsia" w:ascii="仿宋_GB2312" w:eastAsia="仿宋_GB2312" w:cs="仿宋_GB2312"/>
          <w:color w:val="000000"/>
          <w:sz w:val="32"/>
          <w:szCs w:val="32"/>
          <w:lang w:val="en-US" w:eastAsia="zh-CN"/>
        </w:rPr>
      </w:pPr>
      <w:r>
        <w:rPr>
          <w:rFonts w:hint="eastAsia" w:ascii="仿宋_GB2312" w:eastAsia="仿宋_GB2312" w:cs="仿宋_GB2312"/>
          <w:color w:val="000000"/>
          <w:sz w:val="32"/>
          <w:szCs w:val="32"/>
          <w:lang w:val="en-US" w:eastAsia="zh-CN"/>
        </w:rPr>
        <w:t>11.</w:t>
      </w:r>
      <w:r>
        <w:rPr>
          <w:rFonts w:hint="eastAsia" w:ascii="仿宋_GB2312" w:eastAsia="仿宋_GB2312" w:cs="仿宋_GB2312"/>
          <w:color w:val="000000"/>
          <w:sz w:val="32"/>
          <w:szCs w:val="32"/>
        </w:rPr>
        <w:t>卫生</w:t>
      </w:r>
      <w:r>
        <w:rPr>
          <w:rFonts w:hint="eastAsia" w:ascii="仿宋_GB2312" w:eastAsia="仿宋_GB2312" w:cs="仿宋_GB2312"/>
          <w:color w:val="000000"/>
          <w:sz w:val="32"/>
          <w:szCs w:val="32"/>
          <w:lang w:eastAsia="zh-CN"/>
        </w:rPr>
        <w:t>健康支出</w:t>
      </w:r>
      <w:r>
        <w:rPr>
          <w:rFonts w:hint="eastAsia" w:ascii="仿宋_GB2312" w:eastAsia="仿宋_GB2312" w:cs="仿宋_GB2312"/>
          <w:color w:val="000000"/>
          <w:sz w:val="32"/>
          <w:szCs w:val="32"/>
        </w:rPr>
        <w:t>（类）</w:t>
      </w:r>
      <w:r>
        <w:rPr>
          <w:rFonts w:hint="eastAsia" w:ascii="仿宋_GB2312" w:eastAsia="仿宋_GB2312" w:cs="仿宋_GB2312"/>
          <w:color w:val="000000"/>
          <w:sz w:val="32"/>
          <w:szCs w:val="32"/>
          <w:lang w:eastAsia="zh-CN"/>
        </w:rPr>
        <w:t>公共卫生</w:t>
      </w:r>
      <w:r>
        <w:rPr>
          <w:rFonts w:hint="eastAsia" w:ascii="仿宋_GB2312" w:eastAsia="仿宋_GB2312" w:cs="仿宋_GB2312"/>
          <w:color w:val="000000"/>
          <w:sz w:val="32"/>
          <w:szCs w:val="32"/>
        </w:rPr>
        <w:t>（款）</w:t>
      </w:r>
      <w:r>
        <w:rPr>
          <w:rFonts w:hint="eastAsia" w:ascii="仿宋_GB2312" w:eastAsia="仿宋_GB2312" w:cs="仿宋_GB2312"/>
          <w:color w:val="000000"/>
          <w:sz w:val="32"/>
          <w:szCs w:val="32"/>
          <w:lang w:val="en-US" w:eastAsia="zh-CN"/>
        </w:rPr>
        <w:t>突发公共卫生事件应急处理</w:t>
      </w:r>
      <w:r>
        <w:rPr>
          <w:rFonts w:hint="eastAsia" w:ascii="仿宋_GB2312" w:eastAsia="仿宋_GB2312" w:cs="仿宋_GB2312"/>
          <w:color w:val="000000"/>
          <w:sz w:val="32"/>
          <w:szCs w:val="32"/>
        </w:rPr>
        <w:t>（项）：</w:t>
      </w:r>
      <w:r>
        <w:rPr>
          <w:rFonts w:hint="eastAsia" w:ascii="仿宋_GB2312" w:eastAsia="仿宋_GB2312" w:cs="仿宋_GB2312"/>
          <w:color w:val="000000"/>
          <w:sz w:val="32"/>
          <w:szCs w:val="32"/>
          <w:lang w:eastAsia="zh-CN"/>
        </w:rPr>
        <w:t>反映用于突发公共卫生事件应急处理的支出。</w:t>
      </w:r>
    </w:p>
    <w:p w14:paraId="607909DF">
      <w:pPr>
        <w:ind w:firstLine="640" w:firstLineChars="200"/>
        <w:rPr>
          <w:rFonts w:hint="eastAsia" w:ascii="仿宋_GB2312" w:eastAsia="仿宋_GB2312" w:cs="仿宋_GB2312"/>
          <w:color w:val="000000"/>
          <w:sz w:val="32"/>
          <w:szCs w:val="32"/>
          <w:lang w:val="en-US" w:eastAsia="zh-CN"/>
        </w:rPr>
      </w:pPr>
      <w:r>
        <w:rPr>
          <w:rFonts w:hint="eastAsia" w:ascii="仿宋_GB2312" w:eastAsia="仿宋_GB2312" w:cs="仿宋_GB2312"/>
          <w:color w:val="000000"/>
          <w:sz w:val="32"/>
          <w:szCs w:val="32"/>
          <w:lang w:val="en-US" w:eastAsia="zh-CN"/>
        </w:rPr>
        <w:t>12</w:t>
      </w:r>
      <w:r>
        <w:rPr>
          <w:rFonts w:hint="eastAsia" w:ascii="仿宋_GB2312" w:eastAsia="仿宋_GB2312" w:cs="仿宋_GB2312"/>
          <w:color w:val="000000"/>
          <w:sz w:val="32"/>
          <w:szCs w:val="32"/>
        </w:rPr>
        <w:t>.卫生</w:t>
      </w:r>
      <w:r>
        <w:rPr>
          <w:rFonts w:hint="eastAsia" w:ascii="仿宋_GB2312" w:eastAsia="仿宋_GB2312" w:cs="仿宋_GB2312"/>
          <w:color w:val="000000"/>
          <w:sz w:val="32"/>
          <w:szCs w:val="32"/>
          <w:lang w:eastAsia="zh-CN"/>
        </w:rPr>
        <w:t>健康支出</w:t>
      </w:r>
      <w:r>
        <w:rPr>
          <w:rFonts w:hint="eastAsia" w:ascii="仿宋_GB2312" w:eastAsia="仿宋_GB2312" w:cs="仿宋_GB2312"/>
          <w:color w:val="000000"/>
          <w:sz w:val="32"/>
          <w:szCs w:val="32"/>
        </w:rPr>
        <w:t>（类）</w:t>
      </w:r>
      <w:r>
        <w:rPr>
          <w:rFonts w:hint="eastAsia" w:ascii="仿宋_GB2312" w:eastAsia="仿宋_GB2312" w:cs="仿宋_GB2312"/>
          <w:color w:val="000000"/>
          <w:sz w:val="32"/>
          <w:szCs w:val="32"/>
          <w:lang w:val="en-US" w:eastAsia="zh-CN"/>
        </w:rPr>
        <w:t>行政事业单位医疗</w:t>
      </w:r>
      <w:r>
        <w:rPr>
          <w:rFonts w:hint="eastAsia" w:ascii="仿宋_GB2312" w:eastAsia="仿宋_GB2312" w:cs="仿宋_GB2312"/>
          <w:color w:val="000000"/>
          <w:sz w:val="32"/>
          <w:szCs w:val="32"/>
        </w:rPr>
        <w:t>（款）</w:t>
      </w:r>
      <w:r>
        <w:rPr>
          <w:rFonts w:hint="eastAsia" w:ascii="仿宋_GB2312" w:eastAsia="仿宋_GB2312" w:cs="仿宋_GB2312"/>
          <w:color w:val="000000"/>
          <w:sz w:val="32"/>
          <w:szCs w:val="32"/>
          <w:lang w:val="en-US" w:eastAsia="zh-CN"/>
        </w:rPr>
        <w:t>事业单位医疗</w:t>
      </w:r>
      <w:r>
        <w:rPr>
          <w:rFonts w:hint="eastAsia" w:ascii="仿宋_GB2312" w:eastAsia="仿宋_GB2312" w:cs="仿宋_GB2312"/>
          <w:color w:val="000000"/>
          <w:sz w:val="32"/>
          <w:szCs w:val="32"/>
        </w:rPr>
        <w:t>（项）：指</w:t>
      </w:r>
      <w:r>
        <w:rPr>
          <w:rFonts w:hint="eastAsia" w:ascii="仿宋_GB2312" w:eastAsia="仿宋_GB2312" w:cs="仿宋_GB2312"/>
          <w:color w:val="000000"/>
          <w:sz w:val="32"/>
          <w:szCs w:val="32"/>
          <w:lang w:val="en-US" w:eastAsia="zh-CN"/>
        </w:rPr>
        <w:t>反映财政部门安排的事业单位基本医疗保险缴纳费经费，未参加医疗保险的事业单位的公费医疗经费，按照国家规定享受离休人员待遇的医疗经费。</w:t>
      </w:r>
    </w:p>
    <w:p w14:paraId="5B48296F">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13</w:t>
      </w:r>
      <w:r>
        <w:rPr>
          <w:rFonts w:hint="eastAsia" w:ascii="仿宋_GB2312" w:eastAsia="仿宋_GB2312" w:cs="仿宋_GB2312"/>
          <w:color w:val="000000"/>
          <w:sz w:val="32"/>
          <w:szCs w:val="32"/>
        </w:rPr>
        <w:t>.卫生</w:t>
      </w:r>
      <w:r>
        <w:rPr>
          <w:rFonts w:hint="eastAsia" w:ascii="仿宋_GB2312" w:eastAsia="仿宋_GB2312" w:cs="仿宋_GB2312"/>
          <w:color w:val="000000"/>
          <w:sz w:val="32"/>
          <w:szCs w:val="32"/>
          <w:lang w:eastAsia="zh-CN"/>
        </w:rPr>
        <w:t>健康支出</w:t>
      </w:r>
      <w:r>
        <w:rPr>
          <w:rFonts w:hint="eastAsia" w:ascii="仿宋_GB2312" w:eastAsia="仿宋_GB2312" w:cs="仿宋_GB2312"/>
          <w:color w:val="000000"/>
          <w:sz w:val="32"/>
          <w:szCs w:val="32"/>
        </w:rPr>
        <w:t>（类）</w:t>
      </w:r>
      <w:r>
        <w:rPr>
          <w:rFonts w:hint="eastAsia" w:ascii="仿宋_GB2312" w:eastAsia="仿宋_GB2312" w:cs="仿宋_GB2312"/>
          <w:color w:val="000000"/>
          <w:sz w:val="32"/>
          <w:szCs w:val="32"/>
          <w:lang w:val="en-US" w:eastAsia="zh-CN"/>
        </w:rPr>
        <w:t>行政事业单位医疗</w:t>
      </w:r>
      <w:r>
        <w:rPr>
          <w:rFonts w:hint="eastAsia" w:ascii="仿宋_GB2312" w:eastAsia="仿宋_GB2312" w:cs="仿宋_GB2312"/>
          <w:color w:val="000000"/>
          <w:sz w:val="32"/>
          <w:szCs w:val="32"/>
        </w:rPr>
        <w:t>（款）</w:t>
      </w:r>
      <w:r>
        <w:rPr>
          <w:rFonts w:hint="eastAsia" w:ascii="仿宋_GB2312" w:eastAsia="仿宋_GB2312" w:cs="仿宋_GB2312"/>
          <w:color w:val="000000"/>
          <w:sz w:val="32"/>
          <w:szCs w:val="32"/>
          <w:lang w:val="en-US" w:eastAsia="zh-CN"/>
        </w:rPr>
        <w:t>其他行政事业单位医疗支出</w:t>
      </w:r>
      <w:r>
        <w:rPr>
          <w:rFonts w:hint="eastAsia" w:ascii="仿宋_GB2312" w:eastAsia="仿宋_GB2312" w:cs="仿宋_GB2312"/>
          <w:color w:val="000000"/>
          <w:sz w:val="32"/>
          <w:szCs w:val="32"/>
        </w:rPr>
        <w:t>（项）：</w:t>
      </w:r>
      <w:r>
        <w:rPr>
          <w:rFonts w:hint="eastAsia" w:ascii="仿宋_GB2312" w:eastAsia="仿宋_GB2312" w:cs="仿宋_GB2312"/>
          <w:color w:val="000000"/>
          <w:sz w:val="32"/>
          <w:szCs w:val="32"/>
          <w:lang w:eastAsia="zh-CN"/>
        </w:rPr>
        <w:t>反映除上述项目以外的其他用于行政事业单位医疗方面的支出</w:t>
      </w:r>
      <w:r>
        <w:rPr>
          <w:rFonts w:hint="eastAsia" w:ascii="仿宋_GB2312" w:eastAsia="仿宋_GB2312" w:cs="仿宋_GB2312"/>
          <w:color w:val="000000"/>
          <w:sz w:val="32"/>
          <w:szCs w:val="32"/>
        </w:rPr>
        <w:t>。</w:t>
      </w:r>
    </w:p>
    <w:p w14:paraId="2A574886">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14</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住房保障（类）住房改革支出（款）住房公积金（项）</w:t>
      </w:r>
      <w:r>
        <w:rPr>
          <w:rFonts w:hint="eastAsia" w:ascii="仿宋_GB2312" w:eastAsia="仿宋_GB2312" w:cs="仿宋_GB2312"/>
          <w:color w:val="000000"/>
          <w:sz w:val="32"/>
          <w:szCs w:val="32"/>
        </w:rPr>
        <w:t>：指</w:t>
      </w:r>
      <w:r>
        <w:rPr>
          <w:rFonts w:hint="eastAsia" w:ascii="仿宋_GB2312" w:eastAsia="仿宋_GB2312" w:cs="仿宋_GB2312"/>
          <w:color w:val="000000"/>
          <w:sz w:val="32"/>
          <w:szCs w:val="32"/>
          <w:lang w:val="en-US" w:eastAsia="zh-CN"/>
        </w:rPr>
        <w:t>单位按规定为职工缴纳的住房公积金</w:t>
      </w:r>
      <w:r>
        <w:rPr>
          <w:rFonts w:hint="eastAsia" w:ascii="仿宋_GB2312" w:eastAsia="仿宋_GB2312" w:cs="仿宋_GB2312"/>
          <w:color w:val="000000"/>
          <w:sz w:val="32"/>
          <w:szCs w:val="32"/>
        </w:rPr>
        <w:t>。</w:t>
      </w:r>
    </w:p>
    <w:p w14:paraId="72D78D65">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15</w:t>
      </w:r>
      <w:r>
        <w:rPr>
          <w:rFonts w:hint="eastAsia" w:ascii="仿宋_GB2312" w:eastAsia="仿宋_GB2312" w:cs="仿宋_GB2312"/>
          <w:color w:val="000000"/>
          <w:sz w:val="32"/>
          <w:szCs w:val="32"/>
        </w:rPr>
        <w:t>.基本支出：指为保障机构正常运转、完成日常工作任务而发生的人员支出和公用支出。</w:t>
      </w:r>
    </w:p>
    <w:p w14:paraId="306FD0D2">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val="en-US" w:eastAsia="zh-CN"/>
        </w:rPr>
        <w:t>16</w:t>
      </w:r>
      <w:r>
        <w:rPr>
          <w:rFonts w:hint="eastAsia" w:ascii="仿宋_GB2312" w:eastAsia="仿宋_GB2312" w:cs="仿宋_GB2312"/>
          <w:color w:val="000000"/>
          <w:sz w:val="32"/>
          <w:szCs w:val="32"/>
        </w:rPr>
        <w:t xml:space="preserve">.项目支出：指在基本支出之外为完成特定行政任务和事业发展目标所发生的支出。 </w:t>
      </w:r>
    </w:p>
    <w:p w14:paraId="39D7EC67">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17</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A045B92">
      <w:pPr>
        <w:pStyle w:val="23"/>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18</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A5510E2">
      <w:pPr>
        <w:spacing w:line="600" w:lineRule="exact"/>
        <w:jc w:val="center"/>
        <w:outlineLvl w:val="0"/>
        <w:rPr>
          <w:rFonts w:hint="eastAsia" w:ascii="仿宋_GB2312" w:eastAsia="仿宋_GB2312" w:cs="仿宋_GB2312"/>
          <w:color w:val="000000"/>
          <w:sz w:val="44"/>
          <w:szCs w:val="44"/>
        </w:rPr>
      </w:pPr>
      <w:bookmarkStart w:id="184" w:name="_Toc15396614"/>
      <w:bookmarkStart w:id="185" w:name="_Toc15377226"/>
    </w:p>
    <w:p w14:paraId="598F5F37">
      <w:pPr>
        <w:spacing w:line="600" w:lineRule="exact"/>
        <w:jc w:val="both"/>
        <w:outlineLvl w:val="0"/>
        <w:rPr>
          <w:rFonts w:hint="eastAsia" w:ascii="仿宋_GB2312" w:eastAsia="仿宋_GB2312" w:cs="仿宋_GB2312"/>
          <w:color w:val="000000"/>
          <w:sz w:val="44"/>
          <w:szCs w:val="44"/>
        </w:rPr>
      </w:pPr>
    </w:p>
    <w:p w14:paraId="5234F054">
      <w:pPr>
        <w:spacing w:line="600" w:lineRule="exact"/>
        <w:jc w:val="center"/>
        <w:outlineLvl w:val="0"/>
        <w:rPr>
          <w:rFonts w:hint="eastAsia" w:ascii="仿宋_GB2312" w:eastAsia="仿宋_GB2312" w:cs="仿宋_GB2312"/>
          <w:color w:val="000000"/>
          <w:sz w:val="44"/>
          <w:szCs w:val="44"/>
        </w:rPr>
      </w:pPr>
    </w:p>
    <w:p w14:paraId="669FABE3">
      <w:pPr>
        <w:spacing w:line="600" w:lineRule="exact"/>
        <w:jc w:val="center"/>
        <w:outlineLvl w:val="0"/>
        <w:rPr>
          <w:rFonts w:hint="eastAsia" w:ascii="仿宋_GB2312" w:eastAsia="仿宋_GB2312" w:cs="仿宋_GB2312"/>
          <w:color w:val="000000"/>
          <w:sz w:val="44"/>
          <w:szCs w:val="44"/>
        </w:rPr>
      </w:pPr>
    </w:p>
    <w:p w14:paraId="21C801DE">
      <w:pPr>
        <w:spacing w:line="600" w:lineRule="exact"/>
        <w:jc w:val="center"/>
        <w:outlineLvl w:val="0"/>
        <w:rPr>
          <w:rFonts w:hint="eastAsia" w:ascii="仿宋_GB2312" w:eastAsia="仿宋_GB2312" w:cs="仿宋_GB2312"/>
          <w:color w:val="000000"/>
          <w:sz w:val="44"/>
          <w:szCs w:val="44"/>
        </w:rPr>
      </w:pPr>
    </w:p>
    <w:p w14:paraId="70427041">
      <w:pPr>
        <w:spacing w:line="600" w:lineRule="exact"/>
        <w:jc w:val="center"/>
        <w:outlineLvl w:val="0"/>
        <w:rPr>
          <w:rFonts w:hint="eastAsia" w:ascii="仿宋_GB2312" w:eastAsia="仿宋_GB2312" w:cs="仿宋_GB2312"/>
          <w:color w:val="000000"/>
          <w:sz w:val="44"/>
          <w:szCs w:val="44"/>
        </w:rPr>
      </w:pPr>
    </w:p>
    <w:p w14:paraId="4E858F9C">
      <w:pPr>
        <w:spacing w:line="600" w:lineRule="exact"/>
        <w:jc w:val="center"/>
        <w:outlineLvl w:val="0"/>
        <w:rPr>
          <w:rFonts w:hint="eastAsia" w:ascii="仿宋_GB2312" w:eastAsia="仿宋_GB2312" w:cs="仿宋_GB2312"/>
          <w:color w:val="000000"/>
          <w:sz w:val="44"/>
          <w:szCs w:val="44"/>
        </w:rPr>
      </w:pPr>
    </w:p>
    <w:p w14:paraId="4775C10D">
      <w:pPr>
        <w:pStyle w:val="6"/>
        <w:rPr>
          <w:rFonts w:hint="eastAsia" w:ascii="仿宋_GB2312" w:eastAsia="仿宋_GB2312" w:cs="仿宋_GB2312"/>
          <w:color w:val="000000"/>
          <w:sz w:val="44"/>
          <w:szCs w:val="44"/>
        </w:rPr>
      </w:pPr>
    </w:p>
    <w:p w14:paraId="0FA9748C">
      <w:pPr>
        <w:spacing w:line="600" w:lineRule="exact"/>
        <w:jc w:val="center"/>
        <w:outlineLvl w:val="0"/>
        <w:rPr>
          <w:rFonts w:hint="eastAsia" w:ascii="仿宋_GB2312" w:eastAsia="仿宋_GB2312" w:cs="仿宋_GB2312"/>
          <w:color w:val="000000"/>
          <w:sz w:val="44"/>
          <w:szCs w:val="44"/>
        </w:rPr>
      </w:pPr>
    </w:p>
    <w:p w14:paraId="6298C2EF">
      <w:pPr>
        <w:spacing w:line="600" w:lineRule="exact"/>
        <w:jc w:val="center"/>
        <w:outlineLvl w:val="0"/>
        <w:rPr>
          <w:rFonts w:hint="eastAsia" w:ascii="仿宋_GB2312" w:eastAsia="仿宋_GB2312" w:cs="仿宋_GB2312"/>
          <w:color w:val="000000"/>
          <w:sz w:val="44"/>
          <w:szCs w:val="44"/>
        </w:rPr>
      </w:pPr>
    </w:p>
    <w:p w14:paraId="14325CDA">
      <w:pPr>
        <w:spacing w:line="600" w:lineRule="exact"/>
        <w:jc w:val="both"/>
        <w:outlineLvl w:val="0"/>
        <w:rPr>
          <w:rFonts w:hint="eastAsia" w:ascii="仿宋_GB2312" w:eastAsia="仿宋_GB2312" w:cs="仿宋_GB2312"/>
          <w:color w:val="000000"/>
          <w:sz w:val="44"/>
          <w:szCs w:val="44"/>
        </w:rPr>
      </w:pPr>
    </w:p>
    <w:p w14:paraId="3986B345">
      <w:pPr>
        <w:pStyle w:val="2"/>
        <w:rPr>
          <w:rFonts w:hint="eastAsia" w:ascii="仿宋_GB2312" w:eastAsia="仿宋_GB2312" w:cs="仿宋_GB2312"/>
          <w:color w:val="000000"/>
          <w:sz w:val="44"/>
          <w:szCs w:val="44"/>
        </w:rPr>
      </w:pPr>
    </w:p>
    <w:p w14:paraId="4B68DBA7">
      <w:pPr>
        <w:rPr>
          <w:rFonts w:hint="eastAsia" w:ascii="仿宋_GB2312" w:eastAsia="仿宋_GB2312" w:cs="仿宋_GB2312"/>
          <w:color w:val="000000"/>
          <w:sz w:val="44"/>
          <w:szCs w:val="44"/>
        </w:rPr>
      </w:pPr>
    </w:p>
    <w:p w14:paraId="56EED313">
      <w:pPr>
        <w:pStyle w:val="2"/>
        <w:rPr>
          <w:rFonts w:hint="eastAsia" w:ascii="仿宋_GB2312" w:eastAsia="仿宋_GB2312" w:cs="仿宋_GB2312"/>
          <w:color w:val="000000"/>
          <w:sz w:val="44"/>
          <w:szCs w:val="44"/>
        </w:rPr>
      </w:pPr>
    </w:p>
    <w:p w14:paraId="4666D140">
      <w:pPr>
        <w:rPr>
          <w:rFonts w:hint="eastAsia" w:ascii="仿宋_GB2312" w:eastAsia="仿宋_GB2312" w:cs="仿宋_GB2312"/>
          <w:color w:val="000000"/>
          <w:sz w:val="44"/>
          <w:szCs w:val="44"/>
        </w:rPr>
      </w:pPr>
    </w:p>
    <w:p w14:paraId="1DB70298">
      <w:pPr>
        <w:pStyle w:val="2"/>
        <w:rPr>
          <w:rFonts w:hint="eastAsia" w:ascii="仿宋_GB2312" w:eastAsia="仿宋_GB2312" w:cs="仿宋_GB2312"/>
          <w:color w:val="000000"/>
          <w:sz w:val="44"/>
          <w:szCs w:val="44"/>
        </w:rPr>
      </w:pPr>
    </w:p>
    <w:p w14:paraId="3A87F0CC">
      <w:pPr>
        <w:rPr>
          <w:rFonts w:hint="eastAsia"/>
        </w:rPr>
      </w:pPr>
    </w:p>
    <w:p w14:paraId="3767C27D">
      <w:pPr>
        <w:numPr>
          <w:ilvl w:val="0"/>
          <w:numId w:val="3"/>
        </w:numPr>
        <w:spacing w:line="600" w:lineRule="exact"/>
        <w:ind w:left="0" w:firstLine="663" w:firstLineChars="150"/>
        <w:jc w:val="center"/>
        <w:outlineLvl w:val="0"/>
        <w:rPr>
          <w:rStyle w:val="18"/>
          <w:rFonts w:hint="eastAsia" w:ascii="仿宋_GB2312" w:eastAsia="仿宋_GB2312" w:cs="仿宋_GB2312"/>
          <w:b/>
          <w:bCs w:val="0"/>
        </w:rPr>
      </w:pPr>
      <w:bookmarkStart w:id="186" w:name="_Toc26512"/>
      <w:bookmarkStart w:id="187" w:name="_Toc17647"/>
      <w:bookmarkStart w:id="188" w:name="_Toc27820"/>
      <w:bookmarkStart w:id="189" w:name="_Toc9035"/>
      <w:bookmarkStart w:id="190" w:name="_Toc5876"/>
      <w:r>
        <w:rPr>
          <w:rStyle w:val="18"/>
          <w:rFonts w:hint="eastAsia" w:ascii="仿宋_GB2312" w:eastAsia="仿宋_GB2312" w:cs="仿宋_GB2312"/>
          <w:b/>
          <w:bCs w:val="0"/>
          <w:lang w:val="en-US"/>
        </w:rPr>
        <w:t>部门整体支出绩效报告</w:t>
      </w:r>
      <w:bookmarkEnd w:id="184"/>
      <w:bookmarkEnd w:id="186"/>
    </w:p>
    <w:bookmarkEnd w:id="187"/>
    <w:p w14:paraId="0AEDA6A7">
      <w:pPr>
        <w:pStyle w:val="6"/>
        <w:rPr>
          <w:rFonts w:hint="eastAsia"/>
          <w:b/>
          <w:bCs w:val="0"/>
        </w:rPr>
      </w:pPr>
    </w:p>
    <w:bookmarkEnd w:id="185"/>
    <w:bookmarkEnd w:id="188"/>
    <w:bookmarkEnd w:id="189"/>
    <w:bookmarkEnd w:id="190"/>
    <w:p w14:paraId="5FA30F84">
      <w:pPr>
        <w:keepNext w:val="0"/>
        <w:keepLines w:val="0"/>
        <w:pageBreakBefore w:val="0"/>
        <w:widowControl/>
        <w:kinsoku/>
        <w:wordWrap/>
        <w:overflowPunct/>
        <w:topLinePunct w:val="0"/>
        <w:autoSpaceDE/>
        <w:autoSpaceDN/>
        <w:bidi w:val="0"/>
        <w:spacing w:line="552" w:lineRule="exact"/>
        <w:ind w:firstLine="1760" w:firstLineChars="400"/>
        <w:jc w:val="both"/>
        <w:textAlignment w:val="auto"/>
        <w:rPr>
          <w:rFonts w:ascii="方正小标宋简体" w:eastAsia="方正小标宋简体" w:cs="方正小标宋简体"/>
          <w:sz w:val="44"/>
          <w:szCs w:val="44"/>
        </w:rPr>
      </w:pPr>
      <w:r>
        <w:rPr>
          <w:rFonts w:hint="eastAsia" w:ascii="方正小标宋简体" w:eastAsia="方正小标宋简体" w:cs="方正小标宋简体"/>
          <w:sz w:val="44"/>
          <w:szCs w:val="44"/>
        </w:rPr>
        <w:t>金川县人大常委会办公室</w:t>
      </w:r>
    </w:p>
    <w:p w14:paraId="05D7B09A">
      <w:pPr>
        <w:keepNext w:val="0"/>
        <w:keepLines w:val="0"/>
        <w:pageBreakBefore w:val="0"/>
        <w:widowControl/>
        <w:kinsoku/>
        <w:wordWrap/>
        <w:overflowPunct/>
        <w:topLinePunct w:val="0"/>
        <w:autoSpaceDE/>
        <w:autoSpaceDN/>
        <w:bidi w:val="0"/>
        <w:adjustRightInd w:val="0"/>
        <w:snapToGrid w:val="0"/>
        <w:spacing w:line="552" w:lineRule="exact"/>
        <w:contextualSpacing/>
        <w:jc w:val="center"/>
        <w:textAlignment w:val="auto"/>
        <w:rPr>
          <w:rFonts w:hint="eastAsia" w:ascii="方正小标宋简体" w:eastAsia="方正小标宋简体" w:cs="方正小标宋简体"/>
          <w:sz w:val="44"/>
          <w:szCs w:val="44"/>
        </w:rPr>
      </w:pPr>
      <w:r>
        <w:rPr>
          <w:rFonts w:hint="eastAsia" w:ascii="方正小标宋简体" w:eastAsia="方正小标宋简体" w:cs="方正小标宋简体"/>
          <w:sz w:val="44"/>
          <w:szCs w:val="44"/>
          <w:lang w:eastAsia="zh-CN"/>
        </w:rPr>
        <w:t>2022年</w:t>
      </w:r>
      <w:r>
        <w:rPr>
          <w:rFonts w:hint="eastAsia" w:ascii="方正小标宋简体" w:eastAsia="方正小标宋简体" w:cs="方正小标宋简体"/>
          <w:sz w:val="44"/>
          <w:szCs w:val="44"/>
        </w:rPr>
        <w:t>部门整体支出绩效报告</w:t>
      </w:r>
    </w:p>
    <w:p w14:paraId="54DA119A">
      <w:pPr>
        <w:keepNext w:val="0"/>
        <w:keepLines w:val="0"/>
        <w:pageBreakBefore w:val="0"/>
        <w:widowControl/>
        <w:kinsoku/>
        <w:wordWrap/>
        <w:overflowPunct/>
        <w:topLinePunct w:val="0"/>
        <w:autoSpaceDE/>
        <w:autoSpaceDN/>
        <w:bidi w:val="0"/>
        <w:adjustRightInd w:val="0"/>
        <w:snapToGrid w:val="0"/>
        <w:spacing w:line="552" w:lineRule="exact"/>
        <w:ind w:firstLine="880" w:firstLineChars="200"/>
        <w:contextualSpacing/>
        <w:jc w:val="left"/>
        <w:textAlignment w:val="auto"/>
        <w:rPr>
          <w:rFonts w:hint="eastAsia" w:ascii="方正小标宋简体" w:eastAsia="方正小标宋简体" w:cs="方正小标宋简体"/>
          <w:sz w:val="44"/>
          <w:szCs w:val="44"/>
        </w:rPr>
      </w:pPr>
    </w:p>
    <w:p w14:paraId="7762CCA4">
      <w:pPr>
        <w:keepNext w:val="0"/>
        <w:keepLines w:val="0"/>
        <w:pageBreakBefore w:val="0"/>
        <w:widowControl/>
        <w:kinsoku/>
        <w:wordWrap/>
        <w:overflowPunct/>
        <w:topLinePunct w:val="0"/>
        <w:autoSpaceDE/>
        <w:autoSpaceDN/>
        <w:bidi w:val="0"/>
        <w:adjustRightInd w:val="0"/>
        <w:snapToGrid w:val="0"/>
        <w:spacing w:line="552" w:lineRule="exact"/>
        <w:ind w:firstLine="640" w:firstLineChars="200"/>
        <w:textAlignment w:val="auto"/>
        <w:rPr>
          <w:rFonts w:hint="eastAsia" w:ascii="仿宋_GB2312" w:eastAsia="仿宋_GB2312"/>
          <w:bCs/>
          <w:color w:val="000000"/>
          <w:sz w:val="32"/>
          <w:szCs w:val="32"/>
          <w:lang w:eastAsia="zh-CN"/>
        </w:rPr>
      </w:pPr>
      <w:r>
        <w:rPr>
          <w:rFonts w:hint="eastAsia" w:ascii="仿宋_GB2312" w:eastAsia="仿宋_GB2312"/>
          <w:bCs/>
          <w:color w:val="000000"/>
          <w:sz w:val="32"/>
          <w:szCs w:val="32"/>
          <w:lang w:val="en-US" w:eastAsia="zh-CN"/>
        </w:rPr>
        <w:t>为深入贯彻落实党中央国务院和省委省政府关于全面实施预算绩效管理决策部署，按照《中共四川省委办公厅四川省人民政府办公厅关于深入实施预算绩效管理的通知》（川委厅〔2022〕5号）、《四川省省级财政预算管理办法》（省政府令第356号）、四川省财政厅《关于开展2023年财政重点绩效评价工作的通知》（川财绩〔2023〕9号）、《关于开展2023年部门、政策和项目支出绩效评价工作的通知》（金财监绩〔2023〕32号）等文件要求</w:t>
      </w:r>
      <w:r>
        <w:rPr>
          <w:rFonts w:hint="eastAsia" w:ascii="仿宋_GB2312" w:eastAsia="仿宋_GB2312"/>
          <w:bCs/>
          <w:color w:val="000000"/>
          <w:sz w:val="32"/>
          <w:szCs w:val="32"/>
        </w:rPr>
        <w:t>，</w:t>
      </w:r>
      <w:r>
        <w:rPr>
          <w:rFonts w:hint="eastAsia" w:ascii="仿宋_GB2312" w:eastAsia="仿宋_GB2312"/>
          <w:bCs/>
          <w:color w:val="000000"/>
          <w:sz w:val="32"/>
          <w:szCs w:val="32"/>
          <w:lang w:eastAsia="zh-CN"/>
        </w:rPr>
        <w:t>人大机关认真</w:t>
      </w:r>
      <w:r>
        <w:rPr>
          <w:rFonts w:hint="eastAsia" w:ascii="仿宋_GB2312" w:eastAsia="仿宋_GB2312"/>
          <w:bCs/>
          <w:color w:val="000000"/>
          <w:sz w:val="32"/>
          <w:szCs w:val="32"/>
          <w:lang w:val="zh-CN" w:eastAsia="zh-CN"/>
        </w:rPr>
        <w:t>开展了部门整体支出绩效</w:t>
      </w:r>
      <w:r>
        <w:rPr>
          <w:rFonts w:hint="eastAsia" w:ascii="仿宋_GB2312" w:eastAsia="仿宋_GB2312"/>
          <w:bCs/>
          <w:color w:val="000000"/>
          <w:sz w:val="32"/>
          <w:szCs w:val="32"/>
          <w:lang w:eastAsia="zh-CN"/>
        </w:rPr>
        <w:t>评价</w:t>
      </w:r>
      <w:r>
        <w:rPr>
          <w:rFonts w:hint="eastAsia" w:ascii="仿宋_GB2312" w:eastAsia="仿宋_GB2312"/>
          <w:bCs/>
          <w:color w:val="000000"/>
          <w:sz w:val="32"/>
          <w:szCs w:val="32"/>
          <w:lang w:val="zh-CN" w:eastAsia="zh-CN"/>
        </w:rPr>
        <w:t>工作</w:t>
      </w:r>
      <w:r>
        <w:rPr>
          <w:rFonts w:hint="eastAsia" w:ascii="仿宋_GB2312" w:eastAsia="仿宋_GB2312"/>
          <w:bCs/>
          <w:color w:val="000000"/>
          <w:sz w:val="32"/>
          <w:szCs w:val="32"/>
          <w:lang w:val="en-US" w:eastAsia="zh-CN"/>
        </w:rPr>
        <w:t>,</w:t>
      </w:r>
      <w:r>
        <w:rPr>
          <w:rFonts w:hint="eastAsia" w:ascii="仿宋_GB2312" w:eastAsia="仿宋_GB2312"/>
          <w:bCs/>
          <w:color w:val="000000"/>
          <w:sz w:val="32"/>
          <w:szCs w:val="32"/>
          <w:lang w:eastAsia="zh-CN"/>
        </w:rPr>
        <w:t>现将有关情况报告如下：</w:t>
      </w:r>
    </w:p>
    <w:p w14:paraId="627F7007">
      <w:pPr>
        <w:keepNext w:val="0"/>
        <w:keepLines w:val="0"/>
        <w:pageBreakBefore w:val="0"/>
        <w:widowControl/>
        <w:kinsoku/>
        <w:wordWrap/>
        <w:overflowPunct/>
        <w:topLinePunct w:val="0"/>
        <w:autoSpaceDE/>
        <w:autoSpaceDN/>
        <w:bidi w:val="0"/>
        <w:adjustRightInd w:val="0"/>
        <w:snapToGrid w:val="0"/>
        <w:spacing w:line="552" w:lineRule="exact"/>
        <w:ind w:firstLine="640" w:firstLineChars="200"/>
        <w:contextualSpacing/>
        <w:jc w:val="left"/>
        <w:textAlignment w:val="auto"/>
        <w:rPr>
          <w:rFonts w:hint="eastAsia"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14:paraId="6E08650B">
      <w:pPr>
        <w:keepNext w:val="0"/>
        <w:keepLines w:val="0"/>
        <w:pageBreakBefore w:val="0"/>
        <w:widowControl/>
        <w:kinsoku/>
        <w:wordWrap/>
        <w:overflowPunct/>
        <w:topLinePunct w:val="0"/>
        <w:autoSpaceDE/>
        <w:autoSpaceDN/>
        <w:bidi w:val="0"/>
        <w:adjustRightInd w:val="0"/>
        <w:snapToGrid w:val="0"/>
        <w:spacing w:line="552"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14:paraId="0460CA31">
      <w:pPr>
        <w:keepNext w:val="0"/>
        <w:keepLines w:val="0"/>
        <w:pageBreakBefore w:val="0"/>
        <w:widowControl w:val="0"/>
        <w:kinsoku/>
        <w:wordWrap/>
        <w:overflowPunct/>
        <w:topLinePunct w:val="0"/>
        <w:autoSpaceDE/>
        <w:autoSpaceDN/>
        <w:bidi w:val="0"/>
        <w:spacing w:line="552" w:lineRule="exact"/>
        <w:ind w:firstLine="584" w:firstLineChars="200"/>
        <w:textAlignment w:val="auto"/>
        <w:rPr>
          <w:rFonts w:ascii="楷体_GB2312" w:hAnsi="楷体_GB2312" w:eastAsia="仿宋_GB2312" w:cs="宋体"/>
          <w:color w:val="000000"/>
          <w:spacing w:val="-14"/>
          <w:kern w:val="0"/>
          <w:sz w:val="32"/>
          <w:szCs w:val="32"/>
        </w:rPr>
      </w:pPr>
      <w:r>
        <w:rPr>
          <w:rFonts w:hint="eastAsia" w:ascii="楷体_GB2312" w:hAnsi="楷体_GB2312" w:eastAsia="仿宋_GB2312" w:cs="宋体"/>
          <w:color w:val="000000"/>
          <w:spacing w:val="-14"/>
          <w:kern w:val="0"/>
          <w:sz w:val="32"/>
          <w:szCs w:val="32"/>
        </w:rPr>
        <w:t>金川县人大常委会是县人民代表大会的常设机构，内设县人大常委会办公室、</w:t>
      </w:r>
      <w:r>
        <w:rPr>
          <w:rFonts w:hint="eastAsia" w:ascii="楷体_GB2312" w:hAnsi="楷体_GB2312" w:eastAsia="仿宋_GB2312" w:cs="宋体"/>
          <w:color w:val="000000"/>
          <w:spacing w:val="-14"/>
          <w:kern w:val="0"/>
          <w:sz w:val="32"/>
          <w:szCs w:val="32"/>
          <w:lang w:val="en-US" w:eastAsia="zh-CN"/>
        </w:rPr>
        <w:t>县人大常委会人事代表工作委员会、法制监察司法和民族宗教外事委员会</w:t>
      </w:r>
      <w:r>
        <w:rPr>
          <w:rFonts w:hint="eastAsia" w:ascii="楷体_GB2312" w:hAnsi="楷体_GB2312" w:eastAsia="仿宋_GB2312" w:cs="宋体"/>
          <w:color w:val="000000"/>
          <w:spacing w:val="-14"/>
          <w:kern w:val="0"/>
          <w:sz w:val="32"/>
          <w:szCs w:val="32"/>
        </w:rPr>
        <w:t>、</w:t>
      </w:r>
      <w:r>
        <w:rPr>
          <w:rFonts w:hint="eastAsia" w:ascii="楷体_GB2312" w:hAnsi="楷体_GB2312" w:eastAsia="仿宋_GB2312" w:cs="宋体"/>
          <w:color w:val="000000"/>
          <w:spacing w:val="-14"/>
          <w:kern w:val="0"/>
          <w:sz w:val="32"/>
          <w:szCs w:val="32"/>
          <w:lang w:val="en-US" w:eastAsia="zh-CN"/>
        </w:rPr>
        <w:t>财政经济预算和农业农村城乡环境保护委员会</w:t>
      </w:r>
      <w:r>
        <w:rPr>
          <w:rFonts w:hint="eastAsia" w:ascii="楷体_GB2312" w:hAnsi="楷体_GB2312" w:eastAsia="仿宋_GB2312" w:cs="宋体"/>
          <w:color w:val="000000"/>
          <w:spacing w:val="-14"/>
          <w:kern w:val="0"/>
          <w:sz w:val="32"/>
          <w:szCs w:val="32"/>
        </w:rPr>
        <w:t>、</w:t>
      </w:r>
      <w:r>
        <w:rPr>
          <w:rFonts w:hint="eastAsia" w:ascii="楷体_GB2312" w:hAnsi="楷体_GB2312" w:eastAsia="仿宋_GB2312" w:cs="宋体"/>
          <w:color w:val="000000"/>
          <w:spacing w:val="-14"/>
          <w:kern w:val="0"/>
          <w:sz w:val="32"/>
          <w:szCs w:val="32"/>
          <w:lang w:val="en-US" w:eastAsia="zh-CN"/>
        </w:rPr>
        <w:t>教育科学文化卫生和社会建设委员会</w:t>
      </w:r>
      <w:r>
        <w:rPr>
          <w:rFonts w:hint="eastAsia" w:ascii="楷体_GB2312" w:hAnsi="楷体_GB2312" w:eastAsia="仿宋_GB2312" w:cs="宋体"/>
          <w:color w:val="000000"/>
          <w:spacing w:val="-14"/>
          <w:kern w:val="0"/>
          <w:sz w:val="32"/>
          <w:szCs w:val="32"/>
        </w:rPr>
        <w:t>。</w:t>
      </w:r>
    </w:p>
    <w:p w14:paraId="77A8072E">
      <w:pPr>
        <w:keepNext w:val="0"/>
        <w:keepLines w:val="0"/>
        <w:pageBreakBefore w:val="0"/>
        <w:widowControl/>
        <w:kinsoku/>
        <w:wordWrap/>
        <w:overflowPunct/>
        <w:topLinePunct w:val="0"/>
        <w:autoSpaceDE/>
        <w:autoSpaceDN/>
        <w:bidi w:val="0"/>
        <w:adjustRightInd w:val="0"/>
        <w:snapToGrid w:val="0"/>
        <w:spacing w:line="552"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（二）机构职能。</w:t>
      </w:r>
    </w:p>
    <w:p w14:paraId="6E4E243F">
      <w:pPr>
        <w:keepNext w:val="0"/>
        <w:keepLines w:val="0"/>
        <w:pageBreakBefore w:val="0"/>
        <w:widowControl/>
        <w:kinsoku/>
        <w:wordWrap/>
        <w:overflowPunct/>
        <w:topLinePunct w:val="0"/>
        <w:autoSpaceDE/>
        <w:autoSpaceDN/>
        <w:bidi w:val="0"/>
        <w:spacing w:line="552" w:lineRule="exact"/>
        <w:ind w:firstLine="584" w:firstLineChars="200"/>
        <w:textAlignment w:val="auto"/>
        <w:rPr>
          <w:rFonts w:ascii="楷体_GB2312" w:hAnsi="楷体_GB2312" w:eastAsia="仿宋_GB2312" w:cs="宋体"/>
          <w:color w:val="000000"/>
          <w:spacing w:val="-14"/>
          <w:kern w:val="0"/>
          <w:sz w:val="32"/>
          <w:szCs w:val="32"/>
        </w:rPr>
      </w:pPr>
      <w:r>
        <w:rPr>
          <w:rFonts w:hint="eastAsia" w:ascii="楷体_GB2312" w:hAnsi="楷体_GB2312" w:eastAsia="仿宋_GB2312" w:cs="宋体"/>
          <w:color w:val="000000"/>
          <w:spacing w:val="-14"/>
          <w:kern w:val="0"/>
          <w:sz w:val="32"/>
          <w:szCs w:val="32"/>
        </w:rPr>
        <w:t>县人大常委会办公室负责县人大机关工作的综合协调，密切与各工作委员会联系，当好常委会和主任会议的参谋，搞好下情上报，上情下达；承担代表大会会议、常委会会议和主任会议及其它会议的筹备工作和会务工作；负责上级和本会文件、资料的收发、打印、分发、传阅、清退、立卷、归档和印章的管理工作，做好保密、保卫、消防等工作；负责机关财务、财产、办公用品、办公设施、机关人事的管理工作，做好用车等机关后勤服务工作等等。</w:t>
      </w:r>
    </w:p>
    <w:p w14:paraId="3C440FA0">
      <w:pPr>
        <w:keepNext w:val="0"/>
        <w:keepLines w:val="0"/>
        <w:pageBreakBefore w:val="0"/>
        <w:widowControl/>
        <w:kinsoku/>
        <w:wordWrap/>
        <w:overflowPunct/>
        <w:topLinePunct w:val="0"/>
        <w:autoSpaceDE/>
        <w:autoSpaceDN/>
        <w:bidi w:val="0"/>
        <w:adjustRightInd w:val="0"/>
        <w:snapToGrid w:val="0"/>
        <w:spacing w:line="552"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14:paraId="6EF69E61">
      <w:pPr>
        <w:keepNext w:val="0"/>
        <w:keepLines w:val="0"/>
        <w:pageBreakBefore w:val="0"/>
        <w:widowControl w:val="0"/>
        <w:kinsoku/>
        <w:wordWrap/>
        <w:overflowPunct/>
        <w:topLinePunct w:val="0"/>
        <w:autoSpaceDE/>
        <w:autoSpaceDN/>
        <w:bidi w:val="0"/>
        <w:spacing w:line="552" w:lineRule="exact"/>
        <w:ind w:firstLine="640" w:firstLineChars="200"/>
        <w:textAlignment w:val="auto"/>
        <w:outlineLvl w:val="0"/>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度，人大机关决算汇编范围的独立核算单位共</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个，</w:t>
      </w:r>
      <w:r>
        <w:rPr>
          <w:rFonts w:hint="eastAsia" w:ascii="仿宋_GB2312" w:eastAsia="仿宋_GB2312"/>
          <w:color w:val="000000"/>
          <w:sz w:val="32"/>
          <w:szCs w:val="32"/>
          <w:lang w:eastAsia="zh-CN"/>
        </w:rPr>
        <w:t>比</w:t>
      </w:r>
      <w:r>
        <w:rPr>
          <w:rFonts w:hint="eastAsia" w:ascii="仿宋_GB2312" w:eastAsia="仿宋_GB2312"/>
          <w:color w:val="000000"/>
          <w:sz w:val="32"/>
          <w:szCs w:val="32"/>
          <w:lang w:val="en-US" w:eastAsia="zh-CN"/>
        </w:rPr>
        <w:t>2021年</w:t>
      </w:r>
      <w:r>
        <w:rPr>
          <w:rFonts w:hint="eastAsia" w:ascii="仿宋_GB2312" w:eastAsia="仿宋_GB2312"/>
          <w:color w:val="000000"/>
          <w:sz w:val="32"/>
          <w:szCs w:val="32"/>
        </w:rPr>
        <w:t>增</w:t>
      </w:r>
      <w:r>
        <w:rPr>
          <w:rFonts w:hint="eastAsia" w:ascii="仿宋_GB2312" w:eastAsia="仿宋_GB2312"/>
          <w:color w:val="000000"/>
          <w:sz w:val="32"/>
          <w:szCs w:val="32"/>
          <w:lang w:eastAsia="zh-CN"/>
        </w:rPr>
        <w:t>加</w:t>
      </w:r>
      <w:r>
        <w:rPr>
          <w:rFonts w:hint="eastAsia" w:ascii="仿宋_GB2312" w:eastAsia="仿宋_GB2312"/>
          <w:color w:val="000000"/>
          <w:sz w:val="32"/>
          <w:szCs w:val="32"/>
          <w:lang w:val="en-US" w:eastAsia="zh-CN"/>
        </w:rPr>
        <w:t>1个，原因是2022年人大常委会办公室信息中心单独核算</w:t>
      </w:r>
      <w:r>
        <w:rPr>
          <w:rFonts w:hint="eastAsia" w:ascii="仿宋_GB2312" w:eastAsia="仿宋_GB2312"/>
          <w:color w:val="000000"/>
          <w:sz w:val="32"/>
          <w:szCs w:val="32"/>
        </w:rPr>
        <w:t>。截止</w:t>
      </w:r>
      <w:r>
        <w:rPr>
          <w:rFonts w:hint="eastAsia" w:ascii="仿宋_GB2312" w:eastAsia="仿宋_GB2312"/>
          <w:color w:val="000000"/>
          <w:sz w:val="32"/>
          <w:szCs w:val="32"/>
          <w:lang w:eastAsia="zh-CN"/>
        </w:rPr>
        <w:t>2022年</w:t>
      </w:r>
      <w:r>
        <w:rPr>
          <w:rFonts w:hint="eastAsia" w:ascii="仿宋_GB2312" w:eastAsia="仿宋_GB2312"/>
          <w:color w:val="000000"/>
          <w:sz w:val="32"/>
          <w:szCs w:val="32"/>
        </w:rPr>
        <w:t>末，单位实有人数3</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人，</w:t>
      </w:r>
      <w:r>
        <w:rPr>
          <w:rFonts w:hint="eastAsia" w:ascii="仿宋_GB2312" w:eastAsia="仿宋_GB2312"/>
          <w:sz w:val="32"/>
          <w:szCs w:val="32"/>
        </w:rPr>
        <w:t>其中：在职3</w:t>
      </w:r>
      <w:r>
        <w:rPr>
          <w:rFonts w:hint="eastAsia" w:ascii="仿宋_GB2312" w:eastAsia="仿宋_GB2312"/>
          <w:sz w:val="32"/>
          <w:szCs w:val="32"/>
          <w:lang w:val="en-US" w:eastAsia="zh-CN"/>
        </w:rPr>
        <w:t>3</w:t>
      </w:r>
      <w:r>
        <w:rPr>
          <w:rFonts w:hint="eastAsia" w:ascii="仿宋_GB2312" w:eastAsia="仿宋_GB2312"/>
          <w:sz w:val="32"/>
          <w:szCs w:val="32"/>
        </w:rPr>
        <w:t>人</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人、事业人员</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人）</w:t>
      </w:r>
      <w:r>
        <w:rPr>
          <w:rFonts w:hint="eastAsia" w:ascii="仿宋_GB2312" w:eastAsia="仿宋_GB2312"/>
          <w:sz w:val="32"/>
          <w:szCs w:val="32"/>
        </w:rPr>
        <w:t>，离休1人，遗属4人。</w:t>
      </w:r>
      <w:r>
        <w:rPr>
          <w:rFonts w:hint="eastAsia" w:ascii="仿宋_GB2312" w:eastAsia="仿宋_GB2312"/>
          <w:color w:val="000000"/>
          <w:sz w:val="32"/>
          <w:szCs w:val="32"/>
        </w:rPr>
        <w:t>退休人员工资继续由社保部门发放。</w:t>
      </w:r>
    </w:p>
    <w:p w14:paraId="48F3F255">
      <w:pPr>
        <w:keepNext w:val="0"/>
        <w:keepLines w:val="0"/>
        <w:pageBreakBefore w:val="0"/>
        <w:widowControl/>
        <w:kinsoku/>
        <w:wordWrap/>
        <w:overflowPunct/>
        <w:topLinePunct w:val="0"/>
        <w:autoSpaceDE/>
        <w:autoSpaceDN/>
        <w:bidi w:val="0"/>
        <w:adjustRightInd w:val="0"/>
        <w:snapToGrid w:val="0"/>
        <w:spacing w:line="552" w:lineRule="exact"/>
        <w:ind w:firstLine="640" w:firstLineChars="200"/>
        <w:contextualSpacing/>
        <w:jc w:val="left"/>
        <w:textAlignment w:val="auto"/>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14:paraId="3A0A37BF">
      <w:pPr>
        <w:keepNext w:val="0"/>
        <w:keepLines w:val="0"/>
        <w:pageBreakBefore w:val="0"/>
        <w:widowControl/>
        <w:kinsoku/>
        <w:wordWrap/>
        <w:overflowPunct/>
        <w:topLinePunct w:val="0"/>
        <w:autoSpaceDE/>
        <w:autoSpaceDN/>
        <w:bidi w:val="0"/>
        <w:adjustRightInd w:val="0"/>
        <w:snapToGrid w:val="0"/>
        <w:spacing w:line="552" w:lineRule="exact"/>
        <w:ind w:firstLine="640" w:firstLineChars="200"/>
        <w:contextualSpacing/>
        <w:jc w:val="left"/>
        <w:textAlignment w:val="auto"/>
        <w:rPr>
          <w:rFonts w:hint="eastAsia" w:ascii="仿宋_GB2312" w:hAnsi="仿宋_GB2312" w:cs="宋体"/>
          <w:color w:val="000000"/>
          <w:kern w:val="0"/>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14:paraId="7AB01AA6">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ascii="仿宋_GB2312" w:eastAsia="仿宋_GB2312" w:cs="仿宋"/>
          <w:sz w:val="32"/>
          <w:szCs w:val="32"/>
        </w:rPr>
      </w:pPr>
      <w:r>
        <w:rPr>
          <w:rFonts w:hint="eastAsia" w:ascii="仿宋_GB2312" w:eastAsia="仿宋_GB2312" w:cs="仿宋"/>
          <w:color w:val="000000"/>
          <w:sz w:val="32"/>
          <w:szCs w:val="32"/>
          <w:lang w:eastAsia="zh-CN"/>
        </w:rPr>
        <w:t>2022年</w:t>
      </w:r>
      <w:r>
        <w:rPr>
          <w:rFonts w:hint="eastAsia" w:ascii="仿宋_GB2312" w:eastAsia="仿宋_GB2312" w:cs="仿宋"/>
          <w:bCs/>
          <w:color w:val="000000"/>
          <w:sz w:val="32"/>
          <w:szCs w:val="32"/>
        </w:rPr>
        <w:t>一般</w:t>
      </w:r>
      <w:r>
        <w:rPr>
          <w:rFonts w:hint="eastAsia" w:ascii="仿宋_GB2312" w:eastAsia="仿宋_GB2312" w:cs="仿宋"/>
          <w:color w:val="000000"/>
          <w:sz w:val="32"/>
          <w:szCs w:val="32"/>
        </w:rPr>
        <w:t>公共预算财政拨款收入</w:t>
      </w:r>
      <w:r>
        <w:rPr>
          <w:rFonts w:hint="eastAsia" w:ascii="仿宋_GB2312" w:eastAsia="仿宋_GB2312"/>
          <w:color w:val="000000"/>
          <w:spacing w:val="-2"/>
          <w:sz w:val="32"/>
          <w:szCs w:val="32"/>
          <w:lang w:val="en-US" w:eastAsia="zh-CN"/>
        </w:rPr>
        <w:t>1232.05</w:t>
      </w:r>
      <w:r>
        <w:rPr>
          <w:rFonts w:hint="eastAsia" w:ascii="仿宋_GB2312" w:eastAsia="仿宋_GB2312" w:cs="仿宋"/>
          <w:color w:val="000000"/>
          <w:sz w:val="32"/>
          <w:szCs w:val="32"/>
        </w:rPr>
        <w:t>万元，政府性基金预算财政拨款收入</w:t>
      </w:r>
      <w:r>
        <w:rPr>
          <w:rFonts w:ascii="仿宋_GB2312" w:eastAsia="仿宋_GB2312" w:cs="仿宋"/>
          <w:color w:val="000000"/>
          <w:sz w:val="32"/>
          <w:szCs w:val="32"/>
        </w:rPr>
        <w:t>0</w:t>
      </w:r>
      <w:r>
        <w:rPr>
          <w:rFonts w:hint="eastAsia" w:ascii="仿宋_GB2312" w:eastAsia="仿宋_GB2312" w:cs="仿宋"/>
          <w:color w:val="000000"/>
          <w:sz w:val="32"/>
          <w:szCs w:val="32"/>
        </w:rPr>
        <w:t>万元，年初财政拨款结转资金为0万元</w:t>
      </w:r>
      <w:r>
        <w:rPr>
          <w:rFonts w:hint="eastAsia" w:ascii="仿宋_GB2312" w:eastAsia="仿宋_GB2312" w:cs="仿宋"/>
          <w:sz w:val="32"/>
          <w:szCs w:val="32"/>
        </w:rPr>
        <w:t>，其中：人员经费</w:t>
      </w:r>
      <w:r>
        <w:rPr>
          <w:rFonts w:hint="eastAsia" w:ascii="仿宋_GB2312" w:eastAsia="仿宋_GB2312" w:cs="仿宋"/>
          <w:sz w:val="32"/>
          <w:szCs w:val="32"/>
          <w:lang w:val="en-US" w:eastAsia="zh-CN"/>
        </w:rPr>
        <w:t>911.10</w:t>
      </w:r>
      <w:r>
        <w:rPr>
          <w:rFonts w:hint="eastAsia" w:ascii="仿宋_GB2312" w:eastAsia="仿宋_GB2312" w:cs="仿宋"/>
          <w:sz w:val="32"/>
          <w:szCs w:val="32"/>
        </w:rPr>
        <w:t>万元，公用经费</w:t>
      </w:r>
      <w:r>
        <w:rPr>
          <w:rFonts w:hint="eastAsia" w:ascii="仿宋_GB2312" w:eastAsia="仿宋_GB2312" w:cs="仿宋"/>
          <w:sz w:val="32"/>
          <w:szCs w:val="32"/>
          <w:lang w:val="en-US" w:eastAsia="zh-CN"/>
        </w:rPr>
        <w:t>37.21</w:t>
      </w:r>
      <w:r>
        <w:rPr>
          <w:rFonts w:hint="eastAsia" w:ascii="仿宋_GB2312" w:eastAsia="仿宋_GB2312" w:cs="仿宋"/>
          <w:sz w:val="32"/>
          <w:szCs w:val="32"/>
        </w:rPr>
        <w:t>万元，项目经费</w:t>
      </w:r>
      <w:r>
        <w:rPr>
          <w:rFonts w:hint="eastAsia" w:ascii="仿宋_GB2312" w:eastAsia="仿宋_GB2312" w:cs="仿宋"/>
          <w:sz w:val="32"/>
          <w:szCs w:val="32"/>
          <w:lang w:val="en-US" w:eastAsia="zh-CN"/>
        </w:rPr>
        <w:t>283.74</w:t>
      </w:r>
      <w:r>
        <w:rPr>
          <w:rFonts w:hint="eastAsia" w:ascii="仿宋_GB2312" w:eastAsia="仿宋_GB2312" w:cs="仿宋"/>
          <w:sz w:val="32"/>
          <w:szCs w:val="32"/>
        </w:rPr>
        <w:t>万元。</w:t>
      </w:r>
    </w:p>
    <w:p w14:paraId="2AE69115">
      <w:pPr>
        <w:keepNext w:val="0"/>
        <w:keepLines w:val="0"/>
        <w:pageBreakBefore w:val="0"/>
        <w:widowControl/>
        <w:kinsoku/>
        <w:wordWrap/>
        <w:overflowPunct/>
        <w:topLinePunct w:val="0"/>
        <w:autoSpaceDE/>
        <w:autoSpaceDN/>
        <w:bidi w:val="0"/>
        <w:adjustRightInd w:val="0"/>
        <w:snapToGrid w:val="0"/>
        <w:spacing w:line="552"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14:paraId="60A6EB46">
      <w:pPr>
        <w:keepNext w:val="0"/>
        <w:keepLines w:val="0"/>
        <w:pageBreakBefore w:val="0"/>
        <w:widowControl/>
        <w:kinsoku/>
        <w:wordWrap/>
        <w:overflowPunct/>
        <w:topLinePunct w:val="0"/>
        <w:autoSpaceDE/>
        <w:autoSpaceDN/>
        <w:bidi w:val="0"/>
        <w:adjustRightInd w:val="0"/>
        <w:snapToGrid w:val="0"/>
        <w:spacing w:line="552" w:lineRule="exact"/>
        <w:ind w:firstLine="640" w:firstLineChars="200"/>
        <w:contextualSpacing/>
        <w:jc w:val="left"/>
        <w:textAlignment w:val="auto"/>
        <w:rPr>
          <w:rFonts w:hint="eastAsia"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en-US" w:eastAsia="zh-CN"/>
        </w:rPr>
        <w:t>2022年人大办一般公共服务支出1021.8万元；社会保障和就业支出104.61万元；卫生健康支出45.12万元；住房保障支出60.52万元。</w:t>
      </w:r>
    </w:p>
    <w:p w14:paraId="0C85C968">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hint="eastAsia" w:ascii="仿宋_GB2312" w:eastAsia="仿宋_GB2312" w:cs="仿宋"/>
          <w:color w:val="000000"/>
          <w:sz w:val="32"/>
          <w:szCs w:val="32"/>
        </w:rPr>
      </w:pPr>
      <w:r>
        <w:rPr>
          <w:rFonts w:hint="eastAsia" w:ascii="仿宋_GB2312" w:eastAsia="仿宋_GB2312" w:cs="仿宋"/>
          <w:color w:val="000000"/>
          <w:sz w:val="32"/>
          <w:szCs w:val="32"/>
          <w:lang w:val="en-US" w:eastAsia="zh-CN"/>
        </w:rPr>
        <w:t>1.</w:t>
      </w:r>
      <w:r>
        <w:rPr>
          <w:rFonts w:hint="eastAsia" w:ascii="仿宋_GB2312" w:eastAsia="仿宋_GB2312" w:cs="仿宋"/>
          <w:color w:val="000000"/>
          <w:sz w:val="32"/>
          <w:szCs w:val="32"/>
          <w:lang w:eastAsia="zh-CN"/>
        </w:rPr>
        <w:t>2022年</w:t>
      </w:r>
      <w:r>
        <w:rPr>
          <w:rFonts w:hint="eastAsia" w:ascii="仿宋_GB2312" w:eastAsia="仿宋_GB2312" w:cs="仿宋"/>
          <w:color w:val="000000"/>
          <w:sz w:val="32"/>
          <w:szCs w:val="32"/>
        </w:rPr>
        <w:t>一般公共预算财政拨款基本支出</w:t>
      </w:r>
      <w:r>
        <w:rPr>
          <w:rFonts w:hint="eastAsia" w:ascii="仿宋_GB2312" w:eastAsia="仿宋_GB2312" w:cs="仿宋"/>
          <w:color w:val="000000"/>
          <w:sz w:val="32"/>
          <w:szCs w:val="32"/>
          <w:lang w:val="en-US" w:eastAsia="zh-CN"/>
        </w:rPr>
        <w:t>948.31</w:t>
      </w:r>
      <w:r>
        <w:rPr>
          <w:rFonts w:hint="eastAsia" w:ascii="仿宋_GB2312" w:eastAsia="仿宋_GB2312" w:cs="仿宋"/>
          <w:color w:val="000000"/>
          <w:sz w:val="32"/>
          <w:szCs w:val="32"/>
        </w:rPr>
        <w:t>万元，其中：</w:t>
      </w:r>
    </w:p>
    <w:p w14:paraId="57507135">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hint="eastAsia" w:ascii="仿宋_GB2312" w:eastAsia="仿宋_GB2312" w:cs="仿宋"/>
          <w:color w:val="000000"/>
          <w:sz w:val="32"/>
          <w:szCs w:val="32"/>
        </w:rPr>
      </w:pPr>
      <w:r>
        <w:rPr>
          <w:rFonts w:hint="eastAsia" w:ascii="仿宋_GB2312" w:eastAsia="仿宋_GB2312" w:cs="仿宋"/>
          <w:color w:val="000000"/>
          <w:sz w:val="32"/>
          <w:szCs w:val="32"/>
        </w:rPr>
        <w:t>人员经费</w:t>
      </w:r>
      <w:r>
        <w:rPr>
          <w:rFonts w:hint="eastAsia" w:ascii="仿宋_GB2312" w:eastAsia="仿宋_GB2312" w:cs="仿宋"/>
          <w:color w:val="000000"/>
          <w:sz w:val="32"/>
          <w:szCs w:val="32"/>
          <w:lang w:val="en-US" w:eastAsia="zh-CN"/>
        </w:rPr>
        <w:t>911.10</w:t>
      </w:r>
      <w:r>
        <w:rPr>
          <w:rFonts w:hint="eastAsia" w:ascii="仿宋_GB2312" w:eastAsia="仿宋_GB2312" w:cs="仿宋"/>
          <w:color w:val="000000"/>
          <w:sz w:val="32"/>
          <w:szCs w:val="32"/>
        </w:rPr>
        <w:t>万元，主要包括：基本工资</w:t>
      </w:r>
      <w:r>
        <w:rPr>
          <w:rFonts w:hint="eastAsia" w:ascii="仿宋_GB2312" w:eastAsia="仿宋_GB2312" w:cs="仿宋"/>
          <w:color w:val="000000"/>
          <w:sz w:val="32"/>
          <w:szCs w:val="32"/>
          <w:lang w:val="en-US" w:eastAsia="zh-CN"/>
        </w:rPr>
        <w:t>195.94</w:t>
      </w:r>
      <w:r>
        <w:rPr>
          <w:rFonts w:hint="eastAsia" w:ascii="仿宋_GB2312" w:eastAsia="仿宋_GB2312" w:cs="仿宋"/>
          <w:color w:val="000000"/>
          <w:sz w:val="32"/>
          <w:szCs w:val="32"/>
        </w:rPr>
        <w:t>万元、津贴补贴</w:t>
      </w:r>
      <w:r>
        <w:rPr>
          <w:rFonts w:hint="eastAsia" w:ascii="仿宋_GB2312" w:eastAsia="仿宋_GB2312" w:cs="仿宋"/>
          <w:color w:val="000000"/>
          <w:sz w:val="32"/>
          <w:szCs w:val="32"/>
          <w:lang w:val="en-US" w:eastAsia="zh-CN"/>
        </w:rPr>
        <w:t>196.10</w:t>
      </w:r>
      <w:r>
        <w:rPr>
          <w:rFonts w:hint="eastAsia" w:ascii="仿宋_GB2312" w:eastAsia="仿宋_GB2312" w:cs="仿宋"/>
          <w:color w:val="000000"/>
          <w:sz w:val="32"/>
          <w:szCs w:val="32"/>
        </w:rPr>
        <w:t>万元、奖金</w:t>
      </w:r>
      <w:r>
        <w:rPr>
          <w:rFonts w:hint="eastAsia" w:ascii="仿宋_GB2312" w:eastAsia="仿宋_GB2312" w:cs="仿宋"/>
          <w:color w:val="000000"/>
          <w:sz w:val="32"/>
          <w:szCs w:val="32"/>
          <w:lang w:val="en-US" w:eastAsia="zh-CN"/>
        </w:rPr>
        <w:t>138.94</w:t>
      </w:r>
      <w:r>
        <w:rPr>
          <w:rFonts w:hint="eastAsia" w:ascii="仿宋_GB2312" w:eastAsia="仿宋_GB2312" w:cs="仿宋"/>
          <w:color w:val="000000"/>
          <w:sz w:val="32"/>
          <w:szCs w:val="32"/>
        </w:rPr>
        <w:t>万元、</w:t>
      </w:r>
      <w:r>
        <w:rPr>
          <w:rFonts w:hint="eastAsia" w:ascii="仿宋_GB2312" w:eastAsia="仿宋_GB2312" w:cs="仿宋"/>
          <w:color w:val="000000"/>
          <w:sz w:val="32"/>
          <w:szCs w:val="32"/>
          <w:lang w:eastAsia="zh-CN"/>
        </w:rPr>
        <w:t>绩效工资</w:t>
      </w:r>
      <w:r>
        <w:rPr>
          <w:rFonts w:hint="eastAsia" w:ascii="仿宋_GB2312" w:eastAsia="仿宋_GB2312" w:cs="仿宋"/>
          <w:color w:val="000000"/>
          <w:sz w:val="32"/>
          <w:szCs w:val="32"/>
          <w:lang w:val="en-US" w:eastAsia="zh-CN"/>
        </w:rPr>
        <w:t>4.12万元、</w:t>
      </w:r>
      <w:r>
        <w:rPr>
          <w:rFonts w:hint="eastAsia" w:ascii="仿宋_GB2312" w:eastAsia="仿宋_GB2312" w:cs="仿宋"/>
          <w:color w:val="000000"/>
          <w:sz w:val="32"/>
          <w:szCs w:val="32"/>
        </w:rPr>
        <w:t>机关事业单位基本养老保险缴费</w:t>
      </w:r>
      <w:r>
        <w:rPr>
          <w:rFonts w:hint="eastAsia" w:ascii="仿宋_GB2312" w:eastAsia="仿宋_GB2312" w:cs="仿宋"/>
          <w:color w:val="000000"/>
          <w:sz w:val="32"/>
          <w:szCs w:val="32"/>
          <w:lang w:val="en-US" w:eastAsia="zh-CN"/>
        </w:rPr>
        <w:t>69.74</w:t>
      </w:r>
      <w:r>
        <w:rPr>
          <w:rFonts w:hint="eastAsia" w:ascii="仿宋_GB2312" w:eastAsia="仿宋_GB2312" w:cs="仿宋"/>
          <w:color w:val="000000"/>
          <w:sz w:val="32"/>
          <w:szCs w:val="32"/>
        </w:rPr>
        <w:t>万元、职业年金缴费</w:t>
      </w:r>
      <w:r>
        <w:rPr>
          <w:rFonts w:hint="eastAsia" w:ascii="仿宋_GB2312" w:eastAsia="仿宋_GB2312" w:cs="仿宋"/>
          <w:color w:val="000000"/>
          <w:sz w:val="32"/>
          <w:szCs w:val="32"/>
          <w:lang w:val="en-US" w:eastAsia="zh-CN"/>
        </w:rPr>
        <w:t>34.87</w:t>
      </w:r>
      <w:r>
        <w:rPr>
          <w:rFonts w:hint="eastAsia" w:ascii="仿宋_GB2312" w:eastAsia="仿宋_GB2312" w:cs="仿宋"/>
          <w:color w:val="000000"/>
          <w:sz w:val="32"/>
          <w:szCs w:val="32"/>
        </w:rPr>
        <w:t>万元、职工基本医疗保险缴费</w:t>
      </w:r>
      <w:r>
        <w:rPr>
          <w:rFonts w:hint="eastAsia" w:ascii="仿宋_GB2312" w:eastAsia="仿宋_GB2312" w:cs="仿宋"/>
          <w:color w:val="000000"/>
          <w:sz w:val="32"/>
          <w:szCs w:val="32"/>
          <w:lang w:val="en-US" w:eastAsia="zh-CN"/>
        </w:rPr>
        <w:t>33.31</w:t>
      </w:r>
      <w:r>
        <w:rPr>
          <w:rFonts w:hint="eastAsia" w:ascii="仿宋_GB2312" w:eastAsia="仿宋_GB2312" w:cs="仿宋"/>
          <w:color w:val="000000"/>
          <w:sz w:val="32"/>
          <w:szCs w:val="32"/>
        </w:rPr>
        <w:t>万元、公务员医疗补助缴费</w:t>
      </w:r>
      <w:r>
        <w:rPr>
          <w:rFonts w:hint="eastAsia" w:ascii="仿宋_GB2312" w:eastAsia="仿宋_GB2312" w:cs="仿宋"/>
          <w:color w:val="000000"/>
          <w:sz w:val="32"/>
          <w:szCs w:val="32"/>
          <w:lang w:val="en-US" w:eastAsia="zh-CN"/>
        </w:rPr>
        <w:t>11.57</w:t>
      </w:r>
      <w:r>
        <w:rPr>
          <w:rFonts w:hint="eastAsia" w:ascii="仿宋_GB2312" w:eastAsia="仿宋_GB2312" w:cs="仿宋"/>
          <w:color w:val="000000"/>
          <w:sz w:val="32"/>
          <w:szCs w:val="32"/>
        </w:rPr>
        <w:t>万元、其他社会保障缴费</w:t>
      </w:r>
      <w:r>
        <w:rPr>
          <w:rFonts w:hint="eastAsia" w:ascii="仿宋_GB2312" w:eastAsia="仿宋_GB2312" w:cs="仿宋"/>
          <w:color w:val="000000"/>
          <w:sz w:val="32"/>
          <w:szCs w:val="32"/>
          <w:lang w:val="en-US" w:eastAsia="zh-CN"/>
        </w:rPr>
        <w:t>1.34</w:t>
      </w:r>
      <w:r>
        <w:rPr>
          <w:rFonts w:hint="eastAsia" w:ascii="仿宋_GB2312" w:eastAsia="仿宋_GB2312" w:cs="仿宋"/>
          <w:color w:val="000000"/>
          <w:sz w:val="32"/>
          <w:szCs w:val="32"/>
        </w:rPr>
        <w:t>万元、住房公积金</w:t>
      </w:r>
      <w:r>
        <w:rPr>
          <w:rFonts w:hint="eastAsia" w:ascii="仿宋_GB2312" w:eastAsia="仿宋_GB2312" w:cs="仿宋"/>
          <w:color w:val="000000"/>
          <w:sz w:val="32"/>
          <w:szCs w:val="32"/>
          <w:lang w:val="en-US" w:eastAsia="zh-CN"/>
        </w:rPr>
        <w:t>60.52</w:t>
      </w:r>
      <w:r>
        <w:rPr>
          <w:rFonts w:hint="eastAsia" w:ascii="仿宋_GB2312" w:eastAsia="仿宋_GB2312" w:cs="仿宋"/>
          <w:color w:val="000000"/>
          <w:sz w:val="32"/>
          <w:szCs w:val="32"/>
        </w:rPr>
        <w:t>万元、离休费</w:t>
      </w:r>
      <w:r>
        <w:rPr>
          <w:rFonts w:hint="eastAsia" w:ascii="仿宋_GB2312" w:eastAsia="仿宋_GB2312" w:cs="仿宋"/>
          <w:color w:val="000000"/>
          <w:sz w:val="32"/>
          <w:szCs w:val="32"/>
          <w:lang w:val="en-US" w:eastAsia="zh-CN"/>
        </w:rPr>
        <w:t>20.39</w:t>
      </w:r>
      <w:r>
        <w:rPr>
          <w:rFonts w:hint="eastAsia" w:ascii="仿宋_GB2312" w:eastAsia="仿宋_GB2312" w:cs="仿宋"/>
          <w:color w:val="000000"/>
          <w:sz w:val="32"/>
          <w:szCs w:val="32"/>
        </w:rPr>
        <w:t>万元、</w:t>
      </w:r>
      <w:r>
        <w:rPr>
          <w:rFonts w:hint="eastAsia" w:ascii="仿宋_GB2312" w:eastAsia="仿宋_GB2312" w:cs="仿宋"/>
          <w:color w:val="000000"/>
          <w:sz w:val="32"/>
          <w:szCs w:val="32"/>
          <w:lang w:eastAsia="zh-CN"/>
        </w:rPr>
        <w:t>抚恤金</w:t>
      </w:r>
      <w:r>
        <w:rPr>
          <w:rFonts w:hint="eastAsia" w:ascii="仿宋_GB2312" w:eastAsia="仿宋_GB2312" w:cs="仿宋"/>
          <w:color w:val="000000"/>
          <w:sz w:val="32"/>
          <w:szCs w:val="32"/>
          <w:lang w:val="en-US" w:eastAsia="zh-CN"/>
        </w:rPr>
        <w:t>20.89万元、</w:t>
      </w:r>
      <w:r>
        <w:rPr>
          <w:rFonts w:hint="eastAsia" w:ascii="仿宋_GB2312" w:eastAsia="仿宋_GB2312" w:cs="仿宋"/>
          <w:color w:val="000000"/>
          <w:sz w:val="32"/>
          <w:szCs w:val="32"/>
        </w:rPr>
        <w:t>生活补助</w:t>
      </w:r>
      <w:r>
        <w:rPr>
          <w:rFonts w:hint="eastAsia" w:ascii="仿宋_GB2312" w:eastAsia="仿宋_GB2312" w:cs="仿宋"/>
          <w:color w:val="000000"/>
          <w:sz w:val="32"/>
          <w:szCs w:val="32"/>
          <w:lang w:val="en-US" w:eastAsia="zh-CN"/>
        </w:rPr>
        <w:t>34.08</w:t>
      </w:r>
      <w:r>
        <w:rPr>
          <w:rFonts w:hint="eastAsia" w:ascii="仿宋_GB2312" w:eastAsia="仿宋_GB2312" w:cs="仿宋"/>
          <w:color w:val="000000"/>
          <w:sz w:val="32"/>
          <w:szCs w:val="32"/>
        </w:rPr>
        <w:t>万元、奖励金</w:t>
      </w:r>
      <w:r>
        <w:rPr>
          <w:rFonts w:hint="eastAsia" w:ascii="仿宋_GB2312" w:eastAsia="仿宋_GB2312" w:cs="仿宋"/>
          <w:color w:val="000000"/>
          <w:sz w:val="32"/>
          <w:szCs w:val="32"/>
          <w:lang w:val="en-US" w:eastAsia="zh-CN"/>
        </w:rPr>
        <w:t>89.29</w:t>
      </w:r>
      <w:r>
        <w:rPr>
          <w:rFonts w:hint="eastAsia" w:ascii="仿宋_GB2312" w:eastAsia="仿宋_GB2312" w:cs="仿宋"/>
          <w:color w:val="000000"/>
          <w:sz w:val="32"/>
          <w:szCs w:val="32"/>
        </w:rPr>
        <w:t>万元。</w:t>
      </w:r>
    </w:p>
    <w:p w14:paraId="72601AF1">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hint="eastAsia" w:ascii="仿宋_GB2312" w:eastAsia="仿宋_GB2312" w:cs="仿宋"/>
          <w:color w:val="000000"/>
          <w:sz w:val="32"/>
          <w:szCs w:val="32"/>
        </w:rPr>
      </w:pPr>
      <w:r>
        <w:rPr>
          <w:rFonts w:hint="eastAsia" w:ascii="仿宋_GB2312" w:eastAsia="仿宋_GB2312" w:cs="仿宋"/>
          <w:color w:val="000000"/>
          <w:sz w:val="32"/>
          <w:szCs w:val="32"/>
        </w:rPr>
        <w:t>公用经费</w:t>
      </w:r>
      <w:r>
        <w:rPr>
          <w:rFonts w:hint="eastAsia" w:ascii="仿宋_GB2312" w:eastAsia="仿宋_GB2312" w:cs="仿宋"/>
          <w:color w:val="000000"/>
          <w:sz w:val="32"/>
          <w:szCs w:val="32"/>
          <w:lang w:val="en-US" w:eastAsia="zh-CN"/>
        </w:rPr>
        <w:t>37.21</w:t>
      </w:r>
      <w:r>
        <w:rPr>
          <w:rFonts w:hint="eastAsia" w:ascii="仿宋_GB2312" w:eastAsia="仿宋_GB2312" w:cs="仿宋"/>
          <w:color w:val="000000"/>
          <w:sz w:val="32"/>
          <w:szCs w:val="32"/>
        </w:rPr>
        <w:t>万元，主要包括：办公费</w:t>
      </w:r>
      <w:r>
        <w:rPr>
          <w:rFonts w:hint="eastAsia" w:ascii="仿宋_GB2312" w:eastAsia="仿宋_GB2312" w:cs="仿宋"/>
          <w:color w:val="000000"/>
          <w:sz w:val="32"/>
          <w:szCs w:val="32"/>
          <w:lang w:val="en-US" w:eastAsia="zh-CN"/>
        </w:rPr>
        <w:t>3.59</w:t>
      </w:r>
      <w:r>
        <w:rPr>
          <w:rFonts w:hint="eastAsia" w:ascii="仿宋_GB2312" w:eastAsia="仿宋_GB2312" w:cs="仿宋"/>
          <w:color w:val="000000"/>
          <w:sz w:val="32"/>
          <w:szCs w:val="32"/>
        </w:rPr>
        <w:t>万元、差旅费</w:t>
      </w:r>
      <w:r>
        <w:rPr>
          <w:rFonts w:hint="eastAsia" w:ascii="仿宋_GB2312" w:eastAsia="仿宋_GB2312" w:cs="仿宋"/>
          <w:color w:val="000000"/>
          <w:sz w:val="32"/>
          <w:szCs w:val="32"/>
          <w:lang w:val="en-US" w:eastAsia="zh-CN"/>
        </w:rPr>
        <w:t>8.5</w:t>
      </w:r>
      <w:r>
        <w:rPr>
          <w:rFonts w:hint="eastAsia" w:ascii="仿宋_GB2312" w:eastAsia="仿宋_GB2312" w:cs="仿宋"/>
          <w:color w:val="000000"/>
          <w:sz w:val="32"/>
          <w:szCs w:val="32"/>
        </w:rPr>
        <w:t>万元、维修（护）费</w:t>
      </w:r>
      <w:r>
        <w:rPr>
          <w:rFonts w:hint="eastAsia" w:ascii="仿宋_GB2312" w:eastAsia="仿宋_GB2312" w:cs="仿宋"/>
          <w:color w:val="000000"/>
          <w:sz w:val="32"/>
          <w:szCs w:val="32"/>
          <w:lang w:val="en-US" w:eastAsia="zh-CN"/>
        </w:rPr>
        <w:t>0.5</w:t>
      </w:r>
      <w:r>
        <w:rPr>
          <w:rFonts w:hint="eastAsia" w:ascii="仿宋_GB2312" w:eastAsia="仿宋_GB2312" w:cs="仿宋"/>
          <w:color w:val="000000"/>
          <w:sz w:val="32"/>
          <w:szCs w:val="32"/>
        </w:rPr>
        <w:t>万元、劳务费</w:t>
      </w:r>
      <w:r>
        <w:rPr>
          <w:rFonts w:hint="eastAsia" w:ascii="仿宋_GB2312" w:eastAsia="仿宋_GB2312" w:cs="仿宋"/>
          <w:color w:val="000000"/>
          <w:sz w:val="32"/>
          <w:szCs w:val="32"/>
          <w:lang w:val="en-US" w:eastAsia="zh-CN"/>
        </w:rPr>
        <w:t>1.86</w:t>
      </w:r>
      <w:r>
        <w:rPr>
          <w:rFonts w:hint="eastAsia" w:ascii="仿宋_GB2312" w:eastAsia="仿宋_GB2312" w:cs="仿宋"/>
          <w:color w:val="000000"/>
          <w:sz w:val="32"/>
          <w:szCs w:val="32"/>
        </w:rPr>
        <w:t>万元、福利费2.</w:t>
      </w:r>
      <w:r>
        <w:rPr>
          <w:rFonts w:hint="eastAsia" w:ascii="仿宋_GB2312" w:eastAsia="仿宋_GB2312" w:cs="仿宋"/>
          <w:color w:val="000000"/>
          <w:sz w:val="32"/>
          <w:szCs w:val="32"/>
          <w:lang w:val="en-US" w:eastAsia="zh-CN"/>
        </w:rPr>
        <w:t>76</w:t>
      </w:r>
      <w:r>
        <w:rPr>
          <w:rFonts w:hint="eastAsia" w:ascii="仿宋_GB2312" w:eastAsia="仿宋_GB2312" w:cs="仿宋"/>
          <w:color w:val="000000"/>
          <w:sz w:val="32"/>
          <w:szCs w:val="32"/>
        </w:rPr>
        <w:t>万元、公务用车运行维护费20万元。</w:t>
      </w:r>
    </w:p>
    <w:p w14:paraId="0A60B015">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hint="eastAsia" w:ascii="仿宋_GB2312" w:eastAsia="仿宋_GB2312" w:cs="仿宋"/>
          <w:color w:val="000000"/>
          <w:sz w:val="32"/>
          <w:szCs w:val="32"/>
        </w:rPr>
      </w:pPr>
      <w:r>
        <w:rPr>
          <w:rFonts w:hint="eastAsia" w:ascii="仿宋_GB2312" w:eastAsia="仿宋_GB2312" w:cs="仿宋"/>
          <w:color w:val="000000"/>
          <w:sz w:val="32"/>
          <w:szCs w:val="32"/>
          <w:lang w:val="en-US" w:eastAsia="zh-CN"/>
        </w:rPr>
        <w:t>2.</w:t>
      </w:r>
      <w:r>
        <w:rPr>
          <w:rFonts w:hint="eastAsia" w:ascii="仿宋_GB2312" w:eastAsia="仿宋_GB2312" w:cs="仿宋"/>
          <w:color w:val="000000"/>
          <w:sz w:val="32"/>
          <w:szCs w:val="32"/>
          <w:lang w:eastAsia="zh-CN"/>
        </w:rPr>
        <w:t>2022年</w:t>
      </w:r>
      <w:r>
        <w:rPr>
          <w:rFonts w:hint="eastAsia" w:ascii="仿宋_GB2312" w:eastAsia="仿宋_GB2312" w:cs="仿宋"/>
          <w:color w:val="000000"/>
          <w:sz w:val="32"/>
          <w:szCs w:val="32"/>
        </w:rPr>
        <w:t>一般公共预算财政拨款项目支出</w:t>
      </w:r>
      <w:r>
        <w:rPr>
          <w:rFonts w:hint="eastAsia" w:ascii="仿宋_GB2312" w:eastAsia="仿宋_GB2312" w:cs="仿宋"/>
          <w:color w:val="000000"/>
          <w:sz w:val="32"/>
          <w:szCs w:val="32"/>
          <w:lang w:val="en-US" w:eastAsia="zh-CN"/>
        </w:rPr>
        <w:t>283.74</w:t>
      </w:r>
      <w:r>
        <w:rPr>
          <w:rFonts w:hint="eastAsia" w:ascii="仿宋_GB2312" w:eastAsia="仿宋_GB2312" w:cs="仿宋"/>
          <w:color w:val="000000"/>
          <w:sz w:val="32"/>
          <w:szCs w:val="32"/>
        </w:rPr>
        <w:t>万元，其中：一般行政管理事务支出</w:t>
      </w:r>
      <w:r>
        <w:rPr>
          <w:rFonts w:hint="eastAsia" w:ascii="仿宋_GB2312" w:eastAsia="仿宋_GB2312" w:cs="仿宋"/>
          <w:color w:val="000000"/>
          <w:sz w:val="32"/>
          <w:szCs w:val="32"/>
          <w:lang w:val="en-US" w:eastAsia="zh-CN"/>
        </w:rPr>
        <w:t>45.99</w:t>
      </w:r>
      <w:r>
        <w:rPr>
          <w:rFonts w:hint="eastAsia" w:ascii="仿宋_GB2312" w:eastAsia="仿宋_GB2312" w:cs="仿宋"/>
          <w:color w:val="000000"/>
          <w:sz w:val="32"/>
          <w:szCs w:val="32"/>
        </w:rPr>
        <w:t>万元，</w:t>
      </w:r>
      <w:r>
        <w:rPr>
          <w:rFonts w:hint="eastAsia" w:ascii="仿宋_GB2312" w:eastAsia="仿宋_GB2312" w:cs="仿宋"/>
          <w:color w:val="000000"/>
          <w:sz w:val="32"/>
          <w:szCs w:val="32"/>
          <w:lang w:eastAsia="zh-CN"/>
        </w:rPr>
        <w:t>人大会议</w:t>
      </w:r>
      <w:r>
        <w:rPr>
          <w:rFonts w:hint="eastAsia" w:ascii="仿宋_GB2312" w:eastAsia="仿宋_GB2312" w:cs="仿宋"/>
          <w:color w:val="000000"/>
          <w:sz w:val="32"/>
          <w:szCs w:val="32"/>
          <w:lang w:val="en-US" w:eastAsia="zh-CN"/>
        </w:rPr>
        <w:t>41.59</w:t>
      </w:r>
      <w:r>
        <w:rPr>
          <w:rFonts w:hint="eastAsia" w:ascii="仿宋_GB2312" w:eastAsia="仿宋_GB2312" w:cs="仿宋"/>
          <w:color w:val="000000"/>
          <w:sz w:val="32"/>
          <w:szCs w:val="32"/>
        </w:rPr>
        <w:t>万元,代表工作</w:t>
      </w:r>
      <w:r>
        <w:rPr>
          <w:rFonts w:hint="eastAsia" w:ascii="仿宋_GB2312" w:eastAsia="仿宋_GB2312" w:cs="仿宋"/>
          <w:color w:val="000000"/>
          <w:sz w:val="32"/>
          <w:szCs w:val="32"/>
          <w:lang w:val="en-US" w:eastAsia="zh-CN"/>
        </w:rPr>
        <w:t>196.16</w:t>
      </w:r>
      <w:r>
        <w:rPr>
          <w:rFonts w:hint="eastAsia" w:ascii="仿宋_GB2312" w:eastAsia="仿宋_GB2312" w:cs="仿宋"/>
          <w:color w:val="000000"/>
          <w:sz w:val="32"/>
          <w:szCs w:val="32"/>
        </w:rPr>
        <w:t>万元。</w:t>
      </w:r>
    </w:p>
    <w:p w14:paraId="1FC2DA2E">
      <w:pPr>
        <w:keepNext w:val="0"/>
        <w:keepLines w:val="0"/>
        <w:pageBreakBefore w:val="0"/>
        <w:widowControl/>
        <w:kinsoku/>
        <w:wordWrap/>
        <w:overflowPunct/>
        <w:topLinePunct w:val="0"/>
        <w:autoSpaceDE/>
        <w:autoSpaceDN/>
        <w:bidi w:val="0"/>
        <w:adjustRightInd w:val="0"/>
        <w:snapToGrid w:val="0"/>
        <w:spacing w:line="552" w:lineRule="exact"/>
        <w:ind w:firstLine="640" w:firstLineChars="200"/>
        <w:contextualSpacing/>
        <w:jc w:val="left"/>
        <w:textAlignment w:val="auto"/>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14:paraId="49A8EB7B">
      <w:pPr>
        <w:keepNext w:val="0"/>
        <w:keepLines w:val="0"/>
        <w:pageBreakBefore w:val="0"/>
        <w:widowControl/>
        <w:kinsoku/>
        <w:wordWrap/>
        <w:overflowPunct/>
        <w:topLinePunct w:val="0"/>
        <w:autoSpaceDE/>
        <w:autoSpaceDN/>
        <w:bidi w:val="0"/>
        <w:adjustRightInd w:val="0"/>
        <w:snapToGrid w:val="0"/>
        <w:spacing w:line="552" w:lineRule="exact"/>
        <w:ind w:firstLine="720"/>
        <w:jc w:val="left"/>
        <w:textAlignment w:val="auto"/>
        <w:rPr>
          <w:rFonts w:hint="eastAsia" w:ascii="楷体" w:eastAsia="楷体" w:cs="宋体"/>
          <w:color w:val="000000"/>
          <w:kern w:val="0"/>
          <w:lang w:val="zh-CN"/>
        </w:rPr>
      </w:pPr>
      <w:r>
        <w:rPr>
          <w:rFonts w:hint="eastAsia" w:ascii="楷体" w:eastAsia="楷体" w:cs="宋体"/>
          <w:color w:val="000000"/>
          <w:kern w:val="0"/>
          <w:sz w:val="32"/>
          <w:lang w:val="zh-CN"/>
        </w:rPr>
        <w:t>（一）预算编制情况。</w:t>
      </w:r>
    </w:p>
    <w:p w14:paraId="7E2E7B95">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ascii="仿宋_GB2312" w:eastAsia="仿宋_GB2312"/>
          <w:color w:val="000000"/>
          <w:sz w:val="32"/>
          <w:szCs w:val="32"/>
        </w:rPr>
      </w:pPr>
      <w:r>
        <w:rPr>
          <w:rFonts w:hint="eastAsia" w:ascii="仿宋_GB2312" w:eastAsia="仿宋_GB2312" w:cs="仿宋_GB2312"/>
          <w:bCs/>
          <w:sz w:val="32"/>
          <w:szCs w:val="32"/>
        </w:rPr>
        <w:t>按照综合预算的编制原则，保证预算编制质量，人大办所有收入和支出均纳入财政预算管理，公用经费按人员数进行编制，其它经费严格按照有关预算法执行。</w:t>
      </w:r>
    </w:p>
    <w:p w14:paraId="1BCC4413">
      <w:pPr>
        <w:keepNext w:val="0"/>
        <w:keepLines w:val="0"/>
        <w:pageBreakBefore w:val="0"/>
        <w:widowControl/>
        <w:kinsoku/>
        <w:wordWrap/>
        <w:overflowPunct/>
        <w:topLinePunct w:val="0"/>
        <w:autoSpaceDE/>
        <w:autoSpaceDN/>
        <w:bidi w:val="0"/>
        <w:adjustRightInd w:val="0"/>
        <w:snapToGrid w:val="0"/>
        <w:spacing w:line="552" w:lineRule="exact"/>
        <w:ind w:firstLine="720"/>
        <w:jc w:val="left"/>
        <w:textAlignment w:val="auto"/>
        <w:rPr>
          <w:rFonts w:hint="eastAsia" w:ascii="楷体" w:eastAsia="楷体" w:cs="宋体"/>
          <w:color w:val="000000"/>
          <w:kern w:val="0"/>
          <w:lang w:val="zh-CN"/>
        </w:rPr>
      </w:pPr>
      <w:r>
        <w:rPr>
          <w:rFonts w:hint="eastAsia" w:ascii="楷体" w:eastAsia="楷体" w:cs="宋体"/>
          <w:color w:val="000000"/>
          <w:kern w:val="0"/>
          <w:sz w:val="32"/>
          <w:lang w:val="zh-CN"/>
        </w:rPr>
        <w:t>（二）执行管理情况。</w:t>
      </w:r>
      <w:r>
        <w:rPr>
          <w:rFonts w:hint="eastAsia" w:ascii="楷体" w:eastAsia="楷体" w:cs="宋体"/>
          <w:color w:val="000000"/>
          <w:kern w:val="0"/>
          <w:sz w:val="32"/>
          <w:lang w:val="zh-CN"/>
        </w:rPr>
        <w:tab/>
      </w:r>
    </w:p>
    <w:p w14:paraId="50364133">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1.预算执行情况：所有预算严格按照预算法执行，本机关由于突发性工作较多，年初预算和当年决算数相比人员经费和公用经费没有达到只减不增要求，预算经费中人员经费是按月拨付，</w:t>
      </w:r>
      <w:r>
        <w:rPr>
          <w:rFonts w:hint="eastAsia" w:ascii="仿宋_GB2312" w:eastAsia="仿宋_GB2312" w:cs="仿宋_GB2312"/>
          <w:bCs/>
          <w:sz w:val="32"/>
          <w:szCs w:val="32"/>
        </w:rPr>
        <w:t>公用经费在预算指标内按需求拨付</w:t>
      </w:r>
      <w:r>
        <w:rPr>
          <w:rFonts w:hint="eastAsia" w:ascii="仿宋_GB2312" w:eastAsia="仿宋_GB2312"/>
          <w:color w:val="000000"/>
          <w:sz w:val="32"/>
          <w:szCs w:val="32"/>
        </w:rPr>
        <w:t>。</w:t>
      </w:r>
    </w:p>
    <w:p w14:paraId="206C57BD">
      <w:pPr>
        <w:keepNext w:val="0"/>
        <w:keepLines w:val="0"/>
        <w:pageBreakBefore w:val="0"/>
        <w:widowControl/>
        <w:kinsoku/>
        <w:wordWrap/>
        <w:overflowPunct/>
        <w:topLinePunct w:val="0"/>
        <w:autoSpaceDE/>
        <w:autoSpaceDN/>
        <w:bidi w:val="0"/>
        <w:spacing w:line="552" w:lineRule="exact"/>
        <w:ind w:firstLine="640" w:firstLineChars="200"/>
        <w:jc w:val="left"/>
        <w:textAlignment w:val="auto"/>
        <w:rPr>
          <w:rFonts w:ascii="仿宋_GB2312" w:eastAsia="仿宋_GB2312"/>
          <w:b/>
          <w:bCs/>
          <w:color w:val="000000"/>
          <w:sz w:val="32"/>
          <w:szCs w:val="32"/>
        </w:rPr>
      </w:pPr>
      <w:r>
        <w:rPr>
          <w:rFonts w:hint="eastAsia" w:ascii="仿宋_GB2312" w:eastAsia="仿宋_GB2312"/>
          <w:color w:val="000000"/>
          <w:sz w:val="32"/>
          <w:szCs w:val="32"/>
        </w:rPr>
        <w:t>2.中期评估:根据《</w:t>
      </w:r>
      <w:r>
        <w:rPr>
          <w:rFonts w:ascii="仿宋_GB2312" w:eastAsia="仿宋_GB2312"/>
          <w:color w:val="000000"/>
          <w:sz w:val="32"/>
          <w:szCs w:val="32"/>
        </w:rPr>
        <w:t>中华人民共和国</w:t>
      </w:r>
      <w:r>
        <w:rPr>
          <w:rFonts w:hint="eastAsia" w:ascii="仿宋_GB2312" w:eastAsia="仿宋_GB2312"/>
          <w:color w:val="000000"/>
          <w:sz w:val="32"/>
          <w:szCs w:val="32"/>
        </w:rPr>
        <w:t>预算法》以及部门预算编制重点，结合本单位工作实际，编制本单位三年流动财政规划报表。</w:t>
      </w:r>
    </w:p>
    <w:p w14:paraId="74CE5B81">
      <w:pPr>
        <w:keepNext w:val="0"/>
        <w:keepLines w:val="0"/>
        <w:pageBreakBefore w:val="0"/>
        <w:widowControl/>
        <w:kinsoku/>
        <w:wordWrap/>
        <w:overflowPunct/>
        <w:topLinePunct w:val="0"/>
        <w:autoSpaceDE/>
        <w:autoSpaceDN/>
        <w:bidi w:val="0"/>
        <w:spacing w:line="552" w:lineRule="exact"/>
        <w:ind w:firstLine="640" w:firstLineChars="200"/>
        <w:jc w:val="left"/>
        <w:textAlignment w:val="auto"/>
        <w:rPr>
          <w:rFonts w:ascii="仿宋_GB2312" w:eastAsia="仿宋_GB2312"/>
          <w:color w:val="000000"/>
          <w:sz w:val="32"/>
          <w:szCs w:val="32"/>
        </w:rPr>
      </w:pPr>
      <w:r>
        <w:rPr>
          <w:rFonts w:hint="eastAsia" w:ascii="仿宋_GB2312" w:eastAsia="仿宋_GB2312"/>
          <w:color w:val="000000"/>
          <w:sz w:val="32"/>
          <w:szCs w:val="32"/>
        </w:rPr>
        <w:t>（1）编制了县级2017年—2019年三年滚动财政规划表。</w:t>
      </w:r>
    </w:p>
    <w:p w14:paraId="32CB4C33">
      <w:pPr>
        <w:keepNext w:val="0"/>
        <w:keepLines w:val="0"/>
        <w:pageBreakBefore w:val="0"/>
        <w:widowControl/>
        <w:kinsoku/>
        <w:wordWrap/>
        <w:overflowPunct/>
        <w:topLinePunct w:val="0"/>
        <w:autoSpaceDE/>
        <w:autoSpaceDN/>
        <w:bidi w:val="0"/>
        <w:spacing w:line="552" w:lineRule="exact"/>
        <w:ind w:firstLine="640" w:firstLineChars="200"/>
        <w:jc w:val="left"/>
        <w:textAlignment w:val="auto"/>
        <w:rPr>
          <w:rFonts w:ascii="仿宋_GB2312" w:eastAsia="仿宋_GB2312"/>
          <w:color w:val="000000"/>
          <w:sz w:val="32"/>
          <w:szCs w:val="32"/>
        </w:rPr>
      </w:pPr>
      <w:r>
        <w:rPr>
          <w:rFonts w:hint="eastAsia" w:ascii="仿宋_GB2312" w:eastAsia="仿宋_GB2312"/>
          <w:color w:val="000000"/>
          <w:sz w:val="32"/>
          <w:szCs w:val="32"/>
        </w:rPr>
        <w:t>（2）编制了县级2019年—</w:t>
      </w:r>
      <w:r>
        <w:rPr>
          <w:rFonts w:hint="eastAsia" w:ascii="仿宋_GB2312" w:eastAsia="仿宋_GB2312"/>
          <w:color w:val="000000"/>
          <w:sz w:val="32"/>
          <w:szCs w:val="32"/>
          <w:lang w:eastAsia="zh-CN"/>
        </w:rPr>
        <w:t>2022年</w:t>
      </w:r>
      <w:r>
        <w:rPr>
          <w:rFonts w:hint="eastAsia" w:ascii="仿宋_GB2312" w:eastAsia="仿宋_GB2312"/>
          <w:color w:val="000000"/>
          <w:sz w:val="32"/>
          <w:szCs w:val="32"/>
        </w:rPr>
        <w:t>三年滚动财政规划表。</w:t>
      </w:r>
    </w:p>
    <w:p w14:paraId="5EFDC1BC">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3.节能降耗方面：水电油</w:t>
      </w:r>
      <w:r>
        <w:rPr>
          <w:rFonts w:hint="eastAsia" w:ascii="仿宋_GB2312" w:eastAsia="仿宋_GB2312"/>
          <w:sz w:val="32"/>
          <w:szCs w:val="32"/>
          <w:lang w:eastAsia="zh-CN"/>
        </w:rPr>
        <w:t>20</w:t>
      </w:r>
      <w:r>
        <w:rPr>
          <w:rFonts w:hint="eastAsia" w:ascii="仿宋_GB2312" w:eastAsia="仿宋_GB2312"/>
          <w:sz w:val="32"/>
          <w:szCs w:val="32"/>
          <w:lang w:val="en-US" w:eastAsia="zh-CN"/>
        </w:rPr>
        <w:t>21</w:t>
      </w:r>
      <w:r>
        <w:rPr>
          <w:rFonts w:hint="eastAsia" w:ascii="仿宋_GB2312" w:eastAsia="仿宋_GB2312"/>
          <w:sz w:val="32"/>
          <w:szCs w:val="32"/>
          <w:lang w:eastAsia="zh-CN"/>
        </w:rPr>
        <w:t>年</w:t>
      </w:r>
      <w:r>
        <w:rPr>
          <w:rFonts w:hint="eastAsia" w:ascii="仿宋_GB2312" w:eastAsia="仿宋_GB2312"/>
          <w:sz w:val="32"/>
          <w:szCs w:val="32"/>
        </w:rPr>
        <w:t>、</w:t>
      </w:r>
      <w:r>
        <w:rPr>
          <w:rFonts w:hint="eastAsia" w:ascii="仿宋_GB2312" w:eastAsia="仿宋_GB2312"/>
          <w:sz w:val="32"/>
          <w:szCs w:val="32"/>
          <w:lang w:val="en-US" w:eastAsia="zh-CN"/>
        </w:rPr>
        <w:t>2022</w:t>
      </w:r>
      <w:r>
        <w:rPr>
          <w:rFonts w:hint="eastAsia" w:ascii="仿宋_GB2312" w:eastAsia="仿宋_GB2312"/>
          <w:sz w:val="32"/>
          <w:szCs w:val="32"/>
          <w:lang w:eastAsia="zh-CN"/>
        </w:rPr>
        <w:t>年</w:t>
      </w:r>
      <w:r>
        <w:rPr>
          <w:rFonts w:hint="eastAsia" w:ascii="仿宋_GB2312" w:eastAsia="仿宋_GB2312"/>
          <w:sz w:val="32"/>
          <w:szCs w:val="32"/>
        </w:rPr>
        <w:t>预算数相差不大。</w:t>
      </w:r>
    </w:p>
    <w:p w14:paraId="0EDA95E0">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ascii="仿宋_GB2312" w:eastAsia="仿宋_GB2312"/>
          <w:color w:val="000000"/>
          <w:sz w:val="32"/>
          <w:szCs w:val="32"/>
        </w:rPr>
      </w:pPr>
      <w:r>
        <w:rPr>
          <w:rFonts w:hint="eastAsia" w:ascii="仿宋_GB2312" w:eastAsia="仿宋_GB2312"/>
          <w:sz w:val="32"/>
          <w:szCs w:val="32"/>
        </w:rPr>
        <w:t>4.三公</w:t>
      </w:r>
      <w:r>
        <w:rPr>
          <w:rFonts w:hint="eastAsia" w:ascii="仿宋_GB2312" w:eastAsia="仿宋_GB2312"/>
          <w:color w:val="000000"/>
          <w:sz w:val="32"/>
          <w:szCs w:val="32"/>
        </w:rPr>
        <w:t>经费预算执行情况;</w:t>
      </w:r>
    </w:p>
    <w:p w14:paraId="278F6F6F">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ascii="仿宋_GB2312" w:eastAsia="仿宋_GB2312"/>
          <w:color w:val="000000"/>
          <w:sz w:val="32"/>
          <w:szCs w:val="32"/>
        </w:rPr>
      </w:pPr>
      <w:r>
        <w:rPr>
          <w:rFonts w:hint="eastAsia" w:ascii="仿宋_GB2312" w:eastAsia="仿宋_GB2312" w:cs="仿宋"/>
          <w:color w:val="000000"/>
          <w:sz w:val="32"/>
          <w:szCs w:val="32"/>
          <w:lang w:eastAsia="zh-CN"/>
        </w:rPr>
        <w:t>2022年</w:t>
      </w:r>
      <w:r>
        <w:rPr>
          <w:rFonts w:hint="eastAsia" w:ascii="仿宋_GB2312" w:eastAsia="仿宋_GB2312" w:cs="仿宋"/>
          <w:color w:val="000000"/>
          <w:sz w:val="32"/>
          <w:szCs w:val="32"/>
        </w:rPr>
        <w:t>度“三公”经费财政拨款支出决算数为</w:t>
      </w:r>
      <w:r>
        <w:rPr>
          <w:rFonts w:hint="eastAsia" w:ascii="仿宋_GB2312" w:eastAsia="仿宋_GB2312" w:cs="仿宋"/>
          <w:color w:val="000000"/>
          <w:sz w:val="32"/>
          <w:szCs w:val="32"/>
          <w:lang w:val="en-US" w:eastAsia="zh-CN"/>
        </w:rPr>
        <w:t>34.07</w:t>
      </w:r>
      <w:r>
        <w:rPr>
          <w:rFonts w:hint="eastAsia" w:ascii="仿宋_GB2312" w:eastAsia="仿宋_GB2312" w:cs="仿宋"/>
          <w:color w:val="000000"/>
          <w:sz w:val="32"/>
          <w:szCs w:val="32"/>
        </w:rPr>
        <w:t>万元，其中：无因公出国（境）费支出；无公务接待费，公务用车购置及运行维护费支出决算</w:t>
      </w:r>
      <w:r>
        <w:rPr>
          <w:rFonts w:hint="eastAsia" w:ascii="仿宋_GB2312" w:eastAsia="仿宋_GB2312" w:cs="仿宋"/>
          <w:color w:val="000000"/>
          <w:sz w:val="32"/>
          <w:szCs w:val="32"/>
          <w:lang w:val="en-US" w:eastAsia="zh-CN"/>
        </w:rPr>
        <w:t>34.07</w:t>
      </w:r>
      <w:r>
        <w:rPr>
          <w:rFonts w:hint="eastAsia" w:ascii="仿宋_GB2312" w:eastAsia="仿宋_GB2312" w:cs="仿宋"/>
          <w:color w:val="000000"/>
          <w:sz w:val="32"/>
          <w:szCs w:val="32"/>
        </w:rPr>
        <w:t>万元。</w:t>
      </w:r>
    </w:p>
    <w:p w14:paraId="4A5B1DE0">
      <w:pPr>
        <w:keepNext w:val="0"/>
        <w:keepLines w:val="0"/>
        <w:pageBreakBefore w:val="0"/>
        <w:widowControl/>
        <w:kinsoku/>
        <w:wordWrap/>
        <w:overflowPunct/>
        <w:topLinePunct w:val="0"/>
        <w:autoSpaceDE/>
        <w:autoSpaceDN/>
        <w:bidi w:val="0"/>
        <w:adjustRightInd w:val="0"/>
        <w:snapToGrid w:val="0"/>
        <w:spacing w:line="552" w:lineRule="exact"/>
        <w:textAlignment w:val="auto"/>
        <w:rPr>
          <w:rFonts w:ascii="楷体_GB2312" w:eastAsia="楷体_GB2312" w:cs="宋体"/>
          <w:b/>
          <w:color w:val="000000"/>
          <w:spacing w:val="-14"/>
          <w:kern w:val="0"/>
          <w:sz w:val="32"/>
          <w:szCs w:val="32"/>
        </w:rPr>
      </w:pPr>
      <w:r>
        <w:rPr>
          <w:rFonts w:hint="eastAsia" w:ascii="仿宋_GB2312" w:eastAsia="仿宋_GB2312" w:cs="仿宋_GB2312"/>
          <w:b/>
          <w:bCs/>
          <w:lang w:val="en-US" w:eastAsia="zh-CN"/>
        </w:rPr>
        <w:t xml:space="preserve"> </w:t>
      </w:r>
      <w:r>
        <w:rPr>
          <w:rFonts w:hint="eastAsia" w:ascii="楷体_GB2312" w:eastAsia="楷体_GB2312" w:cs="宋体"/>
          <w:b/>
          <w:color w:val="000000"/>
          <w:spacing w:val="-14"/>
          <w:kern w:val="0"/>
          <w:sz w:val="32"/>
          <w:szCs w:val="32"/>
          <w:lang w:val="en-US" w:eastAsia="zh-CN"/>
        </w:rPr>
        <w:t xml:space="preserve">   </w:t>
      </w:r>
      <w:r>
        <w:rPr>
          <w:rFonts w:hint="eastAsia" w:ascii="楷体_GB2312" w:eastAsia="楷体_GB2312" w:cs="宋体"/>
          <w:b/>
          <w:color w:val="000000"/>
          <w:spacing w:val="-14"/>
          <w:kern w:val="0"/>
          <w:sz w:val="32"/>
          <w:szCs w:val="32"/>
          <w:lang w:val="zh-CN"/>
        </w:rPr>
        <w:t>（三）</w:t>
      </w:r>
      <w:r>
        <w:rPr>
          <w:rFonts w:hint="eastAsia" w:ascii="楷体_GB2312" w:eastAsia="楷体_GB2312" w:cs="宋体"/>
          <w:b/>
          <w:color w:val="000000"/>
          <w:spacing w:val="-14"/>
          <w:kern w:val="0"/>
          <w:sz w:val="32"/>
          <w:szCs w:val="32"/>
        </w:rPr>
        <w:t>综合管理情况。</w:t>
      </w:r>
    </w:p>
    <w:p w14:paraId="76BC9D32">
      <w:pPr>
        <w:keepNext w:val="0"/>
        <w:keepLines w:val="0"/>
        <w:pageBreakBefore w:val="0"/>
        <w:widowControl w:val="0"/>
        <w:kinsoku/>
        <w:wordWrap/>
        <w:overflowPunct/>
        <w:topLinePunct w:val="0"/>
        <w:autoSpaceDE/>
        <w:autoSpaceDN/>
        <w:bidi w:val="0"/>
        <w:spacing w:line="552" w:lineRule="exact"/>
        <w:ind w:firstLine="643" w:firstLineChars="200"/>
        <w:textAlignment w:val="auto"/>
        <w:rPr>
          <w:rFonts w:hint="eastAsia" w:ascii="仿宋_GB2312" w:eastAsia="仿宋_GB2312" w:cs="仿宋"/>
          <w:b/>
          <w:bCs/>
          <w:color w:val="000000"/>
          <w:sz w:val="32"/>
          <w:szCs w:val="32"/>
          <w:lang w:val="zh-CN"/>
        </w:rPr>
      </w:pPr>
      <w:r>
        <w:rPr>
          <w:rFonts w:hint="eastAsia" w:ascii="仿宋_GB2312" w:eastAsia="仿宋_GB2312" w:cs="仿宋"/>
          <w:b/>
          <w:bCs/>
          <w:color w:val="000000"/>
          <w:sz w:val="32"/>
          <w:szCs w:val="32"/>
          <w:lang w:val="zh-CN"/>
        </w:rPr>
        <w:t>1</w:t>
      </w:r>
      <w:r>
        <w:rPr>
          <w:rFonts w:hint="eastAsia" w:ascii="仿宋_GB2312" w:eastAsia="仿宋_GB2312" w:cs="仿宋"/>
          <w:b/>
          <w:bCs/>
          <w:color w:val="000000"/>
          <w:sz w:val="32"/>
          <w:szCs w:val="32"/>
          <w:lang w:val="zh-CN" w:eastAsia="zh-CN"/>
        </w:rPr>
        <w:t>、</w:t>
      </w:r>
      <w:r>
        <w:rPr>
          <w:rFonts w:hint="eastAsia" w:ascii="仿宋_GB2312" w:eastAsia="仿宋_GB2312" w:cs="仿宋"/>
          <w:b/>
          <w:bCs/>
          <w:color w:val="000000"/>
          <w:sz w:val="32"/>
          <w:szCs w:val="32"/>
          <w:lang w:val="zh-CN"/>
        </w:rPr>
        <w:t>基础管理情况</w:t>
      </w:r>
    </w:p>
    <w:p w14:paraId="02E3616C">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hint="eastAsia" w:ascii="仿宋_GB2312" w:eastAsia="仿宋_GB2312" w:cs="仿宋"/>
          <w:color w:val="000000"/>
          <w:sz w:val="32"/>
          <w:szCs w:val="32"/>
          <w:lang w:val="zh-CN" w:eastAsia="zh-CN"/>
        </w:rPr>
      </w:pPr>
      <w:r>
        <w:rPr>
          <w:rFonts w:hint="eastAsia" w:ascii="仿宋_GB2312" w:eastAsia="仿宋_GB2312" w:cs="仿宋"/>
          <w:color w:val="000000"/>
          <w:sz w:val="32"/>
          <w:szCs w:val="32"/>
          <w:lang w:val="zh-CN" w:eastAsia="zh-CN"/>
        </w:rPr>
        <w:t>我单位制定了《金川县人大常委会办公室财务管理制度》</w:t>
      </w:r>
      <w:r>
        <w:rPr>
          <w:rFonts w:hint="eastAsia" w:ascii="仿宋_GB2312" w:eastAsia="仿宋_GB2312" w:cs="仿宋"/>
          <w:color w:val="000000"/>
          <w:sz w:val="32"/>
          <w:szCs w:val="32"/>
          <w:lang w:val="en-US" w:eastAsia="zh-CN"/>
        </w:rPr>
        <w:t>,</w:t>
      </w:r>
      <w:r>
        <w:rPr>
          <w:rFonts w:hint="eastAsia" w:ascii="仿宋_GB2312" w:eastAsia="仿宋_GB2312" w:cs="仿宋"/>
          <w:color w:val="000000"/>
          <w:sz w:val="32"/>
          <w:szCs w:val="32"/>
          <w:lang w:val="zh-CN" w:eastAsia="zh-CN"/>
        </w:rPr>
        <w:t>主要内容为财务室及财务人员职责，包括分管财务负责人职责、会计人员职责、出纳及审核人员职责、经费开支及记账报销，制定的各项制度得到较好执行。</w:t>
      </w:r>
    </w:p>
    <w:p w14:paraId="0EF10DC2">
      <w:pPr>
        <w:keepNext w:val="0"/>
        <w:keepLines w:val="0"/>
        <w:pageBreakBefore w:val="0"/>
        <w:widowControl w:val="0"/>
        <w:kinsoku/>
        <w:wordWrap/>
        <w:overflowPunct/>
        <w:topLinePunct w:val="0"/>
        <w:autoSpaceDE/>
        <w:autoSpaceDN/>
        <w:bidi w:val="0"/>
        <w:spacing w:line="552" w:lineRule="exact"/>
        <w:ind w:firstLine="643" w:firstLineChars="200"/>
        <w:textAlignment w:val="auto"/>
        <w:rPr>
          <w:rFonts w:hint="eastAsia" w:ascii="仿宋_GB2312" w:eastAsia="仿宋_GB2312" w:cs="仿宋"/>
          <w:b/>
          <w:bCs/>
          <w:color w:val="000000"/>
          <w:sz w:val="32"/>
          <w:szCs w:val="32"/>
          <w:lang w:val="zh-CN"/>
        </w:rPr>
      </w:pPr>
      <w:r>
        <w:rPr>
          <w:rFonts w:hint="eastAsia" w:ascii="仿宋_GB2312" w:eastAsia="仿宋_GB2312" w:cs="仿宋"/>
          <w:b/>
          <w:bCs/>
          <w:color w:val="000000"/>
          <w:sz w:val="32"/>
          <w:szCs w:val="32"/>
          <w:lang w:val="en-US" w:eastAsia="zh-CN"/>
        </w:rPr>
        <w:t>2、</w:t>
      </w:r>
      <w:r>
        <w:rPr>
          <w:rFonts w:hint="eastAsia" w:ascii="仿宋_GB2312" w:eastAsia="仿宋_GB2312" w:cs="仿宋"/>
          <w:b/>
          <w:bCs/>
          <w:color w:val="000000"/>
          <w:sz w:val="32"/>
          <w:szCs w:val="32"/>
          <w:lang w:val="zh-CN"/>
        </w:rPr>
        <w:t>政府债务情况</w:t>
      </w:r>
    </w:p>
    <w:p w14:paraId="0C480FBD">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hint="eastAsia" w:ascii="仿宋_GB2312" w:eastAsia="仿宋_GB2312" w:cs="仿宋"/>
          <w:color w:val="000000"/>
          <w:sz w:val="32"/>
          <w:szCs w:val="32"/>
          <w:lang w:val="zh-CN" w:eastAsia="zh-CN"/>
        </w:rPr>
      </w:pPr>
      <w:r>
        <w:rPr>
          <w:rFonts w:hint="eastAsia" w:ascii="仿宋_GB2312" w:eastAsia="仿宋_GB2312" w:cs="仿宋"/>
          <w:color w:val="000000"/>
          <w:sz w:val="32"/>
          <w:szCs w:val="32"/>
          <w:lang w:val="en-US" w:eastAsia="zh-CN"/>
        </w:rPr>
        <w:t>2022</w:t>
      </w:r>
      <w:r>
        <w:rPr>
          <w:rFonts w:hint="eastAsia" w:ascii="仿宋_GB2312" w:eastAsia="仿宋_GB2312" w:cs="仿宋"/>
          <w:color w:val="000000"/>
          <w:sz w:val="32"/>
          <w:szCs w:val="32"/>
          <w:lang w:val="zh-CN" w:eastAsia="zh-CN"/>
        </w:rPr>
        <w:t>年度我单位政府债务合计0万元。</w:t>
      </w:r>
    </w:p>
    <w:p w14:paraId="012F4828">
      <w:pPr>
        <w:keepNext w:val="0"/>
        <w:keepLines w:val="0"/>
        <w:pageBreakBefore w:val="0"/>
        <w:widowControl w:val="0"/>
        <w:kinsoku/>
        <w:wordWrap/>
        <w:overflowPunct/>
        <w:topLinePunct w:val="0"/>
        <w:autoSpaceDE/>
        <w:autoSpaceDN/>
        <w:bidi w:val="0"/>
        <w:spacing w:line="552" w:lineRule="exact"/>
        <w:ind w:firstLine="643" w:firstLineChars="200"/>
        <w:textAlignment w:val="auto"/>
        <w:rPr>
          <w:rFonts w:hint="eastAsia" w:ascii="仿宋_GB2312" w:eastAsia="仿宋_GB2312" w:cs="仿宋"/>
          <w:color w:val="000000"/>
          <w:sz w:val="32"/>
          <w:szCs w:val="32"/>
          <w:lang w:val="zh-CN"/>
        </w:rPr>
      </w:pPr>
      <w:r>
        <w:rPr>
          <w:rFonts w:hint="eastAsia" w:ascii="仿宋_GB2312" w:eastAsia="仿宋_GB2312" w:cs="仿宋"/>
          <w:b/>
          <w:bCs/>
          <w:color w:val="000000"/>
          <w:sz w:val="32"/>
          <w:szCs w:val="32"/>
          <w:lang w:val="en-US" w:eastAsia="zh-CN"/>
        </w:rPr>
        <w:t>3、</w:t>
      </w:r>
      <w:r>
        <w:rPr>
          <w:rFonts w:hint="eastAsia" w:ascii="仿宋_GB2312" w:eastAsia="仿宋_GB2312" w:cs="仿宋"/>
          <w:b/>
          <w:bCs/>
          <w:color w:val="000000"/>
          <w:sz w:val="32"/>
          <w:szCs w:val="32"/>
          <w:lang w:val="zh-CN"/>
        </w:rPr>
        <w:t>非税收入执行情况</w:t>
      </w:r>
    </w:p>
    <w:p w14:paraId="32A7F28C">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hint="eastAsia" w:ascii="仿宋_GB2312" w:eastAsia="仿宋_GB2312" w:cs="仿宋"/>
          <w:color w:val="000000"/>
          <w:sz w:val="32"/>
          <w:szCs w:val="32"/>
          <w:lang w:val="zh-CN"/>
        </w:rPr>
      </w:pPr>
      <w:r>
        <w:rPr>
          <w:rFonts w:hint="eastAsia" w:ascii="仿宋_GB2312" w:eastAsia="仿宋_GB2312" w:cs="仿宋"/>
          <w:color w:val="000000"/>
          <w:sz w:val="32"/>
          <w:szCs w:val="32"/>
          <w:lang w:val="en-US" w:eastAsia="zh-CN"/>
        </w:rPr>
        <w:t>2022</w:t>
      </w:r>
      <w:r>
        <w:rPr>
          <w:rFonts w:hint="eastAsia" w:ascii="仿宋_GB2312" w:eastAsia="仿宋_GB2312" w:cs="仿宋"/>
          <w:color w:val="000000"/>
          <w:sz w:val="32"/>
          <w:szCs w:val="32"/>
          <w:lang w:val="zh-CN"/>
        </w:rPr>
        <w:t xml:space="preserve">年度我单位非税收入合计0元，上缴财政0万元。 </w:t>
      </w:r>
    </w:p>
    <w:p w14:paraId="482F1255">
      <w:pPr>
        <w:keepNext w:val="0"/>
        <w:keepLines w:val="0"/>
        <w:pageBreakBefore w:val="0"/>
        <w:widowControl w:val="0"/>
        <w:kinsoku/>
        <w:wordWrap/>
        <w:overflowPunct/>
        <w:topLinePunct w:val="0"/>
        <w:autoSpaceDE/>
        <w:autoSpaceDN/>
        <w:bidi w:val="0"/>
        <w:spacing w:line="552" w:lineRule="exact"/>
        <w:ind w:firstLine="643" w:firstLineChars="200"/>
        <w:textAlignment w:val="auto"/>
        <w:rPr>
          <w:rFonts w:hint="eastAsia" w:ascii="仿宋_GB2312" w:eastAsia="仿宋_GB2312" w:cs="仿宋"/>
          <w:b/>
          <w:bCs/>
          <w:color w:val="000000"/>
          <w:sz w:val="32"/>
          <w:szCs w:val="32"/>
          <w:lang w:val="zh-CN"/>
        </w:rPr>
      </w:pPr>
      <w:r>
        <w:rPr>
          <w:rFonts w:hint="eastAsia" w:ascii="仿宋_GB2312" w:eastAsia="仿宋_GB2312" w:cs="仿宋"/>
          <w:b/>
          <w:bCs/>
          <w:color w:val="000000"/>
          <w:sz w:val="32"/>
          <w:szCs w:val="32"/>
          <w:lang w:val="zh-CN"/>
        </w:rPr>
        <w:t>4</w:t>
      </w:r>
      <w:r>
        <w:rPr>
          <w:rFonts w:hint="eastAsia" w:ascii="仿宋_GB2312" w:eastAsia="仿宋_GB2312" w:cs="仿宋"/>
          <w:b/>
          <w:bCs/>
          <w:color w:val="000000"/>
          <w:sz w:val="32"/>
          <w:szCs w:val="32"/>
          <w:lang w:val="zh-CN" w:eastAsia="zh-CN"/>
        </w:rPr>
        <w:t>、</w:t>
      </w:r>
      <w:r>
        <w:rPr>
          <w:rFonts w:hint="eastAsia" w:ascii="仿宋_GB2312" w:eastAsia="仿宋_GB2312" w:cs="仿宋"/>
          <w:b/>
          <w:bCs/>
          <w:color w:val="000000"/>
          <w:sz w:val="32"/>
          <w:szCs w:val="32"/>
          <w:lang w:val="zh-CN"/>
        </w:rPr>
        <w:t>政府采购实施计划</w:t>
      </w:r>
    </w:p>
    <w:p w14:paraId="4FB4D5CF">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hint="eastAsia" w:ascii="仿宋_GB2312" w:eastAsia="仿宋_GB2312" w:cs="仿宋"/>
          <w:color w:val="000000"/>
          <w:sz w:val="32"/>
          <w:szCs w:val="32"/>
          <w:lang w:val="zh-CN" w:eastAsia="zh-CN"/>
        </w:rPr>
      </w:pPr>
      <w:r>
        <w:rPr>
          <w:rFonts w:hint="eastAsia" w:ascii="仿宋_GB2312" w:eastAsia="仿宋_GB2312" w:cs="仿宋"/>
          <w:color w:val="000000"/>
          <w:sz w:val="32"/>
          <w:szCs w:val="32"/>
          <w:lang w:val="zh-CN" w:eastAsia="zh-CN"/>
        </w:rPr>
        <w:t>我单位20</w:t>
      </w:r>
      <w:r>
        <w:rPr>
          <w:rFonts w:hint="eastAsia" w:ascii="仿宋_GB2312" w:eastAsia="仿宋_GB2312" w:cs="仿宋"/>
          <w:color w:val="000000"/>
          <w:sz w:val="32"/>
          <w:szCs w:val="32"/>
          <w:lang w:val="en-US" w:eastAsia="zh-CN"/>
        </w:rPr>
        <w:t>22</w:t>
      </w:r>
      <w:r>
        <w:rPr>
          <w:rFonts w:hint="eastAsia" w:ascii="仿宋_GB2312" w:eastAsia="仿宋_GB2312" w:cs="仿宋"/>
          <w:color w:val="000000"/>
          <w:sz w:val="32"/>
          <w:szCs w:val="32"/>
          <w:lang w:val="zh-CN" w:eastAsia="zh-CN"/>
        </w:rPr>
        <w:t>年未制定年度政府采购计划。</w:t>
      </w:r>
    </w:p>
    <w:p w14:paraId="3EBCCD67">
      <w:pPr>
        <w:keepNext w:val="0"/>
        <w:keepLines w:val="0"/>
        <w:pageBreakBefore w:val="0"/>
        <w:widowControl w:val="0"/>
        <w:kinsoku/>
        <w:wordWrap/>
        <w:overflowPunct/>
        <w:topLinePunct w:val="0"/>
        <w:autoSpaceDE/>
        <w:autoSpaceDN/>
        <w:bidi w:val="0"/>
        <w:spacing w:line="552" w:lineRule="exact"/>
        <w:ind w:firstLine="643" w:firstLineChars="200"/>
        <w:textAlignment w:val="auto"/>
        <w:rPr>
          <w:rFonts w:hint="eastAsia" w:ascii="仿宋_GB2312" w:eastAsia="仿宋_GB2312" w:cs="仿宋"/>
          <w:b/>
          <w:bCs/>
          <w:color w:val="000000"/>
          <w:sz w:val="32"/>
          <w:szCs w:val="32"/>
          <w:lang w:val="zh-CN"/>
        </w:rPr>
      </w:pPr>
      <w:r>
        <w:rPr>
          <w:rFonts w:hint="eastAsia" w:ascii="仿宋_GB2312" w:eastAsia="仿宋_GB2312" w:cs="仿宋"/>
          <w:b/>
          <w:bCs/>
          <w:color w:val="000000"/>
          <w:sz w:val="32"/>
          <w:szCs w:val="32"/>
          <w:lang w:val="en-US" w:eastAsia="zh-CN"/>
        </w:rPr>
        <w:t>5、</w:t>
      </w:r>
      <w:r>
        <w:rPr>
          <w:rFonts w:hint="eastAsia" w:ascii="仿宋_GB2312" w:eastAsia="仿宋_GB2312" w:cs="仿宋"/>
          <w:b/>
          <w:bCs/>
          <w:color w:val="000000"/>
          <w:sz w:val="32"/>
          <w:szCs w:val="32"/>
          <w:lang w:val="zh-CN"/>
        </w:rPr>
        <w:t>资产管理情况</w:t>
      </w:r>
    </w:p>
    <w:p w14:paraId="32315DFA">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hint="eastAsia" w:ascii="仿宋_GB2312" w:eastAsia="仿宋_GB2312" w:cs="仿宋"/>
          <w:color w:val="000000"/>
          <w:sz w:val="32"/>
          <w:szCs w:val="32"/>
          <w:lang w:val="zh-CN" w:eastAsia="zh-CN"/>
        </w:rPr>
      </w:pPr>
      <w:r>
        <w:rPr>
          <w:rFonts w:hint="eastAsia" w:ascii="仿宋_GB2312" w:eastAsia="仿宋_GB2312" w:cs="仿宋"/>
          <w:color w:val="000000"/>
          <w:sz w:val="32"/>
          <w:szCs w:val="32"/>
          <w:lang w:val="zh-CN" w:eastAsia="zh-CN"/>
        </w:rPr>
        <w:t>我单位已将国有资产纳入资产信息系统管理，并落实专人负责管理维护系统，资产变动已及时把资产变动情况录入系统。系统金额与会计账目金额一致。</w:t>
      </w:r>
    </w:p>
    <w:p w14:paraId="701352F4">
      <w:pPr>
        <w:keepNext w:val="0"/>
        <w:keepLines w:val="0"/>
        <w:pageBreakBefore w:val="0"/>
        <w:widowControl w:val="0"/>
        <w:kinsoku/>
        <w:wordWrap/>
        <w:overflowPunct/>
        <w:topLinePunct w:val="0"/>
        <w:autoSpaceDE/>
        <w:autoSpaceDN/>
        <w:bidi w:val="0"/>
        <w:spacing w:line="552" w:lineRule="exact"/>
        <w:ind w:firstLine="643" w:firstLineChars="200"/>
        <w:textAlignment w:val="auto"/>
        <w:rPr>
          <w:rFonts w:hint="eastAsia" w:ascii="仿宋_GB2312" w:eastAsia="仿宋_GB2312" w:cs="仿宋"/>
          <w:b/>
          <w:bCs/>
          <w:color w:val="000000"/>
          <w:sz w:val="32"/>
          <w:szCs w:val="32"/>
          <w:lang w:val="zh-CN"/>
        </w:rPr>
      </w:pPr>
      <w:r>
        <w:rPr>
          <w:rFonts w:hint="eastAsia" w:ascii="仿宋_GB2312" w:eastAsia="仿宋_GB2312" w:cs="仿宋"/>
          <w:b/>
          <w:bCs/>
          <w:color w:val="000000"/>
          <w:sz w:val="32"/>
          <w:szCs w:val="32"/>
          <w:lang w:val="en-US" w:eastAsia="zh-CN"/>
        </w:rPr>
        <w:t xml:space="preserve"> </w:t>
      </w:r>
      <w:r>
        <w:rPr>
          <w:rFonts w:hint="eastAsia" w:ascii="仿宋_GB2312" w:eastAsia="仿宋_GB2312" w:cs="仿宋"/>
          <w:b/>
          <w:bCs/>
          <w:color w:val="000000"/>
          <w:sz w:val="32"/>
          <w:szCs w:val="32"/>
          <w:lang w:val="zh-CN"/>
        </w:rPr>
        <w:t>6</w:t>
      </w:r>
      <w:r>
        <w:rPr>
          <w:rFonts w:hint="eastAsia" w:ascii="仿宋_GB2312" w:eastAsia="仿宋_GB2312" w:cs="仿宋"/>
          <w:b/>
          <w:bCs/>
          <w:color w:val="000000"/>
          <w:sz w:val="32"/>
          <w:szCs w:val="32"/>
          <w:lang w:val="zh-CN" w:eastAsia="zh-CN"/>
        </w:rPr>
        <w:t>、</w:t>
      </w:r>
      <w:r>
        <w:rPr>
          <w:rFonts w:hint="eastAsia" w:ascii="仿宋_GB2312" w:eastAsia="仿宋_GB2312" w:cs="仿宋"/>
          <w:b/>
          <w:bCs/>
          <w:color w:val="000000"/>
          <w:sz w:val="32"/>
          <w:szCs w:val="32"/>
          <w:lang w:val="zh-CN"/>
        </w:rPr>
        <w:t>信息公开情况</w:t>
      </w:r>
    </w:p>
    <w:p w14:paraId="0EF8DE2C">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hint="eastAsia" w:ascii="仿宋_GB2312" w:eastAsia="仿宋_GB2312" w:cs="仿宋"/>
          <w:color w:val="000000"/>
          <w:sz w:val="32"/>
          <w:szCs w:val="32"/>
          <w:lang w:val="zh-CN" w:eastAsia="zh-CN"/>
        </w:rPr>
      </w:pPr>
      <w:r>
        <w:rPr>
          <w:rFonts w:hint="eastAsia" w:ascii="仿宋_GB2312" w:eastAsia="仿宋_GB2312" w:cs="仿宋"/>
          <w:color w:val="000000"/>
          <w:sz w:val="32"/>
          <w:szCs w:val="32"/>
          <w:lang w:val="en-US" w:eastAsia="zh-CN"/>
        </w:rPr>
        <w:t>我单位2022</w:t>
      </w:r>
      <w:r>
        <w:rPr>
          <w:rFonts w:hint="eastAsia" w:ascii="仿宋_GB2312" w:eastAsia="仿宋_GB2312" w:cs="仿宋"/>
          <w:color w:val="000000"/>
          <w:sz w:val="32"/>
          <w:szCs w:val="32"/>
          <w:lang w:val="zh-CN" w:eastAsia="zh-CN"/>
        </w:rPr>
        <w:t>年的预、决算编制说明、“三公”经费预、决算情况，按县财政要求由县财政统一</w:t>
      </w:r>
      <w:r>
        <w:rPr>
          <w:rFonts w:hint="eastAsia" w:ascii="仿宋_GB2312" w:eastAsia="仿宋_GB2312" w:cs="仿宋"/>
          <w:color w:val="000000"/>
          <w:sz w:val="32"/>
          <w:szCs w:val="32"/>
          <w:lang w:val="en-US" w:eastAsia="zh-CN"/>
        </w:rPr>
        <w:t>在</w:t>
      </w:r>
      <w:r>
        <w:rPr>
          <w:rFonts w:hint="eastAsia" w:ascii="仿宋_GB2312" w:eastAsia="仿宋_GB2312" w:cs="仿宋"/>
          <w:color w:val="000000"/>
          <w:sz w:val="32"/>
          <w:szCs w:val="32"/>
          <w:lang w:val="zh-CN" w:eastAsia="zh-CN"/>
        </w:rPr>
        <w:t>政府网站上公开。</w:t>
      </w:r>
    </w:p>
    <w:p w14:paraId="7160CAC5">
      <w:pPr>
        <w:pStyle w:val="1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olor w:val="000000"/>
          <w:sz w:val="32"/>
          <w:szCs w:val="32"/>
        </w:rPr>
      </w:pPr>
      <w:r>
        <w:rPr>
          <w:rFonts w:hint="eastAsia" w:ascii="楷体" w:eastAsia="楷体" w:cs="楷体"/>
          <w:b/>
          <w:bCs/>
          <w:color w:val="000000"/>
          <w:sz w:val="32"/>
          <w:szCs w:val="32"/>
        </w:rPr>
        <w:t>（四）整体绩效。</w:t>
      </w:r>
    </w:p>
    <w:p w14:paraId="52E7C9C8">
      <w:pPr>
        <w:pStyle w:val="1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通过加强预算收支的管理，本</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不断建立健全内部管理制度，理顺内部管理流程，部门整体支出管理情况得到了提升。部门整体支出绩效情况如下：</w:t>
      </w:r>
    </w:p>
    <w:p w14:paraId="1A145C58">
      <w:pPr>
        <w:pStyle w:val="1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1、本年预算安排控制较好，控制在预算编制以内。</w:t>
      </w:r>
    </w:p>
    <w:p w14:paraId="1C8234BC">
      <w:pPr>
        <w:pStyle w:val="1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2、预算执行方面，支出总额控制在预算总额以内；本年无转移资金支付，不存在截留或滞留专项资金情况。　</w:t>
      </w:r>
    </w:p>
    <w:p w14:paraId="3CD395B2">
      <w:pPr>
        <w:pStyle w:val="1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olor w:val="000000"/>
          <w:sz w:val="32"/>
          <w:szCs w:val="32"/>
        </w:rPr>
      </w:pPr>
      <w:r>
        <w:rPr>
          <w:rFonts w:hint="eastAsia" w:ascii="仿宋_GB2312" w:eastAsia="仿宋_GB2312"/>
          <w:color w:val="000000"/>
          <w:sz w:val="32"/>
          <w:szCs w:val="32"/>
        </w:rPr>
        <w:t>3、项目产出及社会效益评价</w:t>
      </w:r>
    </w:p>
    <w:p w14:paraId="06974B6D">
      <w:pPr>
        <w:keepNext w:val="0"/>
        <w:keepLines w:val="0"/>
        <w:pageBreakBefore w:val="0"/>
        <w:widowControl w:val="0"/>
        <w:kinsoku/>
        <w:wordWrap/>
        <w:overflowPunct/>
        <w:topLinePunct w:val="0"/>
        <w:autoSpaceDE/>
        <w:autoSpaceDN/>
        <w:bidi w:val="0"/>
        <w:spacing w:line="552"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2022年县人大常委会在县委的坚强领导、州人大常委会的悉心指导下，始终坚持以习近平新时代中国特色社会主义思想、习近平关于坚持和完善人民代表大会制度重要思想指导，全面贯彻落实中央、省州县委系列重大决策部署，主动担当作为、依法履职行权，圆满完成了县十五届人大一次会议确定的各项目标任务，为助推金川经济社会平稳健康发展贡献了人大智慧和力量。</w:t>
      </w:r>
    </w:p>
    <w:p w14:paraId="5B078CE9">
      <w:pPr>
        <w:keepNext w:val="0"/>
        <w:keepLines w:val="0"/>
        <w:pageBreakBefore w:val="0"/>
        <w:widowControl w:val="0"/>
        <w:kinsoku/>
        <w:wordWrap/>
        <w:overflowPunct/>
        <w:topLinePunct w:val="0"/>
        <w:autoSpaceDE/>
        <w:autoSpaceDN/>
        <w:bidi w:val="0"/>
        <w:spacing w:line="552" w:lineRule="exact"/>
        <w:ind w:firstLine="643" w:firstLineChars="200"/>
        <w:textAlignment w:val="auto"/>
      </w:pPr>
      <w:r>
        <w:rPr>
          <w:rFonts w:hint="eastAsia" w:ascii="楷体" w:eastAsia="楷体" w:cs="楷体"/>
          <w:b/>
          <w:bCs/>
          <w:color w:val="000000"/>
          <w:kern w:val="0"/>
          <w:sz w:val="32"/>
          <w:szCs w:val="32"/>
          <w:lang w:val="zh-CN" w:eastAsia="zh-CN" w:bidi="ar-SA"/>
        </w:rPr>
        <w:t>（五）绩效管理工作开展情况 </w:t>
      </w:r>
      <w:r>
        <w:rPr>
          <w:rFonts w:hint="eastAsia" w:ascii="楷体" w:eastAsia="楷体" w:cs="楷体"/>
          <w:b/>
          <w:bCs/>
          <w:color w:val="000000"/>
          <w:kern w:val="0"/>
          <w:sz w:val="32"/>
          <w:szCs w:val="32"/>
          <w:lang w:val="zh-CN" w:eastAsia="zh-CN" w:bidi="ar-SA"/>
        </w:rPr>
        <w:br w:type="textWrapping"/>
      </w:r>
      <w:r>
        <w:rPr>
          <w:rFonts w:hint="eastAsia" w:ascii="仿宋_GB2312" w:eastAsia="仿宋_GB2312"/>
          <w:color w:val="000000"/>
          <w:sz w:val="32"/>
          <w:szCs w:val="32"/>
          <w:lang w:val="zh-CN"/>
        </w:rPr>
        <w:t xml:space="preserve">  </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lang w:val="zh-CN" w:eastAsia="zh-CN"/>
        </w:rPr>
        <w:t>根据金财监绩〔202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lang w:val="zh-CN" w:eastAsia="zh-CN"/>
        </w:rPr>
        <w:t>〕</w:t>
      </w:r>
      <w:r>
        <w:rPr>
          <w:rFonts w:hint="eastAsia" w:ascii="仿宋_GB2312" w:eastAsia="仿宋_GB2312"/>
          <w:color w:val="000000"/>
          <w:sz w:val="32"/>
          <w:szCs w:val="32"/>
          <w:lang w:val="en-US" w:eastAsia="zh-CN"/>
        </w:rPr>
        <w:t>32</w:t>
      </w:r>
      <w:r>
        <w:rPr>
          <w:rFonts w:hint="eastAsia" w:ascii="仿宋_GB2312" w:eastAsia="仿宋_GB2312"/>
          <w:color w:val="000000"/>
          <w:sz w:val="32"/>
          <w:szCs w:val="32"/>
          <w:lang w:val="zh-CN" w:eastAsia="zh-CN"/>
        </w:rPr>
        <w:t>号文件要求，我单位对财政资金使用管理情况，按照《关于开展202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lang w:val="zh-CN" w:eastAsia="zh-CN"/>
        </w:rPr>
        <w:t>年部门、政策和项目支出绩效评价工作的通知》认真开展自评工作，撰写部门自评报告。 </w:t>
      </w:r>
    </w:p>
    <w:p w14:paraId="0DAA466D">
      <w:pPr>
        <w:keepNext w:val="0"/>
        <w:keepLines w:val="0"/>
        <w:pageBreakBefore w:val="0"/>
        <w:widowControl/>
        <w:kinsoku/>
        <w:wordWrap/>
        <w:overflowPunct/>
        <w:topLinePunct w:val="0"/>
        <w:autoSpaceDE/>
        <w:autoSpaceDN/>
        <w:bidi w:val="0"/>
        <w:adjustRightInd w:val="0"/>
        <w:snapToGrid w:val="0"/>
        <w:spacing w:line="552" w:lineRule="exact"/>
        <w:ind w:firstLine="876" w:firstLineChars="300"/>
        <w:textAlignment w:val="auto"/>
        <w:rPr>
          <w:rFonts w:ascii="黑体" w:eastAsia="黑体" w:cs="宋体"/>
          <w:spacing w:val="-14"/>
          <w:kern w:val="0"/>
          <w:sz w:val="32"/>
          <w:szCs w:val="32"/>
        </w:rPr>
      </w:pPr>
      <w:r>
        <w:rPr>
          <w:rFonts w:hint="eastAsia" w:ascii="黑体" w:eastAsia="黑体" w:cs="宋体"/>
          <w:spacing w:val="-14"/>
          <w:kern w:val="0"/>
          <w:sz w:val="32"/>
          <w:szCs w:val="32"/>
        </w:rPr>
        <w:t>四、评价结论及建议</w:t>
      </w:r>
    </w:p>
    <w:p w14:paraId="0032642E">
      <w:pPr>
        <w:keepNext w:val="0"/>
        <w:keepLines w:val="0"/>
        <w:pageBreakBefore w:val="0"/>
        <w:widowControl/>
        <w:kinsoku/>
        <w:wordWrap/>
        <w:overflowPunct/>
        <w:topLinePunct w:val="0"/>
        <w:autoSpaceDE/>
        <w:autoSpaceDN/>
        <w:bidi w:val="0"/>
        <w:adjustRightInd w:val="0"/>
        <w:snapToGrid w:val="0"/>
        <w:spacing w:line="552" w:lineRule="exact"/>
        <w:ind w:firstLine="587" w:firstLineChars="200"/>
        <w:textAlignment w:val="auto"/>
        <w:rPr>
          <w:rFonts w:ascii="楷体_GB2312" w:eastAsia="楷体_GB2312" w:cs="宋体"/>
          <w:b/>
          <w:spacing w:val="-14"/>
          <w:kern w:val="0"/>
          <w:sz w:val="32"/>
          <w:szCs w:val="32"/>
        </w:rPr>
      </w:pPr>
      <w:r>
        <w:rPr>
          <w:rFonts w:hint="eastAsia" w:ascii="楷体_GB2312" w:eastAsia="楷体_GB2312" w:cs="宋体"/>
          <w:b/>
          <w:spacing w:val="-14"/>
          <w:kern w:val="0"/>
          <w:sz w:val="32"/>
          <w:szCs w:val="32"/>
        </w:rPr>
        <w:t>（一）评价结论。</w:t>
      </w:r>
    </w:p>
    <w:p w14:paraId="04EE2E2F">
      <w:pPr>
        <w:keepNext w:val="0"/>
        <w:keepLines w:val="0"/>
        <w:pageBreakBefore w:val="0"/>
        <w:widowControl w:val="0"/>
        <w:kinsoku/>
        <w:wordWrap/>
        <w:overflowPunct/>
        <w:topLinePunct w:val="0"/>
        <w:autoSpaceDE/>
        <w:autoSpaceDN/>
        <w:bidi w:val="0"/>
        <w:snapToGrid w:val="0"/>
        <w:spacing w:line="552" w:lineRule="exact"/>
        <w:ind w:firstLine="640" w:firstLineChars="200"/>
        <w:textAlignment w:val="auto"/>
        <w:rPr>
          <w:rFonts w:ascii="仿宋_GB2312" w:eastAsia="仿宋_GB2312"/>
          <w:sz w:val="32"/>
          <w:szCs w:val="32"/>
        </w:rPr>
      </w:pPr>
      <w:r>
        <w:rPr>
          <w:rFonts w:hint="eastAsia" w:ascii="仿宋_GB2312" w:eastAsia="仿宋_GB2312"/>
          <w:sz w:val="32"/>
          <w:szCs w:val="32"/>
        </w:rPr>
        <w:t>本机关高度重视此次绩效评价工作，召开了专门的会议研究和安排此项工作，责任到人，确保工作按质按量完成。在实施的过程中，按照</w:t>
      </w:r>
      <w:r>
        <w:rPr>
          <w:rFonts w:hint="eastAsia" w:ascii="仿宋_GB2312" w:eastAsia="仿宋_GB2312"/>
          <w:bCs/>
          <w:sz w:val="32"/>
          <w:szCs w:val="32"/>
        </w:rPr>
        <w:t>金财监绩</w:t>
      </w:r>
      <w:r>
        <w:rPr>
          <w:rFonts w:hint="eastAsia" w:ascii="宋体" w:cs="宋体"/>
          <w:bCs/>
          <w:sz w:val="32"/>
          <w:szCs w:val="32"/>
        </w:rPr>
        <w:t>〔202</w:t>
      </w:r>
      <w:r>
        <w:rPr>
          <w:rFonts w:hint="eastAsia" w:ascii="宋体" w:cs="宋体"/>
          <w:bCs/>
          <w:sz w:val="32"/>
          <w:szCs w:val="32"/>
          <w:lang w:val="en-US" w:eastAsia="zh-CN"/>
        </w:rPr>
        <w:t>3</w:t>
      </w:r>
      <w:r>
        <w:rPr>
          <w:rFonts w:hint="eastAsia" w:ascii="宋体" w:cs="宋体"/>
          <w:bCs/>
          <w:sz w:val="32"/>
          <w:szCs w:val="32"/>
        </w:rPr>
        <w:t>〕</w:t>
      </w:r>
      <w:r>
        <w:rPr>
          <w:rFonts w:hint="eastAsia" w:ascii="仿宋_GB2312" w:eastAsia="仿宋_GB2312"/>
          <w:bCs/>
          <w:sz w:val="32"/>
          <w:szCs w:val="32"/>
          <w:lang w:val="en-US" w:eastAsia="zh-CN"/>
        </w:rPr>
        <w:t>3</w:t>
      </w:r>
      <w:r>
        <w:rPr>
          <w:rFonts w:hint="eastAsia" w:ascii="仿宋_GB2312" w:eastAsia="仿宋_GB2312"/>
          <w:bCs/>
          <w:sz w:val="32"/>
          <w:szCs w:val="32"/>
        </w:rPr>
        <w:t>2号文件</w:t>
      </w:r>
      <w:r>
        <w:rPr>
          <w:rFonts w:hint="eastAsia" w:ascii="仿宋_GB2312" w:eastAsia="仿宋_GB2312"/>
          <w:sz w:val="32"/>
          <w:szCs w:val="32"/>
        </w:rPr>
        <w:t>的要求，结合人大财政支出的实际情况，</w:t>
      </w:r>
      <w:r>
        <w:rPr>
          <w:rFonts w:hint="eastAsia" w:ascii="仿宋_GB2312" w:eastAsia="仿宋_GB2312"/>
          <w:bCs/>
          <w:sz w:val="32"/>
          <w:szCs w:val="32"/>
        </w:rPr>
        <w:t>圆满完成绩效自评工作，圆满完成中央、省、州委和县的重要工作、目标任务。</w:t>
      </w:r>
    </w:p>
    <w:p w14:paraId="5E0D9B90">
      <w:pPr>
        <w:keepNext w:val="0"/>
        <w:keepLines w:val="0"/>
        <w:pageBreakBefore w:val="0"/>
        <w:widowControl/>
        <w:kinsoku/>
        <w:wordWrap/>
        <w:overflowPunct/>
        <w:topLinePunct w:val="0"/>
        <w:autoSpaceDE/>
        <w:autoSpaceDN/>
        <w:bidi w:val="0"/>
        <w:adjustRightInd w:val="0"/>
        <w:snapToGrid w:val="0"/>
        <w:spacing w:line="552" w:lineRule="exact"/>
        <w:ind w:firstLine="587" w:firstLineChars="200"/>
        <w:textAlignment w:val="auto"/>
        <w:rPr>
          <w:rFonts w:ascii="楷体_GB2312" w:eastAsia="楷体_GB2312" w:cs="宋体"/>
          <w:b/>
          <w:spacing w:val="-14"/>
          <w:kern w:val="0"/>
          <w:sz w:val="32"/>
          <w:szCs w:val="32"/>
        </w:rPr>
      </w:pPr>
      <w:r>
        <w:rPr>
          <w:rFonts w:hint="eastAsia" w:ascii="楷体_GB2312" w:eastAsia="楷体_GB2312" w:cs="宋体"/>
          <w:b/>
          <w:spacing w:val="-14"/>
          <w:kern w:val="0"/>
          <w:sz w:val="32"/>
          <w:szCs w:val="32"/>
        </w:rPr>
        <w:t>（二）存在问题。</w:t>
      </w:r>
    </w:p>
    <w:p w14:paraId="766EDE2F">
      <w:pPr>
        <w:pStyle w:val="1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s="Times New Roman"/>
          <w:kern w:val="2"/>
          <w:sz w:val="32"/>
          <w:szCs w:val="32"/>
        </w:rPr>
      </w:pPr>
      <w:r>
        <w:rPr>
          <w:rFonts w:hint="eastAsia" w:ascii="仿宋_GB2312" w:eastAsia="仿宋_GB2312" w:cs="Times New Roman"/>
          <w:kern w:val="2"/>
          <w:sz w:val="32"/>
          <w:szCs w:val="32"/>
        </w:rPr>
        <w:t xml:space="preserve">本机关在资金的使用和安排上取得了较好的预算执行结果，但仍存在预算管理不够完善，资金使用不够科学等问题，本机关认真梳理存在的问题，改进提高工作效率。 </w:t>
      </w:r>
    </w:p>
    <w:p w14:paraId="73720F05">
      <w:pPr>
        <w:pStyle w:val="1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s="Times New Roman"/>
          <w:kern w:val="2"/>
          <w:sz w:val="32"/>
          <w:szCs w:val="32"/>
        </w:rPr>
      </w:pPr>
      <w:r>
        <w:rPr>
          <w:rFonts w:hint="eastAsia" w:ascii="仿宋_GB2312" w:eastAsia="仿宋_GB2312" w:cs="Times New Roman"/>
          <w:kern w:val="2"/>
          <w:sz w:val="32"/>
          <w:szCs w:val="32"/>
        </w:rPr>
        <w:t xml:space="preserve">1、资金的使用还不完全符合科学性，效益性，预算经费支出进度较缓。 </w:t>
      </w:r>
    </w:p>
    <w:p w14:paraId="42EAB3F6">
      <w:pPr>
        <w:pStyle w:val="1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s="Times New Roman"/>
          <w:kern w:val="2"/>
          <w:sz w:val="32"/>
          <w:szCs w:val="32"/>
        </w:rPr>
      </w:pPr>
      <w:r>
        <w:rPr>
          <w:rFonts w:hint="eastAsia" w:ascii="仿宋_GB2312" w:eastAsia="仿宋_GB2312" w:cs="Times New Roman"/>
          <w:kern w:val="2"/>
          <w:sz w:val="32"/>
          <w:szCs w:val="32"/>
        </w:rPr>
        <w:t xml:space="preserve">2、固定资产管理不够完善,处置不够规范，有些应报废的固定资产没有及时申报报废或者申报报废后未及时进行销毁等。 </w:t>
      </w:r>
    </w:p>
    <w:p w14:paraId="0349F72F">
      <w:pPr>
        <w:keepNext w:val="0"/>
        <w:keepLines w:val="0"/>
        <w:pageBreakBefore w:val="0"/>
        <w:widowControl/>
        <w:kinsoku/>
        <w:wordWrap/>
        <w:overflowPunct/>
        <w:topLinePunct w:val="0"/>
        <w:autoSpaceDE/>
        <w:autoSpaceDN/>
        <w:bidi w:val="0"/>
        <w:adjustRightInd w:val="0"/>
        <w:snapToGrid w:val="0"/>
        <w:spacing w:line="552" w:lineRule="exact"/>
        <w:ind w:firstLine="587" w:firstLineChars="200"/>
        <w:textAlignment w:val="auto"/>
        <w:rPr>
          <w:rFonts w:ascii="楷体_GB2312" w:eastAsia="楷体_GB2312" w:cs="宋体"/>
          <w:b/>
          <w:spacing w:val="-14"/>
          <w:kern w:val="0"/>
          <w:sz w:val="32"/>
          <w:szCs w:val="32"/>
        </w:rPr>
      </w:pPr>
      <w:r>
        <w:rPr>
          <w:rFonts w:hint="eastAsia" w:ascii="楷体_GB2312" w:eastAsia="楷体_GB2312" w:cs="宋体"/>
          <w:b/>
          <w:spacing w:val="-14"/>
          <w:kern w:val="0"/>
          <w:sz w:val="32"/>
          <w:szCs w:val="32"/>
        </w:rPr>
        <w:t>（三）改进建议。</w:t>
      </w:r>
    </w:p>
    <w:p w14:paraId="6C0F2AFD">
      <w:pPr>
        <w:pStyle w:val="1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s="Times New Roman"/>
          <w:kern w:val="2"/>
          <w:sz w:val="32"/>
          <w:szCs w:val="32"/>
        </w:rPr>
      </w:pPr>
      <w:r>
        <w:rPr>
          <w:rFonts w:hint="eastAsia" w:ascii="仿宋_GB2312" w:eastAsia="仿宋_GB2312" w:cs="Times New Roman"/>
          <w:kern w:val="2"/>
          <w:sz w:val="32"/>
          <w:szCs w:val="32"/>
        </w:rPr>
        <w:t>1、严格按照《</w:t>
      </w:r>
      <w:r>
        <w:rPr>
          <w:rFonts w:ascii="仿宋_GB2312" w:eastAsia="仿宋_GB2312" w:cs="Times New Roman"/>
          <w:kern w:val="2"/>
          <w:sz w:val="32"/>
          <w:szCs w:val="32"/>
        </w:rPr>
        <w:t>中华人民共和国</w:t>
      </w:r>
      <w:r>
        <w:rPr>
          <w:rFonts w:hint="eastAsia" w:ascii="仿宋_GB2312" w:eastAsia="仿宋_GB2312" w:cs="Times New Roman"/>
          <w:kern w:val="2"/>
          <w:sz w:val="32"/>
          <w:szCs w:val="32"/>
        </w:rPr>
        <w:t>会计法》、《行政单位会计制度》、《行政单位财务规则》等规定执行财务核算，并结合实际情况，完整、准确地披露相关信息，尽可能地做到决算与预算相衔接。</w:t>
      </w:r>
    </w:p>
    <w:p w14:paraId="757F7AD4">
      <w:pPr>
        <w:pStyle w:val="1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ascii="仿宋_GB2312" w:eastAsia="仿宋_GB2312" w:cs="Times New Roman"/>
          <w:kern w:val="2"/>
          <w:sz w:val="32"/>
          <w:szCs w:val="32"/>
        </w:rPr>
      </w:pPr>
      <w:r>
        <w:rPr>
          <w:rFonts w:hint="eastAsia" w:ascii="仿宋_GB2312" w:eastAsia="仿宋_GB2312" w:cs="Times New Roman"/>
          <w:kern w:val="2"/>
          <w:sz w:val="32"/>
          <w:szCs w:val="32"/>
        </w:rPr>
        <w:t xml:space="preserve">2、进一步加强内部控制，注重资金管理的事前、事中、事后的全过程监督，加强资金使用效率。 </w:t>
      </w:r>
    </w:p>
    <w:p w14:paraId="2D4C6700">
      <w:pPr>
        <w:pStyle w:val="13"/>
        <w:keepNext w:val="0"/>
        <w:keepLines w:val="0"/>
        <w:pageBreakBefore w:val="0"/>
        <w:widowControl/>
        <w:shd w:val="clear" w:color="auto" w:fill="FFFFFF"/>
        <w:kinsoku/>
        <w:wordWrap/>
        <w:overflowPunct/>
        <w:topLinePunct w:val="0"/>
        <w:autoSpaceDE/>
        <w:autoSpaceDN/>
        <w:bidi w:val="0"/>
        <w:spacing w:before="0" w:beforeAutospacing="0" w:after="0" w:afterAutospacing="0" w:line="552" w:lineRule="exact"/>
        <w:ind w:firstLine="630"/>
        <w:jc w:val="both"/>
        <w:textAlignment w:val="auto"/>
        <w:rPr>
          <w:rFonts w:hint="eastAsia" w:ascii="仿宋_GB2312" w:eastAsia="仿宋_GB2312" w:cs="仿宋_GB2312"/>
          <w:sz w:val="32"/>
          <w:szCs w:val="32"/>
          <w:lang w:eastAsia="zh-CN"/>
        </w:rPr>
      </w:pPr>
      <w:r>
        <w:rPr>
          <w:rFonts w:hint="eastAsia" w:ascii="仿宋_GB2312" w:eastAsia="仿宋_GB2312" w:cs="Times New Roman"/>
          <w:kern w:val="2"/>
          <w:sz w:val="32"/>
          <w:szCs w:val="32"/>
        </w:rPr>
        <w:t xml:space="preserve">3、资产的核销与报废应加强管理，严格按照《固定资产管理办法》的规定加强固定资产管理，及时办理登记、报废等手续，每年对资产进行及时盘点和清查，真正做到账实相符。 </w:t>
      </w:r>
    </w:p>
    <w:p w14:paraId="1F053672">
      <w:pPr>
        <w:pStyle w:val="6"/>
        <w:rPr>
          <w:rFonts w:hint="eastAsia" w:ascii="仿宋_GB2312" w:eastAsia="仿宋_GB2312" w:cs="仿宋_GB2312"/>
          <w:sz w:val="32"/>
          <w:szCs w:val="32"/>
          <w:lang w:eastAsia="zh-CN"/>
        </w:rPr>
      </w:pPr>
    </w:p>
    <w:p w14:paraId="56579A86">
      <w:pPr>
        <w:pStyle w:val="6"/>
        <w:rPr>
          <w:rFonts w:hint="eastAsia" w:ascii="仿宋_GB2312" w:eastAsia="仿宋_GB2312" w:cs="仿宋_GB2312"/>
          <w:sz w:val="32"/>
          <w:szCs w:val="32"/>
          <w:lang w:eastAsia="zh-CN"/>
        </w:rPr>
      </w:pPr>
    </w:p>
    <w:p w14:paraId="08E01999">
      <w:pPr>
        <w:pStyle w:val="6"/>
        <w:rPr>
          <w:rFonts w:hint="eastAsia" w:ascii="仿宋_GB2312" w:eastAsia="仿宋_GB2312" w:cs="仿宋_GB2312"/>
          <w:sz w:val="32"/>
          <w:szCs w:val="32"/>
          <w:lang w:eastAsia="zh-CN"/>
        </w:rPr>
      </w:pPr>
    </w:p>
    <w:p w14:paraId="5D0DD76A">
      <w:pPr>
        <w:pageBreakBefore w:val="0"/>
        <w:widowControl w:val="0"/>
        <w:kinsoku/>
        <w:wordWrap/>
        <w:overflowPunct/>
        <w:topLinePunct w:val="0"/>
        <w:bidi w:val="0"/>
        <w:spacing w:line="576" w:lineRule="exact"/>
        <w:jc w:val="center"/>
        <w:outlineLvl w:val="0"/>
        <w:rPr>
          <w:rFonts w:ascii="Times New Roman" w:hAnsi="Times New Roman" w:eastAsia="仿宋" w:cs="Times New Roman"/>
          <w:b/>
          <w:bCs w:val="0"/>
        </w:rPr>
      </w:pPr>
      <w:bookmarkStart w:id="191" w:name="_Toc24270"/>
      <w:bookmarkStart w:id="192" w:name="_Toc15396618"/>
      <w:bookmarkStart w:id="193" w:name="_Toc26843625"/>
      <w:r>
        <w:rPr>
          <w:rStyle w:val="18"/>
          <w:rFonts w:hint="eastAsia" w:eastAsia="黑体" w:cs="Times New Roman"/>
          <w:b/>
          <w:bCs w:val="0"/>
        </w:rPr>
        <w:t>第五部分　</w:t>
      </w:r>
      <w:r>
        <w:rPr>
          <w:rStyle w:val="18"/>
          <w:rFonts w:ascii="Times New Roman" w:hAnsi="Times New Roman" w:eastAsia="黑体" w:cs="Times New Roman"/>
          <w:b/>
          <w:bCs w:val="0"/>
        </w:rPr>
        <w:t>附表</w:t>
      </w:r>
      <w:bookmarkEnd w:id="191"/>
      <w:bookmarkEnd w:id="192"/>
      <w:bookmarkEnd w:id="193"/>
      <w:bookmarkStart w:id="194" w:name="_Toc15396619"/>
    </w:p>
    <w:p w14:paraId="5FBE7B86">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95" w:name="_Toc32290"/>
      <w:bookmarkStart w:id="196" w:name="_Toc26843626"/>
      <w:r>
        <w:rPr>
          <w:rFonts w:ascii="Times New Roman" w:hAnsi="Times New Roman" w:eastAsia="仿宋" w:cs="Times New Roman"/>
          <w:b w:val="0"/>
        </w:rPr>
        <w:t>一、收</w:t>
      </w:r>
      <w:r>
        <w:rPr>
          <w:rStyle w:val="19"/>
          <w:rFonts w:ascii="Times New Roman" w:hAnsi="Times New Roman" w:eastAsia="仿宋" w:cs="Times New Roman"/>
          <w:b w:val="0"/>
          <w:bCs w:val="0"/>
        </w:rPr>
        <w:t>入支出决算总表</w:t>
      </w:r>
      <w:bookmarkEnd w:id="194"/>
      <w:bookmarkEnd w:id="195"/>
      <w:bookmarkEnd w:id="196"/>
    </w:p>
    <w:p w14:paraId="1ECEFA16">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197" w:name="_Toc29250"/>
      <w:bookmarkStart w:id="198" w:name="_Toc26843627"/>
      <w:bookmarkStart w:id="199" w:name="_Toc15396620"/>
      <w:r>
        <w:rPr>
          <w:rFonts w:ascii="Times New Roman" w:hAnsi="Times New Roman" w:eastAsia="仿宋" w:cs="Times New Roman"/>
          <w:b w:val="0"/>
        </w:rPr>
        <w:t>二、收</w:t>
      </w:r>
      <w:r>
        <w:rPr>
          <w:rStyle w:val="19"/>
          <w:rFonts w:ascii="Times New Roman" w:hAnsi="Times New Roman" w:eastAsia="仿宋" w:cs="Times New Roman"/>
          <w:b w:val="0"/>
          <w:bCs w:val="0"/>
        </w:rPr>
        <w:t>入决算表</w:t>
      </w:r>
      <w:bookmarkEnd w:id="197"/>
      <w:bookmarkEnd w:id="198"/>
      <w:bookmarkEnd w:id="199"/>
    </w:p>
    <w:p w14:paraId="32C8DB31">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200" w:name="_Toc5311"/>
      <w:bookmarkStart w:id="201" w:name="_Toc26843628"/>
      <w:bookmarkStart w:id="202" w:name="_Toc15396621"/>
      <w:r>
        <w:rPr>
          <w:rStyle w:val="19"/>
          <w:rFonts w:ascii="Times New Roman" w:hAnsi="Times New Roman" w:eastAsia="仿宋" w:cs="Times New Roman"/>
          <w:b w:val="0"/>
          <w:bCs w:val="0"/>
        </w:rPr>
        <w:t>三、</w:t>
      </w:r>
      <w:r>
        <w:rPr>
          <w:rFonts w:ascii="Times New Roman" w:hAnsi="Times New Roman" w:eastAsia="仿宋" w:cs="Times New Roman"/>
          <w:b w:val="0"/>
        </w:rPr>
        <w:t>支</w:t>
      </w:r>
      <w:r>
        <w:rPr>
          <w:rStyle w:val="19"/>
          <w:rFonts w:ascii="Times New Roman" w:hAnsi="Times New Roman" w:eastAsia="仿宋" w:cs="Times New Roman"/>
          <w:b w:val="0"/>
          <w:bCs w:val="0"/>
        </w:rPr>
        <w:t>出决算表</w:t>
      </w:r>
      <w:bookmarkEnd w:id="200"/>
      <w:bookmarkEnd w:id="201"/>
      <w:bookmarkEnd w:id="202"/>
    </w:p>
    <w:p w14:paraId="726B11E0">
      <w:pPr>
        <w:pStyle w:val="4"/>
        <w:keepNext/>
        <w:keepLines/>
        <w:pageBreakBefore w:val="0"/>
        <w:widowControl w:val="0"/>
        <w:kinsoku/>
        <w:wordWrap/>
        <w:overflowPunct/>
        <w:topLinePunct w:val="0"/>
        <w:bidi w:val="0"/>
        <w:spacing w:line="576" w:lineRule="exact"/>
        <w:rPr>
          <w:rFonts w:ascii="Times New Roman" w:hAnsi="Times New Roman" w:eastAsia="仿宋" w:cs="Times New Roman"/>
          <w:b w:val="0"/>
        </w:rPr>
      </w:pPr>
      <w:bookmarkStart w:id="203" w:name="_Toc26843629"/>
      <w:bookmarkStart w:id="204" w:name="_Toc4383"/>
      <w:bookmarkStart w:id="205" w:name="_Toc15396622"/>
      <w:r>
        <w:rPr>
          <w:rStyle w:val="19"/>
          <w:rFonts w:ascii="Times New Roman" w:hAnsi="Times New Roman" w:eastAsia="仿宋" w:cs="Times New Roman"/>
          <w:b w:val="0"/>
          <w:bCs w:val="0"/>
        </w:rPr>
        <w:t>四、</w:t>
      </w:r>
      <w:r>
        <w:rPr>
          <w:rFonts w:ascii="Times New Roman" w:hAnsi="Times New Roman" w:eastAsia="仿宋" w:cs="Times New Roman"/>
          <w:b w:val="0"/>
        </w:rPr>
        <w:t>财</w:t>
      </w:r>
      <w:r>
        <w:rPr>
          <w:rStyle w:val="19"/>
          <w:rFonts w:ascii="Times New Roman" w:hAnsi="Times New Roman" w:eastAsia="仿宋" w:cs="Times New Roman"/>
          <w:b w:val="0"/>
          <w:bCs w:val="0"/>
        </w:rPr>
        <w:t>政拨款收入支出决算总表</w:t>
      </w:r>
      <w:bookmarkEnd w:id="203"/>
      <w:bookmarkEnd w:id="204"/>
      <w:bookmarkEnd w:id="205"/>
    </w:p>
    <w:p w14:paraId="7F75C4CF">
      <w:pPr>
        <w:pStyle w:val="4"/>
        <w:keepNext/>
        <w:keepLines/>
        <w:pageBreakBefore w:val="0"/>
        <w:widowControl w:val="0"/>
        <w:kinsoku/>
        <w:wordWrap/>
        <w:overflowPunct/>
        <w:topLinePunct w:val="0"/>
        <w:bidi w:val="0"/>
        <w:spacing w:line="576" w:lineRule="exact"/>
        <w:rPr>
          <w:rStyle w:val="19"/>
          <w:rFonts w:ascii="Times New Roman" w:hAnsi="Times New Roman" w:eastAsia="仿宋" w:cs="Times New Roman"/>
          <w:b w:val="0"/>
          <w:bCs w:val="0"/>
        </w:rPr>
      </w:pPr>
      <w:bookmarkStart w:id="206" w:name="_Toc15396623"/>
      <w:bookmarkStart w:id="207" w:name="_Toc3880"/>
      <w:bookmarkStart w:id="208" w:name="_Toc26843630"/>
      <w:r>
        <w:rPr>
          <w:rStyle w:val="19"/>
          <w:rFonts w:ascii="Times New Roman" w:hAnsi="Times New Roman" w:eastAsia="仿宋" w:cs="Times New Roman"/>
          <w:b w:val="0"/>
          <w:bCs w:val="0"/>
        </w:rPr>
        <w:t>五、</w:t>
      </w:r>
      <w:r>
        <w:rPr>
          <w:rFonts w:ascii="Times New Roman" w:hAnsi="Times New Roman" w:eastAsia="仿宋" w:cs="Times New Roman"/>
          <w:b w:val="0"/>
        </w:rPr>
        <w:t>财</w:t>
      </w:r>
      <w:r>
        <w:rPr>
          <w:rStyle w:val="19"/>
          <w:rFonts w:ascii="Times New Roman" w:hAnsi="Times New Roman" w:eastAsia="仿宋" w:cs="Times New Roman"/>
          <w:b w:val="0"/>
          <w:bCs w:val="0"/>
        </w:rPr>
        <w:t>政拨款支出决算明细表</w:t>
      </w:r>
      <w:bookmarkEnd w:id="206"/>
      <w:bookmarkEnd w:id="207"/>
      <w:bookmarkEnd w:id="208"/>
      <w:bookmarkStart w:id="209" w:name="_Toc15396624"/>
    </w:p>
    <w:p w14:paraId="3B64F107">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210" w:name="_Toc26843631"/>
      <w:bookmarkStart w:id="211" w:name="_Toc8069"/>
      <w:r>
        <w:rPr>
          <w:rStyle w:val="19"/>
          <w:rFonts w:ascii="Times New Roman" w:hAnsi="Times New Roman" w:eastAsia="仿宋" w:cs="Times New Roman"/>
          <w:b w:val="0"/>
          <w:bCs w:val="0"/>
        </w:rPr>
        <w:t>六、</w:t>
      </w:r>
      <w:r>
        <w:rPr>
          <w:rFonts w:ascii="Times New Roman" w:hAnsi="Times New Roman" w:eastAsia="仿宋" w:cs="Times New Roman"/>
          <w:b w:val="0"/>
        </w:rPr>
        <w:t>一</w:t>
      </w:r>
      <w:r>
        <w:rPr>
          <w:rStyle w:val="19"/>
          <w:rFonts w:ascii="Times New Roman" w:hAnsi="Times New Roman" w:eastAsia="仿宋" w:cs="Times New Roman"/>
          <w:b w:val="0"/>
          <w:bCs w:val="0"/>
        </w:rPr>
        <w:t>般公共预算财政拨款支出决算表</w:t>
      </w:r>
      <w:bookmarkEnd w:id="209"/>
      <w:bookmarkEnd w:id="210"/>
      <w:bookmarkEnd w:id="211"/>
    </w:p>
    <w:p w14:paraId="449955CD">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212" w:name="_Toc15396625"/>
      <w:bookmarkStart w:id="213" w:name="_Toc26843632"/>
      <w:bookmarkStart w:id="214" w:name="_Toc25400"/>
      <w:r>
        <w:rPr>
          <w:rStyle w:val="19"/>
          <w:rFonts w:ascii="Times New Roman" w:hAnsi="Times New Roman" w:eastAsia="仿宋" w:cs="Times New Roman"/>
          <w:b w:val="0"/>
          <w:bCs w:val="0"/>
        </w:rPr>
        <w:t>七、</w:t>
      </w:r>
      <w:r>
        <w:rPr>
          <w:rFonts w:ascii="Times New Roman" w:hAnsi="Times New Roman" w:eastAsia="仿宋" w:cs="Times New Roman"/>
          <w:b w:val="0"/>
        </w:rPr>
        <w:t>一</w:t>
      </w:r>
      <w:r>
        <w:rPr>
          <w:rStyle w:val="19"/>
          <w:rFonts w:ascii="Times New Roman" w:hAnsi="Times New Roman" w:eastAsia="仿宋" w:cs="Times New Roman"/>
          <w:b w:val="0"/>
          <w:bCs w:val="0"/>
        </w:rPr>
        <w:t>般公共预算财政拨款支出决算明细表</w:t>
      </w:r>
      <w:bookmarkEnd w:id="212"/>
      <w:bookmarkEnd w:id="213"/>
      <w:bookmarkEnd w:id="214"/>
    </w:p>
    <w:p w14:paraId="57B0AA21">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215" w:name="_Toc15396626"/>
      <w:bookmarkStart w:id="216" w:name="_Toc26843633"/>
      <w:bookmarkStart w:id="217" w:name="_Toc15665"/>
      <w:r>
        <w:rPr>
          <w:rStyle w:val="19"/>
          <w:rFonts w:ascii="Times New Roman" w:hAnsi="Times New Roman" w:eastAsia="仿宋" w:cs="Times New Roman"/>
          <w:b w:val="0"/>
          <w:bCs w:val="0"/>
        </w:rPr>
        <w:t>八、</w:t>
      </w:r>
      <w:r>
        <w:rPr>
          <w:rFonts w:ascii="Times New Roman" w:hAnsi="Times New Roman" w:eastAsia="仿宋" w:cs="Times New Roman"/>
          <w:b w:val="0"/>
        </w:rPr>
        <w:t>一</w:t>
      </w:r>
      <w:r>
        <w:rPr>
          <w:rStyle w:val="19"/>
          <w:rFonts w:ascii="Times New Roman" w:hAnsi="Times New Roman" w:eastAsia="仿宋" w:cs="Times New Roman"/>
          <w:b w:val="0"/>
          <w:bCs w:val="0"/>
        </w:rPr>
        <w:t>般公共预算财政拨款基本支出决算明细表</w:t>
      </w:r>
      <w:bookmarkEnd w:id="215"/>
      <w:bookmarkEnd w:id="216"/>
      <w:bookmarkEnd w:id="217"/>
    </w:p>
    <w:p w14:paraId="07F43BF8">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218" w:name="_Toc15396627"/>
      <w:bookmarkStart w:id="219" w:name="_Toc26843634"/>
      <w:bookmarkStart w:id="220" w:name="_Toc30144"/>
      <w:r>
        <w:rPr>
          <w:rStyle w:val="19"/>
          <w:rFonts w:ascii="Times New Roman" w:hAnsi="Times New Roman" w:eastAsia="仿宋" w:cs="Times New Roman"/>
          <w:b w:val="0"/>
          <w:bCs w:val="0"/>
        </w:rPr>
        <w:t>九、</w:t>
      </w:r>
      <w:r>
        <w:rPr>
          <w:rFonts w:ascii="Times New Roman" w:hAnsi="Times New Roman" w:eastAsia="仿宋" w:cs="Times New Roman"/>
          <w:b w:val="0"/>
        </w:rPr>
        <w:t>一</w:t>
      </w:r>
      <w:r>
        <w:rPr>
          <w:rStyle w:val="19"/>
          <w:rFonts w:ascii="Times New Roman" w:hAnsi="Times New Roman" w:eastAsia="仿宋" w:cs="Times New Roman"/>
          <w:b w:val="0"/>
          <w:bCs w:val="0"/>
        </w:rPr>
        <w:t>般公共预算财政拨款项目支出决算表</w:t>
      </w:r>
      <w:bookmarkEnd w:id="218"/>
      <w:bookmarkEnd w:id="219"/>
      <w:bookmarkEnd w:id="220"/>
    </w:p>
    <w:p w14:paraId="02B70BAC">
      <w:pPr>
        <w:pStyle w:val="4"/>
        <w:keepNext/>
        <w:keepLines/>
        <w:pageBreakBefore w:val="0"/>
        <w:widowControl w:val="0"/>
        <w:kinsoku/>
        <w:wordWrap/>
        <w:overflowPunct/>
        <w:topLinePunct w:val="0"/>
        <w:bidi w:val="0"/>
        <w:spacing w:line="576" w:lineRule="exact"/>
        <w:rPr>
          <w:rStyle w:val="19"/>
          <w:rFonts w:ascii="Times New Roman" w:hAnsi="Times New Roman" w:eastAsia="仿宋" w:cs="Times New Roman"/>
          <w:b w:val="0"/>
          <w:bCs w:val="0"/>
        </w:rPr>
      </w:pPr>
      <w:bookmarkStart w:id="221" w:name="_Toc15396628"/>
      <w:bookmarkStart w:id="222" w:name="_Toc26843635"/>
      <w:bookmarkStart w:id="223" w:name="_Toc6032"/>
      <w:r>
        <w:rPr>
          <w:rStyle w:val="19"/>
          <w:rFonts w:ascii="Times New Roman" w:hAnsi="Times New Roman" w:eastAsia="仿宋" w:cs="Times New Roman"/>
          <w:b w:val="0"/>
          <w:bCs w:val="0"/>
        </w:rPr>
        <w:t>十、</w:t>
      </w:r>
      <w:bookmarkEnd w:id="221"/>
      <w:bookmarkEnd w:id="222"/>
      <w:bookmarkStart w:id="224" w:name="_Toc26843636"/>
      <w:bookmarkStart w:id="225" w:name="_Toc15396629"/>
      <w:r>
        <w:rPr>
          <w:rFonts w:ascii="Times New Roman" w:hAnsi="Times New Roman" w:eastAsia="仿宋" w:cs="Times New Roman"/>
          <w:b w:val="0"/>
        </w:rPr>
        <w:t>政</w:t>
      </w:r>
      <w:r>
        <w:rPr>
          <w:rStyle w:val="19"/>
          <w:rFonts w:ascii="Times New Roman" w:hAnsi="Times New Roman" w:eastAsia="仿宋" w:cs="Times New Roman"/>
          <w:b w:val="0"/>
          <w:bCs w:val="0"/>
        </w:rPr>
        <w:t>府性基金预算财政拨款收入支出决算表</w:t>
      </w:r>
      <w:bookmarkEnd w:id="223"/>
    </w:p>
    <w:p w14:paraId="6294F118">
      <w:pPr>
        <w:pStyle w:val="4"/>
        <w:keepNext/>
        <w:keepLines/>
        <w:pageBreakBefore w:val="0"/>
        <w:widowControl w:val="0"/>
        <w:kinsoku/>
        <w:wordWrap/>
        <w:overflowPunct/>
        <w:topLinePunct w:val="0"/>
        <w:bidi w:val="0"/>
        <w:spacing w:line="576" w:lineRule="exact"/>
        <w:rPr>
          <w:rStyle w:val="19"/>
          <w:rFonts w:ascii="Times New Roman" w:hAnsi="Times New Roman" w:eastAsia="仿宋" w:cs="Times New Roman"/>
          <w:b w:val="0"/>
          <w:bCs w:val="0"/>
        </w:rPr>
      </w:pPr>
      <w:bookmarkStart w:id="226" w:name="_Toc13012"/>
      <w:r>
        <w:rPr>
          <w:rStyle w:val="19"/>
          <w:rFonts w:ascii="Times New Roman" w:hAnsi="Times New Roman" w:eastAsia="仿宋" w:cs="Times New Roman"/>
          <w:b w:val="0"/>
          <w:bCs w:val="0"/>
        </w:rPr>
        <w:t>十一、</w:t>
      </w:r>
      <w:bookmarkEnd w:id="224"/>
      <w:bookmarkEnd w:id="225"/>
      <w:bookmarkStart w:id="227" w:name="_Toc26843637"/>
      <w:bookmarkStart w:id="228" w:name="_Toc15396630"/>
      <w:r>
        <w:rPr>
          <w:rFonts w:ascii="Times New Roman" w:hAnsi="Times New Roman" w:eastAsia="仿宋" w:cs="Times New Roman"/>
          <w:b w:val="0"/>
        </w:rPr>
        <w:t>国</w:t>
      </w:r>
      <w:r>
        <w:rPr>
          <w:rStyle w:val="19"/>
          <w:rFonts w:ascii="Times New Roman" w:hAnsi="Times New Roman" w:eastAsia="仿宋" w:cs="Times New Roman"/>
          <w:b w:val="0"/>
          <w:bCs w:val="0"/>
        </w:rPr>
        <w:t>有资本经营预算财政拨款收入支出决算表</w:t>
      </w:r>
      <w:bookmarkEnd w:id="226"/>
    </w:p>
    <w:p w14:paraId="68575E48">
      <w:pPr>
        <w:pStyle w:val="4"/>
        <w:keepNext/>
        <w:keepLines/>
        <w:pageBreakBefore w:val="0"/>
        <w:widowControl w:val="0"/>
        <w:kinsoku/>
        <w:wordWrap/>
        <w:overflowPunct/>
        <w:topLinePunct w:val="0"/>
        <w:bidi w:val="0"/>
        <w:spacing w:line="576" w:lineRule="exact"/>
        <w:rPr>
          <w:rStyle w:val="19"/>
          <w:rFonts w:ascii="Times New Roman" w:hAnsi="Times New Roman" w:eastAsia="仿宋" w:cs="Times New Roman"/>
          <w:b w:val="0"/>
          <w:bCs w:val="0"/>
        </w:rPr>
      </w:pPr>
      <w:bookmarkStart w:id="229" w:name="_Toc30046"/>
      <w:r>
        <w:rPr>
          <w:rStyle w:val="19"/>
          <w:rFonts w:ascii="Times New Roman" w:hAnsi="Times New Roman" w:eastAsia="仿宋" w:cs="Times New Roman"/>
          <w:b w:val="0"/>
          <w:bCs w:val="0"/>
        </w:rPr>
        <w:t>十二、</w:t>
      </w:r>
      <w:bookmarkEnd w:id="227"/>
      <w:bookmarkEnd w:id="228"/>
      <w:bookmarkStart w:id="230" w:name="_Toc15396631"/>
      <w:bookmarkStart w:id="231" w:name="_Toc26843638"/>
      <w:r>
        <w:rPr>
          <w:rFonts w:ascii="Times New Roman" w:hAnsi="Times New Roman" w:eastAsia="仿宋" w:cs="Times New Roman"/>
          <w:b w:val="0"/>
        </w:rPr>
        <w:t>国</w:t>
      </w:r>
      <w:r>
        <w:rPr>
          <w:rStyle w:val="19"/>
          <w:rFonts w:ascii="Times New Roman" w:hAnsi="Times New Roman" w:eastAsia="仿宋" w:cs="Times New Roman"/>
          <w:b w:val="0"/>
          <w:bCs w:val="0"/>
        </w:rPr>
        <w:t>有资本经营预算财政拨款支出决算表</w:t>
      </w:r>
      <w:bookmarkEnd w:id="229"/>
    </w:p>
    <w:p w14:paraId="3A841FB5">
      <w:pPr>
        <w:pStyle w:val="4"/>
        <w:keepNext/>
        <w:keepLines/>
        <w:pageBreakBefore w:val="0"/>
        <w:widowControl w:val="0"/>
        <w:kinsoku/>
        <w:wordWrap/>
        <w:overflowPunct/>
        <w:topLinePunct w:val="0"/>
        <w:bidi w:val="0"/>
        <w:spacing w:line="576" w:lineRule="exact"/>
        <w:rPr>
          <w:rStyle w:val="19"/>
          <w:rFonts w:ascii="Times New Roman" w:hAnsi="Times New Roman" w:eastAsia="仿宋" w:cs="Times New Roman"/>
          <w:b w:val="0"/>
          <w:bCs w:val="0"/>
          <w:lang w:val="en-US" w:eastAsia="zh-CN"/>
        </w:rPr>
      </w:pPr>
      <w:bookmarkStart w:id="232" w:name="_Toc28010"/>
      <w:r>
        <w:rPr>
          <w:rStyle w:val="19"/>
          <w:rFonts w:ascii="Times New Roman" w:hAnsi="Times New Roman" w:eastAsia="仿宋" w:cs="Times New Roman"/>
          <w:b w:val="0"/>
          <w:bCs w:val="0"/>
        </w:rPr>
        <w:t>十三、</w:t>
      </w:r>
      <w:bookmarkEnd w:id="230"/>
      <w:bookmarkEnd w:id="231"/>
      <w:r>
        <w:rPr>
          <w:rFonts w:hint="eastAsia" w:ascii="Times New Roman" w:hAnsi="Times New Roman" w:eastAsia="仿宋" w:cs="Times New Roman"/>
          <w:b w:val="0"/>
          <w:lang w:val="en-US" w:eastAsia="zh-CN"/>
        </w:rPr>
        <w:t>财政拨款“三公”经费支出决算表</w:t>
      </w:r>
      <w:bookmarkEnd w:id="232"/>
    </w:p>
    <w:p w14:paraId="25C0511A">
      <w:pPr>
        <w:pStyle w:val="6"/>
        <w:rPr>
          <w:rFonts w:hint="eastAsia" w:ascii="仿宋_GB2312" w:eastAsia="仿宋_GB2312" w:cs="仿宋_GB2312"/>
          <w:sz w:val="32"/>
          <w:szCs w:val="32"/>
          <w:lang w:eastAsia="zh-CN"/>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7296049"/>
      <w:docPartList>
        <w:docPartGallery w:val="autotext"/>
      </w:docPartList>
    </w:sdtPr>
    <w:sdtContent>
      <w:p w14:paraId="3C6FFA03">
        <w:pPr>
          <w:pStyle w:val="9"/>
          <w:jc w:val="center"/>
        </w:pPr>
        <w:r>
          <w:fldChar w:fldCharType="begin"/>
        </w:r>
        <w:r>
          <w:instrText xml:space="preserve">PAGE   \* MERGEFORMAT</w:instrText>
        </w:r>
        <w:r>
          <w:fldChar w:fldCharType="separate"/>
        </w:r>
        <w:r>
          <w:rPr>
            <w:lang w:val="zh-CN"/>
          </w:rPr>
          <w:t>10</w:t>
        </w:r>
        <w:r>
          <w:fldChar w:fldCharType="end"/>
        </w:r>
      </w:p>
    </w:sdtContent>
  </w:sdt>
  <w:p w14:paraId="29462EA4">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3CC41">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1">
    <w:nsid w:val="EC0BEF30"/>
    <w:multiLevelType w:val="singleLevel"/>
    <w:tmpl w:val="EC0BEF30"/>
    <w:lvl w:ilvl="0" w:tentative="0">
      <w:start w:val="1"/>
      <w:numFmt w:val="chineseCounting"/>
      <w:suff w:val="nothing"/>
      <w:lvlText w:val="（%1）"/>
      <w:lvlJc w:val="left"/>
      <w:pPr>
        <w:ind w:left="0" w:firstLine="0"/>
      </w:pPr>
      <w:rPr>
        <w:rFonts w:hint="eastAsia" w:ascii="楷体_GB2312" w:hAnsi="楷体_GB2312" w:eastAsia="楷体_GB2312" w:cs="楷体_GB2312"/>
        <w:b/>
        <w:bCs/>
        <w:sz w:val="32"/>
        <w:szCs w:val="32"/>
      </w:rPr>
    </w:lvl>
  </w:abstractNum>
  <w:abstractNum w:abstractNumId="2">
    <w:nsid w:val="746F7071"/>
    <w:multiLevelType w:val="singleLevel"/>
    <w:tmpl w:val="746F7071"/>
    <w:lvl w:ilvl="0" w:tentative="0">
      <w:start w:val="3"/>
      <w:numFmt w:val="chineseCounting"/>
      <w:suff w:val="nothing"/>
      <w:lvlText w:val="（%1）"/>
      <w:lvlJc w:val="left"/>
      <w:pPr>
        <w:ind w:left="0"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mRjOTJlNzJjZmZkOTQxZDA4NjRhMDllMWM3ZmQ2OTgifQ=="/>
  </w:docVars>
  <w:rsids>
    <w:rsidRoot w:val="00000000"/>
    <w:rsid w:val="6B1E26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19"/>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5">
    <w:name w:val="Default Paragraph Font"/>
    <w:qFormat/>
    <w:uiPriority w:val="0"/>
  </w:style>
  <w:style w:type="table" w:default="1" w:styleId="14">
    <w:name w:val="Normal Table"/>
    <w:semiHidden/>
    <w:uiPriority w:val="0"/>
    <w:tblPr>
      <w:tblCellMar>
        <w:top w:w="0" w:type="dxa"/>
        <w:left w:w="108" w:type="dxa"/>
        <w:bottom w:w="0" w:type="dxa"/>
        <w:right w:w="108" w:type="dxa"/>
      </w:tblCellMar>
    </w:tblPr>
  </w:style>
  <w:style w:type="paragraph" w:styleId="2">
    <w:name w:val="Normal Indent"/>
    <w:basedOn w:val="1"/>
    <w:next w:val="1"/>
    <w:qFormat/>
    <w:uiPriority w:val="0"/>
    <w:pPr>
      <w:ind w:firstLine="200" w:firstLineChars="200"/>
    </w:p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0"/>
    <w:pPr>
      <w:widowControl/>
      <w:spacing w:before="100" w:beforeAutospacing="1" w:after="100" w:afterAutospacing="1"/>
      <w:jc w:val="left"/>
    </w:pPr>
    <w:rPr>
      <w:rFonts w:ascii="宋体" w:cs="宋体"/>
      <w:kern w:val="0"/>
      <w:sz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heading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heading 2 Char"/>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4">
    <w:name w:val="List Paragraph"/>
    <w:basedOn w:val="1"/>
    <w:qFormat/>
    <w:uiPriority w:val="0"/>
    <w:pPr>
      <w:ind w:firstLine="200" w:firstLineChars="200"/>
    </w:pPr>
  </w:style>
  <w:style w:type="paragraph" w:customStyle="1" w:styleId="25">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image" Target="media/image1.png"/><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收、支决算结构图</a:t>
            </a:r>
            <a:endParaRPr lang="zh-CN"/>
          </a:p>
        </c:rich>
      </c:tx>
      <c:layout/>
      <c:overlay val="0"/>
      <c:spPr>
        <a:ln>
          <a:noFill/>
        </a:ln>
      </c:spPr>
    </c:title>
    <c:autoTitleDeleted val="0"/>
    <c:plotArea>
      <c:layout/>
      <c:barChart>
        <c:barDir val="col"/>
        <c:grouping val="clustered"/>
        <c:varyColors val="0"/>
        <c:ser>
          <c:idx val="0"/>
          <c:order val="0"/>
          <c:tx>
            <c:strRef>
              <c:f>收入</c:f>
              <c:strCache>
                <c:ptCount val="1"/>
                <c:pt idx="0">
                  <c:v>收入</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{"2021年","2022年"}</c:f>
              <c:strCache>
                <c:ptCount val="2"/>
                <c:pt idx="0">
                  <c:v>2021年</c:v>
                </c:pt>
                <c:pt idx="1">
                  <c:v>2022年</c:v>
                </c:pt>
              </c:strCache>
            </c:strRef>
          </c:cat>
          <c:val>
            <c:numRef>
              <c:f>{1117.58,1232.05}</c:f>
              <c:numCache>
                <c:formatCode>General</c:formatCode>
                <c:ptCount val="2"/>
                <c:pt idx="0">
                  <c:v>1117.58</c:v>
                </c:pt>
                <c:pt idx="1">
                  <c:v>1232.05</c:v>
                </c:pt>
              </c:numCache>
            </c:numRef>
          </c:val>
        </c:ser>
        <c:ser>
          <c:idx val="1"/>
          <c:order val="1"/>
          <c:tx>
            <c:strRef>
              <c:f>支出</c:f>
              <c:strCache>
                <c:ptCount val="1"/>
                <c:pt idx="0">
                  <c:v>支出</c:v>
                </c:pt>
              </c:strCache>
            </c:strRef>
          </c:tx>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{"2021年","2022年"}</c:f>
              <c:strCache>
                <c:ptCount val="2"/>
                <c:pt idx="0">
                  <c:v>2021年</c:v>
                </c:pt>
                <c:pt idx="1">
                  <c:v>2022年</c:v>
                </c:pt>
              </c:strCache>
            </c:strRef>
          </c:cat>
          <c:val>
            <c:numRef>
              <c:f>{1117.58,1232.05}</c:f>
              <c:numCache>
                <c:formatCode>General</c:formatCode>
                <c:ptCount val="2"/>
                <c:pt idx="0">
                  <c:v>1117.58</c:v>
                </c:pt>
                <c:pt idx="1">
                  <c:v>1232.05</c:v>
                </c:pt>
              </c:numCache>
            </c:numRef>
          </c:val>
        </c:ser>
        <c:dLbls>
          <c:showLegendKey val="0"/>
          <c:showVal val="1"/>
          <c:showCatName val="0"/>
          <c:showSerName val="0"/>
          <c:showPercent val="0"/>
          <c:showBubbleSize val="0"/>
        </c:dLbls>
        <c:gapWidth val="150"/>
        <c:axId val="0"/>
        <c:axId val="1"/>
      </c:barChart>
      <c:catAx>
        <c:axId val="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gap"/>
    <c:showDLblsOverMax val="0"/>
    <c:extLst>
      <c:ext uri="{0b15fc19-7d7d-44ad-8c2d-2c3a37ce22c3}">
        <chartProps xmlns="https://web.wps.cn/et/2018/main" chartId="{3ae78226-f59d-45e6-82b2-493878b270be}"/>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支出决算结构图</a:t>
            </a:r>
            <a:endParaRPr lang="zh-CN"/>
          </a:p>
        </c:rich>
      </c:tx>
      <c:layout/>
      <c:overlay val="0"/>
      <c:spPr>
        <a:ln>
          <a:noFill/>
        </a:ln>
      </c:spPr>
    </c:title>
    <c:autoTitleDeleted val="0"/>
    <c:view3D>
      <c:rotX val="30"/>
      <c:rotY val="0"/>
      <c:depthPercent val="100"/>
      <c:rAngAx val="0"/>
      <c:hPercent val="100"/>
      <c:perspective val="0"/>
    </c:view3D>
    <c:floor>
      <c:thickness val="0"/>
      <c:spPr>
        <a:ln w="6350">
          <a:solidFill>
            <a:srgbClr val="898989"/>
          </a:solidFill>
          <a:prstDash val="solid"/>
        </a:ln>
      </c:spPr>
    </c:floor>
    <c:sideWall>
      <c:thickness val="0"/>
      <c:spPr>
        <a:ln>
          <a:noFill/>
        </a:ln>
      </c:spPr>
    </c:sideWall>
    <c:backWall>
      <c:thickness val="0"/>
      <c:spPr>
        <a:ln>
          <a:noFill/>
        </a:ln>
      </c:spPr>
    </c:backWall>
    <c:plotArea>
      <c:layout/>
      <c:pie3DChart>
        <c:varyColors val="1"/>
        <c:ser>
          <c:idx val="0"/>
          <c:order val="0"/>
          <c:tx>
            <c:strRef>
              <c:f>支出决算结构图</c:f>
              <c:strCache>
                <c:ptCount val="1"/>
                <c:pt idx="0">
                  <c:v>支出决算结构图</c:v>
                </c:pt>
              </c:strCache>
            </c:strRef>
          </c:tx>
          <c:explosion val="0"/>
          <c:dPt>
            <c:idx val="0"/>
            <c:bubble3D val="0"/>
            <c:spPr>
              <a:solidFill>
                <a:srgbClr val="4F81BD"/>
              </a:solidFill>
            </c:spPr>
          </c:dPt>
          <c:dPt>
            <c:idx val="1"/>
            <c:bubble3D val="0"/>
            <c:spPr>
              <a:solidFill>
                <a:srgbClr val="C0504D"/>
              </a:solidFill>
            </c:spPr>
          </c:dPt>
          <c:dLbls>
            <c:dLbl>
              <c:idx val="0"/>
              <c:delete val="1"/>
            </c:dLbl>
            <c:dLbl>
              <c:idx val="1"/>
              <c:delete val="1"/>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{"基本支出","项目支出"}</c:f>
              <c:strCache>
                <c:ptCount val="2"/>
                <c:pt idx="0">
                  <c:v>基本支出</c:v>
                </c:pt>
                <c:pt idx="1">
                  <c:v>项目支出</c:v>
                </c:pt>
              </c:strCache>
            </c:strRef>
          </c:cat>
          <c:val>
            <c:numRef>
              <c:f>{948.31,283.74}</c:f>
              <c:numCache>
                <c:formatCode>General</c:formatCode>
                <c:ptCount val="2"/>
                <c:pt idx="0">
                  <c:v>948.31</c:v>
                </c:pt>
                <c:pt idx="1">
                  <c:v>283.74</c:v>
                </c:pt>
              </c:numCache>
            </c:numRef>
          </c:val>
        </c:ser>
        <c:dLbls>
          <c:showLegendKey val="0"/>
          <c:showVal val="0"/>
          <c:showCatName val="0"/>
          <c:showSerName val="0"/>
          <c:showPercent val="0"/>
          <c:showBubbleSize val="0"/>
        </c:dLbls>
      </c:pie3D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extLst>
      <c:ext uri="{0b15fc19-7d7d-44ad-8c2d-2c3a37ce22c3}">
        <chartProps xmlns="https://web.wps.cn/et/2018/main" chartId="{2396e062-10ed-462a-9d11-8e3e620ee5d6}"/>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7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财政拨款收、支决算总计变动情况</a:t>
            </a:r>
            <a:endParaRPr lang="zh-CN"/>
          </a:p>
        </c:rich>
      </c:tx>
      <c:layout/>
      <c:overlay val="0"/>
      <c:spPr>
        <a:ln>
          <a:noFill/>
        </a:ln>
      </c:spPr>
    </c:title>
    <c:autoTitleDeleted val="0"/>
    <c:plotArea>
      <c:layout/>
      <c:barChart>
        <c:barDir val="col"/>
        <c:grouping val="clustered"/>
        <c:varyColors val="0"/>
        <c:ser>
          <c:idx val="0"/>
          <c:order val="0"/>
          <c:tx>
            <c:strRef>
              <c:f>收入</c:f>
              <c:strCache>
                <c:ptCount val="1"/>
                <c:pt idx="0">
                  <c:v>收入</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{"2021年","2022年"}</c:f>
              <c:strCache>
                <c:ptCount val="2"/>
                <c:pt idx="0">
                  <c:v>2021年</c:v>
                </c:pt>
                <c:pt idx="1">
                  <c:v>2022年</c:v>
                </c:pt>
              </c:strCache>
            </c:strRef>
          </c:cat>
          <c:val>
            <c:numRef>
              <c:f>{1117.58,1232.05}</c:f>
              <c:numCache>
                <c:formatCode>General</c:formatCode>
                <c:ptCount val="2"/>
                <c:pt idx="0">
                  <c:v>1117.58</c:v>
                </c:pt>
                <c:pt idx="1">
                  <c:v>1232.05</c:v>
                </c:pt>
              </c:numCache>
            </c:numRef>
          </c:val>
        </c:ser>
        <c:ser>
          <c:idx val="1"/>
          <c:order val="1"/>
          <c:tx>
            <c:strRef>
              <c:f>支出</c:f>
              <c:strCache>
                <c:ptCount val="1"/>
                <c:pt idx="0">
                  <c:v>支出</c:v>
                </c:pt>
              </c:strCache>
            </c:strRef>
          </c:tx>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{"2021年","2022年"}</c:f>
              <c:strCache>
                <c:ptCount val="2"/>
                <c:pt idx="0">
                  <c:v>2021年</c:v>
                </c:pt>
                <c:pt idx="1">
                  <c:v>2022年</c:v>
                </c:pt>
              </c:strCache>
            </c:strRef>
          </c:cat>
          <c:val>
            <c:numRef>
              <c:f>{1117.58,1232.05}</c:f>
              <c:numCache>
                <c:formatCode>General</c:formatCode>
                <c:ptCount val="2"/>
                <c:pt idx="0">
                  <c:v>1117.58</c:v>
                </c:pt>
                <c:pt idx="1">
                  <c:v>1232.05</c:v>
                </c:pt>
              </c:numCache>
            </c:numRef>
          </c:val>
        </c:ser>
        <c:dLbls>
          <c:showLegendKey val="0"/>
          <c:showVal val="1"/>
          <c:showCatName val="0"/>
          <c:showSerName val="0"/>
          <c:showPercent val="0"/>
          <c:showBubbleSize val="0"/>
        </c:dLbls>
        <c:gapWidth val="150"/>
        <c:axId val="0"/>
        <c:axId val="1"/>
      </c:barChart>
      <c:catAx>
        <c:axId val="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gap"/>
    <c:showDLblsOverMax val="0"/>
    <c:extLst>
      <c:ext uri="{0b15fc19-7d7d-44ad-8c2d-2c3a37ce22c3}">
        <chartProps xmlns="https://web.wps.cn/et/2018/main" chartId="{f9777996-e1b2-426b-93fe-430e1086f302}"/>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一般公共预算财政拨款支出决算变动情况</a:t>
            </a:r>
            <a:endParaRPr lang="zh-CN"/>
          </a:p>
        </c:rich>
      </c:tx>
      <c:layout/>
      <c:overlay val="0"/>
      <c:spPr>
        <a:ln>
          <a:noFill/>
        </a:ln>
      </c:spPr>
    </c:title>
    <c:autoTitleDeleted val="0"/>
    <c:plotArea>
      <c:layout/>
      <c:barChart>
        <c:barDir val="col"/>
        <c:grouping val="clustered"/>
        <c:varyColors val="0"/>
        <c:ser>
          <c:idx val="0"/>
          <c:order val="0"/>
          <c:tx>
            <c:strRef>
              <c:f>一般公共预算财政拨款支出决算变动情况</c:f>
              <c:strCache>
                <c:ptCount val="1"/>
                <c:pt idx="0">
                  <c:v>一般公共预算财政拨款支出决算变动情况</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{"2021年","2022年"}</c:f>
              <c:strCache>
                <c:ptCount val="2"/>
                <c:pt idx="0">
                  <c:v>2021年</c:v>
                </c:pt>
                <c:pt idx="1">
                  <c:v>2022年</c:v>
                </c:pt>
              </c:strCache>
            </c:strRef>
          </c:cat>
          <c:val>
            <c:numRef>
              <c:f>{1117.58,1232.05}</c:f>
              <c:numCache>
                <c:formatCode>General</c:formatCode>
                <c:ptCount val="2"/>
                <c:pt idx="0">
                  <c:v>1117.58</c:v>
                </c:pt>
                <c:pt idx="1">
                  <c:v>1232.05</c:v>
                </c:pt>
              </c:numCache>
            </c:numRef>
          </c:val>
        </c:ser>
        <c:dLbls>
          <c:showLegendKey val="0"/>
          <c:showVal val="1"/>
          <c:showCatName val="0"/>
          <c:showSerName val="0"/>
          <c:showPercent val="0"/>
          <c:showBubbleSize val="0"/>
        </c:dLbls>
        <c:gapWidth val="150"/>
        <c:axId val="0"/>
        <c:axId val="1"/>
      </c:barChart>
      <c:catAx>
        <c:axId val="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c:spPr>
    </c:plotArea>
    <c:plotVisOnly val="1"/>
    <c:dispBlanksAs val="gap"/>
    <c:showDLblsOverMax val="0"/>
    <c:extLst>
      <c:ext uri="{0b15fc19-7d7d-44ad-8c2d-2c3a37ce22c3}">
        <chartProps xmlns="https://web.wps.cn/et/2018/main" chartId="{f89c7ee5-17f5-416a-a8b8-1be68e8783d0}"/>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7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一般公共预算财政拨款支出决算结构</a:t>
            </a:r>
            <a:endParaRPr lang="zh-CN"/>
          </a:p>
        </c:rich>
      </c:tx>
      <c:layout>
        <c:manualLayout>
          <c:xMode val="edge"/>
          <c:yMode val="edge"/>
          <c:x val="0.118"/>
          <c:y val="0.086419754"/>
        </c:manualLayout>
      </c:layout>
      <c:overlay val="0"/>
      <c:spPr>
        <a:ln>
          <a:noFill/>
        </a:ln>
      </c:spPr>
    </c:title>
    <c:autoTitleDeleted val="0"/>
    <c:view3D>
      <c:rotX val="30"/>
      <c:rotY val="0"/>
      <c:depthPercent val="100"/>
      <c:rAngAx val="0"/>
      <c:hPercent val="100"/>
      <c:perspective val="0"/>
    </c:view3D>
    <c:floor>
      <c:thickness val="0"/>
      <c:spPr>
        <a:ln w="6350">
          <a:solidFill>
            <a:srgbClr val="898989"/>
          </a:solidFill>
          <a:prstDash val="solid"/>
        </a:ln>
      </c:spPr>
    </c:floor>
    <c:sideWall>
      <c:thickness val="0"/>
      <c:spPr>
        <a:ln>
          <a:noFill/>
        </a:ln>
      </c:spPr>
    </c:sideWall>
    <c:backWall>
      <c:thickness val="0"/>
      <c:spPr>
        <a:ln>
          <a:noFill/>
        </a:ln>
      </c:spPr>
    </c:backWall>
    <c:plotArea>
      <c:layout/>
      <c:pie3DChart>
        <c:varyColors val="1"/>
        <c:ser>
          <c:idx val="0"/>
          <c:order val="0"/>
          <c:tx>
            <c:strRef>
              <c:f>一般公共预算财政拨款支出决算结构</c:f>
              <c:strCache>
                <c:ptCount val="1"/>
                <c:pt idx="0">
                  <c:v>一般公共预算财政拨款支出决算结构</c:v>
                </c:pt>
              </c:strCache>
            </c:strRef>
          </c:tx>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dLbl>
              <c:idx val="1"/>
              <c:layout>
                <c:manualLayout>
                  <c:x val="-0.030715441"/>
                  <c:y val="-0.024292432"/>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43947943"/>
                  <c:y val="-0.088616945"/>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3650043"/>
                  <c:y val="-0.038926072"/>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{"一般公共服务支出","社会保障和就业支出","卫生健康支出","住房保障支出"}</c:f>
              <c:strCache>
                <c:ptCount val="4"/>
                <c:pt idx="0">
                  <c:v>一般公共服务支出</c:v>
                </c:pt>
                <c:pt idx="1">
                  <c:v>社会保障和就业支出</c:v>
                </c:pt>
                <c:pt idx="2">
                  <c:v>卫生健康支出</c:v>
                </c:pt>
                <c:pt idx="3">
                  <c:v>住房保障支出</c:v>
                </c:pt>
              </c:strCache>
            </c:strRef>
          </c:cat>
          <c:val>
            <c:numRef>
              <c:f>{82.94,8.49,3.66,4.91}</c:f>
              <c:numCache>
                <c:formatCode>General</c:formatCode>
                <c:ptCount val="4"/>
                <c:pt idx="0">
                  <c:v>82.94</c:v>
                </c:pt>
                <c:pt idx="1">
                  <c:v>8.49</c:v>
                </c:pt>
                <c:pt idx="2">
                  <c:v>3.66</c:v>
                </c:pt>
                <c:pt idx="3">
                  <c:v>4.91</c:v>
                </c:pt>
              </c:numCache>
            </c:numRef>
          </c:val>
        </c:ser>
        <c:dLbls>
          <c:showLegendKey val="0"/>
          <c:showVal val="1"/>
          <c:showCatName val="0"/>
          <c:showSerName val="0"/>
          <c:showPercent val="0"/>
          <c:showBubbleSize val="0"/>
        </c:dLbls>
      </c:pie3D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extLst>
      <c:ext uri="{0b15fc19-7d7d-44ad-8c2d-2c3a37ce22c3}">
        <chartProps xmlns="https://web.wps.cn/et/2018/main" chartId="{96113c83-8c9e-4779-a45e-8d0c8d8a479d}"/>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Lbls>
            <c:dLbl>
              <c:idx val="0"/>
              <c:delete val="1"/>
            </c:dLbl>
            <c:dLbl>
              <c:idx val="1"/>
              <c:delete val="1"/>
            </c:dLbl>
            <c:dLbl>
              <c:idx val="2"/>
              <c:delete val="1"/>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{#N/A,1,0}</c:f>
              <c:numCache>
                <c:formatCode>General</c:formatCode>
                <c:ptCount val="3"/>
                <c:pt idx="1">
                  <c:v>1</c:v>
                </c:pt>
                <c:pt idx="2">
                  <c:v>0</c:v>
                </c:pt>
              </c:numCache>
            </c:numRef>
          </c:val>
        </c:ser>
        <c:dLbls>
          <c:showLegendKey val="0"/>
          <c:showVal val="0"/>
          <c:showCatName val="0"/>
          <c:showSerName val="0"/>
          <c:showPercent val="0"/>
          <c:showBubbleSize val="0"/>
          <c:showLeaderLines val="1"/>
        </c:dLbls>
        <c:firstSliceAng val="15"/>
      </c:pieChart>
      <c:spPr>
        <a:noFill/>
        <a:ln>
          <a:noFill/>
        </a:ln>
      </c:spPr>
    </c:plotArea>
    <c:legend>
      <c:legendPos val="r"/>
      <c:layout>
        <c:manualLayout>
          <c:xMode val="edge"/>
          <c:yMode val="edge"/>
          <c:x val="0.6583347"/>
          <c:y val="0.29513988"/>
          <c:w val="0.3229173"/>
          <c:h val="0.4166681"/>
        </c:manualLayout>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extLst>
      <c:ext uri="{0b15fc19-7d7d-44ad-8c2d-2c3a37ce22c3}">
        <chartProps xmlns="https://web.wps.cn/et/2018/main" chartId="{5ca67b1c-09f9-4e7e-81e5-9506cb90740d}"/>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22</Pages>
  <Words>3105</Words>
  <Characters>3616</Characters>
  <Lines>1</Lines>
  <Paragraphs>0</Paragraphs>
  <TotalTime>6</TotalTime>
  <ScaleCrop>false</ScaleCrop>
  <LinksUpToDate>false</LinksUpToDate>
  <CharactersWithSpaces>3701</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盐星星</cp:lastModifiedBy>
  <cp:lastPrinted>2020-09-29T10:36:00Z</cp:lastPrinted>
  <dcterms:modified xsi:type="dcterms:W3CDTF">2026-04-28T08:04:44Z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26122FE0D8B341708A6BB657F3E72521</vt:lpwstr>
  </property>
  <property fmtid="{D5CDD505-2E9C-101B-9397-08002B2CF9AE}" pid="4" name="commondata">
    <vt:lpwstr>eyJoZGlkIjoiNmRjOTJlNzJjZmZkOTQxZDA4NjRhMDllMWM3ZmQ2OTgifQ==</vt:lpwstr>
  </property>
  <property fmtid="{D5CDD505-2E9C-101B-9397-08002B2CF9AE}" pid="5" name="KSOTemplateDocerSaveRecord">
    <vt:lpwstr>eyJoZGlkIjoiZDVjZjE1OTBmZTc4M2ZlNjdmNWM1MmQ5OThkMGU1NjEiLCJ1c2VySWQiOiIxMDYwOTQ0NDM1In0=</vt:lpwstr>
  </property>
</Properties>
</file>