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bookmarkStart w:id="1" w:name="_Toc15378441"/>
      <w:bookmarkStart w:id="2" w:name="_Toc15377425"/>
      <w:bookmarkStart w:id="3" w:name="_Toc15377193"/>
      <w:bookmarkStart w:id="4" w:name="_Toc15396475"/>
      <w:bookmarkStart w:id="5" w:name="_Toc2114"/>
      <w:bookmarkStart w:id="6" w:name="_Toc15396597"/>
      <w:r>
        <w:rPr>
          <w:rFonts w:hint="eastAsia" w:ascii="方正小标宋简体" w:eastAsia="方正小标宋简体"/>
          <w:color w:val="000000"/>
          <w:sz w:val="72"/>
          <w:szCs w:val="72"/>
          <w:lang w:val="en-US" w:eastAsia="zh-CN"/>
        </w:rPr>
        <w:t>2021年</w:t>
      </w:r>
      <w:r>
        <w:rPr>
          <w:rFonts w:hint="eastAsia" w:ascii="方正小标宋简体" w:eastAsia="方正小标宋简体"/>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7" w:name="_Toc14812"/>
      <w:bookmarkStart w:id="8" w:name="_Toc15378442"/>
      <w:bookmarkStart w:id="9" w:name="_Toc15377194"/>
      <w:bookmarkStart w:id="10" w:name="_Toc15396598"/>
      <w:bookmarkStart w:id="11" w:name="_Toc15396476"/>
      <w:bookmarkStart w:id="12" w:name="_Toc15377426"/>
      <w:r>
        <w:rPr>
          <w:rFonts w:hint="eastAsia" w:ascii="方正小标宋简体" w:eastAsia="方正小标宋简体"/>
          <w:color w:val="000000"/>
          <w:sz w:val="72"/>
          <w:szCs w:val="72"/>
          <w:lang w:val="en-US" w:eastAsia="zh-CN"/>
        </w:rPr>
        <w:t>四川省</w:t>
      </w:r>
      <w:r>
        <w:rPr>
          <w:rFonts w:hint="eastAsia" w:ascii="方正小标宋简体" w:eastAsia="方正小标宋简体"/>
          <w:color w:val="000000"/>
          <w:sz w:val="72"/>
          <w:szCs w:val="72"/>
        </w:rPr>
        <w:t>阿坝州</w:t>
      </w:r>
      <w:bookmarkEnd w:id="0"/>
      <w:bookmarkStart w:id="13" w:name="_Toc15306268"/>
      <w:r>
        <w:rPr>
          <w:rFonts w:hint="eastAsia" w:ascii="方正小标宋简体" w:eastAsia="方正小标宋简体"/>
          <w:color w:val="000000"/>
          <w:sz w:val="72"/>
          <w:szCs w:val="72"/>
          <w:lang w:eastAsia="zh-CN"/>
        </w:rPr>
        <w:t>金川县</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lang w:eastAsia="zh-CN"/>
        </w:rPr>
        <w:t>人民代表大会常务委员会办公室</w:t>
      </w:r>
      <w:r>
        <w:rPr>
          <w:rFonts w:hint="eastAsia" w:ascii="方正小标宋简体" w:eastAsia="方正小标宋简体"/>
          <w:color w:val="000000"/>
          <w:sz w:val="72"/>
          <w:szCs w:val="72"/>
        </w:rPr>
        <w:t>部门决算</w:t>
      </w:r>
      <w:bookmarkEnd w:id="7"/>
      <w:bookmarkEnd w:id="8"/>
      <w:bookmarkEnd w:id="9"/>
      <w:bookmarkEnd w:id="10"/>
      <w:bookmarkEnd w:id="11"/>
      <w:bookmarkEnd w:id="12"/>
      <w:bookmarkEnd w:id="13"/>
      <w:bookmarkStart w:id="174" w:name="_GoBack"/>
      <w:bookmarkEnd w:id="174"/>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32"/>
          <w:szCs w:val="32"/>
        </w:rPr>
      </w:pPr>
      <w:r>
        <w:rPr>
          <w:rFonts w:ascii="方正小标宋简体" w:eastAsia="方正小标宋简体"/>
          <w:color w:val="000000"/>
          <w:sz w:val="36"/>
          <w:szCs w:val="36"/>
        </w:rPr>
        <w:br w:type="page"/>
      </w:r>
      <w:r>
        <w:rPr>
          <w:rFonts w:hint="eastAsia" w:ascii="仿宋_GB2312" w:hAnsi="仿宋_GB2312" w:eastAsia="仿宋_GB2312" w:cs="仿宋_GB2312"/>
          <w:color w:val="000000"/>
          <w:sz w:val="32"/>
          <w:szCs w:val="32"/>
        </w:rPr>
        <w:t>目录</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公开时间2021年8月24日</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Cs/>
          <w:kern w:val="2"/>
          <w:sz w:val="32"/>
          <w:szCs w:val="32"/>
          <w:lang w:val="en-US" w:eastAsia="zh-CN" w:bidi="ar-SA"/>
        </w:rPr>
      </w:pP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 w:val="21"/>
          <w:szCs w:val="21"/>
          <w:lang w:val="en-US" w:eastAsia="zh-CN" w:bidi="ar-SA"/>
        </w:rPr>
        <w:fldChar w:fldCharType="begin"/>
      </w:r>
      <w:r>
        <w:rPr>
          <w:rFonts w:hint="eastAsia" w:ascii="楷体_GB2312" w:hAnsi="楷体_GB2312" w:eastAsia="楷体_GB2312" w:cs="楷体_GB2312"/>
          <w:bCs/>
          <w:kern w:val="2"/>
          <w:sz w:val="21"/>
          <w:szCs w:val="21"/>
          <w:lang w:val="en-US" w:eastAsia="zh-CN" w:bidi="ar-SA"/>
        </w:rPr>
        <w:instrText xml:space="preserve">TOC \o "1-4" \f \h</w:instrText>
      </w:r>
      <w:r>
        <w:rPr>
          <w:rFonts w:hint="eastAsia" w:ascii="楷体_GB2312" w:hAnsi="楷体_GB2312" w:eastAsia="楷体_GB2312" w:cs="楷体_GB2312"/>
          <w:bCs/>
          <w:kern w:val="2"/>
          <w:sz w:val="21"/>
          <w:szCs w:val="21"/>
          <w:lang w:val="en-US" w:eastAsia="zh-CN" w:bidi="ar-SA"/>
        </w:rPr>
        <w:fldChar w:fldCharType="separate"/>
      </w: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_Toc27025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_Toc27025 </w:instrText>
      </w:r>
      <w:r>
        <w:fldChar w:fldCharType="separate"/>
      </w:r>
      <w:r>
        <w:t>3</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_Toc2153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_Toc2153 </w:instrText>
      </w:r>
      <w:r>
        <w:fldChar w:fldCharType="separate"/>
      </w:r>
      <w:r>
        <w:t>3</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_Toc19797 </w:instrText>
      </w:r>
      <w:r>
        <w:rPr>
          <w:rFonts w:hint="eastAsia" w:ascii="楷体_GB2312" w:hAnsi="楷体_GB2312" w:eastAsia="楷体_GB2312" w:cs="楷体_GB2312"/>
          <w:bCs/>
          <w:kern w:val="2"/>
          <w:szCs w:val="21"/>
          <w:lang w:val="en-US" w:eastAsia="zh-CN" w:bidi="ar-SA"/>
        </w:rPr>
        <w:fldChar w:fldCharType="separate"/>
      </w:r>
      <w:r>
        <w:rPr>
          <w:rFonts w:hint="eastAsia" w:ascii="楷体" w:eastAsia="楷体" w:cs="楷体"/>
          <w:bCs/>
          <w:szCs w:val="32"/>
        </w:rPr>
        <w:t>（一）主要职能</w:t>
      </w:r>
      <w:r>
        <w:tab/>
      </w:r>
      <w:r>
        <w:fldChar w:fldCharType="begin"/>
      </w:r>
      <w:r>
        <w:instrText xml:space="preserve"> PAGEREF _Toc19797 </w:instrText>
      </w:r>
      <w:r>
        <w:fldChar w:fldCharType="separate"/>
      </w:r>
      <w:r>
        <w:t>3</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_Toc27069 </w:instrText>
      </w:r>
      <w:r>
        <w:rPr>
          <w:rFonts w:hint="eastAsia" w:ascii="楷体_GB2312" w:hAnsi="楷体_GB2312" w:eastAsia="楷体_GB2312" w:cs="楷体_GB2312"/>
          <w:bCs/>
          <w:kern w:val="2"/>
          <w:szCs w:val="21"/>
          <w:lang w:val="en-US" w:eastAsia="zh-CN" w:bidi="ar-SA"/>
        </w:rPr>
        <w:fldChar w:fldCharType="separate"/>
      </w:r>
      <w:r>
        <w:rPr>
          <w:rFonts w:hint="eastAsia" w:ascii="楷体" w:eastAsia="楷体" w:cs="楷体"/>
          <w:bCs/>
          <w:szCs w:val="32"/>
        </w:rPr>
        <w:t>（二）</w:t>
      </w:r>
      <w:r>
        <w:rPr>
          <w:rFonts w:hint="eastAsia" w:ascii="楷体" w:eastAsia="楷体" w:cs="楷体"/>
          <w:bCs/>
          <w:szCs w:val="32"/>
          <w:lang w:val="en-US" w:eastAsia="zh-CN"/>
        </w:rPr>
        <w:t>2021年</w:t>
      </w:r>
      <w:r>
        <w:rPr>
          <w:rFonts w:hint="eastAsia" w:ascii="楷体" w:eastAsia="楷体" w:cs="楷体"/>
          <w:bCs/>
          <w:szCs w:val="32"/>
        </w:rPr>
        <w:t>重点工作完成情况</w:t>
      </w:r>
      <w:r>
        <w:tab/>
      </w:r>
      <w:r>
        <w:fldChar w:fldCharType="begin"/>
      </w:r>
      <w:r>
        <w:instrText xml:space="preserve"> PAGEREF _Toc27069 </w:instrText>
      </w:r>
      <w:r>
        <w:fldChar w:fldCharType="separate"/>
      </w:r>
      <w:r>
        <w:t>4</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_Toc4454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bCs w:val="0"/>
        </w:rPr>
        <w:t>二、机构设置</w:t>
      </w:r>
      <w:r>
        <w:tab/>
      </w:r>
      <w:r>
        <w:fldChar w:fldCharType="begin"/>
      </w:r>
      <w:r>
        <w:instrText xml:space="preserve"> PAGEREF _Toc4454 </w:instrText>
      </w:r>
      <w:r>
        <w:fldChar w:fldCharType="separate"/>
      </w:r>
      <w:r>
        <w:t>4</w:t>
      </w:r>
      <w:r>
        <w:fldChar w:fldCharType="end"/>
      </w:r>
      <w:r>
        <w:rPr>
          <w:rFonts w:hint="eastAsia" w:ascii="楷体_GB2312" w:hAns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_Toc5585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 xml:space="preserve">第二部分 </w:t>
      </w:r>
      <w:r>
        <w:rPr>
          <w:rFonts w:hint="eastAsia" w:ascii="黑体" w:eastAsia="黑体"/>
          <w:bCs w:val="0"/>
          <w:lang w:val="en-US"/>
        </w:rPr>
        <w:t>2021年</w:t>
      </w:r>
      <w:r>
        <w:rPr>
          <w:rFonts w:hint="eastAsia" w:ascii="黑体" w:eastAsia="黑体"/>
          <w:bCs w:val="0"/>
        </w:rPr>
        <w:t>度部门决算情况说明</w:t>
      </w:r>
      <w:r>
        <w:tab/>
      </w:r>
      <w:r>
        <w:fldChar w:fldCharType="begin"/>
      </w:r>
      <w:r>
        <w:instrText xml:space="preserve"> PAGEREF _Toc5585 </w:instrText>
      </w:r>
      <w:r>
        <w:fldChar w:fldCharType="separate"/>
      </w:r>
      <w:r>
        <w:t>5</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_Toc25931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lang w:eastAsia="zh-CN"/>
        </w:rPr>
        <w:t>一、</w:t>
      </w:r>
      <w:r>
        <w:rPr>
          <w:rFonts w:hint="eastAsia" w:ascii="黑体" w:eastAsia="黑体"/>
        </w:rPr>
        <w:t>收入支出决算总体情况说明</w:t>
      </w:r>
      <w:r>
        <w:tab/>
      </w:r>
      <w:r>
        <w:fldChar w:fldCharType="begin"/>
      </w:r>
      <w:r>
        <w:instrText xml:space="preserve"> PAGEREF _Toc25931 </w:instrText>
      </w:r>
      <w:r>
        <w:fldChar w:fldCharType="separate"/>
      </w:r>
      <w:r>
        <w:t>5</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_Toc13276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lang w:val="en-US" w:eastAsia="zh-CN"/>
        </w:rPr>
        <w:t>二、收入决</w:t>
      </w:r>
      <w:r>
        <w:rPr>
          <w:rFonts w:hint="eastAsia" w:ascii="黑体" w:eastAsia="黑体"/>
        </w:rPr>
        <w:t>算情况说明</w:t>
      </w:r>
      <w:r>
        <w:tab/>
      </w:r>
      <w:r>
        <w:fldChar w:fldCharType="begin"/>
      </w:r>
      <w:r>
        <w:instrText xml:space="preserve"> PAGEREF _Toc13276 </w:instrText>
      </w:r>
      <w:r>
        <w:fldChar w:fldCharType="separate"/>
      </w:r>
      <w:r>
        <w:t>5</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_Toc22429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lang w:val="en-US" w:eastAsia="zh-CN"/>
        </w:rPr>
        <w:t>三、支出决</w:t>
      </w:r>
      <w:r>
        <w:rPr>
          <w:rFonts w:hint="eastAsia" w:ascii="黑体" w:eastAsia="黑体"/>
        </w:rPr>
        <w:t>算情况说明</w:t>
      </w:r>
      <w:r>
        <w:tab/>
      </w:r>
      <w:r>
        <w:fldChar w:fldCharType="begin"/>
      </w:r>
      <w:r>
        <w:instrText xml:space="preserve"> PAGEREF _Toc22429 </w:instrText>
      </w:r>
      <w:r>
        <w:fldChar w:fldCharType="separate"/>
      </w:r>
      <w:r>
        <w:t>6</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_Toc10926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四、财政拨款收入支出决算总体情况说明</w:t>
      </w:r>
      <w:r>
        <w:tab/>
      </w:r>
      <w:r>
        <w:fldChar w:fldCharType="begin"/>
      </w:r>
      <w:r>
        <w:instrText xml:space="preserve"> PAGEREF _Toc10926 </w:instrText>
      </w:r>
      <w:r>
        <w:fldChar w:fldCharType="separate"/>
      </w:r>
      <w:r>
        <w:t>7</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_Toc28779 </w:instrText>
      </w:r>
      <w:r>
        <w:rPr>
          <w:rFonts w:hint="eastAsia" w:ascii="楷体_GB2312" w:hAnsi="楷体_GB2312" w:eastAsia="楷体_GB2312" w:cs="楷体_GB2312"/>
          <w:bCs/>
          <w:kern w:val="2"/>
          <w:szCs w:val="21"/>
          <w:lang w:val="en-US" w:eastAsia="zh-CN" w:bidi="ar-SA"/>
        </w:rPr>
        <w:fldChar w:fldCharType="separate"/>
      </w:r>
      <w:r>
        <w:tab/>
      </w:r>
      <w:r>
        <w:fldChar w:fldCharType="begin"/>
      </w:r>
      <w:r>
        <w:instrText xml:space="preserve"> PAGEREF _Toc28779 </w:instrText>
      </w:r>
      <w:r>
        <w:fldChar w:fldCharType="separate"/>
      </w:r>
      <w:r>
        <w:t>7</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_Toc13463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五、一般公共预算财政拨款支出决算情况说明</w:t>
      </w:r>
      <w:r>
        <w:tab/>
      </w:r>
      <w:r>
        <w:fldChar w:fldCharType="begin"/>
      </w:r>
      <w:r>
        <w:instrText xml:space="preserve"> PAGEREF _Toc13463 </w:instrText>
      </w:r>
      <w:r>
        <w:fldChar w:fldCharType="separate"/>
      </w:r>
      <w:r>
        <w:t>7</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pos="7600"/>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_Toc29018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六、一般公共预算财政拨款基本支出决算情况说明</w:t>
      </w:r>
      <w:r>
        <w:rPr>
          <w:rFonts w:ascii="黑体" w:eastAsia="黑体"/>
        </w:rPr>
        <w:tab/>
      </w:r>
      <w:r>
        <w:tab/>
      </w:r>
      <w:r>
        <w:fldChar w:fldCharType="begin"/>
      </w:r>
      <w:r>
        <w:instrText xml:space="preserve"> PAGEREF _Toc29018 </w:instrText>
      </w:r>
      <w:r>
        <w:fldChar w:fldCharType="separate"/>
      </w:r>
      <w:r>
        <w:t>10</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_Toc753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七、“三公”经费财政拨款支出决算情况说明</w:t>
      </w:r>
      <w:r>
        <w:tab/>
      </w:r>
      <w:r>
        <w:fldChar w:fldCharType="begin"/>
      </w:r>
      <w:r>
        <w:instrText xml:space="preserve"> PAGEREF _Toc753 </w:instrText>
      </w:r>
      <w:r>
        <w:fldChar w:fldCharType="separate"/>
      </w:r>
      <w:r>
        <w:t>10</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_Toc2938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八、政府性基金预算支出决算情况说明</w:t>
      </w:r>
      <w:r>
        <w:tab/>
      </w:r>
      <w:r>
        <w:fldChar w:fldCharType="begin"/>
      </w:r>
      <w:r>
        <w:instrText xml:space="preserve"> PAGEREF _Toc2938 </w:instrText>
      </w:r>
      <w:r>
        <w:fldChar w:fldCharType="separate"/>
      </w:r>
      <w:r>
        <w:t>12</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_Toc15138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九、 国有资本经营预算支出决算情况说明</w:t>
      </w:r>
      <w:r>
        <w:tab/>
      </w:r>
      <w:r>
        <w:fldChar w:fldCharType="begin"/>
      </w:r>
      <w:r>
        <w:instrText xml:space="preserve"> PAGEREF _Toc15138 </w:instrText>
      </w:r>
      <w:r>
        <w:fldChar w:fldCharType="separate"/>
      </w:r>
      <w:r>
        <w:t>12</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_Toc3277 </w:instrText>
      </w:r>
      <w:r>
        <w:rPr>
          <w:rFonts w:hint="eastAsia" w:ascii="楷体_GB2312" w:hAnsi="楷体_GB2312" w:eastAsia="楷体_GB2312" w:cs="楷体_GB2312"/>
          <w:bCs/>
          <w:kern w:val="2"/>
          <w:szCs w:val="21"/>
          <w:lang w:val="en-US" w:eastAsia="zh-CN" w:bidi="ar-SA"/>
        </w:rPr>
        <w:fldChar w:fldCharType="separate"/>
      </w:r>
      <w:r>
        <w:rPr>
          <w:rFonts w:hint="default" w:ascii="黑体" w:eastAsia="黑体"/>
        </w:rPr>
        <w:t xml:space="preserve">十、 </w:t>
      </w:r>
      <w:r>
        <w:rPr>
          <w:rFonts w:hint="eastAsia" w:ascii="黑体" w:eastAsia="黑体"/>
        </w:rPr>
        <w:t>预算绩效情况说明</w:t>
      </w:r>
      <w:r>
        <w:tab/>
      </w:r>
      <w:r>
        <w:fldChar w:fldCharType="begin"/>
      </w:r>
      <w:r>
        <w:instrText xml:space="preserve"> PAGEREF _Toc3277 </w:instrText>
      </w:r>
      <w:r>
        <w:fldChar w:fldCharType="separate"/>
      </w:r>
      <w:r>
        <w:t>12</w:t>
      </w:r>
      <w:r>
        <w:fldChar w:fldCharType="end"/>
      </w:r>
      <w:r>
        <w:rPr>
          <w:rFonts w:hint="eastAsia" w:ascii="楷体_GB2312" w:hAns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_Toc148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 xml:space="preserve">第三部分 </w:t>
      </w:r>
      <w:r>
        <w:rPr>
          <w:rFonts w:hint="eastAsia" w:ascii="黑体" w:eastAsia="黑体"/>
          <w:bCs w:val="0"/>
        </w:rPr>
        <w:t>名词</w:t>
      </w:r>
      <w:r>
        <w:rPr>
          <w:rFonts w:hint="eastAsia" w:ascii="黑体" w:eastAsia="黑体"/>
        </w:rPr>
        <w:t>解释</w:t>
      </w:r>
      <w:r>
        <w:tab/>
      </w:r>
      <w:r>
        <w:fldChar w:fldCharType="begin"/>
      </w:r>
      <w:r>
        <w:instrText xml:space="preserve"> PAGEREF _Toc148 </w:instrText>
      </w:r>
      <w:r>
        <w:fldChar w:fldCharType="separate"/>
      </w:r>
      <w:r>
        <w:t>14</w:t>
      </w:r>
      <w:r>
        <w:fldChar w:fldCharType="end"/>
      </w:r>
      <w:r>
        <w:rPr>
          <w:rFonts w:hint="eastAsia" w:ascii="楷体_GB2312" w:hAnsi="楷体_GB2312" w:eastAsia="楷体_GB2312" w:cs="楷体_GB2312"/>
          <w:bCs/>
          <w:kern w:val="2"/>
          <w:szCs w:val="21"/>
          <w:lang w:val="en-US" w:eastAsia="zh-CN" w:bidi="ar-SA"/>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_Toc2777 </w:instrText>
      </w:r>
      <w:r>
        <w:rPr>
          <w:rFonts w:hint="eastAsia" w:ascii="楷体_GB2312" w:hAnsi="楷体_GB2312" w:eastAsia="楷体_GB2312" w:cs="楷体_GB2312"/>
          <w:bCs/>
          <w:kern w:val="2"/>
          <w:szCs w:val="21"/>
          <w:lang w:val="en-US" w:eastAsia="zh-CN" w:bidi="ar-SA"/>
        </w:rPr>
        <w:fldChar w:fldCharType="separate"/>
      </w:r>
      <w:r>
        <w:rPr>
          <w:rFonts w:hint="eastAsia" w:ascii="黑体" w:eastAsia="黑体"/>
        </w:rPr>
        <w:t xml:space="preserve">第四部分 </w:t>
      </w:r>
      <w:r>
        <w:rPr>
          <w:rFonts w:hint="eastAsia" w:ascii="黑体" w:eastAsia="黑体"/>
          <w:lang w:val="en-US"/>
        </w:rPr>
        <w:t>部门整体支出绩效报告</w:t>
      </w:r>
      <w:r>
        <w:tab/>
      </w:r>
      <w:r>
        <w:fldChar w:fldCharType="begin"/>
      </w:r>
      <w:r>
        <w:instrText xml:space="preserve"> PAGEREF _Toc2777 </w:instrText>
      </w:r>
      <w:r>
        <w:fldChar w:fldCharType="separate"/>
      </w:r>
      <w:r>
        <w:t>17</w:t>
      </w:r>
      <w:r>
        <w:fldChar w:fldCharType="end"/>
      </w:r>
      <w:r>
        <w:rPr>
          <w:rFonts w:hint="eastAsia" w:ascii="楷体_GB2312" w:hAnsi="楷体_GB2312" w:eastAsia="楷体_GB2312" w:cs="楷体_GB2312"/>
          <w:bCs/>
          <w:kern w:val="2"/>
          <w:szCs w:val="21"/>
          <w:lang w:val="en-US" w:eastAsia="zh-CN" w:bidi="ar-SA"/>
        </w:rPr>
        <w:fldChar w:fldCharType="end"/>
      </w:r>
    </w:p>
    <w:p>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600" w:lineRule="exact"/>
        <w:textAlignment w:val="auto"/>
      </w:pPr>
      <w:r>
        <w:rPr>
          <w:rFonts w:hint="eastAsia" w:ascii="楷体_GB2312" w:hAnsi="楷体_GB2312" w:eastAsia="楷体_GB2312" w:cs="楷体_GB2312"/>
          <w:bCs/>
          <w:kern w:val="2"/>
          <w:szCs w:val="21"/>
          <w:lang w:val="en-US" w:eastAsia="zh-CN" w:bidi="ar-SA"/>
        </w:rPr>
        <w:fldChar w:fldCharType="begin"/>
      </w:r>
      <w:r>
        <w:rPr>
          <w:rFonts w:hint="eastAsia" w:ascii="楷体_GB2312" w:hAnsi="楷体_GB2312" w:eastAsia="楷体_GB2312" w:cs="楷体_GB2312"/>
          <w:bCs/>
          <w:kern w:val="2"/>
          <w:szCs w:val="21"/>
          <w:lang w:val="en-US" w:eastAsia="zh-CN" w:bidi="ar-SA"/>
        </w:rPr>
        <w:instrText xml:space="preserve"> HYPERLINK \l _Toc7020 </w:instrText>
      </w:r>
      <w:r>
        <w:rPr>
          <w:rFonts w:hint="eastAsia" w:ascii="楷体_GB2312" w:hAnsi="楷体_GB2312" w:eastAsia="楷体_GB2312" w:cs="楷体_GB2312"/>
          <w:bCs/>
          <w:kern w:val="2"/>
          <w:szCs w:val="21"/>
          <w:lang w:val="en-US" w:eastAsia="zh-CN" w:bidi="ar-SA"/>
        </w:rPr>
        <w:fldChar w:fldCharType="separate"/>
      </w:r>
      <w:r>
        <w:rPr>
          <w:rFonts w:hint="eastAsia" w:ascii="仿宋" w:eastAsia="仿宋"/>
          <w:bCs w:val="0"/>
          <w:szCs w:val="32"/>
        </w:rPr>
        <w:t>附件：202</w:t>
      </w:r>
      <w:r>
        <w:rPr>
          <w:rFonts w:hint="eastAsia" w:ascii="仿宋" w:eastAsia="仿宋"/>
          <w:bCs w:val="0"/>
          <w:szCs w:val="32"/>
          <w:lang w:val="en-US" w:eastAsia="zh-CN"/>
        </w:rPr>
        <w:t>1</w:t>
      </w:r>
      <w:r>
        <w:rPr>
          <w:rFonts w:hint="eastAsia" w:ascii="仿宋" w:eastAsia="仿宋"/>
          <w:bCs w:val="0"/>
          <w:szCs w:val="32"/>
        </w:rPr>
        <w:t>年部门整体支出绩效报告</w:t>
      </w:r>
      <w:r>
        <w:tab/>
      </w:r>
      <w:r>
        <w:fldChar w:fldCharType="begin"/>
      </w:r>
      <w:r>
        <w:instrText xml:space="preserve"> PAGEREF _Toc7020 </w:instrText>
      </w:r>
      <w:r>
        <w:fldChar w:fldCharType="separate"/>
      </w:r>
      <w:r>
        <w:t>17</w:t>
      </w:r>
      <w:r>
        <w:fldChar w:fldCharType="end"/>
      </w:r>
      <w:r>
        <w:rPr>
          <w:rFonts w:hint="eastAsia" w:ascii="楷体_GB2312" w:hAnsi="楷体_GB2312" w:eastAsia="楷体_GB2312" w:cs="楷体_GB2312"/>
          <w:bCs/>
          <w:kern w:val="2"/>
          <w:szCs w:val="21"/>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楷体_GB2312" w:hAnsi="楷体_GB2312" w:eastAsia="楷体_GB2312" w:cs="楷体_GB2312"/>
          <w:bCs/>
          <w:kern w:val="2"/>
          <w:szCs w:val="21"/>
          <w:lang w:val="en-US" w:eastAsia="zh-CN" w:bidi="ar-SA"/>
        </w:rPr>
      </w:pPr>
      <w:r>
        <w:rPr>
          <w:rFonts w:hint="eastAsia" w:ascii="楷体_GB2312" w:hAnsi="楷体_GB2312" w:eastAsia="楷体_GB2312" w:cs="楷体_GB2312"/>
          <w:bCs/>
          <w:kern w:val="2"/>
          <w:szCs w:val="21"/>
          <w:lang w:val="en-US" w:eastAsia="zh-CN" w:bidi="ar-SA"/>
        </w:rPr>
        <w:fldChar w:fldCharType="end"/>
      </w:r>
    </w:p>
    <w:p>
      <w:pPr>
        <w:pStyle w:val="2"/>
        <w:jc w:val="center"/>
        <w:rPr>
          <w:rFonts w:ascii="黑体" w:eastAsia="黑体"/>
          <w:color w:val="000000"/>
          <w:sz w:val="32"/>
          <w:szCs w:val="32"/>
        </w:rPr>
      </w:pPr>
      <w:bookmarkStart w:id="14" w:name="_Toc15992"/>
      <w:bookmarkStart w:id="15" w:name="_Toc23005"/>
      <w:bookmarkStart w:id="16" w:name="_Toc8167"/>
      <w:bookmarkStart w:id="17" w:name="_Toc31727"/>
      <w:bookmarkStart w:id="18" w:name="_Toc15396599"/>
      <w:bookmarkStart w:id="19" w:name="_Toc15377196"/>
      <w:bookmarkStart w:id="20" w:name="_Toc27025"/>
      <w:r>
        <w:rPr>
          <w:rFonts w:hint="eastAsia" w:ascii="黑体" w:eastAsia="黑体"/>
          <w:b w:val="0"/>
        </w:rPr>
        <w:t xml:space="preserve">第一部分 </w:t>
      </w:r>
      <w:r>
        <w:rPr>
          <w:rStyle w:val="17"/>
          <w:rFonts w:hint="eastAsia" w:ascii="黑体" w:eastAsia="黑体"/>
          <w:b w:val="0"/>
          <w:bCs w:val="0"/>
        </w:rPr>
        <w:t>部门概况</w:t>
      </w:r>
      <w:bookmarkEnd w:id="14"/>
      <w:bookmarkEnd w:id="15"/>
      <w:bookmarkEnd w:id="16"/>
      <w:bookmarkEnd w:id="17"/>
      <w:bookmarkEnd w:id="18"/>
      <w:bookmarkEnd w:id="19"/>
      <w:bookmarkEnd w:id="20"/>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8"/>
          <w:rFonts w:hint="eastAsia" w:ascii="黑体" w:eastAsia="黑体"/>
          <w:b w:val="0"/>
          <w:bCs w:val="0"/>
        </w:rPr>
      </w:pPr>
      <w:bookmarkStart w:id="21" w:name="_Toc30841"/>
      <w:bookmarkStart w:id="22" w:name="_Toc2736"/>
      <w:bookmarkStart w:id="23" w:name="_Toc12207"/>
      <w:bookmarkStart w:id="24" w:name="_Toc2153"/>
      <w:bookmarkStart w:id="25" w:name="_Toc4547"/>
      <w:bookmarkStart w:id="26" w:name="_Toc15377197"/>
      <w:bookmarkStart w:id="27" w:name="_Toc15396600"/>
      <w:r>
        <w:rPr>
          <w:rFonts w:hint="eastAsia" w:ascii="黑体" w:eastAsia="黑体"/>
          <w:b w:val="0"/>
          <w:color w:val="000000"/>
        </w:rPr>
        <w:t>一、基</w:t>
      </w:r>
      <w:r>
        <w:rPr>
          <w:rStyle w:val="18"/>
          <w:rFonts w:hint="eastAsia" w:ascii="黑体" w:eastAsia="黑体"/>
          <w:b w:val="0"/>
          <w:bCs w:val="0"/>
        </w:rPr>
        <w:t>本职能及主要工作</w:t>
      </w:r>
      <w:bookmarkEnd w:id="21"/>
      <w:bookmarkEnd w:id="22"/>
      <w:bookmarkEnd w:id="23"/>
      <w:bookmarkEnd w:id="24"/>
      <w:bookmarkEnd w:id="25"/>
      <w:bookmarkEnd w:id="26"/>
      <w:bookmarkEnd w:id="27"/>
      <w:bookmarkStart w:id="28" w:name="_Toc15377198"/>
      <w:bookmarkStart w:id="29" w:name="_Toc15378445"/>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bookmarkStart w:id="30" w:name="_Toc23053"/>
      <w:bookmarkStart w:id="31" w:name="_Toc19797"/>
      <w:bookmarkStart w:id="32" w:name="_Toc1651"/>
      <w:bookmarkStart w:id="33" w:name="_Toc5977"/>
      <w:bookmarkStart w:id="34" w:name="_Toc1839"/>
      <w:r>
        <w:rPr>
          <w:rFonts w:hint="eastAsia" w:ascii="楷体" w:eastAsia="楷体" w:cs="楷体"/>
          <w:bCs/>
          <w:color w:val="000000"/>
          <w:sz w:val="32"/>
          <w:szCs w:val="32"/>
        </w:rPr>
        <w:t>（一）主要职能</w:t>
      </w:r>
      <w:bookmarkEnd w:id="28"/>
      <w:bookmarkEnd w:id="29"/>
      <w:bookmarkEnd w:id="30"/>
      <w:bookmarkEnd w:id="31"/>
      <w:bookmarkEnd w:id="32"/>
      <w:bookmarkEnd w:id="33"/>
      <w:bookmarkEnd w:id="34"/>
      <w:bookmarkStart w:id="35" w:name="_Toc15378446"/>
      <w:bookmarkStart w:id="36" w:name="_Toc15377199"/>
    </w:p>
    <w:p>
      <w:pPr>
        <w:pStyle w:val="3"/>
        <w:spacing w:before="0" w:after="0" w:line="240" w:lineRule="auto"/>
        <w:ind w:firstLine="640" w:firstLineChars="200"/>
        <w:rPr>
          <w:rFonts w:ascii="仿宋_GB2312" w:eastAsia="仿宋_GB2312"/>
          <w:b w:val="0"/>
          <w:bCs w:val="0"/>
        </w:rPr>
      </w:pPr>
      <w:bookmarkStart w:id="37" w:name="_Toc10470"/>
      <w:bookmarkStart w:id="38" w:name="_Toc98838272"/>
      <w:bookmarkStart w:id="39" w:name="_Toc13327"/>
      <w:bookmarkStart w:id="40" w:name="_Toc15872"/>
      <w:bookmarkStart w:id="41" w:name="_Toc16225"/>
      <w:r>
        <w:rPr>
          <w:rFonts w:hint="eastAsia" w:ascii="仿宋_GB2312" w:eastAsia="仿宋_GB2312"/>
          <w:b w:val="0"/>
          <w:bCs w:val="0"/>
        </w:rPr>
        <w:t>1、为“三会”（人民代表大会、常委会、主任会）作好服务工作。</w:t>
      </w:r>
      <w:bookmarkEnd w:id="37"/>
      <w:bookmarkEnd w:id="38"/>
      <w:bookmarkEnd w:id="39"/>
      <w:bookmarkEnd w:id="40"/>
      <w:bookmarkEnd w:id="41"/>
    </w:p>
    <w:p>
      <w:pPr>
        <w:pStyle w:val="3"/>
        <w:spacing w:before="0" w:after="0" w:line="240" w:lineRule="auto"/>
        <w:ind w:firstLine="640" w:firstLineChars="200"/>
        <w:rPr>
          <w:rFonts w:ascii="仿宋_GB2312" w:eastAsia="仿宋_GB2312"/>
          <w:b w:val="0"/>
          <w:bCs w:val="0"/>
        </w:rPr>
      </w:pPr>
      <w:bookmarkStart w:id="42" w:name="_Toc3179"/>
      <w:bookmarkStart w:id="43" w:name="_Toc98838273"/>
      <w:bookmarkStart w:id="44" w:name="_Toc11046"/>
      <w:bookmarkStart w:id="45" w:name="_Toc22883"/>
      <w:bookmarkStart w:id="46" w:name="_Toc22862"/>
      <w:r>
        <w:rPr>
          <w:rFonts w:hint="eastAsia" w:ascii="仿宋_GB2312" w:eastAsia="仿宋_GB2312"/>
          <w:b w:val="0"/>
          <w:bCs w:val="0"/>
        </w:rPr>
        <w:t>2、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w:t>
      </w:r>
      <w:bookmarkEnd w:id="42"/>
      <w:bookmarkEnd w:id="43"/>
      <w:bookmarkEnd w:id="44"/>
      <w:bookmarkEnd w:id="45"/>
      <w:bookmarkEnd w:id="46"/>
    </w:p>
    <w:p>
      <w:pPr>
        <w:ind w:firstLine="640" w:firstLineChars="200"/>
        <w:rPr>
          <w:rFonts w:ascii="仿宋_GB2312" w:eastAsia="仿宋_GB2312"/>
          <w:sz w:val="32"/>
          <w:szCs w:val="32"/>
        </w:rPr>
      </w:pPr>
      <w:r>
        <w:rPr>
          <w:rFonts w:hint="eastAsia" w:ascii="仿宋_GB2312" w:eastAsia="仿宋_GB2312"/>
          <w:sz w:val="32"/>
          <w:szCs w:val="32"/>
        </w:rPr>
        <w:t>3、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w:t>
      </w:r>
    </w:p>
    <w:p>
      <w:pPr>
        <w:ind w:firstLine="640" w:firstLineChars="200"/>
        <w:rPr>
          <w:rFonts w:ascii="仿宋_GB2312" w:eastAsia="仿宋_GB2312"/>
          <w:sz w:val="32"/>
          <w:szCs w:val="32"/>
        </w:rPr>
      </w:pPr>
      <w:r>
        <w:rPr>
          <w:rFonts w:hint="eastAsia" w:ascii="仿宋_GB2312" w:eastAsia="仿宋_GB2312"/>
          <w:sz w:val="32"/>
          <w:szCs w:val="32"/>
        </w:rPr>
        <w:t>4、根据工作需要，听取县人民政府所属工作部门、县人民法院、县人民检察院的有关专题汇报，了解情况，提出建议和意见。</w:t>
      </w:r>
    </w:p>
    <w:p>
      <w:pPr>
        <w:ind w:firstLine="640" w:firstLineChars="200"/>
        <w:rPr>
          <w:rFonts w:ascii="仿宋_GB2312" w:eastAsia="仿宋_GB2312"/>
          <w:sz w:val="32"/>
          <w:szCs w:val="32"/>
        </w:rPr>
      </w:pPr>
      <w:r>
        <w:rPr>
          <w:rFonts w:hint="eastAsia" w:ascii="仿宋_GB2312" w:eastAsia="仿宋_GB2312"/>
          <w:sz w:val="32"/>
          <w:szCs w:val="32"/>
        </w:rPr>
        <w:t>5、对属于县人民代表大会及其常务委员会职权范围内的有关问题进行调查研究，向县人民代表大会主席团或常务委员会提出专题调查报告和建议。</w:t>
      </w:r>
    </w:p>
    <w:p>
      <w:pPr>
        <w:ind w:firstLine="640" w:firstLineChars="200"/>
        <w:rPr>
          <w:rFonts w:ascii="仿宋_GB2312" w:eastAsia="仿宋_GB2312"/>
          <w:sz w:val="32"/>
          <w:szCs w:val="32"/>
        </w:rPr>
      </w:pPr>
      <w:r>
        <w:rPr>
          <w:rFonts w:hint="eastAsia" w:ascii="仿宋_GB2312" w:eastAsia="仿宋_GB2312"/>
          <w:sz w:val="32"/>
          <w:szCs w:val="32"/>
        </w:rPr>
        <w:t>6、配合上级人民代表大会及其常务委员会做好立法调研和执法检查工作。对上级人民代表大会及其常务委员会发来征求意见的法律法规草案进行调查和组织有关部门、单位征求修改意见，并及时上报。</w:t>
      </w:r>
    </w:p>
    <w:p>
      <w:pPr>
        <w:ind w:firstLine="640" w:firstLineChars="200"/>
        <w:rPr>
          <w:rFonts w:ascii="仿宋_GB2312" w:eastAsia="仿宋_GB2312"/>
          <w:sz w:val="32"/>
          <w:szCs w:val="32"/>
        </w:rPr>
      </w:pPr>
      <w:r>
        <w:rPr>
          <w:rFonts w:hint="eastAsia" w:ascii="仿宋_GB2312" w:eastAsia="仿宋_GB2312"/>
          <w:sz w:val="32"/>
          <w:szCs w:val="32"/>
        </w:rPr>
        <w:t>7、联系县人民代表大会代表，办理人民群众提出的申诉和意见，认真做好人大代表和人民群众来信来访工作。</w:t>
      </w:r>
    </w:p>
    <w:p>
      <w:pPr>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8、办理县人民代表大会及其常务委员会和主任会议交办的其他事项。</w:t>
      </w:r>
    </w:p>
    <w:p>
      <w:pPr>
        <w:pStyle w:val="3"/>
        <w:pageBreakBefore w:val="0"/>
        <w:widowControl w:val="0"/>
        <w:kinsoku/>
        <w:wordWrap/>
        <w:overflowPunct/>
        <w:topLinePunct w:val="0"/>
        <w:autoSpaceDE/>
        <w:autoSpaceDN/>
        <w:bidi w:val="0"/>
        <w:adjustRightInd/>
        <w:spacing w:before="0" w:after="0" w:line="600" w:lineRule="exact"/>
        <w:ind w:firstLine="321" w:firstLineChars="100"/>
        <w:textAlignment w:val="auto"/>
        <w:rPr>
          <w:rFonts w:hint="eastAsia" w:ascii="楷体" w:eastAsia="楷体" w:cs="楷体"/>
          <w:bCs/>
          <w:color w:val="000000"/>
          <w:sz w:val="32"/>
          <w:szCs w:val="32"/>
        </w:rPr>
      </w:pPr>
      <w:bookmarkStart w:id="47" w:name="_Toc28227"/>
      <w:bookmarkStart w:id="48" w:name="_Toc18962"/>
      <w:bookmarkStart w:id="49" w:name="_Toc1908"/>
      <w:bookmarkStart w:id="50" w:name="_Toc27069"/>
      <w:bookmarkStart w:id="51" w:name="_Toc9486"/>
      <w:r>
        <w:rPr>
          <w:rFonts w:hint="eastAsia" w:ascii="楷体" w:eastAsia="楷体" w:cs="楷体"/>
          <w:bCs/>
          <w:color w:val="000000"/>
          <w:sz w:val="32"/>
          <w:szCs w:val="32"/>
        </w:rPr>
        <w:t>（二）</w:t>
      </w:r>
      <w:r>
        <w:rPr>
          <w:rFonts w:hint="eastAsia" w:ascii="楷体" w:eastAsia="楷体" w:cs="楷体"/>
          <w:bCs/>
          <w:color w:val="000000"/>
          <w:sz w:val="32"/>
          <w:szCs w:val="32"/>
          <w:lang w:val="en-US" w:eastAsia="zh-CN"/>
        </w:rPr>
        <w:t>2021年</w:t>
      </w:r>
      <w:r>
        <w:rPr>
          <w:rFonts w:hint="eastAsia" w:ascii="楷体" w:eastAsia="楷体" w:cs="楷体"/>
          <w:bCs/>
          <w:color w:val="000000"/>
          <w:sz w:val="32"/>
          <w:szCs w:val="32"/>
        </w:rPr>
        <w:t>重点工作完成情况</w:t>
      </w:r>
      <w:bookmarkEnd w:id="35"/>
      <w:bookmarkEnd w:id="36"/>
      <w:bookmarkEnd w:id="47"/>
      <w:bookmarkEnd w:id="48"/>
      <w:bookmarkEnd w:id="49"/>
      <w:bookmarkEnd w:id="50"/>
      <w:bookmarkEnd w:id="51"/>
    </w:p>
    <w:p>
      <w:pPr>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eastAsia="仿宋_GB2312"/>
          <w:color w:val="000000"/>
          <w:sz w:val="32"/>
          <w:szCs w:val="32"/>
        </w:rPr>
      </w:pPr>
      <w:bookmarkStart w:id="52" w:name="_Toc15396601"/>
      <w:bookmarkStart w:id="53" w:name="_Toc15377200"/>
      <w:bookmarkStart w:id="54" w:name="_Toc11460"/>
      <w:bookmarkStart w:id="55" w:name="_Toc6603"/>
      <w:bookmarkStart w:id="56" w:name="_Toc28066"/>
      <w:bookmarkStart w:id="57" w:name="_Toc14136"/>
      <w:r>
        <w:rPr>
          <w:rFonts w:hint="eastAsia" w:ascii="仿宋_GB2312" w:eastAsia="仿宋_GB2312"/>
          <w:color w:val="000000"/>
          <w:sz w:val="32"/>
          <w:szCs w:val="32"/>
        </w:rPr>
        <w:t>2021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各项目标任务，为助推金川经济社会平稳健康发展贡献了人大智慧和力量。</w:t>
      </w:r>
    </w:p>
    <w:p>
      <w:pPr>
        <w:pageBreakBefore w:val="0"/>
        <w:widowControl w:val="0"/>
        <w:kinsoku/>
        <w:wordWrap/>
        <w:overflowPunct/>
        <w:topLinePunct w:val="0"/>
        <w:autoSpaceDE/>
        <w:autoSpaceDN/>
        <w:bidi w:val="0"/>
        <w:adjustRightInd/>
        <w:spacing w:line="600" w:lineRule="exact"/>
        <w:ind w:left="0" w:firstLine="640" w:firstLineChars="200"/>
        <w:textAlignment w:val="auto"/>
        <w:rPr>
          <w:rStyle w:val="18"/>
          <w:b w:val="0"/>
          <w:bCs w:val="0"/>
        </w:rPr>
      </w:pPr>
      <w:bookmarkStart w:id="58" w:name="_Toc4454"/>
      <w:r>
        <w:rPr>
          <w:rStyle w:val="18"/>
          <w:rFonts w:hint="eastAsia" w:ascii="黑体" w:eastAsia="黑体"/>
          <w:b w:val="0"/>
          <w:bCs w:val="0"/>
        </w:rPr>
        <w:t>二、机构设置</w:t>
      </w:r>
      <w:bookmarkEnd w:id="52"/>
      <w:bookmarkEnd w:id="53"/>
    </w:p>
    <w:bookmarkEnd w:id="54"/>
    <w:bookmarkEnd w:id="55"/>
    <w:bookmarkEnd w:id="56"/>
    <w:bookmarkEnd w:id="57"/>
    <w:bookmarkEnd w:id="58"/>
    <w:p>
      <w:pPr>
        <w:pageBreakBefore w:val="0"/>
        <w:widowControl w:val="0"/>
        <w:kinsoku/>
        <w:wordWrap/>
        <w:overflowPunct/>
        <w:topLinePunct w:val="0"/>
        <w:autoSpaceDE/>
        <w:autoSpaceDN/>
        <w:bidi w:val="0"/>
        <w:adjustRightInd/>
        <w:snapToGrid w:val="0"/>
        <w:spacing w:line="600" w:lineRule="exact"/>
        <w:ind w:firstLine="604"/>
        <w:textAlignment w:val="auto"/>
        <w:rPr>
          <w:rFonts w:hint="eastAsia" w:ascii="仿宋_GB2312" w:eastAsia="仿宋_GB2312"/>
          <w:sz w:val="30"/>
          <w:szCs w:val="30"/>
        </w:rPr>
      </w:pPr>
      <w:bookmarkStart w:id="59" w:name="_Toc15396602"/>
      <w:bookmarkStart w:id="60" w:name="_Toc15377204"/>
      <w:r>
        <w:rPr>
          <w:rFonts w:hint="eastAsia" w:ascii="仿宋_GB2312" w:eastAsia="仿宋_GB2312"/>
          <w:sz w:val="32"/>
          <w:szCs w:val="32"/>
        </w:rPr>
        <w:t>2021年独立编制单位机构数为1个。</w:t>
      </w:r>
      <w:r>
        <w:rPr>
          <w:rFonts w:hint="eastAsia" w:ascii="仿宋_GB2312" w:eastAsia="仿宋_GB2312"/>
          <w:color w:val="000000"/>
          <w:sz w:val="32"/>
          <w:szCs w:val="32"/>
        </w:rPr>
        <w:t>截止2021年末，单位实有人数35人，</w:t>
      </w:r>
      <w:r>
        <w:rPr>
          <w:rFonts w:hint="eastAsia" w:ascii="仿宋_GB2312" w:eastAsia="仿宋_GB2312"/>
          <w:sz w:val="32"/>
          <w:szCs w:val="32"/>
        </w:rPr>
        <w:t>其中：在职34人</w:t>
      </w:r>
      <w:r>
        <w:rPr>
          <w:rFonts w:hint="eastAsia" w:ascii="仿宋_GB2312" w:eastAsia="仿宋_GB2312"/>
          <w:color w:val="000000"/>
          <w:sz w:val="32"/>
          <w:szCs w:val="32"/>
        </w:rPr>
        <w:t>（公务员28人、事业人员1人、行政工勤5人）</w:t>
      </w:r>
      <w:r>
        <w:rPr>
          <w:rFonts w:hint="eastAsia" w:ascii="仿宋_GB2312" w:eastAsia="仿宋_GB2312"/>
          <w:sz w:val="32"/>
          <w:szCs w:val="32"/>
        </w:rPr>
        <w:t>，离休1人，遗属4人。</w:t>
      </w:r>
      <w:r>
        <w:rPr>
          <w:rFonts w:hint="eastAsia" w:ascii="仿宋_GB2312" w:eastAsia="仿宋_GB2312"/>
          <w:color w:val="000000"/>
          <w:sz w:val="32"/>
          <w:szCs w:val="32"/>
        </w:rPr>
        <w:t>退休人员工资继续由社保部门发放。</w:t>
      </w:r>
    </w:p>
    <w:p>
      <w:pPr>
        <w:pageBreakBefore w:val="0"/>
        <w:widowControl w:val="0"/>
        <w:kinsoku/>
        <w:wordWrap/>
        <w:overflowPunct/>
        <w:topLinePunct w:val="0"/>
        <w:autoSpaceDE/>
        <w:autoSpaceDN/>
        <w:bidi w:val="0"/>
        <w:adjustRightInd/>
        <w:snapToGrid w:val="0"/>
        <w:spacing w:line="600" w:lineRule="exact"/>
        <w:ind w:firstLine="604"/>
        <w:textAlignment w:val="auto"/>
        <w:rPr>
          <w:rFonts w:hint="eastAsia" w:ascii="仿宋_GB2312" w:eastAsia="仿宋_GB2312"/>
          <w:sz w:val="30"/>
          <w:szCs w:val="30"/>
        </w:rPr>
      </w:pPr>
    </w:p>
    <w:p>
      <w:pPr>
        <w:snapToGrid w:val="0"/>
        <w:spacing w:line="360" w:lineRule="auto"/>
        <w:rPr>
          <w:rFonts w:hint="eastAsia" w:ascii="仿宋_GB2312" w:eastAsia="仿宋_GB2312"/>
          <w:sz w:val="30"/>
          <w:szCs w:val="30"/>
        </w:rPr>
      </w:pPr>
    </w:p>
    <w:p>
      <w:pPr>
        <w:pStyle w:val="2"/>
        <w:ind w:right="440"/>
        <w:jc w:val="right"/>
      </w:pPr>
      <w:bookmarkStart w:id="61" w:name="_Toc29443"/>
      <w:bookmarkStart w:id="62" w:name="_Toc27838"/>
      <w:bookmarkStart w:id="63" w:name="_Toc1049"/>
      <w:bookmarkStart w:id="64" w:name="_Toc26137"/>
      <w:bookmarkStart w:id="65" w:name="_Toc5585"/>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lang w:val="en-US"/>
        </w:rPr>
        <w:t>2021年</w:t>
      </w:r>
      <w:r>
        <w:rPr>
          <w:rStyle w:val="17"/>
          <w:rFonts w:hint="eastAsia" w:ascii="黑体" w:eastAsia="黑体"/>
          <w:b w:val="0"/>
          <w:bCs w:val="0"/>
        </w:rPr>
        <w:t>度部门决算情况说明</w:t>
      </w:r>
      <w:bookmarkEnd w:id="59"/>
      <w:bookmarkEnd w:id="60"/>
      <w:bookmarkEnd w:id="61"/>
      <w:bookmarkEnd w:id="62"/>
      <w:bookmarkEnd w:id="63"/>
      <w:bookmarkEnd w:id="64"/>
      <w:bookmarkEnd w:id="65"/>
    </w:p>
    <w:p>
      <w:pPr>
        <w:pStyle w:val="23"/>
        <w:numPr>
          <w:ilvl w:val="0"/>
          <w:numId w:val="0"/>
        </w:numPr>
        <w:spacing w:line="240" w:lineRule="auto"/>
        <w:ind w:leftChars="0"/>
        <w:outlineLvl w:val="1"/>
        <w:rPr>
          <w:rStyle w:val="18"/>
          <w:rFonts w:ascii="黑体" w:eastAsia="黑体"/>
          <w:b w:val="0"/>
        </w:rPr>
      </w:pPr>
      <w:bookmarkStart w:id="66" w:name="_Toc15377205"/>
      <w:bookmarkStart w:id="67" w:name="_Toc15396603"/>
      <w:r>
        <w:rPr>
          <w:rFonts w:hint="eastAsia" w:ascii="黑体" w:eastAsia="黑体"/>
          <w:color w:val="000000"/>
          <w:sz w:val="32"/>
          <w:szCs w:val="32"/>
          <w:lang w:eastAsia="zh-CN"/>
        </w:rPr>
        <w:t>　　</w:t>
      </w:r>
      <w:bookmarkStart w:id="68" w:name="_Toc30925"/>
      <w:bookmarkStart w:id="69" w:name="_Toc6550"/>
      <w:bookmarkStart w:id="70" w:name="_Toc23404"/>
      <w:bookmarkStart w:id="71" w:name="_Toc6930"/>
      <w:bookmarkStart w:id="72" w:name="_Toc25931"/>
      <w:r>
        <w:rPr>
          <w:rStyle w:val="18"/>
          <w:rFonts w:hint="eastAsia" w:ascii="黑体" w:eastAsia="黑体"/>
          <w:b w:val="0"/>
          <w:lang w:eastAsia="zh-CN"/>
        </w:rPr>
        <w:t>一、</w:t>
      </w:r>
      <w:r>
        <w:rPr>
          <w:rStyle w:val="18"/>
          <w:rFonts w:hint="eastAsia" w:ascii="黑体" w:eastAsia="黑体"/>
          <w:b w:val="0"/>
        </w:rPr>
        <w:t>收入支出决算总体情况说明</w:t>
      </w:r>
      <w:bookmarkEnd w:id="66"/>
      <w:bookmarkEnd w:id="67"/>
      <w:bookmarkEnd w:id="68"/>
    </w:p>
    <w:bookmarkEnd w:id="69"/>
    <w:bookmarkEnd w:id="70"/>
    <w:bookmarkEnd w:id="71"/>
    <w:bookmarkEnd w:id="72"/>
    <w:p>
      <w:pPr>
        <w:snapToGrid w:val="0"/>
        <w:spacing w:line="520" w:lineRule="exact"/>
        <w:ind w:firstLine="632" w:firstLineChars="200"/>
        <w:rPr>
          <w:rFonts w:ascii="仿宋_GB2312" w:eastAsia="仿宋_GB2312"/>
          <w:color w:val="000000"/>
          <w:spacing w:val="-2"/>
          <w:sz w:val="32"/>
          <w:szCs w:val="32"/>
        </w:rPr>
      </w:pPr>
      <w:bookmarkStart w:id="73" w:name="_Toc15396604"/>
      <w:bookmarkStart w:id="74" w:name="_Toc15377206"/>
      <w:bookmarkStart w:id="75" w:name="_Toc22529"/>
      <w:bookmarkStart w:id="76" w:name="_Toc9817"/>
      <w:bookmarkStart w:id="77" w:name="_Toc10892"/>
      <w:r>
        <w:rPr>
          <w:rFonts w:hint="eastAsia" w:ascii="仿宋_GB2312" w:eastAsia="仿宋_GB2312"/>
          <w:color w:val="000000"/>
          <w:spacing w:val="-2"/>
          <w:sz w:val="32"/>
          <w:szCs w:val="32"/>
        </w:rPr>
        <w:t>2021年度总收入1117.58万元，</w:t>
      </w:r>
      <w:r>
        <w:rPr>
          <w:rFonts w:hint="eastAsia" w:ascii="仿宋_GB2312" w:eastAsia="仿宋_GB2312"/>
          <w:spacing w:val="-2"/>
          <w:sz w:val="32"/>
          <w:szCs w:val="32"/>
        </w:rPr>
        <w:t>较上年收入增加180.89万元，增加19.31</w:t>
      </w:r>
      <w:r>
        <w:rPr>
          <w:rFonts w:hint="eastAsia" w:ascii="仿宋_GB2312" w:eastAsia="仿宋_GB2312"/>
          <w:color w:val="000000"/>
          <w:spacing w:val="-2"/>
          <w:sz w:val="32"/>
          <w:szCs w:val="32"/>
        </w:rPr>
        <w:t>%。增加的主要原因是2021年换届选举及乡镇人大工作经费增加。</w:t>
      </w:r>
    </w:p>
    <w:p>
      <w:pPr>
        <w:snapToGrid w:val="0"/>
        <w:spacing w:line="520" w:lineRule="exact"/>
        <w:ind w:firstLine="632" w:firstLineChars="200"/>
        <w:rPr>
          <w:rFonts w:ascii="仿宋" w:eastAsia="仿宋"/>
          <w:color w:val="FF0000"/>
          <w:sz w:val="32"/>
          <w:szCs w:val="32"/>
        </w:rPr>
      </w:pPr>
      <w:r>
        <w:rPr>
          <w:rFonts w:hint="eastAsia" w:ascii="仿宋_GB2312" w:eastAsia="仿宋_GB2312"/>
          <w:spacing w:val="-2"/>
          <w:sz w:val="32"/>
          <w:szCs w:val="32"/>
        </w:rPr>
        <w:t>2021年总支出1117.58万元，较上年支出增加180.89万元，增加19.31</w:t>
      </w:r>
      <w:r>
        <w:rPr>
          <w:rFonts w:hint="eastAsia" w:ascii="仿宋_GB2312" w:eastAsia="仿宋_GB2312"/>
          <w:color w:val="000000"/>
          <w:spacing w:val="-2"/>
          <w:sz w:val="32"/>
          <w:szCs w:val="32"/>
        </w:rPr>
        <w:t>%。增加的</w:t>
      </w:r>
      <w:r>
        <w:rPr>
          <w:rFonts w:hint="eastAsia" w:ascii="仿宋_GB2312" w:eastAsia="仿宋_GB2312"/>
          <w:spacing w:val="-2"/>
          <w:sz w:val="32"/>
          <w:szCs w:val="32"/>
        </w:rPr>
        <w:t>主要原因是</w:t>
      </w:r>
      <w:r>
        <w:rPr>
          <w:rFonts w:hint="eastAsia" w:ascii="仿宋_GB2312" w:eastAsia="仿宋_GB2312"/>
          <w:color w:val="000000"/>
          <w:spacing w:val="-2"/>
          <w:sz w:val="32"/>
          <w:szCs w:val="32"/>
        </w:rPr>
        <w:t>2021年换届选举及乡镇人大工作经费增加。</w:t>
      </w:r>
    </w:p>
    <w:p>
      <w:pPr>
        <w:spacing w:line="600" w:lineRule="exact"/>
        <w:rPr>
          <w:rFonts w:ascii="黑体" w:eastAsia="黑体"/>
          <w:color w:val="000000"/>
          <w:sz w:val="32"/>
          <w:szCs w:val="32"/>
        </w:rPr>
      </w:pPr>
      <w:r>
        <w:drawing>
          <wp:anchor distT="0" distB="0" distL="114300" distR="114300" simplePos="0" relativeHeight="251659264" behindDoc="0" locked="0" layoutInCell="1" allowOverlap="1">
            <wp:simplePos x="0" y="0"/>
            <wp:positionH relativeFrom="column">
              <wp:posOffset>574675</wp:posOffset>
            </wp:positionH>
            <wp:positionV relativeFrom="paragraph">
              <wp:posOffset>72390</wp:posOffset>
            </wp:positionV>
            <wp:extent cx="3985895" cy="2870200"/>
            <wp:effectExtent l="4445" t="4445" r="10160" b="2095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640" w:firstLineChars="200"/>
        <w:rPr>
          <w:rStyle w:val="18"/>
          <w:rFonts w:hint="eastAsia" w:ascii="黑体" w:eastAsia="黑体"/>
          <w:b w:val="0"/>
          <w:lang w:val="en-US" w:eastAsia="zh-CN"/>
        </w:rPr>
      </w:pPr>
      <w:bookmarkStart w:id="78" w:name="_Toc32710"/>
    </w:p>
    <w:bookmarkEnd w:id="78"/>
    <w:p>
      <w:pPr>
        <w:spacing w:line="600" w:lineRule="exact"/>
        <w:rPr>
          <w:rStyle w:val="18"/>
          <w:rFonts w:hint="eastAsia" w:ascii="黑体" w:eastAsia="黑体"/>
          <w:b w:val="0"/>
          <w:lang w:val="en-US" w:eastAsia="zh-CN"/>
        </w:rPr>
      </w:pPr>
    </w:p>
    <w:p>
      <w:pPr>
        <w:spacing w:line="600" w:lineRule="exact"/>
        <w:ind w:firstLine="640" w:firstLineChars="200"/>
        <w:rPr>
          <w:rStyle w:val="18"/>
          <w:rFonts w:hint="eastAsia" w:ascii="黑体" w:eastAsia="黑体"/>
          <w:b w:val="0"/>
          <w:lang w:val="en-US" w:eastAsia="zh-CN"/>
        </w:rPr>
      </w:pPr>
    </w:p>
    <w:p>
      <w:pPr>
        <w:spacing w:line="600" w:lineRule="exact"/>
        <w:ind w:firstLine="640" w:firstLineChars="200"/>
        <w:rPr>
          <w:rStyle w:val="18"/>
          <w:rFonts w:ascii="黑体" w:eastAsia="黑体"/>
          <w:b w:val="0"/>
        </w:rPr>
      </w:pPr>
      <w:bookmarkStart w:id="79" w:name="_Toc31756"/>
      <w:bookmarkStart w:id="80" w:name="_Toc13276"/>
      <w:r>
        <w:rPr>
          <w:rStyle w:val="18"/>
          <w:rFonts w:hint="eastAsia" w:ascii="黑体" w:eastAsia="黑体"/>
          <w:b w:val="0"/>
          <w:lang w:val="en-US" w:eastAsia="zh-CN"/>
        </w:rPr>
        <w:t>二、收入决</w:t>
      </w:r>
      <w:r>
        <w:rPr>
          <w:rStyle w:val="18"/>
          <w:rFonts w:hint="eastAsia" w:ascii="黑体" w:eastAsia="黑体"/>
          <w:b w:val="0"/>
        </w:rPr>
        <w:t>算情况说明</w:t>
      </w:r>
      <w:bookmarkEnd w:id="73"/>
      <w:bookmarkEnd w:id="74"/>
    </w:p>
    <w:bookmarkEnd w:id="75"/>
    <w:bookmarkEnd w:id="76"/>
    <w:bookmarkEnd w:id="77"/>
    <w:bookmarkEnd w:id="79"/>
    <w:bookmarkEnd w:id="80"/>
    <w:p>
      <w:pPr>
        <w:spacing w:line="600" w:lineRule="exact"/>
        <w:ind w:firstLine="960" w:firstLineChars="300"/>
        <w:outlineLvl w:val="1"/>
        <w:rPr>
          <w:rFonts w:ascii="仿宋" w:eastAsia="仿宋"/>
          <w:color w:val="000000"/>
          <w:sz w:val="32"/>
          <w:szCs w:val="32"/>
        </w:rPr>
      </w:pPr>
      <w:bookmarkStart w:id="81" w:name="_Toc15377207"/>
      <w:bookmarkStart w:id="82" w:name="_Toc15396605"/>
      <w:bookmarkStart w:id="83" w:name="_Toc5227"/>
      <w:bookmarkStart w:id="84" w:name="_Toc25926"/>
      <w:bookmarkStart w:id="85" w:name="_Toc30988"/>
      <w:r>
        <w:rPr>
          <w:rFonts w:hint="eastAsia" w:ascii="仿宋" w:eastAsia="仿宋"/>
          <w:color w:val="000000"/>
          <w:sz w:val="32"/>
          <w:szCs w:val="32"/>
        </w:rPr>
        <w:t>2021年总收入1117.58万元，其中：一般公共预算财政拨款收入1117.58万元，占100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420" w:firstLineChars="200"/>
        <w:outlineLvl w:val="1"/>
        <w:rPr>
          <w:rFonts w:ascii="黑体" w:eastAsia="黑体"/>
          <w:color w:val="000000"/>
          <w:sz w:val="32"/>
          <w:szCs w:val="32"/>
        </w:rPr>
      </w:pPr>
      <w:r>
        <w:drawing>
          <wp:anchor distT="0" distB="0" distL="114300" distR="114300" simplePos="0" relativeHeight="251660288" behindDoc="0" locked="0" layoutInCell="1" allowOverlap="1">
            <wp:simplePos x="0" y="0"/>
            <wp:positionH relativeFrom="column">
              <wp:posOffset>390525</wp:posOffset>
            </wp:positionH>
            <wp:positionV relativeFrom="paragraph">
              <wp:posOffset>219075</wp:posOffset>
            </wp:positionV>
            <wp:extent cx="4316095" cy="2766060"/>
            <wp:effectExtent l="4445" t="4445" r="22860" b="1079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420" w:firstLineChars="200"/>
        <w:outlineLvl w:val="1"/>
      </w:pPr>
    </w:p>
    <w:p>
      <w:pPr>
        <w:spacing w:line="600" w:lineRule="exact"/>
        <w:ind w:firstLine="420" w:firstLineChars="200"/>
        <w:outlineLvl w:val="1"/>
      </w:pPr>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三、支出决</w:t>
      </w:r>
      <w:r>
        <w:rPr>
          <w:rStyle w:val="25"/>
          <w:rFonts w:hint="eastAsia" w:ascii="黑体" w:eastAsia="黑体"/>
          <w:b w:val="0"/>
        </w:rPr>
        <w:t>算情况说明</w:t>
      </w: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lang w:val="en-US" w:eastAsia="zh-CN"/>
        </w:rPr>
      </w:pPr>
    </w:p>
    <w:p>
      <w:pPr>
        <w:spacing w:line="600" w:lineRule="exact"/>
        <w:outlineLvl w:val="1"/>
        <w:rPr>
          <w:rStyle w:val="18"/>
          <w:rFonts w:hint="eastAsia" w:ascii="黑体" w:eastAsia="黑体"/>
          <w:b w:val="0"/>
          <w:lang w:val="en-US" w:eastAsia="zh-CN"/>
        </w:rPr>
      </w:pPr>
    </w:p>
    <w:p>
      <w:pPr>
        <w:spacing w:line="600" w:lineRule="exact"/>
        <w:ind w:firstLine="640" w:firstLineChars="200"/>
        <w:outlineLvl w:val="1"/>
        <w:rPr>
          <w:rStyle w:val="18"/>
          <w:rFonts w:hint="eastAsia" w:ascii="黑体" w:eastAsia="黑体"/>
          <w:b w:val="0"/>
        </w:rPr>
      </w:pPr>
      <w:bookmarkStart w:id="86" w:name="_Toc24478"/>
      <w:bookmarkStart w:id="87" w:name="_Toc22429"/>
      <w:r>
        <w:rPr>
          <w:rStyle w:val="18"/>
          <w:rFonts w:hint="eastAsia" w:ascii="黑体" w:eastAsia="黑体"/>
          <w:b w:val="0"/>
          <w:lang w:val="en-US" w:eastAsia="zh-CN"/>
        </w:rPr>
        <w:t>三、支出决</w:t>
      </w:r>
      <w:r>
        <w:rPr>
          <w:rStyle w:val="18"/>
          <w:rFonts w:hint="eastAsia" w:ascii="黑体" w:eastAsia="黑体"/>
          <w:b w:val="0"/>
        </w:rPr>
        <w:t>算情况说明</w:t>
      </w:r>
      <w:bookmarkEnd w:id="81"/>
      <w:bookmarkEnd w:id="82"/>
      <w:bookmarkEnd w:id="86"/>
    </w:p>
    <w:bookmarkEnd w:id="83"/>
    <w:bookmarkEnd w:id="84"/>
    <w:bookmarkEnd w:id="85"/>
    <w:bookmarkEnd w:id="87"/>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2021年本年总支出1117.58万元，其中：基本支出874.3万元，</w:t>
      </w:r>
      <w:r>
        <w:rPr>
          <w:rFonts w:hint="eastAsia" w:ascii="仿宋" w:eastAsia="仿宋"/>
          <w:sz w:val="32"/>
          <w:szCs w:val="32"/>
        </w:rPr>
        <w:t>占78.23%；项目支出243.28万元，占21.77%</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61312" behindDoc="0" locked="0" layoutInCell="1" allowOverlap="1">
            <wp:simplePos x="0" y="0"/>
            <wp:positionH relativeFrom="column">
              <wp:posOffset>352425</wp:posOffset>
            </wp:positionH>
            <wp:positionV relativeFrom="paragraph">
              <wp:posOffset>-323850</wp:posOffset>
            </wp:positionV>
            <wp:extent cx="4229735" cy="2715260"/>
            <wp:effectExtent l="4445" t="5080" r="13970" b="2286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18"/>
          <w:rFonts w:hint="eastAsia" w:ascii="黑体" w:eastAsia="黑体"/>
          <w:b w:val="0"/>
        </w:rPr>
      </w:pPr>
      <w:bookmarkStart w:id="88" w:name="_Toc15377208"/>
      <w:bookmarkStart w:id="89" w:name="_Toc21662"/>
      <w:bookmarkStart w:id="90" w:name="_Toc15396606"/>
      <w:bookmarkStart w:id="91" w:name="_Toc10840"/>
      <w:bookmarkStart w:id="92" w:name="_Toc26287"/>
      <w:bookmarkStart w:id="93" w:name="_Toc5847"/>
    </w:p>
    <w:p>
      <w:pPr>
        <w:spacing w:line="600" w:lineRule="exact"/>
        <w:ind w:firstLine="640" w:firstLineChars="200"/>
        <w:outlineLvl w:val="1"/>
        <w:rPr>
          <w:rStyle w:val="18"/>
          <w:rFonts w:hint="eastAsia" w:ascii="黑体" w:eastAsia="黑体"/>
          <w:b w:val="0"/>
        </w:rPr>
      </w:pPr>
    </w:p>
    <w:p>
      <w:pPr>
        <w:spacing w:line="600" w:lineRule="exact"/>
        <w:ind w:firstLine="640" w:firstLineChars="200"/>
        <w:outlineLvl w:val="1"/>
        <w:rPr>
          <w:rStyle w:val="18"/>
          <w:rFonts w:ascii="黑体" w:eastAsia="黑体"/>
          <w:b w:val="0"/>
        </w:rPr>
      </w:pPr>
      <w:bookmarkStart w:id="94" w:name="_Toc10926"/>
      <w:r>
        <w:rPr>
          <w:rStyle w:val="18"/>
          <w:rFonts w:hint="eastAsia" w:ascii="黑体" w:eastAsia="黑体"/>
          <w:b w:val="0"/>
        </w:rPr>
        <w:t>四、财政拨款收入支出决算总体情况说明</w:t>
      </w:r>
      <w:bookmarkEnd w:id="88"/>
      <w:bookmarkEnd w:id="89"/>
      <w:bookmarkEnd w:id="90"/>
    </w:p>
    <w:bookmarkEnd w:id="91"/>
    <w:bookmarkEnd w:id="92"/>
    <w:bookmarkEnd w:id="93"/>
    <w:bookmarkEnd w:id="94"/>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2021年财政拨款收入1117.58万元。与2020年相比，一般公共预算财政拨款收入较上年增加180.89万元，增加</w:t>
      </w:r>
      <w:r>
        <w:rPr>
          <w:rFonts w:hint="eastAsia" w:ascii="仿宋" w:eastAsia="仿宋"/>
          <w:sz w:val="32"/>
          <w:szCs w:val="32"/>
        </w:rPr>
        <w:t>19.31</w:t>
      </w:r>
      <w:r>
        <w:rPr>
          <w:rFonts w:hint="eastAsia" w:ascii="仿宋" w:eastAsia="仿宋"/>
          <w:color w:val="000000"/>
          <w:sz w:val="32"/>
          <w:szCs w:val="32"/>
        </w:rPr>
        <w:t>%。增加的主要原因是2021年换届选举及乡镇人大工作经费增加。</w:t>
      </w:r>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2021年财政拨款支出1117.58万元，</w:t>
      </w:r>
      <w:r>
        <w:rPr>
          <w:rFonts w:hint="eastAsia" w:ascii="仿宋" w:eastAsia="仿宋"/>
          <w:sz w:val="32"/>
          <w:szCs w:val="32"/>
        </w:rPr>
        <w:t>较上年支出增加180.89万元，增加19.31%</w:t>
      </w:r>
      <w:r>
        <w:rPr>
          <w:rFonts w:hint="eastAsia" w:ascii="仿宋_GB2312" w:eastAsia="仿宋_GB2312"/>
          <w:spacing w:val="-2"/>
          <w:sz w:val="32"/>
          <w:szCs w:val="32"/>
        </w:rPr>
        <w:t>。</w:t>
      </w:r>
    </w:p>
    <w:p>
      <w:pPr>
        <w:snapToGrid w:val="0"/>
        <w:spacing w:line="520" w:lineRule="exact"/>
        <w:ind w:firstLine="640" w:firstLineChars="200"/>
        <w:rPr>
          <w:rFonts w:ascii="仿宋" w:eastAsia="仿宋"/>
          <w:color w:val="FF0000"/>
          <w:sz w:val="32"/>
          <w:szCs w:val="32"/>
          <w:lang w:val="en-US" w:eastAsia="zh-CN"/>
        </w:rPr>
      </w:pPr>
    </w:p>
    <w:p>
      <w:pPr>
        <w:spacing w:line="600" w:lineRule="exact"/>
        <w:ind w:firstLine="420" w:firstLineChars="200"/>
        <w:rPr>
          <w:rStyle w:val="18"/>
          <w:rFonts w:hint="eastAsia" w:ascii="黑体" w:eastAsia="黑体"/>
          <w:b w:val="0"/>
        </w:rPr>
      </w:pPr>
      <w:bookmarkStart w:id="95" w:name="_Toc4497"/>
      <w:bookmarkStart w:id="96" w:name="_Toc15377209"/>
      <w:bookmarkStart w:id="97" w:name="_Toc15396607"/>
      <w:bookmarkStart w:id="98" w:name="_Toc29357"/>
      <w:bookmarkStart w:id="99" w:name="_Toc29867"/>
      <w:bookmarkStart w:id="100" w:name="_Toc14980"/>
      <w:r>
        <w:drawing>
          <wp:anchor distT="0" distB="0" distL="114300" distR="114300" simplePos="0" relativeHeight="251662336" behindDoc="0" locked="0" layoutInCell="1" allowOverlap="1">
            <wp:simplePos x="0" y="0"/>
            <wp:positionH relativeFrom="column">
              <wp:posOffset>-95250</wp:posOffset>
            </wp:positionH>
            <wp:positionV relativeFrom="paragraph">
              <wp:posOffset>3175</wp:posOffset>
            </wp:positionV>
            <wp:extent cx="4856480" cy="3115945"/>
            <wp:effectExtent l="4445" t="4445" r="15875" b="22860"/>
            <wp:wrapNone/>
            <wp:docPr id="7" name="图表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01" w:name="_Toc28779"/>
    </w:p>
    <w:bookmarkEnd w:id="95"/>
    <w:bookmarkEnd w:id="101"/>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p>
    <w:p>
      <w:pPr>
        <w:spacing w:line="600" w:lineRule="exact"/>
        <w:ind w:firstLine="640" w:firstLineChars="200"/>
        <w:rPr>
          <w:rStyle w:val="18"/>
          <w:rFonts w:hint="eastAsia" w:ascii="黑体" w:eastAsia="黑体"/>
          <w:b w:val="0"/>
        </w:rPr>
      </w:pPr>
      <w:bookmarkStart w:id="102" w:name="_Toc1488"/>
      <w:bookmarkStart w:id="103" w:name="_Toc13463"/>
      <w:r>
        <w:rPr>
          <w:rStyle w:val="18"/>
          <w:rFonts w:hint="eastAsia" w:ascii="黑体" w:eastAsia="黑体"/>
          <w:b w:val="0"/>
        </w:rPr>
        <w:t>五、一般公共预算财政拨款支出决算情况说明</w:t>
      </w:r>
      <w:bookmarkEnd w:id="96"/>
      <w:bookmarkEnd w:id="97"/>
    </w:p>
    <w:bookmarkEnd w:id="98"/>
    <w:bookmarkEnd w:id="99"/>
    <w:bookmarkEnd w:id="100"/>
    <w:bookmarkEnd w:id="102"/>
    <w:bookmarkEnd w:id="103"/>
    <w:p>
      <w:pPr>
        <w:spacing w:line="600" w:lineRule="exact"/>
        <w:ind w:firstLine="643" w:firstLineChars="200"/>
        <w:outlineLvl w:val="2"/>
        <w:rPr>
          <w:rFonts w:ascii="仿宋" w:eastAsia="仿宋"/>
          <w:b/>
          <w:color w:val="000000"/>
          <w:sz w:val="32"/>
          <w:szCs w:val="32"/>
        </w:rPr>
      </w:pPr>
      <w:bookmarkStart w:id="104" w:name="_Toc15377210"/>
      <w:bookmarkStart w:id="105" w:name="_Toc27391"/>
      <w:r>
        <w:rPr>
          <w:rFonts w:hint="eastAsia" w:ascii="仿宋" w:eastAsia="仿宋"/>
          <w:b/>
          <w:color w:val="000000"/>
          <w:sz w:val="32"/>
          <w:szCs w:val="32"/>
        </w:rPr>
        <w:t>（一）一般公共预算财政拨款支出决算总体情况</w:t>
      </w:r>
      <w:bookmarkEnd w:id="104"/>
      <w:bookmarkEnd w:id="105"/>
    </w:p>
    <w:p>
      <w:pPr>
        <w:snapToGrid w:val="0"/>
        <w:spacing w:line="520" w:lineRule="exact"/>
        <w:ind w:firstLine="640" w:firstLineChars="200"/>
        <w:rPr>
          <w:rFonts w:hint="eastAsia" w:ascii="仿宋_GB2312" w:eastAsia="仿宋_GB2312"/>
          <w:spacing w:val="-2"/>
          <w:kern w:val="2"/>
          <w:sz w:val="32"/>
          <w:szCs w:val="32"/>
          <w:lang w:val="en-US" w:eastAsia="zh-CN" w:bidi="ar-SA"/>
        </w:rPr>
      </w:pPr>
      <w:r>
        <w:rPr>
          <w:rFonts w:ascii="仿宋" w:eastAsia="仿宋"/>
          <w:color w:val="000000"/>
          <w:sz w:val="32"/>
          <w:szCs w:val="32"/>
        </w:rPr>
        <w:t>2021年</w:t>
      </w:r>
      <w:r>
        <w:rPr>
          <w:rFonts w:hint="eastAsia" w:ascii="仿宋" w:eastAsia="仿宋"/>
          <w:color w:val="000000"/>
          <w:sz w:val="32"/>
          <w:szCs w:val="32"/>
        </w:rPr>
        <w:t>一般公共预算财政拨款支出1117.58万元，占本年总支出的100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2020年</w:t>
      </w:r>
      <w:r>
        <w:rPr>
          <w:rFonts w:hint="eastAsia" w:ascii="仿宋" w:eastAsia="仿宋"/>
          <w:color w:val="000000"/>
          <w:sz w:val="32"/>
          <w:szCs w:val="32"/>
        </w:rPr>
        <w:t>相比，一般公共预算财政拨款支出增加180.89万元，增加19.31%。主要原因是2021年换届选举及乡镇人大工作经费增加。</w:t>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420" w:firstLineChars="200"/>
        <w:rPr>
          <w:rFonts w:hint="eastAsia" w:ascii="仿宋_GB2312" w:eastAsia="仿宋_GB2312"/>
          <w:spacing w:val="-2"/>
          <w:kern w:val="2"/>
          <w:sz w:val="32"/>
          <w:szCs w:val="32"/>
          <w:lang w:val="en-US" w:eastAsia="zh-CN" w:bidi="ar-SA"/>
        </w:rPr>
      </w:pPr>
      <w:r>
        <w:drawing>
          <wp:anchor distT="0" distB="0" distL="114300" distR="114300" simplePos="0" relativeHeight="251663360" behindDoc="0" locked="0" layoutInCell="1" allowOverlap="1">
            <wp:simplePos x="0" y="0"/>
            <wp:positionH relativeFrom="column">
              <wp:posOffset>533400</wp:posOffset>
            </wp:positionH>
            <wp:positionV relativeFrom="paragraph">
              <wp:posOffset>25400</wp:posOffset>
            </wp:positionV>
            <wp:extent cx="4020820" cy="2456815"/>
            <wp:effectExtent l="4445" t="5080" r="13335" b="1460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rPr>
          <w:rFonts w:hint="eastAsia" w:ascii="仿宋" w:eastAsia="仿宋"/>
          <w:b/>
          <w:color w:val="000000"/>
          <w:sz w:val="32"/>
          <w:szCs w:val="32"/>
        </w:rPr>
      </w:pPr>
      <w:bookmarkStart w:id="106" w:name="_Toc15377211"/>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106"/>
    </w:p>
    <w:p>
      <w:pPr>
        <w:spacing w:line="600" w:lineRule="exact"/>
        <w:ind w:firstLine="640"/>
        <w:rPr>
          <w:rFonts w:ascii="仿宋" w:eastAsia="仿宋"/>
          <w:sz w:val="32"/>
          <w:szCs w:val="32"/>
        </w:rPr>
      </w:pPr>
      <w:bookmarkStart w:id="107" w:name="_Toc15377444"/>
      <w:bookmarkStart w:id="108" w:name="_Toc15378460"/>
      <w:bookmarkStart w:id="109" w:name="_Toc15377213"/>
      <w:r>
        <w:rPr>
          <w:rFonts w:ascii="仿宋" w:eastAsia="仿宋"/>
          <w:color w:val="000000"/>
          <w:sz w:val="32"/>
          <w:szCs w:val="32"/>
        </w:rPr>
        <w:t>2021年</w:t>
      </w:r>
      <w:r>
        <w:rPr>
          <w:rFonts w:hint="eastAsia" w:ascii="仿宋" w:eastAsia="仿宋"/>
          <w:color w:val="000000"/>
          <w:sz w:val="32"/>
          <w:szCs w:val="32"/>
        </w:rPr>
        <w:t>一般公共预算财政拨款支出1117.58万元，主要用于以下方面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支出928.4万元，占83.07</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教育支出(类）</w:t>
      </w:r>
      <w:r>
        <w:rPr>
          <w:rFonts w:hint="eastAsia" w:ascii="仿宋" w:eastAsia="仿宋"/>
          <w:sz w:val="32"/>
          <w:szCs w:val="32"/>
        </w:rPr>
        <w:t>支出2.82万元</w:t>
      </w:r>
      <w:r>
        <w:rPr>
          <w:rFonts w:hint="eastAsia" w:ascii="仿宋" w:eastAsia="仿宋"/>
          <w:color w:val="000000"/>
          <w:sz w:val="32"/>
          <w:szCs w:val="32"/>
        </w:rPr>
        <w:t>，占0.25</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支出87万元，占7.79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rPr>
        <w:t>37.22万元，占3.33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 w:eastAsia="仿宋"/>
          <w:sz w:val="32"/>
          <w:szCs w:val="32"/>
        </w:rPr>
        <w:t>62.14万元，占5.56</w:t>
      </w:r>
      <w:r>
        <w:rPr>
          <w:rFonts w:ascii="仿宋" w:eastAsia="仿宋"/>
          <w:sz w:val="32"/>
          <w:szCs w:val="32"/>
        </w:rPr>
        <w:t>%</w:t>
      </w:r>
      <w:r>
        <w:rPr>
          <w:rFonts w:hint="eastAsia" w:ascii="仿宋" w:eastAsia="仿宋"/>
          <w:sz w:val="32"/>
          <w:szCs w:val="32"/>
        </w:rPr>
        <w:t>。</w:t>
      </w:r>
    </w:p>
    <w:p>
      <w:pPr>
        <w:spacing w:line="600" w:lineRule="exact"/>
        <w:ind w:firstLine="5460" w:firstLineChars="2600"/>
        <w:outlineLvl w:val="2"/>
        <w:rPr>
          <w:rFonts w:hint="eastAsia" w:ascii="仿宋" w:eastAsia="仿宋"/>
          <w:b/>
          <w:color w:val="000000"/>
          <w:sz w:val="32"/>
          <w:szCs w:val="32"/>
          <w:lang w:val="en-US" w:eastAsia="zh-CN"/>
        </w:rPr>
      </w:pPr>
      <w:r>
        <w:drawing>
          <wp:anchor distT="0" distB="0" distL="114300" distR="114300" simplePos="0" relativeHeight="251664384" behindDoc="0" locked="0" layoutInCell="1" allowOverlap="1">
            <wp:simplePos x="0" y="0"/>
            <wp:positionH relativeFrom="column">
              <wp:posOffset>409575</wp:posOffset>
            </wp:positionH>
            <wp:positionV relativeFrom="paragraph">
              <wp:posOffset>244475</wp:posOffset>
            </wp:positionV>
            <wp:extent cx="4192270" cy="2710815"/>
            <wp:effectExtent l="4445" t="4445" r="13335" b="889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numPr>
          <w:ilvl w:val="0"/>
          <w:numId w:val="1"/>
        </w:numPr>
        <w:spacing w:line="600" w:lineRule="exact"/>
        <w:ind w:firstLine="643" w:firstLineChars="200"/>
        <w:outlineLvl w:val="2"/>
        <w:rPr>
          <w:rFonts w:hint="eastAsia" w:ascii="仿宋" w:eastAsia="仿宋"/>
          <w:b/>
          <w:color w:val="000000"/>
          <w:sz w:val="32"/>
          <w:szCs w:val="32"/>
          <w:lang w:val="en-US" w:eastAsia="zh-CN"/>
        </w:rPr>
      </w:pPr>
      <w:bookmarkStart w:id="110" w:name="_Toc15377212"/>
      <w:bookmarkStart w:id="111" w:name="_Toc13152"/>
      <w:r>
        <w:rPr>
          <w:rFonts w:hint="eastAsia" w:ascii="仿宋" w:eastAsia="仿宋"/>
          <w:b/>
          <w:color w:val="000000"/>
          <w:sz w:val="32"/>
          <w:szCs w:val="32"/>
        </w:rPr>
        <w:t>一般公共预算财政拨款支出决算具体情况</w:t>
      </w:r>
      <w:bookmarkEnd w:id="110"/>
      <w:bookmarkEnd w:id="111"/>
    </w:p>
    <w:p>
      <w:pPr>
        <w:spacing w:line="600" w:lineRule="exact"/>
        <w:outlineLvl w:val="2"/>
        <w:rPr>
          <w:rFonts w:ascii="仿宋" w:eastAsia="仿宋"/>
          <w:bCs/>
          <w:sz w:val="32"/>
          <w:szCs w:val="32"/>
        </w:rPr>
      </w:pPr>
      <w:r>
        <w:rPr>
          <w:rFonts w:hint="eastAsia" w:ascii="仿宋" w:eastAsia="仿宋"/>
          <w:b w:val="0"/>
          <w:bCs/>
          <w:color w:val="000000"/>
          <w:sz w:val="32"/>
          <w:szCs w:val="32"/>
          <w:lang w:val="en-US" w:eastAsia="zh-CN"/>
        </w:rPr>
        <w:t xml:space="preserve">    </w:t>
      </w:r>
      <w:bookmarkEnd w:id="107"/>
      <w:bookmarkEnd w:id="108"/>
      <w:bookmarkEnd w:id="109"/>
      <w:bookmarkStart w:id="112" w:name="_Toc15396608"/>
      <w:bookmarkStart w:id="113" w:name="_Toc15377214"/>
      <w:r>
        <w:rPr>
          <w:rFonts w:hint="eastAsia" w:ascii="仿宋" w:eastAsia="仿宋"/>
          <w:bCs/>
          <w:color w:val="000000"/>
          <w:sz w:val="32"/>
          <w:szCs w:val="32"/>
        </w:rPr>
        <w:t>2021年一般公共预算数为</w:t>
      </w:r>
      <w:r>
        <w:rPr>
          <w:rFonts w:hint="eastAsia" w:ascii="仿宋" w:eastAsia="仿宋"/>
          <w:bCs/>
          <w:sz w:val="32"/>
          <w:szCs w:val="32"/>
        </w:rPr>
        <w:t>1117.58</w:t>
      </w:r>
      <w:r>
        <w:rPr>
          <w:rFonts w:hint="eastAsia" w:ascii="仿宋" w:eastAsia="仿宋"/>
          <w:bCs/>
          <w:color w:val="000000"/>
          <w:sz w:val="32"/>
          <w:szCs w:val="32"/>
        </w:rPr>
        <w:t>万元，支出决算数为1117.58万元，</w:t>
      </w:r>
      <w:r>
        <w:rPr>
          <w:rFonts w:hint="eastAsia" w:ascii="仿宋" w:eastAsia="仿宋"/>
          <w:bCs/>
          <w:sz w:val="32"/>
          <w:szCs w:val="32"/>
        </w:rPr>
        <w:t>完</w:t>
      </w:r>
      <w:r>
        <w:rPr>
          <w:rStyle w:val="15"/>
          <w:rFonts w:hint="eastAsia" w:ascii="仿宋" w:eastAsia="仿宋"/>
          <w:b w:val="0"/>
          <w:bCs/>
          <w:sz w:val="32"/>
          <w:szCs w:val="32"/>
        </w:rPr>
        <w:t>成预算100</w:t>
      </w:r>
      <w:r>
        <w:rPr>
          <w:rStyle w:val="15"/>
          <w:rFonts w:ascii="仿宋" w:eastAsia="仿宋"/>
          <w:b w:val="0"/>
          <w:bCs/>
          <w:sz w:val="32"/>
          <w:szCs w:val="32"/>
        </w:rPr>
        <w:t>%</w:t>
      </w:r>
      <w:r>
        <w:rPr>
          <w:rStyle w:val="15"/>
          <w:rFonts w:hint="eastAsia" w:ascii="仿宋" w:eastAsia="仿宋"/>
          <w:b w:val="0"/>
          <w:bCs/>
          <w:sz w:val="32"/>
          <w:szCs w:val="32"/>
        </w:rPr>
        <w:t>。其中：</w:t>
      </w:r>
    </w:p>
    <w:p>
      <w:pPr>
        <w:spacing w:line="600" w:lineRule="exact"/>
        <w:ind w:firstLine="643" w:firstLineChars="200"/>
        <w:rPr>
          <w:rStyle w:val="15"/>
          <w:rFonts w:ascii="仿宋" w:eastAsia="仿宋"/>
          <w:b w:val="0"/>
          <w:bCs/>
          <w:sz w:val="32"/>
          <w:szCs w:val="32"/>
        </w:rPr>
      </w:pPr>
      <w:r>
        <w:rPr>
          <w:rStyle w:val="15"/>
          <w:rFonts w:hint="eastAsia" w:ascii="仿宋" w:eastAsia="仿宋"/>
          <w:bCs/>
          <w:sz w:val="32"/>
          <w:szCs w:val="32"/>
        </w:rPr>
        <w:t>1.一般公共服务（类）人大事务（款）行政运行（项）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支出决算为687.94万元，完成预算100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Style w:val="15"/>
          <w:rFonts w:ascii="仿宋" w:eastAsia="仿宋"/>
          <w:b w:val="0"/>
          <w:bCs/>
          <w:sz w:val="32"/>
          <w:szCs w:val="32"/>
        </w:rPr>
      </w:pPr>
      <w:r>
        <w:rPr>
          <w:rStyle w:val="15"/>
          <w:rFonts w:ascii="仿宋" w:eastAsia="仿宋"/>
          <w:bCs/>
          <w:sz w:val="32"/>
          <w:szCs w:val="32"/>
        </w:rPr>
        <w:t>2.</w:t>
      </w:r>
      <w:r>
        <w:rPr>
          <w:rStyle w:val="15"/>
          <w:rFonts w:hint="eastAsia" w:ascii="仿宋" w:eastAsia="仿宋"/>
          <w:bCs/>
          <w:sz w:val="32"/>
          <w:szCs w:val="32"/>
        </w:rPr>
        <w:t>一般公共服务（类）人大事务（款）一般行政管理事务（项）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支出决算为48.41万元，完成预算100%。</w:t>
      </w:r>
    </w:p>
    <w:p>
      <w:pPr>
        <w:spacing w:line="600" w:lineRule="exact"/>
        <w:ind w:firstLine="643" w:firstLineChars="200"/>
        <w:rPr>
          <w:rStyle w:val="15"/>
          <w:rFonts w:ascii="仿宋" w:eastAsia="仿宋"/>
          <w:b w:val="0"/>
          <w:bCs/>
          <w:sz w:val="32"/>
          <w:szCs w:val="32"/>
        </w:rPr>
      </w:pPr>
      <w:r>
        <w:rPr>
          <w:rStyle w:val="15"/>
          <w:rFonts w:hint="eastAsia" w:ascii="仿宋" w:eastAsia="仿宋"/>
          <w:bCs/>
          <w:sz w:val="32"/>
          <w:szCs w:val="32"/>
        </w:rPr>
        <w:t>3</w:t>
      </w:r>
      <w:r>
        <w:rPr>
          <w:rStyle w:val="15"/>
          <w:rFonts w:ascii="仿宋" w:eastAsia="仿宋"/>
          <w:bCs/>
          <w:sz w:val="32"/>
          <w:szCs w:val="32"/>
        </w:rPr>
        <w:t>.</w:t>
      </w:r>
      <w:r>
        <w:rPr>
          <w:rStyle w:val="15"/>
          <w:rFonts w:hint="eastAsia" w:ascii="仿宋" w:eastAsia="仿宋"/>
          <w:bCs/>
          <w:sz w:val="32"/>
          <w:szCs w:val="32"/>
        </w:rPr>
        <w:t>一般公共服务（类）人大事务（款）代表工作（项）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支出决算为151.5</w:t>
      </w:r>
      <w:r>
        <w:rPr>
          <w:rStyle w:val="15"/>
          <w:rFonts w:hint="eastAsia" w:ascii="仿宋" w:eastAsia="仿宋"/>
          <w:b w:val="0"/>
          <w:bCs/>
          <w:sz w:val="32"/>
          <w:szCs w:val="32"/>
          <w:lang w:val="en-US" w:eastAsia="zh-CN"/>
        </w:rPr>
        <w:t>6</w:t>
      </w:r>
      <w:r>
        <w:rPr>
          <w:rStyle w:val="15"/>
          <w:rFonts w:hint="eastAsia" w:ascii="仿宋" w:eastAsia="仿宋"/>
          <w:b w:val="0"/>
          <w:bCs/>
          <w:sz w:val="32"/>
          <w:szCs w:val="32"/>
        </w:rPr>
        <w:t>万元，完成预算100%。</w:t>
      </w:r>
    </w:p>
    <w:p>
      <w:pPr>
        <w:spacing w:line="600" w:lineRule="exact"/>
        <w:ind w:firstLine="643" w:firstLineChars="200"/>
        <w:rPr>
          <w:rStyle w:val="15"/>
          <w:rFonts w:ascii="仿宋" w:eastAsia="仿宋"/>
          <w:b w:val="0"/>
          <w:bCs/>
          <w:sz w:val="32"/>
          <w:szCs w:val="32"/>
        </w:rPr>
      </w:pPr>
      <w:r>
        <w:rPr>
          <w:rStyle w:val="15"/>
          <w:rFonts w:hint="eastAsia" w:ascii="仿宋" w:eastAsia="仿宋"/>
          <w:bCs/>
          <w:sz w:val="32"/>
          <w:szCs w:val="32"/>
        </w:rPr>
        <w:t>4</w:t>
      </w:r>
      <w:r>
        <w:rPr>
          <w:rStyle w:val="15"/>
          <w:rFonts w:ascii="仿宋" w:eastAsia="仿宋"/>
          <w:bCs/>
          <w:sz w:val="32"/>
          <w:szCs w:val="32"/>
        </w:rPr>
        <w:t>.</w:t>
      </w:r>
      <w:r>
        <w:rPr>
          <w:rStyle w:val="15"/>
          <w:rFonts w:hint="eastAsia" w:ascii="仿宋" w:eastAsia="仿宋"/>
          <w:bCs/>
          <w:sz w:val="32"/>
          <w:szCs w:val="32"/>
        </w:rPr>
        <w:t>一般公共服务（类）人大事务（款）其他人大事务支出（项）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支出决算为40.49万元，完成预算100%。</w:t>
      </w:r>
    </w:p>
    <w:p>
      <w:pPr>
        <w:spacing w:line="600" w:lineRule="exact"/>
        <w:ind w:firstLine="643" w:firstLineChars="200"/>
        <w:rPr>
          <w:rStyle w:val="15"/>
          <w:rFonts w:ascii="仿宋" w:eastAsia="仿宋"/>
          <w:bCs/>
          <w:sz w:val="32"/>
          <w:szCs w:val="32"/>
        </w:rPr>
      </w:pPr>
      <w:r>
        <w:rPr>
          <w:rStyle w:val="15"/>
          <w:rFonts w:hint="eastAsia" w:ascii="仿宋" w:eastAsia="仿宋"/>
          <w:bCs/>
          <w:sz w:val="32"/>
          <w:szCs w:val="32"/>
        </w:rPr>
        <w:t>5.教育支出（类）进修及培训（款）培训支出（项）：</w:t>
      </w:r>
      <w:r>
        <w:rPr>
          <w:rStyle w:val="15"/>
          <w:rFonts w:hint="eastAsia" w:ascii="仿宋" w:eastAsia="仿宋"/>
          <w:b w:val="0"/>
          <w:bCs/>
          <w:sz w:val="32"/>
          <w:szCs w:val="32"/>
        </w:rPr>
        <w:t>支出决算为2.82万元，完成预算100%。</w:t>
      </w:r>
    </w:p>
    <w:p>
      <w:pPr>
        <w:spacing w:line="600" w:lineRule="exact"/>
        <w:ind w:firstLine="643" w:firstLineChars="200"/>
        <w:rPr>
          <w:rFonts w:ascii="仿宋" w:eastAsia="仿宋"/>
          <w:b/>
          <w:sz w:val="32"/>
          <w:szCs w:val="32"/>
        </w:rPr>
      </w:pPr>
      <w:r>
        <w:rPr>
          <w:rStyle w:val="15"/>
          <w:rFonts w:hint="eastAsia" w:ascii="仿宋" w:eastAsia="仿宋"/>
          <w:bCs/>
          <w:sz w:val="32"/>
          <w:szCs w:val="32"/>
        </w:rPr>
        <w:t>6.社会保障和就业（类）行政事业单位养老支出（款）机关事业单位基本养老保险缴费支出（项）</w:t>
      </w:r>
      <w:r>
        <w:rPr>
          <w:rStyle w:val="15"/>
          <w:rFonts w:ascii="仿宋" w:eastAsia="仿宋"/>
          <w:bCs/>
          <w:sz w:val="32"/>
          <w:szCs w:val="32"/>
        </w:rPr>
        <w:t>:</w:t>
      </w:r>
      <w:r>
        <w:rPr>
          <w:rStyle w:val="15"/>
          <w:rFonts w:ascii="仿宋" w:eastAsia="仿宋"/>
          <w:b w:val="0"/>
          <w:bCs/>
          <w:sz w:val="32"/>
          <w:szCs w:val="32"/>
        </w:rPr>
        <w:t xml:space="preserve"> </w:t>
      </w:r>
      <w:r>
        <w:rPr>
          <w:rStyle w:val="15"/>
          <w:rFonts w:hint="eastAsia" w:ascii="仿宋" w:eastAsia="仿宋"/>
          <w:b w:val="0"/>
          <w:bCs/>
          <w:sz w:val="32"/>
          <w:szCs w:val="32"/>
        </w:rPr>
        <w:t>支出决算为58万元，完成预算100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Style w:val="15"/>
          <w:rFonts w:ascii="仿宋" w:eastAsia="仿宋"/>
          <w:b w:val="0"/>
          <w:bCs/>
          <w:sz w:val="32"/>
          <w:szCs w:val="32"/>
        </w:rPr>
      </w:pPr>
      <w:r>
        <w:rPr>
          <w:rStyle w:val="15"/>
          <w:rFonts w:hint="eastAsia" w:ascii="仿宋" w:eastAsia="仿宋"/>
          <w:bCs/>
          <w:sz w:val="32"/>
          <w:szCs w:val="32"/>
        </w:rPr>
        <w:t>7</w:t>
      </w:r>
      <w:r>
        <w:rPr>
          <w:rStyle w:val="15"/>
          <w:rFonts w:ascii="仿宋" w:eastAsia="仿宋"/>
          <w:bCs/>
          <w:sz w:val="32"/>
          <w:szCs w:val="32"/>
        </w:rPr>
        <w:t>.</w:t>
      </w:r>
      <w:r>
        <w:rPr>
          <w:rStyle w:val="15"/>
          <w:rFonts w:hint="eastAsia" w:ascii="仿宋" w:eastAsia="仿宋"/>
          <w:bCs/>
          <w:sz w:val="32"/>
          <w:szCs w:val="32"/>
        </w:rPr>
        <w:t>社会保障和就业（类）行政事业单位养老支出（款）机关事业单位基本职业年金缴费支出（项）</w:t>
      </w:r>
      <w:r>
        <w:rPr>
          <w:rStyle w:val="15"/>
          <w:rFonts w:ascii="仿宋" w:eastAsia="仿宋"/>
          <w:bCs/>
          <w:sz w:val="32"/>
          <w:szCs w:val="32"/>
        </w:rPr>
        <w:t>:</w:t>
      </w:r>
      <w:r>
        <w:rPr>
          <w:rStyle w:val="15"/>
          <w:rFonts w:hint="eastAsia" w:ascii="仿宋" w:eastAsia="仿宋"/>
          <w:b w:val="0"/>
          <w:bCs/>
          <w:sz w:val="32"/>
          <w:szCs w:val="32"/>
        </w:rPr>
        <w:t>支出决算为29万元，完成预算100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sz w:val="32"/>
          <w:szCs w:val="32"/>
        </w:rPr>
      </w:pPr>
      <w:r>
        <w:rPr>
          <w:rStyle w:val="15"/>
          <w:rFonts w:hint="eastAsia" w:ascii="仿宋" w:eastAsia="仿宋"/>
          <w:bCs/>
          <w:sz w:val="32"/>
          <w:szCs w:val="32"/>
        </w:rPr>
        <w:t>8</w:t>
      </w:r>
      <w:r>
        <w:rPr>
          <w:rStyle w:val="15"/>
          <w:rFonts w:ascii="仿宋" w:eastAsia="仿宋"/>
          <w:bCs/>
          <w:sz w:val="32"/>
          <w:szCs w:val="32"/>
        </w:rPr>
        <w:t>.</w:t>
      </w:r>
      <w:r>
        <w:rPr>
          <w:rStyle w:val="15"/>
          <w:rFonts w:hint="eastAsia" w:ascii="仿宋" w:eastAsia="仿宋"/>
          <w:bCs/>
          <w:sz w:val="32"/>
          <w:szCs w:val="32"/>
        </w:rPr>
        <w:t>卫生健康支出（类）行政事业单位医疗（款）行政单位医疗（项）</w:t>
      </w:r>
      <w:r>
        <w:rPr>
          <w:rStyle w:val="15"/>
          <w:rFonts w:ascii="仿宋" w:eastAsia="仿宋"/>
          <w:bCs/>
          <w:sz w:val="32"/>
          <w:szCs w:val="32"/>
        </w:rPr>
        <w:t>:</w:t>
      </w:r>
      <w:r>
        <w:rPr>
          <w:rStyle w:val="15"/>
          <w:rFonts w:hint="eastAsia" w:ascii="仿宋" w:eastAsia="仿宋"/>
          <w:b w:val="0"/>
          <w:bCs/>
          <w:sz w:val="32"/>
          <w:szCs w:val="32"/>
        </w:rPr>
        <w:t>支出决算为25.67万元，完成预算100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Fonts w:ascii="仿宋" w:eastAsia="仿宋"/>
          <w:color w:val="FF0000"/>
          <w:sz w:val="32"/>
          <w:szCs w:val="32"/>
        </w:rPr>
      </w:pPr>
      <w:r>
        <w:rPr>
          <w:rStyle w:val="15"/>
          <w:rFonts w:hint="eastAsia" w:ascii="仿宋" w:eastAsia="仿宋"/>
          <w:bCs/>
          <w:color w:val="000000"/>
          <w:sz w:val="32"/>
          <w:szCs w:val="32"/>
        </w:rPr>
        <w:t>9.卫生健康支出（类）行政事业单位医疗（款）公务员医疗补助（项）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支出决算为11.54万元，</w:t>
      </w:r>
      <w:r>
        <w:rPr>
          <w:rStyle w:val="15"/>
          <w:rFonts w:hint="eastAsia" w:ascii="仿宋" w:eastAsia="仿宋"/>
          <w:b w:val="0"/>
          <w:bCs/>
          <w:sz w:val="32"/>
          <w:szCs w:val="32"/>
        </w:rPr>
        <w:t>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Style w:val="15"/>
          <w:rFonts w:ascii="仿宋" w:eastAsia="仿宋"/>
          <w:b w:val="0"/>
          <w:bCs/>
          <w:color w:val="FF0000"/>
          <w:sz w:val="32"/>
          <w:szCs w:val="32"/>
        </w:rPr>
      </w:pPr>
      <w:r>
        <w:rPr>
          <w:rStyle w:val="15"/>
          <w:rFonts w:hint="eastAsia" w:ascii="仿宋" w:eastAsia="仿宋"/>
          <w:bCs/>
          <w:color w:val="000000"/>
          <w:sz w:val="32"/>
          <w:szCs w:val="32"/>
        </w:rPr>
        <w:t>10.住房保障（类）住房改革支出（款）住房公积金（项）：</w:t>
      </w:r>
      <w:r>
        <w:rPr>
          <w:rStyle w:val="15"/>
          <w:rFonts w:hint="eastAsia" w:ascii="仿宋" w:eastAsia="仿宋"/>
          <w:b w:val="0"/>
          <w:bCs/>
          <w:color w:val="000000"/>
          <w:sz w:val="32"/>
          <w:szCs w:val="32"/>
        </w:rPr>
        <w:t>支出决算为58.85万元</w:t>
      </w:r>
      <w:r>
        <w:rPr>
          <w:rStyle w:val="15"/>
          <w:rFonts w:hint="eastAsia" w:ascii="仿宋" w:eastAsia="仿宋"/>
          <w:b w:val="0"/>
          <w:bCs/>
          <w:sz w:val="32"/>
          <w:szCs w:val="32"/>
        </w:rPr>
        <w:t>，完成预算100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3" w:firstLineChars="200"/>
        <w:rPr>
          <w:rStyle w:val="15"/>
          <w:rFonts w:ascii="仿宋" w:eastAsia="仿宋"/>
          <w:b w:val="0"/>
          <w:bCs/>
          <w:color w:val="FF0000"/>
          <w:sz w:val="32"/>
          <w:szCs w:val="32"/>
        </w:rPr>
      </w:pPr>
      <w:r>
        <w:rPr>
          <w:rStyle w:val="15"/>
          <w:rFonts w:hint="eastAsia" w:ascii="仿宋" w:eastAsia="仿宋"/>
          <w:bCs/>
          <w:color w:val="000000"/>
          <w:sz w:val="32"/>
          <w:szCs w:val="32"/>
        </w:rPr>
        <w:t>11.住房保障（类）住房改革支出（款）购房补贴（项）：</w:t>
      </w:r>
      <w:r>
        <w:rPr>
          <w:rStyle w:val="15"/>
          <w:rFonts w:hint="eastAsia" w:ascii="仿宋" w:eastAsia="仿宋"/>
          <w:b w:val="0"/>
          <w:bCs/>
          <w:color w:val="000000"/>
          <w:sz w:val="32"/>
          <w:szCs w:val="32"/>
        </w:rPr>
        <w:t>支出决算为3.29万元，</w:t>
      </w:r>
      <w:r>
        <w:rPr>
          <w:rStyle w:val="15"/>
          <w:rFonts w:hint="eastAsia" w:ascii="仿宋" w:eastAsia="仿宋"/>
          <w:b w:val="0"/>
          <w:bCs/>
          <w:sz w:val="32"/>
          <w:szCs w:val="32"/>
        </w:rPr>
        <w:t>完成预算100</w:t>
      </w:r>
      <w:r>
        <w:rPr>
          <w:rStyle w:val="15"/>
          <w:rFonts w:ascii="仿宋" w:eastAsia="仿宋"/>
          <w:b w:val="0"/>
          <w:bCs/>
          <w:sz w:val="32"/>
          <w:szCs w:val="32"/>
        </w:rPr>
        <w:t>%</w:t>
      </w:r>
      <w:r>
        <w:rPr>
          <w:rStyle w:val="15"/>
          <w:rFonts w:hint="eastAsia" w:ascii="仿宋" w:eastAsia="仿宋"/>
          <w:b w:val="0"/>
          <w:bCs/>
          <w:sz w:val="32"/>
          <w:szCs w:val="32"/>
        </w:rPr>
        <w:t>。</w:t>
      </w:r>
    </w:p>
    <w:p>
      <w:pPr>
        <w:spacing w:line="600" w:lineRule="exact"/>
        <w:ind w:firstLine="640"/>
        <w:rPr>
          <w:rStyle w:val="18"/>
        </w:rPr>
      </w:pPr>
      <w:bookmarkStart w:id="114" w:name="_Toc29018"/>
      <w:bookmarkStart w:id="115" w:name="_Toc31827"/>
      <w:bookmarkStart w:id="116" w:name="_Toc30846"/>
      <w:bookmarkStart w:id="117" w:name="_Toc11997"/>
      <w:bookmarkStart w:id="118" w:name="_Toc16119"/>
      <w:r>
        <w:rPr>
          <w:rStyle w:val="18"/>
          <w:rFonts w:hint="eastAsia" w:ascii="黑体" w:eastAsia="黑体"/>
          <w:b w:val="0"/>
        </w:rPr>
        <w:t>六、一般公共预算财政拨款基本支出决算情况说明</w:t>
      </w:r>
      <w:bookmarkEnd w:id="112"/>
      <w:bookmarkEnd w:id="113"/>
      <w:r>
        <w:rPr>
          <w:rStyle w:val="18"/>
          <w:rFonts w:ascii="黑体" w:eastAsia="黑体"/>
          <w:b w:val="0"/>
        </w:rPr>
        <w:tab/>
      </w:r>
    </w:p>
    <w:bookmarkEnd w:id="114"/>
    <w:bookmarkEnd w:id="115"/>
    <w:bookmarkEnd w:id="116"/>
    <w:bookmarkEnd w:id="117"/>
    <w:bookmarkEnd w:id="118"/>
    <w:p>
      <w:pPr>
        <w:spacing w:line="600" w:lineRule="exact"/>
        <w:ind w:firstLine="645"/>
        <w:rPr>
          <w:rFonts w:ascii="仿宋" w:eastAsia="仿宋"/>
          <w:color w:val="000000"/>
          <w:sz w:val="32"/>
          <w:szCs w:val="32"/>
        </w:rPr>
      </w:pPr>
      <w:bookmarkStart w:id="119" w:name="_Toc15377215"/>
      <w:bookmarkStart w:id="120" w:name="_Toc15396609"/>
      <w:bookmarkStart w:id="121" w:name="_Toc26242"/>
      <w:bookmarkStart w:id="122" w:name="_Toc6732"/>
      <w:bookmarkStart w:id="123" w:name="_Toc28477"/>
      <w:bookmarkStart w:id="124" w:name="_Toc20641"/>
      <w:r>
        <w:rPr>
          <w:rFonts w:ascii="仿宋" w:eastAsia="仿宋"/>
          <w:color w:val="000000"/>
          <w:sz w:val="32"/>
          <w:szCs w:val="32"/>
        </w:rPr>
        <w:t>2021年</w:t>
      </w:r>
      <w:r>
        <w:rPr>
          <w:rFonts w:hint="eastAsia" w:ascii="仿宋" w:eastAsia="仿宋"/>
          <w:color w:val="000000"/>
          <w:sz w:val="32"/>
          <w:szCs w:val="32"/>
        </w:rPr>
        <w:t>一般公共预算财政拨款基本支出874.3万元，其中：</w:t>
      </w:r>
    </w:p>
    <w:p>
      <w:pPr>
        <w:spacing w:line="600" w:lineRule="exact"/>
        <w:ind w:firstLine="645"/>
        <w:rPr>
          <w:rFonts w:ascii="仿宋" w:eastAsia="仿宋"/>
          <w:sz w:val="32"/>
          <w:szCs w:val="32"/>
        </w:rPr>
      </w:pPr>
      <w:r>
        <w:rPr>
          <w:rFonts w:hint="eastAsia" w:ascii="仿宋" w:eastAsia="仿宋"/>
          <w:color w:val="000000"/>
          <w:sz w:val="32"/>
          <w:szCs w:val="32"/>
        </w:rPr>
        <w:t>人员经费833.38万元，主要包括：基本工资170.32万元、津贴补贴186.61万元、奖金14.98万元、机关事业单位基本养老保险缴费58万元、职业年金缴费29万元、职工基本医疗保险缴费25.67万元、公务员医疗补助缴费11.54万元、其他社会保障缴费1.08</w:t>
      </w:r>
      <w:r>
        <w:rPr>
          <w:rFonts w:hint="eastAsia" w:ascii="仿宋" w:eastAsia="仿宋"/>
          <w:sz w:val="32"/>
          <w:szCs w:val="32"/>
        </w:rPr>
        <w:t>万元、生活补助23.86万元、离休费15.18万元、住房公积金</w:t>
      </w:r>
      <w:r>
        <w:rPr>
          <w:rFonts w:hint="eastAsia" w:ascii="仿宋" w:eastAsia="仿宋"/>
          <w:color w:val="000000"/>
          <w:sz w:val="32"/>
          <w:szCs w:val="32"/>
        </w:rPr>
        <w:t>58.85万元、</w:t>
      </w:r>
      <w:r>
        <w:rPr>
          <w:rFonts w:hint="eastAsia" w:ascii="仿宋" w:eastAsia="仿宋"/>
          <w:sz w:val="32"/>
          <w:szCs w:val="32"/>
        </w:rPr>
        <w:t>奖励金238.29万元。</w:t>
      </w:r>
    </w:p>
    <w:p>
      <w:pPr>
        <w:spacing w:line="600" w:lineRule="exact"/>
        <w:ind w:firstLine="645"/>
        <w:rPr>
          <w:rFonts w:ascii="仿宋" w:eastAsia="仿宋"/>
          <w:color w:val="000000"/>
          <w:sz w:val="32"/>
          <w:szCs w:val="32"/>
        </w:rPr>
      </w:pPr>
      <w:r>
        <w:rPr>
          <w:rFonts w:hint="eastAsia" w:ascii="仿宋" w:eastAsia="仿宋"/>
          <w:color w:val="000000"/>
          <w:sz w:val="32"/>
          <w:szCs w:val="32"/>
        </w:rPr>
        <w:t>公用经费40.92万元，主要包括：办公费3.7万元、手续费0.07万元、差旅费10万元、维修（护）费0.44万元、会议费2.44万元、劳务费2万元、福利费2.27万元、公务用车运行维护费20万元。</w:t>
      </w:r>
    </w:p>
    <w:p>
      <w:pPr>
        <w:spacing w:line="600" w:lineRule="exact"/>
        <w:ind w:firstLine="640" w:firstLineChars="200"/>
        <w:outlineLvl w:val="1"/>
        <w:rPr>
          <w:rStyle w:val="18"/>
          <w:rFonts w:hint="eastAsia" w:ascii="黑体" w:eastAsia="黑体"/>
          <w:b w:val="0"/>
        </w:rPr>
      </w:pPr>
      <w:bookmarkStart w:id="125" w:name="_Toc753"/>
      <w:r>
        <w:rPr>
          <w:rStyle w:val="18"/>
          <w:rFonts w:hint="eastAsia" w:ascii="黑体" w:eastAsia="黑体"/>
          <w:b w:val="0"/>
        </w:rPr>
        <w:t>七、“三公”经费财政拨款支出决算情况说明</w:t>
      </w:r>
      <w:bookmarkEnd w:id="119"/>
      <w:bookmarkEnd w:id="120"/>
      <w:bookmarkEnd w:id="121"/>
    </w:p>
    <w:bookmarkEnd w:id="122"/>
    <w:bookmarkEnd w:id="123"/>
    <w:bookmarkEnd w:id="124"/>
    <w:bookmarkEnd w:id="125"/>
    <w:p>
      <w:pPr>
        <w:spacing w:line="600" w:lineRule="exact"/>
        <w:ind w:firstLine="640"/>
        <w:outlineLvl w:val="2"/>
        <w:rPr>
          <w:rFonts w:ascii="仿宋" w:eastAsia="仿宋"/>
          <w:b/>
          <w:color w:val="000000"/>
          <w:sz w:val="32"/>
          <w:szCs w:val="32"/>
        </w:rPr>
      </w:pPr>
      <w:bookmarkStart w:id="126" w:name="_Toc15377216"/>
      <w:bookmarkStart w:id="127" w:name="_Toc11137"/>
      <w:r>
        <w:rPr>
          <w:rFonts w:hint="eastAsia" w:ascii="仿宋" w:eastAsia="仿宋"/>
          <w:b/>
          <w:color w:val="000000"/>
          <w:sz w:val="32"/>
          <w:szCs w:val="32"/>
        </w:rPr>
        <w:t>（一）“三公”经费财政拨款支出决算总体情况说明</w:t>
      </w:r>
      <w:bookmarkEnd w:id="126"/>
      <w:bookmarkEnd w:id="127"/>
    </w:p>
    <w:p>
      <w:pPr>
        <w:spacing w:line="600" w:lineRule="exact"/>
        <w:ind w:firstLine="640"/>
        <w:rPr>
          <w:rFonts w:ascii="仿宋" w:eastAsia="仿宋"/>
          <w:sz w:val="32"/>
          <w:szCs w:val="32"/>
        </w:rPr>
      </w:pPr>
      <w:bookmarkStart w:id="128" w:name="_Toc15377217"/>
      <w:bookmarkStart w:id="129" w:name="_Toc23984"/>
      <w:r>
        <w:rPr>
          <w:rFonts w:ascii="仿宋" w:eastAsia="仿宋"/>
          <w:color w:val="000000"/>
          <w:sz w:val="32"/>
          <w:szCs w:val="32"/>
        </w:rPr>
        <w:t>2021年</w:t>
      </w:r>
      <w:r>
        <w:rPr>
          <w:rFonts w:hint="eastAsia" w:ascii="仿宋" w:eastAsia="仿宋"/>
          <w:color w:val="000000"/>
          <w:sz w:val="32"/>
          <w:szCs w:val="32"/>
        </w:rPr>
        <w:t>“三公”经费财政拨款支出决算为44.57万元，完成预算100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sz w:val="32"/>
          <w:szCs w:val="32"/>
        </w:rPr>
        <w:t>决算数与预算数持平。</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128"/>
      <w:bookmarkEnd w:id="129"/>
    </w:p>
    <w:p>
      <w:pPr>
        <w:spacing w:line="600" w:lineRule="exact"/>
        <w:ind w:firstLine="640"/>
        <w:rPr>
          <w:rFonts w:ascii="仿宋" w:eastAsia="仿宋"/>
          <w:color w:val="auto"/>
          <w:sz w:val="32"/>
          <w:szCs w:val="32"/>
        </w:rPr>
      </w:pPr>
      <w:r>
        <w:rPr>
          <w:rFonts w:ascii="仿宋" w:eastAsia="仿宋"/>
          <w:color w:val="auto"/>
          <w:sz w:val="32"/>
          <w:szCs w:val="32"/>
        </w:rPr>
        <w:t>2021年</w:t>
      </w:r>
      <w:r>
        <w:rPr>
          <w:rFonts w:hint="eastAsia" w:ascii="仿宋" w:eastAsia="仿宋"/>
          <w:color w:val="auto"/>
          <w:sz w:val="32"/>
          <w:szCs w:val="32"/>
        </w:rPr>
        <w:t>“三公”经费财政拨款支出决算44.57万元，其中：因公出国（境）费支出决算0万元，占0</w:t>
      </w:r>
      <w:r>
        <w:rPr>
          <w:rFonts w:ascii="仿宋" w:eastAsia="仿宋"/>
          <w:color w:val="auto"/>
          <w:sz w:val="32"/>
          <w:szCs w:val="32"/>
        </w:rPr>
        <w:t>%</w:t>
      </w:r>
      <w:r>
        <w:rPr>
          <w:rFonts w:hint="eastAsia" w:ascii="仿宋" w:eastAsia="仿宋"/>
          <w:color w:val="auto"/>
          <w:sz w:val="32"/>
          <w:szCs w:val="32"/>
        </w:rPr>
        <w:t>；公务用车购置及运行维护费支出决算44.57万元，占100</w:t>
      </w:r>
      <w:r>
        <w:rPr>
          <w:rFonts w:ascii="仿宋" w:eastAsia="仿宋"/>
          <w:color w:val="auto"/>
          <w:sz w:val="32"/>
          <w:szCs w:val="32"/>
        </w:rPr>
        <w:t>%</w:t>
      </w:r>
      <w:r>
        <w:rPr>
          <w:rFonts w:hint="eastAsia" w:ascii="仿宋" w:eastAsia="仿宋"/>
          <w:color w:val="auto"/>
          <w:sz w:val="32"/>
          <w:szCs w:val="32"/>
        </w:rPr>
        <w:t>；公务接待费支出决算0万元，占0</w:t>
      </w:r>
      <w:r>
        <w:rPr>
          <w:rFonts w:ascii="仿宋" w:eastAsia="仿宋"/>
          <w:color w:val="auto"/>
          <w:sz w:val="32"/>
          <w:szCs w:val="32"/>
        </w:rPr>
        <w:t>%</w:t>
      </w:r>
      <w:r>
        <w:rPr>
          <w:rFonts w:hint="eastAsia" w:ascii="仿宋" w:eastAsia="仿宋"/>
          <w:color w:val="auto"/>
          <w:sz w:val="32"/>
          <w:szCs w:val="32"/>
        </w:rPr>
        <w:t>。具体情况如下：</w:t>
      </w:r>
    </w:p>
    <w:p>
      <w:pPr>
        <w:spacing w:line="600" w:lineRule="exact"/>
        <w:ind w:firstLine="640"/>
        <w:rPr>
          <w:rFonts w:hint="eastAsia" w:ascii="仿宋" w:eastAsia="仿宋"/>
          <w:color w:val="000000"/>
          <w:sz w:val="32"/>
          <w:szCs w:val="32"/>
          <w:lang w:eastAsia="zh-CN"/>
        </w:rPr>
      </w:pPr>
      <w:r>
        <w:drawing>
          <wp:anchor distT="0" distB="0" distL="114300" distR="114300" simplePos="0" relativeHeight="251665408" behindDoc="0" locked="0" layoutInCell="1" allowOverlap="1">
            <wp:simplePos x="0" y="0"/>
            <wp:positionH relativeFrom="column">
              <wp:posOffset>229870</wp:posOffset>
            </wp:positionH>
            <wp:positionV relativeFrom="paragraph">
              <wp:posOffset>375920</wp:posOffset>
            </wp:positionV>
            <wp:extent cx="4572000" cy="2838450"/>
            <wp:effectExtent l="4445" t="4445" r="14605" b="14605"/>
            <wp:wrapSquare wrapText="bothSides"/>
            <wp:docPr id="102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hint="eastAsia" w:ascii="仿宋" w:eastAsia="仿宋"/>
          <w:color w:val="000000"/>
          <w:sz w:val="32"/>
          <w:szCs w:val="32"/>
          <w:lang w:eastAsia="zh-CN"/>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2020年</w:t>
      </w:r>
      <w:r>
        <w:rPr>
          <w:rFonts w:hint="eastAsia" w:ascii="仿宋_GB2312" w:eastAsia="仿宋_GB2312" w:cs="仿宋"/>
          <w:color w:val="000000"/>
          <w:sz w:val="32"/>
          <w:szCs w:val="32"/>
          <w:lang w:val="en-US" w:eastAsia="zh-CN"/>
        </w:rPr>
        <w:t>增加0万元。</w:t>
      </w:r>
    </w:p>
    <w:p>
      <w:pPr>
        <w:pageBreakBefore w:val="0"/>
        <w:kinsoku/>
        <w:wordWrap/>
        <w:overflowPunct/>
        <w:topLinePunct w:val="0"/>
        <w:bidi w:val="0"/>
        <w:spacing w:line="600" w:lineRule="exact"/>
        <w:ind w:firstLine="640"/>
        <w:textAlignment w:val="auto"/>
        <w:rPr>
          <w:rFonts w:ascii="仿宋_GB2312" w:eastAsia="仿宋_GB2312"/>
          <w:b/>
          <w:color w:val="FF0000"/>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rPr>
        <w:t>44.57万元,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公务用车购置及运行维护费支出决算比2020年减少5.53万元，</w:t>
      </w:r>
      <w:r>
        <w:rPr>
          <w:rFonts w:hint="eastAsia" w:ascii="仿宋_GB2312" w:eastAsia="仿宋_GB2312"/>
          <w:sz w:val="32"/>
          <w:szCs w:val="32"/>
        </w:rPr>
        <w:t>降低11.04%，主要原因是节约开支。</w:t>
      </w:r>
    </w:p>
    <w:p>
      <w:pPr>
        <w:pageBreakBefore w:val="0"/>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b/>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2021年12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日，共有车辆5辆，其中：部级领导干部用车0辆、主要领导干部用车0辆、机要通信用车0辆、应急保障用车0辆、执法执勤用车0辆、特种专业技术用车0辆、离退休干部用车0辆、</w:t>
      </w:r>
      <w:r>
        <w:rPr>
          <w:rFonts w:hint="eastAsia" w:ascii="仿宋_GB2312" w:eastAsia="仿宋_GB2312"/>
          <w:sz w:val="32"/>
          <w:szCs w:val="32"/>
        </w:rPr>
        <w:t>其他用车5辆；</w:t>
      </w:r>
    </w:p>
    <w:p>
      <w:pPr>
        <w:pageBreakBefore w:val="0"/>
        <w:kinsoku/>
        <w:wordWrap/>
        <w:overflowPunct/>
        <w:topLinePunct w:val="0"/>
        <w:bidi w:val="0"/>
        <w:spacing w:line="60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44.57万元。</w:t>
      </w:r>
      <w:r>
        <w:rPr>
          <w:rFonts w:hint="eastAsia" w:ascii="仿宋_GB2312" w:eastAsia="仿宋_GB2312"/>
          <w:color w:val="000000"/>
          <w:sz w:val="32"/>
          <w:szCs w:val="32"/>
        </w:rPr>
        <w:t>主要用于我单位所需的公务用车燃料费、维修费、过路过桥费、保险费等支出。</w:t>
      </w:r>
    </w:p>
    <w:p>
      <w:pPr>
        <w:pageBreakBefore w:val="0"/>
        <w:numPr>
          <w:ilvl w:val="0"/>
          <w:numId w:val="2"/>
        </w:numPr>
        <w:kinsoku/>
        <w:wordWrap/>
        <w:overflowPunct/>
        <w:topLinePunct w:val="0"/>
        <w:bidi w:val="0"/>
        <w:spacing w:line="600" w:lineRule="exact"/>
        <w:ind w:firstLine="640"/>
        <w:textAlignment w:val="auto"/>
        <w:rPr>
          <w:rFonts w:ascii="仿宋_GB2312" w:eastAsia="仿宋_GB2312" w:cs="仿宋"/>
          <w:color w:val="000000"/>
          <w:sz w:val="32"/>
          <w:szCs w:val="32"/>
        </w:rPr>
      </w:pPr>
      <w:bookmarkStart w:id="130" w:name="_Toc15396610"/>
      <w:bookmarkStart w:id="131" w:name="_Toc15377218"/>
      <w:bookmarkStart w:id="132" w:name="_Toc26072"/>
      <w:bookmarkStart w:id="133" w:name="_Toc11583"/>
      <w:bookmarkStart w:id="134" w:name="_Toc27667"/>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公务接待费0万元。</w:t>
      </w:r>
    </w:p>
    <w:p>
      <w:pPr>
        <w:pageBreakBefore w:val="0"/>
        <w:kinsoku/>
        <w:wordWrap/>
        <w:overflowPunct/>
        <w:topLinePunct w:val="0"/>
        <w:bidi w:val="0"/>
        <w:spacing w:line="600" w:lineRule="exact"/>
        <w:ind w:firstLine="640"/>
        <w:textAlignment w:val="auto"/>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640"/>
        <w:outlineLvl w:val="1"/>
        <w:rPr>
          <w:rStyle w:val="18"/>
          <w:rFonts w:hint="eastAsia" w:ascii="黑体" w:eastAsia="黑体"/>
          <w:b w:val="0"/>
        </w:rPr>
      </w:pPr>
      <w:bookmarkStart w:id="135" w:name="_Toc21196"/>
      <w:bookmarkStart w:id="136" w:name="_Toc2938"/>
      <w:r>
        <w:rPr>
          <w:rStyle w:val="18"/>
          <w:rFonts w:hint="eastAsia" w:ascii="黑体" w:eastAsia="黑体"/>
          <w:b w:val="0"/>
        </w:rPr>
        <w:t>八、政府性基金预算支出决算情况说明</w:t>
      </w:r>
      <w:bookmarkEnd w:id="130"/>
      <w:bookmarkEnd w:id="131"/>
      <w:bookmarkEnd w:id="135"/>
    </w:p>
    <w:bookmarkEnd w:id="132"/>
    <w:bookmarkEnd w:id="133"/>
    <w:bookmarkEnd w:id="134"/>
    <w:bookmarkEnd w:id="136"/>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18"/>
          <w:rFonts w:ascii="黑体" w:eastAsia="黑体"/>
          <w:b w:val="0"/>
        </w:rPr>
      </w:pPr>
      <w:bookmarkStart w:id="137" w:name="_Toc15396611"/>
      <w:bookmarkStart w:id="138" w:name="_Toc15377219"/>
      <w:bookmarkStart w:id="139" w:name="_Toc2417"/>
      <w:bookmarkStart w:id="140" w:name="_Toc13305"/>
      <w:bookmarkStart w:id="141" w:name="_Toc12200"/>
      <w:bookmarkStart w:id="142" w:name="_Toc15138"/>
      <w:bookmarkStart w:id="143" w:name="_Toc7769"/>
      <w:r>
        <w:rPr>
          <w:rStyle w:val="18"/>
          <w:rFonts w:hint="eastAsia" w:ascii="黑体" w:eastAsia="黑体"/>
          <w:b w:val="0"/>
        </w:rPr>
        <w:t>国有资本经营预算支出决算情况说明</w:t>
      </w:r>
      <w:bookmarkEnd w:id="137"/>
      <w:bookmarkEnd w:id="138"/>
      <w:bookmarkEnd w:id="139"/>
    </w:p>
    <w:bookmarkEnd w:id="140"/>
    <w:bookmarkEnd w:id="141"/>
    <w:bookmarkEnd w:id="142"/>
    <w:bookmarkEnd w:id="143"/>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4"/>
        </w:numPr>
        <w:spacing w:line="580" w:lineRule="exact"/>
        <w:ind w:firstLineChars="0"/>
        <w:rPr>
          <w:rStyle w:val="18"/>
          <w:rFonts w:ascii="黑体" w:eastAsia="黑体"/>
          <w:b w:val="0"/>
        </w:rPr>
      </w:pPr>
      <w:bookmarkStart w:id="144" w:name="_Toc14416"/>
      <w:bookmarkStart w:id="145" w:name="_Toc26917"/>
      <w:bookmarkStart w:id="146" w:name="_Toc3277"/>
      <w:bookmarkStart w:id="147" w:name="_Toc5045"/>
      <w:bookmarkStart w:id="148" w:name="_Toc953"/>
      <w:r>
        <w:rPr>
          <w:rStyle w:val="18"/>
          <w:rFonts w:hint="eastAsia" w:ascii="黑体" w:eastAsia="黑体"/>
          <w:b w:val="0"/>
        </w:rPr>
        <w:t>预算绩效情况说明</w:t>
      </w:r>
    </w:p>
    <w:bookmarkEnd w:id="144"/>
    <w:bookmarkEnd w:id="145"/>
    <w:bookmarkEnd w:id="146"/>
    <w:bookmarkEnd w:id="147"/>
    <w:bookmarkEnd w:id="148"/>
    <w:p>
      <w:pPr>
        <w:numPr>
          <w:ilvl w:val="0"/>
          <w:numId w:val="5"/>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rPr>
          <w:rFonts w:hint="eastAsia" w:ascii="Calibri" w:hAnsi="Calibri" w:eastAsia="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FF0000"/>
          <w:sz w:val="32"/>
          <w:szCs w:val="32"/>
        </w:rPr>
        <w:t>　</w:t>
      </w:r>
      <w:r>
        <w:rPr>
          <w:rFonts w:hint="eastAsia" w:ascii="仿宋_GB2312" w:eastAsia="仿宋_GB2312" w:cs="仿宋_GB2312"/>
          <w:sz w:val="32"/>
          <w:szCs w:val="32"/>
        </w:rPr>
        <w:t>根据预算绩效管理要求，我单位在年初预算编制阶段，开展了预算事前绩效评估，编制了部门整体绩效目标。</w:t>
      </w:r>
    </w:p>
    <w:p>
      <w:pPr>
        <w:numPr>
          <w:ilvl w:val="0"/>
          <w:numId w:val="5"/>
        </w:numPr>
        <w:spacing w:line="580" w:lineRule="exact"/>
        <w:ind w:left="0"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2021年</w:t>
      </w:r>
      <w:r>
        <w:rPr>
          <w:rFonts w:hint="eastAsia" w:ascii="仿宋_GB2312" w:eastAsia="仿宋_GB2312" w:cs="仿宋_GB2312"/>
          <w:sz w:val="32"/>
          <w:szCs w:val="32"/>
        </w:rPr>
        <w:t>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w:t>
      </w:r>
      <w:r>
        <w:rPr>
          <w:rFonts w:hint="eastAsia" w:ascii="仿宋_GB2312" w:eastAsia="仿宋_GB2312"/>
          <w:sz w:val="32"/>
          <w:szCs w:val="32"/>
          <w:lang w:val="en-US" w:eastAsia="zh-CN"/>
        </w:rPr>
        <w:t>人大办2021年</w:t>
      </w:r>
      <w:r>
        <w:rPr>
          <w:rFonts w:hint="eastAsia" w:ascii="仿宋_GB2312" w:eastAsia="仿宋_GB2312"/>
          <w:sz w:val="32"/>
          <w:szCs w:val="32"/>
        </w:rPr>
        <w:t>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149" w:name="_Toc15377221"/>
      <w:bookmarkStart w:id="150" w:name="_Toc2669"/>
      <w:bookmarkStart w:id="151"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149"/>
      <w:bookmarkEnd w:id="150"/>
      <w:bookmarkEnd w:id="151"/>
    </w:p>
    <w:p>
      <w:pPr>
        <w:spacing w:line="600" w:lineRule="exact"/>
        <w:ind w:firstLine="643" w:firstLineChars="200"/>
        <w:outlineLvl w:val="2"/>
        <w:rPr>
          <w:rFonts w:ascii="仿宋" w:eastAsia="仿宋"/>
          <w:color w:val="000000"/>
          <w:sz w:val="32"/>
          <w:szCs w:val="32"/>
        </w:rPr>
      </w:pPr>
      <w:bookmarkStart w:id="152" w:name="_Toc15377222"/>
      <w:bookmarkStart w:id="153" w:name="_Toc25882"/>
      <w:r>
        <w:rPr>
          <w:rFonts w:hint="eastAsia" w:ascii="仿宋" w:eastAsia="仿宋"/>
          <w:b/>
          <w:color w:val="000000"/>
          <w:sz w:val="32"/>
          <w:szCs w:val="32"/>
        </w:rPr>
        <w:t>（一）机关运行经费支出情况</w:t>
      </w:r>
      <w:bookmarkEnd w:id="152"/>
      <w:bookmarkEnd w:id="153"/>
    </w:p>
    <w:p>
      <w:pPr>
        <w:pageBreakBefore w:val="0"/>
        <w:kinsoku/>
        <w:wordWrap/>
        <w:overflowPunct/>
        <w:topLinePunct w:val="0"/>
        <w:bidi w:val="0"/>
        <w:spacing w:line="60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2021年，县人大办运行经费支出40.92万元，比2020年减少86.42万元，降低67.87</w:t>
      </w:r>
      <w:r>
        <w:rPr>
          <w:rFonts w:ascii="仿宋_GB2312" w:eastAsia="仿宋_GB2312" w:cs="仿宋_GB2312"/>
          <w:sz w:val="32"/>
          <w:szCs w:val="32"/>
        </w:rPr>
        <w:t>%</w:t>
      </w:r>
      <w:r>
        <w:rPr>
          <w:rFonts w:hint="eastAsia" w:ascii="仿宋_GB2312" w:eastAsia="仿宋_GB2312" w:cs="仿宋_GB2312"/>
          <w:sz w:val="32"/>
          <w:szCs w:val="32"/>
        </w:rPr>
        <w:t>。原因是2021年领导干部工作经费在项目中列支。</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54" w:name="_Toc23145"/>
      <w:bookmarkStart w:id="155" w:name="_Toc15377223"/>
      <w:r>
        <w:rPr>
          <w:rFonts w:hint="eastAsia" w:ascii="仿宋" w:eastAsia="仿宋"/>
          <w:b/>
          <w:color w:val="000000"/>
          <w:sz w:val="32"/>
          <w:szCs w:val="32"/>
        </w:rPr>
        <w:t>（二）政府采购支出情况</w:t>
      </w:r>
      <w:bookmarkEnd w:id="154"/>
      <w:bookmarkEnd w:id="155"/>
    </w:p>
    <w:p>
      <w:pPr>
        <w:spacing w:line="600" w:lineRule="exact"/>
        <w:ind w:firstLine="640" w:firstLineChars="200"/>
        <w:rPr>
          <w:rFonts w:ascii="仿宋" w:eastAsia="仿宋"/>
          <w:b/>
          <w:color w:val="auto"/>
          <w:sz w:val="32"/>
          <w:szCs w:val="32"/>
          <w:lang w:val="en-US" w:eastAsia="zh-CN"/>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56" w:name="_Toc13674"/>
      <w:bookmarkStart w:id="157" w:name="_Toc15377224"/>
      <w:r>
        <w:rPr>
          <w:rFonts w:hint="eastAsia" w:ascii="仿宋" w:eastAsia="仿宋"/>
          <w:b/>
          <w:color w:val="000000"/>
          <w:sz w:val="32"/>
          <w:szCs w:val="32"/>
        </w:rPr>
        <w:t>（三）国有资产占有使用情况</w:t>
      </w:r>
      <w:bookmarkEnd w:id="156"/>
      <w:bookmarkEnd w:id="157"/>
    </w:p>
    <w:p>
      <w:pPr>
        <w:widowControl/>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日，共有车辆5辆。</w:t>
      </w: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rPr>
      </w:pPr>
    </w:p>
    <w:p>
      <w:pPr>
        <w:widowControl/>
        <w:ind w:firstLine="640" w:firstLineChars="200"/>
        <w:jc w:val="left"/>
        <w:rPr>
          <w:rFonts w:hint="eastAsia" w:ascii="仿宋_GB2312" w:eastAsia="仿宋_GB2312"/>
          <w:color w:val="000000"/>
          <w:sz w:val="32"/>
          <w:szCs w:val="32"/>
          <w:lang w:val="en-US" w:eastAsia="zh-CN"/>
        </w:rPr>
      </w:pPr>
    </w:p>
    <w:p>
      <w:pPr>
        <w:numPr>
          <w:ilvl w:val="0"/>
          <w:numId w:val="6"/>
        </w:numPr>
        <w:spacing w:line="600" w:lineRule="exact"/>
        <w:ind w:left="0" w:firstLine="660" w:firstLineChars="150"/>
        <w:jc w:val="center"/>
        <w:outlineLvl w:val="0"/>
        <w:rPr>
          <w:rStyle w:val="17"/>
          <w:rFonts w:ascii="黑体" w:eastAsia="黑体"/>
          <w:b w:val="0"/>
        </w:rPr>
      </w:pPr>
      <w:bookmarkStart w:id="158" w:name="_Toc15377225"/>
      <w:bookmarkStart w:id="159" w:name="_Toc15396613"/>
      <w:bookmarkStart w:id="160" w:name="_Toc4580"/>
      <w:bookmarkStart w:id="161" w:name="_Toc31705"/>
      <w:bookmarkStart w:id="162" w:name="_Toc148"/>
      <w:r>
        <w:rPr>
          <w:rStyle w:val="17"/>
          <w:rFonts w:hint="eastAsia" w:ascii="黑体" w:eastAsia="黑体"/>
          <w:b w:val="0"/>
          <w:bCs w:val="0"/>
        </w:rPr>
        <w:t>名词</w:t>
      </w:r>
      <w:r>
        <w:rPr>
          <w:rStyle w:val="17"/>
          <w:rFonts w:hint="eastAsia" w:ascii="黑体" w:eastAsia="黑体"/>
          <w:b w:val="0"/>
        </w:rPr>
        <w:t>解释</w:t>
      </w:r>
      <w:bookmarkEnd w:id="158"/>
      <w:bookmarkEnd w:id="159"/>
      <w:bookmarkEnd w:id="160"/>
    </w:p>
    <w:bookmarkEnd w:id="161"/>
    <w:bookmarkEnd w:id="162"/>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一般公共服务支出（类）政府办公厅（室）及相关机构事务（款）事业运行（项）：指事业单位的基本支出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公共卫生</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突发公共卫生事件应急处理</w:t>
      </w:r>
      <w:r>
        <w:rPr>
          <w:rFonts w:hint="eastAsia" w:ascii="仿宋_GB2312" w:eastAsia="仿宋_GB2312"/>
          <w:color w:val="000000"/>
          <w:sz w:val="32"/>
          <w:szCs w:val="32"/>
        </w:rPr>
        <w:t>（项）：</w:t>
      </w:r>
      <w:r>
        <w:rPr>
          <w:rFonts w:hint="eastAsia" w:ascii="仿宋_GB2312" w:eastAsia="仿宋_GB2312"/>
          <w:color w:val="000000"/>
          <w:sz w:val="32"/>
          <w:szCs w:val="32"/>
          <w:lang w:eastAsia="zh-CN"/>
        </w:rPr>
        <w:t>反映用于突发公共卫生事件应急处理的支出。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事业单位医疗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反映财政部门安排的事业单位基本医疗保险缴纳费经费，未参加医疗保险的事业单位的公费医疗经费，按照国家规定享受离休人员待遇的医疗经费。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卫生</w:t>
      </w:r>
      <w:r>
        <w:rPr>
          <w:rFonts w:hint="eastAsia" w:ascii="仿宋_GB2312" w:eastAsia="仿宋_GB2312"/>
          <w:color w:val="000000"/>
          <w:sz w:val="32"/>
          <w:szCs w:val="32"/>
          <w:lang w:eastAsia="zh-CN"/>
        </w:rPr>
        <w:t>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163" w:name="_Toc15396614"/>
      <w:bookmarkStart w:id="164" w:name="_Toc15377226"/>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numPr>
          <w:ilvl w:val="0"/>
          <w:numId w:val="6"/>
        </w:numPr>
        <w:spacing w:line="600" w:lineRule="exact"/>
        <w:ind w:left="0" w:firstLine="660" w:firstLineChars="150"/>
        <w:jc w:val="center"/>
        <w:outlineLvl w:val="0"/>
        <w:rPr>
          <w:rStyle w:val="17"/>
          <w:rFonts w:hint="eastAsia" w:ascii="黑体" w:eastAsia="黑体"/>
          <w:b w:val="0"/>
        </w:rPr>
      </w:pPr>
      <w:bookmarkStart w:id="165" w:name="_Toc26512"/>
      <w:bookmarkStart w:id="166" w:name="_Toc27820"/>
      <w:bookmarkStart w:id="167" w:name="_Toc2777"/>
      <w:bookmarkStart w:id="168" w:name="_Toc9035"/>
      <w:bookmarkStart w:id="169" w:name="_Toc5876"/>
      <w:r>
        <w:rPr>
          <w:rStyle w:val="17"/>
          <w:rFonts w:hint="eastAsia" w:ascii="黑体" w:eastAsia="黑体"/>
          <w:b w:val="0"/>
          <w:lang w:val="en-US"/>
        </w:rPr>
        <w:t>部门</w:t>
      </w:r>
      <w:bookmarkEnd w:id="163"/>
      <w:bookmarkEnd w:id="165"/>
      <w:r>
        <w:rPr>
          <w:rStyle w:val="17"/>
          <w:rFonts w:hint="eastAsia" w:ascii="黑体" w:eastAsia="黑体"/>
          <w:b w:val="0"/>
          <w:lang w:val="en-US"/>
        </w:rPr>
        <w:t>整体支出绩效报告</w:t>
      </w:r>
    </w:p>
    <w:bookmarkEnd w:id="166"/>
    <w:bookmarkEnd w:id="167"/>
    <w:bookmarkEnd w:id="168"/>
    <w:bookmarkEnd w:id="169"/>
    <w:p>
      <w:pPr>
        <w:pStyle w:val="3"/>
        <w:rPr>
          <w:rStyle w:val="17"/>
          <w:rFonts w:hint="eastAsia" w:ascii="仿宋" w:eastAsia="仿宋"/>
          <w:b w:val="0"/>
          <w:bCs w:val="0"/>
          <w:sz w:val="32"/>
          <w:szCs w:val="32"/>
        </w:rPr>
      </w:pPr>
      <w:bookmarkStart w:id="170" w:name="_Toc25503"/>
      <w:bookmarkStart w:id="171" w:name="_Toc7020"/>
      <w:r>
        <w:rPr>
          <w:rStyle w:val="17"/>
          <w:rFonts w:hint="eastAsia" w:ascii="仿宋" w:eastAsia="仿宋"/>
          <w:b w:val="0"/>
          <w:bCs w:val="0"/>
          <w:sz w:val="32"/>
          <w:szCs w:val="32"/>
        </w:rPr>
        <w:t>附件</w:t>
      </w:r>
      <w:bookmarkEnd w:id="170"/>
      <w:r>
        <w:rPr>
          <w:rStyle w:val="17"/>
          <w:rFonts w:hint="eastAsia" w:ascii="仿宋" w:eastAsia="仿宋"/>
          <w:b w:val="0"/>
          <w:bCs w:val="0"/>
          <w:sz w:val="32"/>
          <w:szCs w:val="32"/>
        </w:rPr>
        <w:t>：202</w:t>
      </w:r>
      <w:r>
        <w:rPr>
          <w:rStyle w:val="17"/>
          <w:rFonts w:hint="eastAsia" w:ascii="仿宋" w:eastAsia="仿宋"/>
          <w:b w:val="0"/>
          <w:bCs w:val="0"/>
          <w:sz w:val="32"/>
          <w:szCs w:val="32"/>
          <w:lang w:val="en-US"/>
        </w:rPr>
        <w:t>1</w:t>
      </w:r>
      <w:r>
        <w:rPr>
          <w:rStyle w:val="17"/>
          <w:rFonts w:hint="eastAsia" w:ascii="仿宋" w:eastAsia="仿宋"/>
          <w:b w:val="0"/>
          <w:bCs w:val="0"/>
          <w:sz w:val="32"/>
          <w:szCs w:val="32"/>
        </w:rPr>
        <w:t>年部门整体支出绩效报告</w:t>
      </w:r>
      <w:bookmarkEnd w:id="171"/>
    </w:p>
    <w:p>
      <w:pPr>
        <w:spacing w:line="240" w:lineRule="auto"/>
        <w:jc w:val="both"/>
        <w:outlineLvl w:val="0"/>
        <w:rPr>
          <w:rStyle w:val="17"/>
          <w:rFonts w:hint="eastAsia" w:ascii="黑体" w:eastAsia="黑体"/>
          <w:b w:val="0"/>
        </w:rPr>
      </w:pPr>
    </w:p>
    <w:bookmarkEnd w:id="164"/>
    <w:p>
      <w:pPr>
        <w:pageBreakBefore w:val="0"/>
        <w:widowControl/>
        <w:kinsoku/>
        <w:wordWrap/>
        <w:overflowPunct/>
        <w:topLinePunct w:val="0"/>
        <w:bidi w:val="0"/>
        <w:spacing w:line="600" w:lineRule="exact"/>
        <w:ind w:firstLine="1760" w:firstLineChars="400"/>
        <w:jc w:val="both"/>
        <w:textAlignment w:val="auto"/>
        <w:rPr>
          <w:rFonts w:ascii="方正小标宋简体" w:hAnsi="宋体" w:eastAsia="方正小标宋简体" w:cs="方正小标宋简体"/>
          <w:sz w:val="44"/>
          <w:szCs w:val="44"/>
        </w:rPr>
      </w:pPr>
      <w:bookmarkStart w:id="172" w:name="_Toc15396619"/>
      <w:bookmarkStart w:id="173" w:name="_Toc15396618"/>
      <w:r>
        <w:rPr>
          <w:rFonts w:hint="eastAsia" w:ascii="方正小标宋简体" w:hAnsi="宋体" w:eastAsia="方正小标宋简体" w:cs="方正小标宋简体"/>
          <w:sz w:val="44"/>
          <w:szCs w:val="44"/>
        </w:rPr>
        <w:t>金川县人大常委会办公室</w:t>
      </w:r>
    </w:p>
    <w:p>
      <w:pPr>
        <w:widowControl/>
        <w:adjustRightInd w:val="0"/>
        <w:snapToGrid w:val="0"/>
        <w:spacing w:line="580" w:lineRule="exact"/>
        <w:contextualSpacing/>
        <w:jc w:val="center"/>
        <w:rPr>
          <w:rFonts w:hint="eastAsia" w:ascii="方正小标宋简体" w:hAnsi="宋体" w:eastAsia="方正小标宋简体" w:cs="方正小标宋简体"/>
          <w:sz w:val="44"/>
          <w:szCs w:val="44"/>
          <w:lang w:bidi="ar"/>
        </w:rPr>
      </w:pPr>
      <w:r>
        <w:rPr>
          <w:rFonts w:hint="eastAsia" w:ascii="方正小标宋简体" w:hAnsi="宋体" w:eastAsia="方正小标宋简体" w:cs="方正小标宋简体"/>
          <w:sz w:val="44"/>
          <w:szCs w:val="44"/>
          <w:lang w:bidi="ar"/>
        </w:rPr>
        <w:t>202</w:t>
      </w:r>
      <w:r>
        <w:rPr>
          <w:rFonts w:hint="eastAsia" w:ascii="方正小标宋简体" w:hAnsi="宋体" w:eastAsia="方正小标宋简体" w:cs="方正小标宋简体"/>
          <w:sz w:val="44"/>
          <w:szCs w:val="44"/>
          <w:lang w:val="en-US" w:eastAsia="zh-CN" w:bidi="ar"/>
        </w:rPr>
        <w:t>1</w:t>
      </w:r>
      <w:r>
        <w:rPr>
          <w:rFonts w:hint="eastAsia" w:ascii="方正小标宋简体" w:hAnsi="宋体" w:eastAsia="方正小标宋简体" w:cs="方正小标宋简体"/>
          <w:sz w:val="44"/>
          <w:szCs w:val="44"/>
          <w:lang w:bidi="ar"/>
        </w:rPr>
        <w:t>年部门整体支出绩效报告</w:t>
      </w:r>
    </w:p>
    <w:p>
      <w:pPr>
        <w:widowControl/>
        <w:adjustRightInd w:val="0"/>
        <w:snapToGrid w:val="0"/>
        <w:spacing w:line="580" w:lineRule="exact"/>
        <w:ind w:firstLine="880" w:firstLineChars="200"/>
        <w:contextualSpacing/>
        <w:jc w:val="left"/>
        <w:rPr>
          <w:rFonts w:hint="eastAsia" w:ascii="方正小标宋简体" w:hAnsi="宋体" w:eastAsia="方正小标宋简体" w:cs="方正小标宋简体"/>
          <w:sz w:val="44"/>
          <w:szCs w:val="44"/>
          <w:lang w:bidi="ar"/>
        </w:rPr>
      </w:pPr>
    </w:p>
    <w:p>
      <w:pPr>
        <w:pageBreakBefore w:val="0"/>
        <w:widowControl/>
        <w:kinsoku/>
        <w:wordWrap/>
        <w:overflowPunct/>
        <w:topLinePunct w:val="0"/>
        <w:bidi w:val="0"/>
        <w:adjustRightInd w:val="0"/>
        <w:snapToGrid w:val="0"/>
        <w:spacing w:line="600" w:lineRule="exact"/>
        <w:ind w:firstLine="640" w:firstLineChars="200"/>
        <w:textAlignment w:val="auto"/>
        <w:rPr>
          <w:rFonts w:ascii="仿宋_GB2312" w:eastAsia="仿宋_GB2312"/>
          <w:bCs/>
          <w:color w:val="000000"/>
          <w:sz w:val="32"/>
          <w:szCs w:val="32"/>
        </w:rPr>
      </w:pPr>
      <w:r>
        <w:rPr>
          <w:rFonts w:hint="eastAsia" w:ascii="仿宋_GB2312" w:eastAsia="仿宋_GB2312"/>
          <w:bCs/>
          <w:color w:val="000000"/>
          <w:sz w:val="32"/>
          <w:szCs w:val="32"/>
        </w:rPr>
        <w:t>根据《金川县财政局关于开展202</w:t>
      </w:r>
      <w:r>
        <w:rPr>
          <w:rFonts w:hint="eastAsia" w:ascii="仿宋_GB2312" w:eastAsia="仿宋_GB2312"/>
          <w:bCs/>
          <w:color w:val="000000"/>
          <w:sz w:val="32"/>
          <w:szCs w:val="32"/>
          <w:lang w:val="en-US" w:eastAsia="zh-CN"/>
        </w:rPr>
        <w:t>2</w:t>
      </w:r>
      <w:r>
        <w:rPr>
          <w:rFonts w:hint="eastAsia" w:ascii="仿宋_GB2312" w:eastAsia="仿宋_GB2312"/>
          <w:bCs/>
          <w:color w:val="000000"/>
          <w:sz w:val="32"/>
          <w:szCs w:val="32"/>
        </w:rPr>
        <w:t>年部门</w:t>
      </w:r>
      <w:r>
        <w:rPr>
          <w:rFonts w:hint="eastAsia" w:ascii="仿宋_GB2312" w:eastAsia="仿宋_GB2312"/>
          <w:bCs/>
          <w:color w:val="000000"/>
          <w:sz w:val="32"/>
          <w:szCs w:val="32"/>
          <w:lang w:eastAsia="zh-CN"/>
        </w:rPr>
        <w:t>整体</w:t>
      </w:r>
      <w:r>
        <w:rPr>
          <w:rFonts w:hint="eastAsia" w:ascii="仿宋_GB2312" w:eastAsia="仿宋_GB2312"/>
          <w:bCs/>
          <w:color w:val="000000"/>
          <w:sz w:val="32"/>
          <w:szCs w:val="32"/>
        </w:rPr>
        <w:t>和项目支出绩效评价工作的通知》（金财监绩</w:t>
      </w:r>
      <w:r>
        <w:rPr>
          <w:rFonts w:hint="eastAsia" w:ascii="宋体" w:hAnsi="宋体" w:cs="宋体"/>
          <w:bCs/>
          <w:color w:val="000000"/>
          <w:sz w:val="32"/>
          <w:szCs w:val="32"/>
        </w:rPr>
        <w:t>〔2022〕</w:t>
      </w:r>
      <w:r>
        <w:rPr>
          <w:rFonts w:hint="eastAsia" w:ascii="仿宋_GB2312"/>
          <w:bCs/>
          <w:color w:val="000000"/>
          <w:sz w:val="32"/>
          <w:szCs w:val="32"/>
        </w:rPr>
        <w:t>22</w:t>
      </w:r>
      <w:r>
        <w:rPr>
          <w:rFonts w:hint="eastAsia" w:ascii="仿宋_GB2312" w:eastAsia="仿宋_GB2312"/>
          <w:bCs/>
          <w:color w:val="000000"/>
          <w:sz w:val="32"/>
          <w:szCs w:val="32"/>
        </w:rPr>
        <w:t>号），为深入贯彻落实中央国务院和省政府关于全面实施预算绩效管理文件精神，按照财政部《项目支出绩效评价管理办法》（财预</w:t>
      </w:r>
      <w:r>
        <w:rPr>
          <w:rFonts w:hint="eastAsia" w:ascii="宋体" w:hAnsi="宋体" w:cs="宋体"/>
          <w:bCs/>
          <w:color w:val="000000"/>
          <w:sz w:val="32"/>
          <w:szCs w:val="32"/>
        </w:rPr>
        <w:t>〔2020〕</w:t>
      </w:r>
      <w:r>
        <w:rPr>
          <w:rFonts w:hint="eastAsia" w:ascii="仿宋_GB2312" w:eastAsia="仿宋_GB2312"/>
          <w:bCs/>
          <w:color w:val="000000"/>
          <w:sz w:val="32"/>
          <w:szCs w:val="32"/>
        </w:rPr>
        <w:t>10号），《财政厅关于开展202</w:t>
      </w:r>
      <w:r>
        <w:rPr>
          <w:rFonts w:hint="eastAsia" w:ascii="仿宋_GB2312"/>
          <w:bCs/>
          <w:color w:val="000000"/>
          <w:sz w:val="32"/>
          <w:szCs w:val="32"/>
        </w:rPr>
        <w:t>2</w:t>
      </w:r>
      <w:r>
        <w:rPr>
          <w:rFonts w:hint="eastAsia" w:ascii="仿宋_GB2312" w:eastAsia="仿宋_GB2312"/>
          <w:bCs/>
          <w:color w:val="000000"/>
          <w:sz w:val="32"/>
          <w:szCs w:val="32"/>
        </w:rPr>
        <w:t>年部门、政策和项目支出绩效评价工作的通知》等文件精神，现将202</w:t>
      </w:r>
      <w:r>
        <w:rPr>
          <w:rFonts w:hint="eastAsia" w:ascii="仿宋_GB2312" w:eastAsia="仿宋_GB2312"/>
          <w:bCs/>
          <w:color w:val="000000"/>
          <w:sz w:val="32"/>
          <w:szCs w:val="32"/>
          <w:lang w:val="en-US" w:eastAsia="zh-CN"/>
        </w:rPr>
        <w:t>1</w:t>
      </w:r>
      <w:r>
        <w:rPr>
          <w:rFonts w:hint="eastAsia" w:ascii="仿宋_GB2312" w:eastAsia="仿宋_GB2312"/>
          <w:bCs/>
          <w:color w:val="000000"/>
          <w:sz w:val="32"/>
          <w:szCs w:val="32"/>
        </w:rPr>
        <w:t>年我单位开展部门整体支出绩效工作报告如下：</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ageBreakBefore w:val="0"/>
        <w:kinsoku/>
        <w:wordWrap/>
        <w:overflowPunct/>
        <w:topLinePunct w:val="0"/>
        <w:bidi w:val="0"/>
        <w:spacing w:line="600" w:lineRule="exact"/>
        <w:ind w:firstLine="584" w:firstLineChars="200"/>
        <w:textAlignment w:val="auto"/>
        <w:rPr>
          <w:rFonts w:ascii="楷体_GB2312" w:hAnsi="宋体" w:eastAsia="仿宋_GB2312" w:cs="宋体"/>
          <w:color w:val="000000"/>
          <w:spacing w:val="-14"/>
          <w:kern w:val="0"/>
          <w:sz w:val="32"/>
          <w:szCs w:val="32"/>
        </w:rPr>
      </w:pPr>
      <w:r>
        <w:rPr>
          <w:rFonts w:hint="eastAsia" w:ascii="楷体_GB2312" w:hAnsi="宋体" w:eastAsia="仿宋_GB2312" w:cs="宋体"/>
          <w:color w:val="000000"/>
          <w:spacing w:val="-14"/>
          <w:kern w:val="0"/>
          <w:sz w:val="32"/>
          <w:szCs w:val="32"/>
        </w:rPr>
        <w:t>金川县人大常委会是县人民代表大会的常设机构，内设办公室、法制工作委员会、财政经济工作委员会、教科文卫工作委员会及人事代表信访室。</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pageBreakBefore w:val="0"/>
        <w:widowControl/>
        <w:kinsoku/>
        <w:wordWrap/>
        <w:overflowPunct/>
        <w:topLinePunct w:val="0"/>
        <w:bidi w:val="0"/>
        <w:spacing w:line="600" w:lineRule="exact"/>
        <w:ind w:firstLine="584" w:firstLineChars="200"/>
        <w:textAlignment w:val="auto"/>
        <w:rPr>
          <w:rFonts w:ascii="楷体_GB2312" w:hAnsi="宋体" w:eastAsia="仿宋_GB2312" w:cs="宋体"/>
          <w:color w:val="000000"/>
          <w:spacing w:val="-14"/>
          <w:kern w:val="0"/>
          <w:sz w:val="32"/>
          <w:szCs w:val="32"/>
        </w:rPr>
      </w:pPr>
      <w:r>
        <w:rPr>
          <w:rFonts w:hint="eastAsia" w:ascii="楷体_GB2312" w:hAnsi="宋体" w:eastAsia="仿宋_GB2312" w:cs="宋体"/>
          <w:color w:val="000000"/>
          <w:spacing w:val="-14"/>
          <w:kern w:val="0"/>
          <w:sz w:val="32"/>
          <w:szCs w:val="32"/>
        </w:rPr>
        <w:t>县人大常委会办公室负责县人大机关工作的综合协调，密切与各工作委员会联系，当好常委会和主任会议的参谋，搞好下情上报，上情下达；承担代表大会会议、常委会会议和主任会议及其它会议的筹备工作和会务工作；负责上级和本会文件、资料的收发、打印、分发、传阅、清退、立卷、归档和印章的管理工作，做好保密、保卫、消防等工作；负责机关财务、财产、办公用品、办公设施、机关人事的管理工作，做好用车等机关后勤服务工作等等。</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pageBreakBefore w:val="0"/>
        <w:kinsoku/>
        <w:wordWrap/>
        <w:overflowPunct/>
        <w:topLinePunct w:val="0"/>
        <w:bidi w:val="0"/>
        <w:spacing w:line="600" w:lineRule="exact"/>
        <w:ind w:firstLine="640" w:firstLineChars="200"/>
        <w:textAlignment w:val="auto"/>
        <w:outlineLvl w:val="0"/>
        <w:rPr>
          <w:rFonts w:ascii="仿宋_GB2312" w:eastAsia="仿宋_GB2312"/>
          <w:color w:val="000000"/>
          <w:sz w:val="32"/>
          <w:szCs w:val="32"/>
        </w:rPr>
      </w:pPr>
      <w:r>
        <w:rPr>
          <w:rFonts w:hint="eastAsia" w:ascii="仿宋_GB2312" w:eastAsia="仿宋_GB2312"/>
          <w:color w:val="000000"/>
          <w:sz w:val="32"/>
          <w:szCs w:val="32"/>
        </w:rPr>
        <w:t>2021年度，人大机关决算汇编范围的独立核算单位共1个，无增减变动。</w:t>
      </w:r>
      <w:r>
        <w:rPr>
          <w:rFonts w:hint="eastAsia" w:ascii="仿宋_GB2312" w:eastAsia="仿宋_GB2312"/>
          <w:sz w:val="32"/>
          <w:szCs w:val="32"/>
        </w:rPr>
        <w:t>2021年独立编制单位机构数为1个。</w:t>
      </w:r>
      <w:r>
        <w:rPr>
          <w:rFonts w:hint="eastAsia" w:ascii="仿宋_GB2312" w:eastAsia="仿宋_GB2312"/>
          <w:color w:val="000000"/>
          <w:sz w:val="32"/>
          <w:szCs w:val="32"/>
        </w:rPr>
        <w:t>截止2021年末，单位实有人数35人，</w:t>
      </w:r>
      <w:r>
        <w:rPr>
          <w:rFonts w:hint="eastAsia" w:ascii="仿宋_GB2312" w:eastAsia="仿宋_GB2312"/>
          <w:sz w:val="32"/>
          <w:szCs w:val="32"/>
        </w:rPr>
        <w:t>其中：在职34人</w:t>
      </w:r>
      <w:r>
        <w:rPr>
          <w:rFonts w:hint="eastAsia" w:ascii="仿宋_GB2312" w:eastAsia="仿宋_GB2312"/>
          <w:color w:val="000000"/>
          <w:sz w:val="32"/>
          <w:szCs w:val="32"/>
        </w:rPr>
        <w:t>（公务员28人、事业人员1人、行政工勤5人）</w:t>
      </w:r>
      <w:r>
        <w:rPr>
          <w:rFonts w:hint="eastAsia" w:ascii="仿宋_GB2312" w:eastAsia="仿宋_GB2312"/>
          <w:sz w:val="32"/>
          <w:szCs w:val="32"/>
        </w:rPr>
        <w:t>，离休1人，遗属4人。</w:t>
      </w:r>
      <w:r>
        <w:rPr>
          <w:rFonts w:hint="eastAsia" w:ascii="仿宋_GB2312" w:eastAsia="仿宋_GB2312"/>
          <w:color w:val="000000"/>
          <w:sz w:val="32"/>
          <w:szCs w:val="32"/>
        </w:rPr>
        <w:t>退休人员工资继续由社保部门发放。</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cs="宋体"/>
          <w:color w:val="000000"/>
          <w:kern w:val="0"/>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pageBreakBefore w:val="0"/>
        <w:kinsoku/>
        <w:wordWrap/>
        <w:overflowPunct/>
        <w:topLinePunct w:val="0"/>
        <w:bidi w:val="0"/>
        <w:spacing w:line="60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color w:val="000000"/>
          <w:sz w:val="32"/>
          <w:szCs w:val="32"/>
          <w:lang w:val="en-US" w:eastAsia="zh-CN"/>
        </w:rPr>
        <w:t>1.</w:t>
      </w:r>
      <w:r>
        <w:rPr>
          <w:rFonts w:ascii="仿宋_GB2312" w:hAnsi="仿宋" w:eastAsia="仿宋_GB2312" w:cs="仿宋"/>
          <w:color w:val="000000"/>
          <w:sz w:val="32"/>
          <w:szCs w:val="32"/>
        </w:rPr>
        <w:t>202</w:t>
      </w:r>
      <w:r>
        <w:rPr>
          <w:rFonts w:hint="eastAsia" w:ascii="仿宋_GB2312" w:hAnsi="仿宋" w:eastAsia="仿宋_GB2312" w:cs="仿宋"/>
          <w:color w:val="000000"/>
          <w:sz w:val="32"/>
          <w:szCs w:val="32"/>
        </w:rPr>
        <w:t>1</w:t>
      </w:r>
      <w:r>
        <w:rPr>
          <w:rFonts w:ascii="仿宋_GB2312" w:hAnsi="仿宋" w:eastAsia="仿宋_GB2312" w:cs="仿宋"/>
          <w:color w:val="000000"/>
          <w:sz w:val="32"/>
          <w:szCs w:val="32"/>
        </w:rPr>
        <w:t>年</w:t>
      </w:r>
      <w:r>
        <w:rPr>
          <w:rFonts w:hint="eastAsia" w:ascii="仿宋_GB2312" w:hAnsi="仿宋" w:eastAsia="仿宋_GB2312" w:cs="仿宋"/>
          <w:bCs/>
          <w:color w:val="000000"/>
          <w:sz w:val="32"/>
          <w:szCs w:val="32"/>
        </w:rPr>
        <w:t>一般</w:t>
      </w:r>
      <w:r>
        <w:rPr>
          <w:rFonts w:hint="eastAsia" w:ascii="仿宋_GB2312" w:hAnsi="仿宋" w:eastAsia="仿宋_GB2312" w:cs="仿宋"/>
          <w:color w:val="000000"/>
          <w:sz w:val="32"/>
          <w:szCs w:val="32"/>
        </w:rPr>
        <w:t>公共预算财政拨款收入</w:t>
      </w:r>
      <w:r>
        <w:rPr>
          <w:rFonts w:hint="eastAsia" w:ascii="仿宋_GB2312" w:eastAsia="仿宋_GB2312"/>
          <w:color w:val="000000"/>
          <w:spacing w:val="-2"/>
          <w:sz w:val="32"/>
          <w:szCs w:val="32"/>
        </w:rPr>
        <w:t>1117.58</w:t>
      </w:r>
      <w:r>
        <w:rPr>
          <w:rFonts w:hint="eastAsia" w:ascii="仿宋_GB2312" w:hAnsi="仿宋" w:eastAsia="仿宋_GB2312" w:cs="仿宋"/>
          <w:color w:val="000000"/>
          <w:sz w:val="32"/>
          <w:szCs w:val="32"/>
        </w:rPr>
        <w:t>万元，政府性基金预算财政拨款收入</w:t>
      </w:r>
      <w:r>
        <w:rPr>
          <w:rFonts w:ascii="仿宋_GB2312" w:hAnsi="仿宋" w:eastAsia="仿宋_GB2312" w:cs="仿宋"/>
          <w:color w:val="000000"/>
          <w:sz w:val="32"/>
          <w:szCs w:val="32"/>
        </w:rPr>
        <w:t>0</w:t>
      </w:r>
      <w:r>
        <w:rPr>
          <w:rFonts w:hint="eastAsia" w:ascii="仿宋_GB2312" w:hAnsi="仿宋" w:eastAsia="仿宋_GB2312" w:cs="仿宋"/>
          <w:color w:val="000000"/>
          <w:sz w:val="32"/>
          <w:szCs w:val="32"/>
        </w:rPr>
        <w:t>万元，年初财政拨款结转资金为0万元</w:t>
      </w:r>
      <w:r>
        <w:rPr>
          <w:rFonts w:hint="eastAsia" w:ascii="仿宋_GB2312" w:hAnsi="仿宋" w:eastAsia="仿宋_GB2312" w:cs="仿宋"/>
          <w:sz w:val="32"/>
          <w:szCs w:val="32"/>
        </w:rPr>
        <w:t>，其中：人员经费833.38万元，公用经费40.92万元，项目经费243.28万元。</w:t>
      </w:r>
    </w:p>
    <w:p>
      <w:pPr>
        <w:pageBreakBefore w:val="0"/>
        <w:widowControl/>
        <w:kinsoku/>
        <w:wordWrap/>
        <w:overflowPunct/>
        <w:topLinePunct w:val="0"/>
        <w:bidi w:val="0"/>
        <w:adjustRightInd w:val="0"/>
        <w:snapToGrid w:val="0"/>
        <w:spacing w:line="600" w:lineRule="exact"/>
        <w:ind w:firstLine="640" w:firstLineChars="200"/>
        <w:textAlignment w:val="auto"/>
        <w:rPr>
          <w:rFonts w:ascii="仿宋_GB2312" w:eastAsia="仿宋_GB2312"/>
          <w:color w:val="FF0000"/>
          <w:sz w:val="32"/>
          <w:szCs w:val="32"/>
        </w:rPr>
      </w:pP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2022年1至6月县人大办收入合计</w:t>
      </w:r>
      <w:r>
        <w:rPr>
          <w:rFonts w:hint="eastAsia" w:ascii="仿宋_GB2312" w:hAnsi="仿宋" w:eastAsia="仿宋_GB2312" w:cs="仿宋"/>
          <w:sz w:val="32"/>
          <w:szCs w:val="32"/>
          <w:lang w:val="en-US" w:eastAsia="zh-CN"/>
        </w:rPr>
        <w:t>677.95</w:t>
      </w:r>
      <w:r>
        <w:rPr>
          <w:rFonts w:hint="eastAsia" w:ascii="仿宋_GB2312" w:hAnsi="仿宋" w:eastAsia="仿宋_GB2312" w:cs="仿宋"/>
          <w:sz w:val="32"/>
          <w:szCs w:val="32"/>
        </w:rPr>
        <w:t>万元，其中：一般公共预算财政拨款收入</w:t>
      </w:r>
      <w:r>
        <w:rPr>
          <w:rFonts w:hint="eastAsia" w:ascii="仿宋_GB2312" w:hAnsi="仿宋" w:eastAsia="仿宋_GB2312" w:cs="仿宋"/>
          <w:sz w:val="32"/>
          <w:szCs w:val="32"/>
          <w:lang w:val="en-US" w:eastAsia="zh-CN"/>
        </w:rPr>
        <w:t>677.95</w:t>
      </w:r>
      <w:r>
        <w:rPr>
          <w:rFonts w:hint="eastAsia" w:ascii="仿宋_GB2312" w:hAnsi="仿宋" w:eastAsia="仿宋_GB2312" w:cs="仿宋"/>
          <w:sz w:val="32"/>
          <w:szCs w:val="32"/>
        </w:rPr>
        <w:t>万元。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560" w:lineRule="exact"/>
        <w:ind w:firstLine="720"/>
        <w:jc w:val="left"/>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1、202</w:t>
      </w:r>
      <w:r>
        <w:rPr>
          <w:rFonts w:hint="eastAsia" w:ascii="仿宋_GB2312" w:hAnsi="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bidi="ar"/>
        </w:rPr>
        <w:t>年支出</w:t>
      </w:r>
    </w:p>
    <w:p>
      <w:pPr>
        <w:pageBreakBefore w:val="0"/>
        <w:kinsoku/>
        <w:wordWrap/>
        <w:overflowPunct/>
        <w:topLinePunct w:val="0"/>
        <w:bidi w:val="0"/>
        <w:spacing w:line="600" w:lineRule="exact"/>
        <w:ind w:firstLine="640" w:firstLineChars="200"/>
        <w:textAlignment w:val="auto"/>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2021年一般公共预算财政拨款基本支出874.3万元，其中：</w:t>
      </w:r>
    </w:p>
    <w:p>
      <w:pPr>
        <w:pageBreakBefore w:val="0"/>
        <w:kinsoku/>
        <w:wordWrap/>
        <w:overflowPunct/>
        <w:topLinePunct w:val="0"/>
        <w:bidi w:val="0"/>
        <w:spacing w:line="600" w:lineRule="exact"/>
        <w:ind w:firstLine="640" w:firstLineChars="200"/>
        <w:textAlignment w:val="auto"/>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人员经费833.38万元，主要包括：基本工资170.32万元、津贴补贴186.61万元、奖金14.98万元、机关事业单位基本养老保险缴费58万元、职业年金缴费29万元、职工基本医疗保险缴费25.67万元、公务员医疗补助缴费11.54万元、其他社会保障缴费1.08万元、生活补助23.86万元、离休费15.18万元、住房公积金58.85万元、奖励金238.29万元。</w:t>
      </w:r>
    </w:p>
    <w:p>
      <w:pPr>
        <w:pageBreakBefore w:val="0"/>
        <w:kinsoku/>
        <w:wordWrap/>
        <w:overflowPunct/>
        <w:topLinePunct w:val="0"/>
        <w:bidi w:val="0"/>
        <w:spacing w:line="600" w:lineRule="exact"/>
        <w:ind w:firstLine="640" w:firstLineChars="200"/>
        <w:textAlignment w:val="auto"/>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公用经费40.92万元，主要包括：办公费3.7万元、手续费0.07万元、差旅费10万元、维修（护）费0.44万元、会议费2.44万元、劳务费2万元、福利费2.27万元、公务用车运行维护费20万元。</w:t>
      </w:r>
    </w:p>
    <w:p>
      <w:pPr>
        <w:pageBreakBefore w:val="0"/>
        <w:kinsoku/>
        <w:wordWrap/>
        <w:overflowPunct/>
        <w:topLinePunct w:val="0"/>
        <w:bidi w:val="0"/>
        <w:spacing w:line="600" w:lineRule="exact"/>
        <w:ind w:firstLine="640" w:firstLineChars="200"/>
        <w:textAlignment w:val="auto"/>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项目支出243.28万元，其中：一般行政管理事务支出48.41万元，其他人大事务40.49万元,代表工作151.57万元，教育支出2.82万元。</w:t>
      </w:r>
    </w:p>
    <w:p>
      <w:pPr>
        <w:spacing w:line="600" w:lineRule="exact"/>
        <w:rPr>
          <w:rFonts w:hint="eastAsia" w:ascii="仿宋_GB2312" w:hAnsi="仿宋_GB2312" w:eastAsia="仿宋_GB2312" w:cs="仿宋_GB2312"/>
          <w:color w:val="FF0000"/>
          <w:kern w:val="0"/>
          <w:sz w:val="32"/>
          <w:szCs w:val="32"/>
          <w:lang w:bidi="ar"/>
        </w:rPr>
      </w:pPr>
      <w:r>
        <w:rPr>
          <w:rFonts w:hint="eastAsia" w:ascii="仿宋_GB2312" w:hAnsi="仿宋_GB2312" w:eastAsia="仿宋_GB2312" w:cs="仿宋_GB2312"/>
          <w:color w:val="FF0000"/>
          <w:kern w:val="0"/>
          <w:sz w:val="32"/>
          <w:szCs w:val="32"/>
          <w:lang w:bidi="ar"/>
        </w:rPr>
        <w:t>　　</w:t>
      </w:r>
      <w:r>
        <w:rPr>
          <w:rFonts w:hint="eastAsia" w:ascii="仿宋_GB2312" w:hAnsi="仿宋_GB2312" w:eastAsia="仿宋_GB2312" w:cs="仿宋_GB2312"/>
          <w:color w:val="auto"/>
          <w:kern w:val="0"/>
          <w:sz w:val="32"/>
          <w:szCs w:val="32"/>
          <w:lang w:bidi="ar"/>
        </w:rPr>
        <w:t>2、202</w:t>
      </w:r>
      <w:r>
        <w:rPr>
          <w:rFonts w:hint="eastAsia" w:ascii="仿宋_GB2312" w:hAnsi="仿宋_GB2312" w:cs="仿宋_GB2312"/>
          <w:color w:val="auto"/>
          <w:kern w:val="0"/>
          <w:sz w:val="32"/>
          <w:szCs w:val="32"/>
          <w:lang w:val="en-US" w:eastAsia="zh-CN" w:bidi="ar"/>
        </w:rPr>
        <w:t>2</w:t>
      </w:r>
      <w:r>
        <w:rPr>
          <w:rFonts w:hint="eastAsia" w:ascii="仿宋_GB2312" w:hAnsi="仿宋_GB2312" w:eastAsia="仿宋_GB2312" w:cs="仿宋_GB2312"/>
          <w:color w:val="auto"/>
          <w:kern w:val="0"/>
          <w:sz w:val="32"/>
          <w:szCs w:val="32"/>
          <w:lang w:bidi="ar"/>
        </w:rPr>
        <w:t>年1-6月支出　</w:t>
      </w:r>
    </w:p>
    <w:p>
      <w:pPr>
        <w:pageBreakBefore w:val="0"/>
        <w:widowControl/>
        <w:kinsoku/>
        <w:wordWrap/>
        <w:overflowPunct/>
        <w:topLinePunct w:val="0"/>
        <w:bidi w:val="0"/>
        <w:adjustRightInd w:val="0"/>
        <w:snapToGrid w:val="0"/>
        <w:spacing w:line="600" w:lineRule="exact"/>
        <w:ind w:firstLine="640" w:firstLineChars="200"/>
        <w:textAlignment w:val="auto"/>
        <w:rPr>
          <w:rFonts w:ascii="仿宋_GB2312" w:eastAsia="仿宋_GB2312"/>
          <w:color w:val="FF0000"/>
          <w:sz w:val="32"/>
          <w:szCs w:val="32"/>
        </w:rPr>
      </w:pPr>
      <w:r>
        <w:rPr>
          <w:rFonts w:hint="eastAsia" w:ascii="仿宋_GB2312" w:eastAsia="仿宋_GB2312"/>
          <w:color w:val="auto"/>
          <w:sz w:val="32"/>
          <w:szCs w:val="32"/>
        </w:rPr>
        <w:t>2022年1至6月县人大办支出合计</w:t>
      </w:r>
      <w:r>
        <w:rPr>
          <w:rFonts w:hint="eastAsia" w:ascii="仿宋_GB2312" w:eastAsia="仿宋_GB2312"/>
          <w:color w:val="auto"/>
          <w:sz w:val="32"/>
          <w:szCs w:val="32"/>
          <w:lang w:val="en-US" w:eastAsia="zh-CN"/>
        </w:rPr>
        <w:t>677.95</w:t>
      </w:r>
      <w:r>
        <w:rPr>
          <w:rFonts w:hint="eastAsia" w:ascii="仿宋_GB2312" w:eastAsia="仿宋_GB2312"/>
          <w:color w:val="auto"/>
          <w:sz w:val="32"/>
          <w:szCs w:val="32"/>
        </w:rPr>
        <w:t>万元。</w:t>
      </w:r>
    </w:p>
    <w:p>
      <w:pPr>
        <w:pageBreakBefore w:val="0"/>
        <w:widowControl/>
        <w:kinsoku/>
        <w:wordWrap/>
        <w:overflowPunct/>
        <w:topLinePunct w:val="0"/>
        <w:bidi w:val="0"/>
        <w:adjustRightInd w:val="0"/>
        <w:snapToGrid w:val="0"/>
        <w:spacing w:line="6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一般公共预算财政拨款基本支出合计</w:t>
      </w:r>
      <w:r>
        <w:rPr>
          <w:rFonts w:hint="eastAsia" w:ascii="仿宋_GB2312" w:eastAsia="仿宋_GB2312"/>
          <w:color w:val="auto"/>
          <w:sz w:val="32"/>
          <w:szCs w:val="32"/>
          <w:lang w:val="en-US" w:eastAsia="zh-CN"/>
        </w:rPr>
        <w:t>498.92</w:t>
      </w:r>
      <w:r>
        <w:rPr>
          <w:rFonts w:hint="eastAsia" w:ascii="仿宋_GB2312" w:eastAsia="仿宋_GB2312"/>
          <w:color w:val="auto"/>
          <w:sz w:val="32"/>
          <w:szCs w:val="32"/>
        </w:rPr>
        <w:t>万元。其中：人员经费支出</w:t>
      </w:r>
      <w:r>
        <w:rPr>
          <w:rFonts w:hint="eastAsia" w:ascii="仿宋_GB2312" w:eastAsia="仿宋_GB2312"/>
          <w:color w:val="auto"/>
          <w:sz w:val="32"/>
          <w:szCs w:val="32"/>
          <w:lang w:val="en-US" w:eastAsia="zh-CN"/>
        </w:rPr>
        <w:t>476.04</w:t>
      </w:r>
      <w:r>
        <w:rPr>
          <w:rFonts w:hint="eastAsia" w:ascii="仿宋_GB2312" w:eastAsia="仿宋_GB2312"/>
          <w:color w:val="auto"/>
          <w:sz w:val="32"/>
          <w:szCs w:val="32"/>
        </w:rPr>
        <w:t>万元（含：基本工资</w:t>
      </w:r>
      <w:r>
        <w:rPr>
          <w:rFonts w:hint="eastAsia" w:ascii="仿宋_GB2312" w:eastAsia="仿宋_GB2312"/>
          <w:color w:val="auto"/>
          <w:sz w:val="32"/>
          <w:szCs w:val="32"/>
          <w:lang w:val="en-US" w:eastAsia="zh-CN"/>
        </w:rPr>
        <w:t>116.19</w:t>
      </w:r>
      <w:r>
        <w:rPr>
          <w:rFonts w:hint="eastAsia" w:ascii="仿宋_GB2312" w:eastAsia="仿宋_GB2312"/>
          <w:color w:val="auto"/>
          <w:sz w:val="32"/>
          <w:szCs w:val="32"/>
        </w:rPr>
        <w:t>万元，津贴补贴</w:t>
      </w:r>
      <w:r>
        <w:rPr>
          <w:rFonts w:hint="eastAsia" w:ascii="仿宋_GB2312" w:eastAsia="仿宋_GB2312"/>
          <w:color w:val="auto"/>
          <w:sz w:val="32"/>
          <w:szCs w:val="32"/>
          <w:lang w:val="en-US" w:eastAsia="zh-CN"/>
        </w:rPr>
        <w:t>106.69</w:t>
      </w:r>
      <w:r>
        <w:rPr>
          <w:rFonts w:hint="eastAsia" w:ascii="仿宋_GB2312" w:eastAsia="仿宋_GB2312"/>
          <w:color w:val="auto"/>
          <w:sz w:val="32"/>
          <w:szCs w:val="32"/>
        </w:rPr>
        <w:t>万元，</w:t>
      </w:r>
      <w:r>
        <w:rPr>
          <w:rFonts w:hint="eastAsia" w:ascii="仿宋_GB2312" w:eastAsia="仿宋_GB2312"/>
          <w:color w:val="auto"/>
          <w:sz w:val="32"/>
          <w:szCs w:val="32"/>
          <w:lang w:eastAsia="zh-CN"/>
        </w:rPr>
        <w:t>奖金</w:t>
      </w:r>
      <w:r>
        <w:rPr>
          <w:rFonts w:hint="eastAsia" w:ascii="仿宋_GB2312" w:eastAsia="仿宋_GB2312"/>
          <w:color w:val="auto"/>
          <w:sz w:val="32"/>
          <w:szCs w:val="32"/>
          <w:lang w:val="en-US" w:eastAsia="zh-CN"/>
        </w:rPr>
        <w:t>41.19</w:t>
      </w:r>
      <w:r>
        <w:rPr>
          <w:rFonts w:hint="eastAsia" w:ascii="仿宋_GB2312" w:eastAsia="仿宋_GB2312"/>
          <w:color w:val="auto"/>
          <w:sz w:val="32"/>
          <w:szCs w:val="32"/>
          <w:lang w:eastAsia="zh-CN"/>
        </w:rPr>
        <w:t>万元，</w:t>
      </w:r>
      <w:r>
        <w:rPr>
          <w:rFonts w:hint="eastAsia" w:ascii="仿宋_GB2312" w:eastAsia="仿宋_GB2312"/>
          <w:color w:val="auto"/>
          <w:sz w:val="32"/>
          <w:szCs w:val="32"/>
        </w:rPr>
        <w:t>其他社会保障缴费</w:t>
      </w:r>
      <w:r>
        <w:rPr>
          <w:rFonts w:hint="eastAsia" w:ascii="仿宋_GB2312" w:eastAsia="仿宋_GB2312"/>
          <w:color w:val="auto"/>
          <w:sz w:val="32"/>
          <w:szCs w:val="32"/>
          <w:lang w:val="en-US" w:eastAsia="zh-CN"/>
        </w:rPr>
        <w:t>0.54</w:t>
      </w:r>
      <w:r>
        <w:rPr>
          <w:rFonts w:hint="eastAsia" w:ascii="仿宋_GB2312" w:eastAsia="仿宋_GB2312"/>
          <w:color w:val="auto"/>
          <w:sz w:val="32"/>
          <w:szCs w:val="32"/>
        </w:rPr>
        <w:t>万元，绩效工资</w:t>
      </w:r>
      <w:r>
        <w:rPr>
          <w:rFonts w:hint="eastAsia" w:ascii="仿宋_GB2312" w:eastAsia="仿宋_GB2312"/>
          <w:color w:val="auto"/>
          <w:sz w:val="32"/>
          <w:szCs w:val="32"/>
          <w:lang w:val="en-US" w:eastAsia="zh-CN"/>
        </w:rPr>
        <w:t>1.27</w:t>
      </w:r>
      <w:r>
        <w:rPr>
          <w:rFonts w:hint="eastAsia" w:ascii="仿宋_GB2312" w:eastAsia="仿宋_GB2312"/>
          <w:color w:val="auto"/>
          <w:sz w:val="32"/>
          <w:szCs w:val="32"/>
        </w:rPr>
        <w:t>万元，离休费</w:t>
      </w:r>
      <w:r>
        <w:rPr>
          <w:rFonts w:hint="eastAsia" w:ascii="仿宋_GB2312" w:eastAsia="仿宋_GB2312"/>
          <w:color w:val="auto"/>
          <w:sz w:val="32"/>
          <w:szCs w:val="32"/>
          <w:lang w:val="en-US" w:eastAsia="zh-CN"/>
        </w:rPr>
        <w:t>10.17</w:t>
      </w:r>
      <w:r>
        <w:rPr>
          <w:rFonts w:hint="eastAsia" w:ascii="仿宋_GB2312" w:eastAsia="仿宋_GB2312"/>
          <w:color w:val="auto"/>
          <w:sz w:val="32"/>
          <w:szCs w:val="32"/>
        </w:rPr>
        <w:t>万元，退休费</w:t>
      </w:r>
      <w:r>
        <w:rPr>
          <w:rFonts w:hint="eastAsia" w:ascii="仿宋_GB2312" w:eastAsia="仿宋_GB2312"/>
          <w:color w:val="auto"/>
          <w:sz w:val="32"/>
          <w:szCs w:val="32"/>
          <w:lang w:val="en-US" w:eastAsia="zh-CN"/>
        </w:rPr>
        <w:t>14.81</w:t>
      </w:r>
      <w:r>
        <w:rPr>
          <w:rFonts w:hint="eastAsia" w:ascii="仿宋_GB2312" w:eastAsia="仿宋_GB2312"/>
          <w:color w:val="auto"/>
          <w:sz w:val="32"/>
          <w:szCs w:val="32"/>
        </w:rPr>
        <w:t>万元，奖励金</w:t>
      </w:r>
      <w:r>
        <w:rPr>
          <w:rFonts w:hint="eastAsia" w:ascii="仿宋_GB2312" w:eastAsia="仿宋_GB2312"/>
          <w:color w:val="auto"/>
          <w:sz w:val="32"/>
          <w:szCs w:val="32"/>
          <w:lang w:val="en-US" w:eastAsia="zh-CN"/>
        </w:rPr>
        <w:t>89.28</w:t>
      </w:r>
      <w:r>
        <w:rPr>
          <w:rFonts w:hint="eastAsia" w:ascii="仿宋_GB2312" w:eastAsia="仿宋_GB2312"/>
          <w:color w:val="auto"/>
          <w:sz w:val="32"/>
          <w:szCs w:val="32"/>
        </w:rPr>
        <w:t>万元，养老保险支出</w:t>
      </w:r>
      <w:r>
        <w:rPr>
          <w:rFonts w:hint="eastAsia" w:ascii="仿宋_GB2312" w:eastAsia="仿宋_GB2312"/>
          <w:color w:val="auto"/>
          <w:sz w:val="32"/>
          <w:szCs w:val="32"/>
          <w:lang w:val="en-US" w:eastAsia="zh-CN"/>
        </w:rPr>
        <w:t>29.75</w:t>
      </w:r>
      <w:r>
        <w:rPr>
          <w:rFonts w:hint="eastAsia" w:ascii="仿宋_GB2312" w:eastAsia="仿宋_GB2312"/>
          <w:color w:val="auto"/>
          <w:sz w:val="32"/>
          <w:szCs w:val="32"/>
        </w:rPr>
        <w:t>万元，职业年金14.</w:t>
      </w:r>
      <w:r>
        <w:rPr>
          <w:rFonts w:hint="eastAsia" w:ascii="仿宋_GB2312" w:eastAsia="仿宋_GB2312"/>
          <w:color w:val="auto"/>
          <w:sz w:val="32"/>
          <w:szCs w:val="32"/>
          <w:lang w:val="en-US" w:eastAsia="zh-CN"/>
        </w:rPr>
        <w:t>88</w:t>
      </w:r>
      <w:r>
        <w:rPr>
          <w:rFonts w:hint="eastAsia" w:ascii="仿宋_GB2312" w:eastAsia="仿宋_GB2312"/>
          <w:color w:val="auto"/>
          <w:sz w:val="32"/>
          <w:szCs w:val="32"/>
        </w:rPr>
        <w:t>万元，行政单位医疗</w:t>
      </w:r>
      <w:r>
        <w:rPr>
          <w:rFonts w:hint="eastAsia" w:ascii="仿宋_GB2312" w:eastAsia="仿宋_GB2312"/>
          <w:color w:val="auto"/>
          <w:sz w:val="32"/>
          <w:szCs w:val="32"/>
          <w:lang w:val="en-US" w:eastAsia="zh-CN"/>
        </w:rPr>
        <w:t>12.82</w:t>
      </w:r>
      <w:r>
        <w:rPr>
          <w:rFonts w:hint="eastAsia" w:ascii="仿宋_GB2312" w:eastAsia="仿宋_GB2312"/>
          <w:color w:val="auto"/>
          <w:sz w:val="32"/>
          <w:szCs w:val="32"/>
        </w:rPr>
        <w:t>万元，</w:t>
      </w:r>
      <w:r>
        <w:rPr>
          <w:rFonts w:hint="eastAsia" w:ascii="仿宋_GB2312" w:eastAsia="仿宋_GB2312"/>
          <w:color w:val="auto"/>
          <w:sz w:val="32"/>
          <w:szCs w:val="32"/>
          <w:lang w:eastAsia="zh-CN"/>
        </w:rPr>
        <w:t>事业单位医疗</w:t>
      </w:r>
      <w:r>
        <w:rPr>
          <w:rFonts w:hint="eastAsia" w:ascii="仿宋_GB2312" w:eastAsia="仿宋_GB2312"/>
          <w:color w:val="auto"/>
          <w:sz w:val="32"/>
          <w:szCs w:val="32"/>
          <w:lang w:val="en-US" w:eastAsia="zh-CN"/>
        </w:rPr>
        <w:t>0.26万元，</w:t>
      </w:r>
      <w:r>
        <w:rPr>
          <w:rFonts w:hint="eastAsia" w:ascii="仿宋_GB2312" w:eastAsia="仿宋_GB2312"/>
          <w:color w:val="auto"/>
          <w:sz w:val="32"/>
          <w:szCs w:val="32"/>
        </w:rPr>
        <w:t>公务员医疗补助</w:t>
      </w:r>
      <w:r>
        <w:rPr>
          <w:rFonts w:hint="eastAsia" w:ascii="仿宋_GB2312" w:eastAsia="仿宋_GB2312"/>
          <w:color w:val="auto"/>
          <w:sz w:val="32"/>
          <w:szCs w:val="32"/>
          <w:lang w:val="en-US" w:eastAsia="zh-CN"/>
        </w:rPr>
        <w:t>5.98</w:t>
      </w:r>
      <w:r>
        <w:rPr>
          <w:rFonts w:hint="eastAsia" w:ascii="仿宋_GB2312" w:eastAsia="仿宋_GB2312"/>
          <w:color w:val="auto"/>
          <w:sz w:val="32"/>
          <w:szCs w:val="32"/>
        </w:rPr>
        <w:t>万元，住房公积金</w:t>
      </w:r>
      <w:r>
        <w:rPr>
          <w:rFonts w:hint="eastAsia" w:ascii="仿宋_GB2312" w:eastAsia="仿宋_GB2312"/>
          <w:color w:val="auto"/>
          <w:sz w:val="32"/>
          <w:szCs w:val="32"/>
          <w:lang w:val="en-US" w:eastAsia="zh-CN"/>
        </w:rPr>
        <w:t>32.21</w:t>
      </w:r>
      <w:r>
        <w:rPr>
          <w:rFonts w:hint="eastAsia" w:ascii="仿宋_GB2312" w:eastAsia="仿宋_GB2312"/>
          <w:color w:val="auto"/>
          <w:sz w:val="32"/>
          <w:szCs w:val="32"/>
        </w:rPr>
        <w:t>万元）；日常公用经费支出</w:t>
      </w:r>
      <w:r>
        <w:rPr>
          <w:rFonts w:hint="eastAsia" w:ascii="仿宋_GB2312" w:eastAsia="仿宋_GB2312"/>
          <w:color w:val="auto"/>
          <w:sz w:val="32"/>
          <w:szCs w:val="32"/>
          <w:lang w:val="en-US" w:eastAsia="zh-CN"/>
        </w:rPr>
        <w:t>22.88</w:t>
      </w:r>
      <w:r>
        <w:rPr>
          <w:rFonts w:hint="eastAsia" w:ascii="仿宋_GB2312" w:eastAsia="仿宋_GB2312"/>
          <w:color w:val="auto"/>
          <w:sz w:val="32"/>
          <w:szCs w:val="32"/>
        </w:rPr>
        <w:t>万元（含：办公费</w:t>
      </w:r>
      <w:r>
        <w:rPr>
          <w:rFonts w:hint="eastAsia" w:ascii="仿宋_GB2312" w:eastAsia="仿宋_GB2312"/>
          <w:color w:val="auto"/>
          <w:sz w:val="32"/>
          <w:szCs w:val="32"/>
          <w:lang w:val="en-US" w:eastAsia="zh-CN"/>
        </w:rPr>
        <w:t>0.95</w:t>
      </w:r>
      <w:r>
        <w:rPr>
          <w:rFonts w:hint="eastAsia" w:ascii="仿宋_GB2312" w:eastAsia="仿宋_GB2312"/>
          <w:color w:val="auto"/>
          <w:sz w:val="32"/>
          <w:szCs w:val="32"/>
        </w:rPr>
        <w:t>万元，差旅费</w:t>
      </w:r>
      <w:r>
        <w:rPr>
          <w:rFonts w:hint="eastAsia" w:ascii="仿宋_GB2312" w:eastAsia="仿宋_GB2312"/>
          <w:color w:val="auto"/>
          <w:sz w:val="32"/>
          <w:szCs w:val="32"/>
          <w:lang w:val="en-US" w:eastAsia="zh-CN"/>
        </w:rPr>
        <w:t>7.54</w:t>
      </w:r>
      <w:r>
        <w:rPr>
          <w:rFonts w:hint="eastAsia" w:ascii="仿宋_GB2312" w:eastAsia="仿宋_GB2312"/>
          <w:color w:val="auto"/>
          <w:sz w:val="32"/>
          <w:szCs w:val="32"/>
        </w:rPr>
        <w:t>万元，维修（护）费0.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万元，福利费0.</w:t>
      </w:r>
      <w:r>
        <w:rPr>
          <w:rFonts w:hint="eastAsia" w:ascii="仿宋_GB2312" w:eastAsia="仿宋_GB2312"/>
          <w:color w:val="auto"/>
          <w:sz w:val="32"/>
          <w:szCs w:val="32"/>
          <w:lang w:val="en-US" w:eastAsia="zh-CN"/>
        </w:rPr>
        <w:t>32</w:t>
      </w:r>
      <w:r>
        <w:rPr>
          <w:rFonts w:hint="eastAsia" w:ascii="仿宋_GB2312" w:eastAsia="仿宋_GB2312"/>
          <w:color w:val="auto"/>
          <w:sz w:val="32"/>
          <w:szCs w:val="32"/>
        </w:rPr>
        <w:t>万元，公务用车运行维护费</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万元，</w:t>
      </w:r>
      <w:r>
        <w:rPr>
          <w:rFonts w:hint="eastAsia" w:ascii="仿宋_GB2312" w:eastAsia="仿宋_GB2312"/>
          <w:color w:val="auto"/>
          <w:sz w:val="32"/>
          <w:szCs w:val="32"/>
          <w:lang w:eastAsia="zh-CN"/>
        </w:rPr>
        <w:t>生活补助</w:t>
      </w:r>
      <w:r>
        <w:rPr>
          <w:rFonts w:hint="eastAsia" w:ascii="仿宋_GB2312" w:eastAsia="仿宋_GB2312"/>
          <w:color w:val="auto"/>
          <w:sz w:val="32"/>
          <w:szCs w:val="32"/>
          <w:lang w:val="en-US" w:eastAsia="zh-CN"/>
        </w:rPr>
        <w:t>1.84万元</w:t>
      </w:r>
      <w:r>
        <w:rPr>
          <w:rFonts w:hint="eastAsia" w:ascii="仿宋_GB2312" w:eastAsia="仿宋_GB2312"/>
          <w:color w:val="auto"/>
          <w:sz w:val="32"/>
          <w:szCs w:val="32"/>
        </w:rPr>
        <w:t>）。</w:t>
      </w:r>
    </w:p>
    <w:p>
      <w:pPr>
        <w:widowControl/>
        <w:adjustRightInd w:val="0"/>
        <w:snapToGrid w:val="0"/>
        <w:spacing w:line="580" w:lineRule="exact"/>
        <w:ind w:firstLine="640" w:firstLineChars="200"/>
        <w:contextualSpacing/>
        <w:jc w:val="left"/>
        <w:rPr>
          <w:rFonts w:hint="eastAsia" w:ascii="仿宋_GB2312" w:eastAsia="仿宋_GB2312"/>
          <w:color w:val="auto"/>
          <w:sz w:val="32"/>
          <w:szCs w:val="32"/>
          <w:lang w:eastAsia="zh-CN"/>
        </w:rPr>
      </w:pPr>
      <w:r>
        <w:rPr>
          <w:rFonts w:hint="eastAsia" w:ascii="仿宋_GB2312" w:eastAsia="仿宋_GB2312"/>
          <w:color w:val="auto"/>
          <w:sz w:val="32"/>
          <w:szCs w:val="32"/>
        </w:rPr>
        <w:t>2022年1至6月县人大办行政事业类项目支出</w:t>
      </w:r>
      <w:r>
        <w:rPr>
          <w:rFonts w:hint="eastAsia" w:ascii="仿宋_GB2312" w:eastAsia="仿宋_GB2312"/>
          <w:color w:val="auto"/>
          <w:sz w:val="32"/>
          <w:szCs w:val="32"/>
          <w:lang w:val="en-US" w:eastAsia="zh-CN"/>
        </w:rPr>
        <w:t>179.03</w:t>
      </w:r>
      <w:r>
        <w:rPr>
          <w:rFonts w:hint="eastAsia" w:ascii="仿宋_GB2312" w:eastAsia="仿宋_GB2312"/>
          <w:color w:val="auto"/>
          <w:sz w:val="32"/>
          <w:szCs w:val="32"/>
        </w:rPr>
        <w:t>万元。包括：</w:t>
      </w:r>
      <w:r>
        <w:rPr>
          <w:rFonts w:hint="eastAsia" w:ascii="仿宋_GB2312" w:eastAsia="仿宋_GB2312"/>
          <w:color w:val="auto"/>
          <w:sz w:val="32"/>
          <w:szCs w:val="32"/>
          <w:lang w:eastAsia="zh-CN"/>
        </w:rPr>
        <w:t>一般行政管理事务支出</w:t>
      </w:r>
      <w:r>
        <w:rPr>
          <w:rFonts w:hint="eastAsia" w:ascii="仿宋_GB2312" w:eastAsia="仿宋_GB2312"/>
          <w:color w:val="auto"/>
          <w:sz w:val="32"/>
          <w:szCs w:val="32"/>
          <w:lang w:val="en-US" w:eastAsia="zh-CN"/>
        </w:rPr>
        <w:t>3.16万元，</w:t>
      </w:r>
      <w:r>
        <w:rPr>
          <w:rFonts w:hint="eastAsia" w:ascii="仿宋_GB2312" w:eastAsia="仿宋_GB2312"/>
          <w:color w:val="auto"/>
          <w:sz w:val="32"/>
          <w:szCs w:val="32"/>
          <w:lang w:eastAsia="zh-CN"/>
        </w:rPr>
        <w:t>人大会议费支出</w:t>
      </w:r>
      <w:r>
        <w:rPr>
          <w:rFonts w:hint="eastAsia" w:ascii="仿宋_GB2312" w:eastAsia="仿宋_GB2312"/>
          <w:color w:val="auto"/>
          <w:sz w:val="32"/>
          <w:szCs w:val="32"/>
          <w:lang w:val="en-US" w:eastAsia="zh-CN"/>
        </w:rPr>
        <w:t>29.17</w:t>
      </w:r>
      <w:r>
        <w:rPr>
          <w:rFonts w:hint="eastAsia" w:ascii="仿宋_GB2312" w:eastAsia="仿宋_GB2312"/>
          <w:color w:val="auto"/>
          <w:sz w:val="32"/>
          <w:szCs w:val="32"/>
        </w:rPr>
        <w:t>万元、</w:t>
      </w:r>
      <w:r>
        <w:rPr>
          <w:rFonts w:hint="eastAsia" w:ascii="仿宋_GB2312" w:eastAsia="仿宋_GB2312"/>
          <w:color w:val="auto"/>
          <w:sz w:val="32"/>
          <w:szCs w:val="32"/>
          <w:lang w:eastAsia="zh-CN"/>
        </w:rPr>
        <w:t>代表工作经费支出</w:t>
      </w:r>
      <w:r>
        <w:rPr>
          <w:rFonts w:hint="eastAsia" w:ascii="仿宋_GB2312" w:eastAsia="仿宋_GB2312"/>
          <w:color w:val="auto"/>
          <w:sz w:val="32"/>
          <w:szCs w:val="32"/>
          <w:lang w:val="en-US" w:eastAsia="zh-CN"/>
        </w:rPr>
        <w:t>146.7</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三、部门整体预算绩效管理情况（根据适用指标体系进行调整</w:t>
      </w:r>
      <w:r>
        <w:rPr>
          <w:rFonts w:hint="eastAsia" w:ascii="黑体" w:eastAsia="黑体" w:cs="宋体"/>
          <w:color w:val="000000"/>
          <w:kern w:val="0"/>
          <w:sz w:val="32"/>
          <w:szCs w:val="32"/>
          <w:shd w:val="clear" w:color="auto" w:fill="FFFFFF"/>
          <w:lang w:eastAsia="zh-CN"/>
        </w:rPr>
        <w:t>，涉及到有专项预算的部门，专项预算项目自评报告根据要求另行单独报送</w:t>
      </w:r>
      <w:r>
        <w:rPr>
          <w:rFonts w:hint="eastAsia" w:ascii="黑体" w:eastAsia="黑体" w:cs="宋体"/>
          <w:color w:val="000000"/>
          <w:kern w:val="0"/>
          <w:sz w:val="32"/>
          <w:szCs w:val="32"/>
          <w:shd w:val="clear" w:color="auto" w:fill="FFFFFF"/>
        </w:rPr>
        <w:t>）</w:t>
      </w:r>
    </w:p>
    <w:p>
      <w:pPr>
        <w:widowControl/>
        <w:adjustRightInd w:val="0"/>
        <w:snapToGrid w:val="0"/>
        <w:spacing w:line="560" w:lineRule="exact"/>
        <w:ind w:firstLine="720"/>
        <w:jc w:val="left"/>
        <w:rPr>
          <w:rFonts w:hint="eastAsia" w:ascii="楷体" w:hAnsi="楷体" w:eastAsia="楷体" w:cs="宋体"/>
          <w:color w:val="000000"/>
          <w:kern w:val="0"/>
          <w:lang w:val="zh-CN"/>
        </w:rPr>
      </w:pPr>
      <w:r>
        <w:rPr>
          <w:rFonts w:hint="eastAsia" w:ascii="楷体" w:hAnsi="楷体" w:eastAsia="楷体" w:cs="宋体"/>
          <w:color w:val="000000"/>
          <w:kern w:val="0"/>
          <w:sz w:val="32"/>
          <w:lang w:val="zh-CN" w:bidi="ar"/>
        </w:rPr>
        <w:t>（一）预算编制情况。</w:t>
      </w:r>
    </w:p>
    <w:p>
      <w:pPr>
        <w:pageBreakBefore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hint="eastAsia" w:ascii="仿宋_GB2312" w:hAnsi="仿宋_GB2312" w:eastAsia="仿宋_GB2312" w:cs="仿宋_GB2312"/>
          <w:bCs/>
          <w:sz w:val="32"/>
          <w:szCs w:val="32"/>
        </w:rPr>
        <w:t>按照综合预算的编制原则，保证预算编制质量，人大办所有收入和支出均纳入财政预算管理，公用经费按人员数进行编制，其它经费严格按照有关预算法执行。</w:t>
      </w:r>
    </w:p>
    <w:p>
      <w:pPr>
        <w:widowControl/>
        <w:adjustRightInd w:val="0"/>
        <w:snapToGrid w:val="0"/>
        <w:spacing w:line="560" w:lineRule="exact"/>
        <w:ind w:firstLine="720"/>
        <w:jc w:val="left"/>
        <w:rPr>
          <w:rFonts w:hint="eastAsia" w:ascii="楷体" w:hAnsi="楷体" w:eastAsia="楷体" w:cs="宋体"/>
          <w:color w:val="000000"/>
          <w:kern w:val="0"/>
          <w:lang w:val="zh-CN"/>
        </w:rPr>
      </w:pPr>
      <w:r>
        <w:rPr>
          <w:rFonts w:hint="eastAsia" w:ascii="楷体" w:hAnsi="楷体" w:eastAsia="楷体" w:cs="宋体"/>
          <w:color w:val="000000"/>
          <w:kern w:val="0"/>
          <w:sz w:val="32"/>
          <w:lang w:val="zh-CN" w:bidi="ar"/>
        </w:rPr>
        <w:t>（二）执行管理情况。</w:t>
      </w:r>
      <w:r>
        <w:rPr>
          <w:rFonts w:hint="eastAsia" w:ascii="楷体" w:hAnsi="楷体" w:eastAsia="楷体" w:cs="宋体"/>
          <w:color w:val="000000"/>
          <w:kern w:val="0"/>
          <w:sz w:val="32"/>
          <w:lang w:val="zh-CN" w:bidi="ar"/>
        </w:rPr>
        <w:tab/>
      </w:r>
    </w:p>
    <w:bookmarkEnd w:id="172"/>
    <w:bookmarkEnd w:id="173"/>
    <w:p>
      <w:pPr>
        <w:pageBreakBefore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1.预算执行情况：所有预算严格按照预算法执行，本机关由于突发性工作较多，年初预算和当年决算数相比人员经费和公用经费没有达到只减不增要求，预算经费中人员经费是按月拨付，</w:t>
      </w:r>
      <w:r>
        <w:rPr>
          <w:rFonts w:hint="eastAsia" w:ascii="仿宋_GB2312" w:hAnsi="仿宋_GB2312" w:eastAsia="仿宋_GB2312" w:cs="仿宋_GB2312"/>
          <w:bCs/>
          <w:sz w:val="32"/>
          <w:szCs w:val="32"/>
        </w:rPr>
        <w:t>公用经费在预算指标内按需求拨付</w:t>
      </w:r>
      <w:r>
        <w:rPr>
          <w:rFonts w:hint="eastAsia" w:ascii="仿宋_GB2312" w:eastAsia="仿宋_GB2312"/>
          <w:color w:val="000000"/>
          <w:sz w:val="32"/>
          <w:szCs w:val="32"/>
        </w:rPr>
        <w:t>。</w:t>
      </w:r>
    </w:p>
    <w:p>
      <w:pPr>
        <w:pageBreakBefore w:val="0"/>
        <w:widowControl/>
        <w:kinsoku/>
        <w:wordWrap/>
        <w:overflowPunct/>
        <w:topLinePunct w:val="0"/>
        <w:bidi w:val="0"/>
        <w:spacing w:line="60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2.中期评估:根据《</w:t>
      </w:r>
      <w:r>
        <w:rPr>
          <w:rFonts w:hint="eastAsia" w:ascii="仿宋_GB2312" w:hAnsi="仿宋_GB2312" w:eastAsia="仿宋_GB2312" w:cs="仿宋_GB2312"/>
          <w:color w:val="000000"/>
          <w:kern w:val="0"/>
          <w:sz w:val="32"/>
          <w:szCs w:val="32"/>
          <w:lang w:val="zh-CN"/>
        </w:rPr>
        <w:t>中华人民共和国</w:t>
      </w:r>
      <w:r>
        <w:rPr>
          <w:rFonts w:hint="eastAsia" w:ascii="仿宋_GB2312" w:eastAsia="仿宋_GB2312"/>
          <w:color w:val="000000"/>
          <w:sz w:val="32"/>
          <w:szCs w:val="32"/>
        </w:rPr>
        <w:t>预算法》以及部门预算编制重点，结合本单位工作实际，编制本单位三年流动财政规划报表。</w:t>
      </w:r>
    </w:p>
    <w:p>
      <w:pPr>
        <w:pageBreakBefore w:val="0"/>
        <w:widowControl/>
        <w:kinsoku/>
        <w:wordWrap/>
        <w:overflowPunct/>
        <w:topLinePunct w:val="0"/>
        <w:bidi w:val="0"/>
        <w:spacing w:line="60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（1）编制了县级2017年—2019年三年滚动财政规划表。</w:t>
      </w:r>
    </w:p>
    <w:p>
      <w:pPr>
        <w:pageBreakBefore w:val="0"/>
        <w:widowControl/>
        <w:kinsoku/>
        <w:wordWrap/>
        <w:overflowPunct/>
        <w:topLinePunct w:val="0"/>
        <w:bidi w:val="0"/>
        <w:spacing w:line="60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（2）编制了县级2019年—2021年三年滚动财政规划表。</w:t>
      </w:r>
    </w:p>
    <w:p>
      <w:pPr>
        <w:pageBreakBefore w:val="0"/>
        <w:kinsoku/>
        <w:wordWrap/>
        <w:overflowPunct/>
        <w:topLinePunct w:val="0"/>
        <w:bidi w:val="0"/>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3.节能降耗方面：水电油2021年、2022年预算数差相差不大。</w:t>
      </w:r>
    </w:p>
    <w:p>
      <w:pPr>
        <w:pageBreakBefore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hint="eastAsia" w:ascii="仿宋_GB2312" w:eastAsia="仿宋_GB2312"/>
          <w:sz w:val="32"/>
          <w:szCs w:val="32"/>
        </w:rPr>
        <w:t>4.三公</w:t>
      </w:r>
      <w:r>
        <w:rPr>
          <w:rFonts w:hint="eastAsia" w:ascii="仿宋_GB2312" w:eastAsia="仿宋_GB2312"/>
          <w:color w:val="000000"/>
          <w:sz w:val="32"/>
          <w:szCs w:val="32"/>
        </w:rPr>
        <w:t>经费预算执行情况;</w:t>
      </w:r>
    </w:p>
    <w:p>
      <w:pPr>
        <w:pageBreakBefore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hint="eastAsia" w:ascii="仿宋_GB2312" w:hAnsi="仿宋" w:eastAsia="仿宋_GB2312" w:cs="仿宋"/>
          <w:color w:val="000000"/>
          <w:sz w:val="32"/>
          <w:szCs w:val="32"/>
        </w:rPr>
        <w:t>（1）2021年度“三公”经费财政拨款支出决算数为44.57万元，其中：无因公出国（境）费支出；无公务用车购置费，无公务接待费，公务用车购置及运行维护费支出决算44.57万元。</w:t>
      </w:r>
    </w:p>
    <w:p>
      <w:pPr>
        <w:pageBreakBefore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（2）2022年公务接待费0万元，（按2021年编制预算文件，公务接待费按总公务费比例计算）；2022年上半年公务用车</w:t>
      </w:r>
      <w:r>
        <w:rPr>
          <w:rFonts w:hint="eastAsia" w:ascii="仿宋_GB2312" w:eastAsia="仿宋_GB2312"/>
          <w:color w:val="000000"/>
          <w:sz w:val="32"/>
          <w:szCs w:val="32"/>
          <w:lang w:val="en-US" w:eastAsia="zh-CN"/>
        </w:rPr>
        <w:t>运行</w:t>
      </w:r>
      <w:r>
        <w:rPr>
          <w:rFonts w:hint="eastAsia" w:ascii="仿宋_GB2312" w:eastAsia="仿宋_GB2312"/>
          <w:color w:val="000000"/>
          <w:sz w:val="32"/>
          <w:szCs w:val="32"/>
        </w:rPr>
        <w:t>维护费</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万元，公务用车购置费0万元。</w:t>
      </w:r>
    </w:p>
    <w:p>
      <w:pPr>
        <w:pageBreakBefore w:val="0"/>
        <w:widowControl/>
        <w:numPr>
          <w:ilvl w:val="0"/>
          <w:numId w:val="7"/>
        </w:numPr>
        <w:kinsoku/>
        <w:wordWrap/>
        <w:overflowPunct/>
        <w:topLinePunct w:val="0"/>
        <w:bidi w:val="0"/>
        <w:adjustRightInd w:val="0"/>
        <w:snapToGrid w:val="0"/>
        <w:spacing w:line="600" w:lineRule="exact"/>
        <w:ind w:firstLine="587" w:firstLineChars="200"/>
        <w:textAlignment w:val="auto"/>
        <w:rPr>
          <w:rFonts w:ascii="楷体_GB2312" w:hAnsi="宋体" w:eastAsia="楷体_GB2312" w:cs="宋体"/>
          <w:b/>
          <w:color w:val="000000"/>
          <w:spacing w:val="-14"/>
          <w:kern w:val="0"/>
          <w:sz w:val="32"/>
          <w:szCs w:val="32"/>
        </w:rPr>
      </w:pPr>
      <w:r>
        <w:rPr>
          <w:rFonts w:hint="eastAsia" w:ascii="楷体_GB2312" w:hAnsi="宋体" w:eastAsia="楷体_GB2312" w:cs="宋体"/>
          <w:b/>
          <w:color w:val="000000"/>
          <w:spacing w:val="-14"/>
          <w:kern w:val="0"/>
          <w:sz w:val="32"/>
          <w:szCs w:val="32"/>
        </w:rPr>
        <w:t>综合管理情况。</w:t>
      </w:r>
    </w:p>
    <w:p>
      <w:pPr>
        <w:pageBreakBefore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 xml:space="preserve"> 1.政府采购方面：进行政府采购的资产严格按采购程序采购并登记入账，零星采购严格按固定资产管理办法进行登记入账。2022年上半年，政府采购支出总额0万元。</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hint="eastAsia" w:ascii="仿宋_GB2312" w:eastAsia="仿宋_GB2312"/>
          <w:color w:val="000000"/>
          <w:sz w:val="32"/>
          <w:szCs w:val="32"/>
        </w:rPr>
      </w:pPr>
      <w:r>
        <w:rPr>
          <w:rFonts w:hint="eastAsia" w:ascii="仿宋_GB2312" w:eastAsia="仿宋_GB2312"/>
          <w:color w:val="000000"/>
          <w:sz w:val="32"/>
          <w:szCs w:val="32"/>
        </w:rPr>
        <w:t xml:space="preserve"> 2.固定资产管理方面：本单位固定资产按科学合理、优化资产结构、勤俭节约的原则和专门的资产管理系统进行管理，</w:t>
      </w:r>
      <w:r>
        <w:rPr>
          <w:rFonts w:hint="eastAsia" w:ascii="仿宋_GB2312" w:hAnsi="Calibri" w:eastAsia="仿宋_GB2312" w:cs="Times New Roman"/>
          <w:color w:val="000000"/>
          <w:kern w:val="2"/>
          <w:sz w:val="32"/>
          <w:szCs w:val="32"/>
        </w:rPr>
        <w:t>截至2021年</w:t>
      </w:r>
      <w:r>
        <w:rPr>
          <w:rFonts w:hint="eastAsia" w:ascii="仿宋_GB2312" w:eastAsia="仿宋_GB2312"/>
          <w:color w:val="000000"/>
          <w:sz w:val="32"/>
          <w:szCs w:val="32"/>
        </w:rPr>
        <w:t>12月31日，固定资产账面数总计</w:t>
      </w:r>
      <w:r>
        <w:rPr>
          <w:rFonts w:hint="eastAsia" w:ascii="仿宋_GB2312" w:eastAsia="仿宋_GB2312"/>
          <w:color w:val="000000"/>
          <w:sz w:val="32"/>
          <w:szCs w:val="32"/>
          <w:lang w:val="en-US" w:eastAsia="zh-CN"/>
        </w:rPr>
        <w:t>413.56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无形资产</w:t>
      </w:r>
      <w:r>
        <w:rPr>
          <w:rFonts w:hint="eastAsia" w:ascii="仿宋_GB2312" w:eastAsia="仿宋_GB2312"/>
          <w:color w:val="000000"/>
          <w:sz w:val="32"/>
          <w:szCs w:val="32"/>
        </w:rPr>
        <w:t>账面数总计</w:t>
      </w:r>
      <w:r>
        <w:rPr>
          <w:rFonts w:hint="eastAsia" w:ascii="仿宋_GB2312" w:eastAsia="仿宋_GB2312"/>
          <w:color w:val="000000"/>
          <w:sz w:val="32"/>
          <w:szCs w:val="32"/>
          <w:lang w:val="en-US" w:eastAsia="zh-CN"/>
        </w:rPr>
        <w:t>23.93万元；</w:t>
      </w:r>
      <w:r>
        <w:rPr>
          <w:rFonts w:hint="eastAsia" w:ascii="仿宋_GB2312" w:eastAsia="仿宋_GB2312"/>
          <w:color w:val="000000"/>
          <w:sz w:val="32"/>
          <w:szCs w:val="32"/>
        </w:rPr>
        <w:t>截至2022年6月30日，固定资产账面数总计</w:t>
      </w:r>
      <w:r>
        <w:rPr>
          <w:rFonts w:hint="eastAsia" w:ascii="仿宋_GB2312" w:eastAsia="仿宋_GB2312"/>
          <w:color w:val="000000"/>
          <w:sz w:val="32"/>
          <w:szCs w:val="32"/>
          <w:lang w:val="en-US" w:eastAsia="zh-CN"/>
        </w:rPr>
        <w:t>414.57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无形资产</w:t>
      </w:r>
      <w:r>
        <w:rPr>
          <w:rFonts w:hint="eastAsia" w:ascii="仿宋_GB2312" w:eastAsia="仿宋_GB2312"/>
          <w:color w:val="000000"/>
          <w:sz w:val="32"/>
          <w:szCs w:val="32"/>
        </w:rPr>
        <w:t>账面数总计</w:t>
      </w:r>
      <w:r>
        <w:rPr>
          <w:rFonts w:hint="eastAsia" w:ascii="仿宋_GB2312" w:eastAsia="仿宋_GB2312"/>
          <w:color w:val="000000"/>
          <w:sz w:val="32"/>
          <w:szCs w:val="32"/>
          <w:lang w:val="en-US" w:eastAsia="zh-CN"/>
        </w:rPr>
        <w:t>23.93万元；</w:t>
      </w:r>
      <w:r>
        <w:rPr>
          <w:rFonts w:hint="eastAsia" w:ascii="仿宋_GB2312" w:eastAsia="仿宋_GB2312"/>
          <w:color w:val="000000"/>
          <w:sz w:val="32"/>
          <w:szCs w:val="32"/>
        </w:rPr>
        <w:t>固定资产</w:t>
      </w:r>
      <w:r>
        <w:rPr>
          <w:rFonts w:hint="eastAsia" w:ascii="仿宋_GB2312" w:eastAsia="仿宋_GB2312"/>
          <w:color w:val="000000"/>
          <w:sz w:val="32"/>
          <w:szCs w:val="32"/>
          <w:lang w:eastAsia="zh-CN"/>
        </w:rPr>
        <w:t>、无形资产</w:t>
      </w:r>
      <w:r>
        <w:rPr>
          <w:rFonts w:hint="eastAsia" w:ascii="仿宋_GB2312" w:eastAsia="仿宋_GB2312"/>
          <w:color w:val="000000"/>
          <w:sz w:val="32"/>
          <w:szCs w:val="32"/>
        </w:rPr>
        <w:t>账面数据和资产管理系统数据一致。</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3.内控制度方面:为进一步做好行政事业单位内部控制基础性工作，贯彻执行县财政局《关于开展行政事业单位内部控制报告编报工作的通知》金财〔2017〕35号文件要求，结合本机关实际，特制订以下制度草案：</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 xml:space="preserve">（1）金川县人民代表大会常务委员会办公室预算管理制度 </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（2）金川县人民代表大会常务委员会办公室财务收支管理制度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（3）金川县人民代表大会常务委员会办公室采购及管理制度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（4）金川县人民代表大会常务委员会办公室资产管理制度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（5）金川县人民代表大会常务委员会办公室合同管理制度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（6）金川县人民代表大会常务委员会办公室财务管理制度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（7）金川县人民代表大会常务委员会办公室差旅费报销制度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（8）金川县人民代表大会常务委员会办公室公务接待和陪餐制度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（9）金川县人民代表大会常务委员会办公室工作岗位职责制度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（10）金川县人民代表大会常务委员会办公室考勤制度、请销假制度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（11）金川县人民代表大会常务委员会办公室下乡和车辆管理制度、驾驶员管理工作制度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（12）金川县人民代表大会常务委员会办公室会务工作制度、内部联席工作制度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（13）金川县人民代表大会常务委员会办公室保密工作制度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（14）金川县人民代表大会常务委员会办公室首问制度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（15）金川县人民代表大会常务委员会办公室学习会议制度</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（16）金川县人民代表大会常务委员会办公室印章管理使用制度等</w:t>
      </w:r>
    </w:p>
    <w:p>
      <w:pPr>
        <w:pageBreakBefore w:val="0"/>
        <w:kinsoku/>
        <w:wordWrap/>
        <w:overflowPunct/>
        <w:topLinePunct w:val="0"/>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4.信息公开方面：预算决算公开按财政局的要求在收到财政批复后20个工作日在金川县政府中心的信息网站进行公开。</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sz w:val="32"/>
          <w:szCs w:val="32"/>
        </w:rPr>
      </w:pPr>
      <w:r>
        <w:rPr>
          <w:rFonts w:hint="eastAsia" w:ascii="仿宋_GB2312" w:eastAsia="仿宋_GB2312"/>
          <w:sz w:val="32"/>
          <w:szCs w:val="32"/>
        </w:rPr>
        <w:t>5.绩效评价及财政监督情况:按</w:t>
      </w:r>
      <w:r>
        <w:rPr>
          <w:rFonts w:hint="eastAsia" w:ascii="仿宋_GB2312" w:eastAsia="仿宋_GB2312"/>
          <w:bCs/>
          <w:sz w:val="32"/>
          <w:szCs w:val="32"/>
        </w:rPr>
        <w:t>金财监绩</w:t>
      </w:r>
      <w:r>
        <w:rPr>
          <w:rFonts w:hint="eastAsia" w:ascii="仿宋_GB2312" w:hAnsi="仿宋_GB2312" w:eastAsia="仿宋_GB2312" w:cs="仿宋_GB2312"/>
          <w:sz w:val="32"/>
          <w:szCs w:val="32"/>
        </w:rPr>
        <w:t>〔202</w:t>
      </w:r>
      <w:r>
        <w:rPr>
          <w:rFonts w:hint="eastAsia" w:ascii="仿宋_GB2312" w:hAnsi="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cs="仿宋_GB2312"/>
          <w:sz w:val="32"/>
          <w:szCs w:val="32"/>
        </w:rPr>
        <w:t>22</w:t>
      </w:r>
      <w:r>
        <w:rPr>
          <w:rFonts w:hint="eastAsia" w:ascii="仿宋_GB2312" w:hAnsi="仿宋_GB2312" w:eastAsia="仿宋_GB2312" w:cs="仿宋_GB2312"/>
          <w:sz w:val="32"/>
          <w:szCs w:val="32"/>
        </w:rPr>
        <w:t>号</w:t>
      </w:r>
      <w:r>
        <w:rPr>
          <w:rFonts w:hint="eastAsia" w:ascii="仿宋_GB2312" w:eastAsia="仿宋_GB2312"/>
          <w:bCs/>
          <w:sz w:val="32"/>
          <w:szCs w:val="32"/>
        </w:rPr>
        <w:t>文件的附件</w:t>
      </w:r>
      <w:r>
        <w:rPr>
          <w:rFonts w:hint="eastAsia" w:ascii="仿宋_GB2312" w:eastAsia="仿宋_GB2312"/>
          <w:bCs/>
          <w:sz w:val="32"/>
          <w:szCs w:val="32"/>
          <w:lang w:val="en-US" w:eastAsia="zh-CN"/>
        </w:rPr>
        <w:t>1</w:t>
      </w:r>
      <w:r>
        <w:rPr>
          <w:rFonts w:hint="eastAsia" w:ascii="仿宋_GB2312" w:eastAsia="仿宋_GB2312"/>
          <w:sz w:val="32"/>
          <w:szCs w:val="32"/>
        </w:rPr>
        <w:t>部门支出绩效评价指标体系进行单位自评，按财政要求收支并接受财政的监督管理。</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（四）整体绩效。</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通过加强预算收支的管理，本机关不断建立健全内部管理制度，理顺内部管理流程，部门整体支出管理情况得到了提升。部门整体支出绩效情况如下：</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1、本年预算安排控制较好，控制在预算编制以内。</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2、预算执行方面，支出总额控制在预算总额以内；本年无转移资金支付，不存在截留或滞留专项资金情况。　</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3、项目产出及社会效益评价</w:t>
      </w:r>
    </w:p>
    <w:p>
      <w:pPr>
        <w:pageBreakBefore w:val="0"/>
        <w:kinsoku/>
        <w:wordWrap/>
        <w:overflowPunct/>
        <w:topLinePunct w:val="0"/>
        <w:bidi w:val="0"/>
        <w:snapToGrid w:val="0"/>
        <w:spacing w:line="600" w:lineRule="exact"/>
        <w:ind w:firstLine="640" w:firstLineChars="200"/>
        <w:textAlignment w:val="auto"/>
        <w:rPr>
          <w:rFonts w:ascii="仿宋_GB2312" w:eastAsia="仿宋_GB2312"/>
          <w:color w:val="FF0000"/>
          <w:sz w:val="32"/>
          <w:szCs w:val="32"/>
        </w:rPr>
      </w:pPr>
      <w:r>
        <w:rPr>
          <w:rFonts w:hint="eastAsia" w:ascii="仿宋_GB2312" w:eastAsia="仿宋_GB2312"/>
          <w:color w:val="000000"/>
          <w:sz w:val="32"/>
          <w:szCs w:val="32"/>
        </w:rPr>
        <w:t>2021年全年及2022年上半年人大机关狠抓重点工作，较好的完成了各项目标任务，取得了较好的社会效益。主要绩效如下：2021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各项目标任务，为助推金川经济社会平稳健康发展贡献了人大智慧和力量。</w:t>
      </w:r>
    </w:p>
    <w:p>
      <w:pPr>
        <w:pageBreakBefore w:val="0"/>
        <w:widowControl/>
        <w:kinsoku/>
        <w:wordWrap/>
        <w:overflowPunct/>
        <w:topLinePunct w:val="0"/>
        <w:bidi w:val="0"/>
        <w:adjustRightInd w:val="0"/>
        <w:snapToGrid w:val="0"/>
        <w:spacing w:line="600" w:lineRule="exact"/>
        <w:ind w:firstLine="876" w:firstLineChars="300"/>
        <w:textAlignment w:val="auto"/>
        <w:rPr>
          <w:rFonts w:ascii="黑体" w:hAnsi="黑体" w:eastAsia="黑体" w:cs="宋体"/>
          <w:spacing w:val="-14"/>
          <w:kern w:val="0"/>
          <w:sz w:val="32"/>
          <w:szCs w:val="32"/>
        </w:rPr>
      </w:pPr>
      <w:r>
        <w:rPr>
          <w:rFonts w:hint="eastAsia" w:ascii="黑体" w:hAnsi="黑体" w:eastAsia="黑体" w:cs="宋体"/>
          <w:spacing w:val="-14"/>
          <w:kern w:val="0"/>
          <w:sz w:val="32"/>
          <w:szCs w:val="32"/>
        </w:rPr>
        <w:t>四、评价结论及建议</w:t>
      </w:r>
    </w:p>
    <w:p>
      <w:pPr>
        <w:pageBreakBefore w:val="0"/>
        <w:widowControl/>
        <w:kinsoku/>
        <w:wordWrap/>
        <w:overflowPunct/>
        <w:topLinePunct w:val="0"/>
        <w:bidi w:val="0"/>
        <w:adjustRightInd w:val="0"/>
        <w:snapToGrid w:val="0"/>
        <w:spacing w:line="600" w:lineRule="exact"/>
        <w:ind w:firstLine="587" w:firstLineChars="200"/>
        <w:textAlignment w:val="auto"/>
        <w:rPr>
          <w:rFonts w:ascii="楷体_GB2312" w:hAnsi="宋体" w:eastAsia="楷体_GB2312" w:cs="宋体"/>
          <w:b/>
          <w:spacing w:val="-14"/>
          <w:kern w:val="0"/>
          <w:sz w:val="32"/>
          <w:szCs w:val="32"/>
        </w:rPr>
      </w:pPr>
      <w:r>
        <w:rPr>
          <w:rFonts w:hint="eastAsia" w:ascii="楷体_GB2312" w:hAnsi="宋体" w:eastAsia="楷体_GB2312" w:cs="宋体"/>
          <w:b/>
          <w:spacing w:val="-14"/>
          <w:kern w:val="0"/>
          <w:sz w:val="32"/>
          <w:szCs w:val="32"/>
        </w:rPr>
        <w:t>（一）评价结论。</w:t>
      </w:r>
    </w:p>
    <w:p>
      <w:pPr>
        <w:pageBreakBefore w:val="0"/>
        <w:kinsoku/>
        <w:wordWrap/>
        <w:overflowPunct/>
        <w:topLinePunct w:val="0"/>
        <w:bidi w:val="0"/>
        <w:snapToGrid w:val="0"/>
        <w:spacing w:line="600" w:lineRule="exact"/>
        <w:ind w:firstLine="640" w:firstLineChars="200"/>
        <w:textAlignment w:val="auto"/>
        <w:rPr>
          <w:rFonts w:ascii="仿宋_GB2312" w:hAnsi="Calibri" w:eastAsia="仿宋_GB2312"/>
          <w:sz w:val="32"/>
          <w:szCs w:val="32"/>
        </w:rPr>
      </w:pPr>
      <w:r>
        <w:rPr>
          <w:rFonts w:hint="eastAsia" w:ascii="仿宋_GB2312" w:eastAsia="仿宋_GB2312"/>
          <w:sz w:val="32"/>
          <w:szCs w:val="32"/>
        </w:rPr>
        <w:t>本机关高度重视此次绩效评价工作，召开了专门的会议研究和安排此项工作，责任到人，确保工作按质按量完成。在实施的过程中，按照</w:t>
      </w:r>
      <w:r>
        <w:rPr>
          <w:rFonts w:hint="eastAsia" w:ascii="仿宋_GB2312" w:eastAsia="仿宋_GB2312"/>
          <w:bCs/>
          <w:sz w:val="32"/>
          <w:szCs w:val="32"/>
        </w:rPr>
        <w:t>金财监绩</w:t>
      </w:r>
      <w:r>
        <w:rPr>
          <w:rFonts w:hint="eastAsia" w:ascii="宋体" w:hAnsi="宋体" w:cs="宋体"/>
          <w:bCs/>
          <w:sz w:val="32"/>
          <w:szCs w:val="32"/>
        </w:rPr>
        <w:t>〔2022〕</w:t>
      </w:r>
      <w:r>
        <w:rPr>
          <w:rFonts w:hint="eastAsia" w:ascii="仿宋_GB2312" w:eastAsia="仿宋_GB2312"/>
          <w:bCs/>
          <w:sz w:val="32"/>
          <w:szCs w:val="32"/>
        </w:rPr>
        <w:t>22号文件</w:t>
      </w:r>
      <w:r>
        <w:rPr>
          <w:rFonts w:hint="eastAsia" w:ascii="仿宋_GB2312" w:eastAsia="仿宋_GB2312"/>
          <w:sz w:val="32"/>
          <w:szCs w:val="32"/>
        </w:rPr>
        <w:t>的要求，结合人大财政支出的实际情况，</w:t>
      </w:r>
      <w:r>
        <w:rPr>
          <w:rFonts w:hint="eastAsia" w:ascii="仿宋_GB2312" w:eastAsia="仿宋_GB2312"/>
          <w:bCs/>
          <w:sz w:val="32"/>
          <w:szCs w:val="32"/>
        </w:rPr>
        <w:t>圆满完成绩效自评工作，圆满完成中央、省、州委和县的重要工作、目标任务。</w:t>
      </w:r>
    </w:p>
    <w:p>
      <w:pPr>
        <w:pageBreakBefore w:val="0"/>
        <w:widowControl/>
        <w:kinsoku/>
        <w:wordWrap/>
        <w:overflowPunct/>
        <w:topLinePunct w:val="0"/>
        <w:bidi w:val="0"/>
        <w:adjustRightInd w:val="0"/>
        <w:snapToGrid w:val="0"/>
        <w:spacing w:line="600" w:lineRule="exact"/>
        <w:ind w:firstLine="587" w:firstLineChars="200"/>
        <w:textAlignment w:val="auto"/>
        <w:rPr>
          <w:rFonts w:ascii="楷体_GB2312" w:hAnsi="宋体" w:eastAsia="楷体_GB2312" w:cs="宋体"/>
          <w:b/>
          <w:spacing w:val="-14"/>
          <w:kern w:val="0"/>
          <w:sz w:val="32"/>
          <w:szCs w:val="32"/>
        </w:rPr>
      </w:pPr>
      <w:r>
        <w:rPr>
          <w:rFonts w:hint="eastAsia" w:ascii="楷体_GB2312" w:hAnsi="宋体" w:eastAsia="楷体_GB2312" w:cs="宋体"/>
          <w:b/>
          <w:spacing w:val="-14"/>
          <w:kern w:val="0"/>
          <w:sz w:val="32"/>
          <w:szCs w:val="32"/>
        </w:rPr>
        <w:t>（二）存在问题。</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 xml:space="preserve">本机关在资金的使用和安排上取得了较好的预算执行结果，但仍存在预算管理不够完善，资金使用不够科学等问题，本机关认真梳理存在的问题，改进提高工作效率。 </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 xml:space="preserve">1、资金的使用还不完全符合科学性，效益性，预算经费支出进度较缓。 </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 xml:space="preserve">2、固定资产管理不够完善,处置不够规范，有些应报废的固定资产没有及时申报报废或者申报报废后未及时进行销毁等。 </w:t>
      </w:r>
    </w:p>
    <w:p>
      <w:pPr>
        <w:pageBreakBefore w:val="0"/>
        <w:widowControl/>
        <w:kinsoku/>
        <w:wordWrap/>
        <w:overflowPunct/>
        <w:topLinePunct w:val="0"/>
        <w:bidi w:val="0"/>
        <w:adjustRightInd w:val="0"/>
        <w:snapToGrid w:val="0"/>
        <w:spacing w:line="600" w:lineRule="exact"/>
        <w:ind w:firstLine="587" w:firstLineChars="200"/>
        <w:textAlignment w:val="auto"/>
        <w:rPr>
          <w:rFonts w:ascii="楷体_GB2312" w:hAnsi="宋体" w:eastAsia="楷体_GB2312" w:cs="宋体"/>
          <w:b/>
          <w:spacing w:val="-14"/>
          <w:kern w:val="0"/>
          <w:sz w:val="32"/>
          <w:szCs w:val="32"/>
        </w:rPr>
      </w:pPr>
      <w:r>
        <w:rPr>
          <w:rFonts w:hint="eastAsia" w:ascii="楷体_GB2312" w:hAnsi="宋体" w:eastAsia="楷体_GB2312" w:cs="宋体"/>
          <w:b/>
          <w:spacing w:val="-14"/>
          <w:kern w:val="0"/>
          <w:sz w:val="32"/>
          <w:szCs w:val="32"/>
        </w:rPr>
        <w:t>（三）改进建议。</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1、严格按照《</w:t>
      </w:r>
      <w:r>
        <w:rPr>
          <w:rFonts w:hint="eastAsia" w:ascii="仿宋_GB2312" w:hAnsi="仿宋_GB2312" w:eastAsia="仿宋_GB2312" w:cs="仿宋_GB2312"/>
          <w:color w:val="000000"/>
          <w:kern w:val="0"/>
          <w:sz w:val="32"/>
          <w:szCs w:val="32"/>
          <w:lang w:val="zh-CN"/>
        </w:rPr>
        <w:t>中华人民共和国会计法</w:t>
      </w:r>
      <w:r>
        <w:rPr>
          <w:rFonts w:hint="eastAsia" w:ascii="仿宋_GB2312" w:hAnsi="Calibri" w:eastAsia="仿宋_GB2312" w:cs="Times New Roman"/>
          <w:kern w:val="2"/>
          <w:sz w:val="32"/>
          <w:szCs w:val="32"/>
        </w:rPr>
        <w:t>》、《行政单位会计制度》、《行政单位财务规则》等规定执行财务核算，并结合实际情况，完整、准确地披露相关信息，尽可能地做到决算与预算相衔接。</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 xml:space="preserve">2、进一步加强内部控制，注重资金管理的事前、事中、事后的全过程监督，加强资金使用效率。 </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 xml:space="preserve">3、资产的核销与报废应加强管理，严格按照《固定资产管理办法》的规定加强固定资产管理，及时办理登记、报废等手续，每年对资产进行及时盘点和清查，真正做到账实相符。 </w:t>
      </w: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p>
    <w:p>
      <w:pPr>
        <w:pStyle w:val="12"/>
        <w:pageBreakBefore w:val="0"/>
        <w:shd w:val="clear" w:color="auto" w:fill="FFFFFF"/>
        <w:kinsoku/>
        <w:wordWrap/>
        <w:overflowPunct/>
        <w:topLinePunct w:val="0"/>
        <w:bidi w:val="0"/>
        <w:spacing w:before="0" w:beforeAutospacing="0" w:after="0" w:afterAutospacing="0" w:line="600" w:lineRule="exact"/>
        <w:ind w:firstLine="630"/>
        <w:jc w:val="both"/>
        <w:textAlignment w:val="auto"/>
        <w:rPr>
          <w:rFonts w:ascii="仿宋_GB2312" w:hAnsi="Calibri" w:eastAsia="仿宋_GB2312" w:cs="Times New Roman"/>
          <w:kern w:val="2"/>
          <w:sz w:val="32"/>
          <w:szCs w:val="32"/>
        </w:rPr>
      </w:pPr>
    </w:p>
    <w:p>
      <w:pPr>
        <w:spacing w:line="600" w:lineRule="exact"/>
        <w:jc w:val="center"/>
        <w:outlineLvl w:val="0"/>
        <w:rPr>
          <w:rFonts w:hint="eastAsia" w:ascii="黑体" w:eastAsia="黑体"/>
          <w:color w:val="000000"/>
          <w:sz w:val="44"/>
          <w:szCs w:val="44"/>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206210BA"/>
    <w:multiLevelType w:val="singleLevel"/>
    <w:tmpl w:val="206210BA"/>
    <w:lvl w:ilvl="0" w:tentative="0">
      <w:start w:val="3"/>
      <w:numFmt w:val="chineseCounting"/>
      <w:suff w:val="nothing"/>
      <w:lvlText w:val="（%1）"/>
      <w:lvlJc w:val="left"/>
      <w:rPr>
        <w:rFonts w:hint="eastAsia"/>
      </w:rPr>
    </w:lvl>
  </w:abstractNum>
  <w:abstractNum w:abstractNumId="5">
    <w:nsid w:val="746F7071"/>
    <w:multiLevelType w:val="singleLevel"/>
    <w:tmpl w:val="746F7071"/>
    <w:lvl w:ilvl="0" w:tentative="0">
      <w:start w:val="3"/>
      <w:numFmt w:val="chineseCounting"/>
      <w:suff w:val="nothing"/>
      <w:lvlText w:val="（%1）"/>
      <w:lvlJc w:val="left"/>
      <w:rPr>
        <w:rFonts w:hint="eastAsia"/>
      </w:rPr>
    </w:lvl>
  </w:abstractNum>
  <w:abstractNum w:abstractNumId="6">
    <w:nsid w:val="78D72DD4"/>
    <w:multiLevelType w:val="singleLevel"/>
    <w:tmpl w:val="78D72DD4"/>
    <w:lvl w:ilvl="0" w:tentative="0">
      <w:start w:val="3"/>
      <w:numFmt w:val="decimal"/>
      <w:lvlText w:val="%1."/>
      <w:lvlJc w:val="left"/>
      <w:pPr>
        <w:tabs>
          <w:tab w:val="left" w:pos="0"/>
        </w:tabs>
        <w:ind w:left="0" w:firstLine="0"/>
      </w:pPr>
    </w:lvl>
  </w:abstractNum>
  <w:num w:numId="1">
    <w:abstractNumId w:val="5"/>
  </w:num>
  <w:num w:numId="2">
    <w:abstractNumId w:val="6"/>
  </w:num>
  <w:num w:numId="3">
    <w:abstractNumId w:val="0"/>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mRjOTJlNzJjZmZkOTQxZDA4NjRhMDllMWM3ZmQ2OTgifQ=="/>
  </w:docVars>
  <w:rsids>
    <w:rsidRoot w:val="00000000"/>
    <w:rsid w:val="04F45ADA"/>
    <w:rsid w:val="055A601A"/>
    <w:rsid w:val="091915D2"/>
    <w:rsid w:val="0A051F93"/>
    <w:rsid w:val="0A975702"/>
    <w:rsid w:val="0B175E79"/>
    <w:rsid w:val="0BF4697D"/>
    <w:rsid w:val="0C844B6E"/>
    <w:rsid w:val="0D9C4B75"/>
    <w:rsid w:val="0DBD53C8"/>
    <w:rsid w:val="0FB04158"/>
    <w:rsid w:val="0FD7474F"/>
    <w:rsid w:val="137C73B5"/>
    <w:rsid w:val="13B90B4E"/>
    <w:rsid w:val="141A481F"/>
    <w:rsid w:val="154F382A"/>
    <w:rsid w:val="15DE6697"/>
    <w:rsid w:val="164401F7"/>
    <w:rsid w:val="184F40B0"/>
    <w:rsid w:val="18A73658"/>
    <w:rsid w:val="19D854B6"/>
    <w:rsid w:val="1A1F1AA1"/>
    <w:rsid w:val="1A3466F2"/>
    <w:rsid w:val="1AE5002E"/>
    <w:rsid w:val="1B650B58"/>
    <w:rsid w:val="1BAC6652"/>
    <w:rsid w:val="1D7D00F8"/>
    <w:rsid w:val="224E1CF9"/>
    <w:rsid w:val="22876FD4"/>
    <w:rsid w:val="22E401E1"/>
    <w:rsid w:val="26D11723"/>
    <w:rsid w:val="27344F10"/>
    <w:rsid w:val="27531D54"/>
    <w:rsid w:val="27936882"/>
    <w:rsid w:val="2C8C7E4B"/>
    <w:rsid w:val="2D0F0158"/>
    <w:rsid w:val="2E8336DD"/>
    <w:rsid w:val="2FB148B2"/>
    <w:rsid w:val="2FDC3787"/>
    <w:rsid w:val="36D2111D"/>
    <w:rsid w:val="378272A9"/>
    <w:rsid w:val="394E0677"/>
    <w:rsid w:val="3AF83E15"/>
    <w:rsid w:val="3C941DF5"/>
    <w:rsid w:val="3ED20300"/>
    <w:rsid w:val="3F1322C7"/>
    <w:rsid w:val="41112572"/>
    <w:rsid w:val="41314E40"/>
    <w:rsid w:val="41C728F7"/>
    <w:rsid w:val="41D05DD5"/>
    <w:rsid w:val="41DA683B"/>
    <w:rsid w:val="4274710D"/>
    <w:rsid w:val="4298458B"/>
    <w:rsid w:val="42BC2E2F"/>
    <w:rsid w:val="42C71218"/>
    <w:rsid w:val="4664671A"/>
    <w:rsid w:val="47D807A8"/>
    <w:rsid w:val="483D51A9"/>
    <w:rsid w:val="49231A4E"/>
    <w:rsid w:val="49814E5A"/>
    <w:rsid w:val="499B2342"/>
    <w:rsid w:val="4C57499F"/>
    <w:rsid w:val="4E67617B"/>
    <w:rsid w:val="4E9A703B"/>
    <w:rsid w:val="4EF86607"/>
    <w:rsid w:val="50F564F3"/>
    <w:rsid w:val="525A1C6E"/>
    <w:rsid w:val="533F3AC7"/>
    <w:rsid w:val="53774CBB"/>
    <w:rsid w:val="548E6516"/>
    <w:rsid w:val="55D967DE"/>
    <w:rsid w:val="55F6504A"/>
    <w:rsid w:val="561D7EDD"/>
    <w:rsid w:val="566440C3"/>
    <w:rsid w:val="57375065"/>
    <w:rsid w:val="57AE6CBC"/>
    <w:rsid w:val="58300CB2"/>
    <w:rsid w:val="584C6A44"/>
    <w:rsid w:val="58FB6947"/>
    <w:rsid w:val="5A113330"/>
    <w:rsid w:val="5A7A1A07"/>
    <w:rsid w:val="5DC43A2F"/>
    <w:rsid w:val="5E1C432A"/>
    <w:rsid w:val="5EAE4262"/>
    <w:rsid w:val="5EF96BFA"/>
    <w:rsid w:val="5F784B76"/>
    <w:rsid w:val="5FD2388B"/>
    <w:rsid w:val="6187080D"/>
    <w:rsid w:val="61905612"/>
    <w:rsid w:val="61952355"/>
    <w:rsid w:val="62F06DAB"/>
    <w:rsid w:val="64B16F14"/>
    <w:rsid w:val="66075DDC"/>
    <w:rsid w:val="680C54F8"/>
    <w:rsid w:val="68114221"/>
    <w:rsid w:val="69015FD9"/>
    <w:rsid w:val="6C270A6A"/>
    <w:rsid w:val="6C90039C"/>
    <w:rsid w:val="6D1C05E7"/>
    <w:rsid w:val="6DF315C1"/>
    <w:rsid w:val="6F6B3378"/>
    <w:rsid w:val="6FB7090F"/>
    <w:rsid w:val="703A0B37"/>
    <w:rsid w:val="704213B5"/>
    <w:rsid w:val="718611AD"/>
    <w:rsid w:val="732D66DD"/>
    <w:rsid w:val="73AE76A4"/>
    <w:rsid w:val="769F2282"/>
    <w:rsid w:val="77B1467D"/>
    <w:rsid w:val="782C1CD5"/>
    <w:rsid w:val="78414C61"/>
    <w:rsid w:val="79CD1697"/>
    <w:rsid w:val="79D12399"/>
    <w:rsid w:val="79DF2984"/>
    <w:rsid w:val="7D23167C"/>
    <w:rsid w:val="7DE97C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25">
    <w:name w:val="标题 2 Char"/>
    <w:basedOn w:val="14"/>
    <w:link w:val="3"/>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36130;&#21153;\2020&#24180;\2020&#24180;&#20915;&#31639;\&#20915;&#31639;&#2227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36130;&#21153;\2020&#24180;\2020&#24180;&#20915;&#31639;\&#20915;&#31639;&#2227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I:\2008-2020&#24180;&#36130;&#21153;&#36164;&#26009;\2008&#24180;-2020&#24180;\2019&#24180;\2019&#20915;&#31639;&#35828;&#26126;\&#21442;&#32771;\&#26032;&#24314;%20Microsoft%20Office%20Excel%202007%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071741032371"/>
          <c:y val="0.216379813282833"/>
          <c:w val="0.763971347331584"/>
          <c:h val="0.699057643111067"/>
        </c:manualLayout>
      </c:layout>
      <c:barChart>
        <c:barDir val="col"/>
        <c:grouping val="clustered"/>
        <c:varyColors val="0"/>
        <c:ser>
          <c:idx val="0"/>
          <c:order val="0"/>
          <c:tx>
            <c:strRef>
              <c:f>[决算图1.xlsx]Sheet1!$A$123</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[决算图1.xlsx]Sheet1!$B$122:$C$122</c:f>
              <c:numCache>
                <c:formatCode>General</c:formatCode>
                <c:ptCount val="2"/>
                <c:pt idx="0">
                  <c:v>2020</c:v>
                </c:pt>
                <c:pt idx="1">
                  <c:v>2021</c:v>
                </c:pt>
              </c:numCache>
            </c:numRef>
          </c:cat>
          <c:val>
            <c:numRef>
              <c:f>[决算图1.xlsx]Sheet1!$B$123:$C$123</c:f>
              <c:numCache>
                <c:formatCode>General</c:formatCode>
                <c:ptCount val="2"/>
                <c:pt idx="0">
                  <c:v>936.69</c:v>
                </c:pt>
                <c:pt idx="1">
                  <c:v>1117.58</c:v>
                </c:pt>
              </c:numCache>
            </c:numRef>
          </c:val>
        </c:ser>
        <c:ser>
          <c:idx val="1"/>
          <c:order val="1"/>
          <c:tx>
            <c:strRef>
              <c:f>[决算图1.xlsx]Sheet1!$A$124</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[决算图1.xlsx]Sheet1!$B$122:$C$122</c:f>
              <c:numCache>
                <c:formatCode>General</c:formatCode>
                <c:ptCount val="2"/>
                <c:pt idx="0">
                  <c:v>2020</c:v>
                </c:pt>
                <c:pt idx="1">
                  <c:v>2021</c:v>
                </c:pt>
              </c:numCache>
            </c:numRef>
          </c:cat>
          <c:val>
            <c:numRef>
              <c:f>[决算图1.xlsx]Sheet1!$B$124:$C$124</c:f>
              <c:numCache>
                <c:formatCode>General</c:formatCode>
                <c:ptCount val="2"/>
                <c:pt idx="0">
                  <c:v>936.69</c:v>
                </c:pt>
                <c:pt idx="1">
                  <c:v>1117.58</c:v>
                </c:pt>
              </c:numCache>
            </c:numRef>
          </c:val>
        </c:ser>
        <c:dLbls>
          <c:showLegendKey val="0"/>
          <c:showVal val="1"/>
          <c:showCatName val="0"/>
          <c:showSerName val="0"/>
          <c:showPercent val="0"/>
          <c:showBubbleSize val="0"/>
        </c:dLbls>
        <c:gapWidth val="150"/>
        <c:axId val="97888896"/>
        <c:axId val="56967552"/>
      </c:barChart>
      <c:catAx>
        <c:axId val="9788889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56967552"/>
        <c:crosses val="autoZero"/>
        <c:auto val="1"/>
        <c:lblAlgn val="ctr"/>
        <c:lblOffset val="100"/>
        <c:noMultiLvlLbl val="0"/>
      </c:catAx>
      <c:valAx>
        <c:axId val="569675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97888896"/>
        <c:crosses val="autoZero"/>
        <c:crossBetween val="between"/>
      </c:valAx>
      <c:spPr>
        <a:solidFill>
          <a:srgbClr val="FFFFFF"/>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07652668416448"/>
          <c:y val="0.0324074074074074"/>
        </c:manualLayout>
      </c:layout>
      <c:overlay val="0"/>
      <c:txPr>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p>
      </c:txPr>
    </c:title>
    <c:autoTitleDeleted val="0"/>
    <c:plotArea>
      <c:layout/>
      <c:pieChart>
        <c:varyColors val="1"/>
        <c:ser>
          <c:idx val="0"/>
          <c:order val="0"/>
          <c:tx>
            <c:strRef>
              <c:f>[决算图1.xlsx]Sheet1!$B$205</c:f>
              <c:strCache>
                <c:ptCount val="1"/>
                <c:pt idx="0">
                  <c:v>总收入结构情况</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elete val="1"/>
          </c:dLbls>
          <c:cat>
            <c:strRef>
              <c:f>[决算图1.xlsx]Sheet1!$A$206:$A$212</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[决算图1.xlsx]Sheet1!$B$206:$B$212</c:f>
              <c:numCache>
                <c:formatCode>General</c:formatCode>
                <c:ptCount val="7"/>
                <c:pt idx="0">
                  <c:v>100</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2351037222304"/>
          <c:y val="0.226124885215794"/>
        </c:manualLayout>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p>
      </c:txPr>
    </c:title>
    <c:autoTitleDeleted val="0"/>
    <c:plotArea>
      <c:layout/>
      <c:pieChart>
        <c:varyColors val="1"/>
        <c:ser>
          <c:idx val="0"/>
          <c:order val="0"/>
          <c:tx>
            <c:strRef>
              <c:f>[决算图1.xlsx]Sheet1!$B$28</c:f>
              <c:strCache>
                <c:ptCount val="1"/>
                <c:pt idx="0">
                  <c:v>支出决算结构图</c:v>
                </c:pt>
              </c:strCache>
            </c:strRef>
          </c:tx>
          <c:explosion val="0"/>
          <c:dPt>
            <c:idx val="0"/>
            <c:bubble3D val="0"/>
          </c:dPt>
          <c:dPt>
            <c:idx val="1"/>
            <c:bubble3D val="0"/>
          </c:dPt>
          <c:dLbls>
            <c:dLbl>
              <c:idx val="1"/>
              <c:layout>
                <c:manualLayout>
                  <c:x val="0.0145606955380577"/>
                  <c:y val="-0.037406678331875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[决算图1.xlsx]Sheet1!$A$29:$A$30</c:f>
              <c:strCache>
                <c:ptCount val="2"/>
                <c:pt idx="0">
                  <c:v>基本支出</c:v>
                </c:pt>
                <c:pt idx="1">
                  <c:v>项目支出</c:v>
                </c:pt>
              </c:strCache>
            </c:strRef>
          </c:cat>
          <c:val>
            <c:numRef>
              <c:f>[决算图1.xlsx]Sheet1!$B$29:$B$30</c:f>
              <c:numCache>
                <c:formatCode>General</c:formatCode>
                <c:ptCount val="2"/>
                <c:pt idx="0">
                  <c:v>78.23</c:v>
                </c:pt>
                <c:pt idx="1">
                  <c:v>21.77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826152229394986"/>
          <c:y val="0.467376052385407"/>
        </c:manualLayout>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071741032371"/>
          <c:y val="0.183656854213978"/>
          <c:w val="0.763971347331584"/>
          <c:h val="0.72631024895473"/>
        </c:manualLayout>
      </c:layout>
      <c:barChart>
        <c:barDir val="col"/>
        <c:grouping val="clustered"/>
        <c:varyColors val="0"/>
        <c:ser>
          <c:idx val="0"/>
          <c:order val="0"/>
          <c:tx>
            <c:strRef>
              <c:f>[决算图1.xlsx]Sheet1!$A$230</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[决算图1.xlsx]Sheet1!$B$229:$C$229</c:f>
              <c:numCache>
                <c:formatCode>General</c:formatCode>
                <c:ptCount val="2"/>
                <c:pt idx="0">
                  <c:v>2020</c:v>
                </c:pt>
                <c:pt idx="1">
                  <c:v>2021</c:v>
                </c:pt>
              </c:numCache>
            </c:numRef>
          </c:cat>
          <c:val>
            <c:numRef>
              <c:f>[决算图1.xlsx]Sheet1!$B$230:$C$230</c:f>
              <c:numCache>
                <c:formatCode>General</c:formatCode>
                <c:ptCount val="2"/>
                <c:pt idx="0">
                  <c:v>936.69</c:v>
                </c:pt>
                <c:pt idx="1">
                  <c:v>1117.58</c:v>
                </c:pt>
              </c:numCache>
            </c:numRef>
          </c:val>
        </c:ser>
        <c:ser>
          <c:idx val="1"/>
          <c:order val="1"/>
          <c:tx>
            <c:strRef>
              <c:f>[决算图1.xlsx]Sheet1!$A$231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[决算图1.xlsx]Sheet1!$B$229:$C$229</c:f>
              <c:numCache>
                <c:formatCode>General</c:formatCode>
                <c:ptCount val="2"/>
                <c:pt idx="0">
                  <c:v>2020</c:v>
                </c:pt>
                <c:pt idx="1">
                  <c:v>2021</c:v>
                </c:pt>
              </c:numCache>
            </c:numRef>
          </c:cat>
          <c:val>
            <c:numRef>
              <c:f>[决算图1.xlsx]Sheet1!$B$231:$C$231</c:f>
              <c:numCache>
                <c:formatCode>General</c:formatCode>
                <c:ptCount val="2"/>
                <c:pt idx="0">
                  <c:v>936.69</c:v>
                </c:pt>
                <c:pt idx="1">
                  <c:v>1117.58</c:v>
                </c:pt>
              </c:numCache>
            </c:numRef>
          </c:val>
        </c:ser>
        <c:dLbls>
          <c:showLegendKey val="0"/>
          <c:showVal val="1"/>
          <c:showCatName val="0"/>
          <c:showSerName val="0"/>
          <c:showPercent val="0"/>
          <c:showBubbleSize val="0"/>
        </c:dLbls>
        <c:gapWidth val="150"/>
        <c:axId val="101563008"/>
        <c:axId val="101568896"/>
      </c:barChart>
      <c:catAx>
        <c:axId val="1015630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101568896"/>
        <c:crosses val="autoZero"/>
        <c:auto val="1"/>
        <c:lblAlgn val="ctr"/>
        <c:lblOffset val="100"/>
        <c:noMultiLvlLbl val="0"/>
      </c:catAx>
      <c:valAx>
        <c:axId val="1015688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101563008"/>
        <c:crosses val="autoZero"/>
        <c:crossBetween val="between"/>
      </c:valAx>
      <c:spPr>
        <a:solidFill>
          <a:srgbClr val="FFFFFF"/>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p>
      </c:txPr>
    </c:title>
    <c:autoTitleDeleted val="0"/>
    <c:plotArea>
      <c:layout/>
      <c:barChart>
        <c:barDir val="col"/>
        <c:grouping val="clustered"/>
        <c:varyColors val="0"/>
        <c:ser>
          <c:idx val="0"/>
          <c:order val="0"/>
          <c:tx>
            <c:strRef>
              <c:f>[决算图1.xlsx]Sheet1!$B$144</c:f>
              <c:strCache>
                <c:ptCount val="1"/>
                <c:pt idx="0">
                  <c:v>一般公共预算财政拨款支出决算变动情况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[决算图1.xlsx]Sheet1!$A$145:$A$146</c:f>
              <c:strCache>
                <c:ptCount val="2"/>
                <c:pt idx="0">
                  <c:v>2020年</c:v>
                </c:pt>
                <c:pt idx="1">
                  <c:v>2021年</c:v>
                </c:pt>
              </c:strCache>
            </c:strRef>
          </c:cat>
          <c:val>
            <c:numRef>
              <c:f>[决算图1.xlsx]Sheet1!$B$145:$B$146</c:f>
              <c:numCache>
                <c:formatCode>General</c:formatCode>
                <c:ptCount val="2"/>
                <c:pt idx="0">
                  <c:v>936.69</c:v>
                </c:pt>
                <c:pt idx="1">
                  <c:v>1117.58</c:v>
                </c:pt>
              </c:numCache>
            </c:numRef>
          </c:val>
        </c:ser>
        <c:dLbls>
          <c:showLegendKey val="0"/>
          <c:showVal val="1"/>
          <c:showCatName val="0"/>
          <c:showSerName val="0"/>
          <c:showPercent val="0"/>
          <c:showBubbleSize val="0"/>
        </c:dLbls>
        <c:gapWidth val="150"/>
        <c:axId val="101579776"/>
        <c:axId val="101819136"/>
      </c:barChart>
      <c:catAx>
        <c:axId val="1015797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101819136"/>
        <c:crosses val="autoZero"/>
        <c:auto val="1"/>
        <c:lblAlgn val="ctr"/>
        <c:lblOffset val="100"/>
        <c:noMultiLvlLbl val="0"/>
      </c:catAx>
      <c:valAx>
        <c:axId val="1018191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crossAx val="101579776"/>
        <c:crosses val="autoZero"/>
        <c:crossBetween val="between"/>
      </c:valAx>
      <c:spPr>
        <a:solidFill>
          <a:srgbClr val="FFFFFF"/>
        </a:solidFill>
        <a:ln>
          <a:noFill/>
        </a:ln>
        <a:effectLst/>
      </c:spPr>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rgbClr val="000000"/>
              </a:solidFill>
              <a:latin typeface="+mn-lt"/>
              <a:ea typeface="+mn-ea"/>
              <a:cs typeface="+mn-cs"/>
            </a:defRPr>
          </a:pPr>
        </a:p>
      </c:txPr>
    </c:title>
    <c:autoTitleDeleted val="0"/>
    <c:plotArea>
      <c:layout/>
      <c:pieChart>
        <c:varyColors val="1"/>
        <c:ser>
          <c:idx val="0"/>
          <c:order val="0"/>
          <c:tx>
            <c:strRef>
              <c:f>[决算图1.xlsx]Sheet1!$B$46</c:f>
              <c:strCache>
                <c:ptCount val="1"/>
                <c:pt idx="0">
                  <c:v>一般公共预算财政拨款支出决算结构</c:v>
                </c:pt>
              </c:strCache>
            </c:strRef>
          </c:tx>
          <c:explosion val="13"/>
          <c:dPt>
            <c:idx val="0"/>
            <c:bubble3D val="0"/>
          </c:dPt>
          <c:dPt>
            <c:idx val="1"/>
            <c:bubble3D val="0"/>
          </c:dPt>
          <c:dPt>
            <c:idx val="2"/>
            <c:bubble3D val="0"/>
          </c:dPt>
          <c:dPt>
            <c:idx val="3"/>
            <c:bubble3D val="0"/>
          </c:dPt>
          <c:dPt>
            <c:idx val="4"/>
            <c:bubble3D val="0"/>
          </c:dPt>
          <c:dLbls>
            <c:dLbl>
              <c:idx val="1"/>
              <c:layout>
                <c:manualLayout>
                  <c:x val="0.0278483107060023"/>
                  <c:y val="0.001776027996500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92579515740645"/>
                  <c:y val="0.038022747156605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91217936407105"/>
                  <c:y val="0.04698308544765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[决算图1.xlsx]Sheet1!$A$47:$A$51</c:f>
              <c:strCache>
                <c:ptCount val="5"/>
                <c:pt idx="0">
                  <c:v>一般公共服务支出</c:v>
                </c:pt>
                <c:pt idx="1">
                  <c:v>教育支出</c:v>
                </c:pt>
                <c:pt idx="2">
                  <c:v>社会保障和就业支出</c:v>
                </c:pt>
                <c:pt idx="3">
                  <c:v>卫生健康支出</c:v>
                </c:pt>
                <c:pt idx="4">
                  <c:v>住房保障支出</c:v>
                </c:pt>
              </c:strCache>
            </c:strRef>
          </c:cat>
          <c:val>
            <c:numRef>
              <c:f>[决算图1.xlsx]Sheet1!$B$47:$B$51</c:f>
              <c:numCache>
                <c:formatCode>General</c:formatCode>
                <c:ptCount val="5"/>
                <c:pt idx="0">
                  <c:v>83.07</c:v>
                </c:pt>
                <c:pt idx="1">
                  <c:v>0.25</c:v>
                </c:pt>
                <c:pt idx="2">
                  <c:v>7.79</c:v>
                </c:pt>
                <c:pt idx="3">
                  <c:v>3.33</c:v>
                </c:pt>
                <c:pt idx="4">
                  <c:v>5.56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rgbClr val="000000"/>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delete val="1"/>
          </c:dLbls>
          <c:cat>
            <c:strRef>
              <c:f>'[新建 Microsoft Office Excel 2007 工作表.xlsx]Sheet1'!$A$68:$C$68</c:f>
              <c:strCache>
                <c:ptCount val="3"/>
                <c:pt idx="0">
                  <c:v>因公出国（境）费</c:v>
                </c:pt>
                <c:pt idx="1">
                  <c:v>公务用车购置及运行维护费</c:v>
                </c:pt>
                <c:pt idx="2">
                  <c:v>公务接待费</c:v>
                </c:pt>
              </c:strCache>
            </c:strRef>
          </c:cat>
          <c:val>
            <c:numRef>
              <c:f>'[新建 Microsoft Office Excel 2007 工作表.xlsx]Sheet1'!$A$69:$C$69</c:f>
              <c:numCache>
                <c:formatCode>General</c:formatCode>
                <c:ptCount val="3"/>
                <c:pt idx="1" c:formatCode="0.00%">
                  <c:v>1</c:v>
                </c:pt>
                <c:pt idx="2" c:formatCode="0.00%">
                  <c:v>0</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manualLayout>
          <c:xMode val="edge"/>
          <c:yMode val="edge"/>
          <c:x val="0.658334672718654"/>
          <c:y val="0.295139889661627"/>
          <c:w val="0.322917323643644"/>
          <c:h val="0.416668079522297"/>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0.54167</cdr:x>
      <cdr:y>0.0593</cdr:y>
    </cdr:from>
    <cdr:to>
      <cdr:x>0.74167</cdr:x>
      <cdr:y>0.31806</cdr:y>
    </cdr:to>
    <cdr:sp>
      <cdr:nvSpPr>
        <cdr:cNvPr id="2" name="矩形 1"/>
        <cdr:cNvSpPr/>
      </cdr:nvSpPr>
      <cdr:spPr xmlns:a="http://schemas.openxmlformats.org/drawingml/2006/main">
        <a:xfrm xmlns:a="http://schemas.openxmlformats.org/drawingml/2006/main">
          <a:off x="2476500" y="209550"/>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0.36667</cdr:x>
      <cdr:y>0.08086</cdr:y>
    </cdr:from>
    <cdr:to>
      <cdr:x>0.56667</cdr:x>
      <cdr:y>0.16712</cdr:y>
    </cdr:to>
    <cdr:sp>
      <cdr:nvSpPr>
        <cdr:cNvPr id="3" name="矩形 2"/>
        <cdr:cNvSpPr/>
      </cdr:nvSpPr>
      <cdr:spPr xmlns:a="http://schemas.openxmlformats.org/drawingml/2006/main">
        <a:xfrm xmlns:a="http://schemas.openxmlformats.org/drawingml/2006/main">
          <a:off x="1676400" y="285750"/>
          <a:ext cx="914400" cy="3048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0.15714</cdr:x>
      <cdr:y>0.07547</cdr:y>
    </cdr:from>
    <cdr:to>
      <cdr:x>0.74286</cdr:x>
      <cdr:y>0.16442</cdr:y>
    </cdr:to>
    <cdr:sp>
      <cdr:nvSpPr>
        <cdr:cNvPr id="4" name="矩形 3"/>
        <cdr:cNvSpPr/>
      </cdr:nvSpPr>
      <cdr:spPr xmlns:a="http://schemas.openxmlformats.org/drawingml/2006/main">
        <a:xfrm xmlns:a="http://schemas.openxmlformats.org/drawingml/2006/main">
          <a:off x="838200" y="266700"/>
          <a:ext cx="3124200" cy="3143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zh-CN" altLang="en-US" sz="1800" b="1"/>
            <a:t>财政拨款收、支决算总计变动情况</a:t>
          </a:r>
          <a:endParaRPr lang="zh-CN" altLang="en-US" sz="1800" b="1"/>
        </a:p>
      </cdr:txBody>
    </cdr:sp>
  </cdr:relSizeAnchor>
  <cdr:relSizeAnchor xmlns:cdr="http://schemas.openxmlformats.org/drawingml/2006/chartDrawing">
    <cdr:from>
      <cdr:x>0.40893</cdr:x>
      <cdr:y>0.08356</cdr:y>
    </cdr:from>
    <cdr:to>
      <cdr:x>0.58036</cdr:x>
      <cdr:y>0.34232</cdr:y>
    </cdr:to>
    <cdr:sp>
      <cdr:nvSpPr>
        <cdr:cNvPr id="5" name="矩形 4"/>
        <cdr:cNvSpPr/>
      </cdr:nvSpPr>
      <cdr:spPr xmlns:a="http://schemas.openxmlformats.org/drawingml/2006/main">
        <a:xfrm xmlns:a="http://schemas.openxmlformats.org/drawingml/2006/main">
          <a:off x="2181225" y="295275"/>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0.28125</cdr:x>
      <cdr:y>0.05556</cdr:y>
    </cdr:from>
    <cdr:to>
      <cdr:x>0.63542</cdr:x>
      <cdr:y>0.15443</cdr:y>
    </cdr:to>
    <cdr:sp>
      <cdr:nvSpPr>
        <cdr:cNvPr id="2" name="矩形 1"/>
        <cdr:cNvSpPr/>
      </cdr:nvSpPr>
      <cdr:spPr xmlns:a="http://schemas.openxmlformats.org/drawingml/2006/main">
        <a:xfrm xmlns:a="http://schemas.openxmlformats.org/drawingml/2006/main">
          <a:off x="1285875" y="209021"/>
          <a:ext cx="1619250" cy="372004"/>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zh-CN" altLang="en-US" sz="1800" b="1"/>
            <a:t>收、支决算结构图</a:t>
          </a:r>
          <a:endParaRPr lang="zh-CN" altLang="en-US" sz="1800" b="1"/>
        </a:p>
      </cdr:txBody>
    </cdr:sp>
  </cdr:relSizeAnchor>
  <cdr:relSizeAnchor xmlns:cdr="http://schemas.openxmlformats.org/drawingml/2006/chartDrawing">
    <cdr:from>
      <cdr:x>0.46042</cdr:x>
      <cdr:y>0.10886</cdr:y>
    </cdr:from>
    <cdr:to>
      <cdr:x>0.66042</cdr:x>
      <cdr:y>0.3519</cdr:y>
    </cdr:to>
    <cdr:sp>
      <cdr:nvSpPr>
        <cdr:cNvPr id="3" name="矩形 2"/>
        <cdr:cNvSpPr/>
      </cdr:nvSpPr>
      <cdr:spPr xmlns:a="http://schemas.openxmlformats.org/drawingml/2006/main">
        <a:xfrm xmlns:a="http://schemas.openxmlformats.org/drawingml/2006/main">
          <a:off x="2105025" y="409575"/>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8356</Words>
  <Characters>9319</Characters>
  <Lines>950</Lines>
  <Paragraphs>413</Paragraphs>
  <TotalTime>0</TotalTime>
  <ScaleCrop>false</ScaleCrop>
  <LinksUpToDate>false</LinksUpToDate>
  <CharactersWithSpaces>9380</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云淡风清</cp:lastModifiedBy>
  <cp:lastPrinted>2022-08-31T09:32:00Z</cp:lastPrinted>
  <dcterms:modified xsi:type="dcterms:W3CDTF">2023-09-21T00:55:04Z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BBF1B19957954F35B893E7DE8962FA1E_13</vt:lpwstr>
  </property>
  <property fmtid="{D5CDD505-2E9C-101B-9397-08002B2CF9AE}" pid="4" name="commondata">
    <vt:lpwstr>eyJoZGlkIjoiNmRjOTJlNzJjZmZkOTQxZDA4NjRhMDllMWM3ZmQ2OTgifQ==</vt:lpwstr>
  </property>
</Properties>
</file>