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color w:val="000000"/>
          <w:sz w:val="72"/>
          <w:szCs w:val="72"/>
        </w:rPr>
        <w:t>20</w:t>
      </w:r>
      <w:r>
        <w:rPr>
          <w:rFonts w:hint="eastAsia" w:ascii="黑体" w:eastAsia="黑体"/>
          <w:color w:val="000000"/>
          <w:sz w:val="72"/>
          <w:szCs w:val="72"/>
          <w:lang w:val="en-US" w:eastAsia="zh-CN"/>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77194"/>
      <w:bookmarkStart w:id="8" w:name="_Toc15377426"/>
      <w:bookmarkStart w:id="9" w:name="_Toc15378442"/>
      <w:bookmarkStart w:id="10" w:name="_Toc15306268"/>
      <w:bookmarkStart w:id="11" w:name="_Toc15396598"/>
      <w:r>
        <w:rPr>
          <w:rFonts w:hint="eastAsia" w:ascii="方正小标宋简体" w:eastAsia="方正小标宋简体"/>
          <w:color w:val="000000"/>
          <w:sz w:val="72"/>
          <w:szCs w:val="72"/>
          <w:lang w:eastAsia="zh-CN"/>
        </w:rPr>
        <w:t>金川县人民代表大会常务委员会</w:t>
      </w:r>
      <w:r>
        <w:rPr>
          <w:rFonts w:hint="eastAsia" w:ascii="方正小标宋简体" w:eastAsia="方正小标宋简体"/>
          <w:color w:val="000000"/>
          <w:sz w:val="72"/>
          <w:szCs w:val="72"/>
        </w:rPr>
        <w:t>办公室部门决算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ind w:firstLine="1920" w:firstLineChars="600"/>
        <w:rPr>
          <w:rFonts w:hint="eastAsia" w:ascii="仿宋" w:eastAsia="仿宋" w:cs="仿宋"/>
          <w:color w:val="000000"/>
          <w:sz w:val="32"/>
          <w:szCs w:val="32"/>
        </w:rPr>
      </w:pPr>
      <w:r>
        <w:rPr>
          <w:rFonts w:hint="eastAsia" w:ascii="仿宋" w:eastAsia="仿宋" w:cs="仿宋"/>
          <w:sz w:val="32"/>
          <w:szCs w:val="32"/>
        </w:rPr>
        <w:t>公开时间：2021年8月3日</w:t>
      </w:r>
    </w:p>
    <w:p>
      <w:pPr>
        <w:widowControl/>
        <w:jc w:val="center"/>
        <w:rPr>
          <w:rFonts w:ascii="方正小标宋简体" w:eastAsia="方正小标宋简体"/>
          <w:color w:val="000000"/>
          <w:sz w:val="36"/>
          <w:szCs w:val="36"/>
        </w:rPr>
      </w:pPr>
    </w:p>
    <w:p>
      <w:pPr>
        <w:widowControl/>
        <w:tabs>
          <w:tab w:val="left" w:pos="3516"/>
          <w:tab w:val="center" w:pos="4213"/>
        </w:tabs>
        <w:jc w:val="center"/>
        <w:rPr>
          <w:rFonts w:hint="eastAsia"/>
        </w:rPr>
      </w:pPr>
      <w:r>
        <w:rPr>
          <w:rFonts w:ascii="方正小标宋简体" w:eastAsia="方正小标宋简体"/>
          <w:color w:val="000000"/>
          <w:sz w:val="36"/>
          <w:szCs w:val="36"/>
        </w:rPr>
        <w:br w:type="page"/>
      </w:r>
      <w:bookmarkStart w:id="12" w:name="_Toc15396599"/>
      <w:bookmarkStart w:id="13" w:name="_Toc15377196"/>
      <w:bookmarkStart w:id="14" w:name="_Toc98838269"/>
      <w:r>
        <w:rPr>
          <w:rFonts w:hint="eastAsia" w:ascii="黑体" w:eastAsia="黑体"/>
          <w:color w:val="000000"/>
          <w:sz w:val="48"/>
          <w:szCs w:val="48"/>
        </w:rPr>
        <w:t>目录</w:t>
      </w:r>
      <w:r>
        <w:rPr>
          <w:rFonts w:hint="eastAsia"/>
        </w:rPr>
        <w:fldChar w:fldCharType="begin"/>
      </w:r>
      <w:r>
        <w:rPr>
          <w:rFonts w:hint="eastAsia"/>
        </w:rPr>
        <w:instrText xml:space="preserve">TOC \o "1-3" \h \u </w:instrText>
      </w:r>
      <w:r>
        <w:rPr>
          <w:rFonts w:hint="eastAsia"/>
        </w:rPr>
        <w:fldChar w:fldCharType="separate"/>
      </w:r>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3</w:t>
      </w:r>
      <w:r>
        <w:rPr>
          <w:rFonts w:hint="eastAsia"/>
        </w:rPr>
        <w:fldChar w:fldCharType="end"/>
      </w:r>
    </w:p>
    <w:p>
      <w:pPr>
        <w:pStyle w:val="11"/>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rPr>
          <w:rFonts w:ascii="仿宋" w:eastAsia="仿宋"/>
          <w:sz w:val="28"/>
          <w:szCs w:val="28"/>
        </w:rPr>
      </w:pPr>
      <w:r>
        <w:fldChar w:fldCharType="begin"/>
      </w:r>
      <w:r>
        <w:instrText xml:space="preserve"> HYPERLINK \l "_Toc15396601" </w:instrText>
      </w:r>
      <w:r>
        <w:fldChar w:fldCharType="separate"/>
      </w:r>
      <w:r>
        <w:rPr>
          <w:rFonts w:hint="eastAsia" w:ascii="仿宋" w:eastAsia="仿宋"/>
          <w:sz w:val="28"/>
          <w:szCs w:val="28"/>
        </w:rPr>
        <w:t>二、机构和人员情况</w:t>
      </w:r>
      <w:r>
        <w:rPr>
          <w:rFonts w:ascii="仿宋" w:eastAsia="仿宋"/>
          <w:sz w:val="28"/>
          <w:szCs w:val="28"/>
        </w:rPr>
        <w:tab/>
      </w:r>
      <w:r>
        <w:rPr>
          <w:rFonts w:hint="eastAsia" w:ascii="仿宋" w:eastAsia="仿宋"/>
          <w:sz w:val="28"/>
          <w:szCs w:val="28"/>
        </w:rPr>
        <w:t>4</w:t>
      </w:r>
      <w:r>
        <w:rPr>
          <w:rFonts w:ascii="仿宋" w:eastAsia="仿宋"/>
          <w:sz w:val="28"/>
          <w:szCs w:val="28"/>
        </w:rPr>
        <w:fldChar w:fldCharType="end"/>
      </w:r>
    </w:p>
    <w:p>
      <w:pPr>
        <w:rPr>
          <w:rFonts w:hint="eastAsia" w:eastAsia="仿宋"/>
        </w:rPr>
      </w:pPr>
      <w:r>
        <w:rPr>
          <w:rFonts w:hint="eastAsia" w:ascii="仿宋" w:eastAsia="仿宋"/>
          <w:sz w:val="28"/>
          <w:szCs w:val="28"/>
        </w:rPr>
        <w:t xml:space="preserve">   三、重点工作完成情况                                    4</w:t>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fldChar w:fldCharType="end"/>
      </w:r>
    </w:p>
    <w:p>
      <w:pPr>
        <w:pStyle w:val="11"/>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5</w:t>
      </w:r>
      <w:r>
        <w:rPr>
          <w:rFonts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5</w:t>
      </w:r>
      <w:r>
        <w:rPr>
          <w:rFonts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6</w:t>
      </w:r>
      <w:r>
        <w:rPr>
          <w:rFonts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6</w:t>
      </w:r>
      <w:r>
        <w:rPr>
          <w:rFonts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7</w:t>
      </w:r>
      <w:r>
        <w:rPr>
          <w:rFonts w:ascii="仿宋" w:eastAsia="仿宋"/>
          <w:sz w:val="28"/>
          <w:szCs w:val="28"/>
        </w:rPr>
        <w:fldChar w:fldCharType="end"/>
      </w:r>
    </w:p>
    <w:p>
      <w:pPr>
        <w:pStyle w:val="11"/>
        <w:rPr>
          <w:rFonts w:hint="eastAsia"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8</w:t>
      </w:r>
      <w:r>
        <w:rPr>
          <w:rFonts w:ascii="仿宋" w:eastAsia="仿宋"/>
          <w:sz w:val="28"/>
          <w:szCs w:val="28"/>
        </w:rPr>
        <w:fldChar w:fldCharType="end"/>
      </w:r>
    </w:p>
    <w:p>
      <w:pPr>
        <w:pStyle w:val="11"/>
        <w:rPr>
          <w:rFonts w:hint="eastAsia"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ascii="仿宋" w:eastAsia="仿宋"/>
          <w:sz w:val="28"/>
          <w:szCs w:val="28"/>
        </w:rPr>
        <w:fldChar w:fldCharType="end"/>
      </w:r>
      <w:r>
        <w:rPr>
          <w:rFonts w:hint="eastAsia" w:ascii="仿宋" w:eastAsia="仿宋"/>
          <w:sz w:val="28"/>
          <w:szCs w:val="28"/>
        </w:rPr>
        <w:t>0</w:t>
      </w:r>
    </w:p>
    <w:p>
      <w:pPr>
        <w:pStyle w:val="11"/>
        <w:rPr>
          <w:rFonts w:hint="eastAsia"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ascii="仿宋" w:eastAsia="仿宋"/>
          <w:sz w:val="28"/>
          <w:szCs w:val="28"/>
        </w:rPr>
        <w:fldChar w:fldCharType="end"/>
      </w:r>
      <w:r>
        <w:rPr>
          <w:rFonts w:hint="eastAsia" w:ascii="仿宋" w:eastAsia="仿宋"/>
          <w:sz w:val="28"/>
          <w:szCs w:val="28"/>
        </w:rPr>
        <w:t>1</w:t>
      </w:r>
    </w:p>
    <w:p>
      <w:pPr>
        <w:pStyle w:val="11"/>
        <w:rPr>
          <w:rFonts w:hint="eastAsia"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九</w:t>
      </w:r>
      <w:r>
        <w:rPr>
          <w:rFonts w:hint="eastAsia" w:ascii="仿宋" w:eastAsia="仿宋"/>
          <w:bCs/>
          <w:sz w:val="28"/>
          <w:szCs w:val="28"/>
        </w:rPr>
        <w:t>、其他重要事项的情况说明</w:t>
      </w:r>
      <w:r>
        <w:rPr>
          <w:rFonts w:ascii="仿宋" w:eastAsia="仿宋"/>
          <w:sz w:val="28"/>
          <w:szCs w:val="28"/>
        </w:rPr>
        <w:tab/>
      </w:r>
      <w:r>
        <w:rPr>
          <w:rFonts w:hint="eastAsia" w:ascii="仿宋" w:eastAsia="仿宋"/>
          <w:sz w:val="28"/>
          <w:szCs w:val="28"/>
        </w:rPr>
        <w:t>12</w:t>
      </w:r>
      <w:r>
        <w:rPr>
          <w:rFonts w:ascii="仿宋" w:eastAsia="仿宋"/>
          <w:sz w:val="28"/>
          <w:szCs w:val="28"/>
        </w:rPr>
        <w:fldChar w:fldCharType="end"/>
      </w:r>
    </w:p>
    <w:p>
      <w:pPr>
        <w:pStyle w:val="10"/>
        <w:rPr>
          <w:rFonts w:hint="eastAsia"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12</w:t>
      </w:r>
      <w:r>
        <w:fldChar w:fldCharType="end"/>
      </w:r>
    </w:p>
    <w:p>
      <w:pPr>
        <w:pStyle w:val="11"/>
        <w:ind w:left="0" w:leftChars="0"/>
        <w:rPr>
          <w:rFonts w:hint="eastAsia" w:ascii="仿宋" w:eastAsia="仿宋" w:cs="Arial"/>
          <w:sz w:val="28"/>
          <w:szCs w:val="28"/>
        </w:rPr>
      </w:pPr>
      <w:r>
        <w:rPr>
          <w:rFonts w:hint="eastAsia" w:ascii="仿宋" w:eastAsia="仿宋"/>
          <w:bCs/>
          <w:kern w:val="44"/>
          <w:sz w:val="28"/>
          <w:szCs w:val="28"/>
        </w:rPr>
        <w:t xml:space="preserve">第四部门  </w:t>
      </w:r>
      <w:r>
        <w:rPr>
          <w:rFonts w:hint="eastAsia" w:ascii="仿宋" w:eastAsia="仿宋"/>
          <w:bCs/>
          <w:kern w:val="44"/>
          <w:sz w:val="28"/>
          <w:szCs w:val="28"/>
        </w:rPr>
        <w:fldChar w:fldCharType="begin"/>
      </w:r>
      <w:r>
        <w:rPr>
          <w:rFonts w:hint="eastAsia" w:ascii="仿宋" w:eastAsia="仿宋"/>
          <w:bCs/>
          <w:kern w:val="44"/>
          <w:sz w:val="28"/>
          <w:szCs w:val="28"/>
        </w:rPr>
        <w:instrText xml:space="preserve"> HYPERLINK \l "_Toc15396615" </w:instrText>
      </w:r>
      <w:r>
        <w:rPr>
          <w:rFonts w:hint="eastAsia" w:ascii="仿宋" w:eastAsia="仿宋"/>
          <w:bCs/>
          <w:kern w:val="44"/>
          <w:sz w:val="28"/>
          <w:szCs w:val="28"/>
        </w:rPr>
        <w:fldChar w:fldCharType="separate"/>
      </w:r>
      <w:r>
        <w:rPr>
          <w:rFonts w:hint="eastAsia" w:ascii="仿宋" w:eastAsia="仿宋"/>
          <w:bCs/>
          <w:kern w:val="44"/>
          <w:sz w:val="28"/>
          <w:szCs w:val="28"/>
        </w:rPr>
        <w:t>附件</w:t>
      </w:r>
      <w:r>
        <w:rPr>
          <w:rFonts w:hint="eastAsia" w:ascii="仿宋" w:eastAsia="仿宋"/>
          <w:bCs/>
          <w:kern w:val="44"/>
          <w:sz w:val="28"/>
          <w:szCs w:val="28"/>
        </w:rPr>
        <w:tab/>
      </w:r>
      <w:r>
        <w:rPr>
          <w:rFonts w:hint="eastAsia" w:ascii="仿宋" w:eastAsia="仿宋"/>
          <w:bCs/>
          <w:kern w:val="44"/>
          <w:sz w:val="28"/>
          <w:szCs w:val="28"/>
        </w:rPr>
        <w:t>1</w:t>
      </w:r>
      <w:r>
        <w:rPr>
          <w:rFonts w:hint="eastAsia" w:ascii="仿宋" w:eastAsia="仿宋"/>
          <w:bCs/>
          <w:kern w:val="44"/>
          <w:sz w:val="28"/>
          <w:szCs w:val="28"/>
        </w:rPr>
        <w:fldChar w:fldCharType="end"/>
      </w:r>
      <w:r>
        <w:rPr>
          <w:rFonts w:hint="eastAsia" w:ascii="仿宋" w:eastAsia="仿宋"/>
          <w:bCs/>
          <w:kern w:val="44"/>
          <w:sz w:val="28"/>
          <w:szCs w:val="28"/>
        </w:rPr>
        <w:t>5</w:t>
      </w:r>
    </w:p>
    <w:p>
      <w:pPr>
        <w:pStyle w:val="10"/>
        <w:rPr>
          <w:rFonts w:hint="eastAsia"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fldChar w:fldCharType="end"/>
      </w:r>
      <w:r>
        <w:rPr>
          <w:rFonts w:hint="eastAsia"/>
        </w:rPr>
        <w:t>3</w:t>
      </w:r>
    </w:p>
    <w:p>
      <w:pPr>
        <w:pStyle w:val="11"/>
        <w:rPr>
          <w:rFonts w:hint="eastAsia"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pStyle w:val="11"/>
        <w:rPr>
          <w:rFonts w:hint="eastAsia"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4</w:t>
      </w:r>
    </w:p>
    <w:p>
      <w:pPr>
        <w:keepNext w:val="0"/>
        <w:keepLines w:val="0"/>
        <w:pageBreakBefore w:val="0"/>
        <w:widowControl/>
        <w:kinsoku/>
        <w:wordWrap/>
        <w:overflowPunct/>
        <w:topLinePunct w:val="0"/>
        <w:autoSpaceDE/>
        <w:autoSpaceDN/>
        <w:adjustRightInd/>
        <w:snapToGrid/>
        <w:spacing w:line="460" w:lineRule="exact"/>
        <w:jc w:val="center"/>
      </w:pPr>
      <w:r>
        <w:rPr>
          <w:rFonts w:hint="eastAsia"/>
        </w:rPr>
        <w:fldChar w:fldCharType="end"/>
      </w: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pPr>
    </w:p>
    <w:p>
      <w:pPr>
        <w:keepNext w:val="0"/>
        <w:keepLines w:val="0"/>
        <w:pageBreakBefore w:val="0"/>
        <w:widowControl/>
        <w:kinsoku/>
        <w:wordWrap/>
        <w:overflowPunct/>
        <w:topLinePunct w:val="0"/>
        <w:autoSpaceDE/>
        <w:autoSpaceDN/>
        <w:adjustRightInd/>
        <w:snapToGrid/>
        <w:spacing w:line="460" w:lineRule="exact"/>
        <w:jc w:val="center"/>
        <w:rPr>
          <w:rFonts w:ascii="黑体" w:eastAsia="黑体"/>
          <w:color w:val="000000"/>
          <w:sz w:val="32"/>
          <w:szCs w:val="32"/>
        </w:rPr>
      </w:pPr>
      <w:r>
        <w:rPr>
          <w:rFonts w:hint="eastAsia" w:ascii="黑体" w:eastAsia="黑体"/>
          <w:b w:val="0"/>
          <w:sz w:val="44"/>
          <w:szCs w:val="44"/>
        </w:rPr>
        <w:t xml:space="preserve">第一部分 </w:t>
      </w:r>
      <w:r>
        <w:rPr>
          <w:rStyle w:val="17"/>
          <w:rFonts w:hint="eastAsia" w:ascii="黑体" w:eastAsia="黑体"/>
          <w:b w:val="0"/>
          <w:bCs w:val="0"/>
        </w:rPr>
        <w:t>部门概况</w:t>
      </w:r>
      <w:bookmarkEnd w:id="12"/>
      <w:bookmarkEnd w:id="13"/>
      <w:bookmarkEnd w:id="14"/>
    </w:p>
    <w:p>
      <w:pPr>
        <w:pStyle w:val="3"/>
        <w:spacing w:before="0" w:after="0" w:line="240" w:lineRule="auto"/>
        <w:ind w:left="640" w:hanging="640" w:hangingChars="200"/>
        <w:rPr>
          <w:rStyle w:val="18"/>
          <w:rFonts w:ascii="黑体" w:eastAsia="黑体"/>
          <w:b w:val="0"/>
          <w:bCs w:val="0"/>
        </w:rPr>
      </w:pPr>
      <w:bookmarkStart w:id="15" w:name="_Toc15377197"/>
      <w:bookmarkStart w:id="16" w:name="_Toc98838270"/>
      <w:bookmarkStart w:id="17" w:name="_Toc15396600"/>
      <w:r>
        <w:rPr>
          <w:rFonts w:hint="eastAsia" w:ascii="黑体" w:eastAsia="黑体"/>
          <w:b w:val="0"/>
          <w:color w:val="000000"/>
        </w:rPr>
        <w:t>一、基</w:t>
      </w:r>
      <w:r>
        <w:rPr>
          <w:rStyle w:val="18"/>
          <w:rFonts w:hint="eastAsia" w:ascii="黑体" w:eastAsia="黑体"/>
          <w:b w:val="0"/>
          <w:bCs w:val="0"/>
        </w:rPr>
        <w:t>本职能及主要工作</w:t>
      </w:r>
      <w:bookmarkEnd w:id="15"/>
      <w:bookmarkEnd w:id="16"/>
      <w:bookmarkEnd w:id="17"/>
      <w:bookmarkStart w:id="18" w:name="_Toc15378445"/>
      <w:bookmarkStart w:id="19" w:name="_Toc15377198"/>
    </w:p>
    <w:p>
      <w:pPr>
        <w:pStyle w:val="3"/>
        <w:spacing w:before="0" w:after="0" w:line="240" w:lineRule="auto"/>
        <w:ind w:left="642" w:leftChars="153" w:hanging="321" w:hangingChars="100"/>
        <w:rPr>
          <w:rFonts w:ascii="楷体" w:eastAsia="楷体" w:cs="楷体"/>
          <w:color w:val="000000"/>
        </w:rPr>
      </w:pPr>
      <w:bookmarkStart w:id="20" w:name="_Toc98838271"/>
      <w:r>
        <w:rPr>
          <w:rFonts w:hint="eastAsia" w:ascii="楷体" w:eastAsia="楷体" w:cs="楷体"/>
          <w:color w:val="000000"/>
        </w:rPr>
        <w:t>（一）主要职能</w:t>
      </w:r>
      <w:bookmarkEnd w:id="18"/>
      <w:bookmarkEnd w:id="19"/>
      <w:bookmarkEnd w:id="20"/>
      <w:bookmarkStart w:id="21" w:name="_Toc15377199"/>
      <w:bookmarkStart w:id="22" w:name="_Toc15378446"/>
    </w:p>
    <w:p>
      <w:pPr>
        <w:pStyle w:val="3"/>
        <w:spacing w:before="0" w:after="0" w:line="240" w:lineRule="auto"/>
        <w:ind w:firstLine="320" w:firstLineChars="100"/>
        <w:rPr>
          <w:rFonts w:hint="eastAsia" w:ascii="仿宋_GB2312" w:eastAsia="仿宋_GB2312" w:cs="Times New Roman"/>
          <w:b w:val="0"/>
          <w:bCs w:val="0"/>
          <w:kern w:val="2"/>
          <w:sz w:val="32"/>
          <w:szCs w:val="32"/>
          <w:lang w:val="en-US" w:eastAsia="zh-CN" w:bidi="ar-SA"/>
        </w:rPr>
      </w:pPr>
      <w:bookmarkStart w:id="23" w:name="_Toc98838272"/>
      <w:r>
        <w:rPr>
          <w:rFonts w:hint="eastAsia" w:ascii="仿宋_GB2312" w:eastAsia="仿宋_GB2312" w:cs="Times New Roman"/>
          <w:b w:val="0"/>
          <w:bCs w:val="0"/>
          <w:kern w:val="2"/>
          <w:sz w:val="32"/>
          <w:szCs w:val="32"/>
          <w:lang w:val="en-US" w:eastAsia="zh-CN" w:bidi="ar-SA"/>
        </w:rPr>
        <w:t>1、为“三会”（人民代表大会、常委会、主任会）做好服务工作。</w:t>
      </w:r>
      <w:bookmarkEnd w:id="23"/>
    </w:p>
    <w:p>
      <w:pPr>
        <w:pStyle w:val="3"/>
        <w:spacing w:before="0" w:after="0" w:line="240" w:lineRule="auto"/>
        <w:ind w:firstLine="320" w:firstLineChars="100"/>
        <w:rPr>
          <w:rFonts w:hint="eastAsia" w:ascii="仿宋_GB2312" w:eastAsia="仿宋_GB2312" w:cs="Times New Roman"/>
          <w:b w:val="0"/>
          <w:bCs w:val="0"/>
          <w:kern w:val="2"/>
          <w:sz w:val="32"/>
          <w:szCs w:val="32"/>
          <w:lang w:val="en-US" w:eastAsia="zh-CN" w:bidi="ar-SA"/>
        </w:rPr>
      </w:pPr>
      <w:bookmarkStart w:id="24" w:name="_Toc98838273"/>
      <w:r>
        <w:rPr>
          <w:rFonts w:hint="eastAsia" w:ascii="仿宋_GB2312" w:eastAsia="仿宋_GB2312" w:cs="Times New Roman"/>
          <w:b w:val="0"/>
          <w:bCs w:val="0"/>
          <w:kern w:val="2"/>
          <w:sz w:val="32"/>
          <w:szCs w:val="32"/>
          <w:lang w:val="en-US" w:eastAsia="zh-CN" w:bidi="ar-SA"/>
        </w:rPr>
        <w:t>2、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w:t>
      </w:r>
      <w:bookmarkEnd w:id="24"/>
    </w:p>
    <w:p>
      <w:pPr>
        <w:ind w:firstLine="640" w:firstLineChars="200"/>
        <w:rPr>
          <w:rFonts w:hint="eastAsia" w:ascii="仿宋_GB2312" w:eastAsia="仿宋_GB2312" w:cs="Times New Roman"/>
          <w:b w:val="0"/>
          <w:bCs w:val="0"/>
          <w:kern w:val="2"/>
          <w:sz w:val="32"/>
          <w:szCs w:val="32"/>
          <w:lang w:val="en-US" w:eastAsia="zh-CN" w:bidi="ar-SA"/>
        </w:rPr>
      </w:pPr>
      <w:r>
        <w:rPr>
          <w:rFonts w:hint="eastAsia" w:ascii="仿宋_GB2312" w:eastAsia="仿宋_GB2312" w:cs="Times New Roman"/>
          <w:b w:val="0"/>
          <w:bCs w:val="0"/>
          <w:kern w:val="2"/>
          <w:sz w:val="32"/>
          <w:szCs w:val="32"/>
          <w:lang w:val="en-US" w:eastAsia="zh-CN" w:bidi="ar-SA"/>
        </w:rPr>
        <w:t>3、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w:t>
      </w:r>
    </w:p>
    <w:p>
      <w:pPr>
        <w:ind w:firstLine="640" w:firstLineChars="200"/>
        <w:rPr>
          <w:rFonts w:hint="eastAsia" w:ascii="仿宋_GB2312" w:eastAsia="仿宋_GB2312" w:cs="Times New Roman"/>
          <w:b w:val="0"/>
          <w:bCs w:val="0"/>
          <w:kern w:val="2"/>
          <w:sz w:val="32"/>
          <w:szCs w:val="32"/>
          <w:lang w:val="en-US" w:eastAsia="zh-CN" w:bidi="ar-SA"/>
        </w:rPr>
      </w:pPr>
      <w:r>
        <w:rPr>
          <w:rFonts w:hint="eastAsia" w:ascii="仿宋_GB2312" w:eastAsia="仿宋_GB2312" w:cs="Times New Roman"/>
          <w:b w:val="0"/>
          <w:bCs w:val="0"/>
          <w:kern w:val="2"/>
          <w:sz w:val="32"/>
          <w:szCs w:val="32"/>
          <w:lang w:val="en-US" w:eastAsia="zh-CN" w:bidi="ar-SA"/>
        </w:rPr>
        <w:t>4、根据工作需要，听取县人民政府所属工作部门、县人民法院、县人民检察院的有关专题汇报，了解情况，提出建议和意见。</w:t>
      </w:r>
    </w:p>
    <w:p>
      <w:pPr>
        <w:ind w:firstLine="640" w:firstLineChars="200"/>
        <w:rPr>
          <w:rFonts w:hint="eastAsia" w:ascii="仿宋_GB2312" w:eastAsia="仿宋_GB2312" w:cs="Times New Roman"/>
          <w:b w:val="0"/>
          <w:bCs w:val="0"/>
          <w:kern w:val="2"/>
          <w:sz w:val="32"/>
          <w:szCs w:val="32"/>
          <w:lang w:val="en-US" w:eastAsia="zh-CN" w:bidi="ar-SA"/>
        </w:rPr>
      </w:pPr>
      <w:r>
        <w:rPr>
          <w:rFonts w:hint="eastAsia" w:ascii="仿宋_GB2312" w:eastAsia="仿宋_GB2312" w:cs="Times New Roman"/>
          <w:b w:val="0"/>
          <w:bCs w:val="0"/>
          <w:kern w:val="2"/>
          <w:sz w:val="32"/>
          <w:szCs w:val="32"/>
          <w:lang w:val="en-US" w:eastAsia="zh-CN" w:bidi="ar-SA"/>
        </w:rPr>
        <w:t>5、对属于县人民代表大会及其常务委员会职权范围内的有关问题进行调查研究，向县人民代表大会主席团或常务委员会提出专题调查报告和建议。</w:t>
      </w:r>
    </w:p>
    <w:p>
      <w:pPr>
        <w:ind w:firstLine="640" w:firstLineChars="200"/>
        <w:rPr>
          <w:rFonts w:hint="eastAsia" w:ascii="仿宋_GB2312" w:eastAsia="仿宋_GB2312" w:cs="Times New Roman"/>
          <w:b w:val="0"/>
          <w:bCs w:val="0"/>
          <w:kern w:val="2"/>
          <w:sz w:val="32"/>
          <w:szCs w:val="32"/>
          <w:lang w:val="en-US" w:eastAsia="zh-CN" w:bidi="ar-SA"/>
        </w:rPr>
      </w:pPr>
      <w:r>
        <w:rPr>
          <w:rFonts w:hint="eastAsia" w:ascii="仿宋_GB2312" w:eastAsia="仿宋_GB2312" w:cs="Times New Roman"/>
          <w:b w:val="0"/>
          <w:bCs w:val="0"/>
          <w:kern w:val="2"/>
          <w:sz w:val="32"/>
          <w:szCs w:val="32"/>
          <w:lang w:val="en-US" w:eastAsia="zh-CN" w:bidi="ar-SA"/>
        </w:rPr>
        <w:t>6、配合上级人民代表大会及其常务委员会做好立法调研和执法检查工作。对上级人民代表大会及其常务委员会发来征求意见的法律法规草案进行调查和组织有关部门、单位征求修改意见，并及时上报。</w:t>
      </w:r>
    </w:p>
    <w:p>
      <w:pPr>
        <w:ind w:firstLine="640" w:firstLineChars="200"/>
        <w:rPr>
          <w:rFonts w:hint="eastAsia" w:ascii="仿宋_GB2312" w:eastAsia="仿宋_GB2312" w:cs="Times New Roman"/>
          <w:b w:val="0"/>
          <w:bCs w:val="0"/>
          <w:kern w:val="2"/>
          <w:sz w:val="32"/>
          <w:szCs w:val="32"/>
          <w:lang w:val="en-US" w:eastAsia="zh-CN" w:bidi="ar-SA"/>
        </w:rPr>
      </w:pPr>
      <w:r>
        <w:rPr>
          <w:rFonts w:hint="eastAsia" w:ascii="仿宋_GB2312" w:eastAsia="仿宋_GB2312" w:cs="Times New Roman"/>
          <w:b w:val="0"/>
          <w:bCs w:val="0"/>
          <w:kern w:val="2"/>
          <w:sz w:val="32"/>
          <w:szCs w:val="32"/>
          <w:lang w:val="en-US" w:eastAsia="zh-CN" w:bidi="ar-SA"/>
        </w:rPr>
        <w:t>7、联系县人民代表大会代表，办理人民群众提出的申诉和意见，认真做好人大代表和人民群众来信来访工作。</w:t>
      </w:r>
    </w:p>
    <w:p>
      <w:pPr>
        <w:ind w:firstLine="640" w:firstLineChars="200"/>
        <w:rPr>
          <w:rFonts w:ascii="仿宋_GB2312" w:eastAsia="仿宋_GB2312" w:cs="Times New Roman"/>
          <w:b w:val="0"/>
          <w:bCs w:val="0"/>
          <w:kern w:val="2"/>
          <w:sz w:val="32"/>
          <w:szCs w:val="32"/>
          <w:lang w:val="en-US" w:eastAsia="zh-CN" w:bidi="ar-SA"/>
        </w:rPr>
      </w:pPr>
      <w:r>
        <w:rPr>
          <w:rFonts w:hint="eastAsia" w:ascii="仿宋_GB2312" w:eastAsia="仿宋_GB2312" w:cs="Times New Roman"/>
          <w:b w:val="0"/>
          <w:bCs w:val="0"/>
          <w:kern w:val="2"/>
          <w:sz w:val="32"/>
          <w:szCs w:val="32"/>
          <w:lang w:val="en-US" w:eastAsia="zh-CN" w:bidi="ar-SA"/>
        </w:rPr>
        <w:t>8、办理县人民代表大会及其常务委员会和主任会议交办的其他事项。</w:t>
      </w:r>
    </w:p>
    <w:p>
      <w:pPr>
        <w:pStyle w:val="3"/>
        <w:spacing w:before="0" w:after="0" w:line="240" w:lineRule="auto"/>
        <w:ind w:firstLine="321" w:firstLineChars="100"/>
        <w:rPr>
          <w:rFonts w:ascii="楷体" w:eastAsia="楷体" w:cs="楷体"/>
          <w:color w:val="auto"/>
        </w:rPr>
      </w:pPr>
      <w:bookmarkStart w:id="25" w:name="_Toc98838274"/>
      <w:r>
        <w:rPr>
          <w:rFonts w:hint="eastAsia" w:ascii="楷体" w:eastAsia="楷体" w:cs="楷体"/>
          <w:color w:val="auto"/>
        </w:rPr>
        <w:t>（二）20</w:t>
      </w:r>
      <w:r>
        <w:rPr>
          <w:rFonts w:hint="eastAsia" w:ascii="楷体" w:eastAsia="楷体" w:cs="楷体"/>
          <w:color w:val="auto"/>
          <w:lang w:val="en-US" w:eastAsia="zh-CN"/>
        </w:rPr>
        <w:t>20</w:t>
      </w:r>
      <w:r>
        <w:rPr>
          <w:rFonts w:hint="eastAsia" w:ascii="楷体" w:eastAsia="楷体" w:cs="楷体"/>
          <w:color w:val="auto"/>
        </w:rPr>
        <w:t>年重点工作完成情况</w:t>
      </w:r>
      <w:bookmarkEnd w:id="21"/>
      <w:bookmarkEnd w:id="22"/>
      <w:bookmarkEnd w:id="25"/>
    </w:p>
    <w:p>
      <w:pPr>
        <w:spacing w:line="578" w:lineRule="exact"/>
        <w:ind w:firstLine="640" w:firstLineChars="200"/>
        <w:rPr>
          <w:rFonts w:hint="eastAsia" w:ascii="仿宋_GB2312" w:eastAsia="仿宋_GB2312"/>
          <w:color w:val="000000"/>
          <w:sz w:val="32"/>
          <w:szCs w:val="32"/>
        </w:rPr>
      </w:pPr>
      <w:bookmarkStart w:id="26" w:name="_Toc15396601"/>
      <w:bookmarkStart w:id="27" w:name="_Toc15377200"/>
      <w:r>
        <w:rPr>
          <w:rFonts w:hint="eastAsia" w:ascii="仿宋_GB2312" w:eastAsia="仿宋_GB2312"/>
          <w:color w:val="000000"/>
          <w:sz w:val="32"/>
          <w:szCs w:val="32"/>
        </w:rPr>
        <w:t>2020年县人大常委会在县委的坚强领导、州人大常委会的悉心指导下，始终坚持以习近平新时代中国特色社会主义思想、习近平关于坚持和完善人民代表大会制度重要思想指导，全面贯彻落实中央、省州县委系列重大决策部署，主动担当作为、依法履职行权，圆满完成了县十四届人大四次会议确定的各项目标任务，为助推金川经济社会平稳健康发展贡献了人大智慧和力量。全年共召开主任会议16次，常委会议9次，听取审议专项工作报告18项，作出决议决定10项，提出审议意见16条，开展视察调研15次。</w:t>
      </w:r>
    </w:p>
    <w:p>
      <w:pPr>
        <w:spacing w:line="578" w:lineRule="exact"/>
        <w:ind w:firstLine="640" w:firstLineChars="200"/>
        <w:rPr>
          <w:rStyle w:val="18"/>
          <w:b w:val="0"/>
          <w:bCs w:val="0"/>
        </w:rPr>
      </w:pPr>
      <w:bookmarkStart w:id="28" w:name="_Toc98838275"/>
      <w:r>
        <w:rPr>
          <w:rStyle w:val="18"/>
          <w:rFonts w:hint="eastAsia" w:ascii="黑体" w:eastAsia="黑体"/>
          <w:b w:val="0"/>
          <w:bCs w:val="0"/>
        </w:rPr>
        <w:t>二、机构设置</w:t>
      </w:r>
      <w:bookmarkEnd w:id="26"/>
      <w:bookmarkEnd w:id="27"/>
    </w:p>
    <w:bookmarkEnd w:id="28"/>
    <w:p>
      <w:pPr>
        <w:spacing w:line="560" w:lineRule="exact"/>
        <w:ind w:firstLine="640" w:firstLineChars="200"/>
        <w:outlineLvl w:val="0"/>
        <w:rPr>
          <w:rFonts w:hint="eastAsia" w:ascii="楷体_GB2312" w:hAnsi="楷体_GB2312" w:eastAsia="仿宋_GB2312" w:cs="宋体"/>
          <w:color w:val="000000"/>
          <w:spacing w:val="-14"/>
          <w:kern w:val="0"/>
          <w:sz w:val="32"/>
          <w:szCs w:val="32"/>
        </w:rPr>
      </w:pPr>
      <w:bookmarkStart w:id="29" w:name="_Toc15377204"/>
      <w:bookmarkStart w:id="30" w:name="_Toc15396602"/>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年独立编制单位机构数为1个</w:t>
      </w:r>
      <w:r>
        <w:rPr>
          <w:rFonts w:hint="eastAsia" w:ascii="仿宋_GB2312" w:eastAsia="仿宋_GB2312"/>
          <w:sz w:val="32"/>
          <w:szCs w:val="32"/>
          <w:lang w:eastAsia="zh-CN"/>
        </w:rPr>
        <w:t>。</w:t>
      </w:r>
      <w:r>
        <w:rPr>
          <w:rFonts w:hint="eastAsia" w:ascii="仿宋_GB2312" w:eastAsia="仿宋_GB2312"/>
          <w:color w:val="000000"/>
          <w:sz w:val="32"/>
          <w:szCs w:val="32"/>
        </w:rPr>
        <w:t>截止2020年末，单位实有人数37人，</w:t>
      </w:r>
      <w:r>
        <w:rPr>
          <w:rFonts w:hint="eastAsia" w:ascii="仿宋_GB2312" w:eastAsia="仿宋_GB2312"/>
          <w:sz w:val="32"/>
          <w:szCs w:val="32"/>
        </w:rPr>
        <w:t>其中：在职36人</w:t>
      </w:r>
      <w:r>
        <w:rPr>
          <w:rFonts w:hint="eastAsia" w:ascii="仿宋_GB2312" w:eastAsia="仿宋_GB2312"/>
          <w:color w:val="000000"/>
          <w:sz w:val="32"/>
          <w:szCs w:val="32"/>
        </w:rPr>
        <w:t>（公务员29人、行政工勤7人）</w:t>
      </w:r>
      <w:r>
        <w:rPr>
          <w:rFonts w:hint="eastAsia" w:ascii="仿宋_GB2312" w:eastAsia="仿宋_GB2312"/>
          <w:sz w:val="32"/>
          <w:szCs w:val="32"/>
        </w:rPr>
        <w:t>，离休1人，遗属4人。</w:t>
      </w:r>
      <w:r>
        <w:rPr>
          <w:rFonts w:hint="eastAsia" w:ascii="仿宋_GB2312" w:eastAsia="仿宋_GB2312"/>
          <w:color w:val="000000"/>
          <w:sz w:val="32"/>
          <w:szCs w:val="32"/>
        </w:rPr>
        <w:t>退休人员工资继续由社保部门发放。</w:t>
      </w:r>
    </w:p>
    <w:p>
      <w:pPr>
        <w:pStyle w:val="2"/>
        <w:ind w:right="440"/>
        <w:jc w:val="right"/>
      </w:pPr>
      <w:bookmarkStart w:id="31" w:name="_Toc98838276"/>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w:t>
      </w:r>
      <w:r>
        <w:rPr>
          <w:rStyle w:val="17"/>
          <w:rFonts w:hint="eastAsia" w:ascii="黑体" w:eastAsia="黑体"/>
          <w:b w:val="0"/>
          <w:bCs w:val="0"/>
          <w:lang w:val="en-US"/>
        </w:rPr>
        <w:t>20</w:t>
      </w:r>
      <w:r>
        <w:rPr>
          <w:rStyle w:val="17"/>
          <w:rFonts w:hint="eastAsia" w:ascii="黑体" w:eastAsia="黑体"/>
          <w:b w:val="0"/>
          <w:bCs w:val="0"/>
        </w:rPr>
        <w:t>年度部门决算情况说明</w:t>
      </w:r>
      <w:bookmarkEnd w:id="29"/>
      <w:bookmarkEnd w:id="30"/>
      <w:bookmarkEnd w:id="31"/>
    </w:p>
    <w:p>
      <w:pPr>
        <w:pStyle w:val="23"/>
        <w:numPr>
          <w:ilvl w:val="0"/>
          <w:numId w:val="1"/>
        </w:numPr>
        <w:ind w:left="0" w:firstLine="0" w:firstLineChars="0"/>
        <w:outlineLvl w:val="1"/>
        <w:rPr>
          <w:rStyle w:val="18"/>
          <w:rFonts w:ascii="黑体" w:eastAsia="黑体"/>
          <w:b w:val="0"/>
        </w:rPr>
      </w:pPr>
      <w:bookmarkStart w:id="32" w:name="_Toc15396603"/>
      <w:bookmarkStart w:id="33" w:name="_Toc15377205"/>
      <w:r>
        <w:rPr>
          <w:rFonts w:hint="eastAsia" w:ascii="黑体" w:eastAsia="黑体"/>
          <w:color w:val="000000"/>
          <w:sz w:val="32"/>
          <w:szCs w:val="32"/>
        </w:rPr>
        <w:t>收</w:t>
      </w:r>
      <w:r>
        <w:rPr>
          <w:rStyle w:val="18"/>
          <w:rFonts w:hint="eastAsia" w:ascii="黑体" w:eastAsia="黑体"/>
          <w:b w:val="0"/>
        </w:rPr>
        <w:t>入支出决算总体情况说明</w:t>
      </w:r>
      <w:bookmarkEnd w:id="32"/>
      <w:bookmarkEnd w:id="33"/>
    </w:p>
    <w:p>
      <w:pPr>
        <w:snapToGrid w:val="0"/>
        <w:spacing w:line="520" w:lineRule="exact"/>
        <w:ind w:firstLine="632" w:firstLineChars="200"/>
        <w:rPr>
          <w:rFonts w:ascii="仿宋_GB2312" w:eastAsia="仿宋_GB2312"/>
          <w:color w:val="FF0000"/>
          <w:spacing w:val="-2"/>
          <w:sz w:val="32"/>
          <w:szCs w:val="32"/>
        </w:rPr>
      </w:pPr>
      <w:r>
        <w:rPr>
          <w:rFonts w:hint="eastAsia" w:ascii="仿宋_GB2312" w:eastAsia="仿宋_GB2312"/>
          <w:color w:val="000000"/>
          <w:spacing w:val="-2"/>
          <w:sz w:val="32"/>
          <w:szCs w:val="32"/>
        </w:rPr>
        <w:t>20</w:t>
      </w:r>
      <w:r>
        <w:rPr>
          <w:rFonts w:hint="eastAsia" w:ascii="仿宋_GB2312" w:eastAsia="仿宋_GB2312"/>
          <w:color w:val="000000"/>
          <w:spacing w:val="-2"/>
          <w:sz w:val="32"/>
          <w:szCs w:val="32"/>
          <w:lang w:val="en-US" w:eastAsia="zh-CN"/>
        </w:rPr>
        <w:t>20</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936.69</w:t>
      </w:r>
      <w:r>
        <w:rPr>
          <w:rFonts w:hint="eastAsia" w:ascii="仿宋_GB2312" w:eastAsia="仿宋_GB2312"/>
          <w:color w:val="000000"/>
          <w:spacing w:val="-2"/>
          <w:sz w:val="32"/>
          <w:szCs w:val="32"/>
        </w:rPr>
        <w:t>万元，</w:t>
      </w:r>
      <w:r>
        <w:rPr>
          <w:rFonts w:hint="eastAsia" w:ascii="仿宋_GB2312" w:eastAsia="仿宋_GB2312"/>
          <w:color w:val="auto"/>
          <w:spacing w:val="-2"/>
          <w:sz w:val="32"/>
          <w:szCs w:val="32"/>
        </w:rPr>
        <w:t>较上年收入</w:t>
      </w:r>
      <w:r>
        <w:rPr>
          <w:rFonts w:hint="eastAsia" w:ascii="仿宋_GB2312" w:eastAsia="仿宋_GB2312"/>
          <w:color w:val="auto"/>
          <w:spacing w:val="-2"/>
          <w:sz w:val="32"/>
          <w:szCs w:val="32"/>
          <w:lang w:val="en-US" w:eastAsia="zh-CN"/>
        </w:rPr>
        <w:t>增加99.54</w:t>
      </w:r>
      <w:r>
        <w:rPr>
          <w:rFonts w:hint="eastAsia" w:ascii="仿宋_GB2312" w:eastAsia="仿宋_GB2312"/>
          <w:color w:val="auto"/>
          <w:spacing w:val="-2"/>
          <w:sz w:val="32"/>
          <w:szCs w:val="32"/>
        </w:rPr>
        <w:t>万元，</w:t>
      </w:r>
      <w:r>
        <w:rPr>
          <w:rFonts w:hint="eastAsia" w:ascii="仿宋_GB2312" w:eastAsia="仿宋_GB2312"/>
          <w:color w:val="auto"/>
          <w:spacing w:val="-2"/>
          <w:sz w:val="32"/>
          <w:szCs w:val="32"/>
          <w:lang w:val="en-US" w:eastAsia="zh-CN"/>
        </w:rPr>
        <w:t>增加11.89</w:t>
      </w:r>
      <w:r>
        <w:rPr>
          <w:rFonts w:hint="eastAsia" w:ascii="仿宋_GB2312" w:eastAsia="仿宋_GB2312"/>
          <w:color w:val="auto"/>
          <w:spacing w:val="-2"/>
          <w:sz w:val="32"/>
          <w:szCs w:val="32"/>
        </w:rPr>
        <w:t>%。</w:t>
      </w:r>
      <w:r>
        <w:rPr>
          <w:rFonts w:hint="eastAsia" w:ascii="仿宋_GB2312" w:eastAsia="仿宋_GB2312"/>
          <w:color w:val="auto"/>
          <w:spacing w:val="-2"/>
          <w:sz w:val="32"/>
          <w:szCs w:val="32"/>
          <w:lang w:val="en-US" w:eastAsia="zh-CN"/>
        </w:rPr>
        <w:t>增加</w:t>
      </w:r>
      <w:r>
        <w:rPr>
          <w:rFonts w:hint="eastAsia" w:ascii="仿宋_GB2312" w:eastAsia="仿宋_GB2312"/>
          <w:color w:val="auto"/>
          <w:spacing w:val="-2"/>
          <w:sz w:val="32"/>
          <w:szCs w:val="32"/>
        </w:rPr>
        <w:t>的主要原因是</w:t>
      </w:r>
      <w:r>
        <w:rPr>
          <w:rFonts w:hint="eastAsia" w:ascii="仿宋" w:eastAsia="仿宋"/>
          <w:color w:val="000000"/>
          <w:sz w:val="32"/>
          <w:szCs w:val="32"/>
        </w:rPr>
        <w:t>20</w:t>
      </w:r>
      <w:r>
        <w:rPr>
          <w:rFonts w:hint="eastAsia" w:ascii="仿宋" w:eastAsia="仿宋"/>
          <w:color w:val="000000"/>
          <w:sz w:val="32"/>
          <w:szCs w:val="32"/>
          <w:lang w:val="en-US" w:eastAsia="zh-CN"/>
        </w:rPr>
        <w:t>19</w:t>
      </w:r>
      <w:r>
        <w:rPr>
          <w:rFonts w:hint="eastAsia" w:ascii="仿宋" w:eastAsia="仿宋"/>
          <w:color w:val="000000"/>
          <w:sz w:val="32"/>
          <w:szCs w:val="32"/>
        </w:rPr>
        <w:t>年</w:t>
      </w:r>
      <w:r>
        <w:rPr>
          <w:rFonts w:hint="eastAsia" w:ascii="仿宋" w:eastAsia="仿宋"/>
          <w:color w:val="000000"/>
          <w:sz w:val="32"/>
          <w:szCs w:val="32"/>
          <w:lang w:eastAsia="zh-CN"/>
        </w:rPr>
        <w:t>未将目标奖计入收入</w:t>
      </w:r>
      <w:r>
        <w:rPr>
          <w:rFonts w:hint="eastAsia" w:ascii="仿宋_GB2312" w:eastAsia="仿宋_GB2312"/>
          <w:color w:val="auto"/>
          <w:spacing w:val="-2"/>
          <w:sz w:val="32"/>
          <w:szCs w:val="32"/>
        </w:rPr>
        <w:t>。</w:t>
      </w:r>
    </w:p>
    <w:p>
      <w:pPr>
        <w:snapToGrid w:val="0"/>
        <w:spacing w:line="520" w:lineRule="exact"/>
        <w:ind w:firstLine="632" w:firstLineChars="200"/>
        <w:rPr>
          <w:rFonts w:ascii="仿宋" w:eastAsia="仿宋"/>
          <w:color w:val="FF0000"/>
          <w:sz w:val="32"/>
          <w:szCs w:val="32"/>
        </w:rPr>
      </w:pPr>
      <w:r>
        <w:rPr>
          <w:rFonts w:hint="eastAsia" w:ascii="仿宋_GB2312" w:eastAsia="仿宋_GB2312"/>
          <w:spacing w:val="-2"/>
          <w:sz w:val="32"/>
          <w:szCs w:val="32"/>
        </w:rPr>
        <w:t>20</w:t>
      </w:r>
      <w:r>
        <w:rPr>
          <w:rFonts w:hint="eastAsia" w:ascii="仿宋_GB2312" w:eastAsia="仿宋_GB2312"/>
          <w:spacing w:val="-2"/>
          <w:sz w:val="32"/>
          <w:szCs w:val="32"/>
          <w:lang w:val="en-US" w:eastAsia="zh-CN"/>
        </w:rPr>
        <w:t>20</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936.69</w:t>
      </w:r>
      <w:r>
        <w:rPr>
          <w:rFonts w:hint="eastAsia" w:ascii="仿宋_GB2312" w:eastAsia="仿宋_GB2312"/>
          <w:spacing w:val="-2"/>
          <w:sz w:val="32"/>
          <w:szCs w:val="32"/>
        </w:rPr>
        <w:t>万元，</w:t>
      </w:r>
      <w:r>
        <w:rPr>
          <w:rFonts w:hint="eastAsia" w:ascii="仿宋_GB2312" w:eastAsia="仿宋_GB2312"/>
          <w:color w:val="auto"/>
          <w:spacing w:val="-2"/>
          <w:sz w:val="32"/>
          <w:szCs w:val="32"/>
        </w:rPr>
        <w:t>较上年支出减少</w:t>
      </w:r>
      <w:r>
        <w:rPr>
          <w:rFonts w:hint="eastAsia" w:ascii="仿宋_GB2312" w:eastAsia="仿宋_GB2312"/>
          <w:color w:val="auto"/>
          <w:spacing w:val="-2"/>
          <w:sz w:val="32"/>
          <w:szCs w:val="32"/>
          <w:lang w:val="en-US" w:eastAsia="zh-CN"/>
        </w:rPr>
        <w:t>38.06</w:t>
      </w:r>
      <w:r>
        <w:rPr>
          <w:rFonts w:hint="eastAsia" w:ascii="仿宋_GB2312" w:eastAsia="仿宋_GB2312"/>
          <w:color w:val="auto"/>
          <w:spacing w:val="-2"/>
          <w:sz w:val="32"/>
          <w:szCs w:val="32"/>
        </w:rPr>
        <w:t>万元，减少</w:t>
      </w:r>
      <w:r>
        <w:rPr>
          <w:rFonts w:hint="eastAsia" w:ascii="仿宋_GB2312" w:eastAsia="仿宋_GB2312"/>
          <w:color w:val="auto"/>
          <w:spacing w:val="-2"/>
          <w:sz w:val="32"/>
          <w:szCs w:val="32"/>
          <w:lang w:val="en-US" w:eastAsia="zh-CN"/>
        </w:rPr>
        <w:t>3.9</w:t>
      </w:r>
      <w:r>
        <w:rPr>
          <w:rFonts w:hint="eastAsia" w:ascii="仿宋_GB2312" w:eastAsia="仿宋_GB2312"/>
          <w:color w:val="auto"/>
          <w:spacing w:val="-2"/>
          <w:sz w:val="32"/>
          <w:szCs w:val="32"/>
        </w:rPr>
        <w:t>%。主要原因是</w:t>
      </w:r>
      <w:r>
        <w:rPr>
          <w:rFonts w:hint="eastAsia" w:ascii="仿宋_GB2312" w:eastAsia="仿宋_GB2312"/>
          <w:color w:val="auto"/>
          <w:spacing w:val="-2"/>
          <w:sz w:val="32"/>
          <w:szCs w:val="32"/>
          <w:lang w:eastAsia="zh-CN"/>
        </w:rPr>
        <w:t>厉行节约，控制支出</w:t>
      </w:r>
      <w:r>
        <w:rPr>
          <w:rFonts w:hint="eastAsia" w:ascii="仿宋_GB2312" w:eastAsia="仿宋_GB2312"/>
          <w:color w:val="auto"/>
          <w:spacing w:val="-2"/>
          <w:sz w:val="32"/>
          <w:szCs w:val="32"/>
        </w:rPr>
        <w:t>。</w:t>
      </w:r>
    </w:p>
    <w:p>
      <w:pPr>
        <w:spacing w:line="600" w:lineRule="exact"/>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4" w:name="_Toc15377206"/>
      <w:bookmarkStart w:id="35" w:name="_Toc15396604"/>
      <w:r>
        <w:rPr>
          <w:rFonts w:hint="eastAsia" w:ascii="黑体" w:eastAsia="黑体"/>
          <w:color w:val="000000"/>
          <w:sz w:val="32"/>
          <w:szCs w:val="32"/>
        </w:rPr>
        <w:t>二、收入决</w:t>
      </w:r>
      <w:r>
        <w:rPr>
          <w:rStyle w:val="18"/>
          <w:rFonts w:hint="eastAsia" w:ascii="黑体" w:eastAsia="黑体"/>
          <w:b w:val="0"/>
        </w:rPr>
        <w:t>算情况说明</w:t>
      </w:r>
      <w:bookmarkEnd w:id="34"/>
      <w:bookmarkEnd w:id="35"/>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lang w:val="en-US" w:eastAsia="zh-CN"/>
        </w:rPr>
        <w:t>2020</w:t>
      </w:r>
      <w:r>
        <w:rPr>
          <w:rFonts w:hint="eastAsia" w:ascii="仿宋" w:eastAsia="仿宋"/>
          <w:color w:val="000000"/>
          <w:sz w:val="32"/>
          <w:szCs w:val="32"/>
        </w:rPr>
        <w:t>年总收入</w:t>
      </w:r>
      <w:r>
        <w:rPr>
          <w:rFonts w:hint="eastAsia" w:ascii="仿宋" w:eastAsia="仿宋"/>
          <w:color w:val="000000"/>
          <w:sz w:val="32"/>
          <w:szCs w:val="32"/>
          <w:lang w:val="en-US" w:eastAsia="zh-CN"/>
        </w:rPr>
        <w:t>936.69</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936.69</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6" w:name="_Toc15377207"/>
      <w:bookmarkStart w:id="37" w:name="_Toc15396605"/>
      <w:r>
        <w:rPr>
          <w:rFonts w:hint="eastAsia" w:ascii="黑体" w:eastAsia="黑体"/>
          <w:color w:val="000000"/>
          <w:sz w:val="32"/>
          <w:szCs w:val="32"/>
        </w:rPr>
        <w:t>三、支出决</w:t>
      </w:r>
      <w:r>
        <w:rPr>
          <w:rStyle w:val="18"/>
          <w:rFonts w:hint="eastAsia" w:ascii="黑体" w:eastAsia="黑体"/>
          <w:b w:val="0"/>
        </w:rPr>
        <w:t>算情况说明</w:t>
      </w:r>
      <w:bookmarkEnd w:id="36"/>
      <w:bookmarkEnd w:id="37"/>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年本年总支出</w:t>
      </w:r>
      <w:r>
        <w:rPr>
          <w:rFonts w:hint="eastAsia" w:ascii="仿宋" w:eastAsia="仿宋"/>
          <w:color w:val="000000"/>
          <w:sz w:val="32"/>
          <w:szCs w:val="32"/>
          <w:lang w:val="en-US" w:eastAsia="zh-CN"/>
        </w:rPr>
        <w:t>936.69</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908.45</w:t>
      </w:r>
      <w:r>
        <w:rPr>
          <w:rFonts w:hint="eastAsia" w:ascii="仿宋" w:eastAsia="仿宋"/>
          <w:color w:val="000000"/>
          <w:sz w:val="32"/>
          <w:szCs w:val="32"/>
        </w:rPr>
        <w:t>万元，</w:t>
      </w:r>
      <w:r>
        <w:rPr>
          <w:rFonts w:hint="eastAsia" w:ascii="仿宋" w:eastAsia="仿宋"/>
          <w:color w:val="auto"/>
          <w:sz w:val="32"/>
          <w:szCs w:val="32"/>
        </w:rPr>
        <w:t>占</w:t>
      </w:r>
      <w:r>
        <w:rPr>
          <w:rFonts w:hint="eastAsia" w:ascii="仿宋" w:eastAsia="仿宋"/>
          <w:color w:val="auto"/>
          <w:sz w:val="32"/>
          <w:szCs w:val="32"/>
          <w:lang w:val="en-US" w:eastAsia="zh-CN"/>
        </w:rPr>
        <w:t>96.99</w:t>
      </w:r>
      <w:r>
        <w:rPr>
          <w:rFonts w:hint="eastAsia" w:ascii="仿宋" w:eastAsia="仿宋"/>
          <w:color w:val="auto"/>
          <w:sz w:val="32"/>
          <w:szCs w:val="32"/>
        </w:rPr>
        <w:t>%；项目支出</w:t>
      </w:r>
      <w:r>
        <w:rPr>
          <w:rFonts w:hint="eastAsia" w:ascii="仿宋" w:eastAsia="仿宋"/>
          <w:color w:val="auto"/>
          <w:sz w:val="32"/>
          <w:szCs w:val="32"/>
          <w:lang w:val="en-US" w:eastAsia="zh-CN"/>
        </w:rPr>
        <w:t>28.24</w:t>
      </w:r>
      <w:r>
        <w:rPr>
          <w:rFonts w:hint="eastAsia" w:ascii="仿宋" w:eastAsia="仿宋"/>
          <w:color w:val="auto"/>
          <w:sz w:val="32"/>
          <w:szCs w:val="32"/>
        </w:rPr>
        <w:t>万元，占</w:t>
      </w:r>
      <w:r>
        <w:rPr>
          <w:rFonts w:hint="eastAsia" w:ascii="仿宋" w:eastAsia="仿宋"/>
          <w:color w:val="auto"/>
          <w:sz w:val="32"/>
          <w:szCs w:val="32"/>
          <w:lang w:val="en-US" w:eastAsia="zh-CN"/>
        </w:rPr>
        <w:t>3.01</w:t>
      </w:r>
      <w:r>
        <w:rPr>
          <w:rFonts w:hint="eastAsia" w:ascii="仿宋" w:eastAsia="仿宋"/>
          <w:color w:val="auto"/>
          <w:sz w:val="32"/>
          <w:szCs w:val="32"/>
        </w:rPr>
        <w:t>%</w:t>
      </w:r>
      <w:r>
        <w:rPr>
          <w:rFonts w:hint="eastAsia" w:ascii="仿宋" w:eastAsia="仿宋"/>
          <w:color w:val="000000"/>
          <w:sz w:val="32"/>
          <w:szCs w:val="32"/>
        </w:rPr>
        <w:t>；上缴上级支出0万元，占0%；经营支出0万元，占0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8" w:name="_Toc15396606"/>
      <w:bookmarkStart w:id="39"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8"/>
      <w:bookmarkEnd w:id="39"/>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年财政拨款收入</w:t>
      </w:r>
      <w:r>
        <w:rPr>
          <w:rFonts w:hint="eastAsia" w:ascii="仿宋" w:eastAsia="仿宋"/>
          <w:color w:val="000000"/>
          <w:sz w:val="32"/>
          <w:szCs w:val="32"/>
          <w:lang w:val="en-US" w:eastAsia="zh-CN"/>
        </w:rPr>
        <w:t>936.69</w:t>
      </w:r>
      <w:r>
        <w:rPr>
          <w:rFonts w:hint="eastAsia" w:ascii="仿宋" w:eastAsia="仿宋"/>
          <w:color w:val="000000"/>
          <w:sz w:val="32"/>
          <w:szCs w:val="32"/>
        </w:rPr>
        <w:t>万元。与20</w:t>
      </w:r>
      <w:r>
        <w:rPr>
          <w:rFonts w:hint="eastAsia" w:ascii="仿宋" w:eastAsia="仿宋"/>
          <w:color w:val="000000"/>
          <w:sz w:val="32"/>
          <w:szCs w:val="32"/>
          <w:lang w:val="en-US" w:eastAsia="zh-CN"/>
        </w:rPr>
        <w:t>19</w:t>
      </w:r>
      <w:r>
        <w:rPr>
          <w:rFonts w:hint="eastAsia" w:ascii="仿宋" w:eastAsia="仿宋"/>
          <w:color w:val="000000"/>
          <w:sz w:val="32"/>
          <w:szCs w:val="32"/>
        </w:rPr>
        <w:t>年相比，一般公共预算财政拨款收入较上年</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99.54</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auto"/>
          <w:sz w:val="32"/>
          <w:szCs w:val="32"/>
          <w:lang w:val="en-US" w:eastAsia="zh-CN"/>
        </w:rPr>
        <w:t>11.89</w:t>
      </w:r>
      <w:r>
        <w:rPr>
          <w:rFonts w:hint="eastAsia" w:ascii="仿宋" w:eastAsia="仿宋"/>
          <w:color w:val="000000"/>
          <w:sz w:val="32"/>
          <w:szCs w:val="32"/>
        </w:rPr>
        <w:t>%。</w:t>
      </w:r>
      <w:r>
        <w:rPr>
          <w:rFonts w:hint="eastAsia" w:ascii="仿宋" w:eastAsia="仿宋"/>
          <w:color w:val="000000"/>
          <w:sz w:val="32"/>
          <w:szCs w:val="32"/>
          <w:lang w:eastAsia="zh-CN"/>
        </w:rPr>
        <w:t>增加</w:t>
      </w:r>
      <w:r>
        <w:rPr>
          <w:rFonts w:hint="eastAsia" w:ascii="仿宋" w:eastAsia="仿宋"/>
          <w:color w:val="000000"/>
          <w:sz w:val="32"/>
          <w:szCs w:val="32"/>
        </w:rPr>
        <w:t>的主要原因是20</w:t>
      </w:r>
      <w:r>
        <w:rPr>
          <w:rFonts w:hint="eastAsia" w:ascii="仿宋" w:eastAsia="仿宋"/>
          <w:color w:val="000000"/>
          <w:sz w:val="32"/>
          <w:szCs w:val="32"/>
          <w:lang w:val="en-US" w:eastAsia="zh-CN"/>
        </w:rPr>
        <w:t>19</w:t>
      </w:r>
      <w:r>
        <w:rPr>
          <w:rFonts w:hint="eastAsia" w:ascii="仿宋" w:eastAsia="仿宋"/>
          <w:color w:val="000000"/>
          <w:sz w:val="32"/>
          <w:szCs w:val="32"/>
        </w:rPr>
        <w:t>年</w:t>
      </w:r>
      <w:r>
        <w:rPr>
          <w:rFonts w:hint="eastAsia" w:ascii="仿宋" w:eastAsia="仿宋"/>
          <w:color w:val="000000"/>
          <w:sz w:val="32"/>
          <w:szCs w:val="32"/>
          <w:lang w:eastAsia="zh-CN"/>
        </w:rPr>
        <w:t>未将目标奖计入收入</w:t>
      </w:r>
      <w:r>
        <w:rPr>
          <w:rFonts w:hint="eastAsia" w:ascii="仿宋" w:eastAsia="仿宋"/>
          <w:color w:val="auto"/>
          <w:sz w:val="32"/>
          <w:szCs w:val="32"/>
        </w:rPr>
        <w:t>。</w:t>
      </w: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年财政拨款支出</w:t>
      </w:r>
      <w:r>
        <w:rPr>
          <w:rFonts w:hint="eastAsia" w:ascii="仿宋" w:eastAsia="仿宋"/>
          <w:color w:val="000000"/>
          <w:sz w:val="32"/>
          <w:szCs w:val="32"/>
          <w:lang w:val="en-US" w:eastAsia="zh-CN"/>
        </w:rPr>
        <w:t>936.69</w:t>
      </w:r>
      <w:r>
        <w:rPr>
          <w:rFonts w:hint="eastAsia" w:ascii="仿宋" w:eastAsia="仿宋"/>
          <w:color w:val="000000"/>
          <w:sz w:val="32"/>
          <w:szCs w:val="32"/>
        </w:rPr>
        <w:t>万元，</w:t>
      </w:r>
      <w:r>
        <w:rPr>
          <w:rFonts w:hint="eastAsia" w:ascii="仿宋" w:eastAsia="仿宋"/>
          <w:sz w:val="32"/>
          <w:szCs w:val="32"/>
        </w:rPr>
        <w:t>较上年支出减少</w:t>
      </w:r>
      <w:r>
        <w:rPr>
          <w:rFonts w:hint="eastAsia" w:ascii="仿宋" w:eastAsia="仿宋"/>
          <w:sz w:val="32"/>
          <w:szCs w:val="32"/>
          <w:lang w:val="en-US" w:eastAsia="zh-CN"/>
        </w:rPr>
        <w:t>38.06</w:t>
      </w:r>
      <w:r>
        <w:rPr>
          <w:rFonts w:hint="eastAsia" w:ascii="仿宋" w:eastAsia="仿宋"/>
          <w:sz w:val="32"/>
          <w:szCs w:val="32"/>
        </w:rPr>
        <w:t>万元，</w:t>
      </w:r>
      <w:r>
        <w:rPr>
          <w:rFonts w:hint="eastAsia" w:ascii="仿宋" w:eastAsia="仿宋"/>
          <w:color w:val="auto"/>
          <w:sz w:val="32"/>
          <w:szCs w:val="32"/>
        </w:rPr>
        <w:t>减少</w:t>
      </w:r>
      <w:r>
        <w:rPr>
          <w:rFonts w:hint="eastAsia" w:ascii="仿宋" w:eastAsia="仿宋"/>
          <w:color w:val="auto"/>
          <w:sz w:val="32"/>
          <w:szCs w:val="32"/>
          <w:lang w:val="en-US" w:eastAsia="zh-CN"/>
        </w:rPr>
        <w:t>3.9</w:t>
      </w:r>
      <w:r>
        <w:rPr>
          <w:rFonts w:hint="eastAsia" w:ascii="仿宋" w:eastAsia="仿宋"/>
          <w:color w:val="auto"/>
          <w:sz w:val="32"/>
          <w:szCs w:val="32"/>
        </w:rPr>
        <w:t>%</w:t>
      </w:r>
      <w:r>
        <w:rPr>
          <w:rFonts w:hint="eastAsia" w:ascii="仿宋_GB2312" w:eastAsia="仿宋_GB2312"/>
          <w:color w:val="auto"/>
          <w:spacing w:val="-2"/>
          <w:sz w:val="32"/>
          <w:szCs w:val="32"/>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40" w:name="_Toc15377209"/>
      <w:bookmarkStart w:id="41" w:name="_Toc15396607"/>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40"/>
      <w:bookmarkEnd w:id="41"/>
    </w:p>
    <w:p>
      <w:pPr>
        <w:spacing w:line="600" w:lineRule="exact"/>
        <w:ind w:firstLine="643" w:firstLineChars="200"/>
        <w:outlineLvl w:val="2"/>
        <w:rPr>
          <w:rFonts w:ascii="仿宋" w:eastAsia="仿宋"/>
          <w:b/>
          <w:color w:val="000000"/>
          <w:sz w:val="32"/>
          <w:szCs w:val="32"/>
        </w:rPr>
      </w:pPr>
      <w:bookmarkStart w:id="42" w:name="_Toc15377210"/>
      <w:r>
        <w:rPr>
          <w:rFonts w:hint="eastAsia" w:ascii="仿宋" w:eastAsia="仿宋"/>
          <w:b/>
          <w:color w:val="000000"/>
          <w:sz w:val="32"/>
          <w:szCs w:val="32"/>
        </w:rPr>
        <w:t>（一）一般公共预算财政拨款支出决算总体情况</w:t>
      </w:r>
      <w:bookmarkEnd w:id="42"/>
    </w:p>
    <w:p>
      <w:pPr>
        <w:snapToGrid w:val="0"/>
        <w:spacing w:line="520" w:lineRule="exact"/>
        <w:ind w:firstLine="640" w:firstLineChars="200"/>
        <w:rPr>
          <w:rFonts w:ascii="仿宋_GB2312" w:eastAsia="仿宋_GB2312"/>
          <w:color w:val="auto"/>
          <w:spacing w:val="-2"/>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936.69</w:t>
      </w:r>
      <w:r>
        <w:rPr>
          <w:rFonts w:hint="eastAsia" w:ascii="仿宋_GB2312" w:eastAsia="仿宋_GB2312"/>
          <w:spacing w:val="-2"/>
          <w:sz w:val="32"/>
          <w:szCs w:val="32"/>
        </w:rPr>
        <w:t>万元，</w:t>
      </w:r>
      <w:r>
        <w:rPr>
          <w:rFonts w:hint="eastAsia" w:ascii="仿宋" w:eastAsia="仿宋"/>
          <w:color w:val="000000"/>
          <w:sz w:val="32"/>
          <w:szCs w:val="32"/>
        </w:rPr>
        <w:t>占本年总支出的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支出减少</w:t>
      </w:r>
      <w:r>
        <w:rPr>
          <w:rFonts w:hint="eastAsia" w:ascii="仿宋_GB2312" w:eastAsia="仿宋_GB2312"/>
          <w:spacing w:val="-2"/>
          <w:sz w:val="32"/>
          <w:szCs w:val="32"/>
          <w:lang w:val="en-US" w:eastAsia="zh-CN"/>
        </w:rPr>
        <w:t>38.06</w:t>
      </w:r>
      <w:r>
        <w:rPr>
          <w:rFonts w:hint="eastAsia" w:ascii="仿宋_GB2312" w:eastAsia="仿宋_GB2312"/>
          <w:spacing w:val="-2"/>
          <w:sz w:val="32"/>
          <w:szCs w:val="32"/>
        </w:rPr>
        <w:t>万元，减少</w:t>
      </w:r>
      <w:r>
        <w:rPr>
          <w:rFonts w:hint="eastAsia" w:ascii="仿宋_GB2312" w:eastAsia="仿宋_GB2312"/>
          <w:color w:val="auto"/>
          <w:spacing w:val="-2"/>
          <w:sz w:val="32"/>
          <w:szCs w:val="32"/>
          <w:lang w:val="en-US" w:eastAsia="zh-CN"/>
        </w:rPr>
        <w:t>3.9</w:t>
      </w:r>
      <w:r>
        <w:rPr>
          <w:rFonts w:hint="eastAsia" w:ascii="仿宋_GB2312" w:eastAsia="仿宋_GB2312"/>
          <w:color w:val="auto"/>
          <w:spacing w:val="-2"/>
          <w:sz w:val="32"/>
          <w:szCs w:val="32"/>
        </w:rPr>
        <w:t>%。主要原因是</w:t>
      </w:r>
      <w:r>
        <w:rPr>
          <w:rFonts w:hint="eastAsia" w:ascii="仿宋_GB2312" w:eastAsia="仿宋_GB2312"/>
          <w:color w:val="auto"/>
          <w:spacing w:val="-2"/>
          <w:sz w:val="32"/>
          <w:szCs w:val="32"/>
          <w:lang w:eastAsia="zh-CN"/>
        </w:rPr>
        <w:t>厉行节约，控制支出</w:t>
      </w:r>
      <w:r>
        <w:rPr>
          <w:rFonts w:hint="eastAsia" w:ascii="仿宋_GB2312" w:eastAsia="仿宋_GB2312"/>
          <w:color w:val="auto"/>
          <w:spacing w:val="-2"/>
          <w:sz w:val="32"/>
          <w:szCs w:val="32"/>
        </w:rPr>
        <w:t>。</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43" w:name="_Toc15377211"/>
      <w:r>
        <w:rPr>
          <w:rFonts w:hint="eastAsia" w:ascii="仿宋" w:eastAsia="仿宋"/>
          <w:b/>
          <w:color w:val="000000"/>
          <w:sz w:val="32"/>
          <w:szCs w:val="32"/>
        </w:rPr>
        <w:t>（二）一般公共预算财政拨款支出决算结构情况</w:t>
      </w:r>
      <w:bookmarkEnd w:id="43"/>
    </w:p>
    <w:p>
      <w:pPr>
        <w:spacing w:line="600" w:lineRule="exact"/>
        <w:ind w:firstLine="640"/>
        <w:rPr>
          <w:rFonts w:ascii="仿宋" w:eastAsia="仿宋"/>
          <w:color w:val="auto"/>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936.69</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749.81</w:t>
      </w:r>
      <w:r>
        <w:rPr>
          <w:rFonts w:hint="eastAsia" w:ascii="仿宋" w:eastAsia="仿宋"/>
          <w:color w:val="000000"/>
          <w:sz w:val="32"/>
          <w:szCs w:val="32"/>
        </w:rPr>
        <w:t>万元，占</w:t>
      </w:r>
      <w:r>
        <w:rPr>
          <w:rFonts w:hint="eastAsia" w:ascii="仿宋" w:eastAsia="仿宋"/>
          <w:color w:val="auto"/>
          <w:sz w:val="32"/>
          <w:szCs w:val="32"/>
          <w:lang w:val="en-US" w:eastAsia="zh-CN"/>
        </w:rPr>
        <w:t>80.04</w:t>
      </w:r>
      <w:r>
        <w:rPr>
          <w:rFonts w:ascii="仿宋" w:eastAsia="仿宋"/>
          <w:color w:val="auto"/>
          <w:sz w:val="32"/>
          <w:szCs w:val="32"/>
        </w:rPr>
        <w:t>%</w:t>
      </w:r>
      <w:r>
        <w:rPr>
          <w:rFonts w:hint="eastAsia" w:ascii="仿宋" w:eastAsia="仿宋"/>
          <w:color w:val="auto"/>
          <w:sz w:val="32"/>
          <w:szCs w:val="32"/>
        </w:rPr>
        <w:t>；</w:t>
      </w:r>
      <w:r>
        <w:rPr>
          <w:rFonts w:hint="eastAsia" w:ascii="仿宋" w:eastAsia="仿宋"/>
          <w:b/>
          <w:color w:val="auto"/>
          <w:sz w:val="32"/>
          <w:szCs w:val="32"/>
        </w:rPr>
        <w:t>社会保障和就业（类）</w:t>
      </w:r>
      <w:r>
        <w:rPr>
          <w:rFonts w:hint="eastAsia" w:ascii="仿宋" w:eastAsia="仿宋"/>
          <w:color w:val="auto"/>
          <w:sz w:val="32"/>
          <w:szCs w:val="32"/>
        </w:rPr>
        <w:t>支出</w:t>
      </w:r>
      <w:r>
        <w:rPr>
          <w:rFonts w:hint="eastAsia" w:ascii="仿宋" w:eastAsia="仿宋"/>
          <w:color w:val="auto"/>
          <w:sz w:val="32"/>
          <w:szCs w:val="32"/>
          <w:lang w:val="en-US" w:eastAsia="zh-CN"/>
        </w:rPr>
        <w:t>88.77</w:t>
      </w:r>
      <w:r>
        <w:rPr>
          <w:rFonts w:hint="eastAsia" w:ascii="仿宋" w:eastAsia="仿宋"/>
          <w:color w:val="auto"/>
          <w:sz w:val="32"/>
          <w:szCs w:val="32"/>
        </w:rPr>
        <w:t>万元，占</w:t>
      </w:r>
      <w:r>
        <w:rPr>
          <w:rFonts w:hint="eastAsia" w:ascii="仿宋" w:eastAsia="仿宋"/>
          <w:color w:val="auto"/>
          <w:sz w:val="32"/>
          <w:szCs w:val="32"/>
          <w:lang w:val="en-US" w:eastAsia="zh-CN"/>
        </w:rPr>
        <w:t>9.48</w:t>
      </w:r>
      <w:r>
        <w:rPr>
          <w:rFonts w:ascii="仿宋" w:eastAsia="仿宋"/>
          <w:color w:val="auto"/>
          <w:sz w:val="32"/>
          <w:szCs w:val="32"/>
        </w:rPr>
        <w:t>%</w:t>
      </w:r>
      <w:r>
        <w:rPr>
          <w:rFonts w:hint="eastAsia" w:ascii="仿宋" w:eastAsia="仿宋"/>
          <w:color w:val="auto"/>
          <w:sz w:val="32"/>
          <w:szCs w:val="32"/>
        </w:rPr>
        <w:t>；</w:t>
      </w:r>
      <w:r>
        <w:rPr>
          <w:rFonts w:hint="eastAsia" w:ascii="仿宋" w:eastAsia="仿宋"/>
          <w:b/>
          <w:bCs/>
          <w:color w:val="auto"/>
          <w:sz w:val="32"/>
          <w:szCs w:val="32"/>
        </w:rPr>
        <w:t>卫生健康支出</w:t>
      </w:r>
      <w:r>
        <w:rPr>
          <w:rFonts w:hint="eastAsia" w:ascii="仿宋" w:eastAsia="仿宋"/>
          <w:color w:val="auto"/>
          <w:sz w:val="32"/>
          <w:szCs w:val="32"/>
          <w:lang w:val="en-US" w:eastAsia="zh-CN"/>
        </w:rPr>
        <w:t>38.46</w:t>
      </w:r>
      <w:r>
        <w:rPr>
          <w:rFonts w:hint="eastAsia" w:ascii="仿宋" w:eastAsia="仿宋"/>
          <w:color w:val="auto"/>
          <w:sz w:val="32"/>
          <w:szCs w:val="32"/>
        </w:rPr>
        <w:t>万元，占</w:t>
      </w:r>
      <w:r>
        <w:rPr>
          <w:rFonts w:hint="eastAsia" w:ascii="仿宋" w:eastAsia="仿宋"/>
          <w:color w:val="auto"/>
          <w:sz w:val="32"/>
          <w:szCs w:val="32"/>
          <w:lang w:val="en-US" w:eastAsia="zh-CN"/>
        </w:rPr>
        <w:t>4.11</w:t>
      </w:r>
      <w:r>
        <w:rPr>
          <w:rFonts w:ascii="仿宋" w:eastAsia="仿宋"/>
          <w:color w:val="auto"/>
          <w:sz w:val="32"/>
          <w:szCs w:val="32"/>
        </w:rPr>
        <w:t>%</w:t>
      </w:r>
      <w:r>
        <w:rPr>
          <w:rFonts w:hint="eastAsia" w:ascii="仿宋" w:eastAsia="仿宋"/>
          <w:color w:val="auto"/>
          <w:sz w:val="32"/>
          <w:szCs w:val="32"/>
        </w:rPr>
        <w:t>；</w:t>
      </w:r>
      <w:r>
        <w:rPr>
          <w:rFonts w:hint="eastAsia" w:ascii="仿宋" w:eastAsia="仿宋"/>
          <w:b/>
          <w:bCs/>
          <w:color w:val="auto"/>
          <w:sz w:val="32"/>
          <w:szCs w:val="32"/>
        </w:rPr>
        <w:t>住房保障支出</w:t>
      </w:r>
      <w:r>
        <w:rPr>
          <w:rFonts w:hint="eastAsia" w:ascii="仿宋" w:eastAsia="仿宋"/>
          <w:color w:val="auto"/>
          <w:sz w:val="32"/>
          <w:szCs w:val="32"/>
          <w:lang w:val="en-US" w:eastAsia="zh-CN"/>
        </w:rPr>
        <w:t>59.65</w:t>
      </w:r>
      <w:r>
        <w:rPr>
          <w:rFonts w:hint="eastAsia" w:ascii="仿宋" w:eastAsia="仿宋"/>
          <w:color w:val="auto"/>
          <w:sz w:val="32"/>
          <w:szCs w:val="32"/>
        </w:rPr>
        <w:t>万元，占</w:t>
      </w:r>
      <w:r>
        <w:rPr>
          <w:rFonts w:hint="eastAsia" w:ascii="仿宋" w:eastAsia="仿宋"/>
          <w:color w:val="auto"/>
          <w:sz w:val="32"/>
          <w:szCs w:val="32"/>
          <w:lang w:val="en-US" w:eastAsia="zh-CN"/>
        </w:rPr>
        <w:t>6.37</w:t>
      </w:r>
      <w:r>
        <w:rPr>
          <w:rFonts w:ascii="仿宋" w:eastAsia="仿宋"/>
          <w:color w:val="auto"/>
          <w:sz w:val="32"/>
          <w:szCs w:val="32"/>
        </w:rPr>
        <w:t>%</w:t>
      </w:r>
      <w:r>
        <w:rPr>
          <w:rFonts w:hint="eastAsia" w:ascii="仿宋" w:eastAsia="仿宋"/>
          <w:color w:val="auto"/>
          <w:sz w:val="32"/>
          <w:szCs w:val="32"/>
        </w:rPr>
        <w:t>。</w:t>
      </w:r>
    </w:p>
    <w:p>
      <w:pPr>
        <w:spacing w:line="600" w:lineRule="exact"/>
        <w:ind w:firstLine="8320" w:firstLineChars="2600"/>
        <w:outlineLvl w:val="2"/>
        <w:rPr>
          <w:rFonts w:ascii="仿宋" w:eastAsia="仿宋"/>
          <w:b/>
          <w:color w:val="000000"/>
          <w:sz w:val="32"/>
          <w:szCs w:val="32"/>
        </w:rPr>
      </w:pPr>
      <w:bookmarkStart w:id="44" w:name="_Toc15377213"/>
      <w:bookmarkStart w:id="45" w:name="_Toc15378460"/>
      <w:bookmarkStart w:id="46" w:name="_Toc15377444"/>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549910</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47" w:name="_Toc15377212"/>
      <w:r>
        <w:rPr>
          <w:rFonts w:hint="eastAsia" w:ascii="仿宋" w:eastAsia="仿宋"/>
          <w:b/>
          <w:color w:val="000000"/>
          <w:sz w:val="32"/>
          <w:szCs w:val="32"/>
        </w:rPr>
        <w:t>（三）一般公共预算财政拨款支出决算具体情况</w:t>
      </w:r>
      <w:bookmarkEnd w:id="47"/>
    </w:p>
    <w:p>
      <w:pPr>
        <w:spacing w:line="600" w:lineRule="exact"/>
        <w:outlineLvl w:val="2"/>
        <w:rPr>
          <w:rFonts w:ascii="仿宋" w:eastAsia="仿宋"/>
          <w:bCs/>
          <w:color w:val="auto"/>
          <w:sz w:val="32"/>
          <w:szCs w:val="32"/>
        </w:rPr>
      </w:pPr>
      <w:r>
        <w:rPr>
          <w:rFonts w:hint="eastAsia" w:ascii="仿宋" w:eastAsia="仿宋"/>
          <w:bCs/>
          <w:color w:val="000000"/>
          <w:sz w:val="32"/>
          <w:szCs w:val="32"/>
        </w:rPr>
        <w:t xml:space="preserve">    20</w:t>
      </w:r>
      <w:r>
        <w:rPr>
          <w:rFonts w:hint="eastAsia" w:ascii="仿宋" w:eastAsia="仿宋"/>
          <w:bCs/>
          <w:color w:val="000000"/>
          <w:sz w:val="32"/>
          <w:szCs w:val="32"/>
          <w:lang w:val="en-US" w:eastAsia="zh-CN"/>
        </w:rPr>
        <w:t>20</w:t>
      </w:r>
      <w:r>
        <w:rPr>
          <w:rFonts w:hint="eastAsia" w:ascii="仿宋" w:eastAsia="仿宋"/>
          <w:bCs/>
          <w:color w:val="000000"/>
          <w:sz w:val="32"/>
          <w:szCs w:val="32"/>
        </w:rPr>
        <w:t>年一般公共预算数为</w:t>
      </w:r>
      <w:r>
        <w:rPr>
          <w:rFonts w:hint="eastAsia" w:ascii="仿宋" w:eastAsia="仿宋"/>
          <w:bCs/>
          <w:color w:val="auto"/>
          <w:sz w:val="32"/>
          <w:szCs w:val="32"/>
          <w:lang w:val="en-US" w:eastAsia="zh-CN"/>
        </w:rPr>
        <w:t>936.69</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936.69</w:t>
      </w:r>
      <w:r>
        <w:rPr>
          <w:rFonts w:hint="eastAsia" w:ascii="仿宋" w:eastAsia="仿宋"/>
          <w:bCs/>
          <w:color w:val="000000"/>
          <w:sz w:val="32"/>
          <w:szCs w:val="32"/>
        </w:rPr>
        <w:t>万元，</w:t>
      </w:r>
      <w:r>
        <w:rPr>
          <w:rFonts w:hint="eastAsia" w:ascii="仿宋" w:eastAsia="仿宋"/>
          <w:bCs/>
          <w:color w:val="auto"/>
          <w:sz w:val="32"/>
          <w:szCs w:val="32"/>
        </w:rPr>
        <w:t>完</w:t>
      </w:r>
      <w:r>
        <w:rPr>
          <w:rStyle w:val="15"/>
          <w:rFonts w:hint="eastAsia" w:ascii="仿宋" w:eastAsia="仿宋"/>
          <w:b w:val="0"/>
          <w:bCs/>
          <w:color w:val="auto"/>
          <w:sz w:val="32"/>
          <w:szCs w:val="32"/>
        </w:rPr>
        <w:t>成预算</w:t>
      </w:r>
      <w:r>
        <w:rPr>
          <w:rStyle w:val="15"/>
          <w:rFonts w:hint="eastAsia" w:ascii="仿宋" w:eastAsia="仿宋"/>
          <w:b w:val="0"/>
          <w:bCs/>
          <w:color w:val="auto"/>
          <w:sz w:val="32"/>
          <w:szCs w:val="32"/>
          <w:lang w:val="en-US" w:eastAsia="zh-CN"/>
        </w:rPr>
        <w:t>100</w:t>
      </w:r>
      <w:r>
        <w:rPr>
          <w:rStyle w:val="15"/>
          <w:rFonts w:ascii="仿宋" w:eastAsia="仿宋"/>
          <w:b w:val="0"/>
          <w:bCs/>
          <w:color w:val="auto"/>
          <w:sz w:val="32"/>
          <w:szCs w:val="32"/>
        </w:rPr>
        <w:t>%</w:t>
      </w:r>
      <w:r>
        <w:rPr>
          <w:rStyle w:val="15"/>
          <w:rFonts w:hint="eastAsia" w:ascii="仿宋" w:eastAsia="仿宋"/>
          <w:b w:val="0"/>
          <w:bCs/>
          <w:color w:val="auto"/>
          <w:sz w:val="32"/>
          <w:szCs w:val="32"/>
        </w:rPr>
        <w:t>。其中：</w:t>
      </w:r>
      <w:bookmarkEnd w:id="44"/>
      <w:bookmarkEnd w:id="45"/>
      <w:bookmarkEnd w:id="46"/>
    </w:p>
    <w:p>
      <w:pPr>
        <w:spacing w:line="600" w:lineRule="exact"/>
        <w:ind w:firstLine="643" w:firstLineChars="200"/>
        <w:rPr>
          <w:rStyle w:val="15"/>
          <w:rFonts w:ascii="仿宋" w:eastAsia="仿宋"/>
          <w:b w:val="0"/>
          <w:bCs/>
          <w:color w:val="auto"/>
          <w:sz w:val="32"/>
          <w:szCs w:val="32"/>
        </w:rPr>
      </w:pPr>
      <w:r>
        <w:rPr>
          <w:rStyle w:val="15"/>
          <w:rFonts w:hint="eastAsia" w:ascii="仿宋" w:eastAsia="仿宋"/>
          <w:bCs/>
          <w:color w:val="auto"/>
          <w:sz w:val="32"/>
          <w:szCs w:val="32"/>
        </w:rPr>
        <w:t>1.一般公共服务（类）</w:t>
      </w:r>
      <w:r>
        <w:rPr>
          <w:rStyle w:val="15"/>
          <w:rFonts w:hint="eastAsia" w:ascii="仿宋" w:eastAsia="仿宋"/>
          <w:bCs/>
          <w:color w:val="auto"/>
          <w:sz w:val="32"/>
          <w:szCs w:val="32"/>
          <w:lang w:eastAsia="zh-CN"/>
        </w:rPr>
        <w:t>人大事务</w:t>
      </w:r>
      <w:r>
        <w:rPr>
          <w:rStyle w:val="15"/>
          <w:rFonts w:hint="eastAsia" w:ascii="仿宋" w:eastAsia="仿宋"/>
          <w:bCs/>
          <w:color w:val="auto"/>
          <w:sz w:val="32"/>
          <w:szCs w:val="32"/>
        </w:rPr>
        <w:t>（款）行政运行（项）</w:t>
      </w:r>
      <w:r>
        <w:rPr>
          <w:rStyle w:val="15"/>
          <w:rFonts w:ascii="仿宋" w:eastAsia="仿宋"/>
          <w:bCs/>
          <w:color w:val="auto"/>
          <w:sz w:val="32"/>
          <w:szCs w:val="32"/>
        </w:rPr>
        <w:t>:</w:t>
      </w:r>
      <w:r>
        <w:rPr>
          <w:rStyle w:val="15"/>
          <w:rFonts w:ascii="仿宋" w:eastAsia="仿宋"/>
          <w:b w:val="0"/>
          <w:bCs/>
          <w:color w:val="auto"/>
          <w:sz w:val="32"/>
          <w:szCs w:val="32"/>
        </w:rPr>
        <w:t xml:space="preserve"> </w:t>
      </w:r>
      <w:r>
        <w:rPr>
          <w:rStyle w:val="15"/>
          <w:rFonts w:hint="eastAsia" w:ascii="仿宋" w:eastAsia="仿宋"/>
          <w:b w:val="0"/>
          <w:bCs/>
          <w:color w:val="auto"/>
          <w:sz w:val="32"/>
          <w:szCs w:val="32"/>
        </w:rPr>
        <w:t>支出决算为</w:t>
      </w:r>
      <w:r>
        <w:rPr>
          <w:rStyle w:val="15"/>
          <w:rFonts w:hint="eastAsia" w:ascii="仿宋" w:eastAsia="仿宋"/>
          <w:b w:val="0"/>
          <w:bCs/>
          <w:color w:val="auto"/>
          <w:sz w:val="32"/>
          <w:szCs w:val="32"/>
          <w:lang w:val="en-US" w:eastAsia="zh-CN"/>
        </w:rPr>
        <w:t>723.29</w:t>
      </w:r>
      <w:r>
        <w:rPr>
          <w:rStyle w:val="15"/>
          <w:rFonts w:hint="eastAsia" w:ascii="仿宋" w:eastAsia="仿宋"/>
          <w:b w:val="0"/>
          <w:bCs/>
          <w:color w:val="auto"/>
          <w:sz w:val="32"/>
          <w:szCs w:val="32"/>
        </w:rPr>
        <w:t>万元，完成预算100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spacing w:line="600" w:lineRule="exact"/>
        <w:ind w:firstLine="643" w:firstLineChars="200"/>
        <w:rPr>
          <w:rStyle w:val="15"/>
          <w:rFonts w:hint="eastAsia" w:ascii="仿宋" w:eastAsia="仿宋"/>
          <w:b w:val="0"/>
          <w:bCs/>
          <w:color w:val="auto"/>
          <w:sz w:val="32"/>
          <w:szCs w:val="32"/>
        </w:rPr>
      </w:pPr>
      <w:r>
        <w:rPr>
          <w:rStyle w:val="15"/>
          <w:rFonts w:ascii="仿宋" w:eastAsia="仿宋"/>
          <w:bCs/>
          <w:color w:val="auto"/>
          <w:sz w:val="32"/>
          <w:szCs w:val="32"/>
        </w:rPr>
        <w:t>2.</w:t>
      </w:r>
      <w:r>
        <w:rPr>
          <w:rStyle w:val="15"/>
          <w:rFonts w:hint="eastAsia" w:ascii="仿宋" w:eastAsia="仿宋"/>
          <w:bCs/>
          <w:color w:val="auto"/>
          <w:sz w:val="32"/>
          <w:szCs w:val="32"/>
        </w:rPr>
        <w:t>一般公共服务（类）</w:t>
      </w:r>
      <w:r>
        <w:rPr>
          <w:rStyle w:val="15"/>
          <w:rFonts w:hint="eastAsia" w:ascii="仿宋" w:eastAsia="仿宋"/>
          <w:bCs/>
          <w:color w:val="auto"/>
          <w:sz w:val="32"/>
          <w:szCs w:val="32"/>
          <w:lang w:eastAsia="zh-CN"/>
        </w:rPr>
        <w:t>人大事务</w:t>
      </w:r>
      <w:r>
        <w:rPr>
          <w:rStyle w:val="15"/>
          <w:rFonts w:hint="eastAsia" w:ascii="仿宋" w:eastAsia="仿宋"/>
          <w:bCs/>
          <w:color w:val="auto"/>
          <w:sz w:val="32"/>
          <w:szCs w:val="32"/>
        </w:rPr>
        <w:t>（款）</w:t>
      </w:r>
      <w:r>
        <w:rPr>
          <w:rStyle w:val="15"/>
          <w:rFonts w:hint="eastAsia" w:ascii="仿宋" w:eastAsia="仿宋"/>
          <w:bCs/>
          <w:color w:val="auto"/>
          <w:sz w:val="32"/>
          <w:szCs w:val="32"/>
          <w:lang w:eastAsia="zh-CN"/>
        </w:rPr>
        <w:t>人大会议</w:t>
      </w:r>
      <w:r>
        <w:rPr>
          <w:rStyle w:val="15"/>
          <w:rFonts w:hint="eastAsia" w:ascii="仿宋" w:eastAsia="仿宋"/>
          <w:bCs/>
          <w:color w:val="auto"/>
          <w:sz w:val="32"/>
          <w:szCs w:val="32"/>
        </w:rPr>
        <w:t>（项）</w:t>
      </w:r>
      <w:r>
        <w:rPr>
          <w:rStyle w:val="15"/>
          <w:rFonts w:ascii="仿宋" w:eastAsia="仿宋"/>
          <w:bCs/>
          <w:color w:val="auto"/>
          <w:sz w:val="32"/>
          <w:szCs w:val="32"/>
        </w:rPr>
        <w:t>:</w:t>
      </w:r>
      <w:r>
        <w:rPr>
          <w:rStyle w:val="15"/>
          <w:rFonts w:ascii="仿宋" w:eastAsia="仿宋"/>
          <w:b w:val="0"/>
          <w:bCs/>
          <w:color w:val="auto"/>
          <w:sz w:val="32"/>
          <w:szCs w:val="32"/>
        </w:rPr>
        <w:t xml:space="preserve"> </w:t>
      </w:r>
      <w:r>
        <w:rPr>
          <w:rStyle w:val="15"/>
          <w:rFonts w:hint="eastAsia" w:ascii="仿宋" w:eastAsia="仿宋"/>
          <w:b w:val="0"/>
          <w:bCs/>
          <w:color w:val="auto"/>
          <w:sz w:val="32"/>
          <w:szCs w:val="32"/>
        </w:rPr>
        <w:t>支出决算为</w:t>
      </w:r>
      <w:r>
        <w:rPr>
          <w:rStyle w:val="15"/>
          <w:rFonts w:hint="eastAsia" w:ascii="仿宋" w:eastAsia="仿宋"/>
          <w:b w:val="0"/>
          <w:bCs/>
          <w:color w:val="auto"/>
          <w:sz w:val="32"/>
          <w:szCs w:val="32"/>
          <w:lang w:val="en-US" w:eastAsia="zh-CN"/>
        </w:rPr>
        <w:t>24.06</w:t>
      </w:r>
      <w:r>
        <w:rPr>
          <w:rStyle w:val="15"/>
          <w:rFonts w:hint="eastAsia" w:ascii="仿宋" w:eastAsia="仿宋"/>
          <w:b w:val="0"/>
          <w:bCs/>
          <w:color w:val="auto"/>
          <w:sz w:val="32"/>
          <w:szCs w:val="32"/>
        </w:rPr>
        <w:t>万元，</w:t>
      </w:r>
      <w:r>
        <w:rPr>
          <w:rStyle w:val="15"/>
          <w:rFonts w:hint="eastAsia" w:ascii="仿宋" w:eastAsia="仿宋"/>
          <w:b w:val="0"/>
          <w:bCs/>
          <w:color w:val="auto"/>
          <w:sz w:val="32"/>
          <w:szCs w:val="32"/>
          <w:lang w:eastAsia="zh-CN"/>
        </w:rPr>
        <w:t>完成预算</w:t>
      </w:r>
      <w:r>
        <w:rPr>
          <w:rStyle w:val="15"/>
          <w:rFonts w:hint="eastAsia" w:ascii="仿宋" w:eastAsia="仿宋"/>
          <w:b w:val="0"/>
          <w:bCs/>
          <w:color w:val="auto"/>
          <w:sz w:val="32"/>
          <w:szCs w:val="32"/>
          <w:lang w:val="en-US" w:eastAsia="zh-CN"/>
        </w:rPr>
        <w:t>100%</w:t>
      </w:r>
      <w:r>
        <w:rPr>
          <w:rStyle w:val="15"/>
          <w:rFonts w:hint="eastAsia" w:ascii="仿宋" w:eastAsia="仿宋"/>
          <w:b w:val="0"/>
          <w:bCs/>
          <w:color w:val="auto"/>
          <w:sz w:val="32"/>
          <w:szCs w:val="32"/>
        </w:rPr>
        <w:t>。</w:t>
      </w:r>
    </w:p>
    <w:p>
      <w:pPr>
        <w:spacing w:line="600" w:lineRule="exact"/>
        <w:ind w:firstLine="643" w:firstLineChars="200"/>
        <w:rPr>
          <w:rStyle w:val="15"/>
          <w:rFonts w:ascii="仿宋" w:eastAsia="仿宋"/>
          <w:b w:val="0"/>
          <w:bCs/>
          <w:color w:val="auto"/>
          <w:sz w:val="32"/>
          <w:szCs w:val="32"/>
          <w:lang w:val="en-US" w:eastAsia="zh-CN"/>
        </w:rPr>
      </w:pPr>
      <w:r>
        <w:rPr>
          <w:rStyle w:val="15"/>
          <w:rFonts w:hint="eastAsia" w:ascii="仿宋" w:eastAsia="仿宋"/>
          <w:bCs/>
          <w:color w:val="auto"/>
          <w:sz w:val="32"/>
          <w:szCs w:val="32"/>
          <w:lang w:val="en-US" w:eastAsia="zh-CN"/>
        </w:rPr>
        <w:t>3</w:t>
      </w:r>
      <w:r>
        <w:rPr>
          <w:rStyle w:val="15"/>
          <w:rFonts w:ascii="仿宋" w:eastAsia="仿宋"/>
          <w:bCs/>
          <w:color w:val="auto"/>
          <w:sz w:val="32"/>
          <w:szCs w:val="32"/>
        </w:rPr>
        <w:t>.</w:t>
      </w:r>
      <w:r>
        <w:rPr>
          <w:rStyle w:val="15"/>
          <w:rFonts w:hint="eastAsia" w:ascii="仿宋" w:eastAsia="仿宋"/>
          <w:bCs/>
          <w:color w:val="auto"/>
          <w:sz w:val="32"/>
          <w:szCs w:val="32"/>
        </w:rPr>
        <w:t>一般公共服务（类）</w:t>
      </w:r>
      <w:r>
        <w:rPr>
          <w:rStyle w:val="15"/>
          <w:rFonts w:hint="eastAsia" w:ascii="仿宋" w:eastAsia="仿宋"/>
          <w:bCs/>
          <w:color w:val="auto"/>
          <w:sz w:val="32"/>
          <w:szCs w:val="32"/>
          <w:lang w:eastAsia="zh-CN"/>
        </w:rPr>
        <w:t>人大事务</w:t>
      </w:r>
      <w:r>
        <w:rPr>
          <w:rStyle w:val="15"/>
          <w:rFonts w:hint="eastAsia" w:ascii="仿宋" w:eastAsia="仿宋"/>
          <w:bCs/>
          <w:color w:val="auto"/>
          <w:sz w:val="32"/>
          <w:szCs w:val="32"/>
        </w:rPr>
        <w:t>（款）</w:t>
      </w:r>
      <w:r>
        <w:rPr>
          <w:rStyle w:val="15"/>
          <w:rFonts w:hint="eastAsia" w:ascii="仿宋" w:eastAsia="仿宋"/>
          <w:bCs/>
          <w:color w:val="auto"/>
          <w:sz w:val="32"/>
          <w:szCs w:val="32"/>
          <w:lang w:eastAsia="zh-CN"/>
        </w:rPr>
        <w:t>代表工作</w:t>
      </w:r>
      <w:r>
        <w:rPr>
          <w:rStyle w:val="15"/>
          <w:rFonts w:hint="eastAsia" w:ascii="仿宋" w:eastAsia="仿宋"/>
          <w:bCs/>
          <w:color w:val="auto"/>
          <w:sz w:val="32"/>
          <w:szCs w:val="32"/>
        </w:rPr>
        <w:t>（项）</w:t>
      </w:r>
      <w:r>
        <w:rPr>
          <w:rStyle w:val="15"/>
          <w:rFonts w:ascii="仿宋" w:eastAsia="仿宋"/>
          <w:bCs/>
          <w:color w:val="auto"/>
          <w:sz w:val="32"/>
          <w:szCs w:val="32"/>
        </w:rPr>
        <w:t>:</w:t>
      </w:r>
      <w:r>
        <w:rPr>
          <w:rStyle w:val="15"/>
          <w:rFonts w:ascii="仿宋" w:eastAsia="仿宋"/>
          <w:b w:val="0"/>
          <w:bCs/>
          <w:color w:val="auto"/>
          <w:sz w:val="32"/>
          <w:szCs w:val="32"/>
        </w:rPr>
        <w:t xml:space="preserve"> </w:t>
      </w:r>
      <w:r>
        <w:rPr>
          <w:rStyle w:val="15"/>
          <w:rFonts w:hint="eastAsia" w:ascii="仿宋" w:eastAsia="仿宋"/>
          <w:b w:val="0"/>
          <w:bCs/>
          <w:color w:val="auto"/>
          <w:sz w:val="32"/>
          <w:szCs w:val="32"/>
        </w:rPr>
        <w:t>支出决算为</w:t>
      </w:r>
      <w:r>
        <w:rPr>
          <w:rStyle w:val="15"/>
          <w:rFonts w:hint="eastAsia" w:ascii="仿宋" w:eastAsia="仿宋"/>
          <w:b w:val="0"/>
          <w:bCs/>
          <w:color w:val="auto"/>
          <w:sz w:val="32"/>
          <w:szCs w:val="32"/>
          <w:lang w:val="en-US" w:eastAsia="zh-CN"/>
        </w:rPr>
        <w:t>2.46</w:t>
      </w:r>
      <w:r>
        <w:rPr>
          <w:rStyle w:val="15"/>
          <w:rFonts w:hint="eastAsia" w:ascii="仿宋" w:eastAsia="仿宋"/>
          <w:b w:val="0"/>
          <w:bCs/>
          <w:color w:val="auto"/>
          <w:sz w:val="32"/>
          <w:szCs w:val="32"/>
        </w:rPr>
        <w:t>万元，</w:t>
      </w:r>
      <w:r>
        <w:rPr>
          <w:rStyle w:val="15"/>
          <w:rFonts w:hint="eastAsia" w:ascii="仿宋" w:eastAsia="仿宋"/>
          <w:b w:val="0"/>
          <w:bCs/>
          <w:color w:val="auto"/>
          <w:sz w:val="32"/>
          <w:szCs w:val="32"/>
          <w:lang w:eastAsia="zh-CN"/>
        </w:rPr>
        <w:t>完成预算</w:t>
      </w:r>
      <w:r>
        <w:rPr>
          <w:rStyle w:val="15"/>
          <w:rFonts w:hint="eastAsia" w:ascii="仿宋" w:eastAsia="仿宋"/>
          <w:b w:val="0"/>
          <w:bCs/>
          <w:color w:val="auto"/>
          <w:sz w:val="32"/>
          <w:szCs w:val="32"/>
          <w:lang w:val="en-US" w:eastAsia="zh-CN"/>
        </w:rPr>
        <w:t>100%</w:t>
      </w:r>
      <w:r>
        <w:rPr>
          <w:rStyle w:val="15"/>
          <w:rFonts w:hint="eastAsia" w:ascii="仿宋" w:eastAsia="仿宋"/>
          <w:b w:val="0"/>
          <w:bCs/>
          <w:color w:val="auto"/>
          <w:sz w:val="32"/>
          <w:szCs w:val="32"/>
        </w:rPr>
        <w:t>。</w:t>
      </w:r>
    </w:p>
    <w:p>
      <w:pPr>
        <w:spacing w:line="600" w:lineRule="exact"/>
        <w:ind w:firstLine="643" w:firstLineChars="200"/>
        <w:rPr>
          <w:rFonts w:ascii="仿宋" w:eastAsia="仿宋"/>
          <w:b/>
          <w:color w:val="auto"/>
          <w:sz w:val="32"/>
          <w:szCs w:val="32"/>
        </w:rPr>
      </w:pPr>
      <w:r>
        <w:rPr>
          <w:rStyle w:val="15"/>
          <w:rFonts w:hint="eastAsia" w:ascii="仿宋" w:eastAsia="仿宋"/>
          <w:bCs/>
          <w:color w:val="auto"/>
          <w:sz w:val="32"/>
          <w:szCs w:val="32"/>
          <w:lang w:val="en-US" w:eastAsia="zh-CN"/>
        </w:rPr>
        <w:t>4</w:t>
      </w:r>
      <w:r>
        <w:rPr>
          <w:rStyle w:val="15"/>
          <w:rFonts w:ascii="仿宋" w:eastAsia="仿宋"/>
          <w:bCs/>
          <w:color w:val="auto"/>
          <w:sz w:val="32"/>
          <w:szCs w:val="32"/>
        </w:rPr>
        <w:t>.</w:t>
      </w:r>
      <w:r>
        <w:rPr>
          <w:rStyle w:val="15"/>
          <w:rFonts w:ascii="仿宋" w:eastAsia="仿宋"/>
          <w:b w:val="0"/>
          <w:bCs/>
          <w:color w:val="auto"/>
          <w:sz w:val="32"/>
          <w:szCs w:val="32"/>
        </w:rPr>
        <w:t xml:space="preserve"> </w:t>
      </w:r>
      <w:r>
        <w:rPr>
          <w:rStyle w:val="15"/>
          <w:rFonts w:hint="eastAsia" w:ascii="仿宋" w:eastAsia="仿宋"/>
          <w:bCs/>
          <w:color w:val="auto"/>
          <w:sz w:val="32"/>
          <w:szCs w:val="32"/>
        </w:rPr>
        <w:t>社会保障和就业（类）行政事业单位</w:t>
      </w:r>
      <w:r>
        <w:rPr>
          <w:rStyle w:val="15"/>
          <w:rFonts w:hint="eastAsia" w:ascii="仿宋" w:eastAsia="仿宋"/>
          <w:bCs/>
          <w:color w:val="auto"/>
          <w:sz w:val="32"/>
          <w:szCs w:val="32"/>
          <w:lang w:eastAsia="zh-CN"/>
        </w:rPr>
        <w:t>养老支出</w:t>
      </w:r>
      <w:r>
        <w:rPr>
          <w:rStyle w:val="15"/>
          <w:rFonts w:hint="eastAsia" w:ascii="仿宋" w:eastAsia="仿宋"/>
          <w:bCs/>
          <w:color w:val="auto"/>
          <w:sz w:val="32"/>
          <w:szCs w:val="32"/>
        </w:rPr>
        <w:t>（款）机关事业单位基本养老保险缴费支出（项）</w:t>
      </w:r>
      <w:r>
        <w:rPr>
          <w:rStyle w:val="15"/>
          <w:rFonts w:ascii="仿宋" w:eastAsia="仿宋"/>
          <w:bCs/>
          <w:color w:val="auto"/>
          <w:sz w:val="32"/>
          <w:szCs w:val="32"/>
        </w:rPr>
        <w:t>:</w:t>
      </w:r>
      <w:r>
        <w:rPr>
          <w:rStyle w:val="15"/>
          <w:rFonts w:ascii="仿宋" w:eastAsia="仿宋"/>
          <w:b w:val="0"/>
          <w:bCs/>
          <w:color w:val="auto"/>
          <w:sz w:val="32"/>
          <w:szCs w:val="32"/>
        </w:rPr>
        <w:t xml:space="preserve"> </w:t>
      </w:r>
      <w:r>
        <w:rPr>
          <w:rStyle w:val="15"/>
          <w:rFonts w:hint="eastAsia" w:ascii="仿宋" w:eastAsia="仿宋"/>
          <w:b w:val="0"/>
          <w:bCs/>
          <w:color w:val="auto"/>
          <w:sz w:val="32"/>
          <w:szCs w:val="32"/>
        </w:rPr>
        <w:t>支出决算为</w:t>
      </w:r>
      <w:r>
        <w:rPr>
          <w:rStyle w:val="15"/>
          <w:rFonts w:hint="eastAsia" w:ascii="仿宋" w:eastAsia="仿宋"/>
          <w:b w:val="0"/>
          <w:bCs/>
          <w:color w:val="auto"/>
          <w:sz w:val="32"/>
          <w:szCs w:val="32"/>
          <w:lang w:val="en-US" w:eastAsia="zh-CN"/>
        </w:rPr>
        <w:t>59.18</w:t>
      </w:r>
      <w:r>
        <w:rPr>
          <w:rStyle w:val="15"/>
          <w:rFonts w:hint="eastAsia" w:ascii="仿宋" w:eastAsia="仿宋"/>
          <w:b w:val="0"/>
          <w:bCs/>
          <w:color w:val="auto"/>
          <w:sz w:val="32"/>
          <w:szCs w:val="32"/>
        </w:rPr>
        <w:t>万元，完成预算100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spacing w:line="600" w:lineRule="exact"/>
        <w:ind w:firstLine="643" w:firstLineChars="200"/>
        <w:rPr>
          <w:rStyle w:val="15"/>
          <w:rFonts w:hint="eastAsia" w:ascii="仿宋" w:eastAsia="仿宋"/>
          <w:b w:val="0"/>
          <w:bCs/>
          <w:color w:val="auto"/>
          <w:sz w:val="32"/>
          <w:szCs w:val="32"/>
        </w:rPr>
      </w:pPr>
      <w:r>
        <w:rPr>
          <w:rStyle w:val="15"/>
          <w:rFonts w:hint="eastAsia" w:ascii="仿宋" w:eastAsia="仿宋"/>
          <w:bCs/>
          <w:color w:val="auto"/>
          <w:sz w:val="32"/>
          <w:szCs w:val="32"/>
          <w:lang w:val="en-US" w:eastAsia="zh-CN"/>
        </w:rPr>
        <w:t>5</w:t>
      </w:r>
      <w:r>
        <w:rPr>
          <w:rStyle w:val="15"/>
          <w:rFonts w:ascii="仿宋" w:eastAsia="仿宋"/>
          <w:bCs/>
          <w:color w:val="auto"/>
          <w:sz w:val="32"/>
          <w:szCs w:val="32"/>
        </w:rPr>
        <w:t>.</w:t>
      </w:r>
      <w:r>
        <w:rPr>
          <w:rStyle w:val="15"/>
          <w:rFonts w:hint="eastAsia" w:ascii="仿宋" w:eastAsia="仿宋"/>
          <w:bCs/>
          <w:color w:val="auto"/>
          <w:sz w:val="32"/>
          <w:szCs w:val="32"/>
        </w:rPr>
        <w:t>社会保障和就业（类）行政事业单位</w:t>
      </w:r>
      <w:r>
        <w:rPr>
          <w:rStyle w:val="15"/>
          <w:rFonts w:hint="eastAsia" w:ascii="仿宋" w:eastAsia="仿宋"/>
          <w:bCs/>
          <w:color w:val="auto"/>
          <w:sz w:val="32"/>
          <w:szCs w:val="32"/>
          <w:lang w:eastAsia="zh-CN"/>
        </w:rPr>
        <w:t>养老支出</w:t>
      </w:r>
      <w:r>
        <w:rPr>
          <w:rStyle w:val="15"/>
          <w:rFonts w:hint="eastAsia" w:ascii="仿宋" w:eastAsia="仿宋"/>
          <w:bCs/>
          <w:color w:val="auto"/>
          <w:sz w:val="32"/>
          <w:szCs w:val="32"/>
        </w:rPr>
        <w:t>（款）机关事业单位基本职业年金缴费支出（项）</w:t>
      </w:r>
      <w:r>
        <w:rPr>
          <w:rStyle w:val="15"/>
          <w:rFonts w:ascii="仿宋" w:eastAsia="仿宋"/>
          <w:bCs/>
          <w:color w:val="auto"/>
          <w:sz w:val="32"/>
          <w:szCs w:val="32"/>
        </w:rPr>
        <w:t>:</w:t>
      </w:r>
      <w:r>
        <w:rPr>
          <w:rStyle w:val="15"/>
          <w:rFonts w:hint="eastAsia" w:ascii="仿宋" w:eastAsia="仿宋"/>
          <w:b w:val="0"/>
          <w:bCs/>
          <w:color w:val="auto"/>
          <w:sz w:val="32"/>
          <w:szCs w:val="32"/>
        </w:rPr>
        <w:t>支出决算为</w:t>
      </w:r>
      <w:r>
        <w:rPr>
          <w:rStyle w:val="15"/>
          <w:rFonts w:hint="eastAsia" w:ascii="仿宋" w:eastAsia="仿宋"/>
          <w:b w:val="0"/>
          <w:bCs/>
          <w:color w:val="auto"/>
          <w:sz w:val="32"/>
          <w:szCs w:val="32"/>
          <w:lang w:val="en-US" w:eastAsia="zh-CN"/>
        </w:rPr>
        <w:t>29.59</w:t>
      </w:r>
      <w:r>
        <w:rPr>
          <w:rStyle w:val="15"/>
          <w:rFonts w:hint="eastAsia" w:ascii="仿宋" w:eastAsia="仿宋"/>
          <w:b w:val="0"/>
          <w:bCs/>
          <w:color w:val="auto"/>
          <w:sz w:val="32"/>
          <w:szCs w:val="32"/>
        </w:rPr>
        <w:t>万元，完成预算100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spacing w:line="600" w:lineRule="exact"/>
        <w:ind w:firstLine="643" w:firstLineChars="200"/>
        <w:rPr>
          <w:rStyle w:val="15"/>
          <w:rFonts w:hint="eastAsia" w:ascii="仿宋" w:eastAsia="仿宋"/>
          <w:b w:val="0"/>
          <w:bCs/>
          <w:color w:val="auto"/>
          <w:sz w:val="32"/>
          <w:szCs w:val="32"/>
        </w:rPr>
      </w:pPr>
      <w:r>
        <w:rPr>
          <w:rStyle w:val="15"/>
          <w:rFonts w:hint="eastAsia" w:ascii="仿宋" w:eastAsia="仿宋"/>
          <w:bCs/>
          <w:color w:val="auto"/>
          <w:sz w:val="32"/>
          <w:szCs w:val="32"/>
          <w:lang w:val="en-US" w:eastAsia="zh-CN"/>
        </w:rPr>
        <w:t>6</w:t>
      </w:r>
      <w:r>
        <w:rPr>
          <w:rStyle w:val="15"/>
          <w:rFonts w:ascii="仿宋" w:eastAsia="仿宋"/>
          <w:bCs/>
          <w:color w:val="auto"/>
          <w:sz w:val="32"/>
          <w:szCs w:val="32"/>
        </w:rPr>
        <w:t>.</w:t>
      </w:r>
      <w:r>
        <w:rPr>
          <w:rStyle w:val="15"/>
          <w:rFonts w:hint="eastAsia" w:ascii="仿宋" w:eastAsia="仿宋"/>
          <w:bCs/>
          <w:color w:val="auto"/>
          <w:sz w:val="32"/>
          <w:szCs w:val="32"/>
          <w:lang w:eastAsia="zh-CN"/>
        </w:rPr>
        <w:t>卫生健康支出</w:t>
      </w:r>
      <w:r>
        <w:rPr>
          <w:rStyle w:val="15"/>
          <w:rFonts w:hint="eastAsia" w:ascii="仿宋" w:eastAsia="仿宋"/>
          <w:bCs/>
          <w:color w:val="auto"/>
          <w:sz w:val="32"/>
          <w:szCs w:val="32"/>
        </w:rPr>
        <w:t>（类）</w:t>
      </w:r>
      <w:r>
        <w:rPr>
          <w:rStyle w:val="15"/>
          <w:rFonts w:hint="eastAsia" w:ascii="仿宋" w:eastAsia="仿宋"/>
          <w:bCs/>
          <w:color w:val="auto"/>
          <w:sz w:val="32"/>
          <w:szCs w:val="32"/>
          <w:lang w:eastAsia="zh-CN"/>
        </w:rPr>
        <w:t>公共卫生</w:t>
      </w:r>
      <w:r>
        <w:rPr>
          <w:rStyle w:val="15"/>
          <w:rFonts w:hint="eastAsia" w:ascii="仿宋" w:eastAsia="仿宋"/>
          <w:bCs/>
          <w:color w:val="auto"/>
          <w:sz w:val="32"/>
          <w:szCs w:val="32"/>
        </w:rPr>
        <w:t>（款）</w:t>
      </w:r>
      <w:r>
        <w:rPr>
          <w:rStyle w:val="15"/>
          <w:rFonts w:hint="eastAsia" w:ascii="仿宋" w:eastAsia="仿宋"/>
          <w:bCs/>
          <w:color w:val="auto"/>
          <w:sz w:val="32"/>
          <w:szCs w:val="32"/>
          <w:lang w:eastAsia="zh-CN"/>
        </w:rPr>
        <w:t>突发公共卫生事件应急处理</w:t>
      </w:r>
      <w:r>
        <w:rPr>
          <w:rStyle w:val="15"/>
          <w:rFonts w:hint="eastAsia" w:ascii="仿宋" w:eastAsia="仿宋"/>
          <w:bCs/>
          <w:color w:val="auto"/>
          <w:sz w:val="32"/>
          <w:szCs w:val="32"/>
        </w:rPr>
        <w:t>（项）</w:t>
      </w:r>
      <w:r>
        <w:rPr>
          <w:rStyle w:val="15"/>
          <w:rFonts w:ascii="仿宋" w:eastAsia="仿宋"/>
          <w:bCs/>
          <w:color w:val="auto"/>
          <w:sz w:val="32"/>
          <w:szCs w:val="32"/>
        </w:rPr>
        <w:t>:</w:t>
      </w:r>
      <w:r>
        <w:rPr>
          <w:rStyle w:val="15"/>
          <w:rFonts w:ascii="仿宋" w:eastAsia="仿宋"/>
          <w:b w:val="0"/>
          <w:bCs/>
          <w:color w:val="auto"/>
          <w:sz w:val="32"/>
          <w:szCs w:val="32"/>
        </w:rPr>
        <w:t xml:space="preserve"> </w:t>
      </w:r>
      <w:r>
        <w:rPr>
          <w:rStyle w:val="15"/>
          <w:rFonts w:hint="eastAsia" w:ascii="仿宋" w:eastAsia="仿宋"/>
          <w:b w:val="0"/>
          <w:bCs/>
          <w:color w:val="auto"/>
          <w:sz w:val="32"/>
          <w:szCs w:val="32"/>
        </w:rPr>
        <w:t>支出决算为</w:t>
      </w:r>
      <w:r>
        <w:rPr>
          <w:rStyle w:val="15"/>
          <w:rFonts w:hint="eastAsia" w:ascii="仿宋" w:eastAsia="仿宋"/>
          <w:b w:val="0"/>
          <w:bCs/>
          <w:color w:val="auto"/>
          <w:sz w:val="32"/>
          <w:szCs w:val="32"/>
          <w:lang w:val="en-US" w:eastAsia="zh-CN"/>
        </w:rPr>
        <w:t>1.72</w:t>
      </w:r>
      <w:r>
        <w:rPr>
          <w:rStyle w:val="15"/>
          <w:rFonts w:hint="eastAsia" w:ascii="仿宋" w:eastAsia="仿宋"/>
          <w:b w:val="0"/>
          <w:bCs/>
          <w:color w:val="auto"/>
          <w:sz w:val="32"/>
          <w:szCs w:val="32"/>
        </w:rPr>
        <w:t>万元，完成预算100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spacing w:line="600" w:lineRule="exact"/>
        <w:ind w:firstLine="643" w:firstLineChars="200"/>
        <w:rPr>
          <w:rFonts w:ascii="仿宋" w:eastAsia="仿宋"/>
          <w:color w:val="auto"/>
          <w:sz w:val="32"/>
          <w:szCs w:val="32"/>
        </w:rPr>
      </w:pPr>
      <w:r>
        <w:rPr>
          <w:rStyle w:val="15"/>
          <w:rFonts w:hint="eastAsia" w:ascii="仿宋" w:eastAsia="仿宋"/>
          <w:bCs/>
          <w:color w:val="auto"/>
          <w:sz w:val="32"/>
          <w:szCs w:val="32"/>
          <w:lang w:val="en-US" w:eastAsia="zh-CN"/>
        </w:rPr>
        <w:t>7</w:t>
      </w:r>
      <w:r>
        <w:rPr>
          <w:rStyle w:val="15"/>
          <w:rFonts w:hint="eastAsia" w:ascii="仿宋" w:eastAsia="仿宋"/>
          <w:bCs/>
          <w:color w:val="auto"/>
          <w:sz w:val="32"/>
          <w:szCs w:val="32"/>
        </w:rPr>
        <w:t>.卫生健康支出（类）行政事业单位医疗（款）行政单位医疗（项）</w:t>
      </w:r>
      <w:r>
        <w:rPr>
          <w:rStyle w:val="15"/>
          <w:rFonts w:ascii="仿宋" w:eastAsia="仿宋"/>
          <w:bCs/>
          <w:color w:val="auto"/>
          <w:sz w:val="32"/>
          <w:szCs w:val="32"/>
        </w:rPr>
        <w:t>:</w:t>
      </w:r>
      <w:r>
        <w:rPr>
          <w:rStyle w:val="15"/>
          <w:rFonts w:hint="eastAsia" w:ascii="仿宋" w:eastAsia="仿宋"/>
          <w:b w:val="0"/>
          <w:bCs/>
          <w:color w:val="auto"/>
          <w:sz w:val="32"/>
          <w:szCs w:val="32"/>
        </w:rPr>
        <w:t>支出决算为</w:t>
      </w:r>
      <w:r>
        <w:rPr>
          <w:rStyle w:val="15"/>
          <w:rFonts w:hint="eastAsia" w:ascii="仿宋" w:eastAsia="仿宋"/>
          <w:b w:val="0"/>
          <w:bCs/>
          <w:color w:val="auto"/>
          <w:sz w:val="32"/>
          <w:szCs w:val="32"/>
          <w:lang w:val="en-US" w:eastAsia="zh-CN"/>
        </w:rPr>
        <w:t>25.97</w:t>
      </w:r>
      <w:r>
        <w:rPr>
          <w:rStyle w:val="15"/>
          <w:rFonts w:hint="eastAsia" w:ascii="仿宋" w:eastAsia="仿宋"/>
          <w:b w:val="0"/>
          <w:bCs/>
          <w:color w:val="auto"/>
          <w:sz w:val="32"/>
          <w:szCs w:val="32"/>
        </w:rPr>
        <w:t>万元，完成预算100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spacing w:line="600" w:lineRule="exact"/>
        <w:ind w:firstLine="643" w:firstLineChars="200"/>
        <w:rPr>
          <w:rFonts w:ascii="仿宋" w:eastAsia="仿宋"/>
          <w:color w:val="FF0000"/>
          <w:sz w:val="32"/>
          <w:szCs w:val="32"/>
        </w:rPr>
      </w:pPr>
      <w:r>
        <w:rPr>
          <w:rStyle w:val="15"/>
          <w:rFonts w:hint="eastAsia" w:ascii="仿宋" w:eastAsia="仿宋"/>
          <w:bCs/>
          <w:color w:val="000000"/>
          <w:sz w:val="32"/>
          <w:szCs w:val="32"/>
          <w:lang w:val="en-US" w:eastAsia="zh-CN"/>
        </w:rPr>
        <w:t>8</w:t>
      </w:r>
      <w:r>
        <w:rPr>
          <w:rStyle w:val="15"/>
          <w:rFonts w:hint="eastAsia" w:ascii="仿宋" w:eastAsia="仿宋"/>
          <w:bCs/>
          <w:color w:val="000000"/>
          <w:sz w:val="32"/>
          <w:szCs w:val="32"/>
        </w:rPr>
        <w:t>.卫生健康支出（类）行政事业单位医疗（款）公务员医疗补助（项）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10.78</w:t>
      </w:r>
      <w:r>
        <w:rPr>
          <w:rStyle w:val="15"/>
          <w:rFonts w:hint="eastAsia" w:ascii="仿宋" w:eastAsia="仿宋"/>
          <w:b w:val="0"/>
          <w:bCs/>
          <w:color w:val="000000"/>
          <w:sz w:val="32"/>
          <w:szCs w:val="32"/>
        </w:rPr>
        <w:t>万元，</w:t>
      </w:r>
      <w:r>
        <w:rPr>
          <w:rStyle w:val="15"/>
          <w:rFonts w:hint="eastAsia" w:ascii="仿宋" w:eastAsia="仿宋"/>
          <w:b w:val="0"/>
          <w:bCs/>
          <w:color w:val="auto"/>
          <w:sz w:val="32"/>
          <w:szCs w:val="32"/>
        </w:rPr>
        <w:t>完成预算100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spacing w:line="600" w:lineRule="exact"/>
        <w:ind w:firstLine="643" w:firstLineChars="200"/>
        <w:rPr>
          <w:rStyle w:val="15"/>
          <w:rFonts w:hint="eastAsia" w:ascii="仿宋" w:eastAsia="仿宋"/>
          <w:b w:val="0"/>
          <w:bCs/>
          <w:color w:val="FF0000"/>
          <w:sz w:val="32"/>
          <w:szCs w:val="32"/>
        </w:rPr>
      </w:pPr>
      <w:bookmarkStart w:id="48" w:name="_Toc15396608"/>
      <w:bookmarkStart w:id="49" w:name="_Toc15377214"/>
      <w:r>
        <w:rPr>
          <w:rStyle w:val="15"/>
          <w:rFonts w:hint="eastAsia" w:ascii="仿宋" w:eastAsia="仿宋"/>
          <w:bCs/>
          <w:color w:val="000000"/>
          <w:sz w:val="32"/>
          <w:szCs w:val="32"/>
          <w:lang w:val="en-US" w:eastAsia="zh-CN"/>
        </w:rPr>
        <w:t>9</w:t>
      </w:r>
      <w:r>
        <w:rPr>
          <w:rStyle w:val="15"/>
          <w:rFonts w:hint="eastAsia" w:ascii="仿宋" w:eastAsia="仿宋"/>
          <w:bCs/>
          <w:color w:val="000000"/>
          <w:sz w:val="32"/>
          <w:szCs w:val="32"/>
        </w:rPr>
        <w:t>.住房保障（类）住房改革支出（款）住房公积金（项）：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57.38</w:t>
      </w:r>
      <w:r>
        <w:rPr>
          <w:rStyle w:val="15"/>
          <w:rFonts w:hint="eastAsia" w:ascii="仿宋" w:eastAsia="仿宋"/>
          <w:b w:val="0"/>
          <w:bCs/>
          <w:color w:val="000000"/>
          <w:sz w:val="32"/>
          <w:szCs w:val="32"/>
        </w:rPr>
        <w:t>万元</w:t>
      </w:r>
      <w:r>
        <w:rPr>
          <w:rStyle w:val="15"/>
          <w:rFonts w:hint="eastAsia" w:ascii="仿宋" w:eastAsia="仿宋"/>
          <w:b w:val="0"/>
          <w:bCs/>
          <w:color w:val="auto"/>
          <w:sz w:val="32"/>
          <w:szCs w:val="32"/>
        </w:rPr>
        <w:t>，完成预算100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spacing w:line="600" w:lineRule="exact"/>
        <w:ind w:firstLine="643" w:firstLineChars="200"/>
        <w:rPr>
          <w:rStyle w:val="15"/>
          <w:rFonts w:hint="eastAsia" w:ascii="仿宋" w:eastAsia="仿宋"/>
          <w:b w:val="0"/>
          <w:bCs/>
          <w:color w:val="FF0000"/>
          <w:sz w:val="32"/>
          <w:szCs w:val="32"/>
        </w:rPr>
      </w:pPr>
      <w:r>
        <w:rPr>
          <w:rStyle w:val="15"/>
          <w:rFonts w:hint="eastAsia" w:ascii="仿宋" w:eastAsia="仿宋"/>
          <w:bCs/>
          <w:color w:val="000000"/>
          <w:sz w:val="32"/>
          <w:szCs w:val="32"/>
          <w:lang w:val="en-US" w:eastAsia="zh-CN"/>
        </w:rPr>
        <w:t>10</w:t>
      </w:r>
      <w:r>
        <w:rPr>
          <w:rStyle w:val="15"/>
          <w:rFonts w:hint="eastAsia" w:ascii="仿宋" w:eastAsia="仿宋"/>
          <w:bCs/>
          <w:color w:val="000000"/>
          <w:sz w:val="32"/>
          <w:szCs w:val="32"/>
        </w:rPr>
        <w:t>.住房保障（类）住房改革支出（款）</w:t>
      </w:r>
      <w:r>
        <w:rPr>
          <w:rStyle w:val="15"/>
          <w:rFonts w:hint="eastAsia" w:ascii="仿宋" w:eastAsia="仿宋"/>
          <w:bCs/>
          <w:color w:val="000000"/>
          <w:sz w:val="32"/>
          <w:szCs w:val="32"/>
          <w:lang w:eastAsia="zh-CN"/>
        </w:rPr>
        <w:t>购房补贴</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2.26</w:t>
      </w:r>
      <w:r>
        <w:rPr>
          <w:rStyle w:val="15"/>
          <w:rFonts w:hint="eastAsia" w:ascii="仿宋" w:eastAsia="仿宋"/>
          <w:b w:val="0"/>
          <w:bCs/>
          <w:color w:val="000000"/>
          <w:sz w:val="32"/>
          <w:szCs w:val="32"/>
        </w:rPr>
        <w:t>万元，</w:t>
      </w:r>
      <w:r>
        <w:rPr>
          <w:rStyle w:val="15"/>
          <w:rFonts w:hint="eastAsia" w:ascii="仿宋" w:eastAsia="仿宋"/>
          <w:b w:val="0"/>
          <w:bCs/>
          <w:color w:val="auto"/>
          <w:sz w:val="32"/>
          <w:szCs w:val="32"/>
        </w:rPr>
        <w:t>完成预算100</w:t>
      </w:r>
      <w:r>
        <w:rPr>
          <w:rStyle w:val="15"/>
          <w:rFonts w:ascii="仿宋" w:eastAsia="仿宋"/>
          <w:b w:val="0"/>
          <w:bCs/>
          <w:color w:val="auto"/>
          <w:sz w:val="32"/>
          <w:szCs w:val="32"/>
        </w:rPr>
        <w:t>%</w:t>
      </w:r>
      <w:r>
        <w:rPr>
          <w:rStyle w:val="15"/>
          <w:rFonts w:hint="eastAsia" w:ascii="仿宋" w:eastAsia="仿宋"/>
          <w:b w:val="0"/>
          <w:bCs/>
          <w:color w:val="auto"/>
          <w:sz w:val="32"/>
          <w:szCs w:val="32"/>
        </w:rPr>
        <w:t>。</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8"/>
      <w:bookmarkEnd w:id="49"/>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908.44</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781.1</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179.16</w:t>
      </w:r>
      <w:r>
        <w:rPr>
          <w:rFonts w:hint="eastAsia" w:ascii="仿宋" w:eastAsia="仿宋"/>
          <w:color w:val="000000"/>
          <w:sz w:val="32"/>
          <w:szCs w:val="32"/>
        </w:rPr>
        <w:t>万元、津贴补贴</w:t>
      </w:r>
      <w:r>
        <w:rPr>
          <w:rFonts w:hint="eastAsia" w:ascii="仿宋" w:eastAsia="仿宋"/>
          <w:color w:val="000000"/>
          <w:sz w:val="32"/>
          <w:szCs w:val="32"/>
          <w:lang w:val="en-US" w:eastAsia="zh-CN"/>
        </w:rPr>
        <w:t>201.97</w:t>
      </w:r>
      <w:r>
        <w:rPr>
          <w:rFonts w:hint="eastAsia" w:ascii="仿宋" w:eastAsia="仿宋"/>
          <w:color w:val="000000"/>
          <w:sz w:val="32"/>
          <w:szCs w:val="32"/>
        </w:rPr>
        <w:t>万元、奖金</w:t>
      </w:r>
      <w:r>
        <w:rPr>
          <w:rFonts w:hint="eastAsia" w:ascii="仿宋" w:eastAsia="仿宋"/>
          <w:color w:val="000000"/>
          <w:sz w:val="32"/>
          <w:szCs w:val="32"/>
          <w:lang w:val="en-US" w:eastAsia="zh-CN"/>
        </w:rPr>
        <w:t>15.46</w:t>
      </w:r>
      <w:r>
        <w:rPr>
          <w:rFonts w:hint="eastAsia" w:ascii="仿宋" w:eastAsia="仿宋"/>
          <w:color w:val="000000"/>
          <w:sz w:val="32"/>
          <w:szCs w:val="32"/>
        </w:rPr>
        <w:t>万元、机关事业单位基本养老保险缴费</w:t>
      </w:r>
      <w:r>
        <w:rPr>
          <w:rFonts w:hint="eastAsia" w:ascii="仿宋" w:eastAsia="仿宋"/>
          <w:color w:val="000000"/>
          <w:sz w:val="32"/>
          <w:szCs w:val="32"/>
          <w:lang w:val="en-US" w:eastAsia="zh-CN"/>
        </w:rPr>
        <w:t>59.18</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29.59</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25.97</w:t>
      </w:r>
      <w:r>
        <w:rPr>
          <w:rFonts w:hint="eastAsia" w:ascii="仿宋" w:eastAsia="仿宋"/>
          <w:color w:val="000000"/>
          <w:sz w:val="32"/>
          <w:szCs w:val="32"/>
        </w:rPr>
        <w:t>万元、公务员医疗补助缴费</w:t>
      </w:r>
      <w:r>
        <w:rPr>
          <w:rFonts w:hint="eastAsia" w:ascii="仿宋" w:eastAsia="仿宋"/>
          <w:color w:val="000000"/>
          <w:sz w:val="32"/>
          <w:szCs w:val="32"/>
          <w:lang w:val="en-US" w:eastAsia="zh-CN"/>
        </w:rPr>
        <w:t>10.78</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1.12</w:t>
      </w:r>
      <w:r>
        <w:rPr>
          <w:rFonts w:hint="eastAsia" w:ascii="仿宋" w:eastAsia="仿宋"/>
          <w:color w:val="000000"/>
          <w:sz w:val="32"/>
          <w:szCs w:val="32"/>
        </w:rPr>
        <w:t>万元、生活补助</w:t>
      </w:r>
      <w:r>
        <w:rPr>
          <w:rFonts w:hint="eastAsia" w:ascii="仿宋" w:eastAsia="仿宋"/>
          <w:color w:val="000000"/>
          <w:sz w:val="32"/>
          <w:szCs w:val="32"/>
          <w:lang w:val="en-US" w:eastAsia="zh-CN"/>
        </w:rPr>
        <w:t>7.08</w:t>
      </w:r>
      <w:r>
        <w:rPr>
          <w:rFonts w:hint="eastAsia" w:ascii="仿宋" w:eastAsia="仿宋"/>
          <w:color w:val="000000"/>
          <w:sz w:val="32"/>
          <w:szCs w:val="32"/>
        </w:rPr>
        <w:t>万元、</w:t>
      </w:r>
      <w:r>
        <w:rPr>
          <w:rFonts w:hint="eastAsia" w:ascii="仿宋" w:eastAsia="仿宋"/>
          <w:color w:val="000000"/>
          <w:sz w:val="32"/>
          <w:szCs w:val="32"/>
          <w:lang w:eastAsia="zh-CN"/>
        </w:rPr>
        <w:t>离休费</w:t>
      </w:r>
      <w:r>
        <w:rPr>
          <w:rFonts w:hint="eastAsia" w:ascii="仿宋" w:eastAsia="仿宋"/>
          <w:color w:val="000000"/>
          <w:sz w:val="32"/>
          <w:szCs w:val="32"/>
          <w:lang w:val="en-US" w:eastAsia="zh-CN"/>
        </w:rPr>
        <w:t>14.76万元、</w:t>
      </w:r>
      <w:r>
        <w:rPr>
          <w:rFonts w:hint="eastAsia" w:ascii="仿宋" w:eastAsia="仿宋"/>
          <w:color w:val="000000"/>
          <w:sz w:val="32"/>
          <w:szCs w:val="32"/>
        </w:rPr>
        <w:t>抚恤金</w:t>
      </w:r>
      <w:r>
        <w:rPr>
          <w:rFonts w:hint="eastAsia" w:ascii="仿宋" w:eastAsia="仿宋"/>
          <w:color w:val="000000"/>
          <w:sz w:val="32"/>
          <w:szCs w:val="32"/>
          <w:lang w:val="en-US" w:eastAsia="zh-CN"/>
        </w:rPr>
        <w:t>48.05</w:t>
      </w:r>
      <w:r>
        <w:rPr>
          <w:rFonts w:hint="eastAsia" w:ascii="仿宋" w:eastAsia="仿宋"/>
          <w:color w:val="000000"/>
          <w:sz w:val="32"/>
          <w:szCs w:val="32"/>
        </w:rPr>
        <w:t>万元、住房公积金</w:t>
      </w:r>
      <w:r>
        <w:rPr>
          <w:rFonts w:hint="eastAsia" w:ascii="仿宋" w:eastAsia="仿宋"/>
          <w:color w:val="000000"/>
          <w:sz w:val="32"/>
          <w:szCs w:val="32"/>
          <w:lang w:val="en-US" w:eastAsia="zh-CN"/>
        </w:rPr>
        <w:t>57.38</w:t>
      </w:r>
      <w:r>
        <w:rPr>
          <w:rFonts w:hint="eastAsia" w:ascii="仿宋" w:eastAsia="仿宋"/>
          <w:color w:val="000000"/>
          <w:sz w:val="32"/>
          <w:szCs w:val="32"/>
        </w:rPr>
        <w:t>万元、</w:t>
      </w:r>
      <w:r>
        <w:rPr>
          <w:rFonts w:hint="eastAsia" w:ascii="仿宋" w:eastAsia="仿宋"/>
          <w:color w:val="000000"/>
          <w:sz w:val="32"/>
          <w:szCs w:val="32"/>
          <w:lang w:eastAsia="zh-CN"/>
        </w:rPr>
        <w:t>奖励金</w:t>
      </w:r>
      <w:r>
        <w:rPr>
          <w:rFonts w:hint="eastAsia" w:ascii="仿宋" w:eastAsia="仿宋"/>
          <w:color w:val="000000"/>
          <w:sz w:val="32"/>
          <w:szCs w:val="32"/>
          <w:lang w:val="en-US" w:eastAsia="zh-CN"/>
        </w:rPr>
        <w:t>130.6万</w:t>
      </w:r>
      <w:r>
        <w:rPr>
          <w:rFonts w:hint="eastAsia" w:ascii="仿宋" w:eastAsia="仿宋"/>
          <w:color w:val="000000"/>
          <w:sz w:val="32"/>
          <w:szCs w:val="32"/>
        </w:rPr>
        <w:t>元。</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公用经费</w:t>
      </w:r>
      <w:r>
        <w:rPr>
          <w:rFonts w:hint="eastAsia" w:ascii="仿宋" w:eastAsia="仿宋"/>
          <w:color w:val="000000"/>
          <w:sz w:val="32"/>
          <w:szCs w:val="32"/>
          <w:lang w:val="en-US" w:eastAsia="zh-CN"/>
        </w:rPr>
        <w:t>127.34</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17</w:t>
      </w:r>
      <w:r>
        <w:rPr>
          <w:rFonts w:hint="eastAsia" w:ascii="仿宋" w:eastAsia="仿宋"/>
          <w:color w:val="000000"/>
          <w:sz w:val="32"/>
          <w:szCs w:val="32"/>
        </w:rPr>
        <w:t>万元、手续费0.0</w:t>
      </w:r>
      <w:r>
        <w:rPr>
          <w:rFonts w:hint="eastAsia" w:ascii="仿宋" w:eastAsia="仿宋"/>
          <w:color w:val="000000"/>
          <w:sz w:val="32"/>
          <w:szCs w:val="32"/>
          <w:lang w:val="en-US" w:eastAsia="zh-CN"/>
        </w:rPr>
        <w:t>8</w:t>
      </w:r>
      <w:r>
        <w:rPr>
          <w:rFonts w:hint="eastAsia" w:ascii="仿宋" w:eastAsia="仿宋"/>
          <w:color w:val="000000"/>
          <w:sz w:val="32"/>
          <w:szCs w:val="32"/>
        </w:rPr>
        <w:t>万元、电费</w:t>
      </w:r>
      <w:r>
        <w:rPr>
          <w:rFonts w:hint="eastAsia" w:ascii="仿宋" w:eastAsia="仿宋"/>
          <w:color w:val="000000"/>
          <w:sz w:val="32"/>
          <w:szCs w:val="32"/>
          <w:lang w:val="en-US" w:eastAsia="zh-CN"/>
        </w:rPr>
        <w:t>6</w:t>
      </w:r>
      <w:r>
        <w:rPr>
          <w:rFonts w:hint="eastAsia" w:ascii="仿宋" w:eastAsia="仿宋"/>
          <w:color w:val="000000"/>
          <w:sz w:val="32"/>
          <w:szCs w:val="32"/>
        </w:rPr>
        <w:t>万元、邮电费</w:t>
      </w:r>
      <w:r>
        <w:rPr>
          <w:rFonts w:hint="eastAsia" w:ascii="仿宋" w:eastAsia="仿宋"/>
          <w:color w:val="000000"/>
          <w:sz w:val="32"/>
          <w:szCs w:val="32"/>
          <w:lang w:val="en-US" w:eastAsia="zh-CN"/>
        </w:rPr>
        <w:t>13</w:t>
      </w:r>
      <w:r>
        <w:rPr>
          <w:rFonts w:hint="eastAsia" w:ascii="仿宋" w:eastAsia="仿宋"/>
          <w:color w:val="000000"/>
          <w:sz w:val="32"/>
          <w:szCs w:val="32"/>
        </w:rPr>
        <w:t>万元、</w:t>
      </w:r>
      <w:r>
        <w:rPr>
          <w:rFonts w:hint="eastAsia" w:ascii="仿宋" w:eastAsia="仿宋"/>
          <w:color w:val="000000"/>
          <w:sz w:val="32"/>
          <w:szCs w:val="32"/>
          <w:lang w:eastAsia="zh-CN"/>
        </w:rPr>
        <w:t>取暖费</w:t>
      </w:r>
      <w:r>
        <w:rPr>
          <w:rFonts w:hint="eastAsia" w:ascii="仿宋" w:eastAsia="仿宋"/>
          <w:color w:val="000000"/>
          <w:sz w:val="32"/>
          <w:szCs w:val="32"/>
          <w:lang w:val="en-US" w:eastAsia="zh-CN"/>
        </w:rPr>
        <w:t>0.05万元</w:t>
      </w:r>
      <w:r>
        <w:rPr>
          <w:rFonts w:hint="eastAsia" w:ascii="仿宋" w:eastAsia="仿宋"/>
          <w:color w:val="000000"/>
          <w:sz w:val="32"/>
          <w:szCs w:val="32"/>
        </w:rPr>
        <w:t>、差旅费</w:t>
      </w:r>
      <w:r>
        <w:rPr>
          <w:rFonts w:hint="eastAsia" w:ascii="仿宋" w:eastAsia="仿宋"/>
          <w:color w:val="000000"/>
          <w:sz w:val="32"/>
          <w:szCs w:val="32"/>
          <w:lang w:val="en-US" w:eastAsia="zh-CN"/>
        </w:rPr>
        <w:t>36.8</w:t>
      </w:r>
      <w:r>
        <w:rPr>
          <w:rFonts w:hint="eastAsia" w:ascii="仿宋" w:eastAsia="仿宋"/>
          <w:color w:val="000000"/>
          <w:sz w:val="32"/>
          <w:szCs w:val="32"/>
        </w:rPr>
        <w:t>万元、维修（护）费</w:t>
      </w:r>
      <w:r>
        <w:rPr>
          <w:rFonts w:hint="eastAsia" w:ascii="仿宋" w:eastAsia="仿宋"/>
          <w:color w:val="000000"/>
          <w:sz w:val="32"/>
          <w:szCs w:val="32"/>
          <w:lang w:val="en-US" w:eastAsia="zh-CN"/>
        </w:rPr>
        <w:t>0.24</w:t>
      </w:r>
      <w:r>
        <w:rPr>
          <w:rFonts w:hint="eastAsia" w:ascii="仿宋" w:eastAsia="仿宋"/>
          <w:color w:val="000000"/>
          <w:sz w:val="32"/>
          <w:szCs w:val="32"/>
        </w:rPr>
        <w:t>万元、会议费</w:t>
      </w:r>
      <w:r>
        <w:rPr>
          <w:rFonts w:hint="eastAsia" w:ascii="仿宋" w:eastAsia="仿宋"/>
          <w:color w:val="000000"/>
          <w:sz w:val="32"/>
          <w:szCs w:val="32"/>
          <w:lang w:val="en-US" w:eastAsia="zh-CN"/>
        </w:rPr>
        <w:t>0.05</w:t>
      </w:r>
      <w:r>
        <w:rPr>
          <w:rFonts w:hint="eastAsia" w:ascii="仿宋" w:eastAsia="仿宋"/>
          <w:color w:val="000000"/>
          <w:sz w:val="32"/>
          <w:szCs w:val="32"/>
        </w:rPr>
        <w:t>万元、</w:t>
      </w:r>
      <w:r>
        <w:rPr>
          <w:rFonts w:hint="eastAsia" w:ascii="仿宋" w:eastAsia="仿宋"/>
          <w:color w:val="000000"/>
          <w:sz w:val="32"/>
          <w:szCs w:val="32"/>
          <w:lang w:eastAsia="zh-CN"/>
        </w:rPr>
        <w:t>劳务</w:t>
      </w:r>
      <w:r>
        <w:rPr>
          <w:rFonts w:hint="eastAsia" w:ascii="仿宋" w:eastAsia="仿宋"/>
          <w:color w:val="000000"/>
          <w:sz w:val="32"/>
          <w:szCs w:val="32"/>
        </w:rPr>
        <w:t>费</w:t>
      </w:r>
      <w:r>
        <w:rPr>
          <w:rFonts w:hint="eastAsia" w:ascii="仿宋" w:eastAsia="仿宋"/>
          <w:color w:val="000000"/>
          <w:sz w:val="32"/>
          <w:szCs w:val="32"/>
          <w:lang w:val="en-US" w:eastAsia="zh-CN"/>
        </w:rPr>
        <w:t>1.51</w:t>
      </w:r>
      <w:r>
        <w:rPr>
          <w:rFonts w:hint="eastAsia" w:ascii="仿宋" w:eastAsia="仿宋"/>
          <w:color w:val="000000"/>
          <w:sz w:val="32"/>
          <w:szCs w:val="32"/>
        </w:rPr>
        <w:t>万元、福利费</w:t>
      </w:r>
      <w:r>
        <w:rPr>
          <w:rFonts w:hint="eastAsia" w:ascii="仿宋" w:eastAsia="仿宋"/>
          <w:color w:val="000000"/>
          <w:sz w:val="32"/>
          <w:szCs w:val="32"/>
          <w:lang w:val="en-US" w:eastAsia="zh-CN"/>
        </w:rPr>
        <w:t>2.51</w:t>
      </w:r>
      <w:r>
        <w:rPr>
          <w:rFonts w:hint="eastAsia" w:ascii="仿宋" w:eastAsia="仿宋"/>
          <w:color w:val="000000"/>
          <w:sz w:val="32"/>
          <w:szCs w:val="32"/>
        </w:rPr>
        <w:t>万元、公务用车运行维护费</w:t>
      </w:r>
      <w:r>
        <w:rPr>
          <w:rFonts w:hint="eastAsia" w:ascii="仿宋" w:eastAsia="仿宋"/>
          <w:color w:val="000000"/>
          <w:sz w:val="32"/>
          <w:szCs w:val="32"/>
          <w:lang w:val="en-US" w:eastAsia="zh-CN"/>
        </w:rPr>
        <w:t>50.1</w:t>
      </w:r>
      <w:r>
        <w:rPr>
          <w:rFonts w:hint="eastAsia" w:ascii="仿宋" w:eastAsia="仿宋"/>
          <w:color w:val="000000"/>
          <w:sz w:val="32"/>
          <w:szCs w:val="32"/>
        </w:rPr>
        <w:t>万元</w:t>
      </w:r>
      <w:r>
        <w:rPr>
          <w:rFonts w:hint="eastAsia" w:ascii="仿宋" w:eastAsia="仿宋"/>
          <w:color w:val="000000"/>
          <w:sz w:val="32"/>
          <w:szCs w:val="32"/>
          <w:lang w:eastAsia="zh-CN"/>
        </w:rPr>
        <w:t>。</w:t>
      </w:r>
    </w:p>
    <w:p>
      <w:pPr>
        <w:spacing w:line="600" w:lineRule="exact"/>
        <w:ind w:firstLine="640" w:firstLineChars="200"/>
        <w:outlineLvl w:val="1"/>
        <w:rPr>
          <w:rStyle w:val="18"/>
          <w:rFonts w:ascii="黑体" w:eastAsia="黑体"/>
          <w:b w:val="0"/>
        </w:rPr>
      </w:pPr>
      <w:bookmarkStart w:id="50" w:name="_Toc15396609"/>
      <w:bookmarkStart w:id="51"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50"/>
      <w:bookmarkEnd w:id="51"/>
    </w:p>
    <w:p>
      <w:pPr>
        <w:spacing w:line="600" w:lineRule="exact"/>
        <w:ind w:firstLine="640"/>
        <w:outlineLvl w:val="2"/>
        <w:rPr>
          <w:rFonts w:ascii="仿宋" w:eastAsia="仿宋"/>
          <w:b/>
          <w:color w:val="000000"/>
          <w:sz w:val="32"/>
          <w:szCs w:val="32"/>
        </w:rPr>
      </w:pPr>
      <w:bookmarkStart w:id="52" w:name="_Toc15377216"/>
      <w:r>
        <w:rPr>
          <w:rFonts w:hint="eastAsia" w:ascii="仿宋" w:eastAsia="仿宋"/>
          <w:b/>
          <w:color w:val="000000"/>
          <w:sz w:val="32"/>
          <w:szCs w:val="32"/>
        </w:rPr>
        <w:t>（一）“三公”经费财政拨款支出决算总体情况说明</w:t>
      </w:r>
      <w:bookmarkEnd w:id="52"/>
    </w:p>
    <w:p>
      <w:pPr>
        <w:spacing w:line="600" w:lineRule="exact"/>
        <w:ind w:firstLine="640"/>
        <w:rPr>
          <w:rFonts w:ascii="仿宋" w:eastAsia="仿宋"/>
          <w:color w:val="auto"/>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50.1</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auto"/>
          <w:sz w:val="32"/>
          <w:szCs w:val="32"/>
        </w:rPr>
        <w:t>决算数与预算数持平。</w:t>
      </w:r>
    </w:p>
    <w:p>
      <w:pPr>
        <w:spacing w:line="600" w:lineRule="exact"/>
        <w:ind w:firstLine="640"/>
        <w:outlineLvl w:val="2"/>
        <w:rPr>
          <w:rFonts w:ascii="仿宋" w:eastAsia="仿宋"/>
          <w:b/>
          <w:color w:val="000000"/>
          <w:sz w:val="32"/>
          <w:szCs w:val="32"/>
        </w:rPr>
      </w:pPr>
      <w:bookmarkStart w:id="53" w:name="_Toc15377217"/>
      <w:r>
        <w:rPr>
          <w:rFonts w:hint="eastAsia" w:ascii="仿宋" w:eastAsia="仿宋"/>
          <w:b/>
          <w:color w:val="000000"/>
          <w:sz w:val="32"/>
          <w:szCs w:val="32"/>
        </w:rPr>
        <w:t>（二）“三公”经费财政拨款支出决算具体情况说明</w:t>
      </w:r>
      <w:bookmarkEnd w:id="53"/>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50.1</w:t>
      </w:r>
      <w:r>
        <w:rPr>
          <w:rFonts w:hint="eastAsia" w:ascii="仿宋" w:eastAsia="仿宋"/>
          <w:sz w:val="32"/>
          <w:szCs w:val="32"/>
        </w:rPr>
        <w:t>万元</w:t>
      </w:r>
      <w:r>
        <w:rPr>
          <w:rFonts w:hint="eastAsia" w:ascii="仿宋" w:eastAsia="仿宋"/>
          <w:color w:val="000000"/>
          <w:sz w:val="32"/>
          <w:szCs w:val="32"/>
        </w:rPr>
        <w:t>，其中：因公出国（境）费支出决算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50.1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Style w:val="15"/>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增加0万元</w:t>
      </w:r>
      <w:r>
        <w:rPr>
          <w:rFonts w:hint="eastAsia" w:ascii="仿宋_GB2312" w:eastAsia="仿宋_GB2312" w:cs="仿宋"/>
          <w:color w:val="000000"/>
          <w:sz w:val="32"/>
          <w:szCs w:val="32"/>
        </w:rPr>
        <w:t>。</w:t>
      </w:r>
    </w:p>
    <w:p>
      <w:pPr>
        <w:spacing w:line="600" w:lineRule="exact"/>
        <w:ind w:firstLine="640"/>
        <w:rPr>
          <w:rFonts w:ascii="仿宋_GB2312" w:eastAsia="仿宋_GB2312"/>
          <w:b/>
          <w:color w:val="FF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lang w:val="en-US" w:eastAsia="zh-CN"/>
        </w:rPr>
        <w:t>50.1</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11.81</w:t>
      </w:r>
      <w:r>
        <w:rPr>
          <w:rFonts w:hint="eastAsia" w:ascii="仿宋_GB2312" w:eastAsia="仿宋_GB2312"/>
          <w:color w:val="000000"/>
          <w:sz w:val="32"/>
          <w:szCs w:val="32"/>
        </w:rPr>
        <w:t>万元，</w:t>
      </w:r>
      <w:r>
        <w:rPr>
          <w:rFonts w:hint="eastAsia" w:ascii="仿宋_GB2312" w:eastAsia="仿宋_GB2312"/>
          <w:color w:val="auto"/>
          <w:sz w:val="32"/>
          <w:szCs w:val="32"/>
          <w:lang w:eastAsia="zh-CN"/>
        </w:rPr>
        <w:t>降低</w:t>
      </w:r>
      <w:r>
        <w:rPr>
          <w:rFonts w:hint="eastAsia" w:ascii="仿宋_GB2312" w:eastAsia="仿宋_GB2312"/>
          <w:color w:val="auto"/>
          <w:sz w:val="32"/>
          <w:szCs w:val="32"/>
          <w:lang w:val="en-US" w:eastAsia="zh-CN"/>
        </w:rPr>
        <w:t>19.08%，主要有因是节约开支</w:t>
      </w:r>
      <w:r>
        <w:rPr>
          <w:rFonts w:hint="eastAsia" w:ascii="仿宋_GB2312" w:eastAsia="仿宋_GB2312"/>
          <w:color w:val="auto"/>
          <w:sz w:val="32"/>
          <w:szCs w:val="32"/>
        </w:rPr>
        <w:t>。</w:t>
      </w:r>
    </w:p>
    <w:p>
      <w:pPr>
        <w:autoSpaceDE w:val="0"/>
        <w:autoSpaceDN w:val="0"/>
        <w:adjustRightInd w:val="0"/>
        <w:spacing w:line="600" w:lineRule="exact"/>
        <w:ind w:firstLine="640" w:firstLineChars="200"/>
        <w:jc w:val="left"/>
        <w:rPr>
          <w:rFonts w:ascii="仿宋_GB2312" w:eastAsia="仿宋_GB2312"/>
          <w:b/>
          <w:color w:val="auto"/>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辆、执法执勤用车0辆、特种专业技术用车0辆、离退休干部用车0辆、</w:t>
      </w:r>
      <w:r>
        <w:rPr>
          <w:rFonts w:hint="eastAsia" w:ascii="仿宋_GB2312" w:eastAsia="仿宋_GB2312"/>
          <w:color w:val="auto"/>
          <w:sz w:val="32"/>
          <w:szCs w:val="32"/>
        </w:rPr>
        <w:t>其他用车</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50.1</w:t>
      </w:r>
      <w:r>
        <w:rPr>
          <w:rFonts w:hint="eastAsia" w:ascii="仿宋_GB2312" w:eastAsia="仿宋_GB2312"/>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eastAsia="zh-CN"/>
        </w:rPr>
        <w:t>于</w:t>
      </w:r>
      <w:r>
        <w:rPr>
          <w:rFonts w:hint="eastAsia" w:ascii="仿宋_GB2312" w:eastAsia="仿宋_GB2312"/>
          <w:color w:val="000000"/>
          <w:sz w:val="32"/>
          <w:szCs w:val="32"/>
        </w:rPr>
        <w:t>我单位所需的公务用车燃料费、维修费、过路过桥费、保险费等支出。</w:t>
      </w:r>
    </w:p>
    <w:p>
      <w:pPr>
        <w:numPr>
          <w:ilvl w:val="0"/>
          <w:numId w:val="2"/>
        </w:numPr>
        <w:spacing w:line="600" w:lineRule="exact"/>
        <w:ind w:left="0"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w:t>
      </w:r>
      <w:r>
        <w:rPr>
          <w:rFonts w:hint="eastAsia" w:ascii="仿宋_GB2312" w:eastAsia="仿宋_GB2312" w:cs="仿宋"/>
          <w:color w:val="000000"/>
          <w:sz w:val="32"/>
          <w:szCs w:val="32"/>
          <w:lang w:val="en-US" w:eastAsia="zh-CN"/>
        </w:rPr>
        <w:t>0</w:t>
      </w:r>
      <w:r>
        <w:rPr>
          <w:rFonts w:hint="eastAsia" w:ascii="仿宋_GB2312" w:eastAsia="仿宋_GB2312" w:cs="仿宋"/>
          <w:color w:val="000000"/>
          <w:sz w:val="32"/>
          <w:szCs w:val="32"/>
        </w:rPr>
        <w:t>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54" w:name="_Toc15377218"/>
      <w:bookmarkStart w:id="55" w:name="_Toc15396610"/>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54"/>
      <w:bookmarkEnd w:id="5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年政府性基金预算拨款支出0万元。</w:t>
      </w:r>
    </w:p>
    <w:p>
      <w:pPr>
        <w:numPr>
          <w:ilvl w:val="0"/>
          <w:numId w:val="3"/>
        </w:numPr>
        <w:spacing w:line="600" w:lineRule="exact"/>
        <w:ind w:left="0" w:firstLine="640"/>
        <w:outlineLvl w:val="1"/>
        <w:rPr>
          <w:rStyle w:val="18"/>
          <w:rFonts w:ascii="黑体" w:eastAsia="黑体"/>
          <w:b w:val="0"/>
        </w:rPr>
      </w:pPr>
      <w:bookmarkStart w:id="56" w:name="_Toc15377219"/>
      <w:bookmarkStart w:id="57" w:name="_Toc15396611"/>
      <w:bookmarkStart w:id="58" w:name="_Toc98838277"/>
      <w:r>
        <w:rPr>
          <w:rStyle w:val="18"/>
          <w:rFonts w:hint="eastAsia" w:ascii="黑体" w:eastAsia="黑体"/>
          <w:b w:val="0"/>
        </w:rPr>
        <w:t>国有资本经营预算支出决算情况说明</w:t>
      </w:r>
      <w:bookmarkEnd w:id="56"/>
      <w:bookmarkEnd w:id="57"/>
    </w:p>
    <w:bookmarkEnd w:id="58"/>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年国有资本经营预算拨款支出0万元。</w:t>
      </w:r>
    </w:p>
    <w:p>
      <w:pPr>
        <w:pStyle w:val="23"/>
        <w:numPr>
          <w:ilvl w:val="0"/>
          <w:numId w:val="4"/>
        </w:numPr>
        <w:spacing w:line="580" w:lineRule="exact"/>
        <w:ind w:firstLineChars="0"/>
        <w:rPr>
          <w:rStyle w:val="18"/>
          <w:rFonts w:ascii="黑体" w:eastAsia="黑体"/>
          <w:b w:val="0"/>
        </w:rPr>
      </w:pPr>
      <w:bookmarkStart w:id="59" w:name="_Toc98838278"/>
      <w:r>
        <w:rPr>
          <w:rStyle w:val="18"/>
          <w:rFonts w:hint="eastAsia" w:ascii="黑体" w:eastAsia="黑体"/>
          <w:b w:val="0"/>
        </w:rPr>
        <w:t>预算绩效情况说明</w:t>
      </w:r>
    </w:p>
    <w:bookmarkEnd w:id="59"/>
    <w:p>
      <w:pPr>
        <w:numPr>
          <w:ilvl w:val="0"/>
          <w:numId w:val="5"/>
        </w:numPr>
        <w:spacing w:line="580" w:lineRule="exact"/>
        <w:ind w:left="0" w:firstLine="643" w:firstLineChars="200"/>
        <w:rPr>
          <w:rFonts w:ascii="仿宋" w:eastAsia="仿宋" w:cs="楷体_GB2312"/>
          <w:b/>
          <w:bCs/>
          <w:sz w:val="32"/>
          <w:szCs w:val="32"/>
        </w:rPr>
      </w:pPr>
      <w:bookmarkStart w:id="60" w:name="_Toc15377225"/>
      <w:bookmarkStart w:id="61" w:name="_Toc15396613"/>
      <w:r>
        <w:rPr>
          <w:rFonts w:hint="eastAsia" w:ascii="仿宋" w:eastAsia="仿宋" w:cs="楷体_GB2312"/>
          <w:b/>
          <w:bCs/>
          <w:sz w:val="32"/>
          <w:szCs w:val="32"/>
        </w:rPr>
        <w:t>预算绩效管理工作开展情况。</w:t>
      </w:r>
    </w:p>
    <w:p>
      <w:pPr>
        <w:rPr>
          <w:rFonts w:hint="eastAsia" w:ascii="Calibri" w:hAnsi="Calibri" w:eastAsia="仿宋_GB2312"/>
          <w:lang w:eastAsia="zh-CN"/>
        </w:rPr>
      </w:pPr>
      <w:r>
        <w:rPr>
          <w:rFonts w:hint="eastAsia" w:ascii="仿宋_GB2312" w:eastAsia="仿宋_GB2312" w:cs="仿宋_GB2312"/>
          <w:color w:val="FF0000"/>
          <w:sz w:val="32"/>
          <w:szCs w:val="32"/>
          <w:lang w:eastAsia="zh-CN"/>
        </w:rPr>
        <w:t>　　</w:t>
      </w:r>
      <w:r>
        <w:rPr>
          <w:rFonts w:hint="eastAsia" w:ascii="仿宋_GB2312" w:eastAsia="仿宋_GB2312" w:cs="仿宋_GB2312"/>
          <w:color w:val="auto"/>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单位在年初预算编制阶段，开展了预算事前绩效评估，编制了</w:t>
      </w:r>
      <w:r>
        <w:rPr>
          <w:rFonts w:hint="eastAsia" w:ascii="仿宋_GB2312" w:eastAsia="仿宋_GB2312" w:cs="仿宋_GB2312"/>
          <w:sz w:val="32"/>
          <w:szCs w:val="32"/>
          <w:lang w:eastAsia="zh-CN"/>
        </w:rPr>
        <w:t>部门整体</w:t>
      </w:r>
      <w:r>
        <w:rPr>
          <w:rFonts w:hint="eastAsia" w:ascii="仿宋_GB2312" w:eastAsia="仿宋_GB2312" w:cs="仿宋_GB2312"/>
          <w:sz w:val="32"/>
          <w:szCs w:val="32"/>
        </w:rPr>
        <w:t>绩效目标</w:t>
      </w:r>
      <w:r>
        <w:rPr>
          <w:rFonts w:hint="eastAsia" w:ascii="仿宋_GB2312" w:eastAsia="仿宋_GB2312" w:cs="仿宋_GB2312"/>
          <w:sz w:val="32"/>
          <w:szCs w:val="32"/>
          <w:lang w:eastAsia="zh-CN"/>
        </w:rPr>
        <w:t>。</w:t>
      </w:r>
    </w:p>
    <w:p>
      <w:pPr>
        <w:numPr>
          <w:ilvl w:val="0"/>
          <w:numId w:val="5"/>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金川县人大常委会办公室</w:t>
      </w:r>
      <w:r>
        <w:rPr>
          <w:rFonts w:hint="eastAsia" w:ascii="仿宋_GB2312" w:eastAsia="仿宋_GB2312"/>
          <w:sz w:val="32"/>
          <w:szCs w:val="32"/>
          <w:lang w:val="en-US" w:eastAsia="zh-CN"/>
        </w:rPr>
        <w:t>2021</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pStyle w:val="23"/>
        <w:numPr>
          <w:ilvl w:val="0"/>
          <w:numId w:val="4"/>
        </w:numPr>
        <w:spacing w:line="580" w:lineRule="exact"/>
        <w:ind w:firstLineChars="0"/>
        <w:rPr>
          <w:rStyle w:val="18"/>
          <w:rFonts w:ascii="黑体" w:eastAsia="黑体"/>
        </w:rPr>
      </w:pPr>
      <w:bookmarkStart w:id="62" w:name="_Toc15377221"/>
      <w:bookmarkStart w:id="63" w:name="_Toc15396612"/>
      <w:bookmarkStart w:id="64" w:name="_Toc98838279"/>
      <w:r>
        <w:rPr>
          <w:rStyle w:val="18"/>
          <w:rFonts w:hint="eastAsia" w:ascii="黑体" w:eastAsia="黑体"/>
          <w:b w:val="0"/>
        </w:rPr>
        <w:t>其他重要事项的情况说明</w:t>
      </w:r>
      <w:bookmarkEnd w:id="62"/>
      <w:bookmarkEnd w:id="63"/>
    </w:p>
    <w:bookmarkEnd w:id="64"/>
    <w:p>
      <w:pPr>
        <w:spacing w:line="600" w:lineRule="exact"/>
        <w:ind w:firstLine="643" w:firstLineChars="200"/>
        <w:outlineLvl w:val="2"/>
        <w:rPr>
          <w:rFonts w:ascii="仿宋" w:eastAsia="仿宋"/>
          <w:color w:val="000000"/>
          <w:sz w:val="32"/>
          <w:szCs w:val="32"/>
        </w:rPr>
      </w:pPr>
      <w:bookmarkStart w:id="65" w:name="_Toc15377222"/>
      <w:r>
        <w:rPr>
          <w:rFonts w:hint="eastAsia" w:ascii="仿宋" w:eastAsia="仿宋"/>
          <w:b/>
          <w:color w:val="000000"/>
          <w:sz w:val="32"/>
          <w:szCs w:val="32"/>
        </w:rPr>
        <w:t>（一）机关运行经费支出情况</w:t>
      </w:r>
      <w:bookmarkEnd w:id="65"/>
    </w:p>
    <w:p>
      <w:pPr>
        <w:spacing w:line="600" w:lineRule="exact"/>
        <w:ind w:firstLine="640" w:firstLineChars="200"/>
        <w:rPr>
          <w:rFonts w:ascii="仿宋_GB2312" w:eastAsia="仿宋_GB2312"/>
          <w:color w:val="auto"/>
          <w:sz w:val="32"/>
          <w:szCs w:val="32"/>
          <w:lang w:val="en-US" w:eastAsia="zh-CN"/>
        </w:rPr>
      </w:pPr>
      <w:r>
        <w:rPr>
          <w:rFonts w:hint="eastAsia" w:ascii="仿宋_GB2312" w:eastAsia="仿宋_GB2312"/>
          <w:color w:val="auto"/>
          <w:sz w:val="32"/>
          <w:szCs w:val="32"/>
          <w:lang w:eastAsia="zh-CN"/>
        </w:rPr>
        <w:t>2020</w:t>
      </w:r>
      <w:r>
        <w:rPr>
          <w:rFonts w:hint="eastAsia" w:ascii="仿宋_GB2312" w:eastAsia="仿宋_GB2312"/>
          <w:color w:val="auto"/>
          <w:sz w:val="32"/>
          <w:szCs w:val="32"/>
        </w:rPr>
        <w:t>年，</w:t>
      </w:r>
      <w:r>
        <w:rPr>
          <w:rFonts w:hint="eastAsia" w:ascii="仿宋_GB2312" w:eastAsia="仿宋_GB2312"/>
          <w:color w:val="auto"/>
          <w:sz w:val="32"/>
          <w:szCs w:val="32"/>
          <w:lang w:eastAsia="zh-CN"/>
        </w:rPr>
        <w:t>县人大办</w:t>
      </w:r>
      <w:r>
        <w:rPr>
          <w:rFonts w:hint="eastAsia" w:ascii="仿宋_GB2312" w:eastAsia="仿宋_GB2312"/>
          <w:color w:val="auto"/>
          <w:sz w:val="32"/>
          <w:szCs w:val="32"/>
        </w:rPr>
        <w:t>运行经费支出</w:t>
      </w:r>
      <w:r>
        <w:rPr>
          <w:rFonts w:hint="eastAsia" w:ascii="仿宋_GB2312" w:eastAsia="仿宋_GB2312"/>
          <w:color w:val="auto"/>
          <w:sz w:val="32"/>
          <w:szCs w:val="32"/>
          <w:lang w:val="en-US" w:eastAsia="zh-CN"/>
        </w:rPr>
        <w:t>127.34</w:t>
      </w:r>
      <w:r>
        <w:rPr>
          <w:rFonts w:hint="eastAsia" w:ascii="仿宋_GB2312" w:eastAsia="仿宋_GB2312"/>
          <w:color w:val="auto"/>
          <w:sz w:val="32"/>
          <w:szCs w:val="32"/>
        </w:rPr>
        <w:t>万元，比</w:t>
      </w:r>
      <w:r>
        <w:rPr>
          <w:rFonts w:hint="eastAsia" w:ascii="仿宋_GB2312" w:eastAsia="仿宋_GB2312"/>
          <w:color w:val="auto"/>
          <w:sz w:val="32"/>
          <w:szCs w:val="32"/>
          <w:lang w:eastAsia="zh-CN"/>
        </w:rPr>
        <w:t>2019</w:t>
      </w:r>
      <w:r>
        <w:rPr>
          <w:rFonts w:hint="eastAsia" w:ascii="仿宋_GB2312" w:eastAsia="仿宋_GB2312"/>
          <w:color w:val="auto"/>
          <w:sz w:val="32"/>
          <w:szCs w:val="32"/>
        </w:rPr>
        <w:t>年</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142.38</w:t>
      </w:r>
      <w:r>
        <w:rPr>
          <w:rFonts w:hint="eastAsia" w:ascii="仿宋_GB2312" w:eastAsia="仿宋_GB2312"/>
          <w:color w:val="auto"/>
          <w:sz w:val="32"/>
          <w:szCs w:val="32"/>
        </w:rPr>
        <w:t>万元，</w:t>
      </w:r>
      <w:r>
        <w:rPr>
          <w:rFonts w:hint="eastAsia" w:ascii="仿宋_GB2312" w:eastAsia="仿宋_GB2312"/>
          <w:color w:val="auto"/>
          <w:sz w:val="32"/>
          <w:szCs w:val="32"/>
          <w:lang w:eastAsia="zh-CN"/>
        </w:rPr>
        <w:t>降低</w:t>
      </w:r>
      <w:r>
        <w:rPr>
          <w:rFonts w:hint="eastAsia" w:ascii="仿宋_GB2312" w:eastAsia="仿宋_GB2312"/>
          <w:color w:val="auto"/>
          <w:sz w:val="32"/>
          <w:szCs w:val="32"/>
          <w:lang w:val="en-US" w:eastAsia="zh-CN"/>
        </w:rPr>
        <w:t>10.56</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2020年厉行节约控制支出。</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66" w:name="_Toc15377223"/>
      <w:r>
        <w:rPr>
          <w:rFonts w:hint="eastAsia" w:ascii="仿宋" w:eastAsia="仿宋"/>
          <w:b/>
          <w:color w:val="000000"/>
          <w:sz w:val="32"/>
          <w:szCs w:val="32"/>
        </w:rPr>
        <w:t>（二）政府采购支出情况</w:t>
      </w:r>
      <w:bookmarkEnd w:id="66"/>
    </w:p>
    <w:p>
      <w:pPr>
        <w:spacing w:line="600" w:lineRule="exact"/>
        <w:ind w:firstLine="640" w:firstLineChars="200"/>
        <w:rPr>
          <w:rFonts w:ascii="仿宋" w:eastAsia="仿宋"/>
          <w:b/>
          <w:color w:val="FF0000"/>
          <w:sz w:val="32"/>
          <w:szCs w:val="32"/>
          <w:lang w:val="en-US" w:eastAsia="zh-CN"/>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23.93</w:t>
      </w:r>
      <w:r>
        <w:rPr>
          <w:rFonts w:hint="eastAsia" w:ascii="仿宋_GB2312" w:eastAsia="仿宋_GB2312"/>
          <w:color w:val="000000"/>
          <w:sz w:val="32"/>
          <w:szCs w:val="32"/>
        </w:rPr>
        <w:t>万元，主要用于购买预算联网监督软件</w:t>
      </w:r>
      <w:r>
        <w:rPr>
          <w:rFonts w:hint="eastAsia" w:ascii="仿宋_GB2312" w:eastAsia="仿宋_GB2312"/>
          <w:color w:val="auto"/>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67" w:name="_Toc15377224"/>
      <w:r>
        <w:rPr>
          <w:rFonts w:hint="eastAsia" w:ascii="仿宋" w:eastAsia="仿宋"/>
          <w:b/>
          <w:color w:val="000000"/>
          <w:sz w:val="32"/>
          <w:szCs w:val="32"/>
        </w:rPr>
        <w:t>（三）国有资产占有使用情况</w:t>
      </w:r>
      <w:bookmarkEnd w:id="67"/>
    </w:p>
    <w:p>
      <w:pPr>
        <w:widowControl/>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widowControl/>
        <w:jc w:val="left"/>
        <w:rPr>
          <w:rFonts w:hint="eastAsia" w:ascii="仿宋_GB2312" w:eastAsia="仿宋_GB2312"/>
          <w:b/>
          <w:color w:val="000000"/>
          <w:sz w:val="32"/>
          <w:szCs w:val="32"/>
          <w:lang w:val="en-US" w:eastAsia="zh-CN"/>
        </w:rPr>
      </w:pPr>
    </w:p>
    <w:p>
      <w:pPr>
        <w:widowControl/>
        <w:jc w:val="left"/>
        <w:rPr>
          <w:rFonts w:hint="eastAsia" w:ascii="仿宋_GB2312" w:eastAsia="仿宋_GB2312"/>
          <w:b/>
          <w:color w:val="000000"/>
          <w:sz w:val="32"/>
          <w:szCs w:val="32"/>
          <w:lang w:val="en-US" w:eastAsia="zh-CN"/>
        </w:rPr>
      </w:pPr>
    </w:p>
    <w:p>
      <w:pPr>
        <w:widowControl/>
        <w:jc w:val="left"/>
        <w:rPr>
          <w:rFonts w:hint="eastAsia" w:ascii="仿宋_GB2312" w:eastAsia="仿宋_GB2312"/>
          <w:b/>
          <w:color w:val="000000"/>
          <w:sz w:val="32"/>
          <w:szCs w:val="32"/>
          <w:lang w:val="en-US" w:eastAsia="zh-CN"/>
        </w:rPr>
      </w:pPr>
    </w:p>
    <w:p>
      <w:pPr>
        <w:widowControl/>
        <w:jc w:val="left"/>
        <w:rPr>
          <w:rFonts w:hint="eastAsia" w:ascii="仿宋_GB2312" w:eastAsia="仿宋_GB2312"/>
          <w:b/>
          <w:color w:val="000000"/>
          <w:sz w:val="32"/>
          <w:szCs w:val="32"/>
          <w:lang w:val="en-US" w:eastAsia="zh-CN"/>
        </w:rPr>
      </w:pPr>
    </w:p>
    <w:p>
      <w:pPr>
        <w:widowControl/>
        <w:jc w:val="left"/>
        <w:rPr>
          <w:rFonts w:hint="eastAsia" w:ascii="仿宋_GB2312" w:eastAsia="仿宋_GB2312"/>
          <w:b/>
          <w:color w:val="000000"/>
          <w:sz w:val="32"/>
          <w:szCs w:val="32"/>
          <w:lang w:val="en-US" w:eastAsia="zh-CN"/>
        </w:rPr>
      </w:pPr>
    </w:p>
    <w:p>
      <w:pPr>
        <w:widowControl/>
        <w:jc w:val="left"/>
        <w:rPr>
          <w:rFonts w:hint="eastAsia" w:ascii="仿宋_GB2312" w:eastAsia="仿宋_GB2312"/>
          <w:b/>
          <w:color w:val="000000"/>
          <w:sz w:val="32"/>
          <w:szCs w:val="32"/>
          <w:lang w:val="en-US" w:eastAsia="zh-CN"/>
        </w:rPr>
      </w:pPr>
    </w:p>
    <w:p>
      <w:pPr>
        <w:widowControl/>
        <w:jc w:val="left"/>
        <w:rPr>
          <w:rFonts w:hint="eastAsia" w:ascii="仿宋_GB2312" w:eastAsia="仿宋_GB2312"/>
          <w:b/>
          <w:color w:val="000000"/>
          <w:sz w:val="32"/>
          <w:szCs w:val="32"/>
          <w:lang w:val="en-US" w:eastAsia="zh-CN"/>
        </w:rPr>
      </w:pPr>
    </w:p>
    <w:p>
      <w:pPr>
        <w:widowControl/>
        <w:ind w:firstLine="643" w:firstLineChars="200"/>
        <w:jc w:val="left"/>
        <w:rPr>
          <w:rFonts w:hint="eastAsia" w:ascii="仿宋_GB2312" w:eastAsia="仿宋_GB2312"/>
          <w:b/>
          <w:color w:val="000000"/>
          <w:sz w:val="32"/>
          <w:szCs w:val="32"/>
          <w:lang w:val="en-US" w:eastAsia="zh-CN"/>
        </w:rPr>
      </w:pPr>
    </w:p>
    <w:p>
      <w:pPr>
        <w:numPr>
          <w:ilvl w:val="0"/>
          <w:numId w:val="6"/>
        </w:numPr>
        <w:spacing w:line="600" w:lineRule="exact"/>
        <w:ind w:left="0" w:firstLine="663" w:firstLineChars="150"/>
        <w:jc w:val="center"/>
        <w:outlineLvl w:val="0"/>
        <w:rPr>
          <w:rStyle w:val="17"/>
          <w:rFonts w:ascii="黑体" w:eastAsia="黑体"/>
          <w:b w:val="0"/>
        </w:rPr>
      </w:pPr>
      <w:r>
        <w:rPr>
          <w:rFonts w:hint="eastAsia" w:ascii="黑体" w:eastAsia="黑体"/>
          <w:b/>
          <w:color w:val="000000"/>
          <w:sz w:val="44"/>
          <w:szCs w:val="44"/>
        </w:rPr>
        <w:t>名</w:t>
      </w:r>
      <w:r>
        <w:rPr>
          <w:rStyle w:val="17"/>
          <w:rFonts w:hint="eastAsia" w:ascii="黑体" w:eastAsia="黑体"/>
          <w:b w:val="0"/>
        </w:rPr>
        <w:t>词解释</w:t>
      </w:r>
      <w:bookmarkEnd w:id="60"/>
      <w:bookmarkEnd w:id="61"/>
    </w:p>
    <w:p>
      <w:pPr>
        <w:pStyle w:val="22"/>
        <w:spacing w:line="560" w:lineRule="exact"/>
        <w:ind w:firstLine="640" w:firstLineChars="200"/>
        <w:rPr>
          <w:rFonts w:ascii="仿宋_GB2312" w:eastAsia="仿宋_GB2312"/>
          <w:sz w:val="32"/>
          <w:szCs w:val="32"/>
        </w:rPr>
      </w:pPr>
      <w:bookmarkStart w:id="68" w:name="_Toc15377226"/>
      <w:bookmarkStart w:id="69" w:name="_Toc15396614"/>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一般公共服务支出（类）政协事务（款）行政运行（项）：指行政单位的基本支出</w:t>
      </w:r>
      <w:r>
        <w:rPr>
          <w:rFonts w:hint="eastAsia" w:ascii="仿宋_GB2312" w:eastAsia="仿宋_GB2312"/>
          <w:color w:val="000000"/>
          <w:sz w:val="32"/>
          <w:szCs w:val="32"/>
        </w:rPr>
        <w:t>。</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olor w:val="000000"/>
          <w:sz w:val="32"/>
          <w:szCs w:val="32"/>
          <w:lang w:val="en-US" w:eastAsia="zh-CN"/>
        </w:rPr>
        <w:t>9.</w:t>
      </w:r>
      <w:r>
        <w:rPr>
          <w:rFonts w:hint="eastAsia" w:ascii="仿宋_GB2312" w:eastAsia="仿宋_GB2312" w:cs="仿宋"/>
          <w:color w:val="000000"/>
          <w:kern w:val="0"/>
          <w:sz w:val="32"/>
          <w:szCs w:val="32"/>
          <w:lang w:val="en-US" w:eastAsia="zh-CN" w:bidi="ar-SA"/>
        </w:rPr>
        <w:t>一般公共服务支出（类）政协事务（款）政协会议（项）：反映各级政协召开政治协商等专门会议的支出。</w:t>
      </w:r>
    </w:p>
    <w:p>
      <w:pPr>
        <w:ind w:firstLine="640" w:firstLineChars="200"/>
        <w:rPr>
          <w:rFonts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10.一般公共服务支出（类）政协事务（款）委员视察（项）：反映政协委员开展各类视察的支出。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公共卫生</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突发公共卫生事件应急处理</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反映用于突发公共卫生事件应急处理的支出。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hint="eastAsia"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both"/>
        <w:outlineLvl w:val="0"/>
        <w:rPr>
          <w:rFonts w:ascii="黑体" w:eastAsia="黑体"/>
          <w:color w:val="000000"/>
          <w:sz w:val="44"/>
          <w:szCs w:val="44"/>
        </w:rPr>
      </w:pPr>
    </w:p>
    <w:bookmarkEnd w:id="68"/>
    <w:bookmarkEnd w:id="69"/>
    <w:p>
      <w:pPr>
        <w:spacing w:line="600" w:lineRule="exact"/>
        <w:jc w:val="both"/>
        <w:outlineLvl w:val="0"/>
        <w:rPr>
          <w:rFonts w:ascii="黑体" w:eastAsia="黑体"/>
          <w:color w:val="000000"/>
          <w:sz w:val="44"/>
          <w:szCs w:val="44"/>
        </w:rPr>
      </w:pPr>
      <w:bookmarkStart w:id="70" w:name="_Toc15396618"/>
      <w:bookmarkStart w:id="71" w:name="_Toc15396619"/>
    </w:p>
    <w:p>
      <w:pPr>
        <w:numPr>
          <w:ilvl w:val="0"/>
          <w:numId w:val="6"/>
        </w:numPr>
        <w:spacing w:line="600" w:lineRule="exact"/>
        <w:ind w:left="0" w:firstLine="660" w:firstLineChars="150"/>
        <w:jc w:val="center"/>
        <w:outlineLvl w:val="0"/>
        <w:rPr>
          <w:rStyle w:val="17"/>
          <w:rFonts w:hint="eastAsia" w:ascii="黑体" w:eastAsia="黑体"/>
          <w:b w:val="0"/>
        </w:rPr>
      </w:pPr>
      <w:bookmarkStart w:id="72" w:name="_Toc98838280"/>
      <w:bookmarkStart w:id="73" w:name="_Toc30614"/>
      <w:bookmarkStart w:id="74" w:name="_Toc20341"/>
      <w:r>
        <w:rPr>
          <w:rStyle w:val="17"/>
          <w:rFonts w:hint="eastAsia" w:ascii="黑体" w:eastAsia="黑体"/>
          <w:b w:val="0"/>
        </w:rPr>
        <w:t>附件</w:t>
      </w:r>
    </w:p>
    <w:bookmarkEnd w:id="72"/>
    <w:bookmarkEnd w:id="73"/>
    <w:bookmarkEnd w:id="74"/>
    <w:p>
      <w:pPr>
        <w:pStyle w:val="3"/>
        <w:rPr>
          <w:rStyle w:val="17"/>
          <w:rFonts w:ascii="仿宋" w:eastAsia="仿宋"/>
          <w:b w:val="0"/>
          <w:bCs w:val="0"/>
          <w:sz w:val="32"/>
          <w:szCs w:val="32"/>
        </w:rPr>
      </w:pPr>
      <w:bookmarkStart w:id="75" w:name="_Toc98838281"/>
      <w:r>
        <w:rPr>
          <w:rStyle w:val="17"/>
          <w:rFonts w:hint="eastAsia" w:ascii="仿宋" w:eastAsia="仿宋"/>
          <w:b w:val="0"/>
          <w:bCs w:val="0"/>
          <w:sz w:val="32"/>
          <w:szCs w:val="32"/>
        </w:rPr>
        <w:t>附件1</w:t>
      </w:r>
      <w:bookmarkEnd w:id="75"/>
    </w:p>
    <w:p>
      <w:pPr>
        <w:widowControl/>
        <w:spacing w:line="560" w:lineRule="exact"/>
        <w:ind w:firstLine="880" w:firstLineChars="200"/>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金川县人大常委会办公室</w:t>
      </w:r>
    </w:p>
    <w:p>
      <w:pPr>
        <w:widowControl/>
        <w:spacing w:line="560" w:lineRule="exact"/>
        <w:ind w:firstLine="880" w:firstLineChars="200"/>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2021年部门整体支出绩效报告</w:t>
      </w:r>
    </w:p>
    <w:p>
      <w:pPr>
        <w:widowControl/>
        <w:spacing w:line="560" w:lineRule="exact"/>
        <w:ind w:firstLine="880" w:firstLineChars="200"/>
        <w:jc w:val="center"/>
        <w:rPr>
          <w:rFonts w:ascii="方正小标宋简体" w:eastAsia="方正小标宋简体" w:cs="方正小标宋简体"/>
          <w:sz w:val="44"/>
          <w:szCs w:val="44"/>
        </w:rPr>
      </w:pPr>
    </w:p>
    <w:p>
      <w:pPr>
        <w:spacing w:line="540" w:lineRule="exact"/>
        <w:ind w:firstLine="584" w:firstLineChars="200"/>
        <w:rPr>
          <w:rFonts w:ascii="楷体_GB2312" w:hAnsi="楷体_GB2312" w:eastAsia="仿宋_GB2312" w:cs="宋体"/>
          <w:color w:val="000000"/>
          <w:spacing w:val="-14"/>
          <w:kern w:val="0"/>
          <w:sz w:val="32"/>
          <w:szCs w:val="32"/>
        </w:rPr>
      </w:pPr>
      <w:r>
        <w:rPr>
          <w:rFonts w:hint="eastAsia" w:ascii="楷体_GB2312" w:hAnsi="楷体_GB2312" w:eastAsia="仿宋_GB2312" w:cs="宋体"/>
          <w:color w:val="000000"/>
          <w:spacing w:val="-14"/>
          <w:kern w:val="0"/>
          <w:sz w:val="32"/>
          <w:szCs w:val="32"/>
        </w:rPr>
        <w:t>根据</w:t>
      </w:r>
      <w:r>
        <w:rPr>
          <w:rFonts w:hint="eastAsia" w:ascii="楷体_GB2312" w:hAnsi="楷体_GB2312" w:eastAsia="仿宋_GB2312" w:cs="宋体"/>
          <w:spacing w:val="-14"/>
          <w:kern w:val="0"/>
          <w:sz w:val="32"/>
          <w:szCs w:val="32"/>
        </w:rPr>
        <w:t>《项目支出绩效评价管理办法》（财预〔</w:t>
      </w:r>
      <w:r>
        <w:rPr>
          <w:rFonts w:hint="eastAsia" w:ascii="仿宋_GB2312" w:eastAsia="仿宋_GB2312"/>
          <w:sz w:val="32"/>
          <w:szCs w:val="32"/>
        </w:rPr>
        <w:t>2020</w:t>
      </w:r>
      <w:r>
        <w:rPr>
          <w:rFonts w:hint="eastAsia" w:ascii="楷体_GB2312" w:hAnsi="楷体_GB2312" w:eastAsia="仿宋_GB2312" w:cs="宋体"/>
          <w:spacing w:val="-14"/>
          <w:kern w:val="0"/>
          <w:sz w:val="32"/>
          <w:szCs w:val="32"/>
        </w:rPr>
        <w:t>〕</w:t>
      </w:r>
      <w:r>
        <w:rPr>
          <w:rFonts w:hint="eastAsia" w:ascii="仿宋_GB2312" w:eastAsia="仿宋_GB2312"/>
          <w:sz w:val="32"/>
          <w:szCs w:val="32"/>
        </w:rPr>
        <w:t>10</w:t>
      </w:r>
      <w:r>
        <w:rPr>
          <w:rFonts w:hint="eastAsia" w:ascii="楷体_GB2312" w:hAnsi="楷体_GB2312" w:eastAsia="仿宋_GB2312" w:cs="宋体"/>
          <w:spacing w:val="-14"/>
          <w:kern w:val="0"/>
          <w:sz w:val="32"/>
          <w:szCs w:val="32"/>
        </w:rPr>
        <w:t>号）、《财政厅关于开展2021年部门、政策和项目支出绩效评价工作的通知》（川财绩〔</w:t>
      </w:r>
      <w:r>
        <w:rPr>
          <w:rFonts w:hint="eastAsia" w:ascii="仿宋_GB2312" w:eastAsia="仿宋_GB2312"/>
          <w:sz w:val="32"/>
          <w:szCs w:val="32"/>
        </w:rPr>
        <w:t>2021</w:t>
      </w:r>
      <w:r>
        <w:rPr>
          <w:rFonts w:hint="eastAsia" w:ascii="楷体_GB2312" w:hAnsi="楷体_GB2312" w:eastAsia="仿宋_GB2312" w:cs="宋体"/>
          <w:spacing w:val="-14"/>
          <w:kern w:val="0"/>
          <w:sz w:val="32"/>
          <w:szCs w:val="32"/>
        </w:rPr>
        <w:t>〕</w:t>
      </w:r>
      <w:r>
        <w:rPr>
          <w:rFonts w:hint="eastAsia" w:ascii="仿宋_GB2312" w:eastAsia="仿宋_GB2312"/>
          <w:sz w:val="32"/>
          <w:szCs w:val="32"/>
        </w:rPr>
        <w:t>6</w:t>
      </w:r>
      <w:r>
        <w:rPr>
          <w:rFonts w:hint="eastAsia" w:ascii="楷体_GB2312" w:hAnsi="楷体_GB2312" w:eastAsia="仿宋_GB2312" w:cs="宋体"/>
          <w:spacing w:val="-14"/>
          <w:kern w:val="0"/>
          <w:sz w:val="32"/>
          <w:szCs w:val="32"/>
        </w:rPr>
        <w:t>号）、《阿坝州财政局关于开展2021年部门、政策和项目支出绩效评价工作的通知》（阿州财监绩〔</w:t>
      </w:r>
      <w:r>
        <w:rPr>
          <w:rFonts w:hint="eastAsia" w:ascii="仿宋_GB2312" w:eastAsia="仿宋_GB2312"/>
          <w:sz w:val="32"/>
          <w:szCs w:val="32"/>
        </w:rPr>
        <w:t>2021</w:t>
      </w:r>
      <w:r>
        <w:rPr>
          <w:rFonts w:hint="eastAsia" w:ascii="楷体_GB2312" w:hAnsi="楷体_GB2312" w:eastAsia="仿宋_GB2312" w:cs="宋体"/>
          <w:spacing w:val="-14"/>
          <w:kern w:val="0"/>
          <w:sz w:val="32"/>
          <w:szCs w:val="32"/>
        </w:rPr>
        <w:t>〕</w:t>
      </w:r>
      <w:r>
        <w:rPr>
          <w:rFonts w:hint="eastAsia" w:ascii="仿宋_GB2312" w:eastAsia="仿宋_GB2312"/>
          <w:sz w:val="32"/>
          <w:szCs w:val="32"/>
        </w:rPr>
        <w:t>11</w:t>
      </w:r>
      <w:r>
        <w:rPr>
          <w:rFonts w:hint="eastAsia" w:ascii="楷体_GB2312" w:hAnsi="楷体_GB2312" w:eastAsia="仿宋_GB2312" w:cs="宋体"/>
          <w:spacing w:val="-14"/>
          <w:kern w:val="0"/>
          <w:sz w:val="32"/>
          <w:szCs w:val="32"/>
        </w:rPr>
        <w:t>号）和《金川县财政局关于开展2021年部门、政策和项目支出绩效评价的通知》（金财监绩〔</w:t>
      </w:r>
      <w:r>
        <w:rPr>
          <w:rFonts w:hint="eastAsia" w:ascii="仿宋_GB2312" w:eastAsia="仿宋_GB2312"/>
          <w:sz w:val="32"/>
          <w:szCs w:val="32"/>
        </w:rPr>
        <w:t>2021</w:t>
      </w:r>
      <w:r>
        <w:rPr>
          <w:rFonts w:hint="eastAsia" w:ascii="楷体_GB2312" w:hAnsi="楷体_GB2312" w:eastAsia="仿宋_GB2312" w:cs="宋体"/>
          <w:spacing w:val="-14"/>
          <w:kern w:val="0"/>
          <w:sz w:val="32"/>
          <w:szCs w:val="32"/>
        </w:rPr>
        <w:t>〕</w:t>
      </w:r>
      <w:r>
        <w:rPr>
          <w:rFonts w:hint="eastAsia" w:ascii="仿宋_GB2312" w:eastAsia="仿宋_GB2312"/>
          <w:sz w:val="32"/>
          <w:szCs w:val="32"/>
        </w:rPr>
        <w:t>26</w:t>
      </w:r>
      <w:r>
        <w:rPr>
          <w:rFonts w:hint="eastAsia" w:ascii="楷体_GB2312" w:hAnsi="楷体_GB2312" w:eastAsia="仿宋_GB2312" w:cs="宋体"/>
          <w:spacing w:val="-14"/>
          <w:kern w:val="0"/>
          <w:sz w:val="32"/>
          <w:szCs w:val="32"/>
        </w:rPr>
        <w:t>号）等</w:t>
      </w:r>
      <w:r>
        <w:rPr>
          <w:rFonts w:hint="eastAsia" w:ascii="楷体_GB2312" w:hAnsi="楷体_GB2312" w:eastAsia="仿宋_GB2312" w:cs="宋体"/>
          <w:color w:val="000000"/>
          <w:spacing w:val="-14"/>
          <w:kern w:val="0"/>
          <w:sz w:val="32"/>
          <w:szCs w:val="32"/>
        </w:rPr>
        <w:t>文件精神，本着独立、客观、公正、科学的原则，按照公认的绩效评价方法，本机关积极组织，对</w:t>
      </w:r>
      <w:r>
        <w:rPr>
          <w:rFonts w:hint="eastAsia" w:ascii="仿宋_GB2312" w:eastAsia="仿宋_GB2312"/>
          <w:color w:val="000000"/>
          <w:sz w:val="32"/>
          <w:szCs w:val="32"/>
        </w:rPr>
        <w:t>2020</w:t>
      </w:r>
      <w:r>
        <w:rPr>
          <w:rFonts w:hint="eastAsia" w:ascii="楷体_GB2312" w:hAnsi="楷体_GB2312" w:eastAsia="仿宋_GB2312" w:cs="宋体"/>
          <w:color w:val="000000"/>
          <w:spacing w:val="-14"/>
          <w:kern w:val="0"/>
          <w:sz w:val="32"/>
          <w:szCs w:val="32"/>
        </w:rPr>
        <w:t>年全年、</w:t>
      </w:r>
      <w:r>
        <w:rPr>
          <w:rFonts w:hint="eastAsia" w:ascii="仿宋_GB2312" w:eastAsia="仿宋_GB2312"/>
          <w:color w:val="000000"/>
          <w:sz w:val="32"/>
          <w:szCs w:val="32"/>
        </w:rPr>
        <w:t>2021</w:t>
      </w:r>
      <w:r>
        <w:rPr>
          <w:rFonts w:hint="eastAsia" w:ascii="楷体_GB2312" w:hAnsi="楷体_GB2312" w:eastAsia="仿宋_GB2312" w:cs="宋体"/>
          <w:color w:val="000000"/>
          <w:spacing w:val="-14"/>
          <w:kern w:val="0"/>
          <w:sz w:val="32"/>
          <w:szCs w:val="32"/>
        </w:rPr>
        <w:t>年上半年本单位整体支出进行了绩效自评，现将具体绩效评价情况报告如下：</w:t>
      </w:r>
    </w:p>
    <w:p>
      <w:pPr>
        <w:widowControl/>
        <w:adjustRightInd w:val="0"/>
        <w:snapToGrid w:val="0"/>
        <w:spacing w:line="540" w:lineRule="exact"/>
        <w:ind w:firstLine="584" w:firstLineChars="200"/>
        <w:rPr>
          <w:rFonts w:ascii="黑体" w:eastAsia="黑体" w:cs="宋体"/>
          <w:color w:val="000000"/>
          <w:spacing w:val="-14"/>
          <w:kern w:val="0"/>
          <w:sz w:val="32"/>
          <w:szCs w:val="32"/>
        </w:rPr>
      </w:pPr>
      <w:r>
        <w:rPr>
          <w:rFonts w:hint="eastAsia" w:ascii="黑体" w:eastAsia="黑体" w:cs="宋体"/>
          <w:color w:val="000000"/>
          <w:spacing w:val="-14"/>
          <w:kern w:val="0"/>
          <w:sz w:val="32"/>
          <w:szCs w:val="32"/>
        </w:rPr>
        <w:t>一、部门（单位）概况</w:t>
      </w:r>
    </w:p>
    <w:p>
      <w:pPr>
        <w:widowControl/>
        <w:adjustRightInd w:val="0"/>
        <w:snapToGrid w:val="0"/>
        <w:spacing w:line="540" w:lineRule="exact"/>
        <w:ind w:firstLine="587" w:firstLineChars="200"/>
        <w:rPr>
          <w:rFonts w:ascii="楷体_GB2312" w:eastAsia="楷体_GB2312" w:cs="宋体"/>
          <w:b/>
          <w:color w:val="000000"/>
          <w:spacing w:val="-14"/>
          <w:kern w:val="0"/>
          <w:sz w:val="32"/>
          <w:szCs w:val="32"/>
        </w:rPr>
      </w:pPr>
      <w:r>
        <w:rPr>
          <w:rFonts w:hint="eastAsia" w:ascii="楷体_GB2312" w:eastAsia="楷体_GB2312" w:cs="宋体"/>
          <w:b/>
          <w:color w:val="000000"/>
          <w:spacing w:val="-14"/>
          <w:kern w:val="0"/>
          <w:sz w:val="32"/>
          <w:szCs w:val="32"/>
        </w:rPr>
        <w:t>（一）机构组成。</w:t>
      </w:r>
    </w:p>
    <w:p>
      <w:pPr>
        <w:spacing w:line="540" w:lineRule="exact"/>
        <w:ind w:firstLine="584" w:firstLineChars="200"/>
        <w:rPr>
          <w:rFonts w:ascii="楷体_GB2312" w:hAnsi="楷体_GB2312" w:eastAsia="仿宋_GB2312" w:cs="宋体"/>
          <w:color w:val="000000"/>
          <w:spacing w:val="-14"/>
          <w:kern w:val="0"/>
          <w:sz w:val="32"/>
          <w:szCs w:val="32"/>
        </w:rPr>
      </w:pPr>
      <w:r>
        <w:rPr>
          <w:rFonts w:hint="eastAsia" w:ascii="楷体_GB2312" w:hAnsi="楷体_GB2312" w:eastAsia="仿宋_GB2312" w:cs="宋体"/>
          <w:color w:val="000000"/>
          <w:spacing w:val="-14"/>
          <w:kern w:val="0"/>
          <w:sz w:val="32"/>
          <w:szCs w:val="32"/>
        </w:rPr>
        <w:t>金川县人大常委会是县人民代表大会的常设机构，内设办公室、法制工作委员会、财政经济工作委员会、教科文卫工作委员会及人事代表信访室。</w:t>
      </w:r>
    </w:p>
    <w:p>
      <w:pPr>
        <w:widowControl/>
        <w:adjustRightInd w:val="0"/>
        <w:snapToGrid w:val="0"/>
        <w:spacing w:line="540" w:lineRule="exact"/>
        <w:ind w:firstLine="587" w:firstLineChars="200"/>
        <w:rPr>
          <w:rFonts w:ascii="楷体_GB2312" w:eastAsia="楷体_GB2312" w:cs="宋体"/>
          <w:b/>
          <w:color w:val="000000"/>
          <w:spacing w:val="-14"/>
          <w:kern w:val="0"/>
          <w:sz w:val="32"/>
          <w:szCs w:val="32"/>
        </w:rPr>
      </w:pPr>
      <w:r>
        <w:rPr>
          <w:rFonts w:hint="eastAsia" w:ascii="楷体_GB2312" w:eastAsia="楷体_GB2312" w:cs="宋体"/>
          <w:b/>
          <w:color w:val="000000"/>
          <w:spacing w:val="-14"/>
          <w:kern w:val="0"/>
          <w:sz w:val="32"/>
          <w:szCs w:val="32"/>
        </w:rPr>
        <w:t>（二）机构职能。</w:t>
      </w:r>
    </w:p>
    <w:p>
      <w:pPr>
        <w:widowControl/>
        <w:spacing w:line="540" w:lineRule="exact"/>
        <w:ind w:firstLine="584" w:firstLineChars="200"/>
        <w:rPr>
          <w:rFonts w:ascii="楷体_GB2312" w:hAnsi="楷体_GB2312" w:eastAsia="仿宋_GB2312" w:cs="宋体"/>
          <w:color w:val="000000"/>
          <w:spacing w:val="-14"/>
          <w:kern w:val="0"/>
          <w:sz w:val="32"/>
          <w:szCs w:val="32"/>
        </w:rPr>
      </w:pPr>
      <w:r>
        <w:rPr>
          <w:rFonts w:hint="eastAsia" w:ascii="楷体_GB2312" w:hAnsi="楷体_GB2312" w:eastAsia="仿宋_GB2312" w:cs="宋体"/>
          <w:color w:val="000000"/>
          <w:spacing w:val="-14"/>
          <w:kern w:val="0"/>
          <w:sz w:val="32"/>
          <w:szCs w:val="32"/>
        </w:rPr>
        <w:t>县人大常委会办公室负责县人大机关工作的综合协调，密切与各工作委员会联系，当好常委会和主任会议的参谋，搞好下情上报，上情下达；承担代表大会会议、常委会会议和主任会议</w:t>
      </w:r>
      <w:r>
        <w:rPr>
          <w:rFonts w:hint="eastAsia" w:ascii="楷体_GB2312" w:hAnsi="楷体_GB2312" w:eastAsia="仿宋_GB2312" w:cs="宋体"/>
          <w:color w:val="000000"/>
          <w:spacing w:val="-14"/>
          <w:kern w:val="0"/>
          <w:sz w:val="32"/>
          <w:szCs w:val="32"/>
          <w:lang w:eastAsia="zh-CN"/>
        </w:rPr>
        <w:t>及其他</w:t>
      </w:r>
      <w:r>
        <w:rPr>
          <w:rFonts w:hint="eastAsia" w:ascii="楷体_GB2312" w:hAnsi="楷体_GB2312" w:eastAsia="仿宋_GB2312" w:cs="宋体"/>
          <w:color w:val="000000"/>
          <w:spacing w:val="-14"/>
          <w:kern w:val="0"/>
          <w:sz w:val="32"/>
          <w:szCs w:val="32"/>
        </w:rPr>
        <w:t>会议的筹备工作和会务工作；负责上级和本会文件、资料的收发、打印、分发、传阅、清退、立卷、归档和印章的管理工作，做好保密、保卫、消防等工作；负责机关财务、财产、办公用品、办公设施、机关人事的管理工作，做好用车等机关后勤服务工作等等。</w:t>
      </w:r>
    </w:p>
    <w:p>
      <w:pPr>
        <w:widowControl/>
        <w:adjustRightInd w:val="0"/>
        <w:snapToGrid w:val="0"/>
        <w:spacing w:line="540" w:lineRule="exact"/>
        <w:ind w:firstLine="587" w:firstLineChars="200"/>
        <w:rPr>
          <w:rFonts w:ascii="楷体_GB2312" w:eastAsia="楷体_GB2312" w:cs="宋体"/>
          <w:b/>
          <w:color w:val="000000"/>
          <w:spacing w:val="-14"/>
          <w:kern w:val="0"/>
          <w:sz w:val="32"/>
          <w:szCs w:val="32"/>
        </w:rPr>
      </w:pPr>
      <w:r>
        <w:rPr>
          <w:rFonts w:hint="eastAsia" w:ascii="楷体_GB2312" w:eastAsia="楷体_GB2312" w:cs="宋体"/>
          <w:b/>
          <w:color w:val="000000"/>
          <w:spacing w:val="-14"/>
          <w:kern w:val="0"/>
          <w:sz w:val="32"/>
          <w:szCs w:val="32"/>
        </w:rPr>
        <w:t>（三）人员概况。</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2020年度，人大机关决算汇编范围的独立核算单位共1个，无增减变动。截止2020年末，单位实有人数37人，</w:t>
      </w:r>
      <w:r>
        <w:rPr>
          <w:rFonts w:hint="eastAsia" w:ascii="仿宋_GB2312" w:eastAsia="仿宋_GB2312"/>
          <w:sz w:val="32"/>
          <w:szCs w:val="32"/>
        </w:rPr>
        <w:t>其中：在职36人</w:t>
      </w:r>
      <w:r>
        <w:rPr>
          <w:rFonts w:hint="eastAsia" w:ascii="仿宋_GB2312" w:eastAsia="仿宋_GB2312"/>
          <w:color w:val="000000"/>
          <w:sz w:val="32"/>
          <w:szCs w:val="32"/>
        </w:rPr>
        <w:t>（公务员29人、行政工勤7人）</w:t>
      </w:r>
      <w:r>
        <w:rPr>
          <w:rFonts w:hint="eastAsia" w:ascii="仿宋_GB2312" w:eastAsia="仿宋_GB2312"/>
          <w:sz w:val="32"/>
          <w:szCs w:val="32"/>
        </w:rPr>
        <w:t>，离休1人，遗属4人。</w:t>
      </w:r>
      <w:r>
        <w:rPr>
          <w:rFonts w:hint="eastAsia" w:ascii="仿宋_GB2312" w:eastAsia="仿宋_GB2312"/>
          <w:color w:val="000000"/>
          <w:sz w:val="32"/>
          <w:szCs w:val="32"/>
        </w:rPr>
        <w:t>退休人员工资继续由社保部门发放。</w:t>
      </w:r>
    </w:p>
    <w:p>
      <w:pPr>
        <w:widowControl/>
        <w:adjustRightInd w:val="0"/>
        <w:snapToGrid w:val="0"/>
        <w:spacing w:line="540" w:lineRule="exact"/>
        <w:ind w:firstLine="584" w:firstLineChars="200"/>
        <w:rPr>
          <w:rFonts w:ascii="黑体" w:eastAsia="黑体" w:cs="宋体"/>
          <w:color w:val="000000"/>
          <w:spacing w:val="-14"/>
          <w:kern w:val="0"/>
          <w:sz w:val="32"/>
          <w:szCs w:val="32"/>
        </w:rPr>
      </w:pPr>
      <w:r>
        <w:rPr>
          <w:rFonts w:hint="eastAsia" w:ascii="黑体" w:eastAsia="黑体" w:cs="宋体"/>
          <w:color w:val="000000"/>
          <w:spacing w:val="-14"/>
          <w:kern w:val="0"/>
          <w:sz w:val="32"/>
          <w:szCs w:val="32"/>
        </w:rPr>
        <w:t>二、部门财政资金收支情况</w:t>
      </w:r>
    </w:p>
    <w:p>
      <w:pPr>
        <w:widowControl/>
        <w:adjustRightInd w:val="0"/>
        <w:snapToGrid w:val="0"/>
        <w:spacing w:line="540" w:lineRule="exact"/>
        <w:ind w:firstLine="587" w:firstLineChars="200"/>
        <w:rPr>
          <w:rFonts w:ascii="楷体_GB2312" w:eastAsia="楷体_GB2312" w:cs="宋体"/>
          <w:b/>
          <w:color w:val="000000"/>
          <w:spacing w:val="-14"/>
          <w:kern w:val="0"/>
          <w:sz w:val="32"/>
          <w:szCs w:val="32"/>
        </w:rPr>
      </w:pPr>
      <w:r>
        <w:rPr>
          <w:rFonts w:hint="eastAsia" w:ascii="楷体_GB2312" w:eastAsia="楷体_GB2312" w:cs="宋体"/>
          <w:b/>
          <w:color w:val="000000"/>
          <w:spacing w:val="-14"/>
          <w:kern w:val="0"/>
          <w:sz w:val="32"/>
          <w:szCs w:val="32"/>
        </w:rPr>
        <w:t>（一）部门财政资金收入情况。</w:t>
      </w:r>
    </w:p>
    <w:p>
      <w:pPr>
        <w:ind w:firstLine="640" w:firstLineChars="200"/>
        <w:rPr>
          <w:rFonts w:eastAsia="仿宋_GB2312"/>
          <w:color w:val="C00000"/>
        </w:rPr>
      </w:pPr>
      <w:r>
        <w:rPr>
          <w:rFonts w:ascii="仿宋_GB2312" w:eastAsia="仿宋_GB2312" w:cs="仿宋"/>
          <w:color w:val="000000"/>
          <w:sz w:val="32"/>
          <w:szCs w:val="32"/>
        </w:rPr>
        <w:t>2020年</w:t>
      </w:r>
      <w:r>
        <w:rPr>
          <w:rFonts w:hint="eastAsia" w:ascii="仿宋_GB2312" w:eastAsia="仿宋_GB2312" w:cs="仿宋"/>
          <w:bCs/>
          <w:color w:val="000000"/>
          <w:sz w:val="32"/>
          <w:szCs w:val="32"/>
        </w:rPr>
        <w:t>一般</w:t>
      </w:r>
      <w:r>
        <w:rPr>
          <w:rFonts w:hint="eastAsia" w:ascii="仿宋_GB2312" w:eastAsia="仿宋_GB2312" w:cs="仿宋"/>
          <w:color w:val="000000"/>
          <w:sz w:val="32"/>
          <w:szCs w:val="32"/>
        </w:rPr>
        <w:t>公共预算财政拨款收入936.69万元，政府性基金预算财政拨款收入</w:t>
      </w:r>
      <w:r>
        <w:rPr>
          <w:rFonts w:ascii="仿宋_GB2312" w:eastAsia="仿宋_GB2312" w:cs="仿宋"/>
          <w:color w:val="000000"/>
          <w:sz w:val="32"/>
          <w:szCs w:val="32"/>
        </w:rPr>
        <w:t>0</w:t>
      </w:r>
      <w:r>
        <w:rPr>
          <w:rFonts w:hint="eastAsia" w:ascii="仿宋_GB2312" w:eastAsia="仿宋_GB2312" w:cs="仿宋"/>
          <w:color w:val="000000"/>
          <w:sz w:val="32"/>
          <w:szCs w:val="32"/>
        </w:rPr>
        <w:t>万元。</w:t>
      </w:r>
      <w:r>
        <w:rPr>
          <w:rFonts w:ascii="仿宋_GB2312" w:eastAsia="仿宋_GB2312" w:cs="仿宋"/>
          <w:color w:val="000000"/>
          <w:sz w:val="32"/>
          <w:szCs w:val="32"/>
        </w:rPr>
        <w:t>20</w:t>
      </w:r>
      <w:r>
        <w:rPr>
          <w:rFonts w:hint="eastAsia" w:ascii="仿宋_GB2312" w:eastAsia="仿宋_GB2312" w:cs="仿宋"/>
          <w:color w:val="000000"/>
          <w:sz w:val="32"/>
          <w:szCs w:val="32"/>
        </w:rPr>
        <w:t>19</w:t>
      </w:r>
      <w:r>
        <w:rPr>
          <w:rFonts w:ascii="仿宋_GB2312" w:eastAsia="仿宋_GB2312" w:cs="仿宋"/>
          <w:color w:val="000000"/>
          <w:sz w:val="32"/>
          <w:szCs w:val="32"/>
        </w:rPr>
        <w:t>年</w:t>
      </w:r>
      <w:r>
        <w:rPr>
          <w:rFonts w:hint="eastAsia" w:ascii="仿宋_GB2312" w:eastAsia="仿宋_GB2312" w:cs="仿宋"/>
          <w:color w:val="000000"/>
          <w:sz w:val="32"/>
          <w:szCs w:val="32"/>
        </w:rPr>
        <w:t>年初财政拨款结转资金为0万元</w:t>
      </w:r>
      <w:r>
        <w:rPr>
          <w:rFonts w:hint="eastAsia" w:ascii="仿宋_GB2312" w:eastAsia="仿宋_GB2312" w:cs="仿宋"/>
          <w:sz w:val="32"/>
          <w:szCs w:val="32"/>
        </w:rPr>
        <w:t>，归集调入资金</w:t>
      </w:r>
      <w:r>
        <w:rPr>
          <w:rFonts w:ascii="仿宋_GB2312" w:eastAsia="仿宋_GB2312" w:cs="仿宋"/>
          <w:sz w:val="32"/>
          <w:szCs w:val="32"/>
        </w:rPr>
        <w:t>137.</w:t>
      </w:r>
      <w:r>
        <w:rPr>
          <w:rFonts w:hint="eastAsia" w:ascii="仿宋_GB2312" w:eastAsia="仿宋_GB2312" w:cs="仿宋"/>
          <w:sz w:val="32"/>
          <w:szCs w:val="32"/>
        </w:rPr>
        <w:t>6万元是</w:t>
      </w:r>
      <w:r>
        <w:rPr>
          <w:rFonts w:ascii="仿宋_GB2312" w:eastAsia="仿宋_GB2312" w:cs="仿宋"/>
          <w:sz w:val="32"/>
          <w:szCs w:val="32"/>
        </w:rPr>
        <w:t>2018</w:t>
      </w:r>
      <w:r>
        <w:rPr>
          <w:rFonts w:hint="eastAsia" w:ascii="仿宋_GB2312" w:eastAsia="仿宋_GB2312" w:cs="仿宋"/>
          <w:sz w:val="32"/>
          <w:szCs w:val="32"/>
        </w:rPr>
        <w:t>年目标奖。</w:t>
      </w:r>
    </w:p>
    <w:p>
      <w:pPr>
        <w:widowControl/>
        <w:adjustRightInd w:val="0"/>
        <w:snapToGrid w:val="0"/>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2021年1至6月县人大办收入合计624.29万元，其中：一般公共预算财政拨款收入624.29万元。</w:t>
      </w:r>
    </w:p>
    <w:p>
      <w:pPr>
        <w:widowControl/>
        <w:adjustRightInd w:val="0"/>
        <w:snapToGrid w:val="0"/>
        <w:spacing w:line="540" w:lineRule="exact"/>
        <w:ind w:firstLine="587" w:firstLineChars="200"/>
        <w:rPr>
          <w:rFonts w:ascii="楷体_GB2312" w:eastAsia="楷体_GB2312" w:cs="宋体"/>
          <w:b/>
          <w:color w:val="000000"/>
          <w:spacing w:val="-14"/>
          <w:kern w:val="0"/>
          <w:sz w:val="32"/>
          <w:szCs w:val="32"/>
        </w:rPr>
      </w:pPr>
      <w:r>
        <w:rPr>
          <w:rFonts w:hint="eastAsia" w:ascii="楷体_GB2312" w:eastAsia="楷体_GB2312" w:cs="宋体"/>
          <w:b/>
          <w:color w:val="000000"/>
          <w:spacing w:val="-14"/>
          <w:kern w:val="0"/>
          <w:sz w:val="32"/>
          <w:szCs w:val="32"/>
        </w:rPr>
        <w:t>（二）部门财政资金支出情况。</w:t>
      </w:r>
    </w:p>
    <w:p>
      <w:pPr>
        <w:snapToGrid w:val="0"/>
        <w:spacing w:line="520" w:lineRule="exact"/>
        <w:ind w:firstLine="960" w:firstLineChars="300"/>
        <w:rPr>
          <w:rFonts w:ascii="仿宋_GB2312" w:eastAsia="仿宋_GB2312"/>
          <w:sz w:val="32"/>
          <w:szCs w:val="32"/>
        </w:rPr>
      </w:pPr>
      <w:r>
        <w:rPr>
          <w:rFonts w:hint="eastAsia" w:ascii="仿宋_GB2312" w:eastAsia="仿宋_GB2312"/>
          <w:sz w:val="32"/>
          <w:szCs w:val="32"/>
        </w:rPr>
        <w:t>2020年总支出为936.69万元，其中：基本支出908.45万元，其中：一般公共服务支出723.29万元，社会保障和就业支出88.77万元，卫生健康支出36.75万元，住房保障支出59.64万元。</w:t>
      </w:r>
    </w:p>
    <w:p>
      <w:pPr>
        <w:snapToGrid w:val="0"/>
        <w:spacing w:line="520" w:lineRule="exact"/>
        <w:ind w:firstLine="640" w:firstLineChars="200"/>
        <w:rPr>
          <w:rFonts w:ascii="仿宋_GB2312" w:eastAsia="仿宋_GB2312"/>
          <w:color w:val="000000"/>
          <w:sz w:val="32"/>
          <w:szCs w:val="32"/>
        </w:rPr>
      </w:pPr>
      <w:r>
        <w:rPr>
          <w:rFonts w:hint="eastAsia" w:ascii="仿宋_GB2312" w:eastAsia="仿宋_GB2312"/>
          <w:sz w:val="32"/>
          <w:szCs w:val="32"/>
        </w:rPr>
        <w:t>项目支出28.24万元，其中：人大会议24.06万元,代表工作2.46万元,突发公共事件应急处理为1.72万元。</w:t>
      </w:r>
    </w:p>
    <w:p>
      <w:pPr>
        <w:widowControl/>
        <w:adjustRightInd w:val="0"/>
        <w:snapToGrid w:val="0"/>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2021年1至6月县人大办支出合计624.29万元。</w:t>
      </w:r>
    </w:p>
    <w:p>
      <w:pPr>
        <w:widowControl/>
        <w:adjustRightInd w:val="0"/>
        <w:snapToGrid w:val="0"/>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一般公共预算财政拨款基本支出合计</w:t>
      </w:r>
      <w:r>
        <w:rPr>
          <w:rFonts w:hint="eastAsia" w:ascii="仿宋_GB2312" w:eastAsia="仿宋_GB2312"/>
          <w:sz w:val="32"/>
          <w:szCs w:val="32"/>
        </w:rPr>
        <w:t>624.29</w:t>
      </w:r>
      <w:r>
        <w:rPr>
          <w:rFonts w:hint="eastAsia" w:ascii="仿宋_GB2312" w:eastAsia="仿宋_GB2312"/>
          <w:color w:val="000000"/>
          <w:sz w:val="32"/>
          <w:szCs w:val="32"/>
        </w:rPr>
        <w:t>万元。其中：人员经费支</w:t>
      </w:r>
      <w:r>
        <w:rPr>
          <w:rFonts w:hint="eastAsia" w:ascii="仿宋_GB2312" w:eastAsia="仿宋_GB2312"/>
          <w:sz w:val="32"/>
          <w:szCs w:val="32"/>
        </w:rPr>
        <w:t>出496.91</w:t>
      </w:r>
      <w:r>
        <w:rPr>
          <w:rFonts w:hint="eastAsia" w:ascii="仿宋_GB2312" w:eastAsia="仿宋_GB2312"/>
          <w:color w:val="000000"/>
          <w:sz w:val="32"/>
          <w:szCs w:val="32"/>
        </w:rPr>
        <w:t>万元（含：基本工资87.76万元，津贴补贴92.51万元，其他社会保障缴费0.56万元，绩效工资1.03万元，离休费7.77万元，退休费0.01万元，奖励金213.91万元，养老保险支出31.49万元，职业年金14.92万元，行政单位医疗</w:t>
      </w:r>
      <w:r>
        <w:rPr>
          <w:rFonts w:hint="eastAsia" w:ascii="仿宋_GB2312" w:eastAsia="仿宋_GB2312"/>
          <w:sz w:val="32"/>
          <w:szCs w:val="32"/>
        </w:rPr>
        <w:t>13.17</w:t>
      </w:r>
      <w:r>
        <w:rPr>
          <w:rFonts w:hint="eastAsia" w:ascii="仿宋_GB2312" w:eastAsia="仿宋_GB2312"/>
          <w:color w:val="000000"/>
          <w:sz w:val="32"/>
          <w:szCs w:val="32"/>
        </w:rPr>
        <w:t>万元，公务员医疗补助5.76万元，住房公积金28.02万元）；日常公用经费支出85.16万元（含：办公费</w:t>
      </w:r>
      <w:r>
        <w:rPr>
          <w:rFonts w:hint="eastAsia" w:ascii="仿宋_GB2312" w:eastAsia="仿宋_GB2312"/>
          <w:sz w:val="32"/>
          <w:szCs w:val="32"/>
        </w:rPr>
        <w:t>0.73</w:t>
      </w:r>
      <w:r>
        <w:rPr>
          <w:rFonts w:hint="eastAsia" w:ascii="仿宋_GB2312" w:eastAsia="仿宋_GB2312"/>
          <w:color w:val="000000"/>
          <w:sz w:val="32"/>
          <w:szCs w:val="32"/>
        </w:rPr>
        <w:t>万元，差旅费6.07万元，维修（护）费0.34万元，其他支出0.64万元（代管资金），福利费0.58万元，公务用车运行维护费10.59万元，公务用车购置费66.21万元）。</w:t>
      </w:r>
    </w:p>
    <w:p>
      <w:pPr>
        <w:widowControl/>
        <w:adjustRightInd w:val="0"/>
        <w:snapToGrid w:val="0"/>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2021年1至6月县人大办行政事业类项目支出42.22万元。包括：会议费42.22万元（州人代会经费1.66万元、县乡代表活动经费19万元、人大常委会经费0.22万元、第十四届五次人代会经费21.34万元）</w:t>
      </w:r>
    </w:p>
    <w:p>
      <w:pPr>
        <w:widowControl/>
        <w:adjustRightInd w:val="0"/>
        <w:snapToGrid w:val="0"/>
        <w:spacing w:line="540" w:lineRule="exact"/>
        <w:ind w:firstLine="584" w:firstLineChars="200"/>
        <w:rPr>
          <w:rFonts w:ascii="黑体" w:eastAsia="黑体" w:cs="宋体"/>
          <w:color w:val="000000"/>
          <w:spacing w:val="-14"/>
          <w:kern w:val="0"/>
          <w:sz w:val="32"/>
          <w:szCs w:val="32"/>
        </w:rPr>
      </w:pPr>
      <w:r>
        <w:rPr>
          <w:rFonts w:hint="eastAsia" w:ascii="黑体" w:eastAsia="黑体" w:cs="宋体"/>
          <w:color w:val="000000"/>
          <w:spacing w:val="-14"/>
          <w:kern w:val="0"/>
          <w:sz w:val="32"/>
          <w:szCs w:val="32"/>
        </w:rPr>
        <w:t>三、部门财政支出管理情况</w:t>
      </w:r>
    </w:p>
    <w:p>
      <w:pPr>
        <w:widowControl/>
        <w:adjustRightInd w:val="0"/>
        <w:snapToGrid w:val="0"/>
        <w:spacing w:line="540" w:lineRule="exact"/>
        <w:ind w:firstLine="587" w:firstLineChars="200"/>
        <w:rPr>
          <w:rFonts w:ascii="楷体_GB2312" w:eastAsia="楷体_GB2312" w:cs="宋体"/>
          <w:b/>
          <w:color w:val="000000"/>
          <w:spacing w:val="-14"/>
          <w:kern w:val="0"/>
          <w:sz w:val="32"/>
          <w:szCs w:val="32"/>
        </w:rPr>
      </w:pPr>
      <w:r>
        <w:rPr>
          <w:rFonts w:hint="eastAsia" w:ascii="楷体_GB2312" w:eastAsia="楷体_GB2312" w:cs="宋体"/>
          <w:b/>
          <w:color w:val="000000"/>
          <w:spacing w:val="-14"/>
          <w:kern w:val="0"/>
          <w:sz w:val="32"/>
          <w:szCs w:val="32"/>
        </w:rPr>
        <w:t>（一）预算编制情况。</w:t>
      </w:r>
    </w:p>
    <w:p>
      <w:pPr>
        <w:spacing w:line="540" w:lineRule="exact"/>
        <w:ind w:firstLine="640" w:firstLineChars="200"/>
        <w:rPr>
          <w:rFonts w:ascii="仿宋_GB2312" w:eastAsia="仿宋_GB2312"/>
          <w:color w:val="000000"/>
          <w:sz w:val="32"/>
          <w:szCs w:val="32"/>
        </w:rPr>
      </w:pPr>
      <w:r>
        <w:rPr>
          <w:rFonts w:hint="eastAsia" w:ascii="仿宋_GB2312" w:eastAsia="仿宋_GB2312" w:cs="仿宋_GB2312"/>
          <w:bCs/>
          <w:sz w:val="32"/>
          <w:szCs w:val="32"/>
        </w:rPr>
        <w:t>按照综合预算的编制原则，保证预算编制质量，人大办所有收入和支出均纳入财政预算管理，公用经费按人员数进行编制，</w:t>
      </w:r>
      <w:r>
        <w:rPr>
          <w:rFonts w:hint="eastAsia" w:ascii="仿宋_GB2312" w:eastAsia="仿宋_GB2312" w:cs="仿宋_GB2312"/>
          <w:bCs/>
          <w:sz w:val="32"/>
          <w:szCs w:val="32"/>
          <w:lang w:eastAsia="zh-CN"/>
        </w:rPr>
        <w:t>其他</w:t>
      </w:r>
      <w:r>
        <w:rPr>
          <w:rFonts w:hint="eastAsia" w:ascii="仿宋_GB2312" w:eastAsia="仿宋_GB2312" w:cs="仿宋_GB2312"/>
          <w:bCs/>
          <w:sz w:val="32"/>
          <w:szCs w:val="32"/>
        </w:rPr>
        <w:t>经费严格按照有关预算法执行。</w:t>
      </w:r>
    </w:p>
    <w:p>
      <w:pPr>
        <w:widowControl/>
        <w:adjustRightInd w:val="0"/>
        <w:snapToGrid w:val="0"/>
        <w:spacing w:line="540" w:lineRule="exact"/>
        <w:ind w:firstLine="587" w:firstLineChars="200"/>
        <w:rPr>
          <w:rFonts w:ascii="楷体" w:eastAsia="楷体" w:cs="宋体"/>
          <w:color w:val="000000"/>
          <w:kern w:val="0"/>
          <w:sz w:val="32"/>
          <w:lang w:val="zh-CN"/>
        </w:rPr>
      </w:pPr>
      <w:r>
        <w:rPr>
          <w:rFonts w:hint="eastAsia" w:ascii="楷体_GB2312" w:eastAsia="楷体_GB2312" w:cs="宋体"/>
          <w:b/>
          <w:color w:val="000000"/>
          <w:spacing w:val="-14"/>
          <w:kern w:val="0"/>
          <w:sz w:val="32"/>
          <w:szCs w:val="32"/>
        </w:rPr>
        <w:t>（二）执行管理情况。</w:t>
      </w:r>
      <w:r>
        <w:rPr>
          <w:rFonts w:hint="eastAsia" w:ascii="楷体" w:eastAsia="楷体" w:cs="宋体"/>
          <w:color w:val="000000"/>
          <w:kern w:val="0"/>
          <w:sz w:val="32"/>
          <w:lang w:val="zh-CN"/>
        </w:rPr>
        <w:tab/>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1.预算执行情况：所有预算严格按照预算法执行，本机关由于突发性工作较多，年初预算和当年决算数相比人员经费和公用经费没有达到只减不增要求，预算经费中人员经费是按月</w:t>
      </w:r>
      <w:r>
        <w:rPr>
          <w:rFonts w:hint="eastAsia" w:ascii="仿宋_GB2312" w:eastAsia="仿宋_GB2312"/>
          <w:color w:val="000000"/>
          <w:sz w:val="32"/>
          <w:szCs w:val="32"/>
          <w:lang w:eastAsia="zh-CN"/>
        </w:rPr>
        <w:t>拨付</w:t>
      </w:r>
      <w:r>
        <w:rPr>
          <w:rFonts w:hint="eastAsia" w:ascii="仿宋_GB2312" w:eastAsia="仿宋_GB2312"/>
          <w:color w:val="000000"/>
          <w:sz w:val="32"/>
          <w:szCs w:val="32"/>
        </w:rPr>
        <w:t>，公用经费是按季进行</w:t>
      </w:r>
      <w:r>
        <w:rPr>
          <w:rFonts w:hint="eastAsia" w:ascii="仿宋_GB2312" w:eastAsia="仿宋_GB2312"/>
          <w:color w:val="000000"/>
          <w:sz w:val="32"/>
          <w:szCs w:val="32"/>
          <w:lang w:eastAsia="zh-CN"/>
        </w:rPr>
        <w:t>拨付</w:t>
      </w:r>
      <w:r>
        <w:rPr>
          <w:rFonts w:hint="eastAsia" w:ascii="仿宋_GB2312" w:eastAsia="仿宋_GB2312"/>
          <w:color w:val="000000"/>
          <w:sz w:val="32"/>
          <w:szCs w:val="32"/>
        </w:rPr>
        <w:t>。</w:t>
      </w:r>
    </w:p>
    <w:p>
      <w:pPr>
        <w:widowControl/>
        <w:spacing w:line="54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2.中期评估:根据《预算法》以及部门预算编制重点，结合本单位工作实际，编制本单位三年流动财政规划报表。</w:t>
      </w:r>
    </w:p>
    <w:p>
      <w:pPr>
        <w:widowControl/>
        <w:spacing w:line="54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（1）编制了县级2017年—2019年三年滚动财政规划表。</w:t>
      </w:r>
    </w:p>
    <w:p>
      <w:pPr>
        <w:widowControl/>
        <w:spacing w:line="54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（2）编制了县级2019年—2021年三年滚动财政规划表。</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3.节能降耗方面：水电油2020年、2021年预算数差不多，决算数比预算数大，因为本机关由于突发性工作较多，年初预算和当年决算数相比没有达到只减不增要求。</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4.三公经费预算执行情况;</w:t>
      </w:r>
    </w:p>
    <w:p>
      <w:pPr>
        <w:spacing w:line="540" w:lineRule="exact"/>
        <w:ind w:firstLine="640" w:firstLineChars="200"/>
        <w:rPr>
          <w:rFonts w:ascii="仿宋_GB2312" w:eastAsia="仿宋_GB2312"/>
          <w:color w:val="000000"/>
          <w:sz w:val="32"/>
          <w:szCs w:val="32"/>
        </w:rPr>
      </w:pPr>
      <w:r>
        <w:rPr>
          <w:rFonts w:hint="eastAsia" w:ascii="仿宋_GB2312" w:eastAsia="仿宋_GB2312" w:cs="仿宋"/>
          <w:color w:val="000000"/>
          <w:sz w:val="32"/>
          <w:szCs w:val="32"/>
        </w:rPr>
        <w:t>（1）2020年度“三公”经费财政拨款支出决算数为50.10万元，其中：无因公出国（境）费支出；无公务用车购置费，无公务接待费，公务用车购置及运行维护费支出决算50.10。</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（2）2021年公务接待费0万元，（按2021年编制预算文件，公务接待费按总公务费比例计算）；2021年上半年公务用车维护费10.59万元，</w:t>
      </w:r>
      <w:r>
        <w:rPr>
          <w:rFonts w:hint="eastAsia" w:ascii="仿宋_GB2312" w:eastAsia="仿宋_GB2312" w:cs="仿宋"/>
          <w:color w:val="000000"/>
          <w:sz w:val="32"/>
          <w:szCs w:val="32"/>
        </w:rPr>
        <w:t>公务用车购置费66.21万元</w:t>
      </w:r>
      <w:r>
        <w:rPr>
          <w:rFonts w:hint="eastAsia" w:ascii="仿宋_GB2312" w:eastAsia="仿宋_GB2312"/>
          <w:color w:val="000000"/>
          <w:sz w:val="32"/>
          <w:szCs w:val="32"/>
        </w:rPr>
        <w:t>。</w:t>
      </w:r>
    </w:p>
    <w:p>
      <w:pPr>
        <w:widowControl/>
        <w:numPr>
          <w:ilvl w:val="0"/>
          <w:numId w:val="7"/>
        </w:numPr>
        <w:adjustRightInd w:val="0"/>
        <w:snapToGrid w:val="0"/>
        <w:spacing w:line="540" w:lineRule="exact"/>
        <w:ind w:left="0" w:firstLine="587" w:firstLineChars="200"/>
        <w:rPr>
          <w:rFonts w:ascii="楷体_GB2312" w:eastAsia="楷体_GB2312" w:cs="宋体"/>
          <w:b/>
          <w:color w:val="000000"/>
          <w:spacing w:val="-14"/>
          <w:kern w:val="0"/>
          <w:sz w:val="32"/>
          <w:szCs w:val="32"/>
        </w:rPr>
      </w:pPr>
      <w:r>
        <w:rPr>
          <w:rFonts w:hint="eastAsia" w:ascii="楷体_GB2312" w:eastAsia="楷体_GB2312" w:cs="宋体"/>
          <w:b/>
          <w:color w:val="000000"/>
          <w:spacing w:val="-14"/>
          <w:kern w:val="0"/>
          <w:sz w:val="32"/>
          <w:szCs w:val="32"/>
        </w:rPr>
        <w:t>综合管理情况。</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 1.政府采购方面：进行政府采购的资产严格按采购程序采购并登记入账，零星采购严格按固定资产管理办法进行登记入账。2020年，县人大办政府采购支出总额23.93万元，主要用于购买预算联网监督软件，已登记入账。2021年上半年，政府采购支出总额65.27万元，用于购置公务用车。</w:t>
      </w:r>
    </w:p>
    <w:p>
      <w:pPr>
        <w:pStyle w:val="12"/>
        <w:shd w:val="clear" w:color="auto" w:fill="FFFFFF"/>
        <w:spacing w:before="0" w:beforeAutospacing="0" w:after="0" w:afterAutospacing="0" w:line="540" w:lineRule="exact"/>
        <w:ind w:firstLine="630"/>
        <w:jc w:val="both"/>
        <w:rPr>
          <w:rFonts w:ascii="仿宋_GB2312" w:eastAsia="仿宋_GB2312" w:cs="Times New Roman"/>
          <w:color w:val="000000"/>
          <w:kern w:val="2"/>
          <w:sz w:val="32"/>
          <w:szCs w:val="32"/>
        </w:rPr>
      </w:pPr>
      <w:r>
        <w:rPr>
          <w:rFonts w:hint="eastAsia" w:ascii="仿宋_GB2312" w:eastAsia="仿宋_GB2312"/>
          <w:color w:val="000000"/>
          <w:sz w:val="32"/>
          <w:szCs w:val="32"/>
        </w:rPr>
        <w:t xml:space="preserve"> 2.固定资产管理方面：本单位固定资产按科学合理、优化资产结构、勤俭节约的原则和专门的资产管理系统进行管理，</w:t>
      </w:r>
      <w:r>
        <w:rPr>
          <w:rFonts w:hint="eastAsia" w:ascii="仿宋_GB2312" w:eastAsia="仿宋_GB2312" w:cs="Times New Roman"/>
          <w:color w:val="000000"/>
          <w:kern w:val="2"/>
          <w:sz w:val="32"/>
          <w:szCs w:val="32"/>
        </w:rPr>
        <w:t>截至2020年12月31日，固定资产账面数总计371.99万元</w:t>
      </w:r>
      <w:r>
        <w:rPr>
          <w:rFonts w:hint="eastAsia" w:ascii="仿宋_GB2312" w:eastAsia="仿宋_GB2312"/>
          <w:color w:val="000000"/>
          <w:sz w:val="32"/>
          <w:szCs w:val="32"/>
        </w:rPr>
        <w:t>，</w:t>
      </w:r>
      <w:r>
        <w:rPr>
          <w:rFonts w:hint="eastAsia" w:ascii="仿宋_GB2312" w:eastAsia="仿宋_GB2312" w:cs="Times New Roman"/>
          <w:color w:val="000000"/>
          <w:kern w:val="2"/>
          <w:sz w:val="32"/>
          <w:szCs w:val="32"/>
        </w:rPr>
        <w:t>截至2021年6月30日，固定资产账面数总计437.49万元</w:t>
      </w:r>
      <w:r>
        <w:rPr>
          <w:rFonts w:hint="eastAsia" w:ascii="仿宋_GB2312" w:eastAsia="仿宋_GB2312"/>
          <w:color w:val="000000"/>
          <w:sz w:val="32"/>
          <w:szCs w:val="32"/>
        </w:rPr>
        <w:t>，固定资产账面数据和固定资产管理系统数据一致。</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3.内控制度方面:为进一步做好行政事业单位内部控制基础性工作，贯彻执行县财政局《关于开展行政事业单位内部控制报告编报工作的通知》金财〔2017〕35号文件要求，结合本机关实际，特制订以下制度草案：</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 xml:space="preserve">（1）金川县人民代表大会常务委员会办公室预算管理制度 </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（2）金川县人民代表大会常务委员会办公室财务收支管理制度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（3）金川县人民代表大会常务委员会办公室采购及管理制度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（4）金川县人民代表大会常务委员会办公室资产管理制度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（5）金川县人民代表大会常务委员会办公室合同管理制度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（6）金川县人民代表大会常务委员会办公室财务管理制度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（7）金川县人民代表大会常务委员会办公室差旅费报销制度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（8）金川县人民代表大会常务委员会办公室公务接待和陪餐制度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（9）金川县人民代表大会常务委员会办公室工作岗位职责制度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（10）金川县人民代表大会常务委员会办公室考勤制度、请销假制度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（11）金川县人民代表大会常务委员会办公室下乡和车辆管理制度、驾驶员管理工作制度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（12）金川县人民代表大会常务委员会办公室会务工作制度、</w:t>
      </w:r>
      <w:r>
        <w:rPr>
          <w:rFonts w:hint="eastAsia" w:ascii="仿宋_GB2312" w:eastAsia="仿宋_GB2312"/>
          <w:color w:val="000000"/>
          <w:sz w:val="32"/>
          <w:szCs w:val="32"/>
          <w:lang w:eastAsia="zh-CN"/>
        </w:rPr>
        <w:t>内部联系</w:t>
      </w:r>
      <w:r>
        <w:rPr>
          <w:rFonts w:hint="eastAsia" w:ascii="仿宋_GB2312" w:eastAsia="仿宋_GB2312"/>
          <w:color w:val="000000"/>
          <w:sz w:val="32"/>
          <w:szCs w:val="32"/>
        </w:rPr>
        <w:t>工作制度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（13）金川县人民代表大会常务委员会办公室保密工作制度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（14）金川县人民代表大会常务委员会办公室首问制度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（15）金川县人民代表大会常务委员会办公室学习会议制度</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（16）金川县人民代表大会常务委员会办公室印章管理使用制度等</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4.信息公开方面：预算决算及“三公”经费情况公开按财政局的要求在收到财政批复后20个工作日在金川县政府中心的信息网站进行公开。</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5.绩效评价及财政监督情况:按金财监绩【2021】26号文件的附件4部门支出绩效评价指标体系进行单位自评，按财政要求收支并接受财政的监督管理。</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（四）整体绩效。</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通过加强预算收支的管理，本机关不断建立健全内部管理制度，理顺内部管理流程，部门整体支出管理情况得到了提升。部门整体支出绩效情况如下：</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1、本年预算安排控制较好，控制在预算编制以内。</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2、预算执行方面，支出总额控制在预算总额以内；本</w:t>
      </w:r>
      <w:bookmarkStart w:id="136" w:name="_GoBack"/>
      <w:bookmarkEnd w:id="136"/>
      <w:r>
        <w:rPr>
          <w:rFonts w:hint="eastAsia" w:ascii="仿宋_GB2312" w:eastAsia="仿宋_GB2312"/>
          <w:color w:val="000000"/>
          <w:sz w:val="32"/>
          <w:szCs w:val="32"/>
        </w:rPr>
        <w:t>年无转移资金支付，不存在截留或滞留专项资金情况。　</w:t>
      </w:r>
    </w:p>
    <w:p>
      <w:pPr>
        <w:pStyle w:val="12"/>
        <w:shd w:val="clear" w:color="auto" w:fill="FFFFFF"/>
        <w:spacing w:before="0" w:beforeAutospacing="0" w:after="0" w:afterAutospacing="0" w:line="540" w:lineRule="exact"/>
        <w:ind w:firstLine="630"/>
        <w:jc w:val="both"/>
        <w:rPr>
          <w:rFonts w:ascii="仿宋_GB2312" w:eastAsia="仿宋_GB2312"/>
          <w:color w:val="000000"/>
          <w:sz w:val="32"/>
          <w:szCs w:val="32"/>
        </w:rPr>
      </w:pPr>
      <w:r>
        <w:rPr>
          <w:rFonts w:hint="eastAsia" w:ascii="仿宋_GB2312" w:eastAsia="仿宋_GB2312"/>
          <w:color w:val="000000"/>
          <w:sz w:val="32"/>
          <w:szCs w:val="32"/>
        </w:rPr>
        <w:t>3、项目产出及社会效益评价</w:t>
      </w:r>
    </w:p>
    <w:p>
      <w:pPr>
        <w:snapToGrid w:val="0"/>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2020年全年及2021年上半年人大机关狠抓重点工作，</w:t>
      </w:r>
      <w:r>
        <w:rPr>
          <w:rFonts w:hint="eastAsia" w:ascii="仿宋_GB2312" w:eastAsia="仿宋_GB2312"/>
          <w:color w:val="000000"/>
          <w:sz w:val="32"/>
          <w:szCs w:val="32"/>
          <w:lang w:eastAsia="zh-CN"/>
        </w:rPr>
        <w:t>较好地完成</w:t>
      </w:r>
      <w:r>
        <w:rPr>
          <w:rFonts w:hint="eastAsia" w:ascii="仿宋_GB2312" w:eastAsia="仿宋_GB2312"/>
          <w:color w:val="000000"/>
          <w:sz w:val="32"/>
          <w:szCs w:val="32"/>
        </w:rPr>
        <w:t>了各项目标任务，取得了较好的社会效益。主要绩效如下：2020年全年及2021年上半年我办狠抓重点工作，</w:t>
      </w:r>
      <w:r>
        <w:rPr>
          <w:rFonts w:hint="eastAsia" w:ascii="仿宋_GB2312" w:eastAsia="仿宋_GB2312"/>
          <w:color w:val="000000"/>
          <w:sz w:val="32"/>
          <w:szCs w:val="32"/>
          <w:lang w:eastAsia="zh-CN"/>
        </w:rPr>
        <w:t>较好地完成</w:t>
      </w:r>
      <w:r>
        <w:rPr>
          <w:rFonts w:hint="eastAsia" w:ascii="仿宋_GB2312" w:eastAsia="仿宋_GB2312"/>
          <w:color w:val="000000"/>
          <w:sz w:val="32"/>
          <w:szCs w:val="32"/>
        </w:rPr>
        <w:t>了各项目标任务，取得了较好的社会效益。主要绩效如下：2020年县人大常委会在县委的坚强领导、州人大常委会的悉心指导下，始终坚持以习近平新时代中国特色社会主义思想、习近平关于坚持和完善人民代表大会制度重要思想指导，全面贯彻落实中央、省州县委系列重大决策部署，主动担当作为、依法履职行权，圆满完成了县十四届人大四次会议确定的各项目标任务，为助推金川经济社会平稳健康发展贡献了人大智慧和力量。全年共召开主任会议16次，常委会议9次，听取审议专项工作报告18项，作出决议决定10项，提出审议意见16条，开展视察调研15次。</w:t>
      </w:r>
    </w:p>
    <w:p>
      <w:pPr>
        <w:pStyle w:val="12"/>
        <w:shd w:val="clear" w:color="auto" w:fill="FFFFFF"/>
        <w:spacing w:before="0" w:beforeAutospacing="0" w:after="0" w:afterAutospacing="0" w:line="540" w:lineRule="exact"/>
        <w:ind w:firstLine="630"/>
        <w:jc w:val="both"/>
        <w:rPr>
          <w:rFonts w:hint="eastAsia" w:ascii="仿宋_GB2312" w:eastAsia="仿宋_GB2312" w:cs="Times New Roman"/>
          <w:color w:val="000000"/>
          <w:kern w:val="2"/>
          <w:sz w:val="32"/>
          <w:szCs w:val="32"/>
        </w:rPr>
      </w:pPr>
      <w:r>
        <w:rPr>
          <w:rFonts w:hint="eastAsia" w:ascii="仿宋_GB2312" w:eastAsia="仿宋_GB2312" w:cs="Times New Roman"/>
          <w:color w:val="000000"/>
          <w:kern w:val="2"/>
          <w:sz w:val="32"/>
          <w:szCs w:val="32"/>
        </w:rPr>
        <w:t>4、</w:t>
      </w:r>
      <w:r>
        <w:rPr>
          <w:rFonts w:hint="eastAsia" w:ascii="仿宋_GB2312" w:eastAsia="仿宋_GB2312"/>
          <w:color w:val="000000"/>
          <w:sz w:val="32"/>
          <w:szCs w:val="32"/>
        </w:rPr>
        <w:t>绩效评价指标体系单位</w:t>
      </w:r>
      <w:r>
        <w:rPr>
          <w:rFonts w:hint="eastAsia" w:ascii="仿宋_GB2312" w:eastAsia="仿宋_GB2312" w:cs="Times New Roman"/>
          <w:color w:val="000000"/>
          <w:kern w:val="2"/>
          <w:sz w:val="32"/>
          <w:szCs w:val="32"/>
        </w:rPr>
        <w:t>自评得分情况</w:t>
      </w:r>
    </w:p>
    <w:p>
      <w:pPr>
        <w:snapToGrid w:val="0"/>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根据金财监绩【2021】26号文件的附件4部门支出绩效评价指标体系进行单位自评。</w:t>
      </w:r>
    </w:p>
    <w:p>
      <w:pPr>
        <w:spacing w:line="540" w:lineRule="exact"/>
        <w:ind w:firstLine="640" w:firstLineChars="200"/>
        <w:rPr>
          <w:rFonts w:ascii="仿宋_GB2312" w:eastAsia="仿宋_GB2312"/>
          <w:color w:val="FF0000"/>
          <w:sz w:val="32"/>
          <w:szCs w:val="32"/>
        </w:rPr>
      </w:pPr>
      <w:r>
        <w:rPr>
          <w:rFonts w:hint="eastAsia" w:ascii="仿宋_GB2312" w:eastAsia="仿宋_GB2312"/>
          <w:color w:val="000000"/>
          <w:sz w:val="32"/>
          <w:szCs w:val="32"/>
        </w:rPr>
        <w:t>（1）部门预算管理总分80分，</w:t>
      </w:r>
      <w:r>
        <w:rPr>
          <w:rFonts w:hint="eastAsia" w:ascii="仿宋_GB2312" w:eastAsia="仿宋_GB2312"/>
          <w:sz w:val="32"/>
          <w:szCs w:val="32"/>
        </w:rPr>
        <w:t>自评得分72分，有1项8分为年终预算执行情况评分。</w:t>
      </w:r>
    </w:p>
    <w:p>
      <w:pPr>
        <w:spacing w:line="5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（2）绩效结果应用总分10分，自评得分10分。</w:t>
      </w:r>
    </w:p>
    <w:p>
      <w:pPr>
        <w:spacing w:line="540" w:lineRule="exact"/>
        <w:ind w:firstLine="640" w:firstLineChars="200"/>
        <w:rPr>
          <w:rFonts w:ascii="仿宋_GB2312" w:eastAsia="仿宋_GB2312"/>
          <w:color w:val="FF0000"/>
          <w:sz w:val="32"/>
          <w:szCs w:val="32"/>
        </w:rPr>
      </w:pPr>
      <w:r>
        <w:rPr>
          <w:rFonts w:hint="eastAsia" w:ascii="仿宋_GB2312" w:eastAsia="仿宋_GB2312"/>
          <w:sz w:val="32"/>
          <w:szCs w:val="32"/>
        </w:rPr>
        <w:t>（3）自评质量总分10分，自评得分10分。</w:t>
      </w:r>
    </w:p>
    <w:p>
      <w:pPr>
        <w:widowControl/>
        <w:adjustRightInd w:val="0"/>
        <w:snapToGrid w:val="0"/>
        <w:spacing w:line="540" w:lineRule="exact"/>
        <w:ind w:firstLine="876" w:firstLineChars="300"/>
        <w:rPr>
          <w:rFonts w:ascii="黑体" w:eastAsia="黑体" w:cs="宋体"/>
          <w:spacing w:val="-14"/>
          <w:kern w:val="0"/>
          <w:sz w:val="32"/>
          <w:szCs w:val="32"/>
        </w:rPr>
      </w:pPr>
      <w:r>
        <w:rPr>
          <w:rFonts w:hint="eastAsia" w:ascii="黑体" w:eastAsia="黑体" w:cs="宋体"/>
          <w:spacing w:val="-14"/>
          <w:kern w:val="0"/>
          <w:sz w:val="32"/>
          <w:szCs w:val="32"/>
        </w:rPr>
        <w:t>四、评价结论及建议</w:t>
      </w:r>
    </w:p>
    <w:p>
      <w:pPr>
        <w:widowControl/>
        <w:adjustRightInd w:val="0"/>
        <w:snapToGrid w:val="0"/>
        <w:spacing w:line="540" w:lineRule="exact"/>
        <w:ind w:firstLine="587" w:firstLineChars="200"/>
        <w:rPr>
          <w:rFonts w:ascii="楷体_GB2312" w:eastAsia="楷体_GB2312" w:cs="宋体"/>
          <w:b/>
          <w:spacing w:val="-14"/>
          <w:kern w:val="0"/>
          <w:sz w:val="32"/>
          <w:szCs w:val="32"/>
        </w:rPr>
      </w:pPr>
      <w:r>
        <w:rPr>
          <w:rFonts w:hint="eastAsia" w:ascii="楷体_GB2312" w:eastAsia="楷体_GB2312" w:cs="宋体"/>
          <w:b/>
          <w:spacing w:val="-14"/>
          <w:kern w:val="0"/>
          <w:sz w:val="32"/>
          <w:szCs w:val="32"/>
        </w:rPr>
        <w:t>（一）评价结论。</w:t>
      </w:r>
    </w:p>
    <w:p>
      <w:pPr>
        <w:snapToGrid w:val="0"/>
        <w:spacing w:line="540" w:lineRule="exact"/>
        <w:ind w:firstLine="640" w:firstLineChars="200"/>
        <w:rPr>
          <w:rFonts w:ascii="仿宋_GB2312" w:eastAsia="仿宋_GB2312"/>
          <w:sz w:val="32"/>
          <w:szCs w:val="32"/>
        </w:rPr>
      </w:pPr>
      <w:r>
        <w:rPr>
          <w:rFonts w:hint="eastAsia" w:ascii="仿宋_GB2312" w:eastAsia="仿宋_GB2312"/>
          <w:sz w:val="32"/>
          <w:szCs w:val="32"/>
        </w:rPr>
        <w:t>本机关高度重视此次绩效评价工作，召开了专门的会议研究和安排此项工作，责任到人，确保工作按质按量完成。在实施的过程中，按照</w:t>
      </w:r>
      <w:r>
        <w:rPr>
          <w:rFonts w:hint="eastAsia" w:ascii="仿宋_GB2312" w:eastAsia="仿宋_GB2312"/>
          <w:color w:val="000000"/>
          <w:sz w:val="32"/>
          <w:szCs w:val="32"/>
        </w:rPr>
        <w:t>金财监绩【2021】26号</w:t>
      </w:r>
      <w:r>
        <w:rPr>
          <w:rFonts w:hint="eastAsia" w:ascii="仿宋_GB2312" w:eastAsia="仿宋_GB2312"/>
          <w:sz w:val="32"/>
          <w:szCs w:val="32"/>
        </w:rPr>
        <w:t>文件的要求，结合人大财政支出的实际情况，认真对照评价标准进行自评打分，对存在的不足进行梳理整改。</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本单位总体评价内容内实际得分92分。</w:t>
      </w:r>
    </w:p>
    <w:p>
      <w:pPr>
        <w:pStyle w:val="12"/>
        <w:shd w:val="clear" w:color="auto" w:fill="FFFFFF"/>
        <w:spacing w:before="0" w:beforeAutospacing="0" w:after="0" w:afterAutospacing="0" w:line="540" w:lineRule="exact"/>
        <w:ind w:firstLine="630"/>
        <w:jc w:val="both"/>
        <w:rPr>
          <w:rFonts w:ascii="仿宋_GB2312" w:eastAsia="仿宋_GB2312" w:cs="Times New Roman"/>
          <w:kern w:val="2"/>
          <w:sz w:val="32"/>
          <w:szCs w:val="32"/>
        </w:rPr>
      </w:pPr>
      <w:r>
        <w:rPr>
          <w:rFonts w:hint="eastAsia" w:ascii="仿宋_GB2312" w:eastAsia="仿宋_GB2312" w:cs="Times New Roman"/>
          <w:kern w:val="2"/>
          <w:sz w:val="32"/>
          <w:szCs w:val="32"/>
        </w:rPr>
        <w:t xml:space="preserve">财务支出基本符合相关要求规定，充分发挥了财政资金的作用，人大工作取得了较大的进步，在经济效益、社会效益、生态效益等方面发挥了积极作用。 </w:t>
      </w:r>
    </w:p>
    <w:p>
      <w:pPr>
        <w:widowControl/>
        <w:adjustRightInd w:val="0"/>
        <w:snapToGrid w:val="0"/>
        <w:spacing w:line="540" w:lineRule="exact"/>
        <w:ind w:firstLine="587" w:firstLineChars="200"/>
        <w:rPr>
          <w:rFonts w:ascii="楷体_GB2312" w:eastAsia="楷体_GB2312" w:cs="宋体"/>
          <w:b/>
          <w:spacing w:val="-14"/>
          <w:kern w:val="0"/>
          <w:sz w:val="32"/>
          <w:szCs w:val="32"/>
        </w:rPr>
      </w:pPr>
      <w:r>
        <w:rPr>
          <w:rFonts w:hint="eastAsia" w:ascii="楷体_GB2312" w:eastAsia="楷体_GB2312" w:cs="宋体"/>
          <w:b/>
          <w:spacing w:val="-14"/>
          <w:kern w:val="0"/>
          <w:sz w:val="32"/>
          <w:szCs w:val="32"/>
        </w:rPr>
        <w:t>（二）存在问题。</w:t>
      </w:r>
    </w:p>
    <w:p>
      <w:pPr>
        <w:pStyle w:val="12"/>
        <w:shd w:val="clear" w:color="auto" w:fill="FFFFFF"/>
        <w:spacing w:before="0" w:beforeAutospacing="0" w:after="0" w:afterAutospacing="0" w:line="540" w:lineRule="exact"/>
        <w:ind w:firstLine="630"/>
        <w:jc w:val="both"/>
        <w:rPr>
          <w:rFonts w:ascii="仿宋_GB2312" w:eastAsia="仿宋_GB2312" w:cs="Times New Roman"/>
          <w:kern w:val="2"/>
          <w:sz w:val="32"/>
          <w:szCs w:val="32"/>
        </w:rPr>
      </w:pPr>
      <w:r>
        <w:rPr>
          <w:rFonts w:hint="eastAsia" w:ascii="仿宋_GB2312" w:eastAsia="仿宋_GB2312" w:cs="Times New Roman"/>
          <w:kern w:val="2"/>
          <w:sz w:val="32"/>
          <w:szCs w:val="32"/>
        </w:rPr>
        <w:t xml:space="preserve">本机关在资金的使用和安排上取得了较好的预算执行结果，但仍存在预算管理不够完善，资金使用不够科学等问题，本机关认真梳理存在的问题，改进提高工作效率。 </w:t>
      </w:r>
    </w:p>
    <w:p>
      <w:pPr>
        <w:pStyle w:val="12"/>
        <w:shd w:val="clear" w:color="auto" w:fill="FFFFFF"/>
        <w:spacing w:before="0" w:beforeAutospacing="0" w:after="0" w:afterAutospacing="0" w:line="540" w:lineRule="exact"/>
        <w:ind w:firstLine="630"/>
        <w:jc w:val="both"/>
        <w:rPr>
          <w:rFonts w:ascii="仿宋_GB2312" w:eastAsia="仿宋_GB2312" w:cs="Times New Roman"/>
          <w:kern w:val="2"/>
          <w:sz w:val="32"/>
          <w:szCs w:val="32"/>
        </w:rPr>
      </w:pPr>
      <w:r>
        <w:rPr>
          <w:rFonts w:hint="eastAsia" w:ascii="仿宋_GB2312" w:eastAsia="仿宋_GB2312" w:cs="Times New Roman"/>
          <w:kern w:val="2"/>
          <w:sz w:val="32"/>
          <w:szCs w:val="32"/>
        </w:rPr>
        <w:t xml:space="preserve">1、资金的使用还不完全符合科学性，效益性，预算经费支出进度较缓。 </w:t>
      </w:r>
    </w:p>
    <w:p>
      <w:pPr>
        <w:pStyle w:val="12"/>
        <w:shd w:val="clear" w:color="auto" w:fill="FFFFFF"/>
        <w:spacing w:before="0" w:beforeAutospacing="0" w:after="0" w:afterAutospacing="0" w:line="540" w:lineRule="exact"/>
        <w:ind w:firstLine="630"/>
        <w:jc w:val="both"/>
        <w:rPr>
          <w:rFonts w:ascii="仿宋_GB2312" w:eastAsia="仿宋_GB2312" w:cs="Times New Roman"/>
          <w:kern w:val="2"/>
          <w:sz w:val="32"/>
          <w:szCs w:val="32"/>
        </w:rPr>
      </w:pPr>
      <w:r>
        <w:rPr>
          <w:rFonts w:hint="eastAsia" w:ascii="仿宋_GB2312" w:eastAsia="仿宋_GB2312" w:cs="Times New Roman"/>
          <w:kern w:val="2"/>
          <w:sz w:val="32"/>
          <w:szCs w:val="32"/>
        </w:rPr>
        <w:t xml:space="preserve">2、固定资产管理不够完善,处置不够规范，有些应报废的固定资产没有及时申报报废或者申报报废后未及时进行销毁等。 </w:t>
      </w:r>
    </w:p>
    <w:p>
      <w:pPr>
        <w:widowControl/>
        <w:adjustRightInd w:val="0"/>
        <w:snapToGrid w:val="0"/>
        <w:spacing w:line="540" w:lineRule="exact"/>
        <w:ind w:firstLine="587" w:firstLineChars="200"/>
        <w:rPr>
          <w:rFonts w:ascii="楷体_GB2312" w:eastAsia="楷体_GB2312" w:cs="宋体"/>
          <w:b/>
          <w:spacing w:val="-14"/>
          <w:kern w:val="0"/>
          <w:sz w:val="32"/>
          <w:szCs w:val="32"/>
        </w:rPr>
      </w:pPr>
      <w:r>
        <w:rPr>
          <w:rFonts w:hint="eastAsia" w:ascii="楷体_GB2312" w:eastAsia="楷体_GB2312" w:cs="宋体"/>
          <w:b/>
          <w:spacing w:val="-14"/>
          <w:kern w:val="0"/>
          <w:sz w:val="32"/>
          <w:szCs w:val="32"/>
        </w:rPr>
        <w:t>（三）改进建议。</w:t>
      </w:r>
    </w:p>
    <w:p>
      <w:pPr>
        <w:pStyle w:val="12"/>
        <w:shd w:val="clear" w:color="auto" w:fill="FFFFFF"/>
        <w:spacing w:before="0" w:beforeAutospacing="0" w:after="0" w:afterAutospacing="0" w:line="540" w:lineRule="exact"/>
        <w:ind w:firstLine="630"/>
        <w:jc w:val="both"/>
        <w:rPr>
          <w:rFonts w:ascii="仿宋_GB2312" w:eastAsia="仿宋_GB2312" w:cs="Times New Roman"/>
          <w:kern w:val="2"/>
          <w:sz w:val="32"/>
          <w:szCs w:val="32"/>
        </w:rPr>
      </w:pPr>
      <w:r>
        <w:rPr>
          <w:rFonts w:hint="eastAsia" w:ascii="仿宋_GB2312" w:eastAsia="仿宋_GB2312" w:cs="Times New Roman"/>
          <w:kern w:val="2"/>
          <w:sz w:val="32"/>
          <w:szCs w:val="32"/>
        </w:rPr>
        <w:t>1、严格按照《会计法》、《行政单位会计制度》、《行政单位财务规则》等规定执行财务核算，并结合实际情况，完整、准确地披露相关信息，尽可能地做到决算与预算相衔接。</w:t>
      </w:r>
    </w:p>
    <w:p>
      <w:pPr>
        <w:pStyle w:val="12"/>
        <w:shd w:val="clear" w:color="auto" w:fill="FFFFFF"/>
        <w:spacing w:before="0" w:beforeAutospacing="0" w:after="0" w:afterAutospacing="0" w:line="540" w:lineRule="exact"/>
        <w:ind w:firstLine="630"/>
        <w:jc w:val="both"/>
        <w:rPr>
          <w:rFonts w:ascii="仿宋_GB2312" w:eastAsia="仿宋_GB2312" w:cs="Times New Roman"/>
          <w:kern w:val="2"/>
          <w:sz w:val="32"/>
          <w:szCs w:val="32"/>
        </w:rPr>
      </w:pPr>
      <w:r>
        <w:rPr>
          <w:rFonts w:hint="eastAsia" w:ascii="仿宋_GB2312" w:eastAsia="仿宋_GB2312" w:cs="Times New Roman"/>
          <w:kern w:val="2"/>
          <w:sz w:val="32"/>
          <w:szCs w:val="32"/>
        </w:rPr>
        <w:t xml:space="preserve">2、进一步加强内部控制，注重资金管理的事前、事中、事后的全过程监督，加强资金使用效率。 </w:t>
      </w:r>
    </w:p>
    <w:p>
      <w:pPr>
        <w:pStyle w:val="12"/>
        <w:shd w:val="clear" w:color="auto" w:fill="FFFFFF"/>
        <w:spacing w:before="0" w:beforeAutospacing="0" w:after="0" w:afterAutospacing="0" w:line="540" w:lineRule="exact"/>
        <w:ind w:firstLine="630"/>
        <w:jc w:val="both"/>
        <w:rPr>
          <w:rFonts w:ascii="仿宋_GB2312" w:eastAsia="仿宋_GB2312" w:cs="Times New Roman"/>
          <w:kern w:val="2"/>
          <w:sz w:val="32"/>
          <w:szCs w:val="32"/>
        </w:rPr>
      </w:pPr>
      <w:r>
        <w:rPr>
          <w:rFonts w:hint="eastAsia" w:ascii="仿宋_GB2312" w:eastAsia="仿宋_GB2312" w:cs="Times New Roman"/>
          <w:kern w:val="2"/>
          <w:sz w:val="32"/>
          <w:szCs w:val="32"/>
        </w:rPr>
        <w:t xml:space="preserve">3、资产的核销与报废应加强管理，严格按照《固定资产管理办法》的规定加强固定资产管理，及时办理登记、报废等手续，每年对资产进行及时盘点和清查，真正做到账实相符。 </w:t>
      </w:r>
    </w:p>
    <w:p>
      <w:pPr>
        <w:numPr>
          <w:ilvl w:val="0"/>
          <w:numId w:val="6"/>
        </w:numPr>
        <w:spacing w:line="600" w:lineRule="exact"/>
        <w:ind w:left="0" w:firstLine="660" w:firstLineChars="150"/>
        <w:jc w:val="center"/>
        <w:outlineLvl w:val="0"/>
        <w:rPr>
          <w:rStyle w:val="17"/>
          <w:rFonts w:hint="eastAsia" w:ascii="黑体" w:eastAsia="黑体"/>
          <w:b w:val="0"/>
        </w:rPr>
      </w:pPr>
      <w:bookmarkStart w:id="76" w:name="_Toc98838282"/>
      <w:r>
        <w:rPr>
          <w:rStyle w:val="17"/>
          <w:rFonts w:hint="eastAsia" w:ascii="黑体" w:eastAsia="黑体"/>
          <w:b w:val="0"/>
        </w:rPr>
        <w:t xml:space="preserve"> 附表</w:t>
      </w:r>
    </w:p>
    <w:bookmarkEnd w:id="76"/>
    <w:p>
      <w:pPr>
        <w:spacing w:line="600" w:lineRule="exact"/>
        <w:jc w:val="center"/>
        <w:outlineLvl w:val="0"/>
        <w:rPr>
          <w:rStyle w:val="17"/>
          <w:rFonts w:hint="eastAsia" w:ascii="黑体" w:eastAsia="黑体"/>
          <w:b w:val="0"/>
        </w:rPr>
      </w:pPr>
    </w:p>
    <w:p>
      <w:pPr>
        <w:rPr>
          <w:rStyle w:val="18"/>
          <w:rFonts w:hint="eastAsia" w:ascii="黑体" w:eastAsia="黑体" w:cs="黑体"/>
          <w:b w:val="0"/>
          <w:bCs w:val="0"/>
        </w:rPr>
      </w:pPr>
      <w:bookmarkStart w:id="77" w:name="_Toc11050"/>
      <w:bookmarkStart w:id="78" w:name="_Toc27613"/>
      <w:bookmarkStart w:id="79" w:name="_Toc98838283"/>
      <w:bookmarkStart w:id="80" w:name="_Toc8726"/>
      <w:r>
        <w:rPr>
          <w:rStyle w:val="18"/>
          <w:rFonts w:hint="eastAsia" w:ascii="黑体" w:eastAsia="黑体" w:cs="黑体"/>
          <w:b w:val="0"/>
          <w:bCs w:val="0"/>
        </w:rPr>
        <w:t>一、收入支出决算总表</w:t>
      </w:r>
    </w:p>
    <w:bookmarkEnd w:id="77"/>
    <w:bookmarkEnd w:id="78"/>
    <w:bookmarkEnd w:id="79"/>
    <w:bookmarkEnd w:id="80"/>
    <w:p>
      <w:pPr>
        <w:rPr>
          <w:rStyle w:val="18"/>
          <w:rFonts w:hint="eastAsia" w:ascii="黑体" w:eastAsia="黑体" w:cs="黑体"/>
          <w:b w:val="0"/>
          <w:bCs w:val="0"/>
          <w:lang w:val="en-US" w:eastAsia="zh-CN"/>
        </w:rPr>
      </w:pPr>
      <w:bookmarkStart w:id="81" w:name="_Toc15396620"/>
      <w:bookmarkStart w:id="82" w:name="_Toc10922"/>
      <w:bookmarkStart w:id="83" w:name="_Toc12920"/>
      <w:bookmarkStart w:id="84" w:name="_Toc98838284"/>
      <w:bookmarkStart w:id="85" w:name="_Toc21686"/>
      <w:r>
        <w:rPr>
          <w:rStyle w:val="18"/>
          <w:rFonts w:hint="eastAsia" w:ascii="黑体" w:eastAsia="黑体" w:cs="黑体"/>
          <w:b w:val="0"/>
          <w:bCs w:val="0"/>
        </w:rPr>
        <w:t>二、收入决算表</w:t>
      </w:r>
      <w:r>
        <w:rPr>
          <w:rStyle w:val="18"/>
          <w:rFonts w:hint="eastAsia" w:ascii="黑体" w:eastAsia="黑体" w:cs="黑体"/>
          <w:b w:val="0"/>
          <w:bCs w:val="0"/>
          <w:lang w:val="en-US" w:eastAsia="zh-CN"/>
        </w:rPr>
        <w:t xml:space="preserve">   </w:t>
      </w:r>
      <w:bookmarkEnd w:id="81"/>
      <w:bookmarkEnd w:id="82"/>
      <w:bookmarkEnd w:id="83"/>
      <w:bookmarkStart w:id="86" w:name="_Toc12857"/>
      <w:bookmarkStart w:id="87" w:name="_Toc26222"/>
      <w:bookmarkStart w:id="88" w:name="_Toc15396621"/>
    </w:p>
    <w:bookmarkEnd w:id="84"/>
    <w:bookmarkEnd w:id="85"/>
    <w:p>
      <w:pPr>
        <w:rPr>
          <w:rStyle w:val="18"/>
          <w:rFonts w:hint="eastAsia" w:ascii="黑体" w:eastAsia="黑体" w:cs="黑体"/>
          <w:b w:val="0"/>
          <w:bCs w:val="0"/>
          <w:lang w:val="en-US" w:eastAsia="zh-CN"/>
        </w:rPr>
      </w:pPr>
      <w:bookmarkStart w:id="89" w:name="_Toc18686"/>
      <w:bookmarkStart w:id="90" w:name="_Toc98838285"/>
      <w:r>
        <w:rPr>
          <w:rStyle w:val="18"/>
          <w:rFonts w:hint="eastAsia" w:ascii="黑体" w:eastAsia="黑体" w:cs="黑体"/>
          <w:b w:val="0"/>
          <w:bCs w:val="0"/>
        </w:rPr>
        <w:t>三、支出决算表</w:t>
      </w:r>
      <w:r>
        <w:rPr>
          <w:rStyle w:val="18"/>
          <w:rFonts w:hint="eastAsia" w:ascii="黑体" w:eastAsia="黑体" w:cs="黑体"/>
          <w:b w:val="0"/>
          <w:bCs w:val="0"/>
          <w:lang w:val="en-US" w:eastAsia="zh-CN"/>
        </w:rPr>
        <w:t xml:space="preserve">   </w:t>
      </w:r>
      <w:bookmarkEnd w:id="86"/>
      <w:bookmarkEnd w:id="87"/>
      <w:bookmarkEnd w:id="88"/>
      <w:bookmarkStart w:id="91" w:name="_Toc15396622"/>
      <w:bookmarkStart w:id="92" w:name="_Toc24938"/>
      <w:bookmarkStart w:id="93" w:name="_Toc5390"/>
    </w:p>
    <w:bookmarkEnd w:id="89"/>
    <w:bookmarkEnd w:id="90"/>
    <w:p>
      <w:pPr>
        <w:rPr>
          <w:rStyle w:val="18"/>
          <w:rFonts w:hint="eastAsia" w:ascii="黑体" w:eastAsia="黑体" w:cs="黑体"/>
          <w:b w:val="0"/>
          <w:bCs w:val="0"/>
          <w:lang w:val="en-US" w:eastAsia="zh-CN"/>
        </w:rPr>
      </w:pPr>
      <w:bookmarkStart w:id="94" w:name="_Toc98838286"/>
      <w:bookmarkStart w:id="95" w:name="_Toc1498"/>
      <w:r>
        <w:rPr>
          <w:rStyle w:val="18"/>
          <w:rFonts w:hint="eastAsia" w:ascii="黑体" w:eastAsia="黑体" w:cs="黑体"/>
          <w:b w:val="0"/>
          <w:bCs w:val="0"/>
        </w:rPr>
        <w:t>四、</w:t>
      </w:r>
      <w:bookmarkEnd w:id="91"/>
      <w:bookmarkStart w:id="96" w:name="_Toc15396623"/>
      <w:r>
        <w:rPr>
          <w:rStyle w:val="18"/>
          <w:rFonts w:hint="eastAsia" w:ascii="黑体" w:eastAsia="黑体" w:cs="黑体"/>
          <w:b w:val="0"/>
          <w:bCs w:val="0"/>
        </w:rPr>
        <w:t>财政拨款收入支出决算总表</w:t>
      </w:r>
      <w:r>
        <w:rPr>
          <w:rStyle w:val="18"/>
          <w:rFonts w:hint="eastAsia" w:ascii="黑体" w:eastAsia="黑体" w:cs="黑体"/>
          <w:b w:val="0"/>
          <w:bCs w:val="0"/>
          <w:lang w:val="en-US" w:eastAsia="zh-CN"/>
        </w:rPr>
        <w:t xml:space="preserve">   </w:t>
      </w:r>
      <w:bookmarkEnd w:id="92"/>
      <w:bookmarkEnd w:id="93"/>
      <w:bookmarkStart w:id="97" w:name="_Toc6479"/>
      <w:bookmarkStart w:id="98" w:name="_Toc7415"/>
    </w:p>
    <w:bookmarkEnd w:id="94"/>
    <w:bookmarkEnd w:id="95"/>
    <w:p>
      <w:pPr>
        <w:rPr>
          <w:rStyle w:val="18"/>
          <w:rFonts w:hint="eastAsia" w:ascii="黑体" w:eastAsia="黑体" w:cs="黑体"/>
          <w:b w:val="0"/>
          <w:bCs w:val="0"/>
        </w:rPr>
      </w:pPr>
      <w:bookmarkStart w:id="99" w:name="_Toc20377"/>
      <w:bookmarkStart w:id="100" w:name="_Toc98838287"/>
      <w:r>
        <w:rPr>
          <w:rStyle w:val="18"/>
          <w:rFonts w:hint="eastAsia" w:ascii="黑体" w:eastAsia="黑体" w:cs="黑体"/>
          <w:b w:val="0"/>
          <w:bCs w:val="0"/>
        </w:rPr>
        <w:t>五、财政拨款收入支出决算</w:t>
      </w:r>
      <w:r>
        <w:rPr>
          <w:rStyle w:val="18"/>
          <w:rFonts w:hint="eastAsia" w:ascii="黑体" w:eastAsia="黑体" w:cs="黑体"/>
          <w:b w:val="0"/>
          <w:bCs w:val="0"/>
          <w:lang w:eastAsia="zh-CN"/>
        </w:rPr>
        <w:t>明细</w:t>
      </w:r>
      <w:r>
        <w:rPr>
          <w:rStyle w:val="18"/>
          <w:rFonts w:hint="eastAsia" w:ascii="黑体" w:eastAsia="黑体" w:cs="黑体"/>
          <w:b w:val="0"/>
          <w:bCs w:val="0"/>
        </w:rPr>
        <w:t>表</w:t>
      </w:r>
    </w:p>
    <w:bookmarkEnd w:id="97"/>
    <w:bookmarkEnd w:id="98"/>
    <w:bookmarkEnd w:id="99"/>
    <w:bookmarkEnd w:id="100"/>
    <w:p>
      <w:pPr>
        <w:rPr>
          <w:rStyle w:val="18"/>
          <w:rFonts w:hint="eastAsia" w:ascii="黑体" w:eastAsia="黑体" w:cs="黑体"/>
          <w:b w:val="0"/>
          <w:bCs w:val="0"/>
        </w:rPr>
      </w:pPr>
      <w:bookmarkStart w:id="101" w:name="_Toc98838288"/>
      <w:bookmarkStart w:id="102" w:name="_Toc18710"/>
      <w:bookmarkStart w:id="103" w:name="_Toc23857"/>
      <w:bookmarkStart w:id="104" w:name="_Toc28352"/>
      <w:r>
        <w:rPr>
          <w:rStyle w:val="18"/>
          <w:rFonts w:hint="eastAsia" w:ascii="黑体" w:eastAsia="黑体" w:cs="黑体"/>
          <w:b w:val="0"/>
          <w:bCs w:val="0"/>
        </w:rPr>
        <w:t>六、</w:t>
      </w:r>
      <w:bookmarkEnd w:id="96"/>
      <w:bookmarkStart w:id="105" w:name="_Toc15396624"/>
      <w:r>
        <w:rPr>
          <w:rStyle w:val="18"/>
          <w:rFonts w:hint="eastAsia" w:ascii="黑体" w:eastAsia="黑体" w:cs="黑体"/>
          <w:b w:val="0"/>
          <w:bCs w:val="0"/>
        </w:rPr>
        <w:t>一般公共预算财政拨款支出决算表</w:t>
      </w:r>
    </w:p>
    <w:bookmarkEnd w:id="101"/>
    <w:bookmarkEnd w:id="102"/>
    <w:bookmarkEnd w:id="103"/>
    <w:bookmarkEnd w:id="104"/>
    <w:p>
      <w:pPr>
        <w:rPr>
          <w:rStyle w:val="18"/>
          <w:rFonts w:hint="eastAsia" w:ascii="黑体" w:eastAsia="黑体" w:cs="黑体"/>
          <w:b w:val="0"/>
          <w:bCs w:val="0"/>
        </w:rPr>
      </w:pPr>
      <w:bookmarkStart w:id="106" w:name="_Toc20473"/>
      <w:bookmarkStart w:id="107" w:name="_Toc6416"/>
      <w:bookmarkStart w:id="108" w:name="_Toc4452"/>
      <w:bookmarkStart w:id="109" w:name="_Toc98838289"/>
      <w:r>
        <w:rPr>
          <w:rStyle w:val="18"/>
          <w:rFonts w:hint="eastAsia" w:ascii="黑体" w:eastAsia="黑体" w:cs="黑体"/>
          <w:b w:val="0"/>
          <w:bCs w:val="0"/>
        </w:rPr>
        <w:t>七、一般公共预算财政拨款支出决算明细表</w:t>
      </w:r>
    </w:p>
    <w:bookmarkEnd w:id="106"/>
    <w:bookmarkEnd w:id="107"/>
    <w:bookmarkEnd w:id="108"/>
    <w:bookmarkEnd w:id="109"/>
    <w:p>
      <w:pPr>
        <w:rPr>
          <w:rStyle w:val="18"/>
          <w:rFonts w:hint="eastAsia" w:ascii="黑体" w:eastAsia="黑体" w:cs="黑体"/>
          <w:b w:val="0"/>
          <w:bCs w:val="0"/>
        </w:rPr>
      </w:pPr>
      <w:bookmarkStart w:id="110" w:name="_Toc15580"/>
      <w:bookmarkStart w:id="111" w:name="_Toc8829"/>
      <w:bookmarkStart w:id="112" w:name="_Toc98838290"/>
      <w:bookmarkStart w:id="113" w:name="_Toc12126"/>
      <w:r>
        <w:rPr>
          <w:rStyle w:val="18"/>
          <w:rFonts w:hint="eastAsia" w:ascii="黑体" w:eastAsia="黑体" w:cs="黑体"/>
          <w:b w:val="0"/>
          <w:bCs w:val="0"/>
        </w:rPr>
        <w:t>八、</w:t>
      </w:r>
      <w:bookmarkEnd w:id="105"/>
      <w:bookmarkEnd w:id="110"/>
      <w:bookmarkEnd w:id="111"/>
      <w:bookmarkStart w:id="114" w:name="_Toc25850"/>
      <w:bookmarkStart w:id="115" w:name="_Toc30475"/>
      <w:r>
        <w:rPr>
          <w:rStyle w:val="18"/>
          <w:rFonts w:hint="eastAsia" w:ascii="黑体" w:eastAsia="黑体" w:cs="黑体"/>
          <w:b w:val="0"/>
          <w:bCs w:val="0"/>
        </w:rPr>
        <w:t>一般公共预算财政拨款基本支出决算表</w:t>
      </w:r>
    </w:p>
    <w:bookmarkEnd w:id="112"/>
    <w:bookmarkEnd w:id="113"/>
    <w:p>
      <w:pPr>
        <w:rPr>
          <w:rStyle w:val="18"/>
          <w:rFonts w:hint="eastAsia" w:ascii="黑体" w:eastAsia="黑体" w:cs="黑体"/>
          <w:b w:val="0"/>
          <w:bCs w:val="0"/>
        </w:rPr>
      </w:pPr>
      <w:bookmarkStart w:id="116" w:name="_Toc28975"/>
      <w:bookmarkStart w:id="117" w:name="_Toc98838291"/>
      <w:r>
        <w:rPr>
          <w:rStyle w:val="18"/>
          <w:rFonts w:hint="eastAsia" w:ascii="黑体" w:eastAsia="黑体" w:cs="黑体"/>
          <w:b w:val="0"/>
          <w:bCs w:val="0"/>
        </w:rPr>
        <w:t>九、</w:t>
      </w:r>
      <w:bookmarkEnd w:id="114"/>
      <w:bookmarkEnd w:id="115"/>
      <w:bookmarkStart w:id="118" w:name="_Toc32505"/>
      <w:bookmarkStart w:id="119" w:name="_Toc28435"/>
      <w:r>
        <w:rPr>
          <w:rStyle w:val="18"/>
          <w:rFonts w:hint="eastAsia" w:ascii="黑体" w:eastAsia="黑体" w:cs="黑体"/>
          <w:b w:val="0"/>
          <w:bCs w:val="0"/>
        </w:rPr>
        <w:t>一般公共预算财政拨款基本支出决算明细表</w:t>
      </w:r>
    </w:p>
    <w:bookmarkEnd w:id="116"/>
    <w:bookmarkEnd w:id="117"/>
    <w:p>
      <w:pPr>
        <w:rPr>
          <w:rStyle w:val="18"/>
          <w:rFonts w:hint="eastAsia" w:ascii="黑体" w:eastAsia="黑体" w:cs="黑体"/>
          <w:b w:val="0"/>
          <w:bCs w:val="0"/>
        </w:rPr>
      </w:pPr>
      <w:bookmarkStart w:id="120" w:name="_Toc5932"/>
      <w:bookmarkStart w:id="121" w:name="_Toc98838292"/>
      <w:r>
        <w:rPr>
          <w:rStyle w:val="18"/>
          <w:rFonts w:hint="eastAsia" w:ascii="黑体" w:eastAsia="黑体" w:cs="黑体"/>
          <w:b w:val="0"/>
          <w:bCs w:val="0"/>
        </w:rPr>
        <w:t>十、一般公共预算财政拨款支出决算明细表</w:t>
      </w:r>
    </w:p>
    <w:bookmarkEnd w:id="118"/>
    <w:bookmarkEnd w:id="119"/>
    <w:bookmarkEnd w:id="120"/>
    <w:bookmarkEnd w:id="121"/>
    <w:p>
      <w:pPr>
        <w:rPr>
          <w:rStyle w:val="18"/>
          <w:rFonts w:hint="eastAsia" w:ascii="黑体" w:eastAsia="黑体" w:cs="黑体"/>
          <w:b w:val="0"/>
          <w:bCs w:val="0"/>
        </w:rPr>
      </w:pPr>
      <w:bookmarkStart w:id="122" w:name="_Toc26326"/>
      <w:bookmarkStart w:id="123" w:name="_Toc98838293"/>
      <w:bookmarkStart w:id="124" w:name="_Toc7652"/>
      <w:bookmarkStart w:id="125" w:name="_Toc3409"/>
      <w:r>
        <w:rPr>
          <w:rStyle w:val="18"/>
          <w:rFonts w:hint="eastAsia" w:ascii="黑体" w:eastAsia="黑体" w:cs="黑体"/>
          <w:b w:val="0"/>
          <w:bCs w:val="0"/>
        </w:rPr>
        <w:t>十一、</w:t>
      </w:r>
      <w:bookmarkStart w:id="126" w:name="_Toc15396626"/>
      <w:r>
        <w:rPr>
          <w:rStyle w:val="18"/>
          <w:rFonts w:hint="eastAsia" w:ascii="黑体" w:eastAsia="黑体" w:cs="黑体"/>
          <w:b w:val="0"/>
          <w:bCs w:val="0"/>
        </w:rPr>
        <w:t>一般公共预算财政拨款</w:t>
      </w:r>
      <w:r>
        <w:rPr>
          <w:rStyle w:val="18"/>
          <w:rFonts w:hint="eastAsia" w:ascii="黑体" w:eastAsia="黑体" w:cs="黑体"/>
          <w:b w:val="0"/>
          <w:bCs w:val="0"/>
          <w:lang w:eastAsia="zh-CN"/>
        </w:rPr>
        <w:t>“三公”经费</w:t>
      </w:r>
      <w:r>
        <w:rPr>
          <w:rStyle w:val="18"/>
          <w:rFonts w:hint="eastAsia" w:ascii="黑体" w:eastAsia="黑体" w:cs="黑体"/>
          <w:b w:val="0"/>
          <w:bCs w:val="0"/>
        </w:rPr>
        <w:t>支出决算表</w:t>
      </w:r>
      <w:bookmarkEnd w:id="126"/>
      <w:bookmarkStart w:id="127" w:name="_Toc15396627"/>
    </w:p>
    <w:bookmarkEnd w:id="122"/>
    <w:bookmarkEnd w:id="123"/>
    <w:bookmarkEnd w:id="124"/>
    <w:bookmarkEnd w:id="125"/>
    <w:p>
      <w:pPr>
        <w:rPr>
          <w:rStyle w:val="18"/>
          <w:rFonts w:hint="eastAsia" w:ascii="仿宋" w:eastAsia="仿宋"/>
          <w:b w:val="0"/>
          <w:bCs w:val="0"/>
        </w:rPr>
      </w:pPr>
      <w:bookmarkStart w:id="128" w:name="_Toc20124"/>
      <w:bookmarkStart w:id="129" w:name="_Toc10565"/>
      <w:bookmarkStart w:id="130" w:name="_Toc98838294"/>
      <w:bookmarkStart w:id="131" w:name="_Toc26410"/>
      <w:r>
        <w:rPr>
          <w:rStyle w:val="18"/>
          <w:rFonts w:hint="eastAsia" w:ascii="黑体" w:eastAsia="黑体" w:cs="黑体"/>
          <w:b w:val="0"/>
          <w:bCs w:val="0"/>
        </w:rPr>
        <w:t>十二、</w:t>
      </w:r>
      <w:bookmarkEnd w:id="127"/>
      <w:bookmarkEnd w:id="128"/>
      <w:bookmarkEnd w:id="129"/>
      <w:bookmarkStart w:id="132" w:name="_Toc22391"/>
      <w:bookmarkStart w:id="133" w:name="_Toc5205"/>
      <w:r>
        <w:rPr>
          <w:rStyle w:val="18"/>
          <w:rFonts w:hint="eastAsia" w:ascii="黑体" w:eastAsia="黑体" w:cs="黑体"/>
          <w:b w:val="0"/>
          <w:bCs w:val="0"/>
          <w:lang w:eastAsia="zh-CN"/>
        </w:rPr>
        <w:t>封面代码</w:t>
      </w:r>
      <w:bookmarkEnd w:id="132"/>
      <w:bookmarkEnd w:id="133"/>
      <w:bookmarkStart w:id="134" w:name="_Toc26737"/>
      <w:bookmarkStart w:id="135" w:name="_Toc3099"/>
    </w:p>
    <w:bookmarkEnd w:id="130"/>
    <w:bookmarkEnd w:id="131"/>
    <w:bookmarkEnd w:id="134"/>
    <w:bookmarkEnd w:id="135"/>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70"/>
    <w:bookmarkEnd w:id="71"/>
    <w:p>
      <w:pPr>
        <w:pStyle w:val="3"/>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7962440"/>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5</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206210BA"/>
    <w:multiLevelType w:val="singleLevel"/>
    <w:tmpl w:val="206210BA"/>
    <w:lvl w:ilvl="0" w:tentative="0">
      <w:start w:val="3"/>
      <w:numFmt w:val="chineseCounting"/>
      <w:suff w:val="nothing"/>
      <w:lvlText w:val="（%1）"/>
      <w:lvlJc w:val="left"/>
      <w:pPr>
        <w:tabs>
          <w:tab w:val="left" w:pos="0"/>
        </w:tabs>
        <w:ind w:left="0" w:firstLine="0"/>
      </w:pPr>
      <w:rPr>
        <w:rFonts w:hint="eastAsia"/>
      </w:rPr>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6"/>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4A833D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4">
    <w:name w:val="Default Paragraph Font"/>
    <w:uiPriority w:val="0"/>
  </w:style>
  <w:style w:type="table" w:default="1" w:styleId="13">
    <w:name w:val="Normal Table"/>
    <w:semiHidden/>
    <w:uiPriority w:val="0"/>
    <w:tblPr>
      <w:tblCellMar>
        <w:top w:w="0" w:type="dxa"/>
        <w:left w:w="108" w:type="dxa"/>
        <w:bottom w:w="0" w:type="dxa"/>
        <w:right w:w="108" w:type="dxa"/>
      </w:tblCellMar>
    </w:tblPr>
  </w:style>
  <w:style w:type="paragraph" w:styleId="5">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uiPriority w:val="0"/>
    <w:pPr>
      <w:widowControl/>
      <w:spacing w:before="100" w:beforeAutospacing="1" w:after="100" w:afterAutospacing="1"/>
      <w:jc w:val="left"/>
    </w:pPr>
    <w:rPr>
      <w:rFonts w:ascii="宋体" w:cs="宋体"/>
      <w:kern w:val="0"/>
      <w:sz w:val="24"/>
    </w:rPr>
  </w:style>
  <w:style w:type="character" w:styleId="15">
    <w:name w:val="Strong"/>
    <w:basedOn w:val="14"/>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uiPriority w:val="0"/>
    <w:rPr>
      <w:rFonts w:ascii="Cambria" w:hAnsi="Cambria" w:eastAsia="宋体" w:cs="Times New Roman"/>
      <w:b/>
      <w:bCs/>
      <w:kern w:val="2"/>
      <w:sz w:val="32"/>
      <w:szCs w:val="32"/>
      <w:lang w:val="en-US" w:eastAsia="zh-CN" w:bidi="ar-SA"/>
    </w:rPr>
  </w:style>
  <w:style w:type="character" w:customStyle="1" w:styleId="19">
    <w:name w:val="Header Char"/>
    <w:basedOn w:val="14"/>
    <w:uiPriority w:val="0"/>
    <w:rPr>
      <w:rFonts w:ascii="Times New Roman" w:hAnsi="Times New Roman"/>
      <w:sz w:val="18"/>
      <w:szCs w:val="18"/>
    </w:rPr>
  </w:style>
  <w:style w:type="character" w:customStyle="1" w:styleId="20">
    <w:name w:val="Footer Char"/>
    <w:basedOn w:val="14"/>
    <w:uiPriority w:val="0"/>
    <w:rPr>
      <w:rFonts w:ascii="Times New Roman" w:hAnsi="Times New Roman"/>
      <w:sz w:val="18"/>
      <w:szCs w:val="18"/>
    </w:rPr>
  </w:style>
  <w:style w:type="character" w:customStyle="1" w:styleId="21">
    <w:name w:val="Body Text Char"/>
    <w:basedOn w:val="14"/>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2"/>
    <w:next w:val="1"/>
    <w:uiPriority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 </c:v>
                </c:pt>
                <c:pt idx="1">
                  <c:v>2020年</c:v>
                </c:pt>
              </c:strCache>
            </c:strRef>
          </c:cat>
          <c:val>
            <c:numRef>
              <c:f>'Sheet1'!$B$2:$B$3</c:f>
              <c:numCache>
                <c:formatCode>General</c:formatCode>
                <c:ptCount val="2"/>
                <c:pt idx="0">
                  <c:v>837.15</c:v>
                </c:pt>
                <c:pt idx="1">
                  <c:v>936.69</c:v>
                </c:pt>
              </c:numCache>
            </c:numRef>
          </c:val>
        </c:ser>
        <c:ser>
          <c:idx val="1"/>
          <c:order val="1"/>
          <c:tx>
            <c:strRef>
              <c:f>'Sheet1'!$C$1</c:f>
              <c:strCache>
                <c:ptCount val="1"/>
                <c:pt idx="0">
                  <c:v>总支出</c:v>
                </c:pt>
              </c:strCache>
            </c:strRef>
          </c:tx>
          <c:spPr>
            <a:solidFill>
              <a:srgbClr val="C0504D"/>
            </a:solidFill>
            <a:ln>
              <a:noFill/>
            </a:ln>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 </c:v>
                </c:pt>
                <c:pt idx="1">
                  <c:v>2020年</c:v>
                </c:pt>
              </c:strCache>
            </c:strRef>
          </c:cat>
          <c:val>
            <c:numRef>
              <c:f>'Sheet1'!$C$2:$C$3</c:f>
              <c:numCache>
                <c:formatCode>General</c:formatCode>
                <c:ptCount val="2"/>
                <c:pt idx="0">
                  <c:v>974.75</c:v>
                </c:pt>
                <c:pt idx="1">
                  <c:v>936.69</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c:f>
              <c:strCache>
                <c:ptCount val="1"/>
                <c:pt idx="0">
                  <c:v>一般公共预算财政拨款收入</c:v>
                </c:pt>
              </c:strCache>
            </c:strRef>
          </c:cat>
          <c:val>
            <c:numRef>
              <c:f>Sheet1 (2)!$B$2</c:f>
              <c:numCache>
                <c:formatCode>General</c:formatCode>
                <c:ptCount val="1"/>
                <c:pt idx="0">
                  <c:v>936.69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908.45</c:v>
                </c:pt>
                <c:pt idx="1">
                  <c:v>28.24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837.15</c:v>
                </c:pt>
                <c:pt idx="1">
                  <c:v>974.75</c:v>
                </c:pt>
              </c:numCache>
            </c:numRef>
          </c:val>
        </c:ser>
        <c:ser>
          <c:idx val="1"/>
          <c:order val="1"/>
          <c:tx>
            <c:strRef>
              <c:f>'Sheet1 (4)'!$A$3</c:f>
              <c:strCache>
                <c:ptCount val="1"/>
                <c:pt idx="0">
                  <c:v>2020年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936.69</c:v>
                </c:pt>
                <c:pt idx="1">
                  <c:v>936.69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</c:v>
                </c:pt>
                <c:pt idx="1">
                  <c:v>2020年</c:v>
                </c:pt>
              </c:strCache>
            </c:strRef>
          </c:cat>
          <c:val>
            <c:numRef>
              <c:f>'Sheet1 (5)'!$B$2:$B$3</c:f>
              <c:numCache>
                <c:formatCode>General</c:formatCode>
                <c:ptCount val="2"/>
                <c:pt idx="0">
                  <c:v>974.75</c:v>
                </c:pt>
                <c:pt idx="1">
                  <c:v>936.69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0">
                  <c:v>749.81</c:v>
                </c:pt>
                <c:pt idx="1">
                  <c:v>88.77</c:v>
                </c:pt>
                <c:pt idx="2">
                  <c:v>38.46</c:v>
                </c:pt>
                <c:pt idx="3">
                  <c:v>59.65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50.1</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8893</Words>
  <Characters>9819</Characters>
  <Lines>532</Lines>
  <Paragraphs>219</Paragraphs>
  <TotalTime>12</TotalTime>
  <ScaleCrop>false</ScaleCrop>
  <LinksUpToDate>false</LinksUpToDate>
  <CharactersWithSpaces>9939</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2021-09-16T01:16:00Z</dcterms:created>
  <dc:creator>张彬茜</dc:creator>
  <cp:lastModifiedBy>平淡无奇</cp:lastModifiedBy>
  <cp:lastPrinted>2021-09-18T01:18:00Z</cp:lastPrinted>
  <dcterms:modified xsi:type="dcterms:W3CDTF">2021-09-27T08:23:10Z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D8CAF7243E00401F8CCF769A17EDA31C</vt:lpwstr>
  </property>
</Properties>
</file>