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Times New Roman" w:eastAsia="方正小标宋简体" w:cs="Times New Roman" w:hAnsi="Times New Roman"/>
          <w:sz w:val="72"/>
          <w:szCs w:val="72"/>
        </w:rPr>
      </w:pPr>
      <w:bookmarkStart w:id="0" w:name="_Toc15377193"/>
      <w:bookmarkStart w:id="1" w:name="_Toc15377425"/>
      <w:bookmarkStart w:id="2" w:name="_Toc15378441"/>
      <w:bookmarkStart w:id="3" w:name="_Toc15396475"/>
      <w:bookmarkStart w:id="4" w:name="_Toc15396597"/>
      <w:bookmarkStart w:id="5" w:name="_Toc15306267"/>
    </w:p>
    <w:p>
      <w:pPr>
        <w:spacing w:line="600" w:lineRule="exact"/>
        <w:jc w:val="center"/>
        <w:outlineLvl w:val="0"/>
        <w:rPr>
          <w:rFonts w:ascii="Times New Roman" w:eastAsia="方正小标宋简体" w:cs="Times New Roman" w:hAnsi="Times New Roman"/>
          <w:sz w:val="72"/>
          <w:szCs w:val="72"/>
        </w:rPr>
      </w:pPr>
    </w:p>
    <w:p>
      <w:pPr>
        <w:spacing w:line="600" w:lineRule="exact"/>
        <w:jc w:val="center"/>
        <w:outlineLvl w:val="0"/>
        <w:rPr>
          <w:rFonts w:ascii="Times New Roman" w:eastAsia="方正小标宋简体" w:cs="Times New Roman" w:hAnsi="Times New Roman"/>
          <w:sz w:val="72"/>
          <w:szCs w:val="72"/>
        </w:rPr>
      </w:pPr>
    </w:p>
    <w:p>
      <w:pPr>
        <w:pStyle w:val="16"/>
        <w:rPr>
          <w:rFonts w:ascii="Times New Roman" w:eastAsia="方正小标宋简体" w:cs="Times New Roman" w:hAnsi="Times New Roman" w:hint="eastAsia"/>
          <w:color w:val="auto"/>
          <w:kern w:val="2"/>
          <w:sz w:val="72"/>
          <w:szCs w:val="72"/>
          <w:lang w:val="en-US" w:eastAsia="zh-CN" w:bidi="ar-SA"/>
          <w:highlight w:val="auto"/>
        </w:rPr>
      </w:pPr>
      <w:bookmarkEnd w:id="0"/>
      <w:bookmarkEnd w:id="1"/>
      <w:bookmarkEnd w:id="2"/>
      <w:bookmarkEnd w:id="3"/>
      <w:bookmarkEnd w:id="4"/>
      <w:bookmarkEnd w:id="5"/>
    </w:p>
    <w:p>
      <w:pPr>
        <w:adjustRightInd w:val="0"/>
        <w:snapToGrid w:val="0"/>
        <w:spacing w:line="360" w:lineRule="auto"/>
        <w:jc w:val="center"/>
        <w:outlineLvl w:val="0"/>
        <w:rPr>
          <w:rFonts w:ascii="Times New Roman" w:eastAsia="方正小标宋简体" w:cs="Times New Roman" w:hAnsi="Times New Roman" w:hint="eastAsia"/>
          <w:color w:val="auto"/>
          <w:kern w:val="2"/>
          <w:sz w:val="44"/>
          <w:szCs w:val="44"/>
          <w:lang w:val="en-US" w:eastAsia="zh-CN" w:bidi="ar-SA"/>
          <w:highlight w:val="auto"/>
        </w:rPr>
      </w:pPr>
      <w:r>
        <w:rPr>
          <w:rFonts w:ascii="Times New Roman" w:eastAsia="方正小标宋简体" w:cs="Times New Roman" w:hAnsi="Times New Roman" w:hint="eastAsia"/>
          <w:color w:val="auto"/>
          <w:kern w:val="2"/>
          <w:sz w:val="44"/>
          <w:szCs w:val="44"/>
          <w:lang w:val="en-US" w:eastAsia="zh-CN" w:bidi="ar-SA"/>
          <w:highlight w:val="auto"/>
        </w:rPr>
        <w:t>2024年度</w:t>
      </w:r>
      <w:bookmarkStart w:id="6" w:name="_Toc26843602"/>
      <w:bookmarkStart w:id="7" w:name="_Toc17233"/>
    </w:p>
    <w:p>
      <w:pPr>
        <w:adjustRightInd w:val="0"/>
        <w:snapToGrid w:val="0"/>
        <w:spacing w:line="360" w:lineRule="auto"/>
        <w:jc w:val="center"/>
        <w:outlineLvl w:val="0"/>
        <w:rPr>
          <w:rFonts w:ascii="Times New Roman" w:eastAsia="方正小标宋简体" w:cs="Times New Roman" w:hAnsi="Times New Roman" w:hint="eastAsia"/>
          <w:color w:val="auto"/>
          <w:kern w:val="2"/>
          <w:sz w:val="44"/>
          <w:szCs w:val="44"/>
          <w:lang w:val="en-US" w:eastAsia="zh-CN" w:bidi="ar-SA"/>
          <w:highlight w:val="auto"/>
        </w:rPr>
      </w:pPr>
      <w:r>
        <w:rPr>
          <w:rFonts w:ascii="Times New Roman" w:eastAsia="方正小标宋简体" w:cs="Times New Roman" w:hAnsi="Times New Roman" w:hint="eastAsia"/>
          <w:color w:val="auto"/>
          <w:kern w:val="2"/>
          <w:sz w:val="44"/>
          <w:szCs w:val="44"/>
          <w:lang w:val="en-US" w:eastAsia="zh-CN" w:bidi="ar-SA"/>
          <w:highlight w:val="auto"/>
        </w:rPr>
        <w:t>中共金川县委办公室</w:t>
      </w:r>
      <w:bookmarkEnd w:id="6"/>
      <w:bookmarkEnd w:id="7"/>
    </w:p>
    <w:p>
      <w:pPr>
        <w:adjustRightInd w:val="0"/>
        <w:snapToGrid w:val="0"/>
        <w:spacing w:line="360" w:lineRule="auto"/>
        <w:jc w:val="center"/>
        <w:outlineLvl w:val="0"/>
        <w:rPr>
          <w:rFonts w:ascii="Times New Roman" w:eastAsia="方正小标宋简体" w:cs="Times New Roman" w:hAnsi="Times New Roman" w:hint="eastAsia"/>
          <w:color w:val="auto"/>
          <w:kern w:val="2"/>
          <w:sz w:val="44"/>
          <w:szCs w:val="44"/>
          <w:lang w:val="en-US" w:eastAsia="zh-CN" w:bidi="ar-SA"/>
          <w:highlight w:val="auto"/>
        </w:rPr>
      </w:pPr>
      <w:bookmarkStart w:id="8" w:name="_Toc12134"/>
      <w:bookmarkStart w:id="9" w:name="_Toc26843603"/>
      <w:r>
        <w:rPr>
          <w:rFonts w:ascii="Times New Roman" w:eastAsia="方正小标宋简体" w:cs="Times New Roman" w:hAnsi="Times New Roman" w:hint="eastAsia"/>
          <w:color w:val="auto"/>
          <w:kern w:val="2"/>
          <w:sz w:val="44"/>
          <w:szCs w:val="44"/>
          <w:lang w:val="en-US" w:eastAsia="zh-CN" w:bidi="ar-SA"/>
          <w:highlight w:val="auto"/>
        </w:rPr>
        <w:t>部门决算</w:t>
      </w:r>
      <w:bookmarkEnd w:id="8"/>
      <w:bookmarkEnd w:id="9"/>
    </w:p>
    <w:p>
      <w:pPr>
        <w:pStyle w:val="16"/>
        <w:spacing w:beforeLines="0" w:before="93"/>
        <w:rPr>
          <w:rFonts w:ascii="Times New Roman" w:eastAsia="方正小标宋简体" w:cs="Times New Roman" w:hAnsi="Times New Roman"/>
          <w:sz w:val="52"/>
          <w:szCs w:val="52"/>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widowControl/>
        <w:jc w:val="center"/>
        <w:rPr>
          <w:rFonts w:ascii="Times New Roman" w:eastAsia="方正小标宋简体" w:cs="Times New Roman" w:hAnsi="Times New Roman"/>
          <w:sz w:val="36"/>
          <w:szCs w:val="36"/>
        </w:rPr>
      </w:pPr>
    </w:p>
    <w:p>
      <w:pPr>
        <w:widowControl/>
        <w:jc w:val="center"/>
        <w:rPr>
          <w:rFonts w:ascii="Times New Roman" w:eastAsia="方正小标宋简体" w:cs="Times New Roman" w:hAnsi="Times New Roman"/>
          <w:sz w:val="36"/>
          <w:szCs w:val="36"/>
        </w:rPr>
      </w:pPr>
    </w:p>
    <w:p>
      <w:pPr>
        <w:widowControl/>
        <w:jc w:val="center"/>
        <w:rPr>
          <w:rFonts w:ascii="Times New Roman" w:eastAsia="方正小标宋简体" w:cs="Times New Roman" w:hAnsi="Times New Roman"/>
          <w:sz w:val="36"/>
          <w:szCs w:val="36"/>
        </w:rPr>
      </w:pPr>
    </w:p>
    <w:p>
      <w:pPr>
        <w:widowControl/>
        <w:jc w:val="center"/>
        <w:rPr>
          <w:rFonts w:ascii="Times New Roman" w:eastAsia="方正小标宋简体" w:cs="Times New Roman" w:hAnsi="Times New Roman"/>
          <w:sz w:val="36"/>
          <w:szCs w:val="36"/>
        </w:rPr>
      </w:pPr>
    </w:p>
    <w:p>
      <w:pPr>
        <w:widowControl/>
        <w:jc w:val="center"/>
        <w:rPr>
          <w:rFonts w:ascii="Times New Roman" w:eastAsia="方正小标宋简体" w:cs="Times New Roman" w:hAnsi="Times New Roman"/>
          <w:sz w:val="36"/>
          <w:szCs w:val="36"/>
        </w:rPr>
      </w:pPr>
    </w:p>
    <w:p>
      <w:pPr>
        <w:widowControl/>
        <w:jc w:val="center"/>
        <w:rPr>
          <w:rFonts w:ascii="Times New Roman" w:eastAsia="方正小标宋简体" w:cs="Times New Roman" w:hAnsi="Times New Roman"/>
          <w:sz w:val="36"/>
          <w:szCs w:val="36"/>
        </w:rPr>
      </w:pPr>
    </w:p>
    <w:p>
      <w:pPr>
        <w:widowControl/>
        <w:jc w:val="center"/>
        <w:rPr>
          <w:rFonts w:ascii="Times New Roman" w:eastAsia="方正小标宋简体" w:cs="Times New Roman" w:hAnsi="Times New Roman"/>
          <w:sz w:val="36"/>
          <w:szCs w:val="36"/>
        </w:rPr>
      </w:pPr>
    </w:p>
    <w:p>
      <w:pPr>
        <w:widowControl/>
        <w:jc w:val="center"/>
        <w:rPr>
          <w:rFonts w:ascii="Times New Roman" w:eastAsia="方正小标宋简体" w:cs="Times New Roman" w:hAnsi="Times New Roman"/>
          <w:sz w:val="36"/>
          <w:szCs w:val="36"/>
        </w:rPr>
      </w:pPr>
    </w:p>
    <w:p>
      <w:pPr>
        <w:adjustRightInd w:val="0"/>
        <w:snapToGrid w:val="0"/>
        <w:spacing w:line="360" w:lineRule="auto"/>
        <w:jc w:val="center"/>
        <w:outlineLvl w:val="0"/>
        <w:rPr>
          <w:rFonts w:ascii="Times New Roman" w:eastAsia="方正小标宋简体" w:cs="Times New Roman" w:hAnsi="Times New Roman" w:hint="eastAsia"/>
          <w:color w:val="auto"/>
          <w:kern w:val="2"/>
          <w:sz w:val="44"/>
          <w:szCs w:val="44"/>
          <w:lang w:val="en-US" w:eastAsia="zh-CN" w:bidi="ar-SA"/>
          <w:highlight w:val="auto"/>
        </w:rPr>
      </w:pPr>
      <w:bookmarkStart w:id="10" w:name="_Toc15396598"/>
      <w:bookmarkStart w:id="11" w:name="_Toc15377194"/>
      <w:bookmarkStart w:id="12" w:name="_Toc15396476"/>
      <w:bookmarkStart w:id="13" w:name="_Toc15378442"/>
      <w:bookmarkStart w:id="14" w:name="_Toc15377426"/>
      <w:r>
        <w:rPr>
          <w:rFonts w:ascii="Times New Roman" w:eastAsia="方正小标宋简体" w:cs="Times New Roman" w:hAnsi="Times New Roman" w:hint="eastAsia"/>
          <w:color w:val="auto"/>
          <w:kern w:val="2"/>
          <w:sz w:val="44"/>
          <w:szCs w:val="44"/>
          <w:lang w:val="en-US" w:eastAsia="zh-CN" w:bidi="ar-SA"/>
          <w:highlight w:val="auto"/>
        </w:rPr>
        <w:t>2024年度</w:t>
      </w:r>
      <w:bookmarkStart w:id="15" w:name="_Toc15306268"/>
      <w:r>
        <w:rPr>
          <w:rFonts w:ascii="Times New Roman" w:eastAsia="方正小标宋简体" w:cs="Times New Roman" w:hAnsi="Times New Roman" w:hint="eastAsia"/>
          <w:color w:val="auto"/>
          <w:kern w:val="2"/>
          <w:sz w:val="44"/>
          <w:szCs w:val="44"/>
          <w:lang w:val="en-US" w:eastAsia="zh-CN" w:bidi="ar-SA"/>
          <w:highlight w:val="auto"/>
        </w:rPr>
        <w:t>中共金川县委办公室</w:t>
      </w:r>
    </w:p>
    <w:p>
      <w:pPr>
        <w:adjustRightInd w:val="0"/>
        <w:snapToGrid w:val="0"/>
        <w:spacing w:line="360" w:lineRule="auto"/>
        <w:jc w:val="center"/>
        <w:outlineLvl w:val="0"/>
        <w:rPr>
          <w:rFonts w:ascii="Times New Roman" w:eastAsia="方正小标宋简体" w:cs="Times New Roman" w:hAnsi="Times New Roman" w:hint="eastAsia"/>
          <w:color w:val="auto"/>
          <w:kern w:val="2"/>
          <w:sz w:val="44"/>
          <w:szCs w:val="44"/>
          <w:lang w:val="en-US" w:eastAsia="zh-CN" w:bidi="ar-SA"/>
          <w:highlight w:val="auto"/>
        </w:rPr>
      </w:pPr>
      <w:r>
        <w:rPr>
          <w:rFonts w:ascii="Times New Roman" w:eastAsia="方正小标宋简体" w:cs="Times New Roman" w:hAnsi="Times New Roman" w:hint="eastAsia"/>
          <w:color w:val="auto"/>
          <w:kern w:val="2"/>
          <w:sz w:val="44"/>
          <w:szCs w:val="44"/>
          <w:lang w:val="en-US" w:eastAsia="zh-CN" w:bidi="ar-SA"/>
          <w:highlight w:val="auto"/>
        </w:rPr>
        <w:t>部门决算</w:t>
      </w:r>
      <w:bookmarkEnd w:id="10"/>
      <w:bookmarkEnd w:id="11"/>
      <w:bookmarkEnd w:id="12"/>
      <w:bookmarkEnd w:id="13"/>
      <w:bookmarkEnd w:id="14"/>
      <w:bookmarkEnd w:id="15"/>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lang w:val="en-US" w:eastAsia="zh-CN"/>
          <w:highlight w:val="auto"/>
        </w:rPr>
      </w:pPr>
      <w:r>
        <w:rPr>
          <w:rFonts w:ascii="Times New Roman" w:eastAsia="仿宋_GB2312" w:cs="仿宋_GB2312" w:hAnsi="Times New Roman" w:hint="eastAsia"/>
          <w:color w:val="auto"/>
          <w:sz w:val="32"/>
          <w:szCs w:val="32"/>
          <w:lang w:val="en-US" w:eastAsia="zh-CN"/>
          <w:highlight w:val="auto"/>
        </w:rPr>
        <w:t>（注：</w:t>
      </w:r>
      <w:r>
        <w:rPr>
          <w:rFonts w:eastAsia="仿宋_GB2312" w:cs="仿宋_GB2312" w:hint="eastAsia"/>
          <w:color w:val="auto"/>
          <w:sz w:val="32"/>
          <w:szCs w:val="32"/>
          <w:lang w:val="en-US" w:eastAsia="zh-CN"/>
          <w:highlight w:val="auto"/>
        </w:rPr>
        <w:t>以下为部门公开范本。单位公开内容应参照部门公开内容和报表格式，并与部门公开内容做好衔接）</w:t>
      </w:r>
    </w:p>
    <w:p>
      <w:pPr>
        <w:widowControl/>
        <w:jc w:val="center"/>
        <w:rPr>
          <w:rFonts w:ascii="Times New Roman" w:eastAsia="黑体" w:hAnsi="Times New Roman"/>
          <w:color w:val="auto"/>
          <w:sz w:val="48"/>
          <w:szCs w:val="48"/>
          <w:highlight w:val="auto"/>
        </w:rPr>
      </w:pPr>
      <w:r>
        <w:rPr>
          <w:rFonts w:ascii="Times New Roman" w:eastAsia="方正小标宋简体" w:cs="Times New Roman" w:hAnsi="Times New Roman"/>
          <w:sz w:val="36"/>
          <w:szCs w:val="36"/>
        </w:rPr>
        <w:br w:type="page"/>
      </w:r>
      <w:r>
        <w:rPr>
          <w:rFonts w:ascii="Times New Roman" w:eastAsia="黑体" w:hAnsi="Times New Roman" w:hint="eastAsia"/>
          <w:color w:val="auto"/>
          <w:sz w:val="48"/>
          <w:szCs w:val="48"/>
          <w:highlight w:val="auto"/>
        </w:rPr>
        <w:t>目录</w:t>
      </w:r>
    </w:p>
    <w:p>
      <w:pPr>
        <w:widowControl/>
        <w:jc w:val="center"/>
        <w:rPr>
          <w:rFonts w:ascii="Times New Roman" w:eastAsia="黑体" w:cs="Arial" w:hAnsi="Times New Roman"/>
          <w:color w:val="auto"/>
          <w:sz w:val="28"/>
          <w:szCs w:val="28"/>
          <w:highlight w:val="auto"/>
        </w:rPr>
      </w:pPr>
    </w:p>
    <w:p>
      <w:pPr>
        <w:pStyle w:val="23"/>
        <w:tabs>
          <w:tab w:val="right" w:leader="dot" w:pos="8296"/>
        </w:tabs>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公开时间：20</w:t>
      </w:r>
      <w:r>
        <w:rPr>
          <w:rFonts w:ascii="Times New Roman" w:eastAsia="仿宋_GB2312" w:cs="仿宋_GB2312" w:hAnsi="Times New Roman" w:hint="eastAsia"/>
          <w:color w:val="auto"/>
          <w:sz w:val="32"/>
          <w:szCs w:val="32"/>
          <w:lang w:val="en-US" w:eastAsia="zh-CN"/>
          <w:highlight w:val="auto"/>
        </w:rPr>
        <w:t>25</w:t>
      </w:r>
      <w:r>
        <w:rPr>
          <w:rFonts w:ascii="Times New Roman" w:eastAsia="仿宋_GB2312" w:cs="仿宋_GB2312" w:hAnsi="Times New Roman" w:hint="eastAsia"/>
          <w:color w:val="auto"/>
          <w:sz w:val="32"/>
          <w:szCs w:val="32"/>
          <w:highlight w:val="auto"/>
        </w:rPr>
        <w:t>年</w:t>
      </w:r>
      <w:r>
        <w:rPr>
          <w:rFonts w:ascii="Times New Roman" w:eastAsia="仿宋_GB2312" w:cs="仿宋_GB2312" w:hAnsi="Times New Roman" w:hint="eastAsia"/>
          <w:color w:val="auto"/>
          <w:sz w:val="32"/>
          <w:szCs w:val="32"/>
          <w:lang w:val="en-US" w:eastAsia="zh-CN"/>
          <w:highlight w:val="auto"/>
        </w:rPr>
        <w:t xml:space="preserve"> 8 </w:t>
      </w:r>
      <w:r>
        <w:rPr>
          <w:rFonts w:ascii="Times New Roman" w:eastAsia="仿宋_GB2312" w:cs="仿宋_GB2312" w:hAnsi="Times New Roman" w:hint="eastAsia"/>
          <w:color w:val="auto"/>
          <w:sz w:val="32"/>
          <w:szCs w:val="32"/>
          <w:highlight w:val="auto"/>
        </w:rPr>
        <w:t>月</w:t>
      </w:r>
      <w:r>
        <w:rPr>
          <w:rFonts w:ascii="Times New Roman" w:eastAsia="仿宋_GB2312" w:cs="仿宋_GB2312" w:hAnsi="Times New Roman" w:hint="eastAsia"/>
          <w:color w:val="auto"/>
          <w:sz w:val="32"/>
          <w:szCs w:val="32"/>
          <w:lang w:val="en-US" w:eastAsia="zh-CN"/>
          <w:highlight w:val="auto"/>
        </w:rPr>
        <w:t xml:space="preserve"> 18 </w:t>
      </w:r>
      <w:r>
        <w:rPr>
          <w:rFonts w:ascii="Times New Roman" w:eastAsia="仿宋_GB2312" w:cs="仿宋_GB2312" w:hAnsi="Times New Roman" w:hint="eastAsia"/>
          <w:color w:val="auto"/>
          <w:sz w:val="32"/>
          <w:szCs w:val="32"/>
          <w:highlight w:val="auto"/>
        </w:rPr>
        <w:t>日</w:t>
      </w:r>
    </w:p>
    <w:p>
      <w:pPr>
        <w:rPr>
          <w:rFonts w:ascii="Times New Roman" w:hAnsi="Times New Roman"/>
          <w:color w:val="auto"/>
          <w:highlight w:val="auto"/>
        </w:rPr>
      </w:pP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Times New Roman" w:eastAsia="黑体" w:cs="黑体" w:hAnsi="Times New Roman" w:hint="eastAsia"/>
          <w:color w:val="auto"/>
          <w:sz w:val="32"/>
          <w:szCs w:val="32"/>
          <w:highlight w:val="auto"/>
        </w:rPr>
      </w:pPr>
      <w:r>
        <w:rPr>
          <w:rFonts w:ascii="Times New Roman" w:eastAsia="黑体" w:cs="黑体" w:hAnsi="Times New Roman" w:hint="eastAsia"/>
          <w:color w:val="auto"/>
          <w:sz w:val="32"/>
          <w:szCs w:val="32"/>
          <w:highlight w:val="auto"/>
        </w:rPr>
        <w:t>第一部分 部门概况</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一、</w:t>
      </w:r>
      <w:r>
        <w:rPr>
          <w:rFonts w:ascii="Times New Roman" w:eastAsia="仿宋_GB2312" w:cs="仿宋_GB2312" w:hAnsi="Times New Roman" w:hint="eastAsia"/>
          <w:color w:val="auto"/>
          <w:sz w:val="32"/>
          <w:szCs w:val="32"/>
          <w:lang w:eastAsia="zh-CN"/>
          <w:highlight w:val="auto"/>
        </w:rPr>
        <w:t>部门职责</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二、机构设置</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Times New Roman" w:eastAsia="黑体" w:cs="黑体" w:hAnsi="Times New Roman" w:hint="eastAsia"/>
          <w:color w:val="auto"/>
          <w:sz w:val="32"/>
          <w:szCs w:val="32"/>
          <w:highlight w:val="auto"/>
        </w:rPr>
      </w:pPr>
      <w:r>
        <w:rPr>
          <w:rFonts w:ascii="Times New Roman" w:eastAsia="黑体" w:cs="黑体" w:hAnsi="Times New Roman" w:hint="eastAsia"/>
          <w:color w:val="auto"/>
          <w:sz w:val="32"/>
          <w:szCs w:val="32"/>
          <w:highlight w:val="auto"/>
        </w:rPr>
        <w:t>第二部分</w:t>
      </w:r>
      <w:r>
        <w:rPr>
          <w:rFonts w:ascii="Times New Roman" w:eastAsia="黑体" w:cs="黑体" w:hAnsi="Times New Roman" w:hint="eastAsia"/>
          <w:color w:val="auto"/>
          <w:sz w:val="32"/>
          <w:szCs w:val="32"/>
          <w:lang w:val="en-US" w:eastAsia="zh-CN"/>
          <w:highlight w:val="auto"/>
        </w:rPr>
        <w:t xml:space="preserve"> 2024年度</w:t>
      </w:r>
      <w:r>
        <w:rPr>
          <w:rFonts w:ascii="Times New Roman" w:eastAsia="黑体" w:cs="黑体" w:hAnsi="Times New Roman" w:hint="eastAsia"/>
          <w:color w:val="auto"/>
          <w:sz w:val="32"/>
          <w:szCs w:val="32"/>
          <w:highlight w:val="auto"/>
        </w:rPr>
        <w:t>部门决算情况说明</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一、收入支出决算总体情况说明</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二、收入决算情况说明</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三、支出决算情况说明</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四、财政拨款收入支出决算总体情况说明</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五、一般公共预算财政拨款支出决算情况说明</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六、一般公共预算财政拨款基本支出决算情况说明</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七、财政拨款</w:t>
      </w:r>
      <w:r>
        <w:rPr>
          <w:rFonts w:ascii="Times New Roman" w:eastAsia="仿宋_GB2312" w:cs="仿宋_GB2312" w:hAnsi="Times New Roman" w:hint="eastAsia"/>
          <w:color w:val="auto"/>
          <w:sz w:val="32"/>
          <w:szCs w:val="32"/>
          <w:lang w:eastAsia="zh-CN"/>
          <w:highlight w:val="auto"/>
        </w:rPr>
        <w:t>“</w:t>
      </w:r>
      <w:r>
        <w:rPr>
          <w:rFonts w:ascii="Times New Roman" w:eastAsia="仿宋_GB2312" w:cs="仿宋_GB2312" w:hAnsi="Times New Roman" w:hint="eastAsia"/>
          <w:color w:val="auto"/>
          <w:sz w:val="32"/>
          <w:szCs w:val="32"/>
          <w:highlight w:val="auto"/>
        </w:rPr>
        <w:t>三公”经费支出决算情况说明</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八、政府性基金预算支出决算情况说明</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九、</w:t>
      </w:r>
      <w:r>
        <w:rPr>
          <w:rFonts w:ascii="Times New Roman" w:eastAsia="仿宋_GB2312" w:cs="仿宋_GB2312" w:hAnsi="Times New Roman" w:hint="eastAsia"/>
          <w:color w:val="auto"/>
          <w:sz w:val="32"/>
          <w:szCs w:val="32"/>
          <w:lang w:eastAsia="zh-CN"/>
          <w:highlight w:val="auto"/>
        </w:rPr>
        <w:t>国</w:t>
      </w:r>
      <w:r>
        <w:rPr>
          <w:rFonts w:ascii="Times New Roman" w:eastAsia="仿宋_GB2312" w:cs="仿宋_GB2312" w:hAnsi="Times New Roman" w:hint="eastAsia"/>
          <w:color w:val="auto"/>
          <w:sz w:val="32"/>
          <w:szCs w:val="32"/>
          <w:highlight w:val="auto"/>
        </w:rPr>
        <w:t>有资本经营预算支出决算情况说明</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lang w:eastAsia="zh-CN"/>
          <w:highlight w:val="auto"/>
        </w:rPr>
        <w:t>十</w:t>
      </w:r>
      <w:r>
        <w:rPr>
          <w:rFonts w:ascii="Times New Roman" w:eastAsia="仿宋_GB2312" w:cs="仿宋_GB2312" w:hAnsi="Times New Roman" w:hint="eastAsia"/>
          <w:color w:val="auto"/>
          <w:sz w:val="32"/>
          <w:szCs w:val="32"/>
          <w:highlight w:val="auto"/>
        </w:rPr>
        <w:t>、其他重要事项的情况说明</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Times New Roman" w:eastAsia="黑体" w:cs="黑体" w:hAnsi="Times New Roman" w:hint="eastAsia"/>
          <w:color w:val="auto"/>
          <w:sz w:val="32"/>
          <w:szCs w:val="32"/>
          <w:highlight w:val="auto"/>
        </w:rPr>
      </w:pPr>
      <w:r>
        <w:rPr>
          <w:rFonts w:ascii="Times New Roman" w:eastAsia="黑体" w:cs="黑体" w:hAnsi="Times New Roman" w:hint="eastAsia"/>
          <w:color w:val="auto"/>
          <w:sz w:val="32"/>
          <w:szCs w:val="32"/>
          <w:highlight w:val="auto"/>
        </w:rPr>
        <w:t>第三部分 名词解释</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Times New Roman" w:eastAsia="黑体" w:cs="黑体" w:hAnsi="Times New Roman" w:hint="eastAsia"/>
          <w:color w:val="auto"/>
          <w:sz w:val="32"/>
          <w:szCs w:val="32"/>
          <w:highlight w:val="auto"/>
        </w:rPr>
      </w:pPr>
      <w:r>
        <w:rPr>
          <w:rFonts w:ascii="Times New Roman" w:eastAsia="黑体" w:cs="黑体" w:hAnsi="Times New Roman" w:hint="eastAsia"/>
          <w:color w:val="auto"/>
          <w:sz w:val="32"/>
          <w:szCs w:val="32"/>
          <w:highlight w:val="auto"/>
        </w:rPr>
        <w:t>第四部分 附件</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Times New Roman" w:eastAsia="黑体" w:cs="黑体" w:hAnsi="Times New Roman" w:hint="eastAsia"/>
          <w:color w:val="auto"/>
          <w:sz w:val="32"/>
          <w:szCs w:val="32"/>
          <w:highlight w:val="auto"/>
        </w:rPr>
      </w:pPr>
      <w:r>
        <w:rPr>
          <w:rFonts w:ascii="Times New Roman" w:eastAsia="黑体" w:cs="黑体" w:hAnsi="Times New Roman" w:hint="eastAsia"/>
          <w:color w:val="auto"/>
          <w:sz w:val="32"/>
          <w:szCs w:val="32"/>
          <w:highlight w:val="auto"/>
        </w:rPr>
        <w:t>第五部分 附表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一、收入支出决算总表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二、收入决算表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三、支出决算表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四、财政拨款收入支出决算总表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五、财政拨款支出决算明细表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六、一般公共预算财政拨款支出决算表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七、一般公共预算财政拨款支出决算明细表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八、一般公共预算财政拨款基本支出决算</w:t>
      </w:r>
      <w:r>
        <w:rPr>
          <w:rFonts w:ascii="Times New Roman" w:eastAsia="仿宋_GB2312" w:cs="仿宋_GB2312" w:hAnsi="Times New Roman" w:hint="eastAsia"/>
          <w:color w:val="auto"/>
          <w:sz w:val="32"/>
          <w:szCs w:val="32"/>
          <w:lang w:eastAsia="zh-CN"/>
          <w:highlight w:val="auto"/>
        </w:rPr>
        <w:t>明细</w:t>
      </w:r>
      <w:r>
        <w:rPr>
          <w:rFonts w:ascii="Times New Roman" w:eastAsia="仿宋_GB2312" w:cs="仿宋_GB2312" w:hAnsi="Times New Roman" w:hint="eastAsia"/>
          <w:color w:val="auto"/>
          <w:sz w:val="32"/>
          <w:szCs w:val="32"/>
          <w:highlight w:val="auto"/>
        </w:rPr>
        <w:t>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九、一般公共预算财政拨款项目支出决算表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十、政府性基金预算财政拨款收入支出决算表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十一、国有资本经营预算财政拨款收入支出决算表</w:t>
      </w:r>
      <w:bookmarkStart w:id="16" w:name="_GoBack"/>
      <w:bookmarkEnd w:id="16"/>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十二、</w:t>
      </w:r>
      <w:r>
        <w:rPr>
          <w:rFonts w:ascii="Times New Roman" w:eastAsia="仿宋_GB2312" w:cs="仿宋_GB2312" w:hAnsi="Times New Roman" w:hint="eastAsia"/>
          <w:color w:val="auto"/>
          <w:sz w:val="32"/>
          <w:szCs w:val="32"/>
          <w:lang w:val="en-US" w:eastAsia="zh-CN"/>
          <w:highlight w:val="auto"/>
        </w:rPr>
        <w:t>国有资本经营预算财政拨款支出决算表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十三、财政拨款“三公”经费支出决算表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b/>
          <w:bCs/>
          <w:color w:val="auto"/>
          <w:sz w:val="32"/>
          <w:szCs w:val="32"/>
          <w:lang w:eastAsia="zh-CN"/>
          <w:highlight w:val="auto"/>
        </w:rPr>
      </w:pPr>
      <w:r>
        <w:rPr>
          <w:rFonts w:ascii="Times New Roman" w:eastAsia="仿宋_GB2312" w:cs="仿宋_GB2312" w:hAnsi="Times New Roman" w:hint="eastAsia"/>
          <w:b/>
          <w:bCs/>
          <w:color w:val="auto"/>
          <w:sz w:val="32"/>
          <w:szCs w:val="32"/>
          <w:lang w:eastAsia="zh-CN"/>
          <w:highlight w:val="auto"/>
        </w:rPr>
        <w:t>（</w:t>
      </w:r>
      <w:r>
        <w:rPr>
          <w:rFonts w:ascii="Times New Roman" w:eastAsia="仿宋_GB2312" w:cs="仿宋_GB2312" w:hAnsi="Times New Roman" w:hint="eastAsia"/>
          <w:b/>
          <w:bCs/>
          <w:color w:val="auto"/>
          <w:sz w:val="32"/>
          <w:szCs w:val="32"/>
          <w:highlight w:val="auto"/>
        </w:rPr>
        <w:t>注：请部门根据实际注明页码</w:t>
      </w:r>
      <w:r>
        <w:rPr>
          <w:rFonts w:ascii="Times New Roman" w:eastAsia="仿宋_GB2312" w:cs="仿宋_GB2312" w:hAnsi="Times New Roman" w:hint="eastAsia"/>
          <w:b/>
          <w:bCs/>
          <w:color w:val="auto"/>
          <w:sz w:val="32"/>
          <w:szCs w:val="32"/>
          <w:lang w:eastAsia="zh-CN"/>
          <w:highlight w:val="auto"/>
        </w:rPr>
        <w:t>）</w:t>
      </w:r>
    </w:p>
    <w:p>
      <w:pPr>
        <w:pStyle w:val="25"/>
        <w:tabs>
          <w:tab w:val="right" w:leader="dot" w:pos="8296"/>
        </w:tabs>
        <w:adjustRightInd w:val="0"/>
        <w:snapToGrid w:val="0"/>
        <w:spacing w:line="440" w:lineRule="exact"/>
        <w:jc w:val="left"/>
        <w:rPr>
          <w:rFonts w:ascii="Times New Roman" w:cs="Times New Roman" w:hAnsi="Times New Roman"/>
        </w:rPr>
      </w:pPr>
    </w:p>
    <w:p>
      <w:pPr>
        <w:widowControl/>
        <w:spacing w:line="440" w:lineRule="exact"/>
        <w:jc w:val="left"/>
        <w:rPr>
          <w:rFonts w:ascii="Times New Roman" w:eastAsia="仿宋" w:cs="Times New Roman" w:hAnsi="Times New Roman"/>
          <w:bCs/>
          <w:kern w:val="44"/>
          <w:sz w:val="24"/>
        </w:rPr>
      </w:pPr>
      <w:bookmarkStart w:id="17" w:name="_Toc15377196"/>
      <w:bookmarkStart w:id="18" w:name="_Toc15396599"/>
      <w:r>
        <w:rPr>
          <w:rFonts w:ascii="Times New Roman" w:eastAsia="仿宋" w:cs="Times New Roman" w:hAnsi="Times New Roman"/>
          <w:b/>
          <w:sz w:val="24"/>
        </w:rPr>
        <w:br w:type="page"/>
      </w:r>
    </w:p>
    <w:p>
      <w:pPr>
        <w:pStyle w:val="1"/>
        <w:keepNext/>
        <w:keepLines/>
        <w:pageBreakBefore w:val="0"/>
        <w:widowControl w:val="0"/>
        <w:kinsoku/>
        <w:wordWrap/>
        <w:overflowPunct/>
        <w:topLinePunct w:val="0"/>
        <w:bidi w:val="0"/>
        <w:spacing w:line="576" w:lineRule="exact"/>
        <w:jc w:val="center"/>
        <w:rPr>
          <w:rStyle w:val="1Char"/>
          <w:rFonts w:ascii="Times New Roman" w:eastAsia="黑体" w:cs="Times New Roman" w:hAnsi="Times New Roman"/>
          <w:b/>
          <w:bCs w:val="0"/>
        </w:rPr>
      </w:pPr>
      <w:bookmarkStart w:id="19" w:name="_Toc29228"/>
      <w:r>
        <w:rPr>
          <w:rFonts w:ascii="Times New Roman" w:eastAsia="黑体" w:cs="Times New Roman" w:hAnsi="Times New Roman"/>
          <w:b w:val="0"/>
        </w:rPr>
        <w:t xml:space="preserve">第一部分 </w:t>
      </w:r>
      <w:r>
        <w:rPr>
          <w:rFonts w:ascii="Times New Roman" w:eastAsia="黑体" w:cs="Times New Roman" w:hAnsi="Times New Roman"/>
          <w:b w:val="0"/>
          <w:kern w:val="44"/>
          <w:sz w:val="44"/>
          <w:szCs w:val="44"/>
        </w:rPr>
        <w:t>部门概况</w:t>
      </w:r>
      <w:bookmarkEnd w:id="17"/>
      <w:bookmarkEnd w:id="18"/>
      <w:bookmarkEnd w:id="19"/>
    </w:p>
    <w:p>
      <w:pPr>
        <w:pageBreakBefore w:val="0"/>
        <w:widowControl/>
        <w:kinsoku/>
        <w:wordWrap/>
        <w:overflowPunct/>
        <w:topLinePunct w:val="0"/>
        <w:bidi w:val="0"/>
        <w:spacing w:line="576" w:lineRule="exact"/>
        <w:jc w:val="left"/>
        <w:rPr>
          <w:rFonts w:ascii="Times New Roman" w:eastAsia="黑体" w:cs="Times New Roman" w:hAnsi="Times New Roman"/>
          <w:sz w:val="32"/>
          <w:szCs w:val="32"/>
        </w:rPr>
      </w:pPr>
    </w:p>
    <w:p>
      <w:pPr>
        <w:pStyle w:val="2"/>
        <w:keepNext/>
        <w:keepLines/>
        <w:pageBreakBefore w:val="0"/>
        <w:widowControl w:val="0"/>
        <w:kinsoku/>
        <w:wordWrap/>
        <w:overflowPunct/>
        <w:topLinePunct w:val="0"/>
        <w:bidi w:val="0"/>
        <w:spacing w:after="0" w:line="576" w:lineRule="exact"/>
        <w:rPr>
          <w:rStyle w:val="2Char"/>
          <w:rFonts w:ascii="Times New Roman" w:eastAsia="黑体" w:cs="Times New Roman" w:hAnsi="Times New Roman"/>
          <w:b w:val="0"/>
          <w:bCs w:val="0"/>
          <w:lang w:val="en-US"/>
        </w:rPr>
      </w:pPr>
      <w:bookmarkStart w:id="20" w:name="_Toc15396600"/>
      <w:bookmarkStart w:id="21" w:name="_Toc15377197"/>
      <w:bookmarkStart w:id="22" w:name="_Toc18811"/>
      <w:r>
        <w:rPr>
          <w:rStyle w:val="2Char"/>
          <w:rFonts w:ascii="Times New Roman" w:eastAsia="黑体" w:cs="Times New Roman" w:hAnsi="Times New Roman"/>
          <w:b w:val="0"/>
          <w:bCs w:val="0"/>
        </w:rPr>
        <w:t>一、</w:t>
      </w:r>
      <w:bookmarkEnd w:id="20"/>
      <w:bookmarkEnd w:id="21"/>
      <w:bookmarkEnd w:id="22"/>
      <w:r>
        <w:rPr>
          <w:rStyle w:val="2Char"/>
          <w:rFonts w:ascii="Times New Roman" w:eastAsia="黑体" w:cs="Times New Roman" w:hAnsi="Times New Roman" w:hint="eastAsia"/>
          <w:b w:val="0"/>
          <w:bCs w:val="0"/>
          <w:lang w:val="en-US"/>
        </w:rPr>
        <w:t>部门职责</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bookmarkStart w:id="23" w:name="_Toc15377199"/>
      <w:bookmarkStart w:id="24" w:name="_Toc15378446"/>
      <w:r>
        <w:rPr>
          <w:rFonts w:eastAsia="仿宋_GB2312" w:cs="Times New Roman" w:hint="eastAsia"/>
          <w:sz w:val="32"/>
          <w:szCs w:val="32"/>
          <w:lang w:val="en-US" w:eastAsia="zh-CN"/>
        </w:rPr>
        <w:t>1、</w:t>
      </w:r>
      <w:r>
        <w:rPr>
          <w:rFonts w:ascii="Times New Roman" w:eastAsia="仿宋_GB2312" w:cs="Times New Roman" w:hAnsi="Times New Roman" w:hint="eastAsia"/>
          <w:sz w:val="32"/>
          <w:szCs w:val="32"/>
          <w:lang w:val="en-US" w:eastAsia="zh-CN"/>
        </w:rPr>
        <w:t xml:space="preserve"> 负责县委日常文书的处理，中央、省、州委和县委重要工作部署贯彻落实和督促检查，中央、省、州委和县委领导同志批示的传达和催办落实主。</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2、</w:t>
      </w:r>
      <w:r>
        <w:rPr>
          <w:rFonts w:ascii="Times New Roman" w:eastAsia="仿宋_GB2312" w:cs="Times New Roman" w:hAnsi="Times New Roman" w:hint="eastAsia"/>
          <w:sz w:val="32"/>
          <w:szCs w:val="32"/>
          <w:lang w:val="en-US" w:eastAsia="zh-CN"/>
        </w:rPr>
        <w:t>围绕中央、省、州委和县委工作部署，收集信息，反映动态，综合调研；承担县委部份文件、文稿的起草、修改、校对和印制工作；负责中央、省、州委和县委文件的收发、处理、传递和管理等工作。</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3、</w:t>
      </w:r>
      <w:r>
        <w:rPr>
          <w:rFonts w:ascii="Times New Roman" w:eastAsia="仿宋_GB2312" w:cs="Times New Roman" w:hAnsi="Times New Roman" w:hint="eastAsia"/>
          <w:sz w:val="32"/>
          <w:szCs w:val="32"/>
          <w:lang w:val="en-US" w:eastAsia="zh-CN"/>
        </w:rPr>
        <w:t>负责县委各种会议的会务工作和县委领导参加重大活动的组织安排，负责县委有关的接待工作。</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4、</w:t>
      </w:r>
      <w:r>
        <w:rPr>
          <w:rFonts w:ascii="Times New Roman" w:eastAsia="仿宋_GB2312" w:cs="Times New Roman" w:hAnsi="Times New Roman" w:hint="eastAsia"/>
          <w:sz w:val="32"/>
          <w:szCs w:val="32"/>
          <w:lang w:val="en-US" w:eastAsia="zh-CN"/>
        </w:rPr>
        <w:t>负责全县党政系统的密码通信和密码管理；负责中央、省、州委和县委文件和党政军领导机关及其要害部门核心机密文电，信件的处理和传递工作；负责全县保密工作。</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5、</w:t>
      </w:r>
      <w:r>
        <w:rPr>
          <w:rFonts w:ascii="Times New Roman" w:eastAsia="仿宋_GB2312" w:cs="Times New Roman" w:hAnsi="Times New Roman" w:hint="eastAsia"/>
          <w:sz w:val="32"/>
          <w:szCs w:val="32"/>
          <w:lang w:val="en-US" w:eastAsia="zh-CN"/>
        </w:rPr>
        <w:t>负责受理和接待人民群众向县委、县委领导的来信来访，办理和协调处理信访案件。</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6、</w:t>
      </w:r>
      <w:r>
        <w:rPr>
          <w:rFonts w:ascii="Times New Roman" w:eastAsia="仿宋_GB2312" w:cs="Times New Roman" w:hAnsi="Times New Roman" w:hint="eastAsia"/>
          <w:sz w:val="32"/>
          <w:szCs w:val="32"/>
          <w:lang w:val="en-US" w:eastAsia="zh-CN"/>
        </w:rPr>
        <w:t>负责农村工作领导小组的日常工作。</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7、</w:t>
      </w:r>
      <w:r>
        <w:rPr>
          <w:rFonts w:ascii="Times New Roman" w:eastAsia="仿宋_GB2312" w:cs="Times New Roman" w:hAnsi="Times New Roman" w:hint="eastAsia"/>
          <w:sz w:val="32"/>
          <w:szCs w:val="32"/>
          <w:lang w:val="en-US" w:eastAsia="zh-CN"/>
        </w:rPr>
        <w:t>负责协调有关部门办理县委和县委领导责成办理的事项。</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8、</w:t>
      </w:r>
      <w:r>
        <w:rPr>
          <w:rFonts w:ascii="Times New Roman" w:eastAsia="仿宋_GB2312" w:cs="Times New Roman" w:hAnsi="Times New Roman" w:hint="eastAsia"/>
          <w:sz w:val="32"/>
          <w:szCs w:val="32"/>
          <w:lang w:val="en-US" w:eastAsia="zh-CN"/>
        </w:rPr>
        <w:t>负责县委和行政后勤保障工作，管理县委机关的固定资产，负责县委机关的财务管理、财务审计、基建计划及实施等工作。</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9、</w:t>
      </w:r>
      <w:r>
        <w:rPr>
          <w:rFonts w:ascii="Times New Roman" w:eastAsia="仿宋_GB2312" w:cs="Times New Roman" w:hAnsi="Times New Roman" w:hint="eastAsia"/>
          <w:sz w:val="32"/>
          <w:szCs w:val="32"/>
          <w:lang w:val="en-US" w:eastAsia="zh-CN"/>
        </w:rPr>
        <w:t>负责县委机关大院办公楼、宿舍区的安全防范和社会治安综合治理及精神文明建设。</w:t>
      </w:r>
    </w:p>
    <w:p>
      <w:pPr>
        <w:pageBreakBefore w:val="0"/>
        <w:widowControl w:val="0"/>
        <w:kinsoku/>
        <w:wordWrap/>
        <w:overflowPunct/>
        <w:topLinePunct w:val="0"/>
        <w:bidi w:val="0"/>
        <w:spacing w:line="576" w:lineRule="exact"/>
        <w:ind w:firstLineChars="300" w:firstLine="960"/>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10、</w:t>
      </w:r>
      <w:r>
        <w:rPr>
          <w:rFonts w:ascii="Times New Roman" w:eastAsia="仿宋_GB2312" w:cs="Times New Roman" w:hAnsi="Times New Roman" w:hint="eastAsia"/>
          <w:sz w:val="32"/>
          <w:szCs w:val="32"/>
          <w:lang w:val="en-US" w:eastAsia="zh-CN"/>
        </w:rPr>
        <w:t>负责原县委领导和办公室离退休人员的管理、服务工作。</w:t>
      </w:r>
    </w:p>
    <w:p>
      <w:pPr>
        <w:pageBreakBefore w:val="0"/>
        <w:widowControl w:val="0"/>
        <w:kinsoku/>
        <w:wordWrap/>
        <w:overflowPunct/>
        <w:topLinePunct w:val="0"/>
        <w:bidi w:val="0"/>
        <w:spacing w:line="576" w:lineRule="exact"/>
        <w:ind w:firstLineChars="300" w:firstLine="960"/>
        <w:rPr>
          <w:rFonts w:ascii="Times New Roman" w:eastAsia="仿宋" w:cs="Times New Roman" w:hAnsi="Times New Roman"/>
          <w:sz w:val="32"/>
          <w:szCs w:val="32"/>
          <w:lang w:val="en-US" w:eastAsia="zh-CN"/>
        </w:rPr>
      </w:pPr>
      <w:r>
        <w:rPr>
          <w:rFonts w:eastAsia="仿宋_GB2312" w:cs="Times New Roman" w:hint="eastAsia"/>
          <w:sz w:val="32"/>
          <w:szCs w:val="32"/>
          <w:lang w:val="en-US" w:eastAsia="zh-CN"/>
        </w:rPr>
        <w:t>11、</w:t>
      </w:r>
      <w:r>
        <w:rPr>
          <w:rFonts w:ascii="Times New Roman" w:eastAsia="仿宋_GB2312" w:cs="Times New Roman" w:hAnsi="Times New Roman" w:hint="eastAsia"/>
          <w:sz w:val="32"/>
          <w:szCs w:val="32"/>
          <w:lang w:val="en-US" w:eastAsia="zh-CN"/>
        </w:rPr>
        <w:t>完成县委和县委领导交办的其它工作。</w:t>
      </w:r>
      <w:bookmarkEnd w:id="23"/>
      <w:bookmarkEnd w:id="24"/>
      <w:r>
        <w:rPr>
          <w:rFonts w:ascii="Times New Roman" w:eastAsia="仿宋" w:cs="Times New Roman" w:hAnsi="Times New Roman"/>
          <w:sz w:val="32"/>
          <w:szCs w:val="32"/>
          <w:lang w:val="en-US" w:eastAsia="zh-CN"/>
        </w:rPr>
        <w:t>　</w:t>
      </w:r>
    </w:p>
    <w:p>
      <w:pPr>
        <w:pStyle w:val="2"/>
        <w:keepNext/>
        <w:keepLines/>
        <w:pageBreakBefore w:val="0"/>
        <w:widowControl w:val="0"/>
        <w:kinsoku/>
        <w:wordWrap/>
        <w:overflowPunct/>
        <w:topLinePunct w:val="0"/>
        <w:bidi w:val="0"/>
        <w:spacing w:after="0" w:line="576" w:lineRule="exact"/>
        <w:rPr>
          <w:rStyle w:val="2Char"/>
          <w:rFonts w:ascii="Times New Roman" w:eastAsia="方正黑体_GBK" w:cs="Times New Roman" w:hAnsi="Times New Roman"/>
          <w:b w:val="0"/>
          <w:bCs w:val="0"/>
        </w:rPr>
      </w:pPr>
      <w:bookmarkStart w:id="25" w:name="_Toc79163855"/>
      <w:bookmarkStart w:id="26" w:name="_Toc79163605"/>
      <w:r>
        <w:rPr>
          <w:rFonts w:ascii="Times New Roman" w:eastAsia="黑体" w:cs="Times New Roman" w:hAnsi="Times New Roman"/>
          <w:b w:val="0"/>
          <w:color w:val="000000"/>
          <w:lang w:val="en-US" w:eastAsia="zh-CN"/>
        </w:rPr>
        <w:t xml:space="preserve">   </w:t>
      </w:r>
      <w:bookmarkStart w:id="27" w:name="_Toc15396601"/>
      <w:bookmarkStart w:id="28" w:name="_Toc1694"/>
      <w:bookmarkStart w:id="29" w:name="_Toc15377200"/>
      <w:bookmarkEnd w:id="25"/>
      <w:bookmarkEnd w:id="26"/>
      <w:r>
        <w:rPr>
          <w:rStyle w:val="2Char"/>
          <w:rFonts w:ascii="Times New Roman" w:eastAsia="黑体" w:cs="Times New Roman" w:hAnsi="Times New Roman"/>
          <w:b w:val="0"/>
          <w:bCs w:val="0"/>
        </w:rPr>
        <w:t>二、机构设置</w:t>
      </w:r>
      <w:bookmarkEnd w:id="27"/>
      <w:bookmarkEnd w:id="28"/>
      <w:bookmarkEnd w:id="29"/>
    </w:p>
    <w:p>
      <w:pPr>
        <w:ind w:firstLineChars="250" w:firstLine="800"/>
        <w:rPr>
          <w:rFonts w:ascii="Times New Roman" w:eastAsia="仿宋_GB2312" w:cs="仿宋_GB2312" w:hAnsi="Times New Roman" w:hint="eastAsia"/>
          <w:color w:val="auto"/>
          <w:sz w:val="32"/>
          <w:szCs w:val="32"/>
          <w:highlight w:val="auto"/>
        </w:rPr>
      </w:pPr>
      <w:r>
        <w:rPr>
          <w:rFonts w:ascii="仿宋_GB2312" w:eastAsia="仿宋_GB2312" w:cs="仿宋_GB2312" w:hint="eastAsia"/>
          <w:color w:val="auto"/>
          <w:sz w:val="32"/>
          <w:szCs w:val="32"/>
          <w:highlight w:val="auto"/>
        </w:rPr>
        <w:t>中共金川县委</w:t>
      </w:r>
      <w:r>
        <w:rPr>
          <w:rFonts w:ascii="Times New Roman" w:eastAsia="仿宋_GB2312" w:cs="仿宋_GB2312" w:hAnsi="Times New Roman" w:hint="eastAsia"/>
          <w:color w:val="auto"/>
          <w:sz w:val="32"/>
          <w:szCs w:val="32"/>
          <w:highlight w:val="auto"/>
        </w:rPr>
        <w:t>下属二级</w:t>
      </w:r>
      <w:r>
        <w:rPr>
          <w:rFonts w:ascii="Times New Roman" w:eastAsia="仿宋_GB2312" w:cs="仿宋_GB2312" w:hAnsi="Times New Roman" w:hint="eastAsia"/>
          <w:color w:val="auto"/>
          <w:sz w:val="32"/>
          <w:szCs w:val="32"/>
          <w:lang w:eastAsia="zh-CN"/>
          <w:highlight w:val="auto"/>
        </w:rPr>
        <w:t>预算</w:t>
      </w:r>
      <w:r>
        <w:rPr>
          <w:rFonts w:ascii="Times New Roman" w:eastAsia="仿宋_GB2312" w:cs="仿宋_GB2312" w:hAnsi="Times New Roman" w:hint="eastAsia"/>
          <w:color w:val="auto"/>
          <w:sz w:val="32"/>
          <w:szCs w:val="32"/>
          <w:highlight w:val="auto"/>
        </w:rPr>
        <w:t>单位</w:t>
      </w:r>
      <w:r>
        <w:rPr>
          <w:rFonts w:eastAsia="仿宋_GB2312" w:cs="仿宋_GB2312" w:hint="eastAsia"/>
          <w:color w:val="auto"/>
          <w:sz w:val="32"/>
          <w:szCs w:val="32"/>
          <w:lang w:val="en-US" w:eastAsia="zh-CN"/>
          <w:highlight w:val="auto"/>
        </w:rPr>
        <w:t>3</w:t>
      </w:r>
      <w:r>
        <w:rPr>
          <w:rFonts w:ascii="Times New Roman" w:eastAsia="仿宋_GB2312" w:cs="仿宋_GB2312" w:hAnsi="Times New Roman" w:hint="eastAsia"/>
          <w:color w:val="auto"/>
          <w:sz w:val="32"/>
          <w:szCs w:val="32"/>
          <w:highlight w:val="auto"/>
        </w:rPr>
        <w:t>个，其中行政单位</w:t>
      </w:r>
      <w:r>
        <w:rPr>
          <w:rFonts w:eastAsia="仿宋_GB2312" w:cs="仿宋_GB2312" w:hint="eastAsia"/>
          <w:color w:val="auto"/>
          <w:sz w:val="32"/>
          <w:szCs w:val="32"/>
          <w:lang w:val="en-US" w:eastAsia="zh-CN"/>
          <w:highlight w:val="auto"/>
        </w:rPr>
        <w:t>1</w:t>
      </w:r>
      <w:r>
        <w:rPr>
          <w:rFonts w:ascii="Times New Roman" w:eastAsia="仿宋_GB2312" w:cs="仿宋_GB2312" w:hAnsi="Times New Roman" w:hint="eastAsia"/>
          <w:color w:val="auto"/>
          <w:sz w:val="32"/>
          <w:szCs w:val="32"/>
          <w:highlight w:val="auto"/>
        </w:rPr>
        <w:t>个，参照公务员法管理的事业单位</w:t>
      </w:r>
      <w:r>
        <w:rPr>
          <w:rFonts w:eastAsia="仿宋_GB2312" w:cs="仿宋_GB2312" w:hint="eastAsia"/>
          <w:bCs/>
          <w:color w:val="auto"/>
          <w:sz w:val="32"/>
          <w:szCs w:val="32"/>
          <w:lang w:val="en-US" w:eastAsia="zh-CN"/>
          <w:highlight w:val="auto"/>
        </w:rPr>
        <w:t>1</w:t>
      </w:r>
      <w:r>
        <w:rPr>
          <w:rFonts w:ascii="Times New Roman" w:eastAsia="仿宋_GB2312" w:cs="仿宋_GB2312" w:hAnsi="Times New Roman" w:hint="eastAsia"/>
          <w:color w:val="auto"/>
          <w:sz w:val="32"/>
          <w:szCs w:val="32"/>
          <w:highlight w:val="auto"/>
        </w:rPr>
        <w:t>个，其他事业单位</w:t>
      </w:r>
      <w:r>
        <w:rPr>
          <w:rFonts w:eastAsia="仿宋_GB2312" w:cs="仿宋_GB2312" w:hint="eastAsia"/>
          <w:color w:val="auto"/>
          <w:sz w:val="32"/>
          <w:szCs w:val="32"/>
          <w:lang w:val="en-US" w:eastAsia="zh-CN"/>
          <w:highlight w:val="auto"/>
        </w:rPr>
        <w:t>1</w:t>
      </w:r>
      <w:r>
        <w:rPr>
          <w:rFonts w:ascii="Times New Roman" w:eastAsia="仿宋_GB2312" w:cs="仿宋_GB2312" w:hAnsi="Times New Roman" w:hint="eastAsia"/>
          <w:color w:val="auto"/>
          <w:sz w:val="32"/>
          <w:szCs w:val="32"/>
          <w:highlight w:val="auto"/>
        </w:rPr>
        <w:t>个。</w:t>
      </w:r>
    </w:p>
    <w:p>
      <w:pPr>
        <w:pStyle w:val="16"/>
        <w:adjustRightInd w:val="0"/>
        <w:snapToGrid w:val="0"/>
        <w:spacing w:beforeLines="0" w:before="93" w:line="600" w:lineRule="exact"/>
        <w:ind w:firstLineChars="208" w:firstLine="669"/>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纳入</w:t>
      </w:r>
      <w:r>
        <w:rPr>
          <w:sz w:val="32"/>
          <w:szCs w:val="32"/>
        </w:rPr>
        <w:t>中共金川县委</w:t>
      </w:r>
      <w:r>
        <w:rPr>
          <w:rFonts w:ascii="Times New Roman" w:eastAsia="仿宋_GB2312" w:cs="仿宋_GB2312" w:hAnsi="Times New Roman" w:hint="eastAsia"/>
          <w:color w:val="auto"/>
          <w:sz w:val="32"/>
          <w:szCs w:val="32"/>
          <w:lang w:eastAsia="zh-CN"/>
          <w:highlight w:val="auto"/>
        </w:rPr>
        <w:t>2024年度</w:t>
      </w:r>
      <w:r>
        <w:rPr>
          <w:rFonts w:ascii="Times New Roman" w:eastAsia="仿宋_GB2312" w:cs="仿宋_GB2312" w:hAnsi="Times New Roman" w:hint="eastAsia"/>
          <w:color w:val="auto"/>
          <w:sz w:val="32"/>
          <w:szCs w:val="32"/>
          <w:highlight w:val="auto"/>
        </w:rPr>
        <w:t>部门决算编制范围的二级预算单位包括：</w:t>
      </w:r>
    </w:p>
    <w:p>
      <w:pPr>
        <w:pStyle w:val="16"/>
        <w:numPr>
          <w:ilvl w:val="0"/>
          <w:numId w:val="1"/>
        </w:numPr>
        <w:adjustRightInd w:val="0"/>
        <w:snapToGrid w:val="0"/>
        <w:spacing w:beforeLines="0" w:before="93" w:line="600" w:lineRule="exact"/>
        <w:outlineLvl w:val="2"/>
        <w:rPr>
          <w:rFonts w:ascii="Times New Roman" w:eastAsia="仿宋_GB2312" w:cs="仿宋_GB2312" w:hAnsi="Times New Roman" w:hint="eastAsia"/>
          <w:color w:val="auto"/>
          <w:sz w:val="32"/>
          <w:szCs w:val="32"/>
          <w:highlight w:val="auto"/>
        </w:rPr>
      </w:pPr>
      <w:bookmarkStart w:id="30" w:name="_Toc15377433"/>
      <w:bookmarkStart w:id="31" w:name="_Toc15378449"/>
      <w:bookmarkStart w:id="32" w:name="_Toc15306276"/>
      <w:bookmarkStart w:id="33" w:name="_Toc15377202"/>
      <w:r>
        <w:rPr>
          <w:rFonts w:ascii="Times New Roman" w:eastAsia="仿宋_GB2312" w:cs="Times New Roman" w:hAnsi="Times New Roman" w:hint="eastAsia"/>
          <w:bCs/>
          <w:kern w:val="0"/>
          <w:sz w:val="32"/>
          <w:szCs w:val="32"/>
          <w:shd w:val="clear" w:color="auto" w:fill="FFFFFF"/>
          <w:lang w:val="en-US" w:eastAsia="zh-CN"/>
        </w:rPr>
        <w:t>金川县县委办公室</w:t>
      </w:r>
    </w:p>
    <w:p>
      <w:pPr>
        <w:pStyle w:val="16"/>
        <w:numPr>
          <w:ilvl w:val="0"/>
          <w:numId w:val="1"/>
        </w:numPr>
        <w:adjustRightInd w:val="0"/>
        <w:snapToGrid w:val="0"/>
        <w:spacing w:beforeLines="0" w:before="93" w:line="600" w:lineRule="exact"/>
        <w:outlineLvl w:val="2"/>
        <w:rPr>
          <w:rFonts w:ascii="Times New Roman" w:eastAsia="仿宋_GB2312" w:cs="仿宋_GB2312" w:hAnsi="Times New Roman" w:hint="eastAsia"/>
          <w:color w:val="auto"/>
          <w:sz w:val="32"/>
          <w:szCs w:val="32"/>
          <w:highlight w:val="auto"/>
        </w:rPr>
      </w:pPr>
      <w:bookmarkStart w:id="34" w:name="_Toc15306277"/>
      <w:bookmarkStart w:id="35" w:name="_Toc15377434"/>
      <w:bookmarkStart w:id="36" w:name="_Toc15378450"/>
      <w:bookmarkStart w:id="37" w:name="_Toc15377203"/>
      <w:bookmarkEnd w:id="30"/>
      <w:bookmarkEnd w:id="31"/>
      <w:bookmarkEnd w:id="32"/>
      <w:bookmarkEnd w:id="33"/>
      <w:r>
        <w:rPr>
          <w:rFonts w:ascii="Times New Roman" w:eastAsia="仿宋_GB2312" w:cs="Times New Roman" w:hAnsi="Times New Roman" w:hint="eastAsia"/>
          <w:bCs/>
          <w:kern w:val="0"/>
          <w:sz w:val="32"/>
          <w:szCs w:val="32"/>
          <w:shd w:val="clear" w:color="auto" w:fill="FFFFFF"/>
          <w:lang w:val="en-US" w:eastAsia="zh-CN"/>
        </w:rPr>
        <w:t>金川县目标绩效事务中心</w:t>
      </w:r>
      <w:bookmarkEnd w:id="34"/>
      <w:bookmarkEnd w:id="35"/>
      <w:bookmarkEnd w:id="36"/>
      <w:bookmarkEnd w:id="37"/>
    </w:p>
    <w:p>
      <w:pPr>
        <w:pStyle w:val="16"/>
        <w:numPr>
          <w:ilvl w:val="0"/>
          <w:numId w:val="1"/>
        </w:numPr>
        <w:adjustRightInd w:val="0"/>
        <w:snapToGrid w:val="0"/>
        <w:spacing w:beforeLines="0" w:before="93" w:line="600" w:lineRule="exact"/>
        <w:outlineLvl w:val="2"/>
        <w:rPr>
          <w:rFonts w:ascii="Times New Roman" w:eastAsia="仿宋_GB2312" w:cs="仿宋_GB2312" w:hAnsi="Times New Roman" w:hint="eastAsia"/>
          <w:color w:val="auto"/>
          <w:sz w:val="32"/>
          <w:szCs w:val="32"/>
          <w:highlight w:val="auto"/>
        </w:rPr>
      </w:pPr>
      <w:r>
        <w:rPr>
          <w:rFonts w:ascii="Times New Roman" w:eastAsia="仿宋_GB2312" w:cs="Times New Roman" w:hAnsi="Times New Roman" w:hint="eastAsia"/>
          <w:bCs/>
          <w:kern w:val="0"/>
          <w:sz w:val="32"/>
          <w:szCs w:val="32"/>
          <w:shd w:val="clear" w:color="auto" w:fill="FFFFFF"/>
          <w:lang w:val="en-US" w:eastAsia="zh-CN"/>
        </w:rPr>
        <w:t>金川县党政网管理中心</w:t>
      </w:r>
    </w:p>
    <w:p>
      <w:pPr>
        <w:keepNext w:val="0"/>
        <w:keepLines w:val="0"/>
        <w:pageBreakBefore w:val="0"/>
        <w:widowControl/>
        <w:kinsoku/>
        <w:wordWrap/>
        <w:overflowPunct/>
        <w:topLinePunct w:val="0"/>
        <w:autoSpaceDE/>
        <w:autoSpaceDN/>
        <w:bidi w:val="0"/>
        <w:adjustRightInd/>
        <w:snapToGrid/>
        <w:spacing w:line="576" w:lineRule="exact"/>
        <w:ind w:firstLineChars="200" w:firstLine="640"/>
        <w:jc w:val="left"/>
        <w:textAlignment w:val="auto"/>
        <w:rPr>
          <w:rFonts w:ascii="Times New Roman" w:eastAsia="仿宋" w:cs="Times New Roman" w:hAnsi="Times New Roman"/>
          <w:kern w:val="0"/>
          <w:sz w:val="32"/>
          <w:szCs w:val="32"/>
        </w:rPr>
      </w:pPr>
      <w:r>
        <w:rPr>
          <w:rFonts w:ascii="Times New Roman" w:eastAsia="仿宋" w:cs="Times New Roman" w:hAnsi="Times New Roman"/>
          <w:sz w:val="32"/>
          <w:szCs w:val="32"/>
        </w:rPr>
        <w:br w:type="page"/>
      </w:r>
    </w:p>
    <w:p>
      <w:pPr>
        <w:pStyle w:val="1"/>
        <w:keepNext/>
        <w:keepLines/>
        <w:pageBreakBefore w:val="0"/>
        <w:widowControl w:val="0"/>
        <w:kinsoku/>
        <w:wordWrap/>
        <w:overflowPunct/>
        <w:topLinePunct w:val="0"/>
        <w:bidi w:val="0"/>
        <w:spacing w:line="576" w:lineRule="exact"/>
        <w:ind w:right="440"/>
        <w:jc w:val="center"/>
        <w:rPr>
          <w:rFonts w:ascii="Times New Roman" w:cs="Times New Roman" w:hAnsi="Times New Roman"/>
        </w:rPr>
      </w:pPr>
      <w:bookmarkStart w:id="38" w:name="_Toc24625"/>
      <w:bookmarkStart w:id="39" w:name="_Toc15377204"/>
      <w:bookmarkStart w:id="40" w:name="_Toc15396602"/>
      <w:r>
        <w:rPr>
          <w:rFonts w:ascii="Times New Roman" w:eastAsia="黑体" w:cs="Times New Roman" w:hAnsi="Times New Roman"/>
          <w:b w:val="0"/>
        </w:rPr>
        <w:t>第二部分 202</w:t>
      </w:r>
      <w:r>
        <w:rPr>
          <w:rFonts w:eastAsia="黑体" w:cs="Times New Roman" w:hint="eastAsia"/>
          <w:b w:val="0"/>
          <w:lang w:val="en-US" w:eastAsia="zh-CN"/>
        </w:rPr>
        <w:t>4</w:t>
      </w:r>
      <w:r>
        <w:rPr>
          <w:rFonts w:ascii="Times New Roman" w:eastAsia="黑体" w:cs="Times New Roman" w:hAnsi="Times New Roman"/>
          <w:b w:val="0"/>
        </w:rPr>
        <w:t>年度</w:t>
      </w:r>
      <w:r>
        <w:rPr>
          <w:rFonts w:ascii="Times New Roman" w:eastAsia="黑体" w:cs="Times New Roman" w:hAnsi="Times New Roman"/>
          <w:b w:val="0"/>
          <w:kern w:val="44"/>
          <w:sz w:val="44"/>
          <w:szCs w:val="44"/>
        </w:rPr>
        <w:t>部门决算情况说明</w:t>
      </w:r>
      <w:bookmarkEnd w:id="38"/>
      <w:bookmarkEnd w:id="39"/>
      <w:bookmarkEnd w:id="40"/>
    </w:p>
    <w:p>
      <w:pPr>
        <w:pStyle w:val="32"/>
        <w:pageBreakBefore w:val="0"/>
        <w:widowControl w:val="0"/>
        <w:numPr>
          <w:ilvl w:val="0"/>
          <w:numId w:val="2"/>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41" w:name="_Toc20975"/>
      <w:bookmarkStart w:id="42" w:name="_Toc15396603"/>
      <w:bookmarkStart w:id="43" w:name="_Toc15377205"/>
      <w:r>
        <w:rPr>
          <w:rFonts w:ascii="Times New Roman" w:eastAsia="黑体" w:cs="Times New Roman" w:hAnsi="Times New Roman"/>
          <w:sz w:val="32"/>
          <w:szCs w:val="32"/>
        </w:rPr>
        <w:t>收</w:t>
      </w:r>
      <w:r>
        <w:rPr>
          <w:rStyle w:val="2Char"/>
          <w:rFonts w:ascii="Times New Roman" w:eastAsia="黑体" w:cs="Times New Roman" w:hAnsi="Times New Roman"/>
          <w:b w:val="0"/>
        </w:rPr>
        <w:t>入支出决算总体情况说明</w:t>
      </w:r>
      <w:bookmarkEnd w:id="41"/>
      <w:bookmarkEnd w:id="42"/>
      <w:bookmarkEnd w:id="43"/>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rPr>
      </w:pPr>
      <w:r>
        <w:rPr>
          <w:rFonts w:ascii="Times New Roman" w:eastAsia="仿宋" w:cs="Times New Roman" w:hAnsi="Times New Roman"/>
          <w:sz w:val="32"/>
          <w:szCs w:val="32"/>
          <w:lang w:eastAsia="zh-CN"/>
        </w:rPr>
        <w:drawing>
          <wp:anchor distT="0" distB="0" distL="114300" distR="114300" simplePos="0" relativeHeight="24" behindDoc="0" locked="0" layoutInCell="1" hidden="0" allowOverlap="1">
            <wp:simplePos x="0" y="0"/>
            <wp:positionH relativeFrom="column">
              <wp:posOffset>1102995</wp:posOffset>
            </wp:positionH>
            <wp:positionV relativeFrom="paragraph">
              <wp:posOffset>1443355</wp:posOffset>
            </wp:positionV>
            <wp:extent cx="3139440" cy="2548889"/>
            <wp:effectExtent l="0" t="0" r="0" b="0"/>
            <wp:wrapNone/>
            <wp:docPr id="1" name="图表 1"/>
            <wp:cNvGraphicFramePr>
              <a:graphicFrameLocks noChangeAspect="0"/>
            </wp:cNvGraphicFramePr>
            <a:graphic>
              <a:graphicData uri="http://schemas.openxmlformats.org/drawingml/2006/chart">
                <c:chart xmlns:c="http://schemas.openxmlformats.org/drawingml/2006/chart" r:id="rId4"/>
              </a:graphicData>
            </a:graphic>
          </wp:anchor>
        </w:drawing>
      </w:r>
      <w:r>
        <w:rPr>
          <w:rFonts w:ascii="Times New Roman" w:eastAsia="仿宋_GB2312" w:cs="Times New Roman" w:hAnsi="Times New Roman"/>
          <w:sz w:val="32"/>
          <w:szCs w:val="32"/>
        </w:rPr>
        <w:t>202</w:t>
      </w:r>
      <w:r>
        <w:rPr>
          <w:rFonts w:eastAsia="仿宋_GB2312" w:cs="Times New Roman" w:hint="eastAsia"/>
          <w:sz w:val="32"/>
          <w:szCs w:val="32"/>
          <w:lang w:val="en-US" w:eastAsia="zh-CN"/>
        </w:rPr>
        <w:t>4</w:t>
      </w:r>
      <w:r>
        <w:rPr>
          <w:rFonts w:ascii="Times New Roman" w:eastAsia="仿宋_GB2312" w:cs="Times New Roman" w:hAnsi="Times New Roman"/>
          <w:sz w:val="32"/>
          <w:szCs w:val="32"/>
        </w:rPr>
        <w:t>年度收、支总计</w:t>
      </w:r>
      <w:r>
        <w:rPr>
          <w:rFonts w:eastAsia="仿宋_GB2312" w:cs="Times New Roman" w:hint="eastAsia"/>
          <w:sz w:val="32"/>
          <w:szCs w:val="32"/>
          <w:lang w:eastAsia="zh-CN"/>
        </w:rPr>
        <w:t>2032.89</w:t>
      </w:r>
      <w:r>
        <w:rPr>
          <w:rFonts w:ascii="Times New Roman" w:eastAsia="仿宋_GB2312" w:cs="Times New Roman" w:hAnsi="Times New Roman"/>
          <w:sz w:val="32"/>
          <w:szCs w:val="32"/>
        </w:rPr>
        <w:t>万元。与202</w:t>
      </w:r>
      <w:r>
        <w:rPr>
          <w:rFonts w:eastAsia="仿宋_GB2312" w:cs="Times New Roman" w:hint="eastAsia"/>
          <w:sz w:val="32"/>
          <w:szCs w:val="32"/>
          <w:lang w:val="en-US" w:eastAsia="zh-CN"/>
        </w:rPr>
        <w:t>3</w:t>
      </w:r>
      <w:r>
        <w:rPr>
          <w:rFonts w:ascii="Times New Roman" w:eastAsia="仿宋_GB2312" w:cs="Times New Roman" w:hAnsi="Times New Roman"/>
          <w:sz w:val="32"/>
          <w:szCs w:val="32"/>
        </w:rPr>
        <w:t>年相比，收、支总计各</w:t>
      </w:r>
      <w:r>
        <w:rPr>
          <w:rFonts w:eastAsia="仿宋_GB2312" w:cs="Times New Roman" w:hint="eastAsia"/>
          <w:sz w:val="32"/>
          <w:szCs w:val="32"/>
          <w:lang w:val="en-US" w:eastAsia="zh-CN"/>
        </w:rPr>
        <w:t>减少123.91</w:t>
      </w:r>
      <w:r>
        <w:rPr>
          <w:rFonts w:ascii="Times New Roman" w:eastAsia="仿宋_GB2312" w:cs="Times New Roman" w:hAnsi="Times New Roman"/>
          <w:sz w:val="32"/>
          <w:szCs w:val="32"/>
        </w:rPr>
        <w:t>万元，</w:t>
      </w:r>
      <w:r>
        <w:rPr>
          <w:rFonts w:eastAsia="仿宋_GB2312" w:cs="Times New Roman" w:hint="eastAsia"/>
          <w:sz w:val="32"/>
          <w:szCs w:val="32"/>
          <w:lang w:val="en-US" w:eastAsia="zh-CN"/>
        </w:rPr>
        <w:t>减少5.75</w:t>
      </w:r>
      <w:r>
        <w:rPr>
          <w:rFonts w:ascii="Times New Roman" w:eastAsia="仿宋_GB2312" w:cs="Times New Roman" w:hAnsi="Times New Roman"/>
          <w:sz w:val="32"/>
          <w:szCs w:val="32"/>
        </w:rPr>
        <w:t>%。主要变动原因是本年度</w:t>
      </w:r>
      <w:r>
        <w:rPr>
          <w:rFonts w:eastAsia="仿宋_GB2312" w:cs="Times New Roman" w:hint="eastAsia"/>
          <w:sz w:val="32"/>
          <w:szCs w:val="32"/>
          <w:lang w:val="en-US" w:eastAsia="zh-CN"/>
        </w:rPr>
        <w:t>专项经费减少</w:t>
      </w:r>
      <w:r>
        <w:rPr>
          <w:rFonts w:eastAsia="仿宋_GB2312" w:cs="Times New Roman" w:hint="eastAsia"/>
          <w:sz w:val="32"/>
          <w:szCs w:val="32"/>
          <w:lang w:eastAsia="zh-CN"/>
        </w:rPr>
        <w:t>导致经费</w:t>
      </w:r>
      <w:r>
        <w:rPr>
          <w:rFonts w:eastAsia="仿宋_GB2312" w:cs="Times New Roman" w:hint="eastAsia"/>
          <w:sz w:val="32"/>
          <w:szCs w:val="32"/>
          <w:lang w:val="en-US" w:eastAsia="zh-CN"/>
        </w:rPr>
        <w:t>减少</w:t>
      </w:r>
      <w:r>
        <w:rPr>
          <w:rFonts w:ascii="Times New Roman" w:eastAsia="仿宋_GB2312" w:cs="Times New Roman" w:hAnsi="Times New Roman"/>
          <w:color w:val="000000"/>
          <w:sz w:val="32"/>
          <w:szCs w:val="32"/>
          <w:lang w:val="en-US" w:eastAsia="zh-CN"/>
        </w:rPr>
        <w:t>。</w:t>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p>
    <w:p>
      <w:pPr>
        <w:pStyle w:val="16"/>
        <w:pageBreakBefore w:val="0"/>
        <w:widowControl w:val="0"/>
        <w:kinsoku/>
        <w:wordWrap/>
        <w:overflowPunct/>
        <w:topLinePunct w:val="0"/>
        <w:bidi w:val="0"/>
        <w:spacing w:line="576" w:lineRule="exact"/>
        <w:rPr>
          <w:rFonts w:ascii="Times New Roman" w:cs="Times New Roman" w:hAnsi="Times New Roman"/>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Style w:val="16"/>
      </w:pPr>
    </w:p>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（图1：收、支决算总计变动情况图）（柱状图）</w:t>
      </w:r>
    </w:p>
    <w:p>
      <w:pPr>
        <w:pStyle w:val="16"/>
      </w:pPr>
    </w:p>
    <w:p>
      <w:pPr>
        <w:pStyle w:val="32"/>
        <w:pageBreakBefore w:val="0"/>
        <w:widowControl w:val="0"/>
        <w:numPr>
          <w:ilvl w:val="0"/>
          <w:numId w:val="2"/>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44" w:name="_Toc15396604"/>
      <w:bookmarkStart w:id="45" w:name="_Toc15377206"/>
      <w:bookmarkStart w:id="46" w:name="_Toc11519"/>
      <w:r>
        <w:rPr>
          <w:rFonts w:ascii="Times New Roman" w:eastAsia="黑体" w:cs="Times New Roman" w:hAnsi="Times New Roman"/>
          <w:sz w:val="32"/>
          <w:szCs w:val="32"/>
        </w:rPr>
        <w:t>收</w:t>
      </w:r>
      <w:r>
        <w:rPr>
          <w:rStyle w:val="2Char"/>
          <w:rFonts w:ascii="Times New Roman" w:eastAsia="黑体" w:cs="Times New Roman" w:hAnsi="Times New Roman"/>
          <w:b w:val="0"/>
        </w:rPr>
        <w:t>入决算情况说明</w:t>
      </w:r>
      <w:bookmarkEnd w:id="44"/>
      <w:bookmarkEnd w:id="45"/>
      <w:bookmarkEnd w:id="46"/>
    </w:p>
    <w:p>
      <w:pPr>
        <w:pageBreakBefore w:val="0"/>
        <w:widowControl w:val="0"/>
        <w:kinsoku/>
        <w:wordWrap/>
        <w:overflowPunct/>
        <w:topLinePunct w:val="0"/>
        <w:bidi w:val="0"/>
        <w:spacing w:line="576" w:lineRule="exact"/>
        <w:ind w:firstLineChars="200" w:firstLine="640"/>
        <w:outlineLvl w:val="1"/>
        <w:rPr>
          <w:rFonts w:ascii="Times New Roman" w:eastAsia="仿宋" w:cs="Times New Roman" w:hAnsi="Times New Roman"/>
          <w:sz w:val="32"/>
          <w:szCs w:val="32"/>
        </w:rPr>
      </w:pPr>
      <w:bookmarkStart w:id="47" w:name="_Toc26843610"/>
      <w:bookmarkStart w:id="48" w:name="_Toc18400"/>
      <w:r>
        <w:rPr>
          <w:rFonts w:ascii="Times New Roman" w:eastAsia="仿宋_GB2312" w:cs="Times New Roman" w:hAnsi="Times New Roman"/>
          <w:sz w:val="32"/>
          <w:szCs w:val="32"/>
        </w:rPr>
        <w:t>202</w:t>
      </w:r>
      <w:r>
        <w:rPr>
          <w:rFonts w:eastAsia="仿宋_GB2312" w:cs="Times New Roman" w:hint="eastAsia"/>
          <w:sz w:val="32"/>
          <w:szCs w:val="32"/>
          <w:lang w:val="en-US" w:eastAsia="zh-CN"/>
        </w:rPr>
        <w:t>4</w:t>
      </w:r>
      <w:r>
        <w:rPr>
          <w:rFonts w:ascii="Times New Roman" w:eastAsia="仿宋_GB2312" w:cs="Times New Roman" w:hAnsi="Times New Roman"/>
          <w:sz w:val="32"/>
          <w:szCs w:val="32"/>
        </w:rPr>
        <w:t>年度收入合计</w:t>
      </w:r>
      <w:r>
        <w:rPr>
          <w:rFonts w:eastAsia="仿宋_GB2312" w:cs="Times New Roman" w:hint="eastAsia"/>
          <w:sz w:val="32"/>
          <w:szCs w:val="32"/>
          <w:lang w:eastAsia="zh-CN"/>
        </w:rPr>
        <w:t>2032.89</w:t>
      </w:r>
      <w:r>
        <w:rPr>
          <w:rFonts w:ascii="Times New Roman" w:eastAsia="仿宋_GB2312" w:cs="Times New Roman" w:hAnsi="Times New Roman"/>
          <w:sz w:val="32"/>
          <w:szCs w:val="32"/>
        </w:rPr>
        <w:t>万元，其中：一般公共预算财政拨款收入</w:t>
      </w:r>
      <w:r>
        <w:rPr>
          <w:rFonts w:eastAsia="仿宋_GB2312" w:cs="Times New Roman" w:hint="eastAsia"/>
          <w:sz w:val="32"/>
          <w:szCs w:val="32"/>
          <w:lang w:eastAsia="zh-CN"/>
        </w:rPr>
        <w:t>2032.89</w:t>
      </w:r>
      <w:r>
        <w:rPr>
          <w:rFonts w:ascii="Times New Roman" w:eastAsia="仿宋_GB2312" w:cs="Times New Roman" w:hAnsi="Times New Roman"/>
          <w:sz w:val="32"/>
          <w:szCs w:val="32"/>
        </w:rPr>
        <w:t>万元，占100%；政府性基金预算财政拨款收入0万元，占0%；国有资本经营预算财政拨款收入0万元，占0%；上级补助收入0万元，占0%；事业收入0万元，占0%；经营收入0万元，占0%；附属单位上缴收入0万元，占0%；其他收入0万元，占0%。</w:t>
      </w:r>
      <w:bookmarkEnd w:id="47"/>
      <w:r>
        <w:rPr>
          <w:rFonts w:ascii="Times New Roman" w:eastAsia="仿宋_GB2312" w:cs="Times New Roman" w:hAnsi="Times New Roman"/>
          <w:sz w:val="32"/>
          <w:szCs w:val="32"/>
        </w:rPr>
        <w:t>本年度财政应返还额度</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w:t>
      </w:r>
      <w:bookmarkEnd w:id="48"/>
    </w:p>
    <w:p>
      <w:pPr>
        <w:pageBreakBefore w:val="0"/>
        <w:widowControl w:val="0"/>
        <w:kinsoku/>
        <w:wordWrap/>
        <w:overflowPunct/>
        <w:topLinePunct w:val="0"/>
        <w:bidi w:val="0"/>
        <w:spacing w:line="576" w:lineRule="exact"/>
        <w:ind w:firstLineChars="200" w:firstLine="640"/>
        <w:outlineLvl w:val="1"/>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drawing>
          <wp:anchor distT="0" distB="0" distL="114300" distR="114300" simplePos="0" relativeHeight="18" behindDoc="0" locked="0" layoutInCell="1" hidden="0" allowOverlap="1">
            <wp:simplePos x="0" y="0"/>
            <wp:positionH relativeFrom="column">
              <wp:posOffset>792480</wp:posOffset>
            </wp:positionH>
            <wp:positionV relativeFrom="paragraph">
              <wp:posOffset>-337185</wp:posOffset>
            </wp:positionV>
            <wp:extent cx="3496945" cy="2228215"/>
            <wp:effectExtent l="0" t="0" r="0" b="0"/>
            <wp:wrapNone/>
            <wp:docPr id="2" name="图表 1"/>
            <wp:cNvGraphicFramePr>
              <a:graphicFrameLocks noChangeAspect="0"/>
            </wp:cNvGraphicFramePr>
            <a:graphic>
              <a:graphicData uri="http://schemas.openxmlformats.org/drawingml/2006/chart">
                <c:chart xmlns:c="http://schemas.openxmlformats.org/drawingml/2006/chart" r:id="rId5"/>
              </a:graphicData>
            </a:graphic>
          </wp:anchor>
        </w:drawing>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Style w:val="16"/>
        <w:pageBreakBefore w:val="0"/>
        <w:widowControl w:val="0"/>
        <w:kinsoku/>
        <w:wordWrap/>
        <w:overflowPunct/>
        <w:topLinePunct w:val="0"/>
        <w:bidi w:val="0"/>
        <w:spacing w:line="576" w:lineRule="exact"/>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jc w:val="both"/>
        <w:rPr>
          <w:rFonts w:ascii="Times New Roman" w:eastAsia="仿宋_GB2312"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jc w:val="center"/>
        <w:rPr>
          <w:rFonts w:ascii="Times New Roman" w:eastAsia="仿宋" w:cs="Times New Roman" w:hAnsi="Times New Roman"/>
          <w:color w:val="auto"/>
          <w:sz w:val="32"/>
          <w:szCs w:val="32"/>
        </w:rPr>
      </w:pPr>
      <w:r>
        <w:rPr>
          <w:rFonts w:ascii="Times New Roman" w:eastAsia="仿宋_GB2312" w:cs="Times New Roman" w:hAnsi="Times New Roman"/>
          <w:color w:val="auto"/>
          <w:sz w:val="32"/>
          <w:szCs w:val="32"/>
        </w:rPr>
        <w:t>（图2：收入决算结构图）（饼状图）</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p>
    <w:p>
      <w:pPr>
        <w:pStyle w:val="32"/>
        <w:pageBreakBefore w:val="0"/>
        <w:widowControl w:val="0"/>
        <w:numPr>
          <w:ilvl w:val="0"/>
          <w:numId w:val="2"/>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49" w:name="_Toc31803"/>
      <w:bookmarkStart w:id="50" w:name="_Toc15377207"/>
      <w:bookmarkStart w:id="51" w:name="_Toc15396605"/>
      <w:r>
        <w:rPr>
          <w:rFonts w:ascii="Times New Roman" w:eastAsia="黑体" w:cs="Times New Roman" w:hAnsi="Times New Roman"/>
          <w:sz w:val="32"/>
          <w:szCs w:val="32"/>
        </w:rPr>
        <w:t>支</w:t>
      </w:r>
      <w:r>
        <w:rPr>
          <w:rStyle w:val="2Char"/>
          <w:rFonts w:ascii="Times New Roman" w:eastAsia="黑体" w:cs="Times New Roman" w:hAnsi="Times New Roman"/>
          <w:b w:val="0"/>
        </w:rPr>
        <w:t>出决算情况说明</w:t>
      </w:r>
      <w:bookmarkEnd w:id="49"/>
      <w:bookmarkEnd w:id="50"/>
      <w:bookmarkEnd w:id="51"/>
    </w:p>
    <w:p>
      <w:pPr>
        <w:pageBreakBefore w:val="0"/>
        <w:widowControl w:val="0"/>
        <w:kinsoku/>
        <w:wordWrap/>
        <w:overflowPunct/>
        <w:topLinePunct w:val="0"/>
        <w:bidi w:val="0"/>
        <w:spacing w:line="576" w:lineRule="exact"/>
        <w:ind w:firstLineChars="200" w:firstLine="640"/>
        <w:outlineLvl w:val="1"/>
        <w:rPr>
          <w:rFonts w:ascii="Times New Roman" w:eastAsia="仿宋_GB2312" w:cs="Times New Roman" w:hAnsi="Times New Roman"/>
          <w:sz w:val="32"/>
          <w:szCs w:val="32"/>
        </w:rPr>
      </w:pPr>
      <w:bookmarkStart w:id="52" w:name="_Toc29855"/>
      <w:bookmarkStart w:id="53" w:name="_Toc26843613"/>
      <w:r>
        <w:rPr>
          <w:rFonts w:ascii="Times New Roman" w:eastAsia="仿宋_GB2312" w:cs="Times New Roman" w:hAnsi="Times New Roman"/>
          <w:sz w:val="32"/>
          <w:szCs w:val="32"/>
        </w:rPr>
        <w:t>202</w:t>
      </w:r>
      <w:r>
        <w:rPr>
          <w:rFonts w:eastAsia="仿宋_GB2312" w:cs="Times New Roman" w:hint="eastAsia"/>
          <w:sz w:val="32"/>
          <w:szCs w:val="32"/>
          <w:lang w:val="en-US" w:eastAsia="zh-CN"/>
        </w:rPr>
        <w:t>4</w:t>
      </w:r>
      <w:r>
        <w:rPr>
          <w:rFonts w:ascii="Times New Roman" w:eastAsia="仿宋_GB2312" w:cs="Times New Roman" w:hAnsi="Times New Roman"/>
          <w:sz w:val="32"/>
          <w:szCs w:val="32"/>
        </w:rPr>
        <w:t>年度支出合计</w:t>
      </w:r>
      <w:r>
        <w:rPr>
          <w:rFonts w:eastAsia="仿宋_GB2312" w:cs="Times New Roman" w:hint="eastAsia"/>
          <w:sz w:val="32"/>
          <w:szCs w:val="32"/>
          <w:lang w:val="en-US" w:eastAsia="zh-CN"/>
        </w:rPr>
        <w:t>2032.89</w:t>
      </w:r>
      <w:r>
        <w:rPr>
          <w:rFonts w:ascii="Times New Roman" w:eastAsia="仿宋_GB2312" w:cs="Times New Roman" w:hAnsi="Times New Roman"/>
          <w:sz w:val="32"/>
          <w:szCs w:val="32"/>
        </w:rPr>
        <w:t>万元，其中：基本支出</w:t>
      </w:r>
      <w:r>
        <w:rPr>
          <w:rFonts w:eastAsia="仿宋_GB2312" w:cs="Times New Roman" w:hint="eastAsia"/>
          <w:sz w:val="32"/>
          <w:szCs w:val="32"/>
          <w:lang w:val="en-US" w:eastAsia="zh-CN"/>
        </w:rPr>
        <w:t>1443.69</w:t>
      </w:r>
      <w:r>
        <w:rPr>
          <w:rFonts w:ascii="Times New Roman" w:eastAsia="仿宋_GB2312" w:cs="Times New Roman" w:hAnsi="Times New Roman"/>
          <w:sz w:val="32"/>
          <w:szCs w:val="32"/>
        </w:rPr>
        <w:t>万元，占</w:t>
      </w:r>
      <w:r>
        <w:rPr>
          <w:rFonts w:eastAsia="仿宋_GB2312" w:cs="Times New Roman" w:hint="eastAsia"/>
          <w:sz w:val="32"/>
          <w:szCs w:val="32"/>
          <w:lang w:val="en-US" w:eastAsia="zh-CN"/>
        </w:rPr>
        <w:t>71.01</w:t>
      </w:r>
      <w:r>
        <w:rPr>
          <w:rFonts w:ascii="Times New Roman" w:eastAsia="仿宋_GB2312" w:cs="Times New Roman" w:hAnsi="Times New Roman"/>
          <w:sz w:val="32"/>
          <w:szCs w:val="32"/>
        </w:rPr>
        <w:t>%；项目支出</w:t>
      </w:r>
      <w:r>
        <w:rPr>
          <w:rFonts w:eastAsia="仿宋_GB2312" w:cs="Times New Roman" w:hint="eastAsia"/>
          <w:sz w:val="32"/>
          <w:szCs w:val="32"/>
          <w:lang w:val="en-US" w:eastAsia="zh-CN"/>
        </w:rPr>
        <w:t>589.19</w:t>
      </w:r>
      <w:r>
        <w:rPr>
          <w:rFonts w:ascii="Times New Roman" w:eastAsia="仿宋_GB2312" w:cs="Times New Roman" w:hAnsi="Times New Roman"/>
          <w:sz w:val="32"/>
          <w:szCs w:val="32"/>
        </w:rPr>
        <w:t>万元，占</w:t>
      </w:r>
      <w:r>
        <w:rPr>
          <w:rFonts w:eastAsia="仿宋_GB2312" w:cs="Times New Roman" w:hint="eastAsia"/>
          <w:sz w:val="32"/>
          <w:szCs w:val="32"/>
          <w:lang w:val="en-US" w:eastAsia="zh-CN"/>
        </w:rPr>
        <w:t>28.99</w:t>
      </w:r>
      <w:r>
        <w:rPr>
          <w:rFonts w:ascii="Times New Roman" w:eastAsia="仿宋_GB2312" w:cs="Times New Roman" w:hAnsi="Times New Roman"/>
          <w:sz w:val="32"/>
          <w:szCs w:val="32"/>
        </w:rPr>
        <w:t>%；上缴上级支出0万元，占0%；经营支出0万元，占0%；对附属单位补助支出0万元，占0%。</w:t>
      </w:r>
      <w:bookmarkEnd w:id="52"/>
      <w:bookmarkEnd w:id="53"/>
    </w:p>
    <w:p>
      <w:pPr>
        <w:pageBreakBefore w:val="0"/>
        <w:widowControl w:val="0"/>
        <w:kinsoku/>
        <w:wordWrap/>
        <w:overflowPunct/>
        <w:topLinePunct w:val="0"/>
        <w:bidi w:val="0"/>
        <w:spacing w:line="576" w:lineRule="exact"/>
        <w:ind w:firstLine="640"/>
        <w:rPr>
          <w:rFonts w:ascii="Times New Roman" w:eastAsia="仿宋" w:cs="Times New Roman" w:hAnsi="Times New Roman"/>
          <w:sz w:val="32"/>
          <w:szCs w:val="32"/>
          <w:shd w:val="pct10" w:color="auto" w:fill="FFFFFF"/>
        </w:rPr>
      </w:pPr>
      <w:r>
        <w:rPr>
          <w:rFonts w:ascii="Times New Roman" w:eastAsia="仿宋" w:cs="Times New Roman" w:hAnsi="Times New Roman"/>
          <w:sz w:val="32"/>
          <w:szCs w:val="32"/>
          <w:lang w:val="en-US" w:eastAsia="zh-CN"/>
        </w:rPr>
        <w:drawing>
          <wp:anchor distT="0" distB="0" distL="114300" distR="114300" simplePos="0" relativeHeight="30" behindDoc="0" locked="0" layoutInCell="1" hidden="0" allowOverlap="1">
            <wp:simplePos x="0" y="0"/>
            <wp:positionH relativeFrom="column">
              <wp:posOffset>833755</wp:posOffset>
            </wp:positionH>
            <wp:positionV relativeFrom="paragraph">
              <wp:posOffset>97155</wp:posOffset>
            </wp:positionV>
            <wp:extent cx="3674745" cy="2312035"/>
            <wp:effectExtent l="0" t="0" r="0" b="0"/>
            <wp:wrapNone/>
            <wp:docPr id="3" name="图表 2"/>
            <wp:cNvGraphicFramePr>
              <a:graphicFrameLocks noChangeAspect="0"/>
            </wp:cNvGraphicFramePr>
            <a:graphic>
              <a:graphicData uri="http://schemas.openxmlformats.org/drawingml/2006/chart">
                <c:chart xmlns:c="http://schemas.openxmlformats.org/drawingml/2006/chart" r:id="rId6"/>
              </a:graphicData>
            </a:graphic>
          </wp:anchor>
        </w:drawing>
      </w: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ageBreakBefore w:val="0"/>
        <w:widowControl w:val="0"/>
        <w:kinsoku/>
        <w:wordWrap/>
        <w:overflowPunct/>
        <w:topLinePunct w:val="0"/>
        <w:bidi w:val="0"/>
        <w:spacing w:line="576" w:lineRule="exact"/>
        <w:jc w:val="both"/>
        <w:rPr>
          <w:rFonts w:ascii="Times New Roman" w:eastAsia="仿宋_GB2312"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jc w:val="center"/>
        <w:rPr>
          <w:rFonts w:ascii="Times New Roman" w:eastAsia="仿宋" w:cs="Times New Roman" w:hAnsi="Times New Roman"/>
          <w:color w:val="auto"/>
          <w:sz w:val="32"/>
          <w:szCs w:val="32"/>
        </w:rPr>
      </w:pPr>
      <w:r>
        <w:rPr>
          <w:rFonts w:ascii="Times New Roman" w:eastAsia="仿宋_GB2312" w:cs="Times New Roman" w:hAnsi="Times New Roman"/>
          <w:color w:val="auto"/>
          <w:sz w:val="32"/>
          <w:szCs w:val="32"/>
        </w:rPr>
        <w:t>（图3：支出决算结构图）（饼状图）</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b w:val="0"/>
        </w:rPr>
      </w:pPr>
      <w:bookmarkStart w:id="54" w:name="_Toc15396606"/>
      <w:bookmarkStart w:id="55" w:name="_Toc7622"/>
      <w:bookmarkStart w:id="56" w:name="_Toc15377208"/>
      <w:r>
        <w:rPr>
          <w:rFonts w:ascii="Times New Roman" w:eastAsia="黑体" w:cs="Times New Roman" w:hAnsi="Times New Roman"/>
          <w:sz w:val="32"/>
          <w:szCs w:val="32"/>
        </w:rPr>
        <w:t>四、财</w:t>
      </w:r>
      <w:r>
        <w:rPr>
          <w:rStyle w:val="2Char"/>
          <w:rFonts w:ascii="Times New Roman" w:eastAsia="黑体" w:cs="Times New Roman" w:hAnsi="Times New Roman"/>
          <w:b w:val="0"/>
        </w:rPr>
        <w:t>政拨款收入支出决算总体情况说明</w:t>
      </w:r>
      <w:bookmarkEnd w:id="54"/>
      <w:bookmarkEnd w:id="55"/>
      <w:bookmarkEnd w:id="56"/>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rPr>
      </w:pPr>
      <w:r>
        <w:rPr>
          <w:rFonts w:ascii="Times New Roman" w:eastAsia="仿宋_GB2312" w:cs="Times New Roman" w:hAnsi="Times New Roman"/>
          <w:sz w:val="32"/>
          <w:szCs w:val="32"/>
          <w:lang w:val="en-US" w:eastAsia="zh-CN"/>
        </w:rPr>
        <w:t>202</w:t>
      </w:r>
      <w:r>
        <w:rPr>
          <w:rFonts w:ascii="Times New Roman" w:cs="Times New Roman" w:hAnsi="Times New Roman" w:hint="eastAsia"/>
          <w:sz w:val="32"/>
          <w:szCs w:val="32"/>
          <w:lang w:val="en-US" w:eastAsia="zh-CN"/>
        </w:rPr>
        <w:t>4</w:t>
      </w:r>
      <w:r>
        <w:rPr>
          <w:rFonts w:ascii="Times New Roman" w:eastAsia="仿宋_GB2312" w:cs="Times New Roman" w:hAnsi="Times New Roman"/>
          <w:sz w:val="32"/>
          <w:szCs w:val="32"/>
          <w:lang w:val="en-US" w:eastAsia="zh-CN"/>
        </w:rPr>
        <w:t>年财政拨款收、支总计</w:t>
      </w:r>
      <w:r>
        <w:rPr>
          <w:rFonts w:ascii="Times New Roman" w:cs="Times New Roman" w:hAnsi="Times New Roman" w:hint="eastAsia"/>
          <w:sz w:val="32"/>
          <w:szCs w:val="32"/>
          <w:lang w:val="en-US" w:eastAsia="zh-CN"/>
        </w:rPr>
        <w:t>2032.89</w:t>
      </w:r>
      <w:r>
        <w:rPr>
          <w:rFonts w:ascii="Times New Roman" w:eastAsia="仿宋_GB2312" w:cs="Times New Roman" w:hAnsi="Times New Roman"/>
          <w:sz w:val="32"/>
          <w:szCs w:val="32"/>
          <w:lang w:val="en-US" w:eastAsia="zh-CN"/>
        </w:rPr>
        <w:t>万元。与202</w:t>
      </w:r>
      <w:r>
        <w:rPr>
          <w:rFonts w:ascii="Times New Roman" w:cs="Times New Roman" w:hAnsi="Times New Roman" w:hint="eastAsia"/>
          <w:sz w:val="32"/>
          <w:szCs w:val="32"/>
          <w:lang w:val="en-US" w:eastAsia="zh-CN"/>
        </w:rPr>
        <w:t>3</w:t>
      </w:r>
      <w:r>
        <w:rPr>
          <w:rFonts w:ascii="Times New Roman" w:eastAsia="仿宋_GB2312" w:cs="Times New Roman" w:hAnsi="Times New Roman"/>
          <w:sz w:val="32"/>
          <w:szCs w:val="32"/>
          <w:lang w:val="en-US" w:eastAsia="zh-CN"/>
        </w:rPr>
        <w:t>年相比，财政拨款收、支总计各</w:t>
      </w:r>
      <w:r>
        <w:rPr>
          <w:rFonts w:ascii="Times New Roman" w:cs="Times New Roman" w:hAnsi="Times New Roman" w:hint="eastAsia"/>
          <w:sz w:val="32"/>
          <w:szCs w:val="32"/>
          <w:lang w:val="en-US" w:eastAsia="zh-CN"/>
        </w:rPr>
        <w:t>减少123.91</w:t>
      </w:r>
      <w:r>
        <w:rPr>
          <w:rFonts w:ascii="Times New Roman" w:eastAsia="仿宋_GB2312" w:cs="Times New Roman" w:hAnsi="Times New Roman"/>
          <w:sz w:val="32"/>
          <w:szCs w:val="32"/>
          <w:lang w:val="en-US" w:eastAsia="zh-CN"/>
        </w:rPr>
        <w:t>万元，</w:t>
      </w:r>
      <w:r>
        <w:rPr>
          <w:rFonts w:ascii="Times New Roman" w:cs="Times New Roman" w:hAnsi="Times New Roman" w:hint="eastAsia"/>
          <w:sz w:val="32"/>
          <w:szCs w:val="32"/>
          <w:lang w:val="en-US" w:eastAsia="zh-CN"/>
        </w:rPr>
        <w:t>下降5.75</w:t>
      </w:r>
      <w:r>
        <w:rPr>
          <w:rFonts w:ascii="Times New Roman" w:eastAsia="仿宋_GB2312" w:cs="Times New Roman" w:hAnsi="Times New Roman"/>
          <w:sz w:val="32"/>
          <w:szCs w:val="32"/>
          <w:lang w:val="en-US" w:eastAsia="zh-CN"/>
        </w:rPr>
        <w:t>%。</w:t>
      </w:r>
      <w:r>
        <w:rPr>
          <w:rFonts w:ascii="Times New Roman" w:eastAsia="仿宋_GB2312" w:cs="Times New Roman" w:hAnsi="Times New Roman"/>
          <w:sz w:val="32"/>
          <w:szCs w:val="32"/>
        </w:rPr>
        <w:t>主要变动原因是本年度</w:t>
      </w:r>
      <w:r>
        <w:rPr>
          <w:rFonts w:eastAsia="仿宋_GB2312" w:cs="Times New Roman" w:hint="eastAsia"/>
          <w:sz w:val="32"/>
          <w:szCs w:val="32"/>
          <w:lang w:val="en-US" w:eastAsia="zh-CN"/>
        </w:rPr>
        <w:t>专项经费减少</w:t>
      </w:r>
      <w:r>
        <w:rPr>
          <w:rFonts w:eastAsia="仿宋_GB2312" w:cs="Times New Roman" w:hint="eastAsia"/>
          <w:sz w:val="32"/>
          <w:szCs w:val="32"/>
          <w:lang w:eastAsia="zh-CN"/>
        </w:rPr>
        <w:t>导致经费</w:t>
      </w:r>
      <w:r>
        <w:rPr>
          <w:rFonts w:eastAsia="仿宋_GB2312" w:cs="Times New Roman" w:hint="eastAsia"/>
          <w:sz w:val="32"/>
          <w:szCs w:val="32"/>
          <w:lang w:val="en-US" w:eastAsia="zh-CN"/>
        </w:rPr>
        <w:t>减少</w:t>
      </w:r>
      <w:r>
        <w:rPr>
          <w:rFonts w:ascii="Times New Roman" w:eastAsia="仿宋_GB2312" w:cs="Times New Roman" w:hAnsi="Times New Roman"/>
          <w:color w:val="000000"/>
          <w:sz w:val="32"/>
          <w:szCs w:val="32"/>
          <w:lang w:val="en-US" w:eastAsia="zh-CN"/>
        </w:rPr>
        <w:t>。</w:t>
      </w:r>
    </w:p>
    <w:p>
      <w:pPr>
        <w:pStyle w:val="16"/>
        <w:pageBreakBefore w:val="0"/>
        <w:widowControl w:val="0"/>
        <w:kinsoku/>
        <w:wordWrap/>
        <w:overflowPunct/>
        <w:topLinePunct w:val="0"/>
        <w:bidi w:val="0"/>
        <w:adjustRightInd w:val="0"/>
        <w:snapToGrid w:val="0"/>
        <w:spacing w:beforeLines="0" w:before="93" w:line="576" w:lineRule="exact"/>
        <w:ind w:firstLineChars="208" w:firstLine="666"/>
        <w:rPr>
          <w:rFonts w:ascii="Times New Roman" w:eastAsia="仿宋" w:cs="Times New Roman" w:hAnsi="Times New Roman"/>
          <w:sz w:val="32"/>
          <w:szCs w:val="32"/>
        </w:rPr>
      </w:pPr>
      <w:r>
        <w:rPr>
          <w:rFonts w:ascii="Times New Roman" w:eastAsia="仿宋" w:cs="Times New Roman" w:hAnsi="Times New Roman"/>
          <w:sz w:val="32"/>
          <w:szCs w:val="32"/>
          <w:lang w:eastAsia="zh-CN"/>
        </w:rPr>
        <w:drawing>
          <wp:anchor distT="0" distB="0" distL="114300" distR="114300" simplePos="0" relativeHeight="26" behindDoc="0" locked="0" layoutInCell="1" hidden="0" allowOverlap="1">
            <wp:simplePos x="0" y="0"/>
            <wp:positionH relativeFrom="column">
              <wp:posOffset>982980</wp:posOffset>
            </wp:positionH>
            <wp:positionV relativeFrom="paragraph">
              <wp:posOffset>250190</wp:posOffset>
            </wp:positionV>
            <wp:extent cx="3139440" cy="2548889"/>
            <wp:effectExtent l="0" t="0" r="0" b="0"/>
            <wp:wrapNone/>
            <wp:docPr id="4" name="图表 1"/>
            <wp:cNvGraphicFramePr>
              <a:graphicFrameLocks noChangeAspect="0"/>
            </wp:cNvGraphicFramePr>
            <a:graphic>
              <a:graphicData uri="http://schemas.openxmlformats.org/drawingml/2006/chart">
                <c:chart xmlns:c="http://schemas.openxmlformats.org/drawingml/2006/chart" r:id="rId7"/>
              </a:graphicData>
            </a:graphic>
          </wp:anchor>
        </w:drawing>
      </w: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lang w:eastAsia="zh-CN"/>
        </w:rPr>
      </w:pP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lang w:eastAsia="zh-CN"/>
        </w:rPr>
      </w:pP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lang w:eastAsia="zh-CN"/>
        </w:rPr>
      </w:pP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lang w:eastAsia="zh-CN"/>
        </w:rPr>
      </w:pPr>
    </w:p>
    <w:p>
      <w:pPr>
        <w:pageBreakBefore w:val="0"/>
        <w:widowControl w:val="0"/>
        <w:kinsoku/>
        <w:wordWrap/>
        <w:overflowPunct/>
        <w:topLinePunct w:val="0"/>
        <w:bidi w:val="0"/>
        <w:spacing w:line="576" w:lineRule="exact"/>
        <w:rPr>
          <w:rFonts w:ascii="Times New Roman" w:eastAsia="仿宋_GB2312" w:cs="Times New Roman" w:hAnsi="Times New Roman"/>
          <w:color w:val="auto"/>
          <w:sz w:val="32"/>
          <w:szCs w:val="32"/>
        </w:rPr>
      </w:pPr>
    </w:p>
    <w:p>
      <w:pPr>
        <w:pStyle w:val="16"/>
      </w:pPr>
    </w:p>
    <w:p>
      <w:pPr>
        <w:pageBreakBefore w:val="0"/>
        <w:widowControl w:val="0"/>
        <w:kinsoku/>
        <w:wordWrap/>
        <w:overflowPunct/>
        <w:topLinePunct w:val="0"/>
        <w:bidi w:val="0"/>
        <w:spacing w:line="576" w:lineRule="exact"/>
        <w:ind w:firstLineChars="200" w:firstLine="640"/>
      </w:pPr>
      <w:r>
        <w:rPr>
          <w:rFonts w:ascii="Times New Roman" w:eastAsia="仿宋_GB2312" w:cs="Times New Roman" w:hAnsi="Times New Roman"/>
          <w:color w:val="auto"/>
          <w:sz w:val="32"/>
          <w:szCs w:val="32"/>
        </w:rPr>
        <w:t>（图4：财政拨款收、支决算总计变动情况）（柱状图）</w:t>
      </w:r>
      <w:bookmarkStart w:id="57" w:name="_Toc15396607"/>
      <w:bookmarkStart w:id="58" w:name="_Toc15377209"/>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b w:val="0"/>
        </w:rPr>
      </w:pPr>
      <w:bookmarkStart w:id="59" w:name="_Toc13134"/>
      <w:r>
        <w:rPr>
          <w:rFonts w:ascii="Times New Roman" w:eastAsia="黑体" w:cs="Times New Roman" w:hAnsi="Times New Roman"/>
          <w:sz w:val="32"/>
          <w:szCs w:val="32"/>
        </w:rPr>
        <w:t>五、</w:t>
      </w:r>
      <w:r>
        <w:rPr>
          <w:rFonts w:ascii="Times New Roman" w:eastAsia="黑体" w:cs="Times New Roman" w:hAnsi="Times New Roman"/>
          <w:b/>
          <w:sz w:val="32"/>
          <w:szCs w:val="32"/>
        </w:rPr>
        <w:t>一</w:t>
      </w:r>
      <w:r>
        <w:rPr>
          <w:rStyle w:val="2Char"/>
          <w:rFonts w:ascii="Times New Roman" w:eastAsia="黑体" w:cs="Times New Roman" w:hAnsi="Times New Roman"/>
          <w:b w:val="0"/>
        </w:rPr>
        <w:t>般公共预算财政拨款支出决算情况说明</w:t>
      </w:r>
      <w:bookmarkEnd w:id="57"/>
      <w:bookmarkEnd w:id="58"/>
      <w:bookmarkEnd w:id="59"/>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60" w:name="_Toc15377210"/>
      <w:r>
        <w:rPr>
          <w:rFonts w:ascii="Times New Roman" w:eastAsia="仿宋" w:cs="Times New Roman" w:hAnsi="Times New Roman"/>
          <w:b/>
          <w:sz w:val="32"/>
          <w:szCs w:val="32"/>
        </w:rPr>
        <w:t>（一）一般公共预算财政拨款支出决算总体情况</w:t>
      </w:r>
      <w:bookmarkEnd w:id="60"/>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4</w:t>
      </w:r>
      <w:r>
        <w:rPr>
          <w:rFonts w:ascii="Times New Roman" w:eastAsia="仿宋_GB2312" w:cs="Times New Roman" w:hAnsi="Times New Roman"/>
          <w:sz w:val="32"/>
          <w:szCs w:val="32"/>
        </w:rPr>
        <w:t>年一般公共预算财政拨款支出</w:t>
      </w:r>
      <w:r>
        <w:rPr>
          <w:rFonts w:eastAsia="仿宋_GB2312" w:cs="Times New Roman" w:hint="eastAsia"/>
          <w:sz w:val="32"/>
          <w:szCs w:val="32"/>
          <w:lang w:val="en-US" w:eastAsia="zh-CN"/>
        </w:rPr>
        <w:t>2032.89</w:t>
      </w:r>
      <w:r>
        <w:rPr>
          <w:rFonts w:ascii="Times New Roman" w:eastAsia="仿宋_GB2312" w:cs="Times New Roman" w:hAnsi="Times New Roman"/>
          <w:sz w:val="32"/>
          <w:szCs w:val="32"/>
        </w:rPr>
        <w:t>万元，占本年支出合计的100%。与202</w:t>
      </w:r>
      <w:r>
        <w:rPr>
          <w:rFonts w:eastAsia="仿宋_GB2312" w:cs="Times New Roman" w:hint="eastAsia"/>
          <w:sz w:val="32"/>
          <w:szCs w:val="32"/>
          <w:lang w:val="en-US" w:eastAsia="zh-CN"/>
        </w:rPr>
        <w:t>3</w:t>
      </w:r>
      <w:r>
        <w:rPr>
          <w:rFonts w:ascii="Times New Roman" w:eastAsia="仿宋_GB2312" w:cs="Times New Roman" w:hAnsi="Times New Roman"/>
          <w:sz w:val="32"/>
          <w:szCs w:val="32"/>
        </w:rPr>
        <w:t>年相比，一般公共预算财政拨款支出</w:t>
      </w:r>
      <w:r>
        <w:rPr>
          <w:rFonts w:eastAsia="仿宋_GB2312" w:cs="Times New Roman" w:hint="eastAsia"/>
          <w:sz w:val="32"/>
          <w:szCs w:val="32"/>
          <w:lang w:eastAsia="zh-CN"/>
        </w:rPr>
        <w:t>减少123.91</w:t>
      </w:r>
      <w:r>
        <w:rPr>
          <w:rFonts w:ascii="Times New Roman" w:eastAsia="仿宋_GB2312" w:cs="Times New Roman" w:hAnsi="Times New Roman"/>
          <w:sz w:val="32"/>
          <w:szCs w:val="32"/>
        </w:rPr>
        <w:t>万元，</w:t>
      </w:r>
      <w:r>
        <w:rPr>
          <w:rFonts w:eastAsia="仿宋_GB2312" w:cs="Times New Roman" w:hint="eastAsia"/>
          <w:sz w:val="32"/>
          <w:szCs w:val="32"/>
          <w:lang w:eastAsia="zh-CN"/>
        </w:rPr>
        <w:t>下降5.75</w:t>
      </w:r>
      <w:r>
        <w:rPr>
          <w:rFonts w:ascii="Times New Roman" w:eastAsia="仿宋_GB2312" w:cs="Times New Roman" w:hAnsi="Times New Roman"/>
          <w:sz w:val="32"/>
          <w:szCs w:val="32"/>
        </w:rPr>
        <w:t>%。主要变动原因是本年度</w:t>
      </w:r>
      <w:r>
        <w:rPr>
          <w:rFonts w:eastAsia="仿宋_GB2312" w:cs="Times New Roman" w:hint="eastAsia"/>
          <w:sz w:val="32"/>
          <w:szCs w:val="32"/>
          <w:lang w:val="en-US" w:eastAsia="zh-CN"/>
        </w:rPr>
        <w:t>专项经费减少</w:t>
      </w:r>
      <w:r>
        <w:rPr>
          <w:rFonts w:eastAsia="仿宋_GB2312" w:cs="Times New Roman" w:hint="eastAsia"/>
          <w:sz w:val="32"/>
          <w:szCs w:val="32"/>
          <w:lang w:eastAsia="zh-CN"/>
        </w:rPr>
        <w:t>导致经费</w:t>
      </w:r>
      <w:r>
        <w:rPr>
          <w:rFonts w:eastAsia="仿宋_GB2312" w:cs="Times New Roman" w:hint="eastAsia"/>
          <w:sz w:val="32"/>
          <w:szCs w:val="32"/>
          <w:lang w:val="en-US" w:eastAsia="zh-CN"/>
        </w:rPr>
        <w:t>减少</w:t>
      </w:r>
      <w:r>
        <w:rPr>
          <w:rFonts w:ascii="Times New Roman" w:eastAsia="仿宋_GB2312" w:cs="Times New Roman" w:hAnsi="Times New Roman"/>
          <w:color w:val="000000"/>
          <w:sz w:val="32"/>
          <w:szCs w:val="32"/>
          <w:lang w:val="en-US" w:eastAsia="zh-CN"/>
        </w:rPr>
        <w:t>。</w:t>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r>
        <w:rPr>
          <w:rFonts w:ascii="Times New Roman" w:eastAsia="仿宋" w:cs="Times New Roman" w:hAnsi="Times New Roman"/>
          <w:sz w:val="32"/>
          <w:szCs w:val="32"/>
          <w:lang w:eastAsia="zh-CN"/>
        </w:rPr>
        <w:drawing>
          <wp:anchor distT="0" distB="0" distL="114300" distR="114300" simplePos="0" relativeHeight="28" behindDoc="0" locked="0" layoutInCell="1" hidden="0" allowOverlap="1">
            <wp:simplePos x="0" y="0"/>
            <wp:positionH relativeFrom="column">
              <wp:posOffset>831850</wp:posOffset>
            </wp:positionH>
            <wp:positionV relativeFrom="paragraph">
              <wp:posOffset>346075</wp:posOffset>
            </wp:positionV>
            <wp:extent cx="3139440" cy="2548889"/>
            <wp:effectExtent l="0" t="0" r="0" b="0"/>
            <wp:wrapNone/>
            <wp:docPr id="5" name="图表 1"/>
            <wp:cNvGraphicFramePr>
              <a:graphicFrameLocks noChangeAspect="0"/>
            </wp:cNvGraphicFramePr>
            <a:graphic>
              <a:graphicData uri="http://schemas.openxmlformats.org/drawingml/2006/chart">
                <c:chart xmlns:c="http://schemas.openxmlformats.org/drawingml/2006/chart" r:id="rId8"/>
              </a:graphicData>
            </a:graphic>
          </wp:anchor>
        </w:drawing>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Style w:val="16"/>
        <w:rPr>
          <w:rFonts w:ascii="Times New Roman" w:eastAsia="仿宋" w:cs="Times New Roman" w:hAnsi="Times New Roman"/>
          <w:color w:val="FF0000"/>
          <w:sz w:val="32"/>
          <w:szCs w:val="32"/>
        </w:rPr>
      </w:pPr>
    </w:p>
    <w:p>
      <w:pPr>
        <w:pStyle w:val="16"/>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r>
        <w:rPr>
          <w:rFonts w:ascii="Times New Roman" w:eastAsia="仿宋" w:cs="Times New Roman" w:hAnsi="Times New Roman"/>
          <w:color w:val="auto"/>
          <w:sz w:val="32"/>
          <w:szCs w:val="32"/>
        </w:rPr>
        <w:t>（图5：一般公共预算财政拨款支出决算变动情况）（柱状图）</w:t>
      </w:r>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61" w:name="_Toc15377211"/>
      <w:r>
        <w:rPr>
          <w:rFonts w:ascii="Times New Roman" w:eastAsia="仿宋" w:cs="Times New Roman" w:hAnsi="Times New Roman"/>
          <w:b/>
          <w:sz w:val="32"/>
          <w:szCs w:val="32"/>
        </w:rPr>
        <w:t>（二）一般公共预算财政拨款支出决算结构情况</w:t>
      </w:r>
      <w:bookmarkEnd w:id="61"/>
    </w:p>
    <w:p>
      <w:pPr>
        <w:pageBreakBefore w:val="0"/>
        <w:widowControl w:val="0"/>
        <w:kinsoku/>
        <w:wordWrap/>
        <w:overflowPunct/>
        <w:topLinePunct w:val="0"/>
        <w:bidi w:val="0"/>
        <w:spacing w:line="576" w:lineRule="exact"/>
        <w:ind w:firstLine="640"/>
        <w:rPr>
          <w:rFonts w:ascii="Times New Roman" w:eastAsia="仿宋" w:cs="Times New Roman" w:hAnsi="Times New Roman"/>
          <w:sz w:val="32"/>
          <w:szCs w:val="32"/>
        </w:rPr>
      </w:pPr>
      <w:r>
        <w:rPr>
          <w:rFonts w:ascii="Times New Roman" w:eastAsia="仿宋" w:cs="Times New Roman" w:hAnsi="Times New Roman"/>
          <w:sz w:val="32"/>
          <w:szCs w:val="32"/>
        </w:rPr>
        <w:t>202</w:t>
      </w:r>
      <w:r>
        <w:rPr>
          <w:rFonts w:eastAsia="仿宋" w:cs="Times New Roman" w:hint="eastAsia"/>
          <w:sz w:val="32"/>
          <w:szCs w:val="32"/>
          <w:lang w:val="en-US" w:eastAsia="zh-CN"/>
        </w:rPr>
        <w:t>4</w:t>
      </w:r>
      <w:r>
        <w:rPr>
          <w:rFonts w:ascii="Times New Roman" w:eastAsia="仿宋" w:cs="Times New Roman" w:hAnsi="Times New Roman"/>
          <w:sz w:val="32"/>
          <w:szCs w:val="32"/>
        </w:rPr>
        <w:t>年一般公共预算财政拨款支出</w:t>
      </w:r>
      <w:r>
        <w:rPr>
          <w:rFonts w:eastAsia="仿宋" w:cs="Times New Roman" w:hint="eastAsia"/>
          <w:sz w:val="32"/>
          <w:szCs w:val="32"/>
          <w:lang w:val="en-US" w:eastAsia="zh-CN"/>
        </w:rPr>
        <w:t>2032.89</w:t>
      </w:r>
      <w:r>
        <w:rPr>
          <w:rFonts w:ascii="Times New Roman" w:eastAsia="仿宋" w:cs="Times New Roman" w:hAnsi="Times New Roman"/>
          <w:sz w:val="32"/>
          <w:szCs w:val="32"/>
        </w:rPr>
        <w:t>万元，主要用于以下方面:</w:t>
      </w:r>
      <w:r>
        <w:rPr>
          <w:rFonts w:ascii="Times New Roman" w:eastAsia="仿宋" w:cs="Times New Roman" w:hAnsi="Times New Roman"/>
          <w:b/>
          <w:sz w:val="32"/>
          <w:szCs w:val="32"/>
        </w:rPr>
        <w:t>一般公共服务（201）</w:t>
      </w:r>
      <w:r>
        <w:rPr>
          <w:rFonts w:ascii="Times New Roman" w:eastAsia="仿宋" w:cs="Times New Roman" w:hAnsi="Times New Roman"/>
          <w:sz w:val="32"/>
          <w:szCs w:val="32"/>
        </w:rPr>
        <w:t>支出</w:t>
      </w:r>
      <w:r>
        <w:rPr>
          <w:rFonts w:eastAsia="仿宋" w:cs="Times New Roman" w:hint="eastAsia"/>
          <w:sz w:val="32"/>
          <w:szCs w:val="32"/>
          <w:lang w:val="en-US" w:eastAsia="zh-CN"/>
        </w:rPr>
        <w:t>1733.95</w:t>
      </w:r>
      <w:r>
        <w:rPr>
          <w:rFonts w:ascii="Times New Roman" w:eastAsia="仿宋" w:cs="Times New Roman" w:hAnsi="Times New Roman"/>
          <w:sz w:val="32"/>
          <w:szCs w:val="32"/>
        </w:rPr>
        <w:t>万元，占</w:t>
      </w:r>
      <w:r>
        <w:rPr>
          <w:rFonts w:eastAsia="仿宋" w:cs="Times New Roman" w:hint="eastAsia"/>
          <w:sz w:val="32"/>
          <w:szCs w:val="32"/>
          <w:lang w:val="en-US" w:eastAsia="zh-CN"/>
        </w:rPr>
        <w:t>85.29</w:t>
      </w:r>
      <w:r>
        <w:rPr>
          <w:rFonts w:ascii="Times New Roman" w:eastAsia="仿宋" w:cs="Times New Roman" w:hAnsi="Times New Roman"/>
          <w:sz w:val="32"/>
          <w:szCs w:val="32"/>
        </w:rPr>
        <w:t>%；</w:t>
      </w:r>
      <w:r>
        <w:rPr>
          <w:rFonts w:ascii="Times New Roman" w:eastAsia="仿宋" w:cs="Times New Roman" w:hAnsi="Times New Roman"/>
          <w:b/>
          <w:sz w:val="32"/>
          <w:szCs w:val="32"/>
        </w:rPr>
        <w:t>社会保障和就业（208）</w:t>
      </w:r>
      <w:r>
        <w:rPr>
          <w:rFonts w:ascii="Times New Roman" w:eastAsia="仿宋" w:cs="Times New Roman" w:hAnsi="Times New Roman"/>
          <w:sz w:val="32"/>
          <w:szCs w:val="32"/>
        </w:rPr>
        <w:t>支出</w:t>
      </w:r>
      <w:r>
        <w:rPr>
          <w:rFonts w:eastAsia="仿宋" w:cs="Times New Roman" w:hint="eastAsia"/>
          <w:sz w:val="32"/>
          <w:szCs w:val="32"/>
          <w:lang w:val="en-US" w:eastAsia="zh-CN"/>
        </w:rPr>
        <w:t>169.9</w:t>
      </w:r>
      <w:r>
        <w:rPr>
          <w:rFonts w:ascii="Times New Roman" w:eastAsia="仿宋" w:cs="Times New Roman" w:hAnsi="Times New Roman"/>
          <w:sz w:val="32"/>
          <w:szCs w:val="32"/>
        </w:rPr>
        <w:t>万元，占</w:t>
      </w:r>
      <w:r>
        <w:rPr>
          <w:rFonts w:eastAsia="仿宋" w:cs="Times New Roman" w:hint="eastAsia"/>
          <w:sz w:val="32"/>
          <w:szCs w:val="32"/>
          <w:lang w:val="en-US" w:eastAsia="zh-CN"/>
        </w:rPr>
        <w:t>8.35</w:t>
      </w:r>
      <w:r>
        <w:rPr>
          <w:rFonts w:ascii="Times New Roman" w:eastAsia="仿宋" w:cs="Times New Roman" w:hAnsi="Times New Roman"/>
          <w:sz w:val="32"/>
          <w:szCs w:val="32"/>
        </w:rPr>
        <w:t>%；</w:t>
      </w:r>
      <w:r>
        <w:rPr>
          <w:rFonts w:ascii="Times New Roman" w:eastAsia="仿宋" w:cs="Times New Roman" w:hAnsi="Times New Roman"/>
          <w:b/>
          <w:bCs/>
          <w:sz w:val="32"/>
          <w:szCs w:val="32"/>
        </w:rPr>
        <w:t>卫生健康（210）</w:t>
      </w:r>
      <w:r>
        <w:rPr>
          <w:rFonts w:ascii="Times New Roman" w:eastAsia="仿宋" w:cs="Times New Roman" w:hAnsi="Times New Roman"/>
          <w:bCs/>
          <w:sz w:val="32"/>
          <w:szCs w:val="32"/>
        </w:rPr>
        <w:t>支出</w:t>
      </w:r>
      <w:r>
        <w:rPr>
          <w:rFonts w:eastAsia="仿宋" w:cs="Times New Roman" w:hint="eastAsia"/>
          <w:bCs/>
          <w:sz w:val="32"/>
          <w:szCs w:val="32"/>
          <w:lang w:val="en-US" w:eastAsia="zh-CN"/>
        </w:rPr>
        <w:t>56.42</w:t>
      </w:r>
      <w:r>
        <w:rPr>
          <w:rFonts w:ascii="Times New Roman" w:eastAsia="仿宋" w:cs="Times New Roman" w:hAnsi="Times New Roman"/>
          <w:sz w:val="32"/>
          <w:szCs w:val="32"/>
        </w:rPr>
        <w:t>万元，占</w:t>
      </w:r>
      <w:r>
        <w:rPr>
          <w:rFonts w:eastAsia="仿宋" w:cs="Times New Roman" w:hint="eastAsia"/>
          <w:sz w:val="32"/>
          <w:szCs w:val="32"/>
          <w:lang w:val="en-US" w:eastAsia="zh-CN"/>
        </w:rPr>
        <w:t>2.77</w:t>
      </w:r>
      <w:r>
        <w:rPr>
          <w:rFonts w:ascii="Times New Roman" w:eastAsia="仿宋" w:cs="Times New Roman" w:hAnsi="Times New Roman"/>
          <w:sz w:val="32"/>
          <w:szCs w:val="32"/>
        </w:rPr>
        <w:t>%；</w:t>
      </w:r>
      <w:r>
        <w:rPr>
          <w:rFonts w:ascii="Times New Roman" w:eastAsia="仿宋" w:cs="Times New Roman" w:hAnsi="Times New Roman"/>
          <w:b/>
          <w:bCs/>
          <w:sz w:val="32"/>
          <w:szCs w:val="32"/>
        </w:rPr>
        <w:t>住房保障（221）</w:t>
      </w:r>
      <w:r>
        <w:rPr>
          <w:rFonts w:ascii="Times New Roman" w:eastAsia="仿宋" w:cs="Times New Roman" w:hAnsi="Times New Roman"/>
          <w:sz w:val="32"/>
          <w:szCs w:val="32"/>
        </w:rPr>
        <w:t>支出</w:t>
      </w:r>
      <w:r>
        <w:rPr>
          <w:rFonts w:eastAsia="仿宋" w:cs="Times New Roman" w:hint="eastAsia"/>
          <w:sz w:val="32"/>
          <w:szCs w:val="32"/>
          <w:lang w:val="en-US" w:eastAsia="zh-CN"/>
        </w:rPr>
        <w:t>72.62</w:t>
      </w:r>
      <w:r>
        <w:rPr>
          <w:rFonts w:ascii="Times New Roman" w:eastAsia="仿宋" w:cs="Times New Roman" w:hAnsi="Times New Roman"/>
          <w:sz w:val="32"/>
          <w:szCs w:val="32"/>
        </w:rPr>
        <w:t>万元，占</w:t>
      </w:r>
      <w:r>
        <w:rPr>
          <w:rFonts w:eastAsia="仿宋" w:cs="Times New Roman" w:hint="eastAsia"/>
          <w:sz w:val="32"/>
          <w:szCs w:val="32"/>
          <w:lang w:val="en-US" w:eastAsia="zh-CN"/>
        </w:rPr>
        <w:t>3.57</w:t>
      </w:r>
      <w:r>
        <w:rPr>
          <w:rFonts w:ascii="Times New Roman" w:eastAsia="仿宋" w:cs="Times New Roman" w:hAnsi="Times New Roman"/>
          <w:sz w:val="32"/>
          <w:szCs w:val="32"/>
        </w:rPr>
        <w:t>%。</w:t>
      </w:r>
    </w:p>
    <w:p>
      <w:pPr>
        <w:pageBreakBefore w:val="0"/>
        <w:widowControl w:val="0"/>
        <w:kinsoku/>
        <w:wordWrap/>
        <w:overflowPunct/>
        <w:topLinePunct w:val="0"/>
        <w:bidi w:val="0"/>
        <w:spacing w:line="576" w:lineRule="exact"/>
        <w:ind w:firstLine="640"/>
        <w:rPr>
          <w:rFonts w:ascii="Times New Roman" w:eastAsia="仿宋" w:cs="Times New Roman" w:hAnsi="Times New Roman"/>
          <w:sz w:val="32"/>
          <w:szCs w:val="32"/>
          <w:lang w:eastAsia="zh-CN"/>
        </w:rPr>
      </w:pPr>
      <w:r>
        <w:rPr>
          <w:rFonts w:ascii="Times New Roman" w:eastAsia="仿宋" w:cs="Times New Roman" w:hAnsi="Times New Roman"/>
          <w:sz w:val="32"/>
          <w:szCs w:val="32"/>
          <w:lang w:eastAsia="zh-CN"/>
        </w:rPr>
        <w:drawing>
          <wp:anchor distT="0" distB="0" distL="114300" distR="114300" simplePos="0" relativeHeight="20" behindDoc="0" locked="0" layoutInCell="1" hidden="0" allowOverlap="1">
            <wp:simplePos x="0" y="0"/>
            <wp:positionH relativeFrom="column">
              <wp:posOffset>1246505</wp:posOffset>
            </wp:positionH>
            <wp:positionV relativeFrom="paragraph">
              <wp:posOffset>244475</wp:posOffset>
            </wp:positionV>
            <wp:extent cx="3139440" cy="2548889"/>
            <wp:effectExtent l="0" t="0" r="0" b="0"/>
            <wp:wrapNone/>
            <wp:docPr id="6" name="图表 1"/>
            <wp:cNvGraphicFramePr>
              <a:graphicFrameLocks noChangeAspect="0"/>
            </wp:cNvGraphicFramePr>
            <a:graphic>
              <a:graphicData uri="http://schemas.openxmlformats.org/drawingml/2006/chart">
                <c:chart xmlns:c="http://schemas.openxmlformats.org/drawingml/2006/chart" r:id="rId9"/>
              </a:graphicData>
            </a:graphic>
          </wp:anchor>
        </w:drawing>
      </w:r>
    </w:p>
    <w:p>
      <w:pPr>
        <w:pStyle w:val="16"/>
        <w:jc w:val="distribute"/>
        <w:rPr>
          <w:rFonts w:ascii="Times New Roman" w:eastAsia="仿宋" w:cs="Times New Roman" w:hAnsi="Times New Roman"/>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r>
        <w:rPr>
          <w:rFonts w:ascii="Times New Roman" w:eastAsia="仿宋" w:cs="Times New Roman" w:hAnsi="Times New Roman"/>
          <w:color w:val="auto"/>
          <w:sz w:val="32"/>
          <w:szCs w:val="32"/>
        </w:rPr>
        <w:t>（图6：一般公共预算财政拨款支出决算结构）（饼状图）</w:t>
      </w:r>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62" w:name="_Toc15377212"/>
      <w:r>
        <w:rPr>
          <w:rFonts w:ascii="Times New Roman" w:eastAsia="仿宋" w:cs="Times New Roman" w:hAnsi="Times New Roman"/>
          <w:b/>
          <w:sz w:val="32"/>
          <w:szCs w:val="32"/>
        </w:rPr>
        <w:t>（三）一般公共预算财政拨款支出决算具体情况</w:t>
      </w:r>
      <w:bookmarkEnd w:id="62"/>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val="0"/>
          <w:bCs/>
          <w:sz w:val="32"/>
          <w:szCs w:val="32"/>
        </w:rPr>
      </w:pPr>
      <w:bookmarkStart w:id="63" w:name="_Toc15378460"/>
      <w:bookmarkStart w:id="64" w:name="_Toc15377444"/>
      <w:bookmarkStart w:id="65" w:name="_Toc15377213"/>
      <w:r>
        <w:rPr>
          <w:rFonts w:ascii="Times New Roman" w:eastAsia="仿宋" w:cs="Times New Roman" w:hAnsi="Times New Roman"/>
          <w:b w:val="0"/>
          <w:bCs/>
          <w:sz w:val="32"/>
          <w:szCs w:val="32"/>
        </w:rPr>
        <w:t>202</w:t>
      </w:r>
      <w:r>
        <w:rPr>
          <w:rFonts w:eastAsia="仿宋" w:cs="Times New Roman" w:hint="eastAsia"/>
          <w:b w:val="0"/>
          <w:bCs/>
          <w:sz w:val="32"/>
          <w:szCs w:val="32"/>
          <w:lang w:val="en-US" w:eastAsia="zh-CN"/>
        </w:rPr>
        <w:t>4</w:t>
      </w:r>
      <w:r>
        <w:rPr>
          <w:rFonts w:ascii="Times New Roman" w:eastAsia="仿宋" w:cs="Times New Roman" w:hAnsi="Times New Roman"/>
          <w:b w:val="0"/>
          <w:bCs/>
          <w:sz w:val="32"/>
          <w:szCs w:val="32"/>
        </w:rPr>
        <w:t>年一般公共预算支出决算数为</w:t>
      </w:r>
      <w:r>
        <w:rPr>
          <w:rFonts w:eastAsia="仿宋" w:cs="Times New Roman" w:hint="eastAsia"/>
          <w:b w:val="0"/>
          <w:bCs/>
          <w:sz w:val="32"/>
          <w:szCs w:val="32"/>
          <w:lang w:val="en-US" w:eastAsia="zh-CN"/>
        </w:rPr>
        <w:t>2032.89万元</w:t>
      </w:r>
      <w:r>
        <w:rPr>
          <w:rFonts w:ascii="Times New Roman" w:eastAsia="仿宋" w:cs="Times New Roman" w:hAnsi="Times New Roman"/>
          <w:b w:val="0"/>
          <w:bCs/>
          <w:sz w:val="32"/>
          <w:szCs w:val="32"/>
        </w:rPr>
        <w:t>，</w:t>
      </w:r>
      <w:r>
        <w:rPr>
          <w:rStyle w:val="26"/>
          <w:rFonts w:ascii="Times New Roman" w:eastAsia="仿宋" w:cs="Times New Roman" w:hAnsi="Times New Roman"/>
          <w:b w:val="0"/>
          <w:bCs/>
          <w:sz w:val="32"/>
          <w:szCs w:val="32"/>
        </w:rPr>
        <w:t>完成预算100%。其中：</w:t>
      </w:r>
      <w:bookmarkEnd w:id="63"/>
      <w:bookmarkEnd w:id="64"/>
      <w:bookmarkEnd w:id="65"/>
    </w:p>
    <w:p>
      <w:pPr>
        <w:pageBreakBefore w:val="0"/>
        <w:widowControl w:val="0"/>
        <w:kinsoku/>
        <w:wordWrap/>
        <w:overflowPunct/>
        <w:topLinePunct w:val="0"/>
        <w:bidi w:val="0"/>
        <w:spacing w:line="576" w:lineRule="exact"/>
        <w:ind w:firstLineChars="200" w:firstLine="640"/>
        <w:rPr>
          <w:rStyle w:val="26"/>
          <w:rFonts w:ascii="Times New Roman" w:eastAsia="仿宋" w:cs="Times New Roman" w:hAnsi="Times New Roman"/>
          <w:b/>
          <w:bCs/>
          <w:sz w:val="32"/>
          <w:szCs w:val="32"/>
        </w:rPr>
      </w:pPr>
      <w:r>
        <w:rPr>
          <w:rStyle w:val="26"/>
          <w:rFonts w:ascii="Times New Roman" w:eastAsia="仿宋" w:cs="Times New Roman" w:hAnsi="Times New Roman"/>
          <w:b/>
          <w:bCs/>
          <w:sz w:val="32"/>
          <w:szCs w:val="32"/>
        </w:rPr>
        <w:t>1.一般公共服务（201）</w:t>
      </w:r>
      <w:r>
        <w:rPr>
          <w:rStyle w:val="26"/>
          <w:rFonts w:ascii="Times New Roman" w:eastAsia="仿宋" w:cs="Times New Roman" w:hAnsi="Times New Roman"/>
          <w:b/>
          <w:bCs/>
          <w:sz w:val="32"/>
          <w:szCs w:val="32"/>
          <w:lang w:val="en-US" w:eastAsia="zh-CN"/>
        </w:rPr>
        <w:t>党委办公厅（室）及相关机构事务</w:t>
      </w:r>
      <w:r>
        <w:rPr>
          <w:rStyle w:val="26"/>
          <w:rFonts w:ascii="Times New Roman" w:eastAsia="仿宋" w:cs="Times New Roman" w:hAnsi="Times New Roman"/>
          <w:b/>
          <w:bCs/>
          <w:sz w:val="32"/>
          <w:szCs w:val="32"/>
        </w:rPr>
        <w:t>（31），支出决算为</w:t>
      </w:r>
      <w:r>
        <w:rPr>
          <w:rStyle w:val="26"/>
          <w:rFonts w:ascii="Times New Roman" w:eastAsia="仿宋" w:cs="Times New Roman" w:hAnsi="Times New Roman" w:hint="eastAsia"/>
          <w:b/>
          <w:bCs/>
          <w:sz w:val="32"/>
          <w:szCs w:val="32"/>
          <w:lang w:val="en-US" w:eastAsia="zh-CN"/>
        </w:rPr>
        <w:t>1733.95</w:t>
      </w:r>
      <w:r>
        <w:rPr>
          <w:rStyle w:val="26"/>
          <w:rFonts w:ascii="Times New Roman" w:eastAsia="仿宋" w:cs="Times New Roman" w:hAnsi="Times New Roman"/>
          <w:b/>
          <w:bCs/>
          <w:sz w:val="32"/>
          <w:szCs w:val="32"/>
        </w:rPr>
        <w:t>万元，完成预算100%。</w:t>
      </w:r>
    </w:p>
    <w:p>
      <w:pPr>
        <w:pageBreakBefore w:val="0"/>
        <w:widowControl w:val="0"/>
        <w:kinsoku/>
        <w:wordWrap/>
        <w:overflowPunct/>
        <w:topLinePunct w:val="0"/>
        <w:bidi w:val="0"/>
        <w:spacing w:line="576" w:lineRule="exact"/>
        <w:ind w:firstLineChars="200" w:firstLine="640"/>
        <w:rPr>
          <w:rStyle w:val="26"/>
          <w:rFonts w:ascii="Times New Roman" w:eastAsia="仿宋" w:cs="Times New Roman" w:hAnsi="Times New Roman"/>
          <w:b w:val="0"/>
          <w:bCs/>
          <w:sz w:val="32"/>
          <w:szCs w:val="32"/>
        </w:rPr>
      </w:pPr>
      <w:r>
        <w:rPr>
          <w:rStyle w:val="26"/>
          <w:rFonts w:ascii="Times New Roman" w:eastAsia="仿宋" w:cs="Times New Roman" w:hAnsi="Times New Roman"/>
          <w:b w:val="0"/>
          <w:bCs/>
          <w:sz w:val="32"/>
          <w:szCs w:val="32"/>
        </w:rPr>
        <w:t>1.1行政运行（01）: 支出决算为</w:t>
      </w:r>
      <w:r>
        <w:rPr>
          <w:rStyle w:val="26"/>
          <w:rFonts w:eastAsia="仿宋" w:cs="Times New Roman" w:hint="eastAsia"/>
          <w:b w:val="0"/>
          <w:bCs/>
          <w:sz w:val="32"/>
          <w:szCs w:val="32"/>
          <w:lang w:val="en-US" w:eastAsia="zh-CN"/>
        </w:rPr>
        <w:t>1046.67</w:t>
      </w:r>
      <w:r>
        <w:rPr>
          <w:rStyle w:val="26"/>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firstLineChars="200" w:firstLine="600"/>
        <w:rPr>
          <w:rStyle w:val="26"/>
          <w:rFonts w:ascii="Times New Roman" w:eastAsia="仿宋" w:cs="Times New Roman" w:hAnsi="Times New Roman"/>
          <w:b w:val="0"/>
          <w:bCs/>
          <w:sz w:val="32"/>
          <w:szCs w:val="32"/>
        </w:rPr>
      </w:pPr>
      <w:r>
        <w:rPr>
          <w:rFonts w:ascii="Times New Roman" w:cs="Times New Roman" w:hAnsi="Times New Roman"/>
        </w:rPr>
        <w:t>1.2</w:t>
      </w:r>
      <w:r>
        <w:rPr>
          <w:rStyle w:val="26"/>
          <w:rFonts w:ascii="Times New Roman" w:eastAsia="仿宋" w:cs="Times New Roman" w:hAnsi="Times New Roman"/>
          <w:b w:val="0"/>
          <w:bCs/>
          <w:kern w:val="2"/>
          <w:sz w:val="32"/>
          <w:szCs w:val="32"/>
          <w:lang w:val="en-US" w:eastAsia="zh-CN" w:bidi="ar-SA"/>
        </w:rPr>
        <w:t>一般行政管理事务（02）：</w:t>
      </w:r>
      <w:r>
        <w:rPr>
          <w:rStyle w:val="26"/>
          <w:rFonts w:ascii="Times New Roman" w:eastAsia="仿宋" w:cs="Times New Roman" w:hAnsi="Times New Roman"/>
          <w:b w:val="0"/>
          <w:bCs/>
          <w:sz w:val="32"/>
          <w:szCs w:val="32"/>
        </w:rPr>
        <w:t>支出决算为</w:t>
      </w:r>
      <w:r>
        <w:rPr>
          <w:rStyle w:val="26"/>
          <w:rFonts w:ascii="Times New Roman" w:eastAsia="仿宋" w:cs="Times New Roman" w:hAnsi="Times New Roman" w:hint="eastAsia"/>
          <w:b w:val="0"/>
          <w:bCs/>
          <w:sz w:val="32"/>
          <w:szCs w:val="32"/>
          <w:lang w:val="en-US" w:eastAsia="zh-CN"/>
        </w:rPr>
        <w:t>579.81</w:t>
      </w:r>
      <w:r>
        <w:rPr>
          <w:rStyle w:val="26"/>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firstLineChars="200" w:firstLine="600"/>
        <w:rPr>
          <w:rFonts w:ascii="Times New Roman" w:eastAsia="仿宋_GB2312" w:cs="Times New Roman" w:hAnsi="Times New Roman"/>
          <w:bCs/>
          <w:kern w:val="0"/>
          <w:sz w:val="30"/>
        </w:rPr>
      </w:pPr>
      <w:r>
        <w:rPr>
          <w:rFonts w:ascii="Times New Roman" w:eastAsia="仿宋_GB2312" w:cs="Times New Roman" w:hAnsi="Times New Roman"/>
          <w:bCs/>
          <w:kern w:val="0"/>
          <w:sz w:val="30"/>
        </w:rPr>
        <w:t>1.3</w:t>
      </w:r>
      <w:r>
        <w:rPr>
          <w:rStyle w:val="26"/>
          <w:rFonts w:ascii="Times New Roman" w:eastAsia="仿宋" w:cs="Times New Roman" w:hAnsi="Times New Roman"/>
          <w:b w:val="0"/>
          <w:bCs/>
          <w:kern w:val="2"/>
          <w:sz w:val="32"/>
          <w:szCs w:val="32"/>
          <w:lang w:val="en-US" w:eastAsia="zh-CN" w:bidi="ar-SA"/>
        </w:rPr>
        <w:t>专项业务（05）：支出决算为</w:t>
      </w:r>
      <w:r>
        <w:rPr>
          <w:rStyle w:val="26"/>
          <w:rFonts w:ascii="Times New Roman" w:eastAsia="仿宋" w:cs="Times New Roman" w:hAnsi="Times New Roman" w:hint="eastAsia"/>
          <w:b w:val="0"/>
          <w:bCs/>
          <w:kern w:val="2"/>
          <w:sz w:val="32"/>
          <w:szCs w:val="32"/>
          <w:lang w:val="en-US" w:eastAsia="zh-CN" w:bidi="ar-SA"/>
        </w:rPr>
        <w:t>9.38</w:t>
      </w:r>
      <w:r>
        <w:rPr>
          <w:rStyle w:val="26"/>
          <w:rFonts w:ascii="Times New Roman" w:eastAsia="仿宋" w:cs="Times New Roman" w:hAnsi="Times New Roman"/>
          <w:b w:val="0"/>
          <w:bCs/>
          <w:kern w:val="2"/>
          <w:sz w:val="32"/>
          <w:szCs w:val="32"/>
          <w:lang w:val="en-US" w:eastAsia="zh-CN" w:bidi="ar-SA"/>
        </w:rPr>
        <w:t>万元，完成预算100%。</w:t>
      </w:r>
    </w:p>
    <w:p>
      <w:pPr>
        <w:pStyle w:val="16"/>
        <w:pageBreakBefore w:val="0"/>
        <w:widowControl w:val="0"/>
        <w:kinsoku/>
        <w:wordWrap/>
        <w:overflowPunct/>
        <w:topLinePunct w:val="0"/>
        <w:bidi w:val="0"/>
        <w:spacing w:line="576" w:lineRule="exact"/>
        <w:ind w:firstLineChars="200" w:firstLine="600"/>
        <w:rPr>
          <w:rStyle w:val="26"/>
          <w:rFonts w:ascii="Times New Roman" w:eastAsia="仿宋" w:cs="Times New Roman" w:hAnsi="Times New Roman"/>
          <w:b w:val="0"/>
          <w:bCs/>
          <w:kern w:val="2"/>
          <w:sz w:val="32"/>
          <w:szCs w:val="32"/>
          <w:lang w:val="en-US" w:eastAsia="zh-CN" w:bidi="ar-SA"/>
        </w:rPr>
      </w:pPr>
      <w:r>
        <w:rPr>
          <w:rFonts w:ascii="Times New Roman" w:eastAsia="仿宋_GB2312" w:cs="Times New Roman" w:hAnsi="Times New Roman"/>
          <w:bCs/>
          <w:kern w:val="0"/>
          <w:sz w:val="30"/>
        </w:rPr>
        <w:t>1.4</w:t>
      </w:r>
      <w:r>
        <w:rPr>
          <w:rStyle w:val="26"/>
          <w:rFonts w:ascii="Times New Roman" w:eastAsia="仿宋" w:cs="Times New Roman" w:hAnsi="Times New Roman"/>
          <w:b w:val="0"/>
          <w:bCs/>
          <w:kern w:val="2"/>
          <w:sz w:val="32"/>
          <w:szCs w:val="32"/>
          <w:lang w:val="en-US" w:eastAsia="zh-CN" w:bidi="ar-SA"/>
        </w:rPr>
        <w:t>其他党委办公厅(室)及相关机构（</w:t>
      </w:r>
      <w:r>
        <w:rPr>
          <w:rStyle w:val="26"/>
          <w:rFonts w:ascii="Times New Roman" w:eastAsia="仿宋" w:cs="Times New Roman" w:hAnsi="Times New Roman" w:hint="eastAsia"/>
          <w:b w:val="0"/>
          <w:bCs/>
          <w:kern w:val="2"/>
          <w:sz w:val="32"/>
          <w:szCs w:val="32"/>
          <w:lang w:val="en-US" w:eastAsia="zh-CN" w:bidi="ar-SA"/>
        </w:rPr>
        <w:t>99</w:t>
      </w:r>
      <w:r>
        <w:rPr>
          <w:rStyle w:val="26"/>
          <w:rFonts w:ascii="Times New Roman" w:eastAsia="仿宋" w:cs="Times New Roman" w:hAnsi="Times New Roman"/>
          <w:b w:val="0"/>
          <w:bCs/>
          <w:kern w:val="2"/>
          <w:sz w:val="32"/>
          <w:szCs w:val="32"/>
          <w:lang w:val="en-US" w:eastAsia="zh-CN" w:bidi="ar-SA"/>
        </w:rPr>
        <w:t>）：支出决算为</w:t>
      </w:r>
      <w:r>
        <w:rPr>
          <w:rStyle w:val="26"/>
          <w:rFonts w:ascii="Times New Roman" w:eastAsia="仿宋" w:cs="Times New Roman" w:hAnsi="Times New Roman" w:hint="eastAsia"/>
          <w:b w:val="0"/>
          <w:bCs/>
          <w:kern w:val="2"/>
          <w:sz w:val="32"/>
          <w:szCs w:val="32"/>
          <w:lang w:val="en-US" w:eastAsia="zh-CN" w:bidi="ar-SA"/>
        </w:rPr>
        <w:t>98.08</w:t>
      </w:r>
      <w:r>
        <w:rPr>
          <w:rStyle w:val="26"/>
          <w:rFonts w:ascii="Times New Roman" w:eastAsia="仿宋" w:cs="Times New Roman" w:hAnsi="Times New Roman"/>
          <w:b w:val="0"/>
          <w:bCs/>
          <w:kern w:val="2"/>
          <w:sz w:val="32"/>
          <w:szCs w:val="32"/>
          <w:lang w:val="en-US" w:eastAsia="zh-CN" w:bidi="ar-SA"/>
        </w:rPr>
        <w:t>万元，完成预算100%。</w:t>
      </w:r>
    </w:p>
    <w:p>
      <w:pPr>
        <w:pageBreakBefore w:val="0"/>
        <w:widowControl w:val="0"/>
        <w:kinsoku/>
        <w:wordWrap/>
        <w:overflowPunct/>
        <w:topLinePunct w:val="0"/>
        <w:bidi w:val="0"/>
        <w:spacing w:line="576" w:lineRule="exact"/>
        <w:ind w:firstLineChars="200" w:firstLine="640"/>
        <w:rPr>
          <w:rStyle w:val="26"/>
          <w:rFonts w:ascii="Times New Roman" w:eastAsia="仿宋" w:cs="Times New Roman" w:hAnsi="Times New Roman"/>
          <w:b w:val="0"/>
          <w:bCs/>
          <w:sz w:val="32"/>
          <w:szCs w:val="32"/>
        </w:rPr>
      </w:pPr>
      <w:r>
        <w:rPr>
          <w:rStyle w:val="26"/>
          <w:rFonts w:eastAsia="仿宋" w:cs="Times New Roman" w:hint="eastAsia"/>
          <w:bCs/>
          <w:sz w:val="32"/>
          <w:szCs w:val="32"/>
          <w:lang w:val="en-US" w:eastAsia="zh-CN"/>
        </w:rPr>
        <w:t>2</w:t>
      </w:r>
      <w:r>
        <w:rPr>
          <w:rStyle w:val="26"/>
          <w:rFonts w:ascii="Times New Roman" w:eastAsia="仿宋" w:cs="Times New Roman" w:hAnsi="Times New Roman"/>
          <w:bCs/>
          <w:sz w:val="32"/>
          <w:szCs w:val="32"/>
        </w:rPr>
        <w:t>.社会保障和就业（208）行政事业单位养老（05），</w:t>
      </w:r>
      <w:r>
        <w:rPr>
          <w:rStyle w:val="26"/>
          <w:rFonts w:ascii="Times New Roman" w:eastAsia="仿宋" w:cs="Times New Roman" w:hAnsi="Times New Roman"/>
          <w:b w:val="0"/>
          <w:bCs/>
          <w:sz w:val="32"/>
          <w:szCs w:val="32"/>
        </w:rPr>
        <w:t>支出决算为</w:t>
      </w:r>
      <w:r>
        <w:rPr>
          <w:rStyle w:val="26"/>
          <w:rFonts w:eastAsia="仿宋" w:cs="Times New Roman" w:hint="eastAsia"/>
          <w:b w:val="0"/>
          <w:bCs/>
          <w:sz w:val="32"/>
          <w:szCs w:val="32"/>
          <w:lang w:val="en-US" w:eastAsia="zh-CN"/>
        </w:rPr>
        <w:t>169.9</w:t>
      </w:r>
      <w:r>
        <w:rPr>
          <w:rStyle w:val="26"/>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firstLineChars="200" w:firstLine="600"/>
        <w:rPr>
          <w:rStyle w:val="26"/>
          <w:rFonts w:ascii="Times New Roman" w:eastAsia="仿宋" w:cs="Times New Roman" w:hAnsi="Times New Roman"/>
          <w:b w:val="0"/>
          <w:bCs/>
          <w:kern w:val="2"/>
          <w:sz w:val="32"/>
          <w:szCs w:val="32"/>
          <w:lang w:val="en-US" w:eastAsia="zh-CN" w:bidi="ar-SA"/>
        </w:rPr>
      </w:pPr>
      <w:r>
        <w:rPr>
          <w:rFonts w:ascii="Times New Roman" w:cs="Times New Roman" w:hAnsi="Times New Roman" w:hint="eastAsia"/>
          <w:lang w:val="en-US" w:eastAsia="zh-CN"/>
        </w:rPr>
        <w:t>2</w:t>
      </w:r>
      <w:r>
        <w:rPr>
          <w:rFonts w:ascii="Times New Roman" w:cs="Times New Roman" w:hAnsi="Times New Roman"/>
        </w:rPr>
        <w:t>.1</w:t>
      </w:r>
      <w:r>
        <w:rPr>
          <w:rStyle w:val="26"/>
          <w:rFonts w:ascii="Times New Roman" w:eastAsia="仿宋" w:cs="Times New Roman" w:hAnsi="Times New Roman"/>
          <w:b w:val="0"/>
          <w:bCs/>
          <w:kern w:val="2"/>
          <w:sz w:val="32"/>
          <w:szCs w:val="32"/>
          <w:lang w:val="en-US" w:eastAsia="zh-CN" w:bidi="ar-SA"/>
        </w:rPr>
        <w:t>机关事业单位基本养老保险缴费（05）：支出决算为</w:t>
      </w:r>
      <w:r>
        <w:rPr>
          <w:rStyle w:val="26"/>
          <w:rFonts w:ascii="Times New Roman" w:eastAsia="仿宋" w:cs="Times New Roman" w:hAnsi="Times New Roman" w:hint="eastAsia"/>
          <w:b w:val="0"/>
          <w:bCs/>
          <w:kern w:val="2"/>
          <w:sz w:val="32"/>
          <w:szCs w:val="32"/>
          <w:lang w:val="en-US" w:eastAsia="zh-CN" w:bidi="ar-SA"/>
        </w:rPr>
        <w:t>87.56</w:t>
      </w:r>
      <w:r>
        <w:rPr>
          <w:rStyle w:val="26"/>
          <w:rFonts w:ascii="Times New Roman" w:eastAsia="仿宋" w:cs="Times New Roman" w:hAnsi="Times New Roman"/>
          <w:b w:val="0"/>
          <w:bCs/>
          <w:kern w:val="2"/>
          <w:sz w:val="32"/>
          <w:szCs w:val="32"/>
          <w:lang w:val="en-US" w:eastAsia="zh-CN" w:bidi="ar-SA"/>
        </w:rPr>
        <w:t>万元，完成预算100%。</w:t>
      </w:r>
    </w:p>
    <w:p>
      <w:pPr>
        <w:pStyle w:val="16"/>
        <w:pageBreakBefore w:val="0"/>
        <w:widowControl w:val="0"/>
        <w:kinsoku/>
        <w:wordWrap/>
        <w:overflowPunct/>
        <w:topLinePunct w:val="0"/>
        <w:bidi w:val="0"/>
        <w:spacing w:line="576" w:lineRule="exact"/>
        <w:ind w:firstLineChars="200" w:firstLine="640"/>
        <w:rPr>
          <w:rStyle w:val="26"/>
          <w:rFonts w:ascii="Times New Roman" w:eastAsia="仿宋" w:cs="Times New Roman" w:hAnsi="Times New Roman"/>
          <w:b w:val="0"/>
          <w:bCs/>
          <w:kern w:val="2"/>
          <w:sz w:val="32"/>
          <w:szCs w:val="32"/>
          <w:lang w:val="en-US" w:eastAsia="zh-CN" w:bidi="ar-SA"/>
        </w:rPr>
      </w:pPr>
      <w:r>
        <w:rPr>
          <w:rStyle w:val="26"/>
          <w:rFonts w:ascii="Times New Roman" w:eastAsia="仿宋" w:cs="Times New Roman" w:hAnsi="Times New Roman" w:hint="eastAsia"/>
          <w:b w:val="0"/>
          <w:bCs/>
          <w:sz w:val="32"/>
          <w:szCs w:val="32"/>
          <w:lang w:val="en-US" w:eastAsia="zh-CN"/>
        </w:rPr>
        <w:t>2</w:t>
      </w:r>
      <w:r>
        <w:rPr>
          <w:rStyle w:val="26"/>
          <w:rFonts w:ascii="Times New Roman" w:eastAsia="仿宋" w:cs="Times New Roman" w:hAnsi="Times New Roman"/>
          <w:b w:val="0"/>
          <w:bCs/>
          <w:sz w:val="32"/>
          <w:szCs w:val="32"/>
        </w:rPr>
        <w:t>.2</w:t>
      </w:r>
      <w:r>
        <w:rPr>
          <w:rStyle w:val="26"/>
          <w:rFonts w:ascii="Times New Roman" w:eastAsia="仿宋" w:cs="Times New Roman" w:hAnsi="Times New Roman"/>
          <w:b w:val="0"/>
          <w:bCs/>
          <w:kern w:val="2"/>
          <w:sz w:val="32"/>
          <w:szCs w:val="32"/>
          <w:lang w:val="en-US" w:eastAsia="zh-CN" w:bidi="ar-SA"/>
        </w:rPr>
        <w:t>机关事业单位职业年金缴费（06）：支出决算为</w:t>
      </w:r>
      <w:r>
        <w:rPr>
          <w:rStyle w:val="26"/>
          <w:rFonts w:ascii="Times New Roman" w:eastAsia="仿宋" w:cs="Times New Roman" w:hAnsi="Times New Roman" w:hint="eastAsia"/>
          <w:b w:val="0"/>
          <w:bCs/>
          <w:kern w:val="2"/>
          <w:sz w:val="32"/>
          <w:szCs w:val="32"/>
          <w:lang w:val="en-US" w:eastAsia="zh-CN" w:bidi="ar-SA"/>
        </w:rPr>
        <w:t>43.73</w:t>
      </w:r>
      <w:r>
        <w:rPr>
          <w:rStyle w:val="26"/>
          <w:rFonts w:ascii="Times New Roman" w:eastAsia="仿宋" w:cs="Times New Roman" w:hAnsi="Times New Roman"/>
          <w:b w:val="0"/>
          <w:bCs/>
          <w:kern w:val="2"/>
          <w:sz w:val="32"/>
          <w:szCs w:val="32"/>
          <w:lang w:val="en-US" w:eastAsia="zh-CN" w:bidi="ar-SA"/>
        </w:rPr>
        <w:t>万元，完成预算100%。</w:t>
      </w:r>
    </w:p>
    <w:p>
      <w:pPr>
        <w:pStyle w:val="16"/>
        <w:pageBreakBefore w:val="0"/>
        <w:widowControl w:val="0"/>
        <w:kinsoku/>
        <w:wordWrap/>
        <w:overflowPunct/>
        <w:topLinePunct w:val="0"/>
        <w:bidi w:val="0"/>
        <w:spacing w:line="576" w:lineRule="exact"/>
        <w:ind w:firstLineChars="200" w:firstLine="640"/>
        <w:rPr>
          <w:rStyle w:val="26"/>
          <w:rFonts w:ascii="Times New Roman" w:eastAsia="仿宋" w:cs="Times New Roman" w:hAnsi="Times New Roman"/>
          <w:b w:val="0"/>
          <w:bCs/>
          <w:kern w:val="2"/>
          <w:sz w:val="32"/>
          <w:szCs w:val="32"/>
          <w:lang w:val="en-US" w:eastAsia="zh-CN" w:bidi="ar-SA"/>
        </w:rPr>
      </w:pPr>
      <w:r>
        <w:rPr>
          <w:rStyle w:val="26"/>
          <w:rFonts w:ascii="Times New Roman" w:eastAsia="仿宋" w:cs="Times New Roman" w:hAnsi="Times New Roman" w:hint="eastAsia"/>
          <w:b w:val="0"/>
          <w:bCs/>
          <w:kern w:val="2"/>
          <w:sz w:val="32"/>
          <w:szCs w:val="32"/>
          <w:lang w:val="en-US" w:eastAsia="zh-CN" w:bidi="ar-SA"/>
        </w:rPr>
        <w:t>2.3</w:t>
      </w:r>
      <w:r>
        <w:rPr>
          <w:rStyle w:val="26"/>
          <w:rFonts w:ascii="Times New Roman" w:eastAsia="仿宋" w:cs="Times New Roman" w:hAnsi="Times New Roman"/>
          <w:b w:val="0"/>
          <w:bCs/>
          <w:kern w:val="2"/>
          <w:sz w:val="32"/>
          <w:szCs w:val="32"/>
          <w:lang w:val="en-US" w:eastAsia="zh-CN" w:bidi="ar-SA"/>
        </w:rPr>
        <w:t>丧葬抚恤金</w:t>
      </w:r>
      <w:r>
        <w:rPr>
          <w:rStyle w:val="26"/>
          <w:rFonts w:ascii="Times New Roman" w:eastAsia="仿宋" w:cs="Times New Roman" w:hAnsi="Times New Roman" w:hint="eastAsia"/>
          <w:b w:val="0"/>
          <w:bCs/>
          <w:kern w:val="2"/>
          <w:sz w:val="32"/>
          <w:szCs w:val="32"/>
          <w:lang w:val="en-US" w:eastAsia="zh-CN" w:bidi="ar-SA"/>
        </w:rPr>
        <w:t>（01）：</w:t>
      </w:r>
      <w:r>
        <w:rPr>
          <w:rStyle w:val="26"/>
          <w:rFonts w:ascii="Times New Roman" w:eastAsia="仿宋" w:cs="Times New Roman" w:hAnsi="Times New Roman"/>
          <w:b w:val="0"/>
          <w:bCs/>
          <w:kern w:val="2"/>
          <w:sz w:val="32"/>
          <w:szCs w:val="32"/>
          <w:lang w:val="en-US" w:eastAsia="zh-CN" w:bidi="ar-SA"/>
        </w:rPr>
        <w:t>支出决算为</w:t>
      </w:r>
      <w:r>
        <w:rPr>
          <w:rStyle w:val="26"/>
          <w:rFonts w:ascii="Times New Roman" w:eastAsia="仿宋" w:cs="Times New Roman" w:hAnsi="Times New Roman" w:hint="eastAsia"/>
          <w:b w:val="0"/>
          <w:bCs/>
          <w:kern w:val="2"/>
          <w:sz w:val="32"/>
          <w:szCs w:val="32"/>
          <w:lang w:val="en-US" w:eastAsia="zh-CN" w:bidi="ar-SA"/>
        </w:rPr>
        <w:t>38.61</w:t>
      </w:r>
      <w:r>
        <w:rPr>
          <w:rStyle w:val="26"/>
          <w:rFonts w:ascii="Times New Roman" w:eastAsia="仿宋" w:cs="Times New Roman" w:hAnsi="Times New Roman"/>
          <w:b w:val="0"/>
          <w:bCs/>
          <w:kern w:val="2"/>
          <w:sz w:val="32"/>
          <w:szCs w:val="32"/>
          <w:lang w:val="en-US" w:eastAsia="zh-CN" w:bidi="ar-SA"/>
        </w:rPr>
        <w:t>万元，完成预算100%。</w:t>
      </w:r>
    </w:p>
    <w:p>
      <w:pPr>
        <w:pageBreakBefore w:val="0"/>
        <w:widowControl w:val="0"/>
        <w:kinsoku/>
        <w:wordWrap/>
        <w:overflowPunct/>
        <w:topLinePunct w:val="0"/>
        <w:bidi w:val="0"/>
        <w:spacing w:line="576" w:lineRule="exact"/>
        <w:ind w:firstLineChars="200" w:firstLine="640"/>
        <w:rPr>
          <w:rStyle w:val="26"/>
          <w:rFonts w:ascii="Times New Roman" w:eastAsia="仿宋" w:cs="Times New Roman" w:hAnsi="Times New Roman"/>
          <w:b w:val="0"/>
          <w:bCs/>
          <w:sz w:val="32"/>
          <w:szCs w:val="32"/>
        </w:rPr>
      </w:pPr>
      <w:r>
        <w:rPr>
          <w:rStyle w:val="26"/>
          <w:rFonts w:eastAsia="仿宋" w:cs="Times New Roman" w:hint="eastAsia"/>
          <w:bCs/>
          <w:sz w:val="32"/>
          <w:szCs w:val="32"/>
          <w:lang w:val="en-US" w:eastAsia="zh-CN"/>
        </w:rPr>
        <w:t>3</w:t>
      </w:r>
      <w:r>
        <w:rPr>
          <w:rStyle w:val="26"/>
          <w:rFonts w:ascii="Times New Roman" w:eastAsia="仿宋" w:cs="Times New Roman" w:hAnsi="Times New Roman"/>
          <w:bCs/>
          <w:sz w:val="32"/>
          <w:szCs w:val="32"/>
        </w:rPr>
        <w:t>.</w:t>
      </w:r>
      <w:r>
        <w:rPr>
          <w:rFonts w:ascii="Times New Roman" w:eastAsia="仿宋" w:cs="Times New Roman" w:hAnsi="Times New Roman"/>
          <w:b/>
          <w:bCs/>
          <w:sz w:val="32"/>
          <w:szCs w:val="32"/>
        </w:rPr>
        <w:t>卫生健康</w:t>
      </w:r>
      <w:r>
        <w:rPr>
          <w:rStyle w:val="26"/>
          <w:rFonts w:ascii="Times New Roman" w:eastAsia="仿宋" w:cs="Times New Roman" w:hAnsi="Times New Roman"/>
          <w:bCs/>
          <w:sz w:val="32"/>
          <w:szCs w:val="32"/>
        </w:rPr>
        <w:t>（210）行政事业单位医疗（11）:</w:t>
      </w:r>
      <w:r>
        <w:rPr>
          <w:rStyle w:val="26"/>
          <w:rFonts w:ascii="Times New Roman" w:eastAsia="仿宋" w:cs="Times New Roman" w:hAnsi="Times New Roman"/>
          <w:b w:val="0"/>
          <w:bCs/>
          <w:sz w:val="32"/>
          <w:szCs w:val="32"/>
        </w:rPr>
        <w:t>支出决算为</w:t>
      </w:r>
      <w:r>
        <w:rPr>
          <w:rStyle w:val="26"/>
          <w:rFonts w:eastAsia="仿宋" w:cs="Times New Roman" w:hint="eastAsia"/>
          <w:b w:val="0"/>
          <w:bCs/>
          <w:sz w:val="32"/>
          <w:szCs w:val="32"/>
          <w:lang w:val="en-US" w:eastAsia="zh-CN"/>
        </w:rPr>
        <w:t>56.42</w:t>
      </w:r>
      <w:r>
        <w:rPr>
          <w:rStyle w:val="26"/>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firstLineChars="200" w:firstLine="600"/>
        <w:rPr>
          <w:rStyle w:val="26"/>
          <w:rFonts w:ascii="Times New Roman" w:eastAsia="仿宋" w:cs="Times New Roman" w:hAnsi="Times New Roman"/>
          <w:b w:val="0"/>
          <w:bCs/>
          <w:sz w:val="32"/>
          <w:szCs w:val="32"/>
        </w:rPr>
      </w:pPr>
      <w:r>
        <w:rPr>
          <w:rFonts w:ascii="Times New Roman" w:cs="Times New Roman" w:hAnsi="Times New Roman" w:hint="eastAsia"/>
          <w:lang w:val="en-US" w:eastAsia="zh-CN"/>
        </w:rPr>
        <w:t>3</w:t>
      </w:r>
      <w:r>
        <w:rPr>
          <w:rFonts w:ascii="Times New Roman" w:cs="Times New Roman" w:hAnsi="Times New Roman"/>
        </w:rPr>
        <w:t>.1</w:t>
      </w:r>
      <w:r>
        <w:rPr>
          <w:rStyle w:val="26"/>
          <w:rFonts w:ascii="Times New Roman" w:eastAsia="仿宋" w:cs="Times New Roman" w:hAnsi="Times New Roman"/>
          <w:b w:val="0"/>
          <w:bCs/>
          <w:kern w:val="2"/>
          <w:sz w:val="32"/>
          <w:szCs w:val="32"/>
          <w:lang w:val="en-US" w:eastAsia="zh-CN" w:bidi="ar-SA"/>
        </w:rPr>
        <w:t>行政单位医疗（01）：</w:t>
      </w:r>
      <w:r>
        <w:rPr>
          <w:rStyle w:val="26"/>
          <w:rFonts w:ascii="Times New Roman" w:eastAsia="仿宋" w:cs="Times New Roman" w:hAnsi="Times New Roman"/>
          <w:b w:val="0"/>
          <w:bCs/>
          <w:sz w:val="32"/>
          <w:szCs w:val="32"/>
        </w:rPr>
        <w:t>支出决算为</w:t>
      </w:r>
      <w:r>
        <w:rPr>
          <w:rStyle w:val="26"/>
          <w:rFonts w:ascii="Times New Roman" w:eastAsia="仿宋" w:cs="Times New Roman" w:hAnsi="Times New Roman" w:hint="eastAsia"/>
          <w:b w:val="0"/>
          <w:bCs/>
          <w:sz w:val="32"/>
          <w:szCs w:val="32"/>
          <w:lang w:val="en-US" w:eastAsia="zh-CN"/>
        </w:rPr>
        <w:t>36.02</w:t>
      </w:r>
      <w:r>
        <w:rPr>
          <w:rStyle w:val="26"/>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firstLineChars="200" w:firstLine="640"/>
        <w:rPr>
          <w:rStyle w:val="26"/>
          <w:rFonts w:ascii="Times New Roman" w:eastAsia="仿宋" w:cs="Times New Roman" w:hAnsi="Times New Roman"/>
          <w:b w:val="0"/>
          <w:bCs/>
          <w:kern w:val="2"/>
          <w:sz w:val="32"/>
          <w:szCs w:val="32"/>
          <w:lang w:val="en-US" w:eastAsia="zh-CN" w:bidi="ar-SA"/>
        </w:rPr>
      </w:pPr>
      <w:r>
        <w:rPr>
          <w:rStyle w:val="26"/>
          <w:rFonts w:ascii="Times New Roman" w:eastAsia="仿宋" w:cs="Times New Roman" w:hAnsi="Times New Roman" w:hint="eastAsia"/>
          <w:b w:val="0"/>
          <w:bCs/>
          <w:sz w:val="32"/>
          <w:szCs w:val="32"/>
          <w:lang w:val="en-US" w:eastAsia="zh-CN"/>
        </w:rPr>
        <w:t>3.2</w:t>
      </w:r>
      <w:r>
        <w:rPr>
          <w:rStyle w:val="26"/>
          <w:rFonts w:ascii="Times New Roman" w:eastAsia="仿宋" w:cs="Times New Roman" w:hAnsi="Times New Roman"/>
          <w:b w:val="0"/>
          <w:bCs/>
          <w:kern w:val="2"/>
          <w:sz w:val="32"/>
          <w:szCs w:val="32"/>
          <w:lang w:val="en-US" w:eastAsia="zh-CN" w:bidi="ar-SA"/>
        </w:rPr>
        <w:t>事业单位医疗</w:t>
      </w:r>
      <w:r>
        <w:rPr>
          <w:rStyle w:val="26"/>
          <w:rFonts w:ascii="Times New Roman" w:eastAsia="仿宋" w:cs="Times New Roman" w:hAnsi="Times New Roman" w:hint="eastAsia"/>
          <w:b w:val="0"/>
          <w:bCs/>
          <w:kern w:val="2"/>
          <w:sz w:val="32"/>
          <w:szCs w:val="32"/>
          <w:lang w:val="en-US" w:eastAsia="zh-CN" w:bidi="ar-SA"/>
        </w:rPr>
        <w:t>（02）：</w:t>
      </w:r>
      <w:r>
        <w:rPr>
          <w:rStyle w:val="26"/>
          <w:rFonts w:ascii="Times New Roman" w:eastAsia="仿宋" w:cs="Times New Roman" w:hAnsi="Times New Roman"/>
          <w:b w:val="0"/>
          <w:bCs/>
          <w:kern w:val="2"/>
          <w:sz w:val="32"/>
          <w:szCs w:val="32"/>
          <w:lang w:val="en-US" w:eastAsia="zh-CN" w:bidi="ar-SA"/>
        </w:rPr>
        <w:t>支出决算为</w:t>
      </w:r>
      <w:r>
        <w:rPr>
          <w:rStyle w:val="26"/>
          <w:rFonts w:ascii="Times New Roman" w:eastAsia="仿宋" w:cs="Times New Roman" w:hAnsi="Times New Roman" w:hint="eastAsia"/>
          <w:b w:val="0"/>
          <w:bCs/>
          <w:kern w:val="2"/>
          <w:sz w:val="32"/>
          <w:szCs w:val="32"/>
          <w:lang w:val="en-US" w:eastAsia="zh-CN" w:bidi="ar-SA"/>
        </w:rPr>
        <w:t>6.34</w:t>
      </w:r>
      <w:r>
        <w:rPr>
          <w:rStyle w:val="26"/>
          <w:rFonts w:ascii="Times New Roman" w:eastAsia="仿宋" w:cs="Times New Roman" w:hAnsi="Times New Roman"/>
          <w:b w:val="0"/>
          <w:bCs/>
          <w:kern w:val="2"/>
          <w:sz w:val="32"/>
          <w:szCs w:val="32"/>
          <w:lang w:val="en-US" w:eastAsia="zh-CN" w:bidi="ar-SA"/>
        </w:rPr>
        <w:t>万元，完成预算100%。</w:t>
      </w:r>
    </w:p>
    <w:p>
      <w:pPr>
        <w:pStyle w:val="16"/>
        <w:pageBreakBefore w:val="0"/>
        <w:widowControl w:val="0"/>
        <w:kinsoku/>
        <w:wordWrap/>
        <w:overflowPunct/>
        <w:topLinePunct w:val="0"/>
        <w:bidi w:val="0"/>
        <w:spacing w:line="576" w:lineRule="exact"/>
        <w:ind w:firstLineChars="200" w:firstLine="640"/>
        <w:rPr>
          <w:rStyle w:val="26"/>
          <w:rFonts w:ascii="Times New Roman" w:eastAsia="仿宋" w:cs="Times New Roman" w:hAnsi="Times New Roman"/>
          <w:b w:val="0"/>
          <w:bCs/>
          <w:sz w:val="32"/>
          <w:szCs w:val="32"/>
        </w:rPr>
      </w:pPr>
      <w:r>
        <w:rPr>
          <w:rStyle w:val="26"/>
          <w:rFonts w:ascii="Times New Roman" w:eastAsia="仿宋" w:cs="Times New Roman" w:hAnsi="Times New Roman" w:hint="eastAsia"/>
          <w:b w:val="0"/>
          <w:bCs/>
          <w:sz w:val="32"/>
          <w:szCs w:val="32"/>
          <w:lang w:val="en-US" w:eastAsia="zh-CN"/>
        </w:rPr>
        <w:t>3</w:t>
      </w:r>
      <w:r>
        <w:rPr>
          <w:rStyle w:val="26"/>
          <w:rFonts w:ascii="Times New Roman" w:eastAsia="仿宋" w:cs="Times New Roman" w:hAnsi="Times New Roman"/>
          <w:b w:val="0"/>
          <w:bCs/>
          <w:sz w:val="32"/>
          <w:szCs w:val="32"/>
        </w:rPr>
        <w:t>.</w:t>
      </w:r>
      <w:r>
        <w:rPr>
          <w:rStyle w:val="26"/>
          <w:rFonts w:ascii="Times New Roman" w:eastAsia="仿宋" w:cs="Times New Roman" w:hAnsi="Times New Roman" w:hint="eastAsia"/>
          <w:b w:val="0"/>
          <w:bCs/>
          <w:sz w:val="32"/>
          <w:szCs w:val="32"/>
          <w:lang w:val="en-US" w:eastAsia="zh-CN"/>
        </w:rPr>
        <w:t>3</w:t>
      </w:r>
      <w:r>
        <w:rPr>
          <w:rStyle w:val="26"/>
          <w:rFonts w:ascii="Times New Roman" w:eastAsia="仿宋" w:cs="Times New Roman" w:hAnsi="Times New Roman"/>
          <w:b w:val="0"/>
          <w:bCs/>
          <w:sz w:val="32"/>
          <w:szCs w:val="32"/>
        </w:rPr>
        <w:t>公务员医疗补助（03）：支出决算为</w:t>
      </w:r>
      <w:r>
        <w:rPr>
          <w:rStyle w:val="26"/>
          <w:rFonts w:ascii="Times New Roman" w:eastAsia="仿宋" w:cs="Times New Roman" w:hAnsi="Times New Roman" w:hint="eastAsia"/>
          <w:b w:val="0"/>
          <w:bCs/>
          <w:sz w:val="32"/>
          <w:szCs w:val="32"/>
          <w:lang w:val="en-US" w:eastAsia="zh-CN"/>
        </w:rPr>
        <w:t>12.61</w:t>
      </w:r>
      <w:r>
        <w:rPr>
          <w:rStyle w:val="26"/>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firstLineChars="200" w:firstLine="640"/>
        <w:rPr>
          <w:rStyle w:val="26"/>
          <w:rFonts w:ascii="Times New Roman" w:eastAsia="宋体" w:cs="Times New Roman" w:hAnsi="Times New Roman" w:hint="eastAsia"/>
          <w:b w:val="0"/>
          <w:bCs/>
          <w:sz w:val="32"/>
          <w:szCs w:val="32"/>
          <w:lang w:val="en-US" w:eastAsia="zh-CN"/>
        </w:rPr>
      </w:pPr>
      <w:r>
        <w:rPr>
          <w:rStyle w:val="26"/>
          <w:rFonts w:ascii="Times New Roman" w:eastAsia="仿宋" w:cs="Times New Roman" w:hAnsi="Times New Roman" w:hint="eastAsia"/>
          <w:b w:val="0"/>
          <w:bCs/>
          <w:sz w:val="32"/>
          <w:szCs w:val="32"/>
          <w:lang w:val="en-US" w:eastAsia="zh-CN"/>
        </w:rPr>
        <w:t>3.4</w:t>
      </w:r>
      <w:r>
        <w:rPr>
          <w:rStyle w:val="26"/>
          <w:rFonts w:ascii="Times New Roman" w:eastAsia="仿宋" w:cs="Times New Roman" w:hAnsi="Times New Roman"/>
          <w:b w:val="0"/>
          <w:bCs/>
          <w:sz w:val="32"/>
          <w:szCs w:val="32"/>
        </w:rPr>
        <w:t>其他行政事业单位医疗支出</w:t>
      </w:r>
      <w:r>
        <w:rPr>
          <w:rStyle w:val="26"/>
          <w:rFonts w:ascii="Times New Roman" w:eastAsia="仿宋" w:cs="Times New Roman" w:hAnsi="Times New Roman" w:hint="eastAsia"/>
          <w:b w:val="0"/>
          <w:bCs/>
          <w:sz w:val="32"/>
          <w:szCs w:val="32"/>
          <w:lang w:eastAsia="zh-CN"/>
        </w:rPr>
        <w:t>（</w:t>
      </w:r>
      <w:r>
        <w:rPr>
          <w:rStyle w:val="26"/>
          <w:rFonts w:ascii="Times New Roman" w:eastAsia="仿宋" w:cs="Times New Roman" w:hAnsi="Times New Roman" w:hint="eastAsia"/>
          <w:b w:val="0"/>
          <w:bCs/>
          <w:sz w:val="32"/>
          <w:szCs w:val="32"/>
          <w:lang w:val="en-US" w:eastAsia="zh-CN"/>
        </w:rPr>
        <w:t>99</w:t>
      </w:r>
      <w:r>
        <w:rPr>
          <w:rStyle w:val="26"/>
          <w:rFonts w:ascii="Times New Roman" w:eastAsia="仿宋" w:cs="Times New Roman" w:hAnsi="Times New Roman" w:hint="eastAsia"/>
          <w:b w:val="0"/>
          <w:bCs/>
          <w:sz w:val="32"/>
          <w:szCs w:val="32"/>
          <w:lang w:eastAsia="zh-CN"/>
        </w:rPr>
        <w:t>）：</w:t>
      </w:r>
      <w:r>
        <w:rPr>
          <w:rStyle w:val="26"/>
          <w:rFonts w:ascii="Times New Roman" w:eastAsia="仿宋" w:cs="Times New Roman" w:hAnsi="Times New Roman"/>
          <w:b w:val="0"/>
          <w:bCs/>
          <w:sz w:val="32"/>
          <w:szCs w:val="32"/>
        </w:rPr>
        <w:t>支出决算为</w:t>
      </w:r>
      <w:r>
        <w:rPr>
          <w:rStyle w:val="26"/>
          <w:rFonts w:ascii="Times New Roman" w:eastAsia="仿宋" w:cs="Times New Roman" w:hAnsi="Times New Roman" w:hint="eastAsia"/>
          <w:b w:val="0"/>
          <w:bCs/>
          <w:sz w:val="32"/>
          <w:szCs w:val="32"/>
          <w:lang w:val="en-US" w:eastAsia="zh-CN"/>
        </w:rPr>
        <w:t>1.46</w:t>
      </w:r>
      <w:r>
        <w:rPr>
          <w:rStyle w:val="26"/>
          <w:rFonts w:ascii="Times New Roman" w:eastAsia="仿宋" w:cs="Times New Roman" w:hAnsi="Times New Roman"/>
          <w:b w:val="0"/>
          <w:bCs/>
          <w:sz w:val="32"/>
          <w:szCs w:val="32"/>
        </w:rPr>
        <w:t>万元，完成预算100%。</w:t>
      </w:r>
    </w:p>
    <w:p>
      <w:pPr>
        <w:pStyle w:val="16"/>
        <w:pageBreakBefore w:val="0"/>
        <w:widowControl w:val="0"/>
        <w:numPr>
          <w:ilvl w:val="0"/>
          <w:numId w:val="3"/>
        </w:numPr>
        <w:kinsoku/>
        <w:wordWrap/>
        <w:overflowPunct/>
        <w:topLinePunct w:val="0"/>
        <w:bidi w:val="0"/>
        <w:spacing w:line="576" w:lineRule="exact"/>
        <w:ind w:left="0" w:firstLineChars="200" w:firstLine="640"/>
        <w:rPr>
          <w:rStyle w:val="26"/>
          <w:rFonts w:ascii="Times New Roman" w:eastAsia="仿宋" w:cs="Times New Roman" w:hAnsi="Times New Roman"/>
          <w:b w:val="0"/>
          <w:bCs/>
          <w:sz w:val="32"/>
          <w:szCs w:val="32"/>
        </w:rPr>
      </w:pPr>
      <w:r>
        <w:rPr>
          <w:rFonts w:ascii="Times New Roman" w:eastAsia="仿宋" w:cs="Times New Roman" w:hAnsi="Times New Roman"/>
          <w:b/>
          <w:bCs/>
          <w:sz w:val="32"/>
          <w:szCs w:val="32"/>
        </w:rPr>
        <w:t>住房保障</w:t>
      </w:r>
      <w:r>
        <w:rPr>
          <w:rStyle w:val="26"/>
          <w:rFonts w:ascii="Times New Roman" w:eastAsia="仿宋" w:cs="Times New Roman" w:hAnsi="Times New Roman"/>
          <w:bCs/>
          <w:sz w:val="32"/>
          <w:szCs w:val="32"/>
        </w:rPr>
        <w:t>（221）住房改革（02）住房公积金（01）:</w:t>
      </w:r>
      <w:r>
        <w:rPr>
          <w:rStyle w:val="26"/>
          <w:rFonts w:ascii="Times New Roman" w:eastAsia="仿宋" w:cs="Times New Roman" w:hAnsi="Times New Roman"/>
          <w:b w:val="0"/>
          <w:bCs/>
          <w:sz w:val="32"/>
          <w:szCs w:val="32"/>
        </w:rPr>
        <w:t>支出决算为</w:t>
      </w:r>
      <w:r>
        <w:rPr>
          <w:rStyle w:val="26"/>
          <w:rFonts w:eastAsia="仿宋" w:cs="Times New Roman" w:hint="eastAsia"/>
          <w:b w:val="0"/>
          <w:bCs/>
          <w:sz w:val="32"/>
          <w:szCs w:val="32"/>
          <w:lang w:val="en-US" w:eastAsia="zh-CN"/>
        </w:rPr>
        <w:t>64.85</w:t>
      </w:r>
      <w:r>
        <w:rPr>
          <w:rStyle w:val="26"/>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left="0" w:firstLineChars="200" w:firstLine="640"/>
        <w:rPr>
          <w:rStyle w:val="26"/>
          <w:rFonts w:ascii="Times New Roman" w:eastAsia="仿宋" w:cs="Times New Roman" w:hAnsi="Times New Roman"/>
          <w:b w:val="0"/>
          <w:bCs/>
          <w:sz w:val="32"/>
          <w:szCs w:val="32"/>
        </w:rPr>
      </w:pPr>
      <w:r>
        <w:rPr>
          <w:rStyle w:val="26"/>
          <w:rFonts w:ascii="Times New Roman" w:eastAsia="仿宋" w:cs="Times New Roman" w:hAnsi="Times New Roman" w:hint="eastAsia"/>
          <w:b w:val="0"/>
          <w:bCs/>
          <w:kern w:val="2"/>
          <w:sz w:val="32"/>
          <w:szCs w:val="32"/>
          <w:lang w:val="en-US" w:eastAsia="zh-CN" w:bidi="ar-SA"/>
        </w:rPr>
        <w:t>4.1住房公积金（01）：</w:t>
      </w:r>
      <w:r>
        <w:rPr>
          <w:rStyle w:val="26"/>
          <w:rFonts w:ascii="Times New Roman" w:eastAsia="仿宋" w:cs="Times New Roman" w:hAnsi="Times New Roman"/>
          <w:b w:val="0"/>
          <w:bCs/>
          <w:sz w:val="32"/>
          <w:szCs w:val="32"/>
        </w:rPr>
        <w:t>支出决算为</w:t>
      </w:r>
      <w:r>
        <w:rPr>
          <w:rStyle w:val="26"/>
          <w:rFonts w:ascii="Times New Roman" w:eastAsia="仿宋" w:cs="Times New Roman" w:hAnsi="Times New Roman" w:hint="eastAsia"/>
          <w:b w:val="0"/>
          <w:bCs/>
          <w:sz w:val="32"/>
          <w:szCs w:val="32"/>
          <w:lang w:val="en-US" w:eastAsia="zh-CN"/>
        </w:rPr>
        <w:t>70.62</w:t>
      </w:r>
      <w:r>
        <w:rPr>
          <w:rStyle w:val="26"/>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firstLineChars="200" w:firstLine="640"/>
        <w:rPr>
          <w:rStyle w:val="26"/>
          <w:rFonts w:ascii="Times New Roman" w:eastAsia="仿宋" w:cs="Times New Roman" w:hAnsi="Times New Roman"/>
          <w:b w:val="0"/>
          <w:bCs/>
          <w:sz w:val="32"/>
          <w:szCs w:val="32"/>
          <w:lang w:val="en-US" w:eastAsia="zh-CN"/>
        </w:rPr>
      </w:pPr>
      <w:r>
        <w:rPr>
          <w:rStyle w:val="26"/>
          <w:rFonts w:ascii="Times New Roman" w:eastAsia="仿宋" w:cs="Times New Roman" w:hAnsi="Times New Roman" w:hint="eastAsia"/>
          <w:b w:val="0"/>
          <w:bCs/>
          <w:sz w:val="32"/>
          <w:szCs w:val="32"/>
          <w:lang w:val="en-US" w:eastAsia="zh-CN"/>
        </w:rPr>
        <w:t>4.2：购房补贴（03）：</w:t>
      </w:r>
      <w:r>
        <w:rPr>
          <w:rStyle w:val="26"/>
          <w:rFonts w:ascii="Times New Roman" w:eastAsia="仿宋" w:cs="Times New Roman" w:hAnsi="Times New Roman"/>
          <w:b w:val="0"/>
          <w:bCs/>
          <w:sz w:val="32"/>
          <w:szCs w:val="32"/>
        </w:rPr>
        <w:t>支出决算为</w:t>
      </w:r>
      <w:r>
        <w:rPr>
          <w:rStyle w:val="26"/>
          <w:rFonts w:ascii="Times New Roman" w:eastAsia="仿宋" w:cs="Times New Roman" w:hAnsi="Times New Roman" w:hint="eastAsia"/>
          <w:b w:val="0"/>
          <w:bCs/>
          <w:sz w:val="32"/>
          <w:szCs w:val="32"/>
          <w:lang w:val="en-US" w:eastAsia="zh-CN"/>
        </w:rPr>
        <w:t>2</w:t>
      </w:r>
      <w:r>
        <w:rPr>
          <w:rStyle w:val="26"/>
          <w:rFonts w:ascii="Times New Roman" w:eastAsia="仿宋" w:cs="Times New Roman" w:hAnsi="Times New Roman"/>
          <w:b w:val="0"/>
          <w:bCs/>
          <w:sz w:val="32"/>
          <w:szCs w:val="32"/>
        </w:rPr>
        <w:t>万元，完成预算100%。</w:t>
      </w:r>
    </w:p>
    <w:p>
      <w:pPr>
        <w:pageBreakBefore w:val="0"/>
        <w:widowControl w:val="0"/>
        <w:tabs>
          <w:tab w:val="right" w:pos="8306"/>
        </w:tabs>
        <w:kinsoku/>
        <w:wordWrap/>
        <w:overflowPunct/>
        <w:topLinePunct w:val="0"/>
        <w:bidi w:val="0"/>
        <w:spacing w:line="576" w:lineRule="exact"/>
        <w:ind w:firstLine="640"/>
        <w:outlineLvl w:val="1"/>
        <w:rPr>
          <w:rStyle w:val="2Char"/>
          <w:rFonts w:ascii="Times New Roman" w:cs="Times New Roman" w:hAnsi="Times New Roman"/>
        </w:rPr>
      </w:pPr>
      <w:bookmarkStart w:id="66" w:name="_Toc15396608"/>
      <w:bookmarkStart w:id="67" w:name="_Toc10224"/>
      <w:bookmarkStart w:id="68" w:name="_Toc15377214"/>
      <w:r>
        <w:rPr>
          <w:rFonts w:ascii="Times New Roman" w:eastAsia="黑体" w:cs="Times New Roman" w:hAnsi="Times New Roman"/>
          <w:sz w:val="32"/>
          <w:szCs w:val="32"/>
        </w:rPr>
        <w:t>六</w:t>
      </w:r>
      <w:r>
        <w:rPr>
          <w:rFonts w:ascii="Times New Roman" w:eastAsia="黑体" w:cs="Times New Roman" w:hAnsi="Times New Roman"/>
          <w:b/>
          <w:sz w:val="32"/>
          <w:szCs w:val="32"/>
        </w:rPr>
        <w:t>、一</w:t>
      </w:r>
      <w:r>
        <w:rPr>
          <w:rStyle w:val="2Char"/>
          <w:rFonts w:ascii="Times New Roman" w:eastAsia="黑体" w:cs="Times New Roman" w:hAnsi="Times New Roman"/>
          <w:b w:val="0"/>
        </w:rPr>
        <w:t>般公共预算财政拨款基本支出决算情况说明</w:t>
      </w:r>
      <w:bookmarkEnd w:id="66"/>
      <w:bookmarkEnd w:id="67"/>
      <w:bookmarkEnd w:id="68"/>
      <w:r>
        <w:rPr>
          <w:rStyle w:val="2Char"/>
          <w:rFonts w:ascii="Times New Roman" w:eastAsia="黑体" w:cs="Times New Roman" w:hAnsi="Times New Roman"/>
          <w:b w:val="0"/>
        </w:rPr>
        <w:tab/>
      </w:r>
    </w:p>
    <w:p>
      <w:pPr>
        <w:pageBreakBefore w:val="0"/>
        <w:widowControl w:val="0"/>
        <w:kinsoku/>
        <w:wordWrap/>
        <w:overflowPunct/>
        <w:topLinePunct w:val="0"/>
        <w:bidi w:val="0"/>
        <w:spacing w:line="576" w:lineRule="exact"/>
        <w:ind w:firstLine="645"/>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4</w:t>
      </w:r>
      <w:r>
        <w:rPr>
          <w:rFonts w:ascii="Times New Roman" w:eastAsia="仿宋_GB2312" w:cs="Times New Roman" w:hAnsi="Times New Roman"/>
          <w:sz w:val="32"/>
          <w:szCs w:val="32"/>
        </w:rPr>
        <w:t>年一般公共预算财政拨款基本支出</w:t>
      </w:r>
      <w:r>
        <w:rPr>
          <w:rFonts w:eastAsia="仿宋_GB2312" w:cs="Times New Roman" w:hint="eastAsia"/>
          <w:sz w:val="32"/>
          <w:szCs w:val="32"/>
          <w:lang w:val="en-US" w:eastAsia="zh-CN"/>
        </w:rPr>
        <w:t>1443.69</w:t>
      </w:r>
      <w:r>
        <w:rPr>
          <w:rFonts w:ascii="Times New Roman" w:eastAsia="仿宋_GB2312" w:cs="Times New Roman" w:hAnsi="Times New Roman"/>
          <w:sz w:val="32"/>
          <w:szCs w:val="32"/>
        </w:rPr>
        <w:t>万元，其中：</w:t>
      </w:r>
    </w:p>
    <w:p>
      <w:pPr>
        <w:pageBreakBefore w:val="0"/>
        <w:widowControl w:val="0"/>
        <w:kinsoku/>
        <w:wordWrap/>
        <w:overflowPunct/>
        <w:topLinePunct w:val="0"/>
        <w:bidi w:val="0"/>
        <w:spacing w:line="576" w:lineRule="exact"/>
        <w:ind w:firstLine="645"/>
        <w:rPr>
          <w:rFonts w:ascii="Times New Roman" w:eastAsia="仿宋_GB2312" w:cs="Times New Roman" w:hAnsi="Times New Roman" w:hint="eastAsia"/>
          <w:sz w:val="32"/>
          <w:szCs w:val="32"/>
        </w:rPr>
      </w:pPr>
      <w:r>
        <w:rPr>
          <w:rFonts w:ascii="Times New Roman" w:eastAsia="仿宋_GB2312" w:cs="Times New Roman" w:hAnsi="Times New Roman"/>
          <w:sz w:val="32"/>
          <w:szCs w:val="32"/>
        </w:rPr>
        <w:t>人员经费</w:t>
      </w:r>
      <w:r>
        <w:rPr>
          <w:rFonts w:eastAsia="仿宋_GB2312" w:cs="Times New Roman" w:hint="eastAsia"/>
          <w:sz w:val="32"/>
          <w:szCs w:val="32"/>
          <w:lang w:val="en-US" w:eastAsia="zh-CN"/>
        </w:rPr>
        <w:t>1000.22</w:t>
      </w:r>
      <w:r>
        <w:rPr>
          <w:rFonts w:ascii="Times New Roman" w:eastAsia="仿宋_GB2312" w:cs="Times New Roman" w:hAnsi="Times New Roman"/>
          <w:sz w:val="32"/>
          <w:szCs w:val="32"/>
        </w:rPr>
        <w:t>万元，主要包括：</w:t>
      </w:r>
      <w:r>
        <w:rPr>
          <w:rFonts w:ascii="Times New Roman" w:eastAsia="仿宋_GB2312" w:cs="Times New Roman" w:hAnsi="Times New Roman" w:hint="eastAsia"/>
          <w:sz w:val="32"/>
          <w:szCs w:val="32"/>
        </w:rPr>
        <w:t>基本工</w:t>
      </w:r>
      <w:r>
        <w:rPr>
          <w:rFonts w:ascii="Times New Roman" w:eastAsia="仿宋_GB2312" w:cs="Times New Roman" w:hAnsi="Times New Roman"/>
          <w:sz w:val="32"/>
          <w:szCs w:val="32"/>
        </w:rPr>
        <w:t>176.9</w:t>
      </w:r>
      <w:r>
        <w:rPr>
          <w:rFonts w:ascii="Times New Roman" w:eastAsia="仿宋_GB2312" w:cs="Times New Roman" w:hAnsi="Times New Roman" w:hint="eastAsia"/>
          <w:sz w:val="32"/>
          <w:szCs w:val="32"/>
        </w:rPr>
        <w:t>万元，津贴补贴</w:t>
      </w:r>
      <w:r>
        <w:rPr>
          <w:rFonts w:ascii="Times New Roman" w:eastAsia="仿宋_GB2312" w:cs="Times New Roman" w:hAnsi="Times New Roman"/>
          <w:sz w:val="32"/>
          <w:szCs w:val="32"/>
        </w:rPr>
        <w:t>233.84</w:t>
      </w:r>
      <w:r>
        <w:rPr>
          <w:rFonts w:ascii="Times New Roman" w:eastAsia="仿宋_GB2312" w:cs="Times New Roman" w:hAnsi="Times New Roman" w:hint="eastAsia"/>
          <w:sz w:val="32"/>
          <w:szCs w:val="32"/>
        </w:rPr>
        <w:t>万元，奖金</w:t>
      </w:r>
      <w:r>
        <w:rPr>
          <w:rFonts w:ascii="Times New Roman" w:eastAsia="仿宋_GB2312" w:cs="Times New Roman" w:hAnsi="Times New Roman"/>
          <w:sz w:val="32"/>
          <w:szCs w:val="32"/>
        </w:rPr>
        <w:t>225.7</w:t>
      </w:r>
      <w:r>
        <w:rPr>
          <w:rFonts w:ascii="Times New Roman" w:eastAsia="仿宋_GB2312" w:cs="Times New Roman" w:hAnsi="Times New Roman" w:hint="eastAsia"/>
          <w:sz w:val="32"/>
          <w:szCs w:val="32"/>
        </w:rPr>
        <w:t>万元，</w:t>
      </w:r>
      <w:r>
        <w:rPr>
          <w:rFonts w:ascii="Times New Roman" w:eastAsia="仿宋_GB2312" w:cs="Times New Roman" w:hAnsi="Times New Roman" w:hint="eastAsia"/>
          <w:sz w:val="32"/>
          <w:szCs w:val="32"/>
          <w:lang w:val="en-US" w:eastAsia="zh-CN"/>
        </w:rPr>
        <w:t>绩效工资</w:t>
      </w:r>
      <w:r>
        <w:rPr>
          <w:rFonts w:ascii="Times New Roman" w:eastAsia="仿宋_GB2312" w:cs="Times New Roman" w:hAnsi="Times New Roman"/>
          <w:sz w:val="32"/>
          <w:szCs w:val="32"/>
        </w:rPr>
        <w:t>19.81</w:t>
      </w:r>
      <w:r>
        <w:rPr>
          <w:rFonts w:ascii="Times New Roman" w:eastAsia="仿宋_GB2312" w:cs="Times New Roman" w:hAnsi="Times New Roman" w:hint="eastAsia"/>
          <w:sz w:val="32"/>
          <w:szCs w:val="32"/>
          <w:lang w:val="en-US" w:eastAsia="zh-CN"/>
        </w:rPr>
        <w:t>万元，</w:t>
      </w:r>
      <w:r>
        <w:rPr>
          <w:rFonts w:ascii="Times New Roman" w:eastAsia="仿宋_GB2312" w:cs="Times New Roman" w:hAnsi="Times New Roman" w:hint="eastAsia"/>
          <w:sz w:val="32"/>
          <w:szCs w:val="32"/>
        </w:rPr>
        <w:t>机关事业单位基本养老保险费</w:t>
      </w:r>
      <w:r>
        <w:rPr>
          <w:rFonts w:ascii="Times New Roman" w:eastAsia="仿宋_GB2312" w:cs="Times New Roman" w:hAnsi="Times New Roman"/>
          <w:sz w:val="32"/>
          <w:szCs w:val="32"/>
        </w:rPr>
        <w:t>87.56</w:t>
      </w:r>
      <w:r>
        <w:rPr>
          <w:rFonts w:ascii="Times New Roman" w:eastAsia="仿宋_GB2312" w:cs="Times New Roman" w:hAnsi="Times New Roman" w:hint="eastAsia"/>
          <w:sz w:val="32"/>
          <w:szCs w:val="32"/>
        </w:rPr>
        <w:t>万元，机关事业单位职业年金</w:t>
      </w:r>
      <w:r>
        <w:rPr>
          <w:rFonts w:ascii="Times New Roman" w:eastAsia="仿宋_GB2312" w:cs="Times New Roman" w:hAnsi="Times New Roman"/>
          <w:sz w:val="32"/>
          <w:szCs w:val="32"/>
        </w:rPr>
        <w:t>43.73</w:t>
      </w:r>
      <w:r>
        <w:rPr>
          <w:rFonts w:ascii="Times New Roman" w:eastAsia="仿宋_GB2312" w:cs="Times New Roman" w:hAnsi="Times New Roman" w:hint="eastAsia"/>
          <w:sz w:val="32"/>
          <w:szCs w:val="32"/>
        </w:rPr>
        <w:t>万元，行政单位医疗</w:t>
      </w:r>
      <w:r>
        <w:rPr>
          <w:rFonts w:ascii="Times New Roman" w:eastAsia="仿宋_GB2312" w:cs="Times New Roman" w:hAnsi="Times New Roman"/>
          <w:sz w:val="32"/>
          <w:szCs w:val="32"/>
        </w:rPr>
        <w:t>42.36</w:t>
      </w:r>
      <w:r>
        <w:rPr>
          <w:rFonts w:ascii="Times New Roman" w:eastAsia="仿宋_GB2312" w:cs="Times New Roman" w:hAnsi="Times New Roman" w:hint="eastAsia"/>
          <w:sz w:val="32"/>
          <w:szCs w:val="32"/>
        </w:rPr>
        <w:t>万元，公务员医疗补助</w:t>
      </w:r>
      <w:r>
        <w:rPr>
          <w:rFonts w:ascii="Times New Roman" w:eastAsia="仿宋_GB2312" w:cs="Times New Roman" w:hAnsi="Times New Roman"/>
          <w:sz w:val="32"/>
          <w:szCs w:val="32"/>
        </w:rPr>
        <w:t>12.61</w:t>
      </w:r>
      <w:r>
        <w:rPr>
          <w:rFonts w:ascii="Times New Roman" w:eastAsia="仿宋_GB2312" w:cs="Times New Roman" w:hAnsi="Times New Roman" w:hint="eastAsia"/>
          <w:sz w:val="32"/>
          <w:szCs w:val="32"/>
        </w:rPr>
        <w:t>万元</w:t>
      </w:r>
      <w:r>
        <w:rPr>
          <w:rFonts w:ascii="Times New Roman" w:eastAsia="仿宋_GB2312" w:cs="Times New Roman" w:hAnsi="Times New Roman" w:hint="eastAsia"/>
          <w:sz w:val="32"/>
          <w:szCs w:val="32"/>
          <w:lang w:eastAsia="zh-CN"/>
        </w:rPr>
        <w:t>，</w:t>
      </w:r>
      <w:r>
        <w:rPr>
          <w:rFonts w:ascii="Times New Roman" w:eastAsia="仿宋_GB2312" w:cs="Times New Roman" w:hAnsi="Times New Roman" w:hint="eastAsia"/>
          <w:sz w:val="32"/>
          <w:szCs w:val="32"/>
        </w:rPr>
        <w:t>其他社会保障缴费</w:t>
      </w:r>
      <w:r>
        <w:rPr>
          <w:rFonts w:ascii="Times New Roman" w:eastAsia="仿宋_GB2312" w:cs="Times New Roman" w:hAnsi="Times New Roman"/>
          <w:sz w:val="32"/>
          <w:szCs w:val="32"/>
        </w:rPr>
        <w:t>11.95</w:t>
      </w:r>
      <w:r>
        <w:rPr>
          <w:rFonts w:ascii="Times New Roman" w:eastAsia="仿宋_GB2312" w:cs="Times New Roman" w:hAnsi="Times New Roman" w:hint="eastAsia"/>
          <w:sz w:val="32"/>
          <w:szCs w:val="32"/>
        </w:rPr>
        <w:t>万元，住房保障</w:t>
      </w:r>
      <w:r>
        <w:rPr>
          <w:rFonts w:ascii="Times New Roman" w:eastAsia="仿宋_GB2312" w:cs="Times New Roman" w:hAnsi="Times New Roman"/>
          <w:sz w:val="32"/>
          <w:szCs w:val="32"/>
        </w:rPr>
        <w:t>70.62</w:t>
      </w:r>
      <w:r>
        <w:rPr>
          <w:rFonts w:ascii="Times New Roman" w:eastAsia="仿宋_GB2312" w:cs="Times New Roman" w:hAnsi="Times New Roman" w:hint="eastAsia"/>
          <w:sz w:val="32"/>
          <w:szCs w:val="32"/>
        </w:rPr>
        <w:t>万元，</w:t>
      </w:r>
      <w:r>
        <w:rPr>
          <w:rFonts w:ascii="Times New Roman" w:eastAsia="仿宋_GB2312" w:cs="Times New Roman" w:hAnsi="Times New Roman" w:hint="eastAsia"/>
          <w:sz w:val="32"/>
          <w:szCs w:val="32"/>
          <w:lang w:val="en-US" w:eastAsia="zh-CN"/>
        </w:rPr>
        <w:t>抚恤金38.61万元，</w:t>
      </w:r>
      <w:r>
        <w:rPr>
          <w:rFonts w:ascii="Times New Roman" w:eastAsia="仿宋_GB2312" w:cs="Times New Roman" w:hAnsi="Times New Roman" w:hint="eastAsia"/>
          <w:sz w:val="32"/>
          <w:szCs w:val="32"/>
        </w:rPr>
        <w:t>生活补助</w:t>
      </w:r>
      <w:r>
        <w:rPr>
          <w:rFonts w:ascii="Times New Roman" w:eastAsia="仿宋_GB2312" w:cs="Times New Roman" w:hAnsi="Times New Roman" w:hint="eastAsia"/>
          <w:sz w:val="32"/>
          <w:szCs w:val="32"/>
          <w:lang w:val="en-US" w:eastAsia="zh-CN"/>
        </w:rPr>
        <w:t>36.53</w:t>
      </w:r>
      <w:r>
        <w:rPr>
          <w:rFonts w:ascii="Times New Roman" w:eastAsia="仿宋_GB2312" w:cs="Times New Roman" w:hAnsi="Times New Roman" w:hint="eastAsia"/>
          <w:sz w:val="32"/>
          <w:szCs w:val="32"/>
        </w:rPr>
        <w:t>万元，奖励金</w:t>
      </w:r>
      <w:r>
        <w:rPr>
          <w:rFonts w:ascii="Times New Roman" w:eastAsia="仿宋_GB2312" w:cs="Times New Roman" w:hAnsi="Times New Roman" w:hint="eastAsia"/>
          <w:sz w:val="32"/>
          <w:szCs w:val="32"/>
          <w:lang w:val="en-US" w:eastAsia="zh-CN"/>
        </w:rPr>
        <w:t>0.01</w:t>
      </w:r>
      <w:r>
        <w:rPr>
          <w:rFonts w:ascii="Times New Roman" w:eastAsia="仿宋_GB2312" w:cs="Times New Roman" w:hAnsi="Times New Roman" w:hint="eastAsia"/>
          <w:sz w:val="32"/>
          <w:szCs w:val="32"/>
        </w:rPr>
        <w:t>万元。</w:t>
      </w:r>
    </w:p>
    <w:p>
      <w:pPr>
        <w:pageBreakBefore w:val="0"/>
        <w:widowControl w:val="0"/>
        <w:kinsoku/>
        <w:wordWrap/>
        <w:overflowPunct/>
        <w:topLinePunct w:val="0"/>
        <w:bidi w:val="0"/>
        <w:spacing w:line="576" w:lineRule="exact"/>
        <w:ind w:firstLine="64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公用经费</w:t>
      </w:r>
      <w:r>
        <w:rPr>
          <w:rFonts w:eastAsia="仿宋_GB2312" w:cs="Times New Roman" w:hint="eastAsia"/>
          <w:sz w:val="32"/>
          <w:szCs w:val="32"/>
          <w:lang w:val="en-US" w:eastAsia="zh-CN"/>
        </w:rPr>
        <w:t>443.48</w:t>
      </w:r>
      <w:r>
        <w:rPr>
          <w:rFonts w:ascii="Times New Roman" w:eastAsia="仿宋_GB2312" w:cs="Times New Roman" w:hAnsi="Times New Roman" w:hint="eastAsia"/>
          <w:sz w:val="32"/>
          <w:szCs w:val="32"/>
          <w:lang w:val="en-US" w:eastAsia="zh-CN"/>
        </w:rPr>
        <w:t>万元，其中办公费</w:t>
      </w:r>
      <w:r>
        <w:rPr>
          <w:rFonts w:ascii="宋体" w:eastAsia="宋体" w:cs="宋体"/>
          <w:sz w:val="24"/>
          <w:szCs w:val="24"/>
        </w:rPr>
        <w:t>89.47</w:t>
      </w:r>
      <w:r>
        <w:rPr>
          <w:rFonts w:ascii="Times New Roman" w:eastAsia="仿宋_GB2312" w:cs="Times New Roman" w:hAnsi="Times New Roman" w:hint="eastAsia"/>
          <w:sz w:val="32"/>
          <w:szCs w:val="32"/>
          <w:lang w:val="en-US" w:eastAsia="zh-CN"/>
        </w:rPr>
        <w:t>万元、印刷费</w:t>
      </w:r>
      <w:r>
        <w:rPr>
          <w:rFonts w:ascii="宋体" w:eastAsia="宋体" w:cs="宋体"/>
          <w:sz w:val="24"/>
          <w:szCs w:val="24"/>
        </w:rPr>
        <w:t>1.9</w:t>
      </w:r>
      <w:r>
        <w:rPr>
          <w:rFonts w:ascii="Times New Roman" w:eastAsia="仿宋_GB2312" w:cs="Times New Roman" w:hAnsi="Times New Roman" w:hint="eastAsia"/>
          <w:sz w:val="32"/>
          <w:szCs w:val="32"/>
          <w:lang w:val="en-US" w:eastAsia="zh-CN"/>
        </w:rPr>
        <w:t>万元、水费</w:t>
      </w:r>
      <w:r>
        <w:rPr>
          <w:rFonts w:ascii="宋体" w:eastAsia="宋体" w:cs="宋体"/>
          <w:sz w:val="24"/>
          <w:szCs w:val="24"/>
        </w:rPr>
        <w:t>1.15</w:t>
      </w:r>
      <w:r>
        <w:rPr>
          <w:rFonts w:ascii="Times New Roman" w:eastAsia="仿宋_GB2312" w:cs="Times New Roman" w:hAnsi="Times New Roman" w:hint="eastAsia"/>
          <w:sz w:val="32"/>
          <w:szCs w:val="32"/>
          <w:lang w:val="en-US" w:eastAsia="zh-CN"/>
        </w:rPr>
        <w:t>万元，电费</w:t>
      </w:r>
      <w:r>
        <w:rPr>
          <w:rFonts w:ascii="宋体" w:eastAsia="宋体" w:cs="宋体"/>
          <w:sz w:val="24"/>
          <w:szCs w:val="24"/>
        </w:rPr>
        <w:t>7.75</w:t>
      </w:r>
      <w:r>
        <w:rPr>
          <w:rFonts w:ascii="Times New Roman" w:eastAsia="仿宋_GB2312" w:cs="Times New Roman" w:hAnsi="Times New Roman" w:hint="eastAsia"/>
          <w:sz w:val="32"/>
          <w:szCs w:val="32"/>
          <w:lang w:val="en-US" w:eastAsia="zh-CN"/>
        </w:rPr>
        <w:t>万元、邮电费</w:t>
      </w:r>
      <w:r>
        <w:rPr>
          <w:rFonts w:ascii="宋体" w:eastAsia="宋体" w:cs="宋体"/>
          <w:sz w:val="24"/>
          <w:szCs w:val="24"/>
        </w:rPr>
        <w:t>22.23</w:t>
      </w:r>
      <w:r>
        <w:rPr>
          <w:rFonts w:ascii="Times New Roman" w:eastAsia="仿宋_GB2312" w:cs="Times New Roman" w:hAnsi="Times New Roman" w:hint="eastAsia"/>
          <w:sz w:val="32"/>
          <w:szCs w:val="32"/>
          <w:lang w:val="en-US" w:eastAsia="zh-CN"/>
        </w:rPr>
        <w:t>万元，物业管理费</w:t>
      </w:r>
      <w:r>
        <w:rPr>
          <w:rFonts w:eastAsia="仿宋_GB2312" w:cs="Times New Roman" w:hint="eastAsia"/>
          <w:sz w:val="32"/>
          <w:szCs w:val="32"/>
          <w:lang w:val="en-US" w:eastAsia="zh-CN"/>
        </w:rPr>
        <w:t>18.75</w:t>
      </w:r>
      <w:r>
        <w:rPr>
          <w:rFonts w:ascii="Times New Roman" w:eastAsia="仿宋_GB2312" w:cs="Times New Roman" w:hAnsi="Times New Roman" w:hint="eastAsia"/>
          <w:sz w:val="32"/>
          <w:szCs w:val="32"/>
          <w:lang w:val="en-US" w:eastAsia="zh-CN"/>
        </w:rPr>
        <w:t>万元、差旅费</w:t>
      </w:r>
      <w:r>
        <w:rPr>
          <w:rFonts w:eastAsia="仿宋_GB2312" w:cs="Times New Roman" w:hint="eastAsia"/>
          <w:sz w:val="32"/>
          <w:szCs w:val="32"/>
          <w:lang w:val="en-US" w:eastAsia="zh-CN"/>
        </w:rPr>
        <w:t>93.03</w:t>
      </w:r>
      <w:r>
        <w:rPr>
          <w:rFonts w:ascii="Times New Roman" w:eastAsia="仿宋_GB2312" w:cs="Times New Roman" w:hAnsi="Times New Roman" w:hint="eastAsia"/>
          <w:sz w:val="32"/>
          <w:szCs w:val="32"/>
          <w:lang w:val="en-US" w:eastAsia="zh-CN"/>
        </w:rPr>
        <w:t>万元、维修</w:t>
      </w:r>
      <w:r>
        <w:rPr>
          <w:rFonts w:eastAsia="仿宋_GB2312" w:cs="Times New Roman" w:hint="eastAsia"/>
          <w:sz w:val="32"/>
          <w:szCs w:val="32"/>
          <w:lang w:val="en-US" w:eastAsia="zh-CN"/>
        </w:rPr>
        <w:t>维护</w:t>
      </w:r>
      <w:r>
        <w:rPr>
          <w:rFonts w:ascii="Times New Roman" w:eastAsia="仿宋_GB2312" w:cs="Times New Roman" w:hAnsi="Times New Roman" w:hint="eastAsia"/>
          <w:sz w:val="32"/>
          <w:szCs w:val="32"/>
          <w:lang w:val="en-US" w:eastAsia="zh-CN"/>
        </w:rPr>
        <w:t>1</w:t>
      </w:r>
      <w:r>
        <w:rPr>
          <w:rFonts w:eastAsia="仿宋_GB2312" w:cs="Times New Roman" w:hint="eastAsia"/>
          <w:sz w:val="32"/>
          <w:szCs w:val="32"/>
          <w:lang w:val="en-US" w:eastAsia="zh-CN"/>
        </w:rPr>
        <w:t>6.19万</w:t>
      </w:r>
      <w:r>
        <w:rPr>
          <w:rFonts w:ascii="Times New Roman" w:eastAsia="仿宋_GB2312" w:cs="Times New Roman" w:hAnsi="Times New Roman" w:hint="eastAsia"/>
          <w:sz w:val="32"/>
          <w:szCs w:val="32"/>
          <w:lang w:val="en-US" w:eastAsia="zh-CN"/>
        </w:rPr>
        <w:t>元、会议费</w:t>
      </w:r>
      <w:r>
        <w:rPr>
          <w:rFonts w:eastAsia="仿宋_GB2312" w:cs="Times New Roman" w:hint="eastAsia"/>
          <w:sz w:val="32"/>
          <w:szCs w:val="32"/>
          <w:lang w:val="en-US" w:eastAsia="zh-CN"/>
        </w:rPr>
        <w:t>26</w:t>
      </w:r>
      <w:r>
        <w:rPr>
          <w:rFonts w:ascii="Times New Roman" w:eastAsia="仿宋_GB2312" w:cs="Times New Roman" w:hAnsi="Times New Roman" w:hint="eastAsia"/>
          <w:sz w:val="32"/>
          <w:szCs w:val="32"/>
          <w:lang w:val="en-US" w:eastAsia="zh-CN"/>
        </w:rPr>
        <w:t>万元、</w:t>
      </w:r>
      <w:r>
        <w:rPr>
          <w:rFonts w:eastAsia="仿宋_GB2312" w:cs="Times New Roman" w:hint="eastAsia"/>
          <w:sz w:val="32"/>
          <w:szCs w:val="32"/>
          <w:lang w:val="en-US" w:eastAsia="zh-CN"/>
        </w:rPr>
        <w:t>培训费0.33万元、</w:t>
      </w:r>
      <w:r>
        <w:rPr>
          <w:rFonts w:ascii="Times New Roman" w:eastAsia="仿宋_GB2312" w:cs="Times New Roman" w:hAnsi="Times New Roman" w:hint="eastAsia"/>
          <w:sz w:val="32"/>
          <w:szCs w:val="32"/>
          <w:lang w:val="en-US" w:eastAsia="zh-CN"/>
        </w:rPr>
        <w:t>公务接待费0.5万元、劳务费</w:t>
      </w:r>
      <w:r>
        <w:rPr>
          <w:rFonts w:eastAsia="仿宋_GB2312" w:cs="Times New Roman" w:hint="eastAsia"/>
          <w:sz w:val="32"/>
          <w:szCs w:val="32"/>
          <w:lang w:val="en-US" w:eastAsia="zh-CN"/>
        </w:rPr>
        <w:t>9.17</w:t>
      </w:r>
      <w:r>
        <w:rPr>
          <w:rFonts w:ascii="Times New Roman" w:eastAsia="仿宋_GB2312" w:cs="Times New Roman" w:hAnsi="Times New Roman" w:hint="eastAsia"/>
          <w:sz w:val="32"/>
          <w:szCs w:val="32"/>
          <w:lang w:val="en-US" w:eastAsia="zh-CN"/>
        </w:rPr>
        <w:t>万元、委托业务费</w:t>
      </w:r>
      <w:r>
        <w:rPr>
          <w:rFonts w:eastAsia="仿宋_GB2312" w:cs="Times New Roman" w:hint="eastAsia"/>
          <w:sz w:val="32"/>
          <w:szCs w:val="32"/>
          <w:lang w:val="en-US" w:eastAsia="zh-CN"/>
        </w:rPr>
        <w:t>37.78</w:t>
      </w:r>
      <w:r>
        <w:rPr>
          <w:rFonts w:ascii="Times New Roman" w:eastAsia="仿宋_GB2312" w:cs="Times New Roman" w:hAnsi="Times New Roman" w:hint="eastAsia"/>
          <w:sz w:val="32"/>
          <w:szCs w:val="32"/>
          <w:lang w:val="en-US" w:eastAsia="zh-CN"/>
        </w:rPr>
        <w:t>万元、</w:t>
      </w:r>
      <w:r>
        <w:rPr>
          <w:rFonts w:eastAsia="仿宋_GB2312" w:cs="Times New Roman" w:hint="eastAsia"/>
          <w:sz w:val="32"/>
          <w:szCs w:val="32"/>
          <w:lang w:val="en-US" w:eastAsia="zh-CN"/>
        </w:rPr>
        <w:t>工会经费6万元、福利费10万元、</w:t>
      </w:r>
      <w:r>
        <w:rPr>
          <w:rFonts w:ascii="Times New Roman" w:eastAsia="仿宋_GB2312" w:cs="Times New Roman" w:hAnsi="Times New Roman" w:hint="eastAsia"/>
          <w:sz w:val="32"/>
          <w:szCs w:val="32"/>
          <w:lang w:val="en-US" w:eastAsia="zh-CN"/>
        </w:rPr>
        <w:t>公务用车运行维护费</w:t>
      </w:r>
      <w:r>
        <w:rPr>
          <w:rFonts w:eastAsia="仿宋_GB2312" w:cs="Times New Roman" w:hint="eastAsia"/>
          <w:sz w:val="32"/>
          <w:szCs w:val="32"/>
          <w:lang w:val="en-US" w:eastAsia="zh-CN"/>
        </w:rPr>
        <w:t>103.23</w:t>
      </w:r>
      <w:r>
        <w:rPr>
          <w:rFonts w:ascii="Times New Roman" w:eastAsia="仿宋_GB2312" w:cs="Times New Roman" w:hAnsi="Times New Roman" w:hint="eastAsia"/>
          <w:sz w:val="32"/>
          <w:szCs w:val="32"/>
          <w:lang w:val="en-US" w:eastAsia="zh-CN"/>
        </w:rPr>
        <w:t>万元。</w:t>
      </w:r>
    </w:p>
    <w:p>
      <w:pPr>
        <w:pageBreakBefore w:val="0"/>
        <w:widowControl w:val="0"/>
        <w:kinsoku/>
        <w:wordWrap/>
        <w:overflowPunct/>
        <w:topLinePunct w:val="0"/>
        <w:bidi w:val="0"/>
        <w:spacing w:line="576" w:lineRule="exact"/>
        <w:ind w:firstLine="645"/>
        <w:rPr>
          <w:rFonts w:ascii="Times New Roman" w:cs="Times New Roman" w:hAnsi="Times New Roman"/>
        </w:rPr>
      </w:pPr>
      <w:r>
        <w:rPr>
          <w:rFonts w:ascii="Times New Roman" w:eastAsia="仿宋_GB2312" w:cs="Times New Roman" w:hAnsi="Times New Roman" w:hint="eastAsia"/>
          <w:sz w:val="32"/>
          <w:szCs w:val="32"/>
        </w:rPr>
        <w:t>项目支出</w:t>
      </w:r>
      <w:r>
        <w:rPr>
          <w:rFonts w:eastAsia="仿宋_GB2312" w:cs="Times New Roman" w:hint="eastAsia"/>
          <w:sz w:val="32"/>
          <w:szCs w:val="32"/>
          <w:lang w:val="en-US" w:eastAsia="zh-CN"/>
        </w:rPr>
        <w:t>589.19</w:t>
      </w:r>
      <w:r>
        <w:rPr>
          <w:rFonts w:ascii="Times New Roman" w:eastAsia="仿宋_GB2312" w:cs="Times New Roman" w:hAnsi="Times New Roman" w:hint="eastAsia"/>
          <w:sz w:val="32"/>
          <w:szCs w:val="32"/>
        </w:rPr>
        <w:t>万元。</w:t>
      </w:r>
    </w:p>
    <w:p>
      <w:pPr>
        <w:pageBreakBefore w:val="0"/>
        <w:widowControl w:val="0"/>
        <w:kinsoku/>
        <w:wordWrap/>
        <w:overflowPunct/>
        <w:topLinePunct w:val="0"/>
        <w:bidi w:val="0"/>
        <w:spacing w:line="576" w:lineRule="exact"/>
        <w:ind w:firstLine="640"/>
        <w:outlineLvl w:val="1"/>
        <w:rPr>
          <w:rStyle w:val="2Char"/>
          <w:rFonts w:ascii="Times New Roman" w:eastAsia="黑体" w:cs="Times New Roman" w:hAnsi="Times New Roman"/>
          <w:b w:val="0"/>
        </w:rPr>
      </w:pPr>
      <w:bookmarkStart w:id="69" w:name="_Toc12745"/>
      <w:bookmarkStart w:id="70" w:name="_Toc15377215"/>
      <w:bookmarkStart w:id="71" w:name="_Toc15396609"/>
      <w:r>
        <w:rPr>
          <w:rFonts w:ascii="Times New Roman" w:eastAsia="黑体" w:cs="Times New Roman" w:hAnsi="Times New Roman"/>
          <w:sz w:val="32"/>
          <w:szCs w:val="32"/>
        </w:rPr>
        <w:t>七、</w:t>
      </w:r>
      <w:r>
        <w:rPr>
          <w:rStyle w:val="2Char"/>
          <w:rFonts w:ascii="Times New Roman" w:eastAsia="黑体" w:cs="Times New Roman" w:hAnsi="Times New Roman"/>
        </w:rPr>
        <w:t>“</w:t>
      </w:r>
      <w:r>
        <w:rPr>
          <w:rStyle w:val="2Char"/>
          <w:rFonts w:ascii="Times New Roman" w:eastAsia="黑体" w:cs="Times New Roman" w:hAnsi="Times New Roman"/>
          <w:b w:val="0"/>
        </w:rPr>
        <w:t>三公”经费财政拨款支出决算情况说明</w:t>
      </w:r>
      <w:bookmarkEnd w:id="69"/>
      <w:bookmarkEnd w:id="70"/>
      <w:bookmarkEnd w:id="71"/>
    </w:p>
    <w:p>
      <w:pPr>
        <w:pageBreakBefore w:val="0"/>
        <w:widowControl w:val="0"/>
        <w:kinsoku/>
        <w:wordWrap/>
        <w:overflowPunct/>
        <w:topLinePunct w:val="0"/>
        <w:bidi w:val="0"/>
        <w:spacing w:line="576" w:lineRule="exact"/>
        <w:ind w:firstLine="640"/>
        <w:outlineLvl w:val="2"/>
        <w:rPr>
          <w:rFonts w:ascii="Times New Roman" w:eastAsia="仿宋" w:cs="Times New Roman" w:hAnsi="Times New Roman"/>
          <w:b/>
          <w:sz w:val="32"/>
          <w:szCs w:val="32"/>
        </w:rPr>
      </w:pPr>
      <w:bookmarkStart w:id="72" w:name="_Toc15377216"/>
      <w:r>
        <w:rPr>
          <w:rFonts w:ascii="Times New Roman" w:eastAsia="仿宋" w:cs="Times New Roman" w:hAnsi="Times New Roman"/>
          <w:b/>
          <w:sz w:val="32"/>
          <w:szCs w:val="32"/>
        </w:rPr>
        <w:t>（一）“三公”经费财政拨款支出决算总体情况说明</w:t>
      </w:r>
      <w:bookmarkEnd w:id="72"/>
    </w:p>
    <w:p>
      <w:pPr>
        <w:spacing w:line="600" w:lineRule="exact"/>
        <w:ind w:firstLine="640"/>
        <w:rPr>
          <w:rFonts w:ascii="Times New Roman" w:eastAsia="仿宋_GB2312" w:cs="Times New Roman" w:hAnsi="Times New Roman"/>
          <w:sz w:val="32"/>
          <w:szCs w:val="32"/>
        </w:rPr>
      </w:pPr>
      <w:r>
        <w:rPr>
          <w:rFonts w:ascii="Times New Roman" w:eastAsia="仿宋_GB2312" w:cs="仿宋_GB2312" w:hAnsi="Times New Roman" w:hint="eastAsia"/>
          <w:color w:val="auto"/>
          <w:kern w:val="2"/>
          <w:sz w:val="32"/>
          <w:szCs w:val="32"/>
          <w:lang w:val="en-US" w:eastAsia="zh-CN" w:bidi="ar-SA"/>
          <w:highlight w:val="auto"/>
        </w:rPr>
        <w:t>2024年度“三公”经费财政拨款支出决算为</w:t>
      </w:r>
      <w:r>
        <w:rPr>
          <w:rFonts w:ascii="仿宋_GB2312" w:eastAsia="仿宋_GB2312" w:cs="仿宋_GB2312" w:hint="eastAsia"/>
          <w:sz w:val="32"/>
          <w:szCs w:val="32"/>
        </w:rPr>
        <w:t>103.73</w:t>
      </w:r>
      <w:r>
        <w:rPr>
          <w:rFonts w:ascii="仿宋_GB2312" w:eastAsia="仿宋_GB2312" w:cs="仿宋_GB2312" w:hint="eastAsia"/>
          <w:color w:val="auto"/>
          <w:kern w:val="2"/>
          <w:sz w:val="32"/>
          <w:szCs w:val="32"/>
          <w:lang w:val="en-US" w:eastAsia="zh-CN" w:bidi="ar-SA"/>
          <w:highlight w:val="auto"/>
        </w:rPr>
        <w:t>万元，完成预算</w:t>
      </w:r>
      <w:r>
        <w:rPr>
          <w:rFonts w:ascii="仿宋_GB2312" w:eastAsia="仿宋_GB2312" w:cs="仿宋_GB2312" w:hint="eastAsia"/>
          <w:sz w:val="32"/>
          <w:szCs w:val="32"/>
        </w:rPr>
        <w:t>100</w:t>
      </w:r>
      <w:r>
        <w:rPr>
          <w:rFonts w:ascii="仿宋_GB2312"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较上年度减少</w:t>
      </w:r>
      <w:r>
        <w:rPr>
          <w:rFonts w:eastAsia="仿宋_GB2312" w:cs="仿宋_GB2312" w:hint="eastAsia"/>
          <w:color w:val="auto"/>
          <w:kern w:val="2"/>
          <w:sz w:val="32"/>
          <w:szCs w:val="32"/>
          <w:lang w:val="en-US" w:eastAsia="zh-CN" w:bidi="ar-SA"/>
          <w:highlight w:val="auto"/>
        </w:rPr>
        <w:t>39.68</w:t>
      </w:r>
      <w:r>
        <w:rPr>
          <w:rFonts w:ascii="Times New Roman" w:eastAsia="仿宋_GB2312" w:cs="仿宋_GB2312" w:hAnsi="Times New Roman" w:hint="eastAsia"/>
          <w:color w:val="auto"/>
          <w:kern w:val="2"/>
          <w:sz w:val="32"/>
          <w:szCs w:val="32"/>
          <w:lang w:val="en-US" w:eastAsia="zh-CN" w:bidi="ar-SA"/>
          <w:highlight w:val="auto"/>
        </w:rPr>
        <w:t>万元，下降</w:t>
      </w:r>
      <w:r>
        <w:rPr>
          <w:rFonts w:eastAsia="仿宋_GB2312" w:cs="Times New Roman" w:hint="eastAsia"/>
          <w:sz w:val="32"/>
          <w:szCs w:val="32"/>
          <w:lang w:val="en-US" w:eastAsia="zh-CN"/>
        </w:rPr>
        <w:t>27.76</w:t>
      </w:r>
      <w:r>
        <w:rPr>
          <w:rFonts w:ascii="Times New Roman" w:eastAsia="仿宋_GB2312" w:cs="仿宋_GB2312" w:hAnsi="Times New Roman" w:hint="eastAsia"/>
          <w:color w:val="auto"/>
          <w:kern w:val="2"/>
          <w:sz w:val="32"/>
          <w:szCs w:val="32"/>
          <w:lang w:val="en-US" w:eastAsia="zh-CN" w:bidi="ar-SA"/>
          <w:highlight w:val="auto"/>
        </w:rPr>
        <w:t>%。决算数</w:t>
      </w:r>
      <w:r>
        <w:rPr>
          <w:rFonts w:eastAsia="仿宋_GB2312" w:cs="仿宋_GB2312" w:hint="eastAsia"/>
          <w:color w:val="auto"/>
          <w:kern w:val="2"/>
          <w:sz w:val="32"/>
          <w:szCs w:val="32"/>
          <w:lang w:val="en-US" w:eastAsia="zh-CN" w:bidi="ar-SA"/>
          <w:highlight w:val="auto"/>
        </w:rPr>
        <w:t>大于</w:t>
      </w:r>
      <w:r>
        <w:rPr>
          <w:rFonts w:ascii="Times New Roman" w:eastAsia="仿宋_GB2312" w:cs="仿宋_GB2312" w:hAnsi="Times New Roman" w:hint="eastAsia"/>
          <w:color w:val="auto"/>
          <w:kern w:val="2"/>
          <w:sz w:val="32"/>
          <w:szCs w:val="32"/>
          <w:lang w:val="en-US" w:eastAsia="zh-CN" w:bidi="ar-SA"/>
          <w:highlight w:val="auto"/>
        </w:rPr>
        <w:t>预算数</w:t>
      </w:r>
      <w:r>
        <w:rPr>
          <w:rFonts w:ascii="Times New Roman" w:eastAsia="仿宋_GB2312" w:cs="Times New Roman" w:hAnsi="Times New Roman" w:hint="eastAsia"/>
          <w:sz w:val="32"/>
          <w:szCs w:val="32"/>
        </w:rPr>
        <w:t>主要原因：</w:t>
      </w:r>
      <w:r>
        <w:rPr>
          <w:rFonts w:ascii="Times New Roman" w:eastAsia="仿宋_GB2312" w:cs="Times New Roman" w:hAnsi="Times New Roman" w:hint="eastAsia"/>
          <w:sz w:val="32"/>
          <w:szCs w:val="32"/>
          <w:lang w:val="en-US" w:eastAsia="zh-CN"/>
        </w:rPr>
        <w:t>各项全县及县委办工作所需公务用车燃料费、车辆维修费、过路过桥费、车辆保险费等支出。</w:t>
      </w:r>
    </w:p>
    <w:p>
      <w:pPr>
        <w:pageBreakBefore w:val="0"/>
        <w:widowControl w:val="0"/>
        <w:kinsoku/>
        <w:wordWrap/>
        <w:overflowPunct/>
        <w:topLinePunct w:val="0"/>
        <w:bidi w:val="0"/>
        <w:spacing w:line="576" w:lineRule="exact"/>
        <w:ind w:firstLine="640"/>
        <w:outlineLvl w:val="2"/>
        <w:rPr>
          <w:rFonts w:ascii="Times New Roman" w:eastAsia="仿宋" w:cs="Times New Roman" w:hAnsi="Times New Roman"/>
          <w:b/>
          <w:sz w:val="32"/>
          <w:szCs w:val="32"/>
        </w:rPr>
      </w:pPr>
      <w:bookmarkStart w:id="73" w:name="_Toc15377217"/>
      <w:r>
        <w:rPr>
          <w:rFonts w:ascii="Times New Roman" w:eastAsia="仿宋" w:cs="Times New Roman" w:hAnsi="Times New Roman"/>
          <w:b/>
          <w:sz w:val="32"/>
          <w:szCs w:val="32"/>
        </w:rPr>
        <w:t>（二）“三公”经费财政拨款支出决算具体情况说明</w:t>
      </w:r>
      <w:bookmarkEnd w:id="73"/>
    </w:p>
    <w:p>
      <w:pPr>
        <w:pageBreakBefore w:val="0"/>
        <w:widowControl w:val="0"/>
        <w:kinsoku/>
        <w:wordWrap/>
        <w:overflowPunct/>
        <w:topLinePunct w:val="0"/>
        <w:bidi w:val="0"/>
        <w:spacing w:line="576" w:lineRule="exact"/>
        <w:ind w:firstLine="640"/>
        <w:rPr>
          <w:rFonts w:ascii="Times New Roman" w:eastAsia="仿宋"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4</w:t>
      </w:r>
      <w:r>
        <w:rPr>
          <w:rFonts w:ascii="Times New Roman" w:eastAsia="仿宋_GB2312" w:cs="Times New Roman" w:hAnsi="Times New Roman"/>
          <w:sz w:val="32"/>
          <w:szCs w:val="32"/>
        </w:rPr>
        <w:t>年“三公”经费财政拨款支出决算中，因公出国（境）费支出决算0万元，占0%；公务用车购置及运行维护费支出决算</w:t>
      </w:r>
      <w:r>
        <w:rPr>
          <w:rFonts w:eastAsia="仿宋_GB2312" w:cs="Times New Roman" w:hint="eastAsia"/>
          <w:sz w:val="32"/>
          <w:szCs w:val="32"/>
          <w:lang w:val="en-US" w:eastAsia="zh-CN"/>
        </w:rPr>
        <w:t>103.23</w:t>
      </w:r>
      <w:r>
        <w:rPr>
          <w:rFonts w:ascii="Times New Roman" w:eastAsia="仿宋_GB2312" w:cs="Times New Roman" w:hAnsi="Times New Roman"/>
          <w:sz w:val="32"/>
          <w:szCs w:val="32"/>
        </w:rPr>
        <w:t>万元，占99.</w:t>
      </w:r>
      <w:r>
        <w:rPr>
          <w:rFonts w:eastAsia="仿宋_GB2312" w:cs="Times New Roman" w:hint="eastAsia"/>
          <w:sz w:val="32"/>
          <w:szCs w:val="32"/>
          <w:lang w:val="en-US" w:eastAsia="zh-CN"/>
        </w:rPr>
        <w:t>65</w:t>
      </w:r>
      <w:r>
        <w:rPr>
          <w:rFonts w:ascii="Times New Roman" w:eastAsia="仿宋_GB2312" w:cs="Times New Roman" w:hAnsi="Times New Roman"/>
          <w:sz w:val="32"/>
          <w:szCs w:val="32"/>
        </w:rPr>
        <w:t>%；公务接待费支出决算</w:t>
      </w:r>
      <w:r>
        <w:rPr>
          <w:rFonts w:eastAsia="仿宋_GB2312" w:cs="Times New Roman" w:hint="eastAsia"/>
          <w:sz w:val="32"/>
          <w:szCs w:val="32"/>
          <w:lang w:val="en-US" w:eastAsia="zh-CN"/>
        </w:rPr>
        <w:t>0.5</w:t>
      </w:r>
      <w:r>
        <w:rPr>
          <w:rFonts w:ascii="Times New Roman" w:eastAsia="仿宋_GB2312" w:cs="Times New Roman" w:hAnsi="Times New Roman"/>
          <w:sz w:val="32"/>
          <w:szCs w:val="32"/>
        </w:rPr>
        <w:t>万</w:t>
      </w:r>
      <w:r>
        <w:rPr>
          <w:rFonts w:ascii="Times New Roman" w:eastAsia="仿宋" w:cs="Times New Roman" w:hAnsi="Times New Roman"/>
          <w:sz w:val="32"/>
          <w:szCs w:val="32"/>
        </w:rPr>
        <w:t>元，占0.</w:t>
      </w:r>
      <w:r>
        <w:rPr>
          <w:rFonts w:eastAsia="仿宋" w:cs="Times New Roman" w:hint="eastAsia"/>
          <w:sz w:val="32"/>
          <w:szCs w:val="32"/>
          <w:lang w:val="en-US" w:eastAsia="zh-CN"/>
        </w:rPr>
        <w:t>35</w:t>
      </w:r>
      <w:r>
        <w:rPr>
          <w:rFonts w:ascii="Times New Roman" w:eastAsia="仿宋" w:cs="Times New Roman" w:hAnsi="Times New Roman"/>
          <w:sz w:val="32"/>
          <w:szCs w:val="32"/>
        </w:rPr>
        <w:t>%。具体情况如下：</w:t>
      </w:r>
    </w:p>
    <w:p>
      <w:pPr>
        <w:pStyle w:val="16"/>
        <w:pageBreakBefore w:val="0"/>
        <w:widowControl w:val="0"/>
        <w:kinsoku/>
        <w:wordWrap/>
        <w:overflowPunct/>
        <w:topLinePunct w:val="0"/>
        <w:bidi w:val="0"/>
        <w:spacing w:line="576" w:lineRule="exact"/>
        <w:rPr>
          <w:rFonts w:ascii="Times New Roman" w:cs="Times New Roman" w:hAnsi="Times New Roman"/>
        </w:rPr>
      </w:pPr>
      <w:r>
        <w:rPr>
          <w:rFonts w:ascii="Times New Roman" w:eastAsia="仿宋" w:cs="Times New Roman" w:hAnsi="Times New Roman"/>
          <w:sz w:val="32"/>
          <w:szCs w:val="32"/>
          <w:lang w:eastAsia="zh-CN"/>
        </w:rPr>
        <w:drawing>
          <wp:anchor distT="0" distB="0" distL="114300" distR="114300" simplePos="0" relativeHeight="22" behindDoc="0" locked="0" layoutInCell="1" hidden="0" allowOverlap="1">
            <wp:simplePos x="0" y="0"/>
            <wp:positionH relativeFrom="column">
              <wp:posOffset>1045210</wp:posOffset>
            </wp:positionH>
            <wp:positionV relativeFrom="paragraph">
              <wp:posOffset>43815</wp:posOffset>
            </wp:positionV>
            <wp:extent cx="3139440" cy="2548889"/>
            <wp:effectExtent l="0" t="0" r="0" b="0"/>
            <wp:wrapNone/>
            <wp:docPr id="7" name="图表 2"/>
            <wp:cNvGraphicFramePr>
              <a:graphicFrameLocks noChangeAspect="0"/>
            </wp:cNvGraphicFramePr>
            <a:graphic>
              <a:graphicData uri="http://schemas.openxmlformats.org/drawingml/2006/chart">
                <c:chart xmlns:c="http://schemas.openxmlformats.org/drawingml/2006/chart" r:id="rId10"/>
              </a:graphicData>
            </a:graphic>
          </wp:anchor>
        </w:drawing>
      </w:r>
    </w:p>
    <w:p>
      <w:pPr>
        <w:pStyle w:val="16"/>
        <w:pageBreakBefore w:val="0"/>
        <w:widowControl w:val="0"/>
        <w:kinsoku/>
        <w:wordWrap/>
        <w:overflowPunct/>
        <w:topLinePunct w:val="0"/>
        <w:bidi w:val="0"/>
        <w:spacing w:line="576" w:lineRule="exact"/>
        <w:rPr>
          <w:rFonts w:ascii="Times New Roman" w:cs="Times New Roman" w:hAnsi="Times New Roman"/>
        </w:rPr>
      </w:pPr>
    </w:p>
    <w:p>
      <w:pPr>
        <w:pStyle w:val="16"/>
        <w:pageBreakBefore w:val="0"/>
        <w:widowControl w:val="0"/>
        <w:kinsoku/>
        <w:wordWrap/>
        <w:overflowPunct/>
        <w:topLinePunct w:val="0"/>
        <w:bidi w:val="0"/>
        <w:spacing w:line="576" w:lineRule="exact"/>
        <w:rPr>
          <w:rFonts w:ascii="Times New Roman" w:cs="Times New Roman" w:hAnsi="Times New Roman"/>
        </w:rPr>
      </w:pPr>
    </w:p>
    <w:p>
      <w:pPr>
        <w:pStyle w:val="16"/>
        <w:pageBreakBefore w:val="0"/>
        <w:widowControl w:val="0"/>
        <w:kinsoku/>
        <w:wordWrap/>
        <w:overflowPunct/>
        <w:topLinePunct w:val="0"/>
        <w:bidi w:val="0"/>
        <w:spacing w:line="576" w:lineRule="exact"/>
        <w:rPr>
          <w:rFonts w:ascii="Times New Roman" w:cs="Times New Roman" w:hAnsi="Times New Roman"/>
        </w:rPr>
      </w:pPr>
    </w:p>
    <w:p>
      <w:pPr>
        <w:pageBreakBefore w:val="0"/>
        <w:widowControl w:val="0"/>
        <w:tabs>
          <w:tab w:val="left" w:pos="1686"/>
        </w:tabs>
        <w:kinsoku/>
        <w:wordWrap/>
        <w:overflowPunct/>
        <w:topLinePunct w:val="0"/>
        <w:bidi w:val="0"/>
        <w:spacing w:line="576" w:lineRule="exact"/>
        <w:rPr>
          <w:rFonts w:ascii="Times New Roman" w:eastAsia="仿宋" w:cs="Times New Roman" w:hAnsi="Times New Roman" w:hint="eastAsia"/>
          <w:color w:val="FF0000"/>
          <w:sz w:val="32"/>
          <w:szCs w:val="32"/>
          <w:lang w:eastAsia="zh-CN"/>
        </w:rPr>
      </w:pPr>
    </w:p>
    <w:p>
      <w:pPr>
        <w:pStyle w:val="16"/>
        <w:rPr>
          <w:rFonts w:hint="eastAsia"/>
          <w:lang w:eastAsia="zh-CN"/>
        </w:rPr>
      </w:pPr>
    </w:p>
    <w:p>
      <w:pPr>
        <w:pageBreakBefore w:val="0"/>
        <w:widowControl w:val="0"/>
        <w:kinsoku/>
        <w:wordWrap/>
        <w:overflowPunct/>
        <w:topLinePunct w:val="0"/>
        <w:bidi w:val="0"/>
        <w:spacing w:line="576" w:lineRule="exact"/>
        <w:ind w:firstLine="640"/>
        <w:rPr>
          <w:rFonts w:ascii="Times New Roman" w:cs="Times New Roman" w:hAnsi="Times New Roman"/>
        </w:rPr>
      </w:pPr>
      <w:r>
        <w:rPr>
          <w:rFonts w:ascii="Times New Roman" w:eastAsia="仿宋" w:cs="Times New Roman" w:hAnsi="Times New Roman"/>
          <w:color w:val="auto"/>
          <w:sz w:val="32"/>
          <w:szCs w:val="32"/>
        </w:rPr>
        <w:t>（图7：“三公”经费财政拨款支出结构）（饼状图）</w:t>
      </w:r>
    </w:p>
    <w:p>
      <w:pPr>
        <w:pageBreakBefore w:val="0"/>
        <w:widowControl w:val="0"/>
        <w:kinsoku/>
        <w:wordWrap/>
        <w:overflowPunct/>
        <w:topLinePunct w:val="0"/>
        <w:bidi w:val="0"/>
        <w:spacing w:line="576" w:lineRule="exact"/>
        <w:ind w:firstLine="640"/>
        <w:rPr>
          <w:rFonts w:ascii="Times New Roman" w:eastAsia="仿宋_GB2312" w:cs="Times New Roman" w:hAnsi="Times New Roman"/>
          <w:b/>
          <w:sz w:val="32"/>
          <w:szCs w:val="32"/>
        </w:rPr>
      </w:pPr>
      <w:r>
        <w:rPr>
          <w:rFonts w:ascii="Times New Roman" w:eastAsia="仿宋_GB2312" w:cs="Times New Roman" w:hAnsi="Times New Roman"/>
          <w:b/>
          <w:sz w:val="32"/>
          <w:szCs w:val="32"/>
        </w:rPr>
        <w:t>1.</w:t>
      </w:r>
      <w:r>
        <w:rPr>
          <w:rFonts w:ascii="Times New Roman" w:eastAsia="仿宋_GB2312" w:cs="Times New Roman" w:hAnsi="Times New Roman"/>
          <w:b/>
          <w:bCs/>
          <w:sz w:val="32"/>
          <w:szCs w:val="32"/>
        </w:rPr>
        <w:t>因公出国（境）经费支出0万元，完成预算100%。</w:t>
      </w:r>
      <w:r>
        <w:rPr>
          <w:rFonts w:ascii="Times New Roman" w:eastAsia="仿宋_GB2312" w:cs="Times New Roman" w:hAnsi="Times New Roman"/>
          <w:sz w:val="32"/>
          <w:szCs w:val="32"/>
        </w:rPr>
        <w:t>全年安排因公出国（境）团组0次，出国（境）0人。因公出国（境）支出决算比202</w:t>
      </w:r>
      <w:r>
        <w:rPr>
          <w:rFonts w:eastAsia="仿宋_GB2312" w:cs="Times New Roman" w:hint="eastAsia"/>
          <w:sz w:val="32"/>
          <w:szCs w:val="32"/>
          <w:lang w:val="en-US" w:eastAsia="zh-CN"/>
        </w:rPr>
        <w:t>3</w:t>
      </w:r>
      <w:r>
        <w:rPr>
          <w:rFonts w:ascii="Times New Roman" w:eastAsia="仿宋_GB2312" w:cs="Times New Roman" w:hAnsi="Times New Roman"/>
          <w:sz w:val="32"/>
          <w:szCs w:val="32"/>
        </w:rPr>
        <w:t>年持平。</w:t>
      </w:r>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Times New Roman" w:eastAsia="仿宋_GB2312" w:cs="Times New Roman" w:hAnsi="Times New Roman"/>
          <w:b/>
          <w:bCs w:val="0"/>
          <w:sz w:val="32"/>
          <w:szCs w:val="32"/>
        </w:rPr>
        <w:t>2.公务用车购置及运行维护费支出</w:t>
      </w:r>
      <w:r>
        <w:rPr>
          <w:rFonts w:eastAsia="仿宋_GB2312" w:cs="Times New Roman" w:hint="eastAsia"/>
          <w:b/>
          <w:bCs w:val="0"/>
          <w:sz w:val="32"/>
          <w:szCs w:val="32"/>
          <w:lang w:val="en-US" w:eastAsia="zh-CN"/>
        </w:rPr>
        <w:t>103.23</w:t>
      </w:r>
      <w:r>
        <w:rPr>
          <w:rFonts w:ascii="Times New Roman" w:eastAsia="仿宋_GB2312" w:cs="Times New Roman" w:hAnsi="Times New Roman"/>
          <w:b/>
          <w:bCs w:val="0"/>
          <w:sz w:val="32"/>
          <w:szCs w:val="32"/>
        </w:rPr>
        <w:t>万元,</w:t>
      </w:r>
      <w:r>
        <w:rPr>
          <w:rStyle w:val="26"/>
          <w:rFonts w:ascii="Times New Roman" w:eastAsia="仿宋" w:cs="Times New Roman" w:hAnsi="Times New Roman"/>
          <w:b/>
          <w:bCs w:val="0"/>
          <w:sz w:val="32"/>
          <w:szCs w:val="32"/>
        </w:rPr>
        <w:t>完成预算</w:t>
      </w:r>
      <w:r>
        <w:rPr>
          <w:rStyle w:val="26"/>
          <w:rFonts w:eastAsia="仿宋" w:cs="Times New Roman" w:hint="eastAsia"/>
          <w:b/>
          <w:bCs w:val="0"/>
          <w:sz w:val="32"/>
          <w:szCs w:val="32"/>
          <w:lang w:val="en-US" w:eastAsia="zh-CN"/>
        </w:rPr>
        <w:t>100</w:t>
      </w:r>
      <w:r>
        <w:rPr>
          <w:rStyle w:val="26"/>
          <w:rFonts w:ascii="Times New Roman" w:eastAsia="仿宋" w:cs="Times New Roman" w:hAnsi="Times New Roman"/>
          <w:b/>
          <w:bCs w:val="0"/>
          <w:sz w:val="32"/>
          <w:szCs w:val="32"/>
        </w:rPr>
        <w:t>%。</w:t>
      </w:r>
      <w:r>
        <w:rPr>
          <w:rFonts w:ascii="Times New Roman" w:eastAsia="仿宋_GB2312" w:cs="Times New Roman" w:hAnsi="Times New Roman"/>
          <w:sz w:val="32"/>
          <w:szCs w:val="32"/>
        </w:rPr>
        <w:t>公务用车购置及运行维护费支出决算比202</w:t>
      </w:r>
      <w:r>
        <w:rPr>
          <w:rFonts w:eastAsia="仿宋_GB2312" w:cs="Times New Roman" w:hint="eastAsia"/>
          <w:sz w:val="32"/>
          <w:szCs w:val="32"/>
          <w:lang w:val="en-US" w:eastAsia="zh-CN"/>
        </w:rPr>
        <w:t>3</w:t>
      </w:r>
      <w:r>
        <w:rPr>
          <w:rFonts w:ascii="Times New Roman" w:eastAsia="仿宋_GB2312" w:cs="Times New Roman" w:hAnsi="Times New Roman"/>
          <w:sz w:val="32"/>
          <w:szCs w:val="32"/>
        </w:rPr>
        <w:t>年</w:t>
      </w:r>
      <w:r>
        <w:rPr>
          <w:rFonts w:eastAsia="仿宋_GB2312" w:cs="Times New Roman" w:hint="eastAsia"/>
          <w:sz w:val="32"/>
          <w:szCs w:val="32"/>
          <w:lang w:val="en-US" w:eastAsia="zh-CN"/>
        </w:rPr>
        <w:t>减少39.68</w:t>
      </w:r>
      <w:r>
        <w:rPr>
          <w:rFonts w:ascii="Times New Roman" w:eastAsia="仿宋_GB2312" w:cs="Times New Roman" w:hAnsi="Times New Roman"/>
          <w:sz w:val="32"/>
          <w:szCs w:val="32"/>
        </w:rPr>
        <w:t>万元，</w:t>
      </w:r>
      <w:r>
        <w:rPr>
          <w:rFonts w:eastAsia="仿宋_GB2312" w:cs="Times New Roman" w:hint="eastAsia"/>
          <w:sz w:val="32"/>
          <w:szCs w:val="32"/>
          <w:lang w:val="en-US" w:eastAsia="zh-CN"/>
        </w:rPr>
        <w:t>下降27.76</w:t>
      </w:r>
      <w:r>
        <w:rPr>
          <w:rFonts w:ascii="Times New Roman" w:eastAsia="仿宋_GB2312" w:cs="Times New Roman" w:hAnsi="Times New Roman"/>
          <w:sz w:val="32"/>
          <w:szCs w:val="32"/>
        </w:rPr>
        <w:t>%。主要原因是202</w:t>
      </w:r>
      <w:r>
        <w:rPr>
          <w:rFonts w:eastAsia="仿宋_GB2312" w:cs="Times New Roman" w:hint="eastAsia"/>
          <w:sz w:val="32"/>
          <w:szCs w:val="32"/>
          <w:lang w:val="en-US" w:eastAsia="zh-CN"/>
        </w:rPr>
        <w:t>4</w:t>
      </w:r>
      <w:r>
        <w:rPr>
          <w:rFonts w:ascii="Times New Roman" w:eastAsia="仿宋_GB2312" w:cs="Times New Roman" w:hAnsi="Times New Roman"/>
          <w:sz w:val="32"/>
          <w:szCs w:val="32"/>
        </w:rPr>
        <w:t>年</w:t>
      </w:r>
      <w:r>
        <w:rPr>
          <w:rFonts w:eastAsia="仿宋_GB2312" w:cs="Times New Roman" w:hint="eastAsia"/>
          <w:sz w:val="32"/>
          <w:szCs w:val="32"/>
          <w:lang w:val="en-US" w:eastAsia="zh-CN"/>
        </w:rPr>
        <w:t>没有购置公务用车</w:t>
      </w:r>
      <w:r>
        <w:rPr>
          <w:rFonts w:ascii="Times New Roman" w:eastAsia="仿宋_GB2312" w:cs="Times New Roman" w:hAnsi="Times New Roman"/>
          <w:sz w:val="32"/>
          <w:szCs w:val="32"/>
        </w:rPr>
        <w:t>。</w:t>
      </w:r>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Times New Roman" w:eastAsia="仿宋_GB2312" w:cs="Times New Roman" w:hAnsi="Times New Roman"/>
          <w:b/>
          <w:sz w:val="32"/>
          <w:szCs w:val="32"/>
        </w:rPr>
        <w:t>3.公务接待费支出</w:t>
      </w:r>
      <w:r>
        <w:rPr>
          <w:rFonts w:eastAsia="仿宋_GB2312" w:cs="Times New Roman" w:hint="eastAsia"/>
          <w:b/>
          <w:bCs/>
          <w:sz w:val="32"/>
          <w:szCs w:val="32"/>
          <w:lang w:val="en-US" w:eastAsia="zh-CN"/>
        </w:rPr>
        <w:t>0.5</w:t>
      </w:r>
      <w:r>
        <w:rPr>
          <w:rFonts w:ascii="Times New Roman" w:eastAsia="仿宋_GB2312" w:cs="Times New Roman" w:hAnsi="Times New Roman"/>
          <w:b/>
          <w:bCs/>
          <w:sz w:val="32"/>
          <w:szCs w:val="32"/>
        </w:rPr>
        <w:t>万元，完成预算</w:t>
      </w:r>
      <w:r>
        <w:rPr>
          <w:rFonts w:eastAsia="仿宋_GB2312" w:cs="Times New Roman" w:hint="eastAsia"/>
          <w:b/>
          <w:bCs/>
          <w:sz w:val="32"/>
          <w:szCs w:val="32"/>
          <w:lang w:val="en-US" w:eastAsia="zh-CN"/>
        </w:rPr>
        <w:t>100</w:t>
      </w:r>
      <w:r>
        <w:rPr>
          <w:rFonts w:ascii="Times New Roman" w:eastAsia="仿宋_GB2312" w:cs="Times New Roman" w:hAnsi="Times New Roman"/>
          <w:b/>
          <w:bCs/>
          <w:sz w:val="32"/>
          <w:szCs w:val="32"/>
        </w:rPr>
        <w:t>%。</w:t>
      </w:r>
      <w:r>
        <w:rPr>
          <w:rFonts w:ascii="Times New Roman" w:eastAsia="仿宋_GB2312" w:cs="Times New Roman" w:hAnsi="Times New Roman"/>
          <w:sz w:val="32"/>
          <w:szCs w:val="32"/>
        </w:rPr>
        <w:t>公务接待费支出决算</w:t>
      </w:r>
      <w:r>
        <w:rPr>
          <w:rFonts w:eastAsia="仿宋_GB2312" w:cs="Times New Roman" w:hint="eastAsia"/>
          <w:sz w:val="32"/>
          <w:szCs w:val="32"/>
          <w:lang w:eastAsia="zh-CN"/>
        </w:rPr>
        <w:t>与</w:t>
      </w:r>
      <w:r>
        <w:rPr>
          <w:rFonts w:ascii="Times New Roman" w:eastAsia="仿宋_GB2312" w:cs="Times New Roman" w:hAnsi="Times New Roman"/>
          <w:sz w:val="32"/>
          <w:szCs w:val="32"/>
        </w:rPr>
        <w:t>202</w:t>
      </w:r>
      <w:r>
        <w:rPr>
          <w:rFonts w:eastAsia="仿宋_GB2312" w:cs="Times New Roman" w:hint="eastAsia"/>
          <w:sz w:val="32"/>
          <w:szCs w:val="32"/>
          <w:lang w:val="en-US" w:eastAsia="zh-CN"/>
        </w:rPr>
        <w:t>3</w:t>
      </w:r>
      <w:r>
        <w:rPr>
          <w:rFonts w:ascii="Times New Roman" w:eastAsia="仿宋_GB2312" w:cs="Times New Roman" w:hAnsi="Times New Roman"/>
          <w:sz w:val="32"/>
          <w:szCs w:val="32"/>
        </w:rPr>
        <w:t>年</w:t>
      </w:r>
      <w:r>
        <w:rPr>
          <w:rFonts w:eastAsia="仿宋_GB2312" w:cs="Times New Roman" w:hint="eastAsia"/>
          <w:sz w:val="32"/>
          <w:szCs w:val="32"/>
          <w:lang w:eastAsia="zh-CN"/>
        </w:rPr>
        <w:t>持平</w:t>
      </w:r>
      <w:r>
        <w:rPr>
          <w:rFonts w:ascii="Times New Roman" w:eastAsia="仿宋_GB2312" w:cs="Times New Roman" w:hAnsi="Times New Roman"/>
          <w:sz w:val="32"/>
          <w:szCs w:val="32"/>
        </w:rPr>
        <w:t>。</w:t>
      </w:r>
    </w:p>
    <w:p>
      <w:pPr>
        <w:keepNext w:val="0"/>
        <w:keepLines w:val="0"/>
        <w:pageBreakBefore w:val="0"/>
        <w:widowControl w:val="0"/>
        <w:kinsoku/>
        <w:wordWrap/>
        <w:overflowPunct/>
        <w:topLinePunct w:val="0"/>
        <w:bidi w:val="0"/>
        <w:spacing w:line="560" w:lineRule="exact"/>
        <w:ind w:firstLine="640"/>
        <w:textAlignment w:val="auto"/>
        <w:rPr>
          <w:rFonts w:ascii="Times New Roman" w:eastAsia="仿宋_GB2312" w:cs="Times New Roman" w:hAnsi="Times New Roman"/>
          <w:sz w:val="32"/>
          <w:szCs w:val="32"/>
        </w:rPr>
      </w:pPr>
      <w:r>
        <w:rPr>
          <w:rFonts w:ascii="Times New Roman" w:eastAsia="仿宋_GB2312" w:cs="Times New Roman" w:hAnsi="Times New Roman"/>
          <w:b/>
          <w:bCs/>
          <w:sz w:val="32"/>
          <w:szCs w:val="32"/>
        </w:rPr>
        <w:t>国内公务接待支出</w:t>
      </w:r>
      <w:r>
        <w:rPr>
          <w:rFonts w:eastAsia="仿宋_GB2312" w:cs="Times New Roman" w:hint="eastAsia"/>
          <w:sz w:val="32"/>
          <w:szCs w:val="32"/>
          <w:lang w:val="en-US" w:eastAsia="zh-CN"/>
        </w:rPr>
        <w:t>0.5</w:t>
      </w:r>
      <w:r>
        <w:rPr>
          <w:rFonts w:ascii="Times New Roman" w:eastAsia="仿宋_GB2312" w:cs="Times New Roman" w:hAnsi="Times New Roman"/>
          <w:sz w:val="32"/>
          <w:szCs w:val="32"/>
        </w:rPr>
        <w:t>万元，主要用于</w:t>
      </w:r>
      <w:r>
        <w:rPr>
          <w:rFonts w:ascii="Times New Roman" w:eastAsia="仿宋_GB2312" w:cs="Times New Roman" w:hAnsi="Times New Roman" w:hint="eastAsia"/>
          <w:sz w:val="32"/>
          <w:szCs w:val="32"/>
        </w:rPr>
        <w:t>执行公务、开展业务活动开支的住宿费、用餐费等。国内公务接待</w:t>
      </w:r>
      <w:r>
        <w:rPr>
          <w:rFonts w:eastAsia="仿宋_GB2312" w:cs="Times New Roman" w:hint="eastAsia"/>
          <w:sz w:val="32"/>
          <w:szCs w:val="32"/>
          <w:lang w:val="en-US" w:eastAsia="zh-CN"/>
        </w:rPr>
        <w:t>3</w:t>
      </w:r>
      <w:r>
        <w:rPr>
          <w:rFonts w:ascii="Times New Roman" w:eastAsia="仿宋_GB2312" w:cs="Times New Roman" w:hAnsi="Times New Roman" w:hint="eastAsia"/>
          <w:sz w:val="32"/>
          <w:szCs w:val="32"/>
        </w:rPr>
        <w:t>批次，</w:t>
      </w:r>
      <w:r>
        <w:rPr>
          <w:rFonts w:eastAsia="仿宋_GB2312" w:cs="Times New Roman" w:hint="eastAsia"/>
          <w:sz w:val="32"/>
          <w:szCs w:val="32"/>
          <w:lang w:val="en-US" w:eastAsia="zh-CN"/>
        </w:rPr>
        <w:t>1</w:t>
      </w:r>
      <w:r>
        <w:rPr>
          <w:rFonts w:ascii="Times New Roman" w:eastAsia="仿宋_GB2312" w:cs="Times New Roman" w:hAnsi="Times New Roman" w:hint="eastAsia"/>
          <w:sz w:val="32"/>
          <w:szCs w:val="32"/>
          <w:lang w:val="en-US" w:eastAsia="zh-CN"/>
        </w:rPr>
        <w:t>4</w:t>
      </w:r>
      <w:r>
        <w:rPr>
          <w:rFonts w:ascii="Times New Roman" w:eastAsia="仿宋_GB2312" w:cs="Times New Roman" w:hAnsi="Times New Roman" w:hint="eastAsia"/>
          <w:sz w:val="32"/>
          <w:szCs w:val="32"/>
        </w:rPr>
        <w:t>人，共计支出</w:t>
      </w:r>
      <w:r>
        <w:rPr>
          <w:rFonts w:ascii="Times New Roman" w:eastAsia="仿宋_GB2312" w:cs="Times New Roman" w:hAnsi="Times New Roman" w:hint="eastAsia"/>
          <w:sz w:val="32"/>
          <w:szCs w:val="32"/>
          <w:lang w:eastAsia="zh-CN"/>
        </w:rPr>
        <w:t>0.5</w:t>
      </w:r>
      <w:r>
        <w:rPr>
          <w:rFonts w:ascii="Times New Roman" w:eastAsia="仿宋_GB2312" w:cs="Times New Roman" w:hAnsi="Times New Roman" w:hint="eastAsia"/>
          <w:sz w:val="32"/>
          <w:szCs w:val="32"/>
        </w:rPr>
        <w:t>万元。主要用于执行公务、开展业务活动所开支的餐饮费等。</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 w:cs="Times New Roman" w:hAnsi="Times New Roman"/>
          <w:b w:val="0"/>
          <w:bCs/>
          <w:sz w:val="32"/>
          <w:szCs w:val="32"/>
        </w:rPr>
        <w:t>外事接待支出</w:t>
      </w:r>
      <w:r>
        <w:rPr>
          <w:rFonts w:ascii="Times New Roman" w:eastAsia="仿宋" w:cs="Times New Roman" w:hAnsi="Times New Roman"/>
          <w:sz w:val="32"/>
          <w:szCs w:val="32"/>
        </w:rPr>
        <w:t>0</w:t>
      </w:r>
      <w:r>
        <w:rPr>
          <w:rFonts w:ascii="Times New Roman" w:eastAsia="仿宋_GB2312" w:cs="Times New Roman" w:hAnsi="Times New Roman"/>
          <w:sz w:val="32"/>
          <w:szCs w:val="32"/>
        </w:rPr>
        <w:t>万元，外事接待0批次，0人，共计支出0万元</w:t>
      </w:r>
    </w:p>
    <w:p>
      <w:pPr>
        <w:pageBreakBefore w:val="0"/>
        <w:widowControl w:val="0"/>
        <w:kinsoku/>
        <w:wordWrap/>
        <w:overflowPunct/>
        <w:topLinePunct w:val="0"/>
        <w:bidi w:val="0"/>
        <w:spacing w:line="576" w:lineRule="exact"/>
        <w:ind w:firstLine="640"/>
        <w:outlineLvl w:val="1"/>
        <w:rPr>
          <w:rFonts w:ascii="Times New Roman" w:eastAsia="黑体" w:cs="Times New Roman" w:hAnsi="Times New Roman"/>
          <w:sz w:val="32"/>
          <w:szCs w:val="32"/>
        </w:rPr>
      </w:pPr>
      <w:bookmarkStart w:id="74" w:name="_Toc15396610"/>
      <w:bookmarkStart w:id="75" w:name="_Toc15377218"/>
    </w:p>
    <w:p>
      <w:pPr>
        <w:pageBreakBefore w:val="0"/>
        <w:widowControl w:val="0"/>
        <w:kinsoku/>
        <w:wordWrap/>
        <w:overflowPunct/>
        <w:topLinePunct w:val="0"/>
        <w:bidi w:val="0"/>
        <w:spacing w:line="576" w:lineRule="exact"/>
        <w:ind w:firstLine="640"/>
        <w:outlineLvl w:val="1"/>
        <w:rPr>
          <w:rStyle w:val="2Char"/>
          <w:rFonts w:ascii="Times New Roman" w:eastAsia="黑体" w:cs="Times New Roman" w:hAnsi="Times New Roman"/>
        </w:rPr>
      </w:pPr>
      <w:bookmarkStart w:id="76" w:name="_Toc1712"/>
      <w:r>
        <w:rPr>
          <w:rFonts w:ascii="Times New Roman" w:eastAsia="黑体" w:cs="Times New Roman" w:hAnsi="Times New Roman"/>
          <w:sz w:val="32"/>
          <w:szCs w:val="32"/>
        </w:rPr>
        <w:t>八、</w:t>
      </w:r>
      <w:r>
        <w:rPr>
          <w:rStyle w:val="2Char"/>
          <w:rFonts w:ascii="Times New Roman" w:eastAsia="黑体" w:cs="Times New Roman" w:hAnsi="Times New Roman"/>
          <w:b w:val="0"/>
        </w:rPr>
        <w:t>政府性基金预算支出决算情况说明</w:t>
      </w:r>
      <w:bookmarkEnd w:id="74"/>
      <w:bookmarkEnd w:id="75"/>
      <w:bookmarkEnd w:id="76"/>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仿宋_GB2312" w:eastAsia="仿宋_GB2312" w:cs="仿宋_GB2312" w:hint="eastAsia"/>
          <w:color w:val="auto"/>
          <w:kern w:val="2"/>
          <w:sz w:val="32"/>
          <w:szCs w:val="32"/>
          <w:lang w:val="en-US" w:eastAsia="zh-CN" w:bidi="ar-SA"/>
          <w:highlight w:val="auto"/>
        </w:rPr>
        <w:t>2024年度政府性基金预算财政拨款支出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万元，占本年支出合计的</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。与2023年度相比，政府性基金预算财政拨款支出增加/减少</w:t>
      </w:r>
      <w:r>
        <w:rPr>
          <w:rFonts w:eastAsia="仿宋_GB2312" w:cs="仿宋_GB2312" w:hint="eastAsia"/>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万元，增长/下降</w:t>
      </w:r>
      <w:r>
        <w:rPr>
          <w:rFonts w:eastAsia="仿宋_GB2312" w:cs="仿宋_GB2312" w:hint="eastAsia"/>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%。主要变动原因是</w:t>
      </w:r>
      <w:r>
        <w:rPr>
          <w:rFonts w:eastAsia="仿宋_GB2312" w:cs="仿宋_GB2312" w:hint="eastAsia"/>
          <w:color w:val="auto"/>
          <w:kern w:val="2"/>
          <w:sz w:val="32"/>
          <w:szCs w:val="32"/>
          <w:lang w:val="en-US" w:eastAsia="zh-CN" w:bidi="ar-SA"/>
          <w:highlight w:val="auto"/>
        </w:rPr>
        <w:t>无</w:t>
      </w:r>
      <w:r>
        <w:rPr>
          <w:rFonts w:ascii="仿宋_GB2312" w:eastAsia="仿宋_GB2312" w:cs="仿宋_GB2312" w:hint="eastAsia"/>
          <w:color w:val="auto"/>
          <w:kern w:val="2"/>
          <w:sz w:val="32"/>
          <w:szCs w:val="32"/>
          <w:lang w:val="en-US" w:eastAsia="zh-CN" w:bidi="ar-SA"/>
          <w:highlight w:val="auto"/>
        </w:rPr>
        <w:t>政府性基金预算财政拨款支出</w:t>
      </w:r>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p>
    <w:p>
      <w:pPr>
        <w:pageBreakBefore w:val="0"/>
        <w:widowControl w:val="0"/>
        <w:numPr>
          <w:ilvl w:val="0"/>
          <w:numId w:val="4"/>
        </w:numPr>
        <w:kinsoku/>
        <w:wordWrap/>
        <w:overflowPunct/>
        <w:topLinePunct w:val="0"/>
        <w:bidi w:val="0"/>
        <w:spacing w:line="576" w:lineRule="exact"/>
        <w:ind w:left="0" w:firstLine="640"/>
        <w:outlineLvl w:val="1"/>
        <w:rPr>
          <w:rStyle w:val="2Char"/>
          <w:rFonts w:ascii="Times New Roman" w:eastAsia="黑体" w:cs="Times New Roman" w:hAnsi="Times New Roman"/>
          <w:b w:val="0"/>
        </w:rPr>
      </w:pPr>
      <w:bookmarkStart w:id="77" w:name="_Toc15396611"/>
      <w:bookmarkStart w:id="78" w:name="_Toc29584"/>
      <w:bookmarkStart w:id="79" w:name="_Toc15377219"/>
      <w:r>
        <w:rPr>
          <w:rStyle w:val="2Char"/>
          <w:rFonts w:ascii="Times New Roman" w:eastAsia="黑体" w:cs="Times New Roman" w:hAnsi="Times New Roman"/>
          <w:b w:val="0"/>
        </w:rPr>
        <w:t>国有资本经营预算支出决算情况说明</w:t>
      </w:r>
      <w:bookmarkEnd w:id="77"/>
      <w:bookmarkEnd w:id="78"/>
      <w:bookmarkEnd w:id="79"/>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lang w:val="en-US"/>
        </w:rPr>
      </w:pPr>
      <w:r>
        <w:rPr>
          <w:rFonts w:ascii="Times New Roman" w:eastAsia="仿宋_GB2312" w:cs="仿宋_GB2312" w:hAnsi="Times New Roman" w:hint="eastAsia"/>
          <w:color w:val="auto"/>
          <w:kern w:val="2"/>
          <w:sz w:val="32"/>
          <w:szCs w:val="32"/>
          <w:lang w:val="en-US" w:eastAsia="zh-CN" w:bidi="ar-SA"/>
          <w:highlight w:val="auto"/>
        </w:rPr>
        <w:t>2024年度国有资本经营预算财政拨款支出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万元，占本年支出合计的</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。与2023年度相比，国有资本经营预算财政拨款支出增加/减少**万元，增长/下降**%。主要变动原因是</w:t>
      </w:r>
      <w:r>
        <w:rPr>
          <w:rFonts w:eastAsia="仿宋_GB2312" w:cs="仿宋_GB2312" w:hint="eastAsia"/>
          <w:color w:val="auto"/>
          <w:kern w:val="2"/>
          <w:sz w:val="32"/>
          <w:szCs w:val="32"/>
          <w:lang w:val="en-US" w:eastAsia="zh-CN" w:bidi="ar-SA"/>
          <w:highlight w:val="auto"/>
        </w:rPr>
        <w:t>无</w:t>
      </w:r>
      <w:r>
        <w:rPr>
          <w:rFonts w:ascii="Times New Roman" w:eastAsia="仿宋_GB2312" w:cs="仿宋_GB2312" w:hAnsi="Times New Roman" w:hint="eastAsia"/>
          <w:color w:val="auto"/>
          <w:kern w:val="2"/>
          <w:sz w:val="32"/>
          <w:szCs w:val="32"/>
          <w:lang w:val="en-US" w:eastAsia="zh-CN" w:bidi="ar-SA"/>
          <w:highlight w:val="auto"/>
        </w:rPr>
        <w:t>国有资本经营预算财政拨款支出</w:t>
      </w:r>
      <w:r>
        <w:rPr>
          <w:rFonts w:eastAsia="仿宋_GB2312" w:cs="仿宋_GB2312" w:hint="eastAsia"/>
          <w:color w:val="auto"/>
          <w:kern w:val="2"/>
          <w:sz w:val="32"/>
          <w:szCs w:val="32"/>
          <w:lang w:val="en-US" w:eastAsia="zh-CN" w:bidi="ar-SA"/>
          <w:highlight w:val="auto"/>
        </w:rPr>
        <w:t>。</w:t>
      </w:r>
    </w:p>
    <w:p>
      <w:pPr>
        <w:pageBreakBefore w:val="0"/>
        <w:widowControl w:val="0"/>
        <w:kinsoku/>
        <w:wordWrap/>
        <w:overflowPunct/>
        <w:topLinePunct w:val="0"/>
        <w:bidi w:val="0"/>
        <w:spacing w:line="576" w:lineRule="exact"/>
        <w:jc w:val="center"/>
        <w:rPr>
          <w:rFonts w:ascii="Times New Roman" w:eastAsia="方正小标宋简体" w:cs="Times New Roman" w:hAnsi="Times New Roman"/>
          <w:sz w:val="44"/>
          <w:szCs w:val="44"/>
        </w:rPr>
      </w:pPr>
    </w:p>
    <w:p>
      <w:pPr>
        <w:pageBreakBefore w:val="0"/>
        <w:widowControl w:val="0"/>
        <w:numPr>
          <w:ilvl w:val="0"/>
          <w:numId w:val="4"/>
        </w:numPr>
        <w:kinsoku/>
        <w:wordWrap/>
        <w:overflowPunct/>
        <w:topLinePunct w:val="0"/>
        <w:bidi w:val="0"/>
        <w:spacing w:line="576" w:lineRule="exact"/>
        <w:ind w:left="0" w:firstLine="640"/>
        <w:outlineLvl w:val="1"/>
        <w:rPr>
          <w:rStyle w:val="2Char"/>
          <w:rFonts w:ascii="Times New Roman" w:eastAsia="黑体" w:cs="Times New Roman" w:hAnsi="Times New Roman"/>
          <w:b w:val="0"/>
        </w:rPr>
      </w:pPr>
      <w:bookmarkStart w:id="80" w:name="_Toc15396612"/>
      <w:bookmarkStart w:id="81" w:name="_Toc24933"/>
      <w:bookmarkStart w:id="82" w:name="_Toc15377221"/>
      <w:r>
        <w:rPr>
          <w:rStyle w:val="2Char"/>
          <w:rFonts w:ascii="Times New Roman" w:eastAsia="黑体" w:cs="Times New Roman" w:hAnsi="Times New Roman"/>
          <w:b w:val="0"/>
        </w:rPr>
        <w:t>其他重要事项的情况说明</w:t>
      </w:r>
      <w:bookmarkEnd w:id="80"/>
      <w:bookmarkEnd w:id="81"/>
      <w:bookmarkEnd w:id="82"/>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sz w:val="32"/>
          <w:szCs w:val="32"/>
        </w:rPr>
      </w:pPr>
      <w:bookmarkStart w:id="83" w:name="_Toc15377222"/>
      <w:r>
        <w:rPr>
          <w:rFonts w:ascii="Times New Roman" w:eastAsia="仿宋" w:cs="Times New Roman" w:hAnsi="Times New Roman"/>
          <w:b/>
          <w:sz w:val="32"/>
          <w:szCs w:val="32"/>
        </w:rPr>
        <w:t>（一）机关运行经费支出情况</w:t>
      </w:r>
      <w:bookmarkEnd w:id="83"/>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w:t>
      </w:r>
      <w:r>
        <w:rPr>
          <w:rFonts w:ascii="仿宋_GB2312" w:eastAsia="仿宋_GB2312" w:cs="仿宋_GB2312" w:hint="eastAsia"/>
          <w:sz w:val="32"/>
          <w:szCs w:val="32"/>
          <w:lang w:eastAsia="zh-CN"/>
        </w:rPr>
        <w:t>县</w:t>
      </w:r>
      <w:r>
        <w:rPr>
          <w:rFonts w:ascii="仿宋_GB2312" w:eastAsia="仿宋_GB2312" w:cs="仿宋_GB2312" w:hint="eastAsia"/>
          <w:sz w:val="32"/>
          <w:szCs w:val="32"/>
        </w:rPr>
        <w:t>委办机关运行经费支出</w:t>
      </w:r>
      <w:r>
        <w:rPr>
          <w:rFonts w:ascii="仿宋_GB2312" w:eastAsia="仿宋_GB2312" w:cs="仿宋_GB2312" w:hint="eastAsia"/>
          <w:sz w:val="32"/>
          <w:szCs w:val="32"/>
          <w:lang w:val="en-US" w:eastAsia="zh-CN"/>
        </w:rPr>
        <w:t>443.48</w:t>
      </w:r>
      <w:r>
        <w:rPr>
          <w:rFonts w:ascii="仿宋_GB2312" w:eastAsia="仿宋_GB2312" w:cs="仿宋_GB2312" w:hint="eastAsia"/>
          <w:sz w:val="32"/>
          <w:szCs w:val="32"/>
        </w:rPr>
        <w:t>万元，比202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w:t>
      </w:r>
      <w:r>
        <w:rPr>
          <w:rFonts w:ascii="仿宋_GB2312" w:eastAsia="仿宋_GB2312" w:cs="仿宋_GB2312" w:hint="eastAsia"/>
          <w:sz w:val="32"/>
          <w:szCs w:val="32"/>
          <w:lang w:val="en-US" w:eastAsia="zh-CN"/>
        </w:rPr>
        <w:t>增加245.32</w:t>
      </w:r>
      <w:r>
        <w:rPr>
          <w:rFonts w:ascii="仿宋_GB2312" w:eastAsia="仿宋_GB2312" w:cs="仿宋_GB2312" w:hint="eastAsia"/>
          <w:sz w:val="32"/>
          <w:szCs w:val="32"/>
        </w:rPr>
        <w:t>万元，</w:t>
      </w:r>
      <w:r>
        <w:rPr>
          <w:rFonts w:ascii="仿宋_GB2312" w:eastAsia="仿宋_GB2312" w:cs="仿宋_GB2312" w:hint="eastAsia"/>
          <w:sz w:val="32"/>
          <w:szCs w:val="32"/>
          <w:lang w:val="en-US" w:eastAsia="zh-CN"/>
        </w:rPr>
        <w:t>增加80.76</w:t>
      </w:r>
      <w:r>
        <w:rPr>
          <w:rFonts w:ascii="仿宋_GB2312" w:eastAsia="仿宋_GB2312" w:cs="仿宋_GB2312" w:hint="eastAsia"/>
          <w:sz w:val="32"/>
          <w:szCs w:val="32"/>
        </w:rPr>
        <w:t>%</w:t>
      </w:r>
      <w:r>
        <w:rPr>
          <w:rFonts w:ascii="仿宋_GB2312" w:eastAsia="仿宋_GB2312" w:cs="仿宋_GB2312" w:hint="eastAsia"/>
          <w:sz w:val="32"/>
          <w:szCs w:val="32"/>
          <w:lang w:eastAsia="zh-CN"/>
        </w:rPr>
        <w:t>，</w:t>
      </w:r>
      <w:r>
        <w:rPr>
          <w:rFonts w:ascii="仿宋_GB2312" w:eastAsia="仿宋_GB2312" w:cs="仿宋_GB2312" w:hint="eastAsia"/>
          <w:color w:val="000000"/>
          <w:sz w:val="32"/>
          <w:szCs w:val="32"/>
          <w:lang w:val="en-US" w:eastAsia="zh-CN"/>
        </w:rPr>
        <w:t>2024年新增委托业务费及福利费</w:t>
      </w:r>
      <w:r>
        <w:rPr>
          <w:rFonts w:ascii="仿宋_GB2312" w:eastAsia="仿宋_GB2312" w:cs="仿宋_GB2312" w:hint="eastAsia"/>
          <w:sz w:val="32"/>
          <w:szCs w:val="32"/>
        </w:rPr>
        <w:t>。</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bookmarkStart w:id="84" w:name="_Toc15377223"/>
      <w:r>
        <w:rPr>
          <w:rFonts w:ascii="Times New Roman" w:eastAsia="仿宋" w:cs="Times New Roman" w:hAnsi="Times New Roman"/>
          <w:b/>
          <w:sz w:val="32"/>
          <w:szCs w:val="32"/>
        </w:rPr>
        <w:t>（二）政府采购支出情况</w:t>
      </w:r>
      <w:bookmarkEnd w:id="84"/>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w:t>
      </w:r>
      <w:r>
        <w:rPr>
          <w:rFonts w:ascii="仿宋_GB2312" w:eastAsia="仿宋_GB2312" w:cs="仿宋_GB2312" w:hint="eastAsia"/>
          <w:sz w:val="32"/>
          <w:szCs w:val="32"/>
          <w:lang w:eastAsia="zh-CN"/>
        </w:rPr>
        <w:t>县</w:t>
      </w:r>
      <w:r>
        <w:rPr>
          <w:rFonts w:ascii="仿宋_GB2312" w:eastAsia="仿宋_GB2312" w:cs="仿宋_GB2312" w:hint="eastAsia"/>
          <w:sz w:val="32"/>
          <w:szCs w:val="32"/>
        </w:rPr>
        <w:t>委办政府采购支出总额</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万元，其中：政府采购货物支出</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万元、政府采购工程支出0万元、政府采购服务支出</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万元。主要用于公务用车购置。授予中小企业合同金额</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万元，占政府采购支出总额的0%，其中：授予小微企业合同金额</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万元，占政府采购支出总额的</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bookmarkStart w:id="85" w:name="_Toc15377224"/>
      <w:r>
        <w:rPr>
          <w:rFonts w:ascii="Times New Roman" w:eastAsia="仿宋" w:cs="Times New Roman" w:hAnsi="Times New Roman"/>
          <w:b/>
          <w:sz w:val="32"/>
          <w:szCs w:val="32"/>
        </w:rPr>
        <w:t>（三）国有资产占有使用情况</w:t>
      </w:r>
      <w:bookmarkEnd w:id="85"/>
    </w:p>
    <w:p>
      <w:pPr>
        <w:pageBreakBefore w:val="0"/>
        <w:widowControl w:val="0"/>
        <w:kinsoku/>
        <w:wordWrap/>
        <w:overflowPunct/>
        <w:topLinePunct w:val="0"/>
        <w:autoSpaceDE w:val="0"/>
        <w:autoSpaceDN w:val="0"/>
        <w:bidi w:val="0"/>
        <w:adjustRightInd w:val="0"/>
        <w:spacing w:line="576" w:lineRule="exact"/>
        <w:ind w:firstLineChars="200" w:firstLine="640"/>
        <w:jc w:val="left"/>
        <w:rPr>
          <w:rFonts w:ascii="仿宋_GB2312" w:eastAsia="仿宋_GB2312" w:cs="仿宋_GB2312" w:hint="eastAsia"/>
          <w:sz w:val="32"/>
          <w:szCs w:val="32"/>
        </w:rPr>
      </w:pPr>
      <w:r>
        <w:rPr>
          <w:rFonts w:ascii="仿宋_GB2312" w:eastAsia="仿宋_GB2312" w:cs="仿宋_GB2312" w:hint="eastAsia"/>
          <w:sz w:val="32"/>
          <w:szCs w:val="32"/>
        </w:rPr>
        <w:t>截至202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年12月31日，</w:t>
      </w:r>
      <w:r>
        <w:rPr>
          <w:rFonts w:ascii="仿宋_GB2312" w:eastAsia="仿宋_GB2312" w:cs="仿宋_GB2312" w:hint="eastAsia"/>
          <w:sz w:val="32"/>
          <w:szCs w:val="32"/>
          <w:lang w:eastAsia="zh-CN"/>
        </w:rPr>
        <w:t>县</w:t>
      </w:r>
      <w:r>
        <w:rPr>
          <w:rFonts w:ascii="仿宋_GB2312" w:eastAsia="仿宋_GB2312" w:cs="仿宋_GB2312" w:hint="eastAsia"/>
          <w:sz w:val="32"/>
          <w:szCs w:val="32"/>
        </w:rPr>
        <w:t>委办部门共有车辆</w:t>
      </w:r>
      <w:r>
        <w:rPr>
          <w:rFonts w:ascii="仿宋_GB2312" w:eastAsia="仿宋_GB2312" w:cs="仿宋_GB2312" w:hint="eastAsia"/>
          <w:sz w:val="32"/>
          <w:szCs w:val="32"/>
          <w:lang w:val="en-US" w:eastAsia="zh-CN"/>
        </w:rPr>
        <w:t>12</w:t>
      </w:r>
      <w:r>
        <w:rPr>
          <w:rFonts w:ascii="仿宋_GB2312" w:eastAsia="仿宋_GB2312" w:cs="仿宋_GB2312" w:hint="eastAsia"/>
          <w:sz w:val="32"/>
          <w:szCs w:val="32"/>
        </w:rPr>
        <w:t>辆，其中：主要领导干部用车0辆、机要通信用车0辆、应急保障用车</w:t>
      </w:r>
      <w:r>
        <w:rPr>
          <w:rFonts w:ascii="仿宋_GB2312" w:eastAsia="仿宋_GB2312" w:cs="仿宋_GB2312" w:hint="eastAsia"/>
          <w:sz w:val="32"/>
          <w:szCs w:val="32"/>
          <w:lang w:val="en-US" w:eastAsia="zh-CN"/>
        </w:rPr>
        <w:t>12</w:t>
      </w:r>
      <w:r>
        <w:rPr>
          <w:rFonts w:ascii="仿宋_GB2312" w:eastAsia="仿宋_GB2312" w:cs="仿宋_GB2312" w:hint="eastAsia"/>
          <w:sz w:val="32"/>
          <w:szCs w:val="32"/>
        </w:rPr>
        <w:t>辆、其他用车</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辆，其他用车主要是用于通信应急保障车辆。单价</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万元以上通用设备</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台（套），单价</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万元以上专用设备0台（套）。</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r>
        <w:rPr>
          <w:rFonts w:ascii="Times New Roman" w:eastAsia="仿宋" w:cs="Times New Roman" w:hAnsi="Times New Roman"/>
          <w:b/>
          <w:sz w:val="32"/>
          <w:szCs w:val="32"/>
        </w:rPr>
        <w:t>（四）预算绩效管理情况</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根据预算绩效管理要求，本部门对</w:t>
      </w:r>
      <w:r>
        <w:rPr>
          <w:rFonts w:ascii="仿宋_GB2312" w:eastAsia="仿宋_GB2312" w:cs="仿宋_GB2312" w:hint="eastAsia"/>
          <w:sz w:val="32"/>
          <w:szCs w:val="32"/>
          <w:lang w:eastAsia="zh-CN"/>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年一般公共预算项目支出开展了绩效目标管理，编制绩效目标，涉及财政资金</w:t>
      </w:r>
      <w:r>
        <w:rPr>
          <w:rFonts w:ascii="仿宋_GB2312" w:eastAsia="仿宋_GB2312" w:cs="仿宋_GB2312" w:hint="eastAsia"/>
          <w:sz w:val="32"/>
          <w:szCs w:val="32"/>
          <w:lang w:val="en-US" w:eastAsia="zh-CN"/>
        </w:rPr>
        <w:t>589.19</w:t>
      </w:r>
      <w:r>
        <w:rPr>
          <w:rFonts w:ascii="仿宋_GB2312" w:eastAsia="仿宋_GB2312" w:cs="仿宋_GB2312" w:hint="eastAsia"/>
          <w:sz w:val="32"/>
          <w:szCs w:val="32"/>
        </w:rPr>
        <w:t>万元，覆盖率达到100%。我办积极开展项目绩效自评，自评得分</w:t>
      </w:r>
      <w:r>
        <w:rPr>
          <w:rFonts w:ascii="仿宋_GB2312" w:eastAsia="仿宋_GB2312" w:cs="仿宋_GB2312" w:hint="eastAsia"/>
          <w:sz w:val="32"/>
          <w:szCs w:val="32"/>
          <w:lang w:val="en-US" w:eastAsia="zh-CN"/>
        </w:rPr>
        <w:t>91</w:t>
      </w:r>
      <w:r>
        <w:rPr>
          <w:rFonts w:ascii="仿宋_GB2312" w:eastAsia="仿宋_GB2312" w:cs="仿宋_GB2312" w:hint="eastAsia"/>
          <w:sz w:val="32"/>
          <w:szCs w:val="32"/>
        </w:rPr>
        <w:t>分。</w:t>
      </w:r>
    </w:p>
    <w:p>
      <w:pPr>
        <w:keepNext w:val="0"/>
        <w:keepLines w:val="0"/>
        <w:pageBreakBefore w:val="0"/>
        <w:widowControl w:val="0"/>
        <w:kinsoku/>
        <w:wordWrap/>
        <w:overflowPunct/>
        <w:topLinePunct w:val="0"/>
        <w:bidi w:val="0"/>
        <w:spacing w:line="560" w:lineRule="exact"/>
        <w:ind w:firstLineChars="200" w:firstLine="640"/>
        <w:textAlignment w:val="auto"/>
        <w:rPr>
          <w:rFonts w:ascii="Times New Roman" w:eastAsia="仿宋_GB2312" w:cs="Times New Roman" w:hAnsi="Times New Roman" w:hint="eastAsia"/>
          <w:sz w:val="32"/>
          <w:szCs w:val="32"/>
        </w:rPr>
      </w:pPr>
    </w:p>
    <w:p>
      <w:pPr>
        <w:pageBreakBefore w:val="0"/>
        <w:widowControl/>
        <w:kinsoku/>
        <w:wordWrap/>
        <w:overflowPunct/>
        <w:topLinePunct w:val="0"/>
        <w:bidi w:val="0"/>
        <w:spacing w:line="576" w:lineRule="exact"/>
        <w:jc w:val="left"/>
        <w:rPr>
          <w:rFonts w:ascii="Times New Roman" w:eastAsia="仿宋_GB2312" w:cs="Times New Roman" w:hAnsi="Times New Roman"/>
          <w:b/>
          <w:sz w:val="32"/>
          <w:szCs w:val="32"/>
        </w:rPr>
      </w:pPr>
      <w:r>
        <w:rPr>
          <w:rFonts w:ascii="Times New Roman" w:eastAsia="仿宋_GB2312" w:cs="Times New Roman" w:hAnsi="Times New Roman"/>
          <w:b/>
          <w:sz w:val="32"/>
          <w:szCs w:val="32"/>
        </w:rPr>
        <w:br w:type="page"/>
      </w:r>
    </w:p>
    <w:p>
      <w:pPr>
        <w:pageBreakBefore w:val="0"/>
        <w:widowControl w:val="0"/>
        <w:numPr>
          <w:ilvl w:val="0"/>
          <w:numId w:val="5"/>
        </w:numPr>
        <w:kinsoku/>
        <w:wordWrap/>
        <w:overflowPunct/>
        <w:topLinePunct w:val="0"/>
        <w:bidi w:val="0"/>
        <w:spacing w:line="576" w:lineRule="exact"/>
        <w:ind w:left="0" w:firstLineChars="150" w:firstLine="660"/>
        <w:jc w:val="center"/>
        <w:outlineLvl w:val="0"/>
        <w:rPr>
          <w:rStyle w:val="1Char"/>
          <w:rFonts w:ascii="Times New Roman" w:eastAsia="黑体" w:cs="Times New Roman" w:hAnsi="Times New Roman"/>
          <w:b w:val="0"/>
        </w:rPr>
      </w:pPr>
      <w:bookmarkStart w:id="86" w:name="_Toc15396613"/>
      <w:bookmarkStart w:id="87" w:name="_Toc15377225"/>
      <w:bookmarkStart w:id="88" w:name="_Toc21753"/>
      <w:r>
        <w:rPr>
          <w:rFonts w:ascii="Times New Roman" w:eastAsia="黑体" w:cs="Times New Roman" w:hAnsi="Times New Roman"/>
          <w:sz w:val="44"/>
          <w:szCs w:val="44"/>
        </w:rPr>
        <w:t>名</w:t>
      </w:r>
      <w:r>
        <w:rPr>
          <w:rStyle w:val="1Char"/>
          <w:rFonts w:ascii="Times New Roman" w:eastAsia="黑体" w:cs="Times New Roman" w:hAnsi="Times New Roman"/>
          <w:b w:val="0"/>
        </w:rPr>
        <w:t>词解释</w:t>
      </w:r>
      <w:bookmarkEnd w:id="86"/>
      <w:bookmarkEnd w:id="87"/>
      <w:bookmarkEnd w:id="88"/>
    </w:p>
    <w:p>
      <w:pPr>
        <w:pageBreakBefore w:val="0"/>
        <w:widowControl w:val="0"/>
        <w:kinsoku/>
        <w:wordWrap/>
        <w:overflowPunct/>
        <w:topLinePunct w:val="0"/>
        <w:bidi w:val="0"/>
        <w:spacing w:line="576" w:lineRule="exact"/>
        <w:jc w:val="left"/>
        <w:rPr>
          <w:rFonts w:ascii="Times New Roman" w:cs="Times New Roman" w:hAnsi="Times New Roman"/>
          <w:b/>
          <w:sz w:val="44"/>
          <w:szCs w:val="44"/>
        </w:rPr>
      </w:pP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bookmarkStart w:id="89" w:name="_Toc15377226"/>
      <w:r>
        <w:rPr>
          <w:rFonts w:ascii="Times New Roman" w:eastAsia="仿宋_GB2312" w:cs="仿宋_GB2312" w:hAnsi="Times New Roman" w:hint="eastAsia"/>
          <w:color w:val="auto"/>
          <w:kern w:val="2"/>
          <w:sz w:val="32"/>
          <w:szCs w:val="32"/>
          <w:lang w:val="en-US" w:eastAsia="zh-CN" w:bidi="ar-SA"/>
          <w:highlight w:val="auto"/>
        </w:rPr>
        <w:t>1.财政拨款收入：指单位从同级财政部门取得的财政预算资金。</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2.事业收入：指事业单位开展专业业务活动及辅助活动取得的收入。如……（二级预算单位事业收入情况）等。</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3.经营收入：指事业单位在专业业务活动及其辅助活动之外开展非独立核算经营活动取得的收入。如……（二级预算单位经营收入情况）等。</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 xml:space="preserve">4.其他收入：指单位取得的除上述收入以外的各项收入。主要是……（收入类型）等。 </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 xml:space="preserve">5.使用非财政拨款结余（含专用结余）：指事业单位使用以前年度积累的非财政拨款结余弥补当年收支差额的金额。 </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 xml:space="preserve">6.年初结转和结余：指以前年度尚未完成、结转到本年按有关规定继续使用的资金。 </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7.结余分配：指事业单位按照会计制度规定缴纳的所得税、提取的专用结余以及转入非财政拨款结余的金额等。</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8.年末结转和结余：指单位按有关规定结转到下年或以后年度继续使用的资金。</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9.一般公共服务（类）……（款）……（项）：指……</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10.外交（类）……（款）……（项）：指……</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11.公共安全（类）……（款）……（项）：指……</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12.教育（类）……（款）……（项）：指……</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13.科学技术（类）……（款）……（项）：指……</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14.文化旅游体育与传媒（类）……（款）……（项）：指……</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15.社会保障和就业（类）……（款）……（项）：指……</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16.卫生健康（类）……（款）……（项）：指……</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17.节能环保（类）……（款）……（项）</w:t>
      </w:r>
      <w:r>
        <w:rPr>
          <w:rFonts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指……</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18.城乡社区（类）……（款）……（项）：指……</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19.农林水（类）……（款）……（项）：指……</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20.交通运输（类）……（款）……（项）：指……</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21.资源勘探工业信息等（类）……（款）……（项）：指……</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22.商业服务业（类）……（款）……（项）：指……</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23.金融（类）……（款）……（项）：指……</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24.自然资源海洋气象等（类）……（款）……（项）：指……</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25.住房保障（类）……（款）……（项）：指……</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26.粮油物资储备（类）……（款）……（项）：指……</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b/>
          <w:bCs/>
          <w:color w:val="auto"/>
          <w:kern w:val="2"/>
          <w:sz w:val="32"/>
          <w:szCs w:val="32"/>
          <w:lang w:val="en-US" w:eastAsia="zh-CN" w:bidi="ar-SA"/>
          <w:highlight w:val="auto"/>
        </w:rPr>
        <w:t>（</w:t>
      </w:r>
      <w:r>
        <w:rPr>
          <w:rFonts w:eastAsia="仿宋_GB2312" w:cs="仿宋_GB2312" w:hint="eastAsia"/>
          <w:b/>
          <w:bCs/>
          <w:color w:val="auto"/>
          <w:kern w:val="2"/>
          <w:sz w:val="32"/>
          <w:szCs w:val="32"/>
          <w:lang w:val="en-US" w:eastAsia="zh-CN" w:bidi="ar-SA"/>
          <w:highlight w:val="auto"/>
        </w:rPr>
        <w:t>注：</w:t>
      </w:r>
      <w:r>
        <w:rPr>
          <w:rFonts w:ascii="Times New Roman" w:eastAsia="仿宋_GB2312" w:cs="仿宋_GB2312" w:hAnsi="Times New Roman" w:hint="eastAsia"/>
          <w:b/>
          <w:bCs/>
          <w:color w:val="auto"/>
          <w:kern w:val="2"/>
          <w:sz w:val="32"/>
          <w:szCs w:val="32"/>
          <w:lang w:val="en-US" w:eastAsia="zh-CN" w:bidi="ar-SA"/>
          <w:highlight w:val="auto"/>
        </w:rPr>
        <w:t>解释本部门决算报表中涉及的全部功能分类科目至项级，不涉及的科目请自行删除。请参照</w:t>
      </w:r>
      <w:r>
        <w:rPr>
          <w:rFonts w:eastAsia="仿宋_GB2312" w:cs="仿宋_GB2312" w:hint="eastAsia"/>
          <w:b/>
          <w:bCs/>
          <w:color w:val="auto"/>
          <w:kern w:val="2"/>
          <w:sz w:val="32"/>
          <w:szCs w:val="32"/>
          <w:lang w:val="en-US" w:eastAsia="zh-CN" w:bidi="ar-SA"/>
          <w:highlight w:val="auto"/>
        </w:rPr>
        <w:t>《</w:t>
      </w:r>
      <w:r>
        <w:rPr>
          <w:rFonts w:ascii="Times New Roman" w:eastAsia="仿宋_GB2312" w:cs="仿宋_GB2312" w:hAnsi="Times New Roman" w:hint="eastAsia"/>
          <w:b/>
          <w:bCs/>
          <w:color w:val="auto"/>
          <w:kern w:val="2"/>
          <w:sz w:val="32"/>
          <w:szCs w:val="32"/>
          <w:lang w:val="en-US" w:eastAsia="zh-CN" w:bidi="ar-SA"/>
          <w:highlight w:val="auto"/>
        </w:rPr>
        <w:t>202</w:t>
      </w:r>
      <w:r>
        <w:rPr>
          <w:rFonts w:eastAsia="仿宋_GB2312" w:cs="仿宋_GB2312" w:hint="eastAsia"/>
          <w:b/>
          <w:bCs/>
          <w:color w:val="auto"/>
          <w:kern w:val="2"/>
          <w:sz w:val="32"/>
          <w:szCs w:val="32"/>
          <w:lang w:val="en-US" w:eastAsia="zh-CN" w:bidi="ar-SA"/>
          <w:highlight w:val="auto"/>
        </w:rPr>
        <w:t>4</w:t>
      </w:r>
      <w:r>
        <w:rPr>
          <w:rFonts w:ascii="Times New Roman" w:eastAsia="仿宋_GB2312" w:cs="仿宋_GB2312" w:hAnsi="Times New Roman" w:hint="eastAsia"/>
          <w:b/>
          <w:bCs/>
          <w:color w:val="auto"/>
          <w:kern w:val="2"/>
          <w:sz w:val="32"/>
          <w:szCs w:val="32"/>
          <w:lang w:val="en-US" w:eastAsia="zh-CN" w:bidi="ar-SA"/>
          <w:highlight w:val="auto"/>
        </w:rPr>
        <w:t>年政府收支分类科目</w:t>
      </w:r>
      <w:r>
        <w:rPr>
          <w:rFonts w:eastAsia="仿宋_GB2312" w:cs="仿宋_GB2312" w:hint="eastAsia"/>
          <w:b/>
          <w:bCs/>
          <w:color w:val="auto"/>
          <w:kern w:val="2"/>
          <w:sz w:val="32"/>
          <w:szCs w:val="32"/>
          <w:lang w:val="en-US" w:eastAsia="zh-CN" w:bidi="ar-SA"/>
          <w:highlight w:val="auto"/>
        </w:rPr>
        <w:t>》</w:t>
      </w:r>
      <w:r>
        <w:rPr>
          <w:rFonts w:ascii="Times New Roman" w:eastAsia="仿宋_GB2312" w:cs="仿宋_GB2312" w:hAnsi="Times New Roman" w:hint="eastAsia"/>
          <w:b/>
          <w:bCs/>
          <w:color w:val="auto"/>
          <w:kern w:val="2"/>
          <w:sz w:val="32"/>
          <w:szCs w:val="32"/>
          <w:lang w:val="en-US" w:eastAsia="zh-CN" w:bidi="ar-SA"/>
          <w:highlight w:val="auto"/>
        </w:rPr>
        <w:t>增减内容）</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27.基本支出：指为保障机构正常运转、完成日常工作任务而发生的人员支出和公用支出。</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 xml:space="preserve">28.项目支出：指在基本支出之外为完成特定行政任务和事业发展目标所发生的支出。 </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29.经营支出：指事业单位在专业业务活动及其辅助活动之外开展非独立核算经营活动发生的支出。</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30.</w:t>
      </w:r>
      <w:r>
        <w:rPr>
          <w:rFonts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三公</w:t>
      </w:r>
      <w:r>
        <w:rPr>
          <w:rFonts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32.……</w:t>
      </w:r>
    </w:p>
    <w:p>
      <w:pPr>
        <w:spacing w:line="600" w:lineRule="exact"/>
        <w:ind w:firstLine="640"/>
        <w:rPr>
          <w:rFonts w:ascii="Times New Roman" w:eastAsia="仿宋_GB2312" w:cs="仿宋_GB2312" w:hAnsi="Times New Roman" w:hint="eastAsia"/>
          <w:b/>
          <w:bCs/>
          <w:color w:val="auto"/>
          <w:kern w:val="2"/>
          <w:sz w:val="32"/>
          <w:szCs w:val="32"/>
          <w:lang w:val="en-US" w:eastAsia="zh-CN" w:bidi="ar-SA"/>
          <w:highlight w:val="auto"/>
        </w:rPr>
      </w:pPr>
      <w:r>
        <w:rPr>
          <w:rFonts w:ascii="Times New Roman" w:eastAsia="仿宋_GB2312" w:cs="仿宋_GB2312" w:hAnsi="Times New Roman" w:hint="eastAsia"/>
          <w:b/>
          <w:bCs/>
          <w:color w:val="auto"/>
          <w:kern w:val="2"/>
          <w:sz w:val="32"/>
          <w:szCs w:val="32"/>
          <w:lang w:val="en-US" w:eastAsia="zh-CN" w:bidi="ar-SA"/>
          <w:highlight w:val="auto"/>
        </w:rPr>
        <w:t>（注：名词解释部分请根据各部门实际列支情况罗列，并根据本部门职责职能增减名词解释内容）</w:t>
      </w:r>
    </w:p>
    <w:p>
      <w:pPr>
        <w:spacing w:line="600" w:lineRule="exact"/>
        <w:jc w:val="center"/>
        <w:rPr>
          <w:rStyle w:val="1Char"/>
          <w:rFonts w:ascii="Times New Roman" w:eastAsia="黑体" w:hAnsi="Times New Roman" w:hint="eastAsia"/>
          <w:b w:val="0"/>
          <w:color w:val="auto"/>
          <w:lang w:eastAsia="zh-CN"/>
          <w:highlight w:val="auto"/>
        </w:rPr>
      </w:pPr>
      <w:r>
        <w:rPr>
          <w:rFonts w:ascii="Times New Roman" w:cs="Times New Roman" w:hAnsi="Times New Roman"/>
          <w:b/>
          <w:sz w:val="44"/>
          <w:szCs w:val="44"/>
        </w:rPr>
        <w:br w:type="page"/>
      </w:r>
      <w:bookmarkStart w:id="90" w:name="_Toc15396614"/>
      <w:r>
        <w:rPr>
          <w:rFonts w:ascii="Times New Roman" w:eastAsia="黑体" w:hAnsi="Times New Roman" w:hint="eastAsia"/>
          <w:color w:val="auto"/>
          <w:sz w:val="44"/>
          <w:szCs w:val="44"/>
          <w:highlight w:val="auto"/>
        </w:rPr>
        <w:t>第四部分</w:t>
      </w:r>
      <w:r>
        <w:rPr>
          <w:rFonts w:ascii="Times New Roman" w:eastAsia="黑体" w:hAnsi="Times New Roman" w:hint="eastAsia"/>
          <w:color w:val="auto"/>
          <w:sz w:val="44"/>
          <w:szCs w:val="44"/>
          <w:lang w:val="en-US" w:eastAsia="zh-CN"/>
          <w:highlight w:val="auto"/>
        </w:rPr>
        <w:t xml:space="preserve"> </w:t>
      </w:r>
      <w:r>
        <w:rPr>
          <w:rFonts w:ascii="Times New Roman" w:eastAsia="黑体" w:hAnsi="Times New Roman" w:hint="eastAsia"/>
          <w:color w:val="auto"/>
          <w:sz w:val="44"/>
          <w:szCs w:val="44"/>
          <w:highlight w:val="auto"/>
        </w:rPr>
        <w:t xml:space="preserve"> 附件</w:t>
      </w:r>
      <w:bookmarkEnd w:id="90"/>
    </w:p>
    <w:p>
      <w:pPr>
        <w:keepNext w:val="0"/>
        <w:keepLines w:val="0"/>
        <w:pageBreakBefore w:val="0"/>
        <w:widowControl w:val="0"/>
        <w:kinsoku/>
        <w:wordWrap/>
        <w:overflowPunct/>
        <w:topLinePunct w:val="0"/>
        <w:autoSpaceDE/>
        <w:autoSpaceDN/>
        <w:bidi w:val="0"/>
        <w:spacing w:line="572" w:lineRule="exact"/>
        <w:jc w:val="left"/>
        <w:textAlignment w:val="auto"/>
        <w:outlineLvl w:val="0"/>
        <w:rPr>
          <w:rFonts w:ascii="Times New Roman" w:eastAsia="黑体" w:cs="黑体" w:hAnsi="Times New Roman" w:hint="eastAsia"/>
          <w:color w:val="FF0000"/>
          <w:sz w:val="32"/>
          <w:szCs w:val="32"/>
          <w:highlight w:val="auto"/>
        </w:rPr>
      </w:pPr>
    </w:p>
    <w:p>
      <w:pPr>
        <w:keepNext w:val="0"/>
        <w:keepLines w:val="0"/>
        <w:pageBreakBefore w:val="0"/>
        <w:widowControl w:val="0"/>
        <w:kinsoku/>
        <w:wordWrap/>
        <w:overflowPunct/>
        <w:topLinePunct w:val="0"/>
        <w:autoSpaceDE/>
        <w:autoSpaceDN/>
        <w:bidi w:val="0"/>
        <w:spacing w:line="572" w:lineRule="exact"/>
        <w:jc w:val="left"/>
        <w:textAlignment w:val="auto"/>
        <w:outlineLvl w:val="0"/>
        <w:rPr>
          <w:rFonts w:ascii="Times New Roman" w:eastAsia="黑体" w:cs="方正小标宋简体" w:hAnsi="Times New Roman" w:hint="eastAsia"/>
          <w:color w:val="auto"/>
          <w:sz w:val="44"/>
          <w:szCs w:val="44"/>
          <w:lang w:val="en-US" w:eastAsia="zh-CN"/>
          <w:highlight w:val="auto"/>
        </w:rPr>
      </w:pPr>
      <w:r>
        <w:rPr>
          <w:rFonts w:ascii="Times New Roman" w:eastAsia="黑体" w:cs="黑体" w:hAnsi="Times New Roman" w:hint="eastAsia"/>
          <w:color w:val="auto"/>
          <w:sz w:val="32"/>
          <w:szCs w:val="32"/>
          <w:highlight w:val="auto"/>
        </w:rPr>
        <w:t>附件</w:t>
      </w:r>
      <w:r>
        <w:rPr>
          <w:rFonts w:ascii="Times New Roman" w:eastAsia="黑体" w:cs="黑体" w:hAnsi="Times New Roman" w:hint="eastAsia"/>
          <w:color w:val="auto"/>
          <w:sz w:val="32"/>
          <w:szCs w:val="32"/>
          <w:lang w:val="en-US" w:eastAsia="zh-CN"/>
          <w:highlight w:val="auto"/>
        </w:rPr>
        <w:t>1</w:t>
      </w:r>
    </w:p>
    <w:p>
      <w:pPr>
        <w:pageBreakBefore w:val="0"/>
        <w:widowControl w:val="0"/>
        <w:kinsoku/>
        <w:wordWrap/>
        <w:overflowPunct/>
        <w:topLinePunct w:val="0"/>
        <w:bidi w:val="0"/>
        <w:spacing w:line="576" w:lineRule="exact"/>
        <w:jc w:val="left"/>
        <w:outlineLvl w:val="0"/>
        <w:rPr>
          <w:rFonts w:ascii="Times New Roman" w:eastAsia="方正小标宋简体" w:cs="Times New Roman" w:hAnsi="Times New Roman"/>
          <w:sz w:val="44"/>
          <w:szCs w:val="44"/>
        </w:rPr>
      </w:pPr>
    </w:p>
    <w:p>
      <w:pPr>
        <w:pageBreakBefore w:val="0"/>
        <w:widowControl w:val="0"/>
        <w:kinsoku/>
        <w:wordWrap/>
        <w:overflowPunct/>
        <w:topLinePunct w:val="0"/>
        <w:bidi w:val="0"/>
        <w:spacing w:line="576" w:lineRule="exact"/>
        <w:jc w:val="center"/>
        <w:rPr>
          <w:rFonts w:ascii="Times New Roman" w:eastAsia="方正小标宋简体" w:cs="Times New Roman" w:hAnsi="Times New Roman"/>
          <w:kern w:val="0"/>
          <w:sz w:val="40"/>
          <w:szCs w:val="44"/>
        </w:rPr>
      </w:pPr>
      <w:r>
        <w:rPr>
          <w:rFonts w:ascii="Times New Roman" w:eastAsia="方正小标宋简体" w:cs="Times New Roman" w:hAnsi="Times New Roman"/>
          <w:kern w:val="0"/>
          <w:sz w:val="40"/>
          <w:szCs w:val="44"/>
        </w:rPr>
        <w:t>中共阿坝州委办公室</w:t>
      </w:r>
    </w:p>
    <w:p>
      <w:pPr>
        <w:pageBreakBefore w:val="0"/>
        <w:widowControl w:val="0"/>
        <w:kinsoku/>
        <w:wordWrap/>
        <w:overflowPunct/>
        <w:topLinePunct w:val="0"/>
        <w:bidi w:val="0"/>
        <w:spacing w:line="576" w:lineRule="exact"/>
        <w:jc w:val="center"/>
        <w:rPr>
          <w:rFonts w:ascii="Times New Roman" w:eastAsia="方正小标宋简体" w:cs="Times New Roman" w:hAnsi="Times New Roman"/>
          <w:kern w:val="0"/>
          <w:sz w:val="40"/>
          <w:szCs w:val="44"/>
          <w:lang w:val="zh-CN"/>
        </w:rPr>
      </w:pPr>
      <w:r>
        <w:rPr>
          <w:rFonts w:ascii="Times New Roman" w:eastAsia="方正小标宋简体" w:cs="Times New Roman" w:hAnsi="Times New Roman"/>
          <w:kern w:val="0"/>
          <w:sz w:val="40"/>
          <w:szCs w:val="44"/>
        </w:rPr>
        <w:t>202</w:t>
      </w:r>
      <w:r>
        <w:rPr>
          <w:rFonts w:eastAsia="方正小标宋简体" w:cs="Times New Roman" w:hint="eastAsia"/>
          <w:kern w:val="0"/>
          <w:sz w:val="40"/>
          <w:szCs w:val="44"/>
          <w:lang w:val="en-US" w:eastAsia="zh-CN"/>
        </w:rPr>
        <w:t>4</w:t>
      </w:r>
      <w:r>
        <w:rPr>
          <w:rFonts w:ascii="Times New Roman" w:eastAsia="方正小标宋简体" w:cs="Times New Roman" w:hAnsi="Times New Roman"/>
          <w:kern w:val="0"/>
          <w:sz w:val="40"/>
          <w:szCs w:val="44"/>
        </w:rPr>
        <w:t>年部门整体绩效评价报告</w:t>
      </w:r>
    </w:p>
    <w:p>
      <w:pPr>
        <w:pageBreakBefore w:val="0"/>
        <w:widowControl/>
        <w:kinsoku/>
        <w:wordWrap/>
        <w:overflowPunct/>
        <w:topLinePunct w:val="0"/>
        <w:bidi w:val="0"/>
        <w:adjustRightInd w:val="0"/>
        <w:snapToGrid w:val="0"/>
        <w:spacing w:line="576" w:lineRule="exact"/>
        <w:ind w:firstLineChars="200" w:firstLine="480"/>
        <w:contextualSpacing/>
        <w:jc w:val="left"/>
        <w:rPr>
          <w:rFonts w:ascii="Times New Roman" w:eastAsia="黑体" w:cs="Times New Roman" w:hAnsi="Times New Roman"/>
          <w:kern w:val="0"/>
          <w:sz w:val="24"/>
          <w:szCs w:val="32"/>
          <w:shd w:val="clear" w:color="auto" w:fill="FFFFFF"/>
        </w:rPr>
      </w:pP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黑体" w:cs="Times New Roman" w:hAnsi="Times New Roman"/>
          <w:kern w:val="0"/>
          <w:sz w:val="32"/>
          <w:szCs w:val="32"/>
          <w:shd w:val="clear" w:color="auto" w:fill="FFFFFF"/>
          <w:lang w:val="zh-CN"/>
        </w:rPr>
      </w:pPr>
      <w:r>
        <w:rPr>
          <w:rFonts w:ascii="Times New Roman" w:eastAsia="黑体" w:cs="Times New Roman" w:hAnsi="Times New Roman"/>
          <w:kern w:val="0"/>
          <w:sz w:val="32"/>
          <w:szCs w:val="32"/>
          <w:shd w:val="clear" w:color="auto" w:fill="FFFFFF"/>
        </w:rPr>
        <w:t>一、</w:t>
      </w:r>
      <w:r>
        <w:rPr>
          <w:rFonts w:ascii="Times New Roman" w:eastAsia="黑体" w:cs="Times New Roman" w:hAnsi="Times New Roman"/>
          <w:kern w:val="0"/>
          <w:sz w:val="32"/>
          <w:szCs w:val="32"/>
          <w:shd w:val="clear" w:color="auto" w:fill="FFFFFF"/>
          <w:lang w:val="zh-CN"/>
        </w:rPr>
        <w:t>部门（单位）概况</w:t>
      </w:r>
    </w:p>
    <w:p>
      <w:pPr>
        <w:pageBreakBefore w:val="0"/>
        <w:widowControl w:val="0"/>
        <w:kinsoku/>
        <w:wordWrap/>
        <w:overflowPunct/>
        <w:topLinePunct w:val="0"/>
        <w:bidi w:val="0"/>
        <w:adjustRightInd w:val="0"/>
        <w:snapToGrid w:val="0"/>
        <w:spacing w:line="576" w:lineRule="exact"/>
        <w:ind w:firstLine="720"/>
        <w:rPr>
          <w:rFonts w:ascii="黑体" w:eastAsia="黑体" w:cs="黑体" w:hint="eastAsia"/>
          <w:b/>
          <w:sz w:val="32"/>
          <w:szCs w:val="32"/>
          <w:lang w:val="zh-CN"/>
        </w:rPr>
      </w:pPr>
      <w:r>
        <w:rPr>
          <w:rFonts w:ascii="黑体" w:eastAsia="黑体" w:cs="黑体" w:hint="eastAsia"/>
          <w:b/>
          <w:sz w:val="32"/>
          <w:szCs w:val="32"/>
          <w:lang w:val="zh-CN"/>
        </w:rPr>
        <w:t>（一）机构组成。</w:t>
      </w:r>
    </w:p>
    <w:p>
      <w:pPr>
        <w:pageBreakBefore w:val="0"/>
        <w:widowControl w:val="0"/>
        <w:kinsoku/>
        <w:wordWrap/>
        <w:overflowPunct/>
        <w:topLinePunct w:val="0"/>
        <w:bidi w:val="0"/>
        <w:adjustRightInd w:val="0"/>
        <w:snapToGrid w:val="0"/>
        <w:spacing w:line="576" w:lineRule="exact"/>
        <w:ind w:firstLine="720"/>
        <w:rPr>
          <w:rFonts w:ascii="仿宋_GB2312" w:eastAsia="仿宋_GB2312" w:cs="仿宋_GB2312" w:hint="eastAsia"/>
          <w:spacing w:val="34"/>
          <w:sz w:val="32"/>
          <w:szCs w:val="32"/>
          <w:lang w:val="zh-CN"/>
        </w:rPr>
      </w:pPr>
      <w:r>
        <w:rPr>
          <w:rFonts w:ascii="Times New Roman" w:eastAsia="仿宋_GB2312" w:cs="仿宋_GB2312" w:hAnsi="Times New Roman" w:hint="eastAsia"/>
          <w:color w:val="auto"/>
          <w:kern w:val="2"/>
          <w:sz w:val="32"/>
          <w:szCs w:val="32"/>
          <w:lang w:val="zh-CN" w:eastAsia="zh-CN" w:bidi="ar-SA"/>
          <w:highlight w:val="auto"/>
        </w:rPr>
        <w:t>本部门预算单位</w:t>
      </w:r>
      <w:r>
        <w:rPr>
          <w:rFonts w:ascii="Times New Roman" w:eastAsia="仿宋_GB2312" w:cs="仿宋_GB2312" w:hAnsi="Times New Roman" w:hint="eastAsia"/>
          <w:color w:val="auto"/>
          <w:kern w:val="2"/>
          <w:sz w:val="32"/>
          <w:szCs w:val="32"/>
          <w:lang w:val="en-US" w:eastAsia="zh-CN" w:bidi="ar-SA"/>
          <w:highlight w:val="auto"/>
        </w:rPr>
        <w:t>1</w:t>
      </w:r>
      <w:r>
        <w:rPr>
          <w:rFonts w:ascii="Times New Roman" w:eastAsia="仿宋_GB2312" w:cs="仿宋_GB2312" w:hAnsi="Times New Roman" w:hint="eastAsia"/>
          <w:color w:val="auto"/>
          <w:kern w:val="2"/>
          <w:sz w:val="32"/>
          <w:szCs w:val="32"/>
          <w:lang w:val="zh-CN" w:eastAsia="zh-CN" w:bidi="ar-SA"/>
          <w:highlight w:val="auto"/>
        </w:rPr>
        <w:t>个，其中内设机构</w:t>
      </w:r>
      <w:r>
        <w:rPr>
          <w:rFonts w:ascii="Times New Roman" w:eastAsia="仿宋_GB2312" w:cs="仿宋_GB2312" w:hAnsi="Times New Roman" w:hint="eastAsia"/>
          <w:color w:val="auto"/>
          <w:kern w:val="2"/>
          <w:sz w:val="32"/>
          <w:szCs w:val="32"/>
          <w:lang w:val="en-US" w:eastAsia="zh-CN" w:bidi="ar-SA"/>
          <w:highlight w:val="auto"/>
        </w:rPr>
        <w:t>3</w:t>
      </w:r>
      <w:r>
        <w:rPr>
          <w:rFonts w:ascii="Times New Roman" w:eastAsia="仿宋_GB2312" w:cs="仿宋_GB2312" w:hAnsi="Times New Roman" w:hint="eastAsia"/>
          <w:color w:val="auto"/>
          <w:kern w:val="2"/>
          <w:sz w:val="32"/>
          <w:szCs w:val="32"/>
          <w:lang w:val="zh-CN" w:eastAsia="zh-CN" w:bidi="ar-SA"/>
          <w:highlight w:val="auto"/>
        </w:rPr>
        <w:t>个，分别是中共金川县委办公室、金川县党政网管中心、金川县目标绩效事务中心。</w:t>
      </w:r>
    </w:p>
    <w:p>
      <w:pPr>
        <w:pageBreakBefore w:val="0"/>
        <w:widowControl w:val="0"/>
        <w:kinsoku/>
        <w:wordWrap/>
        <w:overflowPunct/>
        <w:topLinePunct w:val="0"/>
        <w:bidi w:val="0"/>
        <w:adjustRightInd w:val="0"/>
        <w:snapToGrid w:val="0"/>
        <w:spacing w:line="576" w:lineRule="exact"/>
        <w:ind w:firstLine="720"/>
        <w:rPr>
          <w:rFonts w:ascii="黑体" w:eastAsia="黑体" w:cs="黑体" w:hint="eastAsia"/>
          <w:b/>
          <w:sz w:val="32"/>
          <w:szCs w:val="32"/>
          <w:lang w:val="zh-CN"/>
        </w:rPr>
      </w:pPr>
      <w:r>
        <w:rPr>
          <w:rFonts w:ascii="黑体" w:eastAsia="黑体" w:cs="黑体" w:hint="eastAsia"/>
          <w:b/>
          <w:sz w:val="32"/>
          <w:szCs w:val="32"/>
          <w:lang w:val="zh-CN"/>
        </w:rPr>
        <w:t>（二）机构职能。</w:t>
      </w:r>
    </w:p>
    <w:p>
      <w:pPr>
        <w:pageBreakBefore w:val="0"/>
        <w:widowControl w:val="0"/>
        <w:kinsoku/>
        <w:wordWrap/>
        <w:overflowPunct/>
        <w:topLinePunct w:val="0"/>
        <w:bidi w:val="0"/>
        <w:adjustRightInd w:val="0"/>
        <w:snapToGrid w:val="0"/>
        <w:spacing w:line="576" w:lineRule="exact"/>
        <w:ind w:firstLine="72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1、 负责县委日常文书的处理，中央、省、州委和县委重要工作部署贯彻落实和督促检查，中央、省、州委和县委领导同志批示的传达和催办落实主。</w:t>
      </w:r>
    </w:p>
    <w:p>
      <w:pPr>
        <w:pageBreakBefore w:val="0"/>
        <w:widowControl w:val="0"/>
        <w:kinsoku/>
        <w:wordWrap/>
        <w:overflowPunct/>
        <w:topLinePunct w:val="0"/>
        <w:bidi w:val="0"/>
        <w:adjustRightInd w:val="0"/>
        <w:snapToGrid w:val="0"/>
        <w:spacing w:line="576" w:lineRule="exact"/>
        <w:ind w:firstLine="72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2、围绕中央、省、州委和县委工作部署，收集信息，反映动态，综合调研；承担县委部份文件、文稿的起草、修改、校对和印制工作；负责中央、省、州委和县委文件的收发、处理、传递和管理等工作。</w:t>
      </w:r>
    </w:p>
    <w:p>
      <w:pPr>
        <w:pageBreakBefore w:val="0"/>
        <w:widowControl w:val="0"/>
        <w:kinsoku/>
        <w:wordWrap/>
        <w:overflowPunct/>
        <w:topLinePunct w:val="0"/>
        <w:bidi w:val="0"/>
        <w:adjustRightInd w:val="0"/>
        <w:snapToGrid w:val="0"/>
        <w:spacing w:line="576" w:lineRule="exact"/>
        <w:ind w:firstLine="72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3、负责县委各种会议的会务工作和县委领导参加重大活动的组织安排，负责县委有关的接待工作。</w:t>
      </w:r>
    </w:p>
    <w:p>
      <w:pPr>
        <w:pageBreakBefore w:val="0"/>
        <w:widowControl w:val="0"/>
        <w:kinsoku/>
        <w:wordWrap/>
        <w:overflowPunct/>
        <w:topLinePunct w:val="0"/>
        <w:bidi w:val="0"/>
        <w:adjustRightInd w:val="0"/>
        <w:snapToGrid w:val="0"/>
        <w:spacing w:line="576" w:lineRule="exact"/>
        <w:ind w:firstLine="72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4、负责全县党政系统的密码通信和密码管理；负责中央、省、州委和县委文件和党政军领导机关及其要害部门核心机密文电，信件的处理和传递工作；负责全县保密工作。</w:t>
      </w:r>
    </w:p>
    <w:p>
      <w:pPr>
        <w:pageBreakBefore w:val="0"/>
        <w:widowControl w:val="0"/>
        <w:kinsoku/>
        <w:wordWrap/>
        <w:overflowPunct/>
        <w:topLinePunct w:val="0"/>
        <w:bidi w:val="0"/>
        <w:adjustRightInd w:val="0"/>
        <w:snapToGrid w:val="0"/>
        <w:spacing w:line="576" w:lineRule="exact"/>
        <w:ind w:firstLine="72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5、负责受理和接待人民群众向县委、县委领导的来信来访，办理和协调处理信访案件。</w:t>
      </w:r>
    </w:p>
    <w:p>
      <w:pPr>
        <w:pageBreakBefore w:val="0"/>
        <w:widowControl w:val="0"/>
        <w:kinsoku/>
        <w:wordWrap/>
        <w:overflowPunct/>
        <w:topLinePunct w:val="0"/>
        <w:bidi w:val="0"/>
        <w:adjustRightInd w:val="0"/>
        <w:snapToGrid w:val="0"/>
        <w:spacing w:line="576" w:lineRule="exact"/>
        <w:ind w:firstLine="72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6、负责农村工作领导小组的日常工作。</w:t>
      </w:r>
    </w:p>
    <w:p>
      <w:pPr>
        <w:pageBreakBefore w:val="0"/>
        <w:widowControl w:val="0"/>
        <w:kinsoku/>
        <w:wordWrap/>
        <w:overflowPunct/>
        <w:topLinePunct w:val="0"/>
        <w:bidi w:val="0"/>
        <w:adjustRightInd w:val="0"/>
        <w:snapToGrid w:val="0"/>
        <w:spacing w:line="576" w:lineRule="exact"/>
        <w:ind w:firstLine="72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7、负责协调有关部门办理县委和县委领导责成办理的事项。</w:t>
      </w:r>
    </w:p>
    <w:p>
      <w:pPr>
        <w:pageBreakBefore w:val="0"/>
        <w:widowControl w:val="0"/>
        <w:kinsoku/>
        <w:wordWrap/>
        <w:overflowPunct/>
        <w:topLinePunct w:val="0"/>
        <w:bidi w:val="0"/>
        <w:adjustRightInd w:val="0"/>
        <w:snapToGrid w:val="0"/>
        <w:spacing w:line="576" w:lineRule="exact"/>
        <w:ind w:firstLine="72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8、负责县委和行政后勤保障工作，管理县委机关的固定资产，负责县委机关的财务管理、财务审计、基建计划及实施等工作。</w:t>
      </w:r>
    </w:p>
    <w:p>
      <w:pPr>
        <w:pageBreakBefore w:val="0"/>
        <w:widowControl w:val="0"/>
        <w:kinsoku/>
        <w:wordWrap/>
        <w:overflowPunct/>
        <w:topLinePunct w:val="0"/>
        <w:bidi w:val="0"/>
        <w:adjustRightInd w:val="0"/>
        <w:snapToGrid w:val="0"/>
        <w:spacing w:line="576" w:lineRule="exact"/>
        <w:ind w:firstLine="72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9、负责县委机关大院办公楼、宿舍区的安全防范和社会治安综合治理及精神文明建设。</w:t>
      </w:r>
    </w:p>
    <w:p>
      <w:pPr>
        <w:pageBreakBefore w:val="0"/>
        <w:widowControl w:val="0"/>
        <w:kinsoku/>
        <w:wordWrap/>
        <w:overflowPunct/>
        <w:topLinePunct w:val="0"/>
        <w:bidi w:val="0"/>
        <w:adjustRightInd w:val="0"/>
        <w:snapToGrid w:val="0"/>
        <w:spacing w:line="576" w:lineRule="exact"/>
        <w:ind w:firstLine="72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10、负责原县委领导和办公室离退休人员的管理、服务工作。</w:t>
      </w:r>
    </w:p>
    <w:p>
      <w:pPr>
        <w:pageBreakBefore w:val="0"/>
        <w:widowControl w:val="0"/>
        <w:kinsoku/>
        <w:wordWrap/>
        <w:overflowPunct/>
        <w:topLinePunct w:val="0"/>
        <w:bidi w:val="0"/>
        <w:adjustRightInd w:val="0"/>
        <w:snapToGrid w:val="0"/>
        <w:spacing w:line="576" w:lineRule="exact"/>
        <w:ind w:firstLine="720"/>
        <w:rPr>
          <w:rFonts w:ascii="Times New Roman" w:eastAsia="仿宋_GB2312" w:cs="仿宋_GB2312" w:hAnsi="Times New Roman" w:hint="eastAsia"/>
          <w:color w:val="auto"/>
          <w:kern w:val="2"/>
          <w:sz w:val="32"/>
          <w:szCs w:val="32"/>
          <w:lang w:val="zh-CN"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11、完成县委和县委领导交办的其它工作。</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kern w:val="0"/>
          <w:sz w:val="32"/>
          <w:szCs w:val="32"/>
          <w:shd w:val="clear" w:color="auto" w:fill="FFFFFF"/>
          <w:lang w:val="zh-CN"/>
        </w:rPr>
      </w:pPr>
      <w:r>
        <w:rPr>
          <w:rFonts w:ascii="Times New Roman" w:eastAsia="楷体_GB2312" w:cs="Times New Roman" w:hAnsi="Times New Roman"/>
          <w:b/>
          <w:sz w:val="32"/>
          <w:szCs w:val="32"/>
          <w:lang w:val="zh-CN"/>
        </w:rPr>
        <w:t>（三）人员概况</w:t>
      </w:r>
      <w:r>
        <w:rPr>
          <w:rFonts w:ascii="Times New Roman" w:eastAsia="仿宋_GB2312" w:cs="Times New Roman" w:hAnsi="Times New Roman"/>
          <w:kern w:val="0"/>
          <w:sz w:val="32"/>
          <w:szCs w:val="32"/>
          <w:shd w:val="clear" w:color="auto" w:fill="FFFFFF"/>
          <w:lang w:val="zh-CN"/>
        </w:rPr>
        <w:t>。</w:t>
      </w:r>
    </w:p>
    <w:p>
      <w:pPr>
        <w:pageBreakBefore w:val="0"/>
        <w:widowControl w:val="0"/>
        <w:kinsoku/>
        <w:wordWrap/>
        <w:overflowPunct/>
        <w:topLinePunct w:val="0"/>
        <w:bidi w:val="0"/>
        <w:adjustRightInd w:val="0"/>
        <w:snapToGrid w:val="0"/>
        <w:spacing w:line="576" w:lineRule="exact"/>
        <w:ind w:firstLine="720"/>
        <w:rPr>
          <w:rFonts w:ascii="Times New Roman" w:eastAsia="仿宋_GB2312" w:cs="仿宋_GB2312" w:hAnsi="Times New Roman" w:hint="eastAsia"/>
          <w:color w:val="auto"/>
          <w:kern w:val="2"/>
          <w:sz w:val="32"/>
          <w:szCs w:val="32"/>
          <w:lang w:val="zh-CN" w:eastAsia="zh-CN" w:bidi="ar-SA"/>
          <w:highlight w:val="auto"/>
        </w:rPr>
      </w:pPr>
      <w:r>
        <w:rPr>
          <w:rFonts w:ascii="仿宋_GB2312" w:eastAsia="仿宋_GB2312" w:cs="仿宋_GB2312" w:hint="eastAsia"/>
          <w:color w:val="auto"/>
          <w:kern w:val="2"/>
          <w:sz w:val="32"/>
          <w:szCs w:val="32"/>
          <w:lang w:val="en-US" w:eastAsia="zh-CN" w:bidi="ar-SA"/>
          <w:highlight w:val="auto"/>
        </w:rPr>
        <w:t>截至2024年末，</w:t>
      </w:r>
      <w:r>
        <w:rPr>
          <w:rFonts w:ascii="仿宋_GB2312" w:eastAsia="仿宋_GB2312" w:cs="仿宋_GB2312" w:hint="eastAsia"/>
          <w:color w:val="auto"/>
          <w:kern w:val="2"/>
          <w:sz w:val="32"/>
          <w:szCs w:val="32"/>
          <w:lang w:val="zh-CN" w:eastAsia="zh-CN" w:bidi="ar-SA"/>
          <w:highlight w:val="auto"/>
        </w:rPr>
        <w:t>县委编办核定我办人员编制</w:t>
      </w:r>
      <w:r>
        <w:rPr>
          <w:rFonts w:ascii="仿宋_GB2312" w:eastAsia="仿宋_GB2312" w:cs="仿宋_GB2312" w:hint="eastAsia"/>
          <w:color w:val="auto"/>
          <w:kern w:val="2"/>
          <w:sz w:val="32"/>
          <w:szCs w:val="32"/>
          <w:lang w:val="en-US" w:eastAsia="zh-CN" w:bidi="ar-SA"/>
          <w:highlight w:val="auto"/>
        </w:rPr>
        <w:t>42</w:t>
      </w:r>
      <w:r>
        <w:rPr>
          <w:rFonts w:ascii="仿宋_GB2312" w:eastAsia="仿宋_GB2312" w:cs="仿宋_GB2312" w:hint="eastAsia"/>
          <w:color w:val="auto"/>
          <w:kern w:val="2"/>
          <w:sz w:val="32"/>
          <w:szCs w:val="32"/>
          <w:lang w:val="zh-CN" w:eastAsia="zh-CN" w:bidi="ar-SA"/>
          <w:highlight w:val="auto"/>
        </w:rPr>
        <w:t>名，其中：公务员编制</w:t>
      </w:r>
      <w:r>
        <w:rPr>
          <w:rFonts w:ascii="仿宋_GB2312" w:eastAsia="仿宋_GB2312" w:cs="仿宋_GB2312" w:hint="eastAsia"/>
          <w:color w:val="auto"/>
          <w:kern w:val="2"/>
          <w:sz w:val="32"/>
          <w:szCs w:val="32"/>
          <w:lang w:val="en-US" w:eastAsia="zh-CN" w:bidi="ar-SA"/>
          <w:highlight w:val="auto"/>
        </w:rPr>
        <w:t>24</w:t>
      </w:r>
      <w:r>
        <w:rPr>
          <w:rFonts w:ascii="仿宋_GB2312" w:eastAsia="仿宋_GB2312" w:cs="仿宋_GB2312" w:hint="eastAsia"/>
          <w:color w:val="auto"/>
          <w:kern w:val="2"/>
          <w:sz w:val="32"/>
          <w:szCs w:val="32"/>
          <w:lang w:val="zh-CN" w:eastAsia="zh-CN" w:bidi="ar-SA"/>
          <w:highlight w:val="auto"/>
        </w:rPr>
        <w:t>名，参公编制</w:t>
      </w:r>
      <w:r>
        <w:rPr>
          <w:rFonts w:ascii="仿宋_GB2312" w:eastAsia="仿宋_GB2312" w:cs="仿宋_GB2312" w:hint="eastAsia"/>
          <w:color w:val="auto"/>
          <w:kern w:val="2"/>
          <w:sz w:val="32"/>
          <w:szCs w:val="32"/>
          <w:lang w:val="en-US" w:eastAsia="zh-CN" w:bidi="ar-SA"/>
          <w:highlight w:val="auto"/>
        </w:rPr>
        <w:t>4名，</w:t>
      </w:r>
      <w:r>
        <w:rPr>
          <w:rFonts w:ascii="仿宋_GB2312" w:eastAsia="仿宋_GB2312" w:cs="仿宋_GB2312" w:hint="eastAsia"/>
          <w:color w:val="auto"/>
          <w:kern w:val="2"/>
          <w:sz w:val="32"/>
          <w:szCs w:val="32"/>
          <w:lang w:val="zh-CN" w:eastAsia="zh-CN" w:bidi="ar-SA"/>
          <w:highlight w:val="auto"/>
        </w:rPr>
        <w:t>机关工勤编制</w:t>
      </w:r>
      <w:r>
        <w:rPr>
          <w:rFonts w:ascii="仿宋_GB2312" w:eastAsia="仿宋_GB2312" w:cs="仿宋_GB2312" w:hint="eastAsia"/>
          <w:color w:val="auto"/>
          <w:kern w:val="2"/>
          <w:sz w:val="32"/>
          <w:szCs w:val="32"/>
          <w:lang w:val="en-US" w:eastAsia="zh-CN" w:bidi="ar-SA"/>
          <w:highlight w:val="auto"/>
        </w:rPr>
        <w:t>7</w:t>
      </w:r>
      <w:r>
        <w:rPr>
          <w:rFonts w:ascii="仿宋_GB2312" w:eastAsia="仿宋_GB2312" w:cs="仿宋_GB2312" w:hint="eastAsia"/>
          <w:color w:val="auto"/>
          <w:kern w:val="2"/>
          <w:sz w:val="32"/>
          <w:szCs w:val="32"/>
          <w:lang w:val="zh-CN" w:eastAsia="zh-CN" w:bidi="ar-SA"/>
          <w:highlight w:val="auto"/>
        </w:rPr>
        <w:t>名，事业编制</w:t>
      </w:r>
      <w:r>
        <w:rPr>
          <w:rFonts w:ascii="仿宋_GB2312" w:eastAsia="仿宋_GB2312" w:cs="仿宋_GB2312" w:hint="eastAsia"/>
          <w:color w:val="auto"/>
          <w:kern w:val="2"/>
          <w:sz w:val="32"/>
          <w:szCs w:val="32"/>
          <w:lang w:val="en-US" w:eastAsia="zh-CN" w:bidi="ar-SA"/>
          <w:highlight w:val="auto"/>
        </w:rPr>
        <w:t>7</w:t>
      </w:r>
      <w:r>
        <w:rPr>
          <w:rFonts w:ascii="仿宋_GB2312" w:eastAsia="仿宋_GB2312" w:cs="仿宋_GB2312" w:hint="eastAsia"/>
          <w:color w:val="auto"/>
          <w:kern w:val="2"/>
          <w:sz w:val="32"/>
          <w:szCs w:val="32"/>
          <w:lang w:val="zh-CN" w:eastAsia="zh-CN" w:bidi="ar-SA"/>
          <w:highlight w:val="auto"/>
        </w:rPr>
        <w:t>名</w:t>
      </w:r>
      <w:r>
        <w:rPr>
          <w:rFonts w:ascii="Times New Roman" w:eastAsia="仿宋_GB2312" w:cs="仿宋_GB2312" w:hAnsi="Times New Roman" w:hint="eastAsia"/>
          <w:color w:val="auto"/>
          <w:kern w:val="2"/>
          <w:sz w:val="32"/>
          <w:szCs w:val="32"/>
          <w:lang w:val="zh-CN" w:eastAsia="zh-CN" w:bidi="ar-SA"/>
          <w:highlight w:val="auto"/>
        </w:rPr>
        <w:t>。</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黑体" w:cs="Times New Roman" w:hAnsi="Times New Roman"/>
          <w:kern w:val="0"/>
          <w:sz w:val="32"/>
          <w:szCs w:val="32"/>
          <w:shd w:val="clear" w:color="auto" w:fill="FFFFFF"/>
        </w:rPr>
      </w:pPr>
      <w:r>
        <w:rPr>
          <w:rFonts w:ascii="Times New Roman" w:eastAsia="黑体" w:cs="Times New Roman" w:hAnsi="Times New Roman"/>
          <w:kern w:val="0"/>
          <w:sz w:val="32"/>
          <w:szCs w:val="32"/>
          <w:shd w:val="clear" w:color="auto" w:fill="FFFFFF"/>
        </w:rPr>
        <w:t>二、部门财政资金收支情况</w:t>
      </w:r>
    </w:p>
    <w:p>
      <w:pPr>
        <w:pageBreakBefore w:val="0"/>
        <w:widowControl/>
        <w:numPr>
          <w:ilvl w:val="0"/>
          <w:numId w:val="6"/>
        </w:numPr>
        <w:kinsoku/>
        <w:wordWrap/>
        <w:overflowPunct/>
        <w:topLinePunct w:val="0"/>
        <w:bidi w:val="0"/>
        <w:adjustRightInd w:val="0"/>
        <w:snapToGrid w:val="0"/>
        <w:spacing w:line="576" w:lineRule="exact"/>
        <w:contextualSpacing/>
        <w:jc w:val="left"/>
        <w:rPr>
          <w:rFonts w:ascii="Times New Roman" w:eastAsia="仿宋_GB2312" w:cs="Times New Roman" w:hAnsi="Times New Roman"/>
          <w:b/>
          <w:bCs/>
          <w:kern w:val="0"/>
          <w:sz w:val="32"/>
          <w:szCs w:val="32"/>
          <w:shd w:val="clear" w:color="auto" w:fill="FFFFFF"/>
          <w:lang w:val="zh-CN"/>
        </w:rPr>
      </w:pPr>
      <w:r>
        <w:rPr>
          <w:rFonts w:ascii="Times New Roman" w:eastAsia="仿宋_GB2312" w:cs="Times New Roman" w:hAnsi="Times New Roman"/>
          <w:b/>
          <w:bCs/>
          <w:kern w:val="0"/>
          <w:sz w:val="32"/>
          <w:szCs w:val="32"/>
          <w:shd w:val="clear" w:color="auto" w:fill="FFFFFF"/>
          <w:lang w:val="zh-CN"/>
        </w:rPr>
        <w:t>部门财政资金收入情况。</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bCs/>
          <w:kern w:val="0"/>
          <w:sz w:val="32"/>
          <w:szCs w:val="32"/>
          <w:shd w:val="clear" w:color="auto" w:fill="FFFFFF"/>
          <w:lang w:val="zh-CN" w:eastAsia="zh-CN"/>
        </w:rPr>
      </w:pPr>
      <w:r>
        <w:rPr>
          <w:rFonts w:ascii="仿宋_GB2312" w:eastAsia="仿宋_GB2312" w:cs="仿宋_GB2312" w:hint="eastAsia"/>
          <w:color w:val="auto"/>
          <w:kern w:val="2"/>
          <w:sz w:val="32"/>
          <w:szCs w:val="32"/>
          <w:lang w:val="zh-CN" w:eastAsia="zh-CN" w:bidi="ar-SA"/>
          <w:highlight w:val="auto"/>
        </w:rPr>
        <w:t>202</w:t>
      </w:r>
      <w:r>
        <w:rPr>
          <w:rFonts w:ascii="仿宋_GB2312" w:eastAsia="仿宋_GB2312" w:cs="仿宋_GB2312" w:hint="eastAsia"/>
          <w:color w:val="auto"/>
          <w:kern w:val="2"/>
          <w:sz w:val="32"/>
          <w:szCs w:val="32"/>
          <w:lang w:val="en-US" w:eastAsia="zh-CN" w:bidi="ar-SA"/>
          <w:highlight w:val="auto"/>
        </w:rPr>
        <w:t>4</w:t>
      </w:r>
      <w:r>
        <w:rPr>
          <w:rFonts w:ascii="仿宋_GB2312" w:eastAsia="仿宋_GB2312" w:cs="仿宋_GB2312" w:hint="eastAsia"/>
          <w:color w:val="auto"/>
          <w:kern w:val="2"/>
          <w:sz w:val="32"/>
          <w:szCs w:val="32"/>
          <w:lang w:val="zh-CN" w:eastAsia="zh-CN" w:bidi="ar-SA"/>
          <w:highlight w:val="auto"/>
        </w:rPr>
        <w:t>年度收入合计</w:t>
      </w:r>
      <w:r>
        <w:rPr>
          <w:rFonts w:ascii="仿宋_GB2312" w:eastAsia="仿宋_GB2312" w:cs="仿宋_GB2312" w:hint="eastAsia"/>
          <w:color w:val="auto"/>
          <w:kern w:val="2"/>
          <w:sz w:val="32"/>
          <w:szCs w:val="32"/>
          <w:lang w:val="en-US" w:eastAsia="zh-CN" w:bidi="ar-SA"/>
          <w:highlight w:val="auto"/>
        </w:rPr>
        <w:t>2032.89万元，</w:t>
      </w:r>
      <w:r>
        <w:rPr>
          <w:rFonts w:ascii="仿宋_GB2312" w:eastAsia="仿宋_GB2312" w:cs="仿宋_GB2312" w:hint="eastAsia"/>
          <w:color w:val="auto"/>
          <w:kern w:val="2"/>
          <w:sz w:val="32"/>
          <w:szCs w:val="32"/>
          <w:lang w:val="zh-CN" w:eastAsia="zh-CN" w:bidi="ar-SA"/>
          <w:highlight w:val="auto"/>
        </w:rPr>
        <w:t>较上年减少123.91万元，</w:t>
      </w:r>
      <w:r>
        <w:rPr>
          <w:rFonts w:ascii="仿宋_GB2312" w:eastAsia="仿宋_GB2312" w:cs="仿宋_GB2312" w:hint="eastAsia"/>
          <w:color w:val="auto"/>
          <w:kern w:val="2"/>
          <w:sz w:val="32"/>
          <w:szCs w:val="32"/>
          <w:lang w:val="en-US" w:eastAsia="zh-CN" w:bidi="ar-SA"/>
          <w:highlight w:val="auto"/>
        </w:rPr>
        <w:t>下降5.75%。主要变动原因是本年度专项经费减少导致经费减少</w:t>
      </w:r>
      <w:r>
        <w:rPr>
          <w:rFonts w:ascii="Times New Roman" w:eastAsia="仿宋_GB2312" w:cs="Times New Roman" w:hAnsi="Times New Roman"/>
          <w:color w:val="000000"/>
          <w:sz w:val="32"/>
          <w:szCs w:val="32"/>
          <w:lang w:val="en-US" w:eastAsia="zh-CN"/>
        </w:rPr>
        <w:t>。</w:t>
      </w:r>
    </w:p>
    <w:p>
      <w:pPr>
        <w:pStyle w:val="16"/>
        <w:numPr>
          <w:ilvl w:val="0"/>
          <w:numId w:val="7"/>
        </w:numPr>
        <w:ind w:left="640" w:firstLine="0"/>
        <w:rPr>
          <w:rFonts w:ascii="Times New Roman" w:eastAsia="仿宋_GB2312" w:cs="Times New Roman" w:hAnsi="Times New Roman"/>
          <w:b/>
          <w:bCs w:val="0"/>
          <w:kern w:val="0"/>
          <w:sz w:val="32"/>
          <w:szCs w:val="32"/>
          <w:shd w:val="clear" w:color="auto" w:fill="FFFFFF"/>
          <w:lang w:val="zh-CN" w:eastAsia="zh-CN"/>
        </w:rPr>
      </w:pPr>
      <w:r>
        <w:rPr>
          <w:rFonts w:ascii="Times New Roman" w:eastAsia="仿宋_GB2312" w:cs="Times New Roman" w:hAnsi="Times New Roman"/>
          <w:b/>
          <w:bCs w:val="0"/>
          <w:kern w:val="0"/>
          <w:sz w:val="32"/>
          <w:szCs w:val="32"/>
          <w:shd w:val="clear" w:color="auto" w:fill="FFFFFF"/>
          <w:lang w:val="zh-CN" w:eastAsia="zh-CN"/>
        </w:rPr>
        <w:t>一般公共预算财政拨款支出</w:t>
      </w:r>
      <w:r>
        <w:rPr>
          <w:rFonts w:ascii="Times New Roman" w:cs="Times New Roman" w:hAnsi="Times New Roman" w:hint="eastAsia"/>
          <w:b/>
          <w:bCs w:val="0"/>
          <w:kern w:val="0"/>
          <w:sz w:val="32"/>
          <w:szCs w:val="32"/>
          <w:shd w:val="clear" w:color="auto" w:fill="FFFFFF"/>
          <w:lang w:val="zh-CN" w:eastAsia="zh-CN"/>
        </w:rPr>
        <w:t>情况</w:t>
      </w:r>
      <w:r>
        <w:rPr>
          <w:rFonts w:ascii="Times New Roman" w:eastAsia="仿宋_GB2312" w:cs="Times New Roman" w:hAnsi="Times New Roman"/>
          <w:b/>
          <w:bCs w:val="0"/>
          <w:kern w:val="0"/>
          <w:sz w:val="32"/>
          <w:szCs w:val="32"/>
          <w:shd w:val="clear" w:color="auto" w:fill="FFFFFF"/>
          <w:lang w:val="zh-CN" w:eastAsia="zh-CN"/>
        </w:rPr>
        <w:t>。</w:t>
      </w:r>
    </w:p>
    <w:p>
      <w:pPr>
        <w:pageBreakBefore w:val="0"/>
        <w:widowControl w:val="0"/>
        <w:kinsoku/>
        <w:wordWrap/>
        <w:overflowPunct/>
        <w:topLinePunct w:val="0"/>
        <w:bidi w:val="0"/>
        <w:spacing w:line="576" w:lineRule="exact"/>
        <w:ind w:firstLineChars="200" w:firstLine="640"/>
        <w:rPr>
          <w:rFonts w:ascii="仿宋_GB2312" w:eastAsia="仿宋_GB2312" w:cs="仿宋_GB2312" w:hint="eastAsia"/>
          <w:color w:val="auto"/>
          <w:kern w:val="2"/>
          <w:sz w:val="32"/>
          <w:szCs w:val="32"/>
          <w:lang w:val="en-US" w:eastAsia="zh-CN" w:bidi="ar-SA"/>
          <w:highlight w:val="auto"/>
        </w:rPr>
      </w:pPr>
      <w:r>
        <w:rPr>
          <w:rFonts w:ascii="仿宋_GB2312" w:eastAsia="仿宋_GB2312" w:cs="仿宋_GB2312" w:hint="eastAsia"/>
          <w:color w:val="auto"/>
          <w:kern w:val="2"/>
          <w:sz w:val="32"/>
          <w:szCs w:val="32"/>
          <w:lang w:val="zh-CN" w:eastAsia="zh-CN" w:bidi="ar-SA"/>
          <w:highlight w:val="auto"/>
        </w:rPr>
        <w:t>202</w:t>
      </w:r>
      <w:r>
        <w:rPr>
          <w:rFonts w:ascii="仿宋_GB2312" w:eastAsia="仿宋_GB2312" w:cs="仿宋_GB2312" w:hint="eastAsia"/>
          <w:color w:val="auto"/>
          <w:kern w:val="2"/>
          <w:sz w:val="32"/>
          <w:szCs w:val="32"/>
          <w:lang w:val="en-US" w:eastAsia="zh-CN" w:bidi="ar-SA"/>
          <w:highlight w:val="auto"/>
        </w:rPr>
        <w:t>4</w:t>
      </w:r>
      <w:r>
        <w:rPr>
          <w:rFonts w:ascii="仿宋_GB2312" w:eastAsia="仿宋_GB2312" w:cs="仿宋_GB2312" w:hint="eastAsia"/>
          <w:color w:val="auto"/>
          <w:kern w:val="2"/>
          <w:sz w:val="32"/>
          <w:szCs w:val="32"/>
          <w:lang w:val="zh-CN" w:eastAsia="zh-CN" w:bidi="ar-SA"/>
          <w:highlight w:val="auto"/>
        </w:rPr>
        <w:t>年一般公共预算财政拨款支出</w:t>
      </w:r>
      <w:r>
        <w:rPr>
          <w:rFonts w:ascii="仿宋_GB2312" w:eastAsia="仿宋_GB2312" w:cs="仿宋_GB2312" w:hint="eastAsia"/>
          <w:color w:val="auto"/>
          <w:kern w:val="2"/>
          <w:sz w:val="32"/>
          <w:szCs w:val="32"/>
          <w:lang w:val="en-US" w:eastAsia="zh-CN" w:bidi="ar-SA"/>
          <w:highlight w:val="auto"/>
        </w:rPr>
        <w:t>2032.89</w:t>
      </w:r>
      <w:r>
        <w:rPr>
          <w:rFonts w:ascii="仿宋_GB2312" w:eastAsia="仿宋_GB2312" w:cs="仿宋_GB2312" w:hint="eastAsia"/>
          <w:color w:val="auto"/>
          <w:kern w:val="2"/>
          <w:sz w:val="32"/>
          <w:szCs w:val="32"/>
          <w:lang w:val="zh-CN" w:eastAsia="zh-CN" w:bidi="ar-SA"/>
          <w:highlight w:val="auto"/>
        </w:rPr>
        <w:t>万元。占本年总支出的100%。与</w:t>
      </w:r>
      <w:r>
        <w:rPr>
          <w:rFonts w:ascii="仿宋_GB2312" w:eastAsia="仿宋_GB2312" w:cs="仿宋_GB2312" w:hint="eastAsia"/>
          <w:color w:val="auto"/>
          <w:kern w:val="2"/>
          <w:sz w:val="32"/>
          <w:szCs w:val="32"/>
          <w:lang w:val="en-US" w:eastAsia="zh-CN" w:bidi="ar-SA"/>
          <w:highlight w:val="auto"/>
        </w:rPr>
        <w:t>2023</w:t>
      </w:r>
      <w:r>
        <w:rPr>
          <w:rFonts w:ascii="仿宋_GB2312" w:eastAsia="仿宋_GB2312" w:cs="仿宋_GB2312" w:hint="eastAsia"/>
          <w:color w:val="auto"/>
          <w:kern w:val="2"/>
          <w:sz w:val="32"/>
          <w:szCs w:val="32"/>
          <w:lang w:val="zh-CN" w:eastAsia="zh-CN" w:bidi="ar-SA"/>
          <w:highlight w:val="auto"/>
        </w:rPr>
        <w:t>年相比，一般公共预算财政拨款支出较上年支出</w:t>
      </w:r>
      <w:r>
        <w:rPr>
          <w:rFonts w:ascii="仿宋_GB2312" w:eastAsia="仿宋_GB2312" w:cs="仿宋_GB2312" w:hint="eastAsia"/>
          <w:color w:val="auto"/>
          <w:kern w:val="2"/>
          <w:sz w:val="32"/>
          <w:szCs w:val="32"/>
          <w:lang w:val="en-US" w:eastAsia="zh-CN" w:bidi="ar-SA"/>
          <w:highlight w:val="auto"/>
        </w:rPr>
        <w:t>减少123.91</w:t>
      </w:r>
      <w:r>
        <w:rPr>
          <w:rFonts w:ascii="仿宋_GB2312" w:eastAsia="仿宋_GB2312" w:cs="仿宋_GB2312" w:hint="eastAsia"/>
          <w:color w:val="auto"/>
          <w:kern w:val="2"/>
          <w:sz w:val="32"/>
          <w:szCs w:val="32"/>
          <w:lang w:val="zh-CN" w:eastAsia="zh-CN" w:bidi="ar-SA"/>
          <w:highlight w:val="auto"/>
        </w:rPr>
        <w:t>万元，</w:t>
      </w:r>
      <w:r>
        <w:rPr>
          <w:rFonts w:ascii="仿宋_GB2312" w:eastAsia="仿宋_GB2312" w:cs="仿宋_GB2312" w:hint="eastAsia"/>
          <w:color w:val="auto"/>
          <w:kern w:val="2"/>
          <w:sz w:val="32"/>
          <w:szCs w:val="32"/>
          <w:lang w:val="en-US" w:eastAsia="zh-CN" w:bidi="ar-SA"/>
          <w:highlight w:val="auto"/>
        </w:rPr>
        <w:t>下降5.75</w:t>
      </w:r>
      <w:r>
        <w:rPr>
          <w:rFonts w:ascii="仿宋_GB2312" w:eastAsia="仿宋_GB2312" w:cs="仿宋_GB2312" w:hint="eastAsia"/>
          <w:color w:val="auto"/>
          <w:kern w:val="2"/>
          <w:sz w:val="32"/>
          <w:szCs w:val="32"/>
          <w:lang w:val="zh-CN" w:eastAsia="zh-CN" w:bidi="ar-SA"/>
          <w:highlight w:val="auto"/>
        </w:rPr>
        <w:t>%。主要原因：主要变动原因是本年度</w:t>
      </w:r>
      <w:r>
        <w:rPr>
          <w:rFonts w:ascii="仿宋_GB2312" w:eastAsia="仿宋_GB2312" w:cs="仿宋_GB2312" w:hint="eastAsia"/>
          <w:color w:val="auto"/>
          <w:kern w:val="2"/>
          <w:sz w:val="32"/>
          <w:szCs w:val="32"/>
          <w:lang w:val="en-US" w:eastAsia="zh-CN" w:bidi="ar-SA"/>
          <w:highlight w:val="auto"/>
        </w:rPr>
        <w:t>专项经费减少</w:t>
      </w:r>
      <w:r>
        <w:rPr>
          <w:rFonts w:ascii="仿宋_GB2312" w:eastAsia="仿宋_GB2312" w:cs="仿宋_GB2312" w:hint="eastAsia"/>
          <w:color w:val="auto"/>
          <w:kern w:val="2"/>
          <w:sz w:val="32"/>
          <w:szCs w:val="32"/>
          <w:lang w:val="zh-CN" w:eastAsia="zh-CN" w:bidi="ar-SA"/>
          <w:highlight w:val="auto"/>
        </w:rPr>
        <w:t>导致经费</w:t>
      </w:r>
      <w:r>
        <w:rPr>
          <w:rFonts w:ascii="仿宋_GB2312" w:eastAsia="仿宋_GB2312" w:cs="仿宋_GB2312" w:hint="eastAsia"/>
          <w:color w:val="auto"/>
          <w:kern w:val="2"/>
          <w:sz w:val="32"/>
          <w:szCs w:val="32"/>
          <w:lang w:val="en-US" w:eastAsia="zh-CN" w:bidi="ar-SA"/>
          <w:highlight w:val="auto"/>
        </w:rPr>
        <w:t>减少。</w:t>
      </w:r>
    </w:p>
    <w:p>
      <w:pPr>
        <w:pageBreakBefore w:val="0"/>
        <w:widowControl w:val="0"/>
        <w:kinsoku/>
        <w:wordWrap/>
        <w:overflowPunct/>
        <w:topLinePunct w:val="0"/>
        <w:bidi w:val="0"/>
        <w:spacing w:line="576" w:lineRule="exact"/>
        <w:ind w:firstLineChars="200" w:firstLine="640"/>
        <w:rPr>
          <w:rFonts w:ascii="仿宋_GB2312" w:eastAsia="仿宋_GB2312" w:cs="仿宋_GB2312" w:hint="eastAsia"/>
          <w:color w:val="auto"/>
          <w:kern w:val="2"/>
          <w:sz w:val="32"/>
          <w:szCs w:val="32"/>
          <w:lang w:val="zh-CN" w:eastAsia="zh-CN" w:bidi="ar-SA"/>
          <w:highlight w:val="auto"/>
        </w:rPr>
      </w:pPr>
      <w:r>
        <w:rPr>
          <w:rFonts w:ascii="仿宋_GB2312" w:eastAsia="仿宋_GB2312" w:cs="仿宋_GB2312" w:hint="eastAsia"/>
          <w:color w:val="auto"/>
          <w:kern w:val="2"/>
          <w:sz w:val="32"/>
          <w:szCs w:val="32"/>
          <w:lang w:val="zh-CN" w:eastAsia="zh-CN" w:bidi="ar-SA"/>
          <w:highlight w:val="auto"/>
        </w:rPr>
        <w:t>其中：基本支出</w:t>
      </w:r>
      <w:r>
        <w:rPr>
          <w:rFonts w:ascii="仿宋_GB2312" w:eastAsia="仿宋_GB2312" w:cs="仿宋_GB2312" w:hint="eastAsia"/>
          <w:color w:val="auto"/>
          <w:kern w:val="2"/>
          <w:sz w:val="32"/>
          <w:szCs w:val="32"/>
          <w:lang w:val="en-US" w:eastAsia="zh-CN" w:bidi="ar-SA"/>
          <w:highlight w:val="auto"/>
        </w:rPr>
        <w:t>1443.69</w:t>
      </w:r>
      <w:r>
        <w:rPr>
          <w:rFonts w:ascii="仿宋_GB2312" w:eastAsia="仿宋_GB2312" w:cs="仿宋_GB2312" w:hint="eastAsia"/>
          <w:color w:val="auto"/>
          <w:kern w:val="2"/>
          <w:sz w:val="32"/>
          <w:szCs w:val="32"/>
          <w:lang w:val="zh-CN" w:eastAsia="zh-CN" w:bidi="ar-SA"/>
          <w:highlight w:val="auto"/>
        </w:rPr>
        <w:t>万元，基本支出中人员经费</w:t>
      </w:r>
      <w:r>
        <w:rPr>
          <w:rFonts w:ascii="仿宋_GB2312" w:eastAsia="仿宋_GB2312" w:cs="仿宋_GB2312" w:hint="eastAsia"/>
          <w:color w:val="auto"/>
          <w:kern w:val="2"/>
          <w:sz w:val="32"/>
          <w:szCs w:val="32"/>
          <w:lang w:val="en-US" w:eastAsia="zh-CN" w:bidi="ar-SA"/>
          <w:highlight w:val="auto"/>
        </w:rPr>
        <w:t>1000.22</w:t>
      </w:r>
      <w:r>
        <w:rPr>
          <w:rFonts w:ascii="仿宋_GB2312" w:eastAsia="仿宋_GB2312" w:cs="仿宋_GB2312" w:hint="eastAsia"/>
          <w:color w:val="auto"/>
          <w:kern w:val="2"/>
          <w:sz w:val="32"/>
          <w:szCs w:val="32"/>
          <w:lang w:val="zh-CN" w:eastAsia="zh-CN" w:bidi="ar-SA"/>
          <w:highlight w:val="auto"/>
        </w:rPr>
        <w:t>万元，主要包括：基本工176.9万元，津贴补贴233.84万元，奖金225.7万元，</w:t>
      </w:r>
      <w:r>
        <w:rPr>
          <w:rFonts w:ascii="仿宋_GB2312" w:eastAsia="仿宋_GB2312" w:cs="仿宋_GB2312" w:hint="eastAsia"/>
          <w:color w:val="auto"/>
          <w:kern w:val="2"/>
          <w:sz w:val="32"/>
          <w:szCs w:val="32"/>
          <w:lang w:val="en-US" w:eastAsia="zh-CN" w:bidi="ar-SA"/>
          <w:highlight w:val="auto"/>
        </w:rPr>
        <w:t>绩效工资</w:t>
      </w:r>
      <w:r>
        <w:rPr>
          <w:rFonts w:ascii="仿宋_GB2312" w:eastAsia="仿宋_GB2312" w:cs="仿宋_GB2312" w:hint="eastAsia"/>
          <w:color w:val="auto"/>
          <w:kern w:val="2"/>
          <w:sz w:val="32"/>
          <w:szCs w:val="32"/>
          <w:lang w:val="zh-CN" w:eastAsia="zh-CN" w:bidi="ar-SA"/>
          <w:highlight w:val="auto"/>
        </w:rPr>
        <w:t>19.81</w:t>
      </w:r>
      <w:r>
        <w:rPr>
          <w:rFonts w:ascii="仿宋_GB2312" w:eastAsia="仿宋_GB2312" w:cs="仿宋_GB2312" w:hint="eastAsia"/>
          <w:color w:val="auto"/>
          <w:kern w:val="2"/>
          <w:sz w:val="32"/>
          <w:szCs w:val="32"/>
          <w:lang w:val="en-US" w:eastAsia="zh-CN" w:bidi="ar-SA"/>
          <w:highlight w:val="auto"/>
        </w:rPr>
        <w:t>万元，</w:t>
      </w:r>
      <w:r>
        <w:rPr>
          <w:rFonts w:ascii="仿宋_GB2312" w:eastAsia="仿宋_GB2312" w:cs="仿宋_GB2312" w:hint="eastAsia"/>
          <w:color w:val="auto"/>
          <w:kern w:val="2"/>
          <w:sz w:val="32"/>
          <w:szCs w:val="32"/>
          <w:lang w:val="zh-CN" w:eastAsia="zh-CN" w:bidi="ar-SA"/>
          <w:highlight w:val="auto"/>
        </w:rPr>
        <w:t>机关事业单位基本养老保险费87.56万元，机关事业单位职业年金43.73万元，行政单位医疗42.36万元，公务员医疗补助12.61万元，其他社会保障缴费11.95万元，住房保障70.62万元，</w:t>
      </w:r>
      <w:r>
        <w:rPr>
          <w:rFonts w:ascii="仿宋_GB2312" w:eastAsia="仿宋_GB2312" w:cs="仿宋_GB2312" w:hint="eastAsia"/>
          <w:color w:val="auto"/>
          <w:kern w:val="2"/>
          <w:sz w:val="32"/>
          <w:szCs w:val="32"/>
          <w:lang w:val="en-US" w:eastAsia="zh-CN" w:bidi="ar-SA"/>
          <w:highlight w:val="auto"/>
        </w:rPr>
        <w:t>抚恤金38.61万元，</w:t>
      </w:r>
      <w:r>
        <w:rPr>
          <w:rFonts w:ascii="仿宋_GB2312" w:eastAsia="仿宋_GB2312" w:cs="仿宋_GB2312" w:hint="eastAsia"/>
          <w:color w:val="auto"/>
          <w:kern w:val="2"/>
          <w:sz w:val="32"/>
          <w:szCs w:val="32"/>
          <w:lang w:val="zh-CN" w:eastAsia="zh-CN" w:bidi="ar-SA"/>
          <w:highlight w:val="auto"/>
        </w:rPr>
        <w:t>生活补助</w:t>
      </w:r>
      <w:r>
        <w:rPr>
          <w:rFonts w:ascii="仿宋_GB2312" w:eastAsia="仿宋_GB2312" w:cs="仿宋_GB2312" w:hint="eastAsia"/>
          <w:color w:val="auto"/>
          <w:kern w:val="2"/>
          <w:sz w:val="32"/>
          <w:szCs w:val="32"/>
          <w:lang w:val="en-US" w:eastAsia="zh-CN" w:bidi="ar-SA"/>
          <w:highlight w:val="auto"/>
        </w:rPr>
        <w:t>36.53</w:t>
      </w:r>
      <w:r>
        <w:rPr>
          <w:rFonts w:ascii="仿宋_GB2312" w:eastAsia="仿宋_GB2312" w:cs="仿宋_GB2312" w:hint="eastAsia"/>
          <w:color w:val="auto"/>
          <w:kern w:val="2"/>
          <w:sz w:val="32"/>
          <w:szCs w:val="32"/>
          <w:lang w:val="zh-CN" w:eastAsia="zh-CN" w:bidi="ar-SA"/>
          <w:highlight w:val="auto"/>
        </w:rPr>
        <w:t>万元，奖励金</w:t>
      </w:r>
      <w:r>
        <w:rPr>
          <w:rFonts w:ascii="仿宋_GB2312" w:eastAsia="仿宋_GB2312" w:cs="仿宋_GB2312" w:hint="eastAsia"/>
          <w:color w:val="auto"/>
          <w:kern w:val="2"/>
          <w:sz w:val="32"/>
          <w:szCs w:val="32"/>
          <w:lang w:val="en-US" w:eastAsia="zh-CN" w:bidi="ar-SA"/>
          <w:highlight w:val="auto"/>
        </w:rPr>
        <w:t>0.01</w:t>
      </w:r>
      <w:r>
        <w:rPr>
          <w:rFonts w:ascii="仿宋_GB2312" w:eastAsia="仿宋_GB2312" w:cs="仿宋_GB2312" w:hint="eastAsia"/>
          <w:color w:val="auto"/>
          <w:kern w:val="2"/>
          <w:sz w:val="32"/>
          <w:szCs w:val="32"/>
          <w:lang w:val="zh-CN" w:eastAsia="zh-CN" w:bidi="ar-SA"/>
          <w:highlight w:val="auto"/>
        </w:rPr>
        <w:t>万元。</w:t>
      </w:r>
    </w:p>
    <w:p>
      <w:pPr>
        <w:pageBreakBefore w:val="0"/>
        <w:widowControl w:val="0"/>
        <w:kinsoku/>
        <w:wordWrap/>
        <w:overflowPunct/>
        <w:topLinePunct w:val="0"/>
        <w:bidi w:val="0"/>
        <w:spacing w:line="576" w:lineRule="exact"/>
        <w:ind w:firstLineChars="200" w:firstLine="640"/>
        <w:rPr>
          <w:rFonts w:ascii="仿宋_GB2312" w:eastAsia="仿宋_GB2312" w:cs="仿宋_GB2312" w:hint="eastAsia"/>
          <w:color w:val="auto"/>
          <w:kern w:val="2"/>
          <w:sz w:val="32"/>
          <w:szCs w:val="32"/>
          <w:lang w:val="en-US" w:eastAsia="zh-CN" w:bidi="ar-SA"/>
          <w:highlight w:val="auto"/>
        </w:rPr>
      </w:pPr>
      <w:r>
        <w:rPr>
          <w:rFonts w:ascii="仿宋_GB2312" w:eastAsia="仿宋_GB2312" w:cs="仿宋_GB2312" w:hint="eastAsia"/>
          <w:sz w:val="32"/>
          <w:szCs w:val="32"/>
          <w:lang w:val="en-US" w:eastAsia="zh-CN"/>
        </w:rPr>
        <w:t>公用经费443.48万元，其中办公费</w:t>
      </w:r>
      <w:r>
        <w:rPr>
          <w:rFonts w:ascii="仿宋_GB2312" w:eastAsia="仿宋_GB2312" w:cs="仿宋_GB2312" w:hint="eastAsia"/>
          <w:sz w:val="32"/>
          <w:szCs w:val="32"/>
          <w:lang w:val="zh-CN" w:eastAsia="zh-CN"/>
        </w:rPr>
        <w:t>89.47</w:t>
      </w:r>
      <w:r>
        <w:rPr>
          <w:rFonts w:ascii="仿宋_GB2312" w:eastAsia="仿宋_GB2312" w:cs="仿宋_GB2312" w:hint="eastAsia"/>
          <w:sz w:val="32"/>
          <w:szCs w:val="32"/>
          <w:lang w:val="en-US" w:eastAsia="zh-CN"/>
        </w:rPr>
        <w:t>万元、印刷费</w:t>
      </w:r>
      <w:r>
        <w:rPr>
          <w:rFonts w:ascii="仿宋_GB2312" w:eastAsia="仿宋_GB2312" w:cs="仿宋_GB2312" w:hint="eastAsia"/>
          <w:sz w:val="32"/>
          <w:szCs w:val="32"/>
          <w:lang w:val="zh-CN" w:eastAsia="zh-CN"/>
        </w:rPr>
        <w:t>1.9</w:t>
      </w:r>
      <w:r>
        <w:rPr>
          <w:rFonts w:ascii="仿宋_GB2312" w:eastAsia="仿宋_GB2312" w:cs="仿宋_GB2312" w:hint="eastAsia"/>
          <w:sz w:val="32"/>
          <w:szCs w:val="32"/>
          <w:lang w:val="en-US" w:eastAsia="zh-CN"/>
        </w:rPr>
        <w:t>万元、水费</w:t>
      </w:r>
      <w:r>
        <w:rPr>
          <w:rFonts w:ascii="仿宋_GB2312" w:eastAsia="仿宋_GB2312" w:cs="仿宋_GB2312" w:hint="eastAsia"/>
          <w:sz w:val="32"/>
          <w:szCs w:val="32"/>
          <w:lang w:val="zh-CN" w:eastAsia="zh-CN"/>
        </w:rPr>
        <w:t>1.15</w:t>
      </w:r>
      <w:r>
        <w:rPr>
          <w:rFonts w:ascii="仿宋_GB2312" w:eastAsia="仿宋_GB2312" w:cs="仿宋_GB2312" w:hint="eastAsia"/>
          <w:sz w:val="32"/>
          <w:szCs w:val="32"/>
          <w:lang w:val="en-US" w:eastAsia="zh-CN"/>
        </w:rPr>
        <w:t>万元，电费</w:t>
      </w:r>
      <w:r>
        <w:rPr>
          <w:rFonts w:ascii="仿宋_GB2312" w:eastAsia="仿宋_GB2312" w:cs="仿宋_GB2312" w:hint="eastAsia"/>
          <w:sz w:val="32"/>
          <w:szCs w:val="32"/>
          <w:lang w:val="zh-CN" w:eastAsia="zh-CN"/>
        </w:rPr>
        <w:t>7.75</w:t>
      </w:r>
      <w:r>
        <w:rPr>
          <w:rFonts w:ascii="仿宋_GB2312" w:eastAsia="仿宋_GB2312" w:cs="仿宋_GB2312" w:hint="eastAsia"/>
          <w:sz w:val="32"/>
          <w:szCs w:val="32"/>
          <w:lang w:val="en-US" w:eastAsia="zh-CN"/>
        </w:rPr>
        <w:t>万元、邮电费</w:t>
      </w:r>
      <w:r>
        <w:rPr>
          <w:rFonts w:ascii="仿宋_GB2312" w:eastAsia="仿宋_GB2312" w:cs="仿宋_GB2312" w:hint="eastAsia"/>
          <w:sz w:val="32"/>
          <w:szCs w:val="32"/>
          <w:lang w:val="zh-CN" w:eastAsia="zh-CN"/>
        </w:rPr>
        <w:t>22.23</w:t>
      </w:r>
      <w:r>
        <w:rPr>
          <w:rFonts w:ascii="仿宋_GB2312" w:eastAsia="仿宋_GB2312" w:cs="仿宋_GB2312" w:hint="eastAsia"/>
          <w:sz w:val="32"/>
          <w:szCs w:val="32"/>
          <w:lang w:val="en-US" w:eastAsia="zh-CN"/>
        </w:rPr>
        <w:t>万元，物业管理费18.75万元、差旅费93.03万元、维修维护16.19万元、会议费26万元、培训费0.33万元、公务接待费0.5万元、劳务费9.17万元、委托业务费37.78万元、工会经费6万元、福利费10万元、公务用车运行维护费103.23万元。</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项目支出</w:t>
      </w:r>
      <w:r>
        <w:rPr>
          <w:rFonts w:ascii="仿宋_GB2312" w:eastAsia="仿宋_GB2312" w:cs="仿宋_GB2312" w:hint="eastAsia"/>
          <w:sz w:val="32"/>
          <w:szCs w:val="32"/>
          <w:lang w:val="en-US" w:eastAsia="zh-CN"/>
        </w:rPr>
        <w:t>589.19</w:t>
      </w:r>
      <w:r>
        <w:rPr>
          <w:rFonts w:ascii="仿宋_GB2312" w:eastAsia="仿宋_GB2312" w:cs="仿宋_GB2312" w:hint="eastAsia"/>
          <w:sz w:val="32"/>
          <w:szCs w:val="32"/>
          <w:lang w:val="zh-CN" w:eastAsia="zh-CN"/>
        </w:rPr>
        <w:t>万元。</w:t>
      </w:r>
    </w:p>
    <w:p>
      <w:pPr>
        <w:keepNext w:val="0"/>
        <w:keepLines w:val="0"/>
        <w:pageBreakBefore w:val="0"/>
        <w:widowControl/>
        <w:numPr>
          <w:ilvl w:val="0"/>
          <w:numId w:val="7"/>
        </w:numPr>
        <w:kinsoku/>
        <w:wordWrap/>
        <w:overflowPunct/>
        <w:topLinePunct w:val="0"/>
        <w:autoSpaceDE/>
        <w:autoSpaceDN/>
        <w:bidi w:val="0"/>
        <w:adjustRightInd w:val="0"/>
        <w:snapToGrid w:val="0"/>
        <w:spacing w:line="578" w:lineRule="exact"/>
        <w:ind w:left="640" w:firstLine="0"/>
        <w:contextualSpacing/>
        <w:jc w:val="left"/>
        <w:textAlignment w:val="auto"/>
        <w:outlineLvl w:val="9"/>
        <w:rPr>
          <w:rFonts w:ascii="仿宋_GB2312" w:eastAsia="仿宋_GB2312" w:cs="仿宋_GB2312" w:hint="eastAsia"/>
          <w:b/>
          <w:bCs/>
          <w:color w:val="000000"/>
          <w:kern w:val="0"/>
          <w:sz w:val="32"/>
          <w:szCs w:val="32"/>
          <w:shd w:val="clear" w:color="auto" w:fill="FFFFFF"/>
          <w:lang w:val="zh-CN" w:eastAsia="zh-CN"/>
          <w:highlight w:val="auto"/>
        </w:rPr>
      </w:pPr>
      <w:r>
        <w:rPr>
          <w:rFonts w:ascii="仿宋_GB2312" w:eastAsia="仿宋_GB2312" w:cs="仿宋_GB2312" w:hint="eastAsia"/>
          <w:b/>
          <w:bCs/>
          <w:color w:val="000000"/>
          <w:kern w:val="0"/>
          <w:sz w:val="32"/>
          <w:szCs w:val="32"/>
          <w:shd w:val="clear" w:color="auto" w:fill="FFFFFF"/>
          <w:lang w:val="zh-CN"/>
          <w:highlight w:val="auto"/>
        </w:rPr>
        <w:t>结余分配和结转结余情况</w:t>
      </w:r>
      <w:r>
        <w:rPr>
          <w:rFonts w:ascii="仿宋_GB2312" w:eastAsia="仿宋_GB2312" w:cs="仿宋_GB2312" w:hint="eastAsia"/>
          <w:b/>
          <w:bCs/>
          <w:color w:val="000000"/>
          <w:kern w:val="0"/>
          <w:sz w:val="32"/>
          <w:szCs w:val="32"/>
          <w:shd w:val="clear" w:color="auto" w:fill="FFFFFF"/>
          <w:lang w:val="zh-CN" w:eastAsia="zh-CN"/>
          <w:highlight w:val="auto"/>
        </w:rPr>
        <w:t>。</w:t>
      </w:r>
    </w:p>
    <w:p>
      <w:pPr>
        <w:keepNext w:val="0"/>
        <w:keepLines w:val="0"/>
        <w:pageBreakBefore w:val="0"/>
        <w:widowControl/>
        <w:kinsoku/>
        <w:wordWrap/>
        <w:overflowPunct/>
        <w:topLinePunct w:val="0"/>
        <w:autoSpaceDE/>
        <w:autoSpaceDN/>
        <w:bidi w:val="0"/>
        <w:adjustRightInd w:val="0"/>
        <w:snapToGrid w:val="0"/>
        <w:spacing w:line="578" w:lineRule="exact"/>
        <w:ind w:left="640" w:firstLineChars="200" w:firstLine="640"/>
        <w:contextualSpacing/>
        <w:jc w:val="left"/>
        <w:textAlignment w:val="auto"/>
        <w:outlineLvl w:val="9"/>
        <w:rPr>
          <w:rFonts w:hint="eastAsia"/>
          <w:lang w:val="en-US" w:eastAsia="zh-CN"/>
        </w:rPr>
      </w:pPr>
      <w:r>
        <w:rPr>
          <w:rFonts w:ascii="仿宋_GB2312" w:eastAsia="仿宋_GB2312" w:cs="仿宋_GB2312" w:hint="eastAsia"/>
          <w:sz w:val="32"/>
          <w:szCs w:val="32"/>
          <w:lang w:val="en-US" w:eastAsia="zh-CN"/>
        </w:rPr>
        <w:t>2024年决算报表无结转结余情况</w:t>
      </w:r>
      <w:r>
        <w:rPr>
          <w:rFonts w:ascii="Times New Roman" w:eastAsia="仿宋_GB2312" w:cs="Times New Roman" w:hAnsi="Times New Roman"/>
          <w:sz w:val="32"/>
          <w:szCs w:val="32"/>
          <w:lang w:val="en-US" w:eastAsia="zh-CN"/>
        </w:rPr>
        <w:t>。</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黑体" w:cs="Times New Roman" w:hAnsi="Times New Roman"/>
          <w:kern w:val="0"/>
          <w:sz w:val="32"/>
          <w:szCs w:val="32"/>
          <w:shd w:val="clear" w:color="auto" w:fill="FFFFFF"/>
        </w:rPr>
      </w:pPr>
      <w:r>
        <w:rPr>
          <w:rFonts w:ascii="Times New Roman" w:eastAsia="黑体" w:cs="Times New Roman" w:hAnsi="Times New Roman"/>
          <w:kern w:val="0"/>
          <w:sz w:val="32"/>
          <w:szCs w:val="32"/>
          <w:shd w:val="clear" w:color="auto" w:fill="FFFFFF"/>
        </w:rPr>
        <w:t>三、</w:t>
      </w:r>
      <w:r>
        <w:rPr>
          <w:rFonts w:ascii="Times New Roman" w:eastAsia="黑体" w:cs="Times New Roman" w:hAnsi="Times New Roman"/>
          <w:color w:val="000000"/>
          <w:kern w:val="0"/>
          <w:sz w:val="32"/>
          <w:szCs w:val="32"/>
          <w:shd w:val="clear" w:color="auto" w:fill="FFFFFF"/>
          <w:lang w:val="zh-CN" w:eastAsia="zh-CN"/>
          <w:highlight w:val="auto"/>
        </w:rPr>
        <w:t>部门预算绩效分析</w:t>
      </w:r>
    </w:p>
    <w:p>
      <w:pPr>
        <w:pageBreakBefore w:val="0"/>
        <w:widowControl w:val="0"/>
        <w:kinsoku/>
        <w:wordWrap/>
        <w:overflowPunct/>
        <w:topLinePunct w:val="0"/>
        <w:bidi w:val="0"/>
        <w:adjustRightInd w:val="0"/>
        <w:snapToGrid w:val="0"/>
        <w:spacing w:line="576" w:lineRule="exact"/>
        <w:ind w:firstLine="720"/>
        <w:rPr>
          <w:rFonts w:ascii="仿宋_GB2312" w:eastAsia="仿宋_GB2312" w:cs="仿宋_GB2312" w:hint="eastAsia"/>
          <w:b/>
          <w:sz w:val="32"/>
          <w:szCs w:val="32"/>
          <w:lang w:val="zh-CN"/>
        </w:rPr>
      </w:pPr>
      <w:r>
        <w:rPr>
          <w:rFonts w:ascii="仿宋_GB2312" w:eastAsia="仿宋_GB2312" w:cs="仿宋_GB2312" w:hint="eastAsia"/>
          <w:b/>
          <w:bCs/>
          <w:color w:val="000000"/>
          <w:kern w:val="0"/>
          <w:sz w:val="32"/>
          <w:szCs w:val="32"/>
          <w:shd w:val="clear" w:color="auto" w:fill="FFFFFF"/>
          <w:lang w:val="zh-CN"/>
          <w:highlight w:val="auto"/>
        </w:rPr>
        <w:t>（一）部门预算总体绩效分析。</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我</w:t>
      </w:r>
      <w:r>
        <w:rPr>
          <w:rFonts w:ascii="仿宋_GB2312" w:eastAsia="仿宋_GB2312" w:cs="仿宋_GB2312" w:hint="eastAsia"/>
          <w:sz w:val="32"/>
          <w:szCs w:val="32"/>
          <w:lang w:val="en-US" w:eastAsia="zh-CN"/>
        </w:rPr>
        <w:t>办</w:t>
      </w:r>
      <w:r>
        <w:rPr>
          <w:rFonts w:ascii="仿宋_GB2312" w:eastAsia="仿宋_GB2312" w:cs="仿宋_GB2312" w:hint="eastAsia"/>
          <w:sz w:val="32"/>
          <w:szCs w:val="32"/>
          <w:lang w:val="zh-CN" w:eastAsia="zh-CN"/>
        </w:rPr>
        <w:t>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1.</w:t>
      </w:r>
      <w:r>
        <w:rPr>
          <w:rFonts w:ascii="仿宋_GB2312" w:eastAsia="仿宋_GB2312" w:cs="仿宋_GB2312" w:hint="eastAsia"/>
          <w:sz w:val="32"/>
          <w:szCs w:val="32"/>
          <w:lang w:val="zh-CN" w:eastAsia="zh-CN"/>
        </w:rPr>
        <w:t>履职效能。</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数量指标履职效果</w:t>
      </w:r>
      <w:r>
        <w:rPr>
          <w:rFonts w:ascii="仿宋_GB2312" w:eastAsia="仿宋_GB2312" w:cs="仿宋_GB2312" w:hint="eastAsia"/>
          <w:sz w:val="32"/>
          <w:szCs w:val="32"/>
          <w:lang w:val="en-US" w:eastAsia="zh-CN"/>
        </w:rPr>
        <w:t>:严格控制数量确保无遗漏无浪费，厉行节约</w:t>
      </w:r>
      <w:r>
        <w:rPr>
          <w:rFonts w:ascii="仿宋_GB2312" w:eastAsia="仿宋_GB2312" w:cs="仿宋_GB2312" w:hint="eastAsia"/>
          <w:sz w:val="32"/>
          <w:szCs w:val="32"/>
          <w:lang w:val="zh-CN" w:eastAsia="zh-CN"/>
        </w:rPr>
        <w:t>。</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sz w:val="32"/>
          <w:szCs w:val="32"/>
          <w:lang w:val="en-US" w:eastAsia="zh-CN"/>
        </w:rPr>
      </w:pPr>
      <w:r>
        <w:rPr>
          <w:rFonts w:ascii="仿宋_GB2312" w:eastAsia="仿宋_GB2312" w:cs="仿宋_GB2312" w:hint="eastAsia"/>
          <w:sz w:val="32"/>
          <w:szCs w:val="32"/>
          <w:lang w:val="zh-CN" w:eastAsia="zh-CN"/>
        </w:rPr>
        <w:t>质量指标履职效果：</w:t>
      </w:r>
      <w:r>
        <w:rPr>
          <w:rFonts w:ascii="仿宋_GB2312" w:eastAsia="仿宋_GB2312" w:cs="仿宋_GB2312" w:hint="eastAsia"/>
          <w:sz w:val="32"/>
          <w:szCs w:val="32"/>
          <w:lang w:val="en-US" w:eastAsia="zh-CN"/>
        </w:rPr>
        <w:t>严格把控质量关，确保与采购文件相匹配。</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社会效益指标履职效果：确保每一项采购项目都能实现单位职能，提高社会效益，促进社会发展。</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sz w:val="32"/>
          <w:szCs w:val="32"/>
          <w:lang w:val="en-US" w:eastAsia="zh-CN"/>
        </w:rPr>
      </w:pPr>
      <w:r>
        <w:rPr>
          <w:rFonts w:ascii="仿宋_GB2312" w:eastAsia="仿宋_GB2312" w:cs="仿宋_GB2312"/>
          <w:sz w:val="32"/>
          <w:szCs w:val="32"/>
          <w:lang w:val="en-US" w:eastAsia="zh-CN"/>
        </w:rPr>
        <w:t>服务对象满意度</w:t>
      </w:r>
      <w:r>
        <w:rPr>
          <w:rFonts w:ascii="仿宋_GB2312" w:eastAsia="仿宋_GB2312" w:cs="仿宋_GB2312" w:hint="eastAsia"/>
          <w:sz w:val="32"/>
          <w:szCs w:val="32"/>
          <w:lang w:val="en-US" w:eastAsia="zh-CN"/>
        </w:rPr>
        <w:t>指标</w:t>
      </w:r>
      <w:r>
        <w:rPr>
          <w:rFonts w:ascii="仿宋_GB2312" w:eastAsia="仿宋_GB2312" w:cs="仿宋_GB2312"/>
          <w:sz w:val="32"/>
          <w:szCs w:val="32"/>
          <w:lang w:val="en-US" w:eastAsia="zh-CN"/>
        </w:rPr>
        <w:t>履职效果</w:t>
      </w:r>
      <w:r>
        <w:rPr>
          <w:rFonts w:ascii="仿宋_GB2312" w:eastAsia="仿宋_GB2312" w:cs="仿宋_GB2312" w:hint="eastAsia"/>
          <w:sz w:val="32"/>
          <w:szCs w:val="32"/>
          <w:lang w:val="en-US" w:eastAsia="zh-CN"/>
        </w:rPr>
        <w:t>：以高质量、高标准、高要求实施采购项目，确保受益对象满意度。</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 w:eastAsia="仿宋" w:cs="仿宋"/>
          <w:sz w:val="32"/>
          <w:szCs w:val="32"/>
          <w:lang w:val="en-US" w:eastAsia="zh-CN"/>
        </w:rPr>
      </w:pPr>
      <w:r>
        <w:rPr>
          <w:rFonts w:ascii="仿宋_GB2312" w:eastAsia="仿宋_GB2312" w:cs="仿宋_GB2312"/>
          <w:sz w:val="32"/>
          <w:szCs w:val="32"/>
          <w:lang w:val="en-US" w:eastAsia="zh-CN"/>
        </w:rPr>
        <w:t>经济成本指标履职效果</w:t>
      </w:r>
      <w:r>
        <w:rPr>
          <w:rFonts w:ascii="仿宋_GB2312" w:eastAsia="仿宋_GB2312" w:cs="仿宋_GB2312" w:hint="eastAsia"/>
          <w:sz w:val="32"/>
          <w:szCs w:val="32"/>
          <w:lang w:val="en-US" w:eastAsia="zh-CN"/>
        </w:rPr>
        <w:t>：经过专业评估，以合理的经济成本实现项目价值。</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2.</w:t>
      </w:r>
      <w:r>
        <w:rPr>
          <w:rFonts w:ascii="仿宋_GB2312" w:eastAsia="仿宋_GB2312" w:cs="仿宋_GB2312"/>
          <w:sz w:val="32"/>
          <w:szCs w:val="32"/>
          <w:lang w:val="zh-CN" w:eastAsia="zh-CN"/>
        </w:rPr>
        <w:t>预算管理</w:t>
      </w:r>
      <w:r>
        <w:rPr>
          <w:rFonts w:ascii="仿宋_GB2312" w:eastAsia="仿宋_GB2312" w:cs="仿宋_GB2312" w:hint="eastAsia"/>
          <w:sz w:val="32"/>
          <w:szCs w:val="32"/>
          <w:lang w:val="zh-CN" w:eastAsia="zh-CN"/>
        </w:rPr>
        <w:t>。</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严格按照县级部门预算编制通知和有关要求，按时完成基础库、项目库报送工作，按时完成202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lang w:val="zh-CN" w:eastAsia="zh-CN"/>
        </w:rPr>
        <w:t>年预算编制工作，并按时提交部门预算草案。预算编制全面、科学。202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lang w:val="zh-CN" w:eastAsia="zh-CN"/>
        </w:rPr>
        <w:t>年实际支出和部门决算一致，绩效目标填报及年末结余结转都是严格按照县财政局的要求认真完成，不存在违规违纪使用资金的情况并按时完成202</w:t>
      </w:r>
      <w:r>
        <w:rPr>
          <w:rFonts w:ascii="仿宋_GB2312" w:eastAsia="仿宋_GB2312" w:cs="仿宋_GB2312" w:hint="eastAsia"/>
          <w:sz w:val="32"/>
          <w:szCs w:val="32"/>
          <w:lang w:val="en-US" w:eastAsia="zh-CN"/>
        </w:rPr>
        <w:t>5</w:t>
      </w:r>
      <w:r>
        <w:rPr>
          <w:rFonts w:ascii="仿宋_GB2312" w:eastAsia="仿宋_GB2312" w:cs="仿宋_GB2312" w:hint="eastAsia"/>
          <w:sz w:val="32"/>
          <w:szCs w:val="32"/>
          <w:lang w:val="zh-CN" w:eastAsia="zh-CN"/>
        </w:rPr>
        <w:t>年预算编制工作，及时提交了部门预算草案。</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3.</w:t>
      </w:r>
      <w:r>
        <w:rPr>
          <w:rFonts w:ascii="仿宋_GB2312" w:eastAsia="仿宋_GB2312" w:cs="仿宋_GB2312"/>
          <w:sz w:val="32"/>
          <w:szCs w:val="32"/>
          <w:lang w:val="zh-CN" w:eastAsia="zh-CN"/>
        </w:rPr>
        <w:t>财务管理</w:t>
      </w:r>
      <w:r>
        <w:rPr>
          <w:rFonts w:ascii="仿宋_GB2312" w:eastAsia="仿宋_GB2312" w:cs="仿宋_GB2312" w:hint="eastAsia"/>
          <w:sz w:val="32"/>
          <w:szCs w:val="32"/>
          <w:lang w:val="zh-CN" w:eastAsia="zh-CN"/>
        </w:rPr>
        <w:t>。</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根据相关要求，单位使用预算资金基本符合相关的预算财务管理制度。我办在财政批复后20日内在指定网站公开预决算信息。按照相关要求进行绩效自我评价，按要求及时上报，对发现的问题提出整改措施，并整改落实到位。绩效评价及依法接受财政监督情况等。</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4.</w:t>
      </w:r>
      <w:r>
        <w:rPr>
          <w:rFonts w:ascii="仿宋_GB2312" w:eastAsia="仿宋_GB2312" w:cs="仿宋_GB2312"/>
          <w:sz w:val="32"/>
          <w:szCs w:val="32"/>
          <w:lang w:val="zh-CN" w:eastAsia="zh-CN"/>
        </w:rPr>
        <w:t>资产管理</w:t>
      </w:r>
      <w:r>
        <w:rPr>
          <w:rFonts w:ascii="仿宋_GB2312" w:eastAsia="仿宋_GB2312" w:cs="仿宋_GB2312" w:hint="eastAsia"/>
          <w:sz w:val="32"/>
          <w:szCs w:val="32"/>
          <w:lang w:val="zh-CN" w:eastAsia="zh-CN"/>
        </w:rPr>
        <w:t>。</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sz w:val="32"/>
          <w:szCs w:val="32"/>
          <w:lang w:val="en-US" w:eastAsia="zh-CN"/>
        </w:rPr>
      </w:pPr>
      <w:r>
        <w:rPr>
          <w:rFonts w:ascii="仿宋_GB2312" w:eastAsia="仿宋_GB2312" w:cs="仿宋_GB2312" w:hint="eastAsia"/>
          <w:sz w:val="32"/>
          <w:szCs w:val="32"/>
          <w:lang w:val="zh-CN" w:eastAsia="zh-CN"/>
        </w:rPr>
        <w:t>我办202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lang w:val="zh-CN" w:eastAsia="zh-CN"/>
        </w:rPr>
        <w:t>年所有国有资产纳入资产管理系统，及时准确上报并做好资产的管理工作，</w:t>
      </w:r>
      <w:r>
        <w:rPr>
          <w:rFonts w:ascii="仿宋_GB2312" w:eastAsia="仿宋_GB2312" w:cs="仿宋_GB2312" w:hint="eastAsia"/>
          <w:sz w:val="32"/>
          <w:szCs w:val="32"/>
          <w:lang w:val="en-US" w:eastAsia="zh-CN"/>
        </w:rPr>
        <w:t>无闲置资产。</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5.</w:t>
      </w:r>
      <w:r>
        <w:rPr>
          <w:rFonts w:ascii="仿宋_GB2312" w:eastAsia="仿宋_GB2312" w:cs="仿宋_GB2312"/>
          <w:sz w:val="32"/>
          <w:szCs w:val="32"/>
          <w:lang w:val="zh-CN" w:eastAsia="zh-CN"/>
        </w:rPr>
        <w:t>采购管理</w:t>
      </w:r>
      <w:r>
        <w:rPr>
          <w:rFonts w:ascii="仿宋_GB2312" w:eastAsia="仿宋_GB2312" w:cs="仿宋_GB2312" w:hint="eastAsia"/>
          <w:sz w:val="32"/>
          <w:szCs w:val="32"/>
          <w:lang w:val="zh-CN" w:eastAsia="zh-CN"/>
        </w:rPr>
        <w:t>。</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为保障单位正常运转，实现机构只能，根据实际需求按照程序实施政府采购</w:t>
      </w:r>
      <w:r>
        <w:rPr>
          <w:rFonts w:ascii="仿宋_GB2312" w:eastAsia="仿宋_GB2312" w:cs="仿宋_GB2312" w:hint="eastAsia"/>
          <w:sz w:val="32"/>
          <w:szCs w:val="32"/>
          <w:lang w:val="zh-CN" w:eastAsia="zh-CN"/>
        </w:rPr>
        <w:t>、采购</w:t>
      </w:r>
      <w:r>
        <w:rPr>
          <w:rFonts w:ascii="仿宋_GB2312" w:eastAsia="仿宋_GB2312" w:cs="仿宋_GB2312" w:hint="eastAsia"/>
          <w:sz w:val="32"/>
          <w:szCs w:val="32"/>
          <w:lang w:val="en-US" w:eastAsia="zh-CN"/>
        </w:rPr>
        <w:t>项目</w:t>
      </w:r>
      <w:r>
        <w:rPr>
          <w:rFonts w:ascii="仿宋_GB2312" w:eastAsia="仿宋_GB2312" w:cs="仿宋_GB2312" w:hint="eastAsia"/>
          <w:sz w:val="32"/>
          <w:szCs w:val="32"/>
          <w:lang w:val="zh-CN" w:eastAsia="zh-CN"/>
        </w:rPr>
        <w:t>执行率</w:t>
      </w:r>
      <w:r>
        <w:rPr>
          <w:rFonts w:ascii="仿宋_GB2312" w:eastAsia="仿宋_GB2312" w:cs="仿宋_GB2312" w:hint="eastAsia"/>
          <w:sz w:val="32"/>
          <w:szCs w:val="32"/>
          <w:lang w:val="en-US" w:eastAsia="zh-CN"/>
        </w:rPr>
        <w:t>达100%，采购结果与预期目标相匹配，通过科学合理的评价方法和标准，提高采购质量和效益</w:t>
      </w:r>
      <w:r>
        <w:rPr>
          <w:rFonts w:ascii="仿宋_GB2312" w:eastAsia="仿宋_GB2312" w:cs="仿宋_GB2312" w:hint="eastAsia"/>
          <w:sz w:val="32"/>
          <w:szCs w:val="32"/>
          <w:lang w:val="zh-CN" w:eastAsia="zh-CN"/>
        </w:rPr>
        <w:t>。</w:t>
      </w:r>
    </w:p>
    <w:p>
      <w:pPr>
        <w:keepNext w:val="0"/>
        <w:keepLines w:val="0"/>
        <w:pageBreakBefore w:val="0"/>
        <w:widowControl/>
        <w:kinsoku/>
        <w:wordWrap/>
        <w:overflowPunct/>
        <w:topLinePunct w:val="0"/>
        <w:autoSpaceDE/>
        <w:autoSpaceDN/>
        <w:bidi w:val="0"/>
        <w:adjustRightInd w:val="0"/>
        <w:snapToGrid w:val="0"/>
        <w:spacing w:line="578" w:lineRule="exact"/>
        <w:ind w:left="640"/>
        <w:contextualSpacing/>
        <w:jc w:val="left"/>
        <w:textAlignment w:val="auto"/>
        <w:outlineLvl w:val="9"/>
        <w:rPr>
          <w:rFonts w:ascii="Times New Roman" w:eastAsia="楷体_GB2312" w:cs="Times New Roman" w:hAnsi="Times New Roman"/>
          <w:b/>
          <w:bCs/>
          <w:color w:val="000000"/>
          <w:kern w:val="0"/>
          <w:sz w:val="32"/>
          <w:szCs w:val="32"/>
          <w:shd w:val="clear" w:color="auto" w:fill="FFFFFF"/>
          <w:lang w:val="zh-CN"/>
          <w:highlight w:val="auto"/>
        </w:rPr>
      </w:pPr>
      <w:r>
        <w:rPr>
          <w:rFonts w:eastAsia="楷体_GB2312" w:cs="Times New Roman" w:hint="eastAsia"/>
          <w:b/>
          <w:bCs/>
          <w:color w:val="000000"/>
          <w:kern w:val="0"/>
          <w:sz w:val="32"/>
          <w:szCs w:val="32"/>
          <w:shd w:val="clear" w:color="auto" w:fill="FFFFFF"/>
          <w:lang w:val="zh-CN"/>
          <w:highlight w:val="auto"/>
        </w:rPr>
        <w:t>（</w:t>
      </w:r>
      <w:r>
        <w:rPr>
          <w:rFonts w:eastAsia="楷体_GB2312" w:cs="Times New Roman" w:hint="eastAsia"/>
          <w:b/>
          <w:bCs/>
          <w:color w:val="000000"/>
          <w:kern w:val="0"/>
          <w:sz w:val="32"/>
          <w:szCs w:val="32"/>
          <w:shd w:val="clear" w:color="auto" w:fill="FFFFFF"/>
          <w:lang w:val="en-US" w:eastAsia="zh-CN"/>
          <w:highlight w:val="auto"/>
        </w:rPr>
        <w:t>二</w:t>
      </w:r>
      <w:r>
        <w:rPr>
          <w:rFonts w:eastAsia="楷体_GB2312" w:cs="Times New Roman" w:hint="eastAsia"/>
          <w:b/>
          <w:bCs/>
          <w:color w:val="000000"/>
          <w:kern w:val="0"/>
          <w:sz w:val="32"/>
          <w:szCs w:val="32"/>
          <w:shd w:val="clear" w:color="auto" w:fill="FFFFFF"/>
          <w:lang w:val="zh-CN"/>
          <w:highlight w:val="auto"/>
        </w:rPr>
        <w:t>）</w:t>
      </w:r>
      <w:r>
        <w:rPr>
          <w:rFonts w:ascii="Times New Roman" w:eastAsia="楷体_GB2312" w:cs="Times New Roman" w:hAnsi="Times New Roman"/>
          <w:b/>
          <w:bCs/>
          <w:color w:val="000000"/>
          <w:kern w:val="0"/>
          <w:sz w:val="32"/>
          <w:szCs w:val="32"/>
          <w:shd w:val="clear" w:color="auto" w:fill="FFFFFF"/>
          <w:lang w:val="zh-CN"/>
          <w:highlight w:val="auto"/>
        </w:rPr>
        <w:t>部门预算项目绩效分析。</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sz w:val="32"/>
          <w:szCs w:val="32"/>
          <w:lang w:val="en-US" w:eastAsia="zh-CN"/>
        </w:rPr>
      </w:pPr>
      <w:r>
        <w:rPr>
          <w:rFonts w:ascii="仿宋_GB2312" w:eastAsia="仿宋_GB2312" w:cs="仿宋_GB2312" w:hint="eastAsia"/>
          <w:sz w:val="32"/>
          <w:szCs w:val="32"/>
          <w:lang w:val="zh-CN" w:eastAsia="zh-CN"/>
        </w:rPr>
        <w:t>填报以下数据，并</w:t>
      </w:r>
      <w:r>
        <w:rPr>
          <w:rFonts w:ascii="仿宋_GB2312" w:eastAsia="仿宋_GB2312" w:cs="仿宋_GB2312"/>
          <w:sz w:val="32"/>
          <w:szCs w:val="32"/>
          <w:lang w:val="zh-CN" w:eastAsia="zh-CN"/>
        </w:rPr>
        <w:t>根据部门预算绩效评价指标体系“项目绩效”涉及</w:t>
      </w:r>
      <w:r>
        <w:rPr>
          <w:rFonts w:ascii="仿宋_GB2312" w:eastAsia="仿宋_GB2312" w:cs="仿宋_GB2312" w:hint="eastAsia"/>
          <w:sz w:val="32"/>
          <w:szCs w:val="32"/>
          <w:lang w:val="zh-CN" w:eastAsia="zh-CN"/>
        </w:rPr>
        <w:t>二、三级</w:t>
      </w:r>
      <w:r>
        <w:rPr>
          <w:rFonts w:ascii="仿宋_GB2312" w:eastAsia="仿宋_GB2312" w:cs="仿宋_GB2312"/>
          <w:sz w:val="32"/>
          <w:szCs w:val="32"/>
          <w:lang w:val="zh-CN" w:eastAsia="zh-CN"/>
        </w:rPr>
        <w:t>指标进行</w:t>
      </w:r>
      <w:r>
        <w:rPr>
          <w:rFonts w:ascii="仿宋_GB2312" w:eastAsia="仿宋_GB2312" w:cs="仿宋_GB2312" w:hint="eastAsia"/>
          <w:sz w:val="32"/>
          <w:szCs w:val="32"/>
          <w:lang w:val="zh-CN" w:eastAsia="zh-CN"/>
        </w:rPr>
        <w:t>逐项</w:t>
      </w:r>
      <w:r>
        <w:rPr>
          <w:rFonts w:ascii="仿宋_GB2312" w:eastAsia="仿宋_GB2312" w:cs="仿宋_GB2312"/>
          <w:sz w:val="32"/>
          <w:szCs w:val="32"/>
          <w:lang w:val="zh-CN" w:eastAsia="zh-CN"/>
        </w:rPr>
        <w:t>绩效分析</w:t>
      </w:r>
      <w:r>
        <w:rPr>
          <w:rFonts w:ascii="仿宋_GB2312" w:eastAsia="仿宋_GB2312" w:cs="仿宋_GB2312" w:hint="eastAsia"/>
          <w:sz w:val="32"/>
          <w:szCs w:val="32"/>
          <w:lang w:val="zh-CN" w:eastAsia="zh-CN"/>
        </w:rPr>
        <w:t>并评分</w:t>
      </w:r>
      <w:r>
        <w:rPr>
          <w:rFonts w:ascii="仿宋_GB2312" w:eastAsia="仿宋_GB2312" w:cs="仿宋_GB2312"/>
          <w:sz w:val="32"/>
          <w:szCs w:val="32"/>
          <w:lang w:val="zh-CN" w:eastAsia="zh-CN"/>
        </w:rPr>
        <w:t>，依次包括项目</w:t>
      </w:r>
      <w:r>
        <w:rPr>
          <w:rFonts w:ascii="仿宋_GB2312" w:eastAsia="仿宋_GB2312" w:cs="仿宋_GB2312"/>
          <w:sz w:val="32"/>
          <w:szCs w:val="32"/>
          <w:lang w:val="en-US" w:eastAsia="zh-CN"/>
        </w:rPr>
        <w:t>决策、项目执行、目标实现等情况</w:t>
      </w:r>
      <w:r>
        <w:rPr>
          <w:rFonts w:ascii="仿宋_GB2312" w:eastAsia="仿宋_GB2312" w:cs="仿宋_GB2312" w:hint="eastAsia"/>
          <w:sz w:val="32"/>
          <w:szCs w:val="32"/>
          <w:lang w:val="en-US" w:eastAsia="zh-CN"/>
        </w:rPr>
        <w:t>。</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sz w:val="32"/>
          <w:szCs w:val="32"/>
          <w:lang w:val="zh-CN" w:eastAsia="zh-CN"/>
        </w:rPr>
      </w:pPr>
      <w:r>
        <w:rPr>
          <w:rFonts w:ascii="仿宋_GB2312" w:eastAsia="仿宋_GB2312" w:cs="仿宋_GB2312"/>
          <w:sz w:val="32"/>
          <w:szCs w:val="32"/>
          <w:lang w:val="en-US" w:eastAsia="zh-CN"/>
        </w:rPr>
        <w:t>常年项目绩效分析。</w:t>
      </w:r>
      <w:r>
        <w:rPr>
          <w:rFonts w:ascii="仿宋_GB2312" w:eastAsia="仿宋_GB2312" w:cs="仿宋_GB2312"/>
          <w:sz w:val="32"/>
          <w:szCs w:val="32"/>
          <w:lang w:val="zh-CN" w:eastAsia="zh-CN"/>
        </w:rPr>
        <w:t>该类项目总数</w:t>
      </w:r>
      <w:r>
        <w:rPr>
          <w:rFonts w:ascii="仿宋_GB2312" w:eastAsia="仿宋_GB2312" w:cs="仿宋_GB2312"/>
          <w:sz w:val="32"/>
          <w:szCs w:val="32"/>
          <w:lang w:val="en-US" w:eastAsia="zh-CN"/>
        </w:rPr>
        <w:t xml:space="preserve"> </w:t>
      </w:r>
      <w:r>
        <w:rPr>
          <w:rFonts w:ascii="仿宋_GB2312" w:eastAsia="仿宋_GB2312" w:cs="仿宋_GB2312" w:hint="eastAsia"/>
          <w:sz w:val="32"/>
          <w:szCs w:val="32"/>
          <w:lang w:val="en-US" w:eastAsia="zh-CN"/>
        </w:rPr>
        <w:t>1</w:t>
      </w:r>
      <w:r>
        <w:rPr>
          <w:rFonts w:ascii="仿宋_GB2312" w:eastAsia="仿宋_GB2312" w:cs="仿宋_GB2312"/>
          <w:sz w:val="32"/>
          <w:szCs w:val="32"/>
          <w:lang w:val="en-US" w:eastAsia="zh-CN"/>
        </w:rPr>
        <w:t xml:space="preserve"> </w:t>
      </w:r>
      <w:r>
        <w:rPr>
          <w:rFonts w:ascii="仿宋_GB2312" w:eastAsia="仿宋_GB2312" w:cs="仿宋_GB2312"/>
          <w:sz w:val="32"/>
          <w:szCs w:val="32"/>
          <w:lang w:val="zh-CN" w:eastAsia="zh-CN"/>
        </w:rPr>
        <w:t>个，涉及预算总金额</w:t>
      </w:r>
      <w:r>
        <w:rPr>
          <w:rFonts w:ascii="仿宋_GB2312" w:eastAsia="仿宋_GB2312" w:cs="仿宋_GB2312" w:hint="eastAsia"/>
          <w:sz w:val="32"/>
          <w:szCs w:val="32"/>
          <w:lang w:val="en-US" w:eastAsia="zh-CN"/>
        </w:rPr>
        <w:t>117.33</w:t>
      </w:r>
      <w:r>
        <w:rPr>
          <w:rFonts w:ascii="仿宋_GB2312" w:eastAsia="仿宋_GB2312" w:cs="仿宋_GB2312"/>
          <w:sz w:val="32"/>
          <w:szCs w:val="32"/>
          <w:lang w:val="zh-CN" w:eastAsia="zh-CN"/>
        </w:rPr>
        <w:t>万元，1</w:t>
      </w:r>
      <w:r>
        <w:rPr>
          <w:rFonts w:ascii="仿宋_GB2312" w:eastAsia="仿宋_GB2312" w:cs="仿宋_GB2312" w:hint="eastAsia"/>
          <w:sz w:val="32"/>
          <w:szCs w:val="32"/>
          <w:lang w:val="zh-CN" w:eastAsia="zh-CN"/>
        </w:rPr>
        <w:t>—</w:t>
      </w:r>
      <w:r>
        <w:rPr>
          <w:rFonts w:ascii="仿宋_GB2312" w:eastAsia="仿宋_GB2312" w:cs="仿宋_GB2312"/>
          <w:sz w:val="32"/>
          <w:szCs w:val="32"/>
          <w:lang w:val="zh-CN" w:eastAsia="zh-CN"/>
        </w:rPr>
        <w:t>1</w:t>
      </w:r>
      <w:r>
        <w:rPr>
          <w:rFonts w:ascii="仿宋_GB2312" w:eastAsia="仿宋_GB2312" w:cs="仿宋_GB2312"/>
          <w:sz w:val="32"/>
          <w:szCs w:val="32"/>
          <w:lang w:val="en-US" w:eastAsia="zh-CN"/>
        </w:rPr>
        <w:t>2</w:t>
      </w:r>
      <w:r>
        <w:rPr>
          <w:rFonts w:ascii="仿宋_GB2312" w:eastAsia="仿宋_GB2312" w:cs="仿宋_GB2312"/>
          <w:sz w:val="32"/>
          <w:szCs w:val="32"/>
          <w:lang w:val="zh-CN" w:eastAsia="zh-CN"/>
        </w:rPr>
        <w:t>月预算执行总体进度为</w:t>
      </w:r>
      <w:r>
        <w:rPr>
          <w:rFonts w:ascii="仿宋_GB2312" w:eastAsia="仿宋_GB2312" w:cs="仿宋_GB2312" w:hint="eastAsia"/>
          <w:sz w:val="32"/>
          <w:szCs w:val="32"/>
          <w:lang w:val="en-US" w:eastAsia="zh-CN"/>
        </w:rPr>
        <w:t>100</w:t>
      </w:r>
      <w:r>
        <w:rPr>
          <w:rFonts w:ascii="仿宋_GB2312" w:eastAsia="仿宋_GB2312" w:cs="仿宋_GB2312"/>
          <w:sz w:val="32"/>
          <w:szCs w:val="32"/>
          <w:lang w:val="zh-CN" w:eastAsia="zh-CN"/>
        </w:rPr>
        <w:t>%，其中：预算结余率大于</w:t>
      </w:r>
      <w:r>
        <w:rPr>
          <w:rFonts w:ascii="仿宋_GB2312" w:eastAsia="仿宋_GB2312" w:cs="仿宋_GB2312"/>
          <w:sz w:val="32"/>
          <w:szCs w:val="32"/>
          <w:lang w:val="en-US" w:eastAsia="zh-CN"/>
        </w:rPr>
        <w:t>10%</w:t>
      </w:r>
      <w:r>
        <w:rPr>
          <w:rFonts w:ascii="仿宋_GB2312" w:eastAsia="仿宋_GB2312" w:cs="仿宋_GB2312"/>
          <w:sz w:val="32"/>
          <w:szCs w:val="32"/>
          <w:lang w:val="zh-CN" w:eastAsia="zh-CN"/>
        </w:rPr>
        <w:t>的项目共计</w:t>
      </w:r>
      <w:r>
        <w:rPr>
          <w:rFonts w:ascii="仿宋_GB2312" w:eastAsia="仿宋_GB2312" w:cs="仿宋_GB2312"/>
          <w:sz w:val="32"/>
          <w:szCs w:val="32"/>
          <w:lang w:val="en-US" w:eastAsia="zh-CN"/>
        </w:rPr>
        <w:t xml:space="preserve"> </w:t>
      </w:r>
      <w:r>
        <w:rPr>
          <w:rFonts w:ascii="仿宋_GB2312" w:eastAsia="仿宋_GB2312" w:cs="仿宋_GB2312" w:hint="eastAsia"/>
          <w:sz w:val="32"/>
          <w:szCs w:val="32"/>
          <w:lang w:val="en-US" w:eastAsia="zh-CN"/>
        </w:rPr>
        <w:t>0</w:t>
      </w:r>
      <w:r>
        <w:rPr>
          <w:rFonts w:ascii="仿宋_GB2312" w:eastAsia="仿宋_GB2312" w:cs="仿宋_GB2312"/>
          <w:sz w:val="32"/>
          <w:szCs w:val="32"/>
          <w:lang w:val="en-US" w:eastAsia="zh-CN"/>
        </w:rPr>
        <w:t xml:space="preserve">  </w:t>
      </w:r>
      <w:r>
        <w:rPr>
          <w:rFonts w:ascii="仿宋_GB2312" w:eastAsia="仿宋_GB2312" w:cs="仿宋_GB2312"/>
          <w:sz w:val="32"/>
          <w:szCs w:val="32"/>
          <w:lang w:val="zh-CN" w:eastAsia="zh-CN"/>
        </w:rPr>
        <w:t>个。</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sz w:val="32"/>
          <w:szCs w:val="32"/>
          <w:lang w:val="zh-CN" w:eastAsia="zh-CN"/>
        </w:rPr>
      </w:pPr>
      <w:r>
        <w:rPr>
          <w:rFonts w:ascii="仿宋_GB2312" w:eastAsia="仿宋_GB2312" w:cs="仿宋_GB2312"/>
          <w:sz w:val="32"/>
          <w:szCs w:val="32"/>
          <w:lang w:val="en-US" w:eastAsia="zh-CN"/>
        </w:rPr>
        <w:t>阶段</w:t>
      </w:r>
      <w:r>
        <w:rPr>
          <w:rFonts w:ascii="仿宋_GB2312" w:eastAsia="仿宋_GB2312" w:cs="仿宋_GB2312" w:hint="eastAsia"/>
          <w:sz w:val="32"/>
          <w:szCs w:val="32"/>
          <w:lang w:val="en-US" w:eastAsia="zh-CN"/>
        </w:rPr>
        <w:t>（</w:t>
      </w:r>
      <w:r>
        <w:rPr>
          <w:rFonts w:ascii="仿宋_GB2312" w:eastAsia="仿宋_GB2312" w:cs="仿宋_GB2312"/>
          <w:sz w:val="32"/>
          <w:szCs w:val="32"/>
          <w:lang w:val="en-US" w:eastAsia="zh-CN"/>
        </w:rPr>
        <w:t>一次性</w:t>
      </w:r>
      <w:r>
        <w:rPr>
          <w:rFonts w:ascii="仿宋_GB2312" w:eastAsia="仿宋_GB2312" w:cs="仿宋_GB2312" w:hint="eastAsia"/>
          <w:sz w:val="32"/>
          <w:szCs w:val="32"/>
          <w:lang w:val="en-US" w:eastAsia="zh-CN"/>
        </w:rPr>
        <w:t>）</w:t>
      </w:r>
      <w:r>
        <w:rPr>
          <w:rFonts w:ascii="仿宋_GB2312" w:eastAsia="仿宋_GB2312" w:cs="仿宋_GB2312"/>
          <w:sz w:val="32"/>
          <w:szCs w:val="32"/>
          <w:lang w:val="en-US" w:eastAsia="zh-CN"/>
        </w:rPr>
        <w:t>项目绩效分析。</w:t>
      </w:r>
      <w:r>
        <w:rPr>
          <w:rFonts w:ascii="仿宋_GB2312" w:eastAsia="仿宋_GB2312" w:cs="仿宋_GB2312"/>
          <w:sz w:val="32"/>
          <w:szCs w:val="32"/>
          <w:lang w:val="zh-CN" w:eastAsia="zh-CN"/>
        </w:rPr>
        <w:t>该类项目总数</w:t>
      </w:r>
      <w:r>
        <w:rPr>
          <w:rFonts w:ascii="仿宋_GB2312" w:eastAsia="仿宋_GB2312" w:cs="仿宋_GB2312"/>
          <w:sz w:val="32"/>
          <w:szCs w:val="32"/>
          <w:lang w:val="en-US" w:eastAsia="zh-CN"/>
        </w:rPr>
        <w:t xml:space="preserve"> </w:t>
      </w:r>
      <w:r>
        <w:rPr>
          <w:rFonts w:ascii="仿宋_GB2312" w:eastAsia="仿宋_GB2312" w:cs="仿宋_GB2312" w:hint="eastAsia"/>
          <w:sz w:val="32"/>
          <w:szCs w:val="32"/>
          <w:lang w:val="en-US" w:eastAsia="zh-CN"/>
        </w:rPr>
        <w:t>15</w:t>
      </w:r>
      <w:r>
        <w:rPr>
          <w:rFonts w:ascii="仿宋_GB2312" w:eastAsia="仿宋_GB2312" w:cs="仿宋_GB2312"/>
          <w:sz w:val="32"/>
          <w:szCs w:val="32"/>
          <w:lang w:val="en-US" w:eastAsia="zh-CN"/>
        </w:rPr>
        <w:t xml:space="preserve">  </w:t>
      </w:r>
      <w:r>
        <w:rPr>
          <w:rFonts w:ascii="仿宋_GB2312" w:eastAsia="仿宋_GB2312" w:cs="仿宋_GB2312"/>
          <w:sz w:val="32"/>
          <w:szCs w:val="32"/>
          <w:lang w:val="zh-CN" w:eastAsia="zh-CN"/>
        </w:rPr>
        <w:t>个，涉及预算总金额</w:t>
      </w:r>
      <w:r>
        <w:rPr>
          <w:rFonts w:ascii="仿宋_GB2312" w:eastAsia="仿宋_GB2312" w:cs="仿宋_GB2312" w:hint="eastAsia"/>
          <w:sz w:val="32"/>
          <w:szCs w:val="32"/>
          <w:lang w:val="en-US" w:eastAsia="zh-CN"/>
        </w:rPr>
        <w:t>471.87</w:t>
      </w:r>
      <w:r>
        <w:rPr>
          <w:rFonts w:ascii="仿宋_GB2312" w:eastAsia="仿宋_GB2312" w:cs="仿宋_GB2312"/>
          <w:sz w:val="32"/>
          <w:szCs w:val="32"/>
          <w:lang w:val="zh-CN" w:eastAsia="zh-CN"/>
        </w:rPr>
        <w:t>万元，1</w:t>
      </w:r>
      <w:r>
        <w:rPr>
          <w:rFonts w:ascii="仿宋_GB2312" w:eastAsia="仿宋_GB2312" w:cs="仿宋_GB2312" w:hint="eastAsia"/>
          <w:sz w:val="32"/>
          <w:szCs w:val="32"/>
          <w:lang w:val="zh-CN" w:eastAsia="zh-CN"/>
        </w:rPr>
        <w:t>—</w:t>
      </w:r>
      <w:r>
        <w:rPr>
          <w:rFonts w:ascii="仿宋_GB2312" w:eastAsia="仿宋_GB2312" w:cs="仿宋_GB2312"/>
          <w:sz w:val="32"/>
          <w:szCs w:val="32"/>
          <w:lang w:val="zh-CN" w:eastAsia="zh-CN"/>
        </w:rPr>
        <w:t>1</w:t>
      </w:r>
      <w:r>
        <w:rPr>
          <w:rFonts w:ascii="仿宋_GB2312" w:eastAsia="仿宋_GB2312" w:cs="仿宋_GB2312"/>
          <w:sz w:val="32"/>
          <w:szCs w:val="32"/>
          <w:lang w:val="en-US" w:eastAsia="zh-CN"/>
        </w:rPr>
        <w:t>2</w:t>
      </w:r>
      <w:r>
        <w:rPr>
          <w:rFonts w:ascii="仿宋_GB2312" w:eastAsia="仿宋_GB2312" w:cs="仿宋_GB2312"/>
          <w:sz w:val="32"/>
          <w:szCs w:val="32"/>
          <w:lang w:val="zh-CN" w:eastAsia="zh-CN"/>
        </w:rPr>
        <w:t>月预算执行总体进度为</w:t>
      </w:r>
      <w:r>
        <w:rPr>
          <w:rFonts w:ascii="仿宋_GB2312" w:eastAsia="仿宋_GB2312" w:cs="仿宋_GB2312" w:hint="eastAsia"/>
          <w:sz w:val="32"/>
          <w:szCs w:val="32"/>
          <w:lang w:val="en-US" w:eastAsia="zh-CN"/>
        </w:rPr>
        <w:t>100</w:t>
      </w:r>
      <w:r>
        <w:rPr>
          <w:rFonts w:ascii="仿宋_GB2312" w:eastAsia="仿宋_GB2312" w:cs="仿宋_GB2312"/>
          <w:sz w:val="32"/>
          <w:szCs w:val="32"/>
          <w:lang w:val="en-US" w:eastAsia="zh-CN"/>
        </w:rPr>
        <w:t xml:space="preserve"> </w:t>
      </w:r>
      <w:r>
        <w:rPr>
          <w:rFonts w:ascii="仿宋_GB2312" w:eastAsia="仿宋_GB2312" w:cs="仿宋_GB2312"/>
          <w:sz w:val="32"/>
          <w:szCs w:val="32"/>
          <w:lang w:val="zh-CN" w:eastAsia="zh-CN"/>
        </w:rPr>
        <w:t>%，其中：预算结余率大于</w:t>
      </w:r>
      <w:r>
        <w:rPr>
          <w:rFonts w:ascii="仿宋_GB2312" w:eastAsia="仿宋_GB2312" w:cs="仿宋_GB2312"/>
          <w:sz w:val="32"/>
          <w:szCs w:val="32"/>
          <w:lang w:val="en-US" w:eastAsia="zh-CN"/>
        </w:rPr>
        <w:t>10%</w:t>
      </w:r>
      <w:r>
        <w:rPr>
          <w:rFonts w:ascii="仿宋_GB2312" w:eastAsia="仿宋_GB2312" w:cs="仿宋_GB2312"/>
          <w:sz w:val="32"/>
          <w:szCs w:val="32"/>
          <w:lang w:val="zh-CN" w:eastAsia="zh-CN"/>
        </w:rPr>
        <w:t>的项目共计</w:t>
      </w:r>
      <w:r>
        <w:rPr>
          <w:rFonts w:ascii="仿宋_GB2312" w:eastAsia="仿宋_GB2312" w:cs="仿宋_GB2312"/>
          <w:sz w:val="32"/>
          <w:szCs w:val="32"/>
          <w:lang w:val="en-US" w:eastAsia="zh-CN"/>
        </w:rPr>
        <w:t xml:space="preserve"> </w:t>
      </w:r>
      <w:r>
        <w:rPr>
          <w:rFonts w:ascii="仿宋_GB2312" w:eastAsia="仿宋_GB2312" w:cs="仿宋_GB2312" w:hint="eastAsia"/>
          <w:sz w:val="32"/>
          <w:szCs w:val="32"/>
          <w:lang w:val="en-US" w:eastAsia="zh-CN"/>
        </w:rPr>
        <w:t>0</w:t>
      </w:r>
      <w:r>
        <w:rPr>
          <w:rFonts w:ascii="仿宋_GB2312" w:eastAsia="仿宋_GB2312" w:cs="仿宋_GB2312"/>
          <w:sz w:val="32"/>
          <w:szCs w:val="32"/>
          <w:lang w:val="en-US" w:eastAsia="zh-CN"/>
        </w:rPr>
        <w:t xml:space="preserve">  </w:t>
      </w:r>
      <w:r>
        <w:rPr>
          <w:rFonts w:ascii="仿宋_GB2312" w:eastAsia="仿宋_GB2312" w:cs="仿宋_GB2312"/>
          <w:sz w:val="32"/>
          <w:szCs w:val="32"/>
          <w:lang w:val="zh-CN" w:eastAsia="zh-CN"/>
        </w:rPr>
        <w:t>个。</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 w:eastAsia="仿宋" w:cs="仿宋" w:hint="eastAsia"/>
          <w:b/>
          <w:bCs/>
          <w:sz w:val="32"/>
          <w:szCs w:val="32"/>
          <w:lang w:val="zh-CN" w:eastAsia="zh-CN"/>
        </w:rPr>
      </w:pPr>
      <w:r>
        <w:rPr>
          <w:rFonts w:ascii="仿宋" w:eastAsia="仿宋" w:cs="仿宋" w:hint="eastAsia"/>
          <w:b/>
          <w:bCs/>
          <w:sz w:val="32"/>
          <w:szCs w:val="32"/>
          <w:lang w:val="en-US" w:eastAsia="zh-CN"/>
        </w:rPr>
        <w:t>1.</w:t>
      </w:r>
      <w:r>
        <w:rPr>
          <w:rFonts w:ascii="仿宋" w:eastAsia="仿宋" w:cs="仿宋" w:hint="eastAsia"/>
          <w:b/>
          <w:bCs/>
          <w:sz w:val="32"/>
          <w:szCs w:val="32"/>
          <w:lang w:val="zh-CN" w:eastAsia="zh-CN"/>
        </w:rPr>
        <w:t>项目决策。</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本单位</w:t>
      </w:r>
      <w:r>
        <w:rPr>
          <w:rFonts w:ascii="仿宋_GB2312" w:eastAsia="仿宋_GB2312" w:cs="仿宋_GB2312" w:hint="eastAsia"/>
          <w:sz w:val="32"/>
          <w:szCs w:val="32"/>
          <w:lang w:val="zh-CN" w:eastAsia="zh-CN"/>
        </w:rPr>
        <w:t>预算项目设立</w:t>
      </w:r>
      <w:r>
        <w:rPr>
          <w:rFonts w:ascii="仿宋_GB2312" w:eastAsia="仿宋_GB2312" w:cs="仿宋_GB2312" w:hint="eastAsia"/>
          <w:sz w:val="32"/>
          <w:szCs w:val="32"/>
          <w:lang w:val="en-US" w:eastAsia="zh-CN"/>
        </w:rPr>
        <w:t>都</w:t>
      </w:r>
      <w:r>
        <w:rPr>
          <w:rFonts w:ascii="仿宋_GB2312" w:eastAsia="仿宋_GB2312" w:cs="仿宋_GB2312" w:hint="eastAsia"/>
          <w:sz w:val="32"/>
          <w:szCs w:val="32"/>
          <w:lang w:val="zh-CN" w:eastAsia="zh-CN"/>
        </w:rPr>
        <w:t>按规定履行评估论证、按程序申报、预算项目绩效目标与计划期内的任务量、预算安排的资金量匹配情况，绩效目标设置科学合理、规范完整、量化细化、预算匹配、预算项目在规定时间</w:t>
      </w:r>
      <w:r>
        <w:rPr>
          <w:rFonts w:ascii="仿宋_GB2312" w:eastAsia="仿宋_GB2312" w:cs="仿宋_GB2312" w:hint="eastAsia"/>
          <w:sz w:val="32"/>
          <w:szCs w:val="32"/>
          <w:lang w:val="en-US" w:eastAsia="zh-CN"/>
        </w:rPr>
        <w:t>内</w:t>
      </w:r>
      <w:r>
        <w:rPr>
          <w:rFonts w:ascii="仿宋_GB2312" w:eastAsia="仿宋_GB2312" w:cs="仿宋_GB2312" w:hint="eastAsia"/>
          <w:sz w:val="32"/>
          <w:szCs w:val="32"/>
          <w:lang w:val="zh-CN" w:eastAsia="zh-CN"/>
        </w:rPr>
        <w:t>完成项目入库，明确绩效目标，控制支行成本，提高项目发挥作用。</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楷体_GB2312" w:eastAsia="楷体_GB2312" w:cs="楷体_GB2312" w:hint="eastAsia"/>
          <w:b/>
          <w:bCs/>
          <w:color w:val="000000"/>
          <w:kern w:val="0"/>
          <w:sz w:val="32"/>
          <w:szCs w:val="32"/>
          <w:shd w:val="clear" w:color="auto" w:fill="FFFFFF"/>
          <w:lang w:val="zh-CN"/>
          <w:highlight w:val="auto"/>
        </w:rPr>
      </w:pPr>
      <w:r>
        <w:rPr>
          <w:rFonts w:ascii="楷体_GB2312" w:eastAsia="楷体_GB2312" w:cs="楷体_GB2312" w:hint="eastAsia"/>
          <w:b/>
          <w:bCs/>
          <w:color w:val="000000"/>
          <w:kern w:val="0"/>
          <w:sz w:val="32"/>
          <w:szCs w:val="32"/>
          <w:shd w:val="clear" w:color="auto" w:fill="FFFFFF"/>
          <w:lang w:val="en-US" w:eastAsia="zh-CN"/>
          <w:highlight w:val="auto"/>
        </w:rPr>
        <w:t>2.项目执行</w:t>
      </w:r>
      <w:r>
        <w:rPr>
          <w:rFonts w:ascii="楷体_GB2312" w:eastAsia="楷体_GB2312" w:cs="楷体_GB2312" w:hint="eastAsia"/>
          <w:b/>
          <w:bCs/>
          <w:color w:val="000000"/>
          <w:kern w:val="0"/>
          <w:sz w:val="32"/>
          <w:szCs w:val="32"/>
          <w:shd w:val="clear" w:color="auto" w:fill="FFFFFF"/>
          <w:lang w:val="zh-CN"/>
          <w:highlight w:val="auto"/>
        </w:rPr>
        <w:t>。</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预算项目实际列支内容与绩效目标设置方向相符、预算项目采取对应调整措施，</w:t>
      </w:r>
      <w:r>
        <w:rPr>
          <w:rFonts w:ascii="仿宋_GB2312" w:eastAsia="仿宋_GB2312" w:cs="仿宋_GB2312" w:hint="eastAsia"/>
          <w:sz w:val="32"/>
          <w:szCs w:val="32"/>
          <w:lang w:val="en-US" w:eastAsia="zh-CN"/>
        </w:rPr>
        <w:t>按程序调整</w:t>
      </w:r>
      <w:r>
        <w:rPr>
          <w:rFonts w:ascii="仿宋_GB2312" w:eastAsia="仿宋_GB2312" w:cs="仿宋_GB2312" w:hint="eastAsia"/>
          <w:sz w:val="32"/>
          <w:szCs w:val="32"/>
          <w:lang w:val="zh-CN" w:eastAsia="zh-CN"/>
        </w:rPr>
        <w:t>、预算项目</w:t>
      </w:r>
      <w:r>
        <w:rPr>
          <w:rFonts w:ascii="仿宋_GB2312" w:eastAsia="仿宋_GB2312" w:cs="仿宋_GB2312" w:hint="eastAsia"/>
          <w:sz w:val="32"/>
          <w:szCs w:val="32"/>
          <w:lang w:val="en-US" w:eastAsia="zh-CN"/>
        </w:rPr>
        <w:t>按照文件时间节点有序推进，按时完成并</w:t>
      </w:r>
      <w:r>
        <w:rPr>
          <w:rFonts w:ascii="仿宋_GB2312" w:eastAsia="仿宋_GB2312" w:cs="仿宋_GB2312" w:hint="eastAsia"/>
          <w:sz w:val="32"/>
          <w:szCs w:val="32"/>
          <w:lang w:val="zh-CN" w:eastAsia="zh-CN"/>
        </w:rPr>
        <w:t>根据财政局统一要求编制了我办整体绩效目标报告及项目整体绩效目标表，并报县财政局。</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楷体_GB2312" w:eastAsia="楷体_GB2312" w:cs="楷体_GB2312" w:hint="eastAsia"/>
          <w:b/>
          <w:bCs/>
          <w:color w:val="000000"/>
          <w:kern w:val="0"/>
          <w:sz w:val="32"/>
          <w:szCs w:val="32"/>
          <w:shd w:val="clear" w:color="auto" w:fill="FFFFFF"/>
          <w:lang w:val="zh-CN"/>
          <w:highlight w:val="auto"/>
        </w:rPr>
      </w:pPr>
      <w:r>
        <w:rPr>
          <w:rFonts w:ascii="楷体_GB2312" w:eastAsia="楷体_GB2312" w:cs="楷体_GB2312" w:hint="eastAsia"/>
          <w:b/>
          <w:bCs/>
          <w:color w:val="000000"/>
          <w:kern w:val="0"/>
          <w:sz w:val="32"/>
          <w:szCs w:val="32"/>
          <w:shd w:val="clear" w:color="auto" w:fill="FFFFFF"/>
          <w:lang w:val="en-US" w:eastAsia="zh-CN"/>
          <w:highlight w:val="auto"/>
        </w:rPr>
        <w:t>3.</w:t>
      </w:r>
      <w:r>
        <w:rPr>
          <w:rFonts w:ascii="楷体_GB2312" w:eastAsia="楷体_GB2312" w:cs="楷体_GB2312" w:hint="eastAsia"/>
          <w:b/>
          <w:bCs/>
          <w:color w:val="000000"/>
          <w:kern w:val="0"/>
          <w:sz w:val="32"/>
          <w:szCs w:val="32"/>
          <w:shd w:val="clear" w:color="auto" w:fill="FFFFFF"/>
          <w:lang w:val="zh-CN"/>
          <w:highlight w:val="auto"/>
        </w:rPr>
        <w:t>目标实现。</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根据预算绩效管理要求，我单位在年初预算编制阶段，组织对项目开展了预算事前绩效评估，本部门按要求对202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lang w:val="zh-CN" w:eastAsia="zh-CN"/>
        </w:rPr>
        <w:t>年部门整体支出开展绩效自评，我单位深入贯彻落实</w:t>
      </w:r>
      <w:r>
        <w:rPr>
          <w:rFonts w:ascii="仿宋_GB2312" w:eastAsia="仿宋_GB2312" w:cs="仿宋_GB2312" w:hint="eastAsia"/>
          <w:sz w:val="32"/>
          <w:szCs w:val="32"/>
          <w:lang w:val="en-US" w:eastAsia="zh-CN"/>
        </w:rPr>
        <w:t>二十</w:t>
      </w:r>
      <w:r>
        <w:rPr>
          <w:rFonts w:ascii="仿宋_GB2312" w:eastAsia="仿宋_GB2312" w:cs="仿宋_GB2312" w:hint="eastAsia"/>
          <w:sz w:val="32"/>
          <w:szCs w:val="32"/>
          <w:lang w:val="zh-CN" w:eastAsia="zh-CN"/>
        </w:rPr>
        <w:t>大关于“全面实施绩效管理”的要求，努力提升本单位绩效预算管理业务水平。主动公开绩效结果，加大资金使用效率，提升政府管理水平。及时告知各部门（科室）部门预算及项目支出进度。</w:t>
      </w:r>
    </w:p>
    <w:p>
      <w:pPr>
        <w:keepNext w:val="0"/>
        <w:keepLines w:val="0"/>
        <w:pageBreakBefore w:val="0"/>
        <w:widowControl/>
        <w:numPr>
          <w:ilvl w:val="0"/>
          <w:numId w:val="7"/>
        </w:numPr>
        <w:kinsoku/>
        <w:wordWrap/>
        <w:overflowPunct/>
        <w:topLinePunct w:val="0"/>
        <w:autoSpaceDE/>
        <w:autoSpaceDN/>
        <w:bidi w:val="0"/>
        <w:adjustRightInd w:val="0"/>
        <w:snapToGrid w:val="0"/>
        <w:spacing w:line="578" w:lineRule="exact"/>
        <w:ind w:left="640" w:firstLine="0"/>
        <w:contextualSpacing/>
        <w:jc w:val="left"/>
        <w:textAlignment w:val="auto"/>
        <w:outlineLvl w:val="9"/>
        <w:rPr>
          <w:rFonts w:ascii="Times New Roman" w:eastAsia="楷体_GB2312" w:cs="Times New Roman" w:hAnsi="Times New Roman" w:hint="eastAsia"/>
          <w:b/>
          <w:bCs/>
          <w:color w:val="000000"/>
          <w:kern w:val="0"/>
          <w:sz w:val="32"/>
          <w:szCs w:val="32"/>
          <w:shd w:val="clear" w:color="auto" w:fill="FFFFFF"/>
          <w:lang w:val="zh-CN" w:eastAsia="zh-CN"/>
          <w:highlight w:val="auto"/>
        </w:rPr>
      </w:pPr>
      <w:r>
        <w:rPr>
          <w:rFonts w:ascii="Times New Roman" w:eastAsia="楷体_GB2312" w:cs="Times New Roman" w:hAnsi="Times New Roman"/>
          <w:b/>
          <w:bCs/>
          <w:color w:val="000000"/>
          <w:kern w:val="0"/>
          <w:sz w:val="32"/>
          <w:szCs w:val="32"/>
          <w:shd w:val="clear" w:color="auto" w:fill="FFFFFF"/>
          <w:lang w:val="zh-CN" w:eastAsia="zh-CN"/>
          <w:highlight w:val="auto"/>
        </w:rPr>
        <w:t>绩效结果应用情况</w:t>
      </w:r>
      <w:r>
        <w:rPr>
          <w:rFonts w:ascii="Times New Roman" w:eastAsia="楷体_GB2312" w:cs="Times New Roman" w:hAnsi="Times New Roman" w:hint="eastAsia"/>
          <w:b/>
          <w:bCs/>
          <w:color w:val="000000"/>
          <w:kern w:val="0"/>
          <w:sz w:val="32"/>
          <w:szCs w:val="32"/>
          <w:shd w:val="clear" w:color="auto" w:fill="FFFFFF"/>
          <w:lang w:val="zh-CN" w:eastAsia="zh-CN"/>
          <w:highlight w:val="auto"/>
        </w:rPr>
        <w:t>。</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sz w:val="32"/>
          <w:szCs w:val="32"/>
          <w:lang w:val="en-US" w:eastAsia="zh-CN"/>
        </w:rPr>
      </w:pPr>
      <w:r>
        <w:rPr>
          <w:rFonts w:ascii="仿宋_GB2312" w:eastAsia="仿宋_GB2312" w:cs="仿宋_GB2312" w:hint="eastAsia"/>
          <w:sz w:val="32"/>
          <w:szCs w:val="32"/>
          <w:lang w:val="zh-CN" w:eastAsia="zh-CN"/>
        </w:rPr>
        <w:t>根据预算绩效管理要求，我单位在年初预算编制阶段，组织对项目开展了预算事前绩效评估，本部门按要求对202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lang w:val="zh-CN" w:eastAsia="zh-CN"/>
        </w:rPr>
        <w:t>年部门整体支出开展绩效自评，我单位深入贯彻落实</w:t>
      </w:r>
      <w:r>
        <w:rPr>
          <w:rFonts w:ascii="仿宋_GB2312" w:eastAsia="仿宋_GB2312" w:cs="仿宋_GB2312" w:hint="eastAsia"/>
          <w:sz w:val="32"/>
          <w:szCs w:val="32"/>
          <w:lang w:val="en-US" w:eastAsia="zh-CN"/>
        </w:rPr>
        <w:t>二十</w:t>
      </w:r>
      <w:r>
        <w:rPr>
          <w:rFonts w:ascii="仿宋_GB2312" w:eastAsia="仿宋_GB2312" w:cs="仿宋_GB2312" w:hint="eastAsia"/>
          <w:sz w:val="32"/>
          <w:szCs w:val="32"/>
          <w:lang w:val="zh-CN" w:eastAsia="zh-CN"/>
        </w:rPr>
        <w:t>大关于“全面实施绩效管理”的要求，努力提升本单位绩效预算管理业务水平。主动公开绩效结果，加大资金使用效率，提升政府管理水平。及时告知各部门（科室）部门预算及项目支出进度。</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 w:eastAsia="仿宋" w:cs="仿宋" w:hint="eastAsia"/>
          <w:sz w:val="32"/>
          <w:szCs w:val="32"/>
          <w:lang w:val="zh-CN" w:eastAsia="zh-CN"/>
        </w:rPr>
      </w:pP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黑体" w:cs="Times New Roman" w:hAnsi="Times New Roman"/>
          <w:kern w:val="0"/>
          <w:sz w:val="32"/>
          <w:szCs w:val="32"/>
          <w:shd w:val="clear" w:color="auto" w:fill="FFFFFF"/>
        </w:rPr>
      </w:pPr>
      <w:r>
        <w:rPr>
          <w:rFonts w:ascii="Times New Roman" w:eastAsia="黑体" w:cs="Times New Roman" w:hAnsi="Times New Roman"/>
          <w:kern w:val="0"/>
          <w:sz w:val="32"/>
          <w:szCs w:val="32"/>
          <w:shd w:val="clear" w:color="auto" w:fill="FFFFFF"/>
        </w:rPr>
        <w:t>四、评价结论及建议</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（一）评价结论。</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我办对202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lang w:val="zh-CN" w:eastAsia="zh-CN"/>
        </w:rPr>
        <w:t>年度整体支出情况开展自评，得分</w:t>
      </w:r>
      <w:r>
        <w:rPr>
          <w:rFonts w:ascii="仿宋_GB2312" w:eastAsia="仿宋_GB2312" w:cs="仿宋_GB2312" w:hint="eastAsia"/>
          <w:sz w:val="32"/>
          <w:szCs w:val="32"/>
          <w:lang w:val="en-US" w:eastAsia="zh-CN"/>
        </w:rPr>
        <w:t>91</w:t>
      </w:r>
      <w:r>
        <w:rPr>
          <w:rFonts w:ascii="仿宋_GB2312" w:eastAsia="仿宋_GB2312" w:cs="仿宋_GB2312" w:hint="eastAsia"/>
          <w:sz w:val="32"/>
          <w:szCs w:val="32"/>
          <w:lang w:val="zh-CN" w:eastAsia="zh-CN"/>
        </w:rPr>
        <w:t>分。从总体性分析评价，全年整体支出较优，实现了年初绩效目标。从结构性分析评价，一般公共预算基本支出完成预算的</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lang w:val="zh-CN" w:eastAsia="zh-CN"/>
        </w:rPr>
        <w:t>%，绩效目标实际实现程度与预期目标的偏离度为持平，整体绩效管理合理合规；一般公共预算项目支出完成预算的</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lang w:val="zh-CN" w:eastAsia="zh-CN"/>
        </w:rPr>
        <w:t>%，绩效目标实际实现程度与预期目标的偏离度为持平，整体绩效管理合理合规。202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lang w:val="zh-CN" w:eastAsia="zh-CN"/>
        </w:rPr>
        <w:t>年度整体支出绩效评价优好，无违纪违规问题，预算编制、预算执行、完成结果等均达到既定目标管理。</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（二）存在问题。</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个别人员经费和公用经费测算标准及套用公式不够科学精准，部分经济科目在预算执行中存在较早亮红灯，预算经费支出进度较快。</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kern w:val="0"/>
          <w:sz w:val="32"/>
          <w:szCs w:val="32"/>
          <w:shd w:val="clear" w:color="auto" w:fill="FFFFFF"/>
          <w:lang w:val="zh-CN"/>
        </w:rPr>
      </w:pPr>
      <w:r>
        <w:rPr>
          <w:rFonts w:ascii="Times New Roman" w:eastAsia="楷体_GB2312" w:cs="Times New Roman" w:hAnsi="Times New Roman"/>
          <w:b/>
          <w:sz w:val="32"/>
          <w:szCs w:val="32"/>
          <w:lang w:val="zh-CN"/>
        </w:rPr>
        <w:t>（三）改进建议。</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我办将积极对接财政部门作出技术调整，优化预算测算标准，科学审批年度预算汇编，使资金真正能够因地制宜，发挥实效。进一步做好预算编制前提调研准备工作，根据实际需要积极评估测算，尽量减少减轻资金闲置或低使用率现象，启用预算执行绩效监控机制，及时提示项目管理部门按照绩效目标开展实施。</w:t>
      </w:r>
    </w:p>
    <w:p>
      <w:pPr>
        <w:pStyle w:val="16"/>
        <w:rPr>
          <w:rFonts w:ascii="Times New Roman" w:eastAsia="仿宋_GB2312" w:cs="Times New Roman" w:hAnsi="Times New Roman"/>
          <w:bCs/>
          <w:kern w:val="0"/>
          <w:sz w:val="32"/>
          <w:szCs w:val="32"/>
          <w:shd w:val="clear" w:color="auto" w:fill="FFFFFF"/>
          <w:lang w:val="zh-CN"/>
        </w:rPr>
      </w:pPr>
    </w:p>
    <w:p>
      <w:pPr>
        <w:pStyle w:val="16"/>
        <w:rPr>
          <w:rFonts w:ascii="Times New Roman" w:eastAsia="仿宋_GB2312" w:cs="Times New Roman" w:hAnsi="Times New Roman"/>
          <w:bCs/>
          <w:kern w:val="0"/>
          <w:sz w:val="32"/>
          <w:szCs w:val="32"/>
          <w:shd w:val="clear" w:color="auto" w:fill="FFFFFF"/>
          <w:lang w:val="zh-CN"/>
        </w:rPr>
      </w:pPr>
    </w:p>
    <w:p>
      <w:pPr>
        <w:pStyle w:val="16"/>
        <w:rPr>
          <w:rFonts w:ascii="Times New Roman" w:eastAsia="仿宋_GB2312" w:cs="Times New Roman" w:hAnsi="Times New Roman"/>
          <w:bCs/>
          <w:kern w:val="0"/>
          <w:sz w:val="32"/>
          <w:szCs w:val="32"/>
          <w:shd w:val="clear" w:color="auto" w:fill="FFFFFF"/>
          <w:lang w:val="zh-CN"/>
        </w:rPr>
      </w:pPr>
    </w:p>
    <w:p>
      <w:pPr>
        <w:pStyle w:val="16"/>
        <w:rPr>
          <w:rFonts w:ascii="Times New Roman" w:eastAsia="仿宋_GB2312" w:cs="Times New Roman" w:hAnsi="Times New Roman"/>
          <w:bCs/>
          <w:kern w:val="0"/>
          <w:sz w:val="32"/>
          <w:szCs w:val="32"/>
          <w:shd w:val="clear" w:color="auto" w:fill="FFFFFF"/>
          <w:lang w:val="zh-CN"/>
        </w:rPr>
      </w:pPr>
    </w:p>
    <w:p>
      <w:pPr>
        <w:pStyle w:val="16"/>
        <w:rPr>
          <w:rFonts w:ascii="Times New Roman" w:eastAsia="仿宋_GB2312" w:cs="Times New Roman" w:hAnsi="Times New Roman"/>
          <w:bCs/>
          <w:kern w:val="0"/>
          <w:sz w:val="32"/>
          <w:szCs w:val="32"/>
          <w:shd w:val="clear" w:color="auto" w:fill="FFFFFF"/>
          <w:lang w:val="zh-CN"/>
        </w:rPr>
      </w:pPr>
    </w:p>
    <w:p>
      <w:pPr>
        <w:pStyle w:val="16"/>
        <w:rPr>
          <w:rFonts w:ascii="Times New Roman" w:eastAsia="仿宋_GB2312" w:cs="Times New Roman" w:hAnsi="Times New Roman"/>
          <w:bCs/>
          <w:kern w:val="0"/>
          <w:sz w:val="32"/>
          <w:szCs w:val="32"/>
          <w:shd w:val="clear" w:color="auto" w:fill="FFFFFF"/>
          <w:lang w:val="zh-CN"/>
        </w:rPr>
      </w:pPr>
    </w:p>
    <w:p>
      <w:pPr>
        <w:pStyle w:val="16"/>
        <w:rPr>
          <w:rFonts w:ascii="Times New Roman" w:eastAsia="仿宋_GB2312" w:cs="Times New Roman" w:hAnsi="Times New Roman"/>
          <w:bCs/>
          <w:kern w:val="0"/>
          <w:sz w:val="32"/>
          <w:szCs w:val="32"/>
          <w:shd w:val="clear" w:color="auto" w:fill="FFFFFF"/>
          <w:lang w:val="zh-CN"/>
        </w:rPr>
      </w:pPr>
    </w:p>
    <w:p>
      <w:pPr>
        <w:pStyle w:val="16"/>
        <w:rPr>
          <w:rFonts w:ascii="Times New Roman" w:eastAsia="仿宋_GB2312" w:cs="Times New Roman" w:hAnsi="Times New Roman"/>
          <w:bCs/>
          <w:kern w:val="0"/>
          <w:sz w:val="32"/>
          <w:szCs w:val="32"/>
          <w:shd w:val="clear" w:color="auto" w:fill="FFFFFF"/>
          <w:lang w:val="zh-CN"/>
        </w:rPr>
      </w:pPr>
    </w:p>
    <w:p>
      <w:pPr>
        <w:pStyle w:val="16"/>
        <w:rPr>
          <w:rFonts w:ascii="Times New Roman" w:eastAsia="仿宋_GB2312" w:cs="Times New Roman" w:hAnsi="Times New Roman"/>
          <w:bCs/>
          <w:kern w:val="0"/>
          <w:sz w:val="32"/>
          <w:szCs w:val="32"/>
          <w:shd w:val="clear" w:color="auto" w:fill="FFFFFF"/>
          <w:lang w:val="zh-CN"/>
        </w:rPr>
      </w:pPr>
    </w:p>
    <w:p>
      <w:pPr>
        <w:pStyle w:val="18"/>
        <w:keepNext w:val="0"/>
        <w:keepLines w:val="0"/>
        <w:pageBreakBefore w:val="0"/>
        <w:widowControl w:val="0"/>
        <w:kinsoku/>
        <w:wordWrap/>
        <w:overflowPunct/>
        <w:topLinePunct w:val="0"/>
        <w:autoSpaceDE/>
        <w:autoSpaceDN/>
        <w:bidi w:val="0"/>
        <w:spacing w:line="560" w:lineRule="exact"/>
        <w:textAlignment w:val="auto"/>
        <w:rPr>
          <w:rFonts w:ascii="Times New Roman" w:eastAsia="仿宋_GB2312" w:cs="Times New Roman" w:hAnsi="Times New Roman" w:hint="eastAsia"/>
          <w:kern w:val="2"/>
          <w:sz w:val="32"/>
          <w:szCs w:val="32"/>
          <w:u w:val="none"/>
          <w:lang w:val="zh-CN" w:eastAsia="zh-CN"/>
        </w:rPr>
      </w:pPr>
      <w:r>
        <w:rPr>
          <w:rFonts w:ascii="Times New Roman" w:eastAsia="仿宋_GB2312" w:cs="Times New Roman" w:hAnsi="Times New Roman" w:hint="eastAsia"/>
          <w:kern w:val="2"/>
          <w:sz w:val="32"/>
          <w:szCs w:val="32"/>
          <w:u w:val="none"/>
          <w:lang w:val="zh-CN" w:eastAsia="zh-CN"/>
        </w:rPr>
        <w:t>附表：</w:t>
      </w:r>
      <w:r>
        <w:rPr>
          <w:rFonts w:ascii="Times New Roman" w:eastAsia="仿宋_GB2312" w:cs="Times New Roman" w:hAnsi="Times New Roman" w:hint="eastAsia"/>
          <w:kern w:val="2"/>
          <w:sz w:val="32"/>
          <w:szCs w:val="32"/>
          <w:u w:val="none"/>
          <w:lang w:val="en-US" w:eastAsia="zh-CN"/>
        </w:rPr>
        <w:t>部门预算项目支出绩效自评表（2024年度）</w:t>
      </w:r>
    </w:p>
    <w:p>
      <w:pPr>
        <w:pStyle w:val="16"/>
        <w:rPr>
          <w:rFonts w:ascii="Times New Roman" w:eastAsia="仿宋_GB2312" w:cs="Times New Roman" w:hAnsi="Times New Roman"/>
          <w:bCs/>
          <w:kern w:val="0"/>
          <w:sz w:val="32"/>
          <w:szCs w:val="32"/>
          <w:shd w:val="clear" w:color="auto" w:fill="FFFFFF"/>
          <w:lang w:val="zh-CN"/>
        </w:rPr>
      </w:pPr>
    </w:p>
    <w:p>
      <w:pPr>
        <w:pStyle w:val="16"/>
        <w:rPr>
          <w:rFonts w:ascii="Times New Roman" w:eastAsia="仿宋_GB2312" w:cs="Times New Roman" w:hAnsi="Times New Roman"/>
          <w:bCs/>
          <w:kern w:val="0"/>
          <w:sz w:val="32"/>
          <w:szCs w:val="32"/>
          <w:shd w:val="clear" w:color="auto" w:fill="FFFFFF"/>
          <w:lang w:val="zh-CN"/>
        </w:rPr>
      </w:pPr>
    </w:p>
    <w:p>
      <w:pPr>
        <w:pStyle w:val="16"/>
        <w:rPr>
          <w:rFonts w:ascii="Times New Roman" w:eastAsia="仿宋_GB2312" w:cs="Times New Roman" w:hAnsi="Times New Roman"/>
          <w:bCs/>
          <w:kern w:val="0"/>
          <w:sz w:val="32"/>
          <w:szCs w:val="32"/>
          <w:shd w:val="clear" w:color="auto" w:fill="FFFFFF"/>
          <w:lang w:val="zh-CN"/>
        </w:rPr>
      </w:pPr>
    </w:p>
    <w:p>
      <w:pPr>
        <w:pStyle w:val="16"/>
        <w:rPr>
          <w:rFonts w:ascii="Times New Roman" w:eastAsia="仿宋_GB2312" w:cs="Times New Roman" w:hAnsi="Times New Roman"/>
          <w:bCs/>
          <w:kern w:val="0"/>
          <w:sz w:val="32"/>
          <w:szCs w:val="32"/>
          <w:shd w:val="clear" w:color="auto" w:fill="FFFFFF"/>
          <w:lang w:val="zh-CN"/>
        </w:rPr>
      </w:pPr>
    </w:p>
    <w:p>
      <w:pPr>
        <w:keepNext w:val="0"/>
        <w:keepLines w:val="0"/>
        <w:pageBreakBefore w:val="0"/>
        <w:widowControl w:val="0"/>
        <w:kinsoku/>
        <w:wordWrap/>
        <w:overflowPunct/>
        <w:topLinePunct w:val="0"/>
        <w:autoSpaceDE/>
        <w:autoSpaceDN/>
        <w:spacing w:line="578" w:lineRule="exact"/>
        <w:rPr>
          <w:rFonts w:ascii="黑体" w:eastAsia="黑体" w:cs="黑体" w:hint="eastAsia"/>
          <w:sz w:val="32"/>
          <w:szCs w:val="32"/>
        </w:rPr>
      </w:pPr>
      <w:r>
        <w:rPr>
          <w:rFonts w:ascii="黑体" w:eastAsia="黑体" w:cs="黑体" w:hint="eastAsia"/>
          <w:sz w:val="32"/>
          <w:szCs w:val="32"/>
          <w:lang w:val="en-US" w:eastAsia="zh-CN"/>
        </w:rPr>
        <w:t>附表1</w:t>
      </w:r>
    </w:p>
    <w:p>
      <w:pPr>
        <w:keepNext w:val="0"/>
        <w:keepLines w:val="0"/>
        <w:pageBreakBefore w:val="0"/>
        <w:widowControl w:val="0"/>
        <w:kinsoku/>
        <w:wordWrap/>
        <w:overflowPunct/>
        <w:topLinePunct w:val="0"/>
        <w:autoSpaceDE/>
        <w:autoSpaceDN/>
        <w:spacing w:line="578" w:lineRule="exact"/>
        <w:jc w:val="center"/>
        <w:rPr>
          <w:rStyle w:val="0"/>
          <w:rFonts w:ascii="黑体" w:eastAsia="黑体" w:cs="黑体" w:hint="eastAsia"/>
          <w:bCs/>
          <w:sz w:val="32"/>
          <w:szCs w:val="32"/>
        </w:rPr>
      </w:pPr>
      <w:r>
        <w:rPr>
          <w:rStyle w:val="0"/>
          <w:rFonts w:ascii="黑体" w:eastAsia="黑体" w:cs="黑体" w:hint="eastAsia"/>
          <w:sz w:val="32"/>
          <w:szCs w:val="32"/>
          <w:lang w:bidi="ar-SA"/>
        </w:rPr>
        <w:t>部门预算绩效自评打分表</w:t>
      </w:r>
    </w:p>
    <w:tbl>
      <w:tblPr>
        <w:jc w:val="center"/>
        <w:tblW w:w="10819"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004"/>
        <w:gridCol w:w="1462"/>
        <w:gridCol w:w="1665"/>
        <w:gridCol w:w="720"/>
        <w:gridCol w:w="4734"/>
        <w:gridCol w:w="756"/>
        <w:gridCol w:w="478"/>
      </w:tblGrid>
      <w:tr>
        <w:trPr>
          <w:trHeight w:val="23"/>
        </w:trPr>
        <w:tc>
          <w:tcPr>
            <w:tcW w:w="4851" w:type="dxa"/>
            <w:gridSpan w:val="4"/>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i w:val="0"/>
                <w:color w:val="000000"/>
                <w:sz w:val="24"/>
                <w:szCs w:val="24"/>
                <w:u w:val="none"/>
              </w:rPr>
            </w:pPr>
            <w:r>
              <w:rPr>
                <w:rFonts w:ascii="黑体" w:eastAsia="黑体" w:cs="黑体" w:hint="eastAsia"/>
                <w:i w:val="0"/>
                <w:color w:val="000000"/>
                <w:kern w:val="0"/>
                <w:sz w:val="24"/>
                <w:szCs w:val="24"/>
                <w:u w:val="none"/>
                <w:lang w:val="en-US" w:eastAsia="zh-CN" w:bidi="ar-SA"/>
              </w:rPr>
              <w:t>绩效评价指标指标分值</w:t>
            </w:r>
          </w:p>
        </w:tc>
        <w:tc>
          <w:tcPr>
            <w:tcW w:w="4734"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4"/>
                <w:szCs w:val="24"/>
                <w:u w:val="none"/>
              </w:rPr>
            </w:pPr>
            <w:r>
              <w:rPr>
                <w:rFonts w:ascii="黑体" w:eastAsia="黑体" w:cs="黑体" w:hint="eastAsia"/>
                <w:i w:val="0"/>
                <w:color w:val="000000"/>
                <w:kern w:val="0"/>
                <w:sz w:val="24"/>
                <w:szCs w:val="24"/>
                <w:u w:val="none"/>
                <w:lang w:val="en-US" w:eastAsia="zh-CN" w:bidi="ar-SA"/>
              </w:rPr>
              <w:t>指标解释</w:t>
            </w:r>
          </w:p>
        </w:tc>
        <w:tc>
          <w:tcPr>
            <w:tcW w:w="756" w:type="dxa"/>
            <w:vMerge w:val="restart"/>
            <w:tcBorders>
              <w:top w:val="single" w:sz="4" w:space="0" w:color="000000"/>
              <w:left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kern w:val="0"/>
                <w:sz w:val="24"/>
                <w:szCs w:val="24"/>
                <w:u w:val="none"/>
                <w:lang w:val="en-US" w:eastAsia="zh-CN" w:bidi="ar-SA"/>
              </w:rPr>
            </w:pPr>
            <w:r>
              <w:rPr>
                <w:rFonts w:ascii="黑体" w:eastAsia="黑体" w:cs="黑体" w:hint="eastAsia"/>
                <w:i w:val="0"/>
                <w:color w:val="000000"/>
                <w:kern w:val="0"/>
                <w:sz w:val="24"/>
                <w:szCs w:val="24"/>
                <w:u w:val="none"/>
                <w:lang w:val="en-US" w:eastAsia="zh-CN" w:bidi="ar-SA"/>
              </w:rPr>
              <w:t>自评得分</w:t>
            </w:r>
          </w:p>
        </w:tc>
        <w:tc>
          <w:tcPr>
            <w:tcW w:w="478" w:type="dxa"/>
            <w:vMerge w:val="restart"/>
            <w:tcBorders>
              <w:top w:val="single" w:sz="4" w:space="0" w:color="000000"/>
              <w:left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kern w:val="0"/>
                <w:sz w:val="24"/>
                <w:szCs w:val="24"/>
                <w:u w:val="none"/>
                <w:lang w:val="en-US" w:eastAsia="zh-CN" w:bidi="ar-SA"/>
              </w:rPr>
            </w:pPr>
            <w:r>
              <w:rPr>
                <w:rFonts w:ascii="黑体" w:eastAsia="黑体" w:cs="黑体" w:hint="eastAsia"/>
                <w:i w:val="0"/>
                <w:color w:val="000000"/>
                <w:kern w:val="0"/>
                <w:sz w:val="24"/>
                <w:szCs w:val="24"/>
                <w:u w:val="none"/>
                <w:lang w:val="en-US" w:eastAsia="zh-CN" w:bidi="ar-SA"/>
              </w:rPr>
              <w:t>备注</w:t>
            </w:r>
          </w:p>
        </w:tc>
      </w:tr>
      <w:tr>
        <w:trPr>
          <w:trHeight w:val="23"/>
        </w:trPr>
        <w:tc>
          <w:tcPr>
            <w:tcW w:w="1004" w:type="dxa"/>
            <w:tcBorders>
              <w:top w:val="single" w:sz="4" w:space="0" w:color="000000"/>
              <w:left w:val="single" w:sz="4" w:space="0" w:color="000000"/>
              <w:bottom w:val="single" w:sz="4" w:space="0" w:color="000000"/>
              <w:right w:val="nil"/>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4"/>
                <w:szCs w:val="24"/>
                <w:u w:val="none"/>
              </w:rPr>
            </w:pPr>
            <w:r>
              <w:rPr>
                <w:rFonts w:ascii="黑体" w:eastAsia="黑体" w:cs="黑体" w:hint="eastAsia"/>
                <w:i w:val="0"/>
                <w:color w:val="000000"/>
                <w:kern w:val="0"/>
                <w:sz w:val="24"/>
                <w:szCs w:val="24"/>
                <w:u w:val="none"/>
                <w:lang w:val="en-US" w:eastAsia="zh-CN" w:bidi="ar-SA"/>
              </w:rPr>
              <w:t>一级指标</w:t>
            </w:r>
          </w:p>
        </w:tc>
        <w:tc>
          <w:tcPr>
            <w:tcW w:w="1462"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4"/>
                <w:szCs w:val="24"/>
                <w:u w:val="none"/>
              </w:rPr>
            </w:pPr>
            <w:r>
              <w:rPr>
                <w:rFonts w:ascii="黑体" w:eastAsia="黑体" w:cs="黑体" w:hint="eastAsia"/>
                <w:i w:val="0"/>
                <w:color w:val="000000"/>
                <w:kern w:val="0"/>
                <w:sz w:val="24"/>
                <w:szCs w:val="24"/>
                <w:u w:val="none"/>
                <w:lang w:val="en-US" w:eastAsia="zh-CN" w:bidi="ar-SA"/>
              </w:rPr>
              <w:t>二级指标</w:t>
            </w:r>
          </w:p>
        </w:tc>
        <w:tc>
          <w:tcPr>
            <w:tcW w:w="166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4"/>
                <w:szCs w:val="24"/>
                <w:u w:val="none"/>
              </w:rPr>
            </w:pPr>
            <w:r>
              <w:rPr>
                <w:rFonts w:ascii="黑体" w:eastAsia="黑体" w:cs="黑体" w:hint="eastAsia"/>
                <w:i w:val="0"/>
                <w:color w:val="000000"/>
                <w:kern w:val="0"/>
                <w:sz w:val="24"/>
                <w:szCs w:val="24"/>
                <w:u w:val="none"/>
                <w:lang w:val="en-US" w:eastAsia="zh-CN" w:bidi="ar-SA"/>
              </w:rPr>
              <w:t>三级指标</w:t>
            </w:r>
          </w:p>
        </w:tc>
        <w:tc>
          <w:tcPr>
            <w:tcW w:w="72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4"/>
                <w:szCs w:val="24"/>
                <w:u w:val="none"/>
              </w:rPr>
            </w:pPr>
            <w:r>
              <w:rPr>
                <w:rFonts w:ascii="黑体" w:eastAsia="黑体" w:cs="黑体" w:hint="eastAsia"/>
                <w:i w:val="0"/>
                <w:color w:val="000000"/>
                <w:kern w:val="0"/>
                <w:sz w:val="24"/>
                <w:szCs w:val="24"/>
                <w:u w:val="none"/>
                <w:lang w:val="en-US" w:eastAsia="zh-CN" w:bidi="ar-SA"/>
              </w:rPr>
              <w:t>指标</w:t>
              <w:br/>
              <w:t>分值</w:t>
            </w:r>
          </w:p>
        </w:tc>
        <w:tc>
          <w:tcPr>
            <w:tcW w:w="4734"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756" w:type="dxa"/>
            <w:vMerge/>
            <w:tcBorders>
              <w:left w:val="single" w:sz="4" w:space="0" w:color="000000"/>
              <w:bottom w:val="single" w:sz="4" w:space="0" w:color="000000"/>
              <w:right w:val="single" w:sz="4" w:space="0" w:color="000000"/>
              <w:tl2br w:val="nil"/>
              <w:tr2bl w:val="nil"/>
            </w:tcBorders>
            <w:vAlign w:val="center"/>
          </w:tcPr>
          <w:p/>
        </w:tc>
        <w:tc>
          <w:tcPr>
            <w:tcW w:w="478" w:type="dxa"/>
            <w:vMerge/>
            <w:tcBorders>
              <w:left w:val="single" w:sz="4" w:space="0" w:color="000000"/>
              <w:bottom w:val="single" w:sz="4" w:space="0" w:color="000000"/>
              <w:right w:val="single" w:sz="4" w:space="0" w:color="000000"/>
              <w:tl2br w:val="nil"/>
              <w:tr2bl w:val="nil"/>
            </w:tcBorders>
            <w:vAlign w:val="center"/>
          </w:tcPr>
          <w:p/>
        </w:tc>
      </w:tr>
      <w:tr>
        <w:trPr>
          <w:trHeight w:val="23"/>
        </w:trPr>
        <w:tc>
          <w:tcPr>
            <w:tcW w:w="1004"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bidi="ar-SA"/>
              </w:rPr>
              <w:t>总体绩效</w:t>
              <w:br/>
              <w:t>（65分）</w:t>
            </w:r>
          </w:p>
        </w:tc>
        <w:tc>
          <w:tcPr>
            <w:tcW w:w="1462" w:type="dxa"/>
            <w:vMerge w:val="restart"/>
            <w:tcBorders>
              <w:top w:val="single" w:sz="4" w:space="0" w:color="000000"/>
              <w:left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bidi="ar-SA"/>
              </w:rPr>
              <w:t>履职效能</w:t>
              <w:br/>
              <w:t>（15分）</w:t>
            </w:r>
          </w:p>
        </w:tc>
        <w:tc>
          <w:tcPr>
            <w:tcW w:w="166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数量指标履职效果</w:t>
            </w:r>
          </w:p>
        </w:tc>
        <w:tc>
          <w:tcPr>
            <w:tcW w:w="720" w:type="dxa"/>
            <w:tcBorders>
              <w:top w:val="nil"/>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5</w:t>
            </w:r>
          </w:p>
        </w:tc>
        <w:tc>
          <w:tcPr>
            <w:tcW w:w="4734" w:type="dxa"/>
            <w:vMerge w:val="restart"/>
            <w:tcBorders>
              <w:top w:val="single" w:sz="4" w:space="0" w:color="000000"/>
              <w:left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部门整体绩效目标中选定3-5个核心职能目标，反映该项职能目标完成效果情况</w:t>
            </w:r>
          </w:p>
        </w:tc>
        <w:tc>
          <w:tcPr>
            <w:tcW w:w="75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5</w:t>
            </w:r>
          </w:p>
        </w:tc>
        <w:tc>
          <w:tcPr>
            <w:tcW w:w="47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bidi="ar-SA"/>
              </w:rPr>
            </w:pPr>
          </w:p>
        </w:tc>
      </w:tr>
      <w:tr>
        <w:trPr>
          <w:trHeight w:val="23"/>
        </w:trPr>
        <w:tc>
          <w:tcPr>
            <w:tcW w:w="1004" w:type="dxa"/>
            <w:vMerge/>
            <w:tcBorders>
              <w:left w:val="single" w:sz="4" w:space="0" w:color="000000"/>
              <w:right w:val="single" w:sz="4" w:space="0" w:color="000000"/>
              <w:tl2br w:val="nil"/>
              <w:tr2bl w:val="nil"/>
            </w:tcBorders>
            <w:vAlign w:val="center"/>
          </w:tcPr>
          <w:p/>
        </w:tc>
        <w:tc>
          <w:tcPr>
            <w:tcW w:w="1462" w:type="dxa"/>
            <w:vMerge/>
            <w:tcBorders>
              <w:left w:val="single" w:sz="4" w:space="0" w:color="000000"/>
              <w:right w:val="single" w:sz="4" w:space="0" w:color="000000"/>
              <w:tl2br w:val="nil"/>
              <w:tr2bl w:val="nil"/>
            </w:tcBorders>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质量指标履职效果</w:t>
            </w:r>
          </w:p>
        </w:tc>
        <w:tc>
          <w:tcPr>
            <w:tcW w:w="720" w:type="dxa"/>
            <w:tcBorders>
              <w:top w:val="nil"/>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5</w:t>
            </w:r>
          </w:p>
        </w:tc>
        <w:tc>
          <w:tcPr>
            <w:tcW w:w="4734" w:type="dxa"/>
            <w:vMerge/>
            <w:tcBorders>
              <w:left w:val="single" w:sz="4" w:space="0" w:color="000000"/>
              <w:right w:val="single" w:sz="4" w:space="0" w:color="000000"/>
              <w:tl2br w:val="nil"/>
              <w:tr2bl w:val="nil"/>
            </w:tcBorders>
            <w:vAlign w:val="center"/>
          </w:tcPr>
          <w:p/>
        </w:tc>
        <w:tc>
          <w:tcPr>
            <w:tcW w:w="75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4</w:t>
            </w:r>
          </w:p>
        </w:tc>
        <w:tc>
          <w:tcPr>
            <w:tcW w:w="47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bidi="ar-SA"/>
              </w:rPr>
            </w:pPr>
          </w:p>
        </w:tc>
      </w:tr>
      <w:tr>
        <w:trPr>
          <w:trHeight w:val="23"/>
        </w:trPr>
        <w:tc>
          <w:tcPr>
            <w:tcW w:w="1004" w:type="dxa"/>
            <w:vMerge/>
            <w:tcBorders>
              <w:left w:val="single" w:sz="4" w:space="0" w:color="000000"/>
              <w:right w:val="single" w:sz="4" w:space="0" w:color="000000"/>
              <w:tl2br w:val="nil"/>
              <w:tr2bl w:val="nil"/>
            </w:tcBorders>
            <w:vAlign w:val="center"/>
          </w:tcPr>
          <w:p/>
        </w:tc>
        <w:tc>
          <w:tcPr>
            <w:tcW w:w="1462" w:type="dxa"/>
            <w:vMerge/>
            <w:tcBorders>
              <w:left w:val="single" w:sz="4" w:space="0" w:color="000000"/>
              <w:bottom w:val="single" w:sz="4" w:space="0" w:color="000000"/>
              <w:right w:val="single" w:sz="4" w:space="0" w:color="000000"/>
              <w:tl2br w:val="nil"/>
              <w:tr2bl w:val="nil"/>
            </w:tcBorders>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社会效益指标履职效果</w:t>
            </w:r>
          </w:p>
        </w:tc>
        <w:tc>
          <w:tcPr>
            <w:tcW w:w="720" w:type="dxa"/>
            <w:tcBorders>
              <w:top w:val="nil"/>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5</w:t>
            </w:r>
          </w:p>
        </w:tc>
        <w:tc>
          <w:tcPr>
            <w:tcW w:w="4734" w:type="dxa"/>
            <w:vMerge/>
            <w:tcBorders>
              <w:left w:val="single" w:sz="4" w:space="0" w:color="000000"/>
              <w:bottom w:val="single" w:sz="4" w:space="0" w:color="000000"/>
              <w:right w:val="single" w:sz="4" w:space="0" w:color="000000"/>
              <w:tl2br w:val="nil"/>
              <w:tr2bl w:val="nil"/>
            </w:tcBorders>
            <w:vAlign w:val="center"/>
          </w:tcPr>
          <w:p/>
        </w:tc>
        <w:tc>
          <w:tcPr>
            <w:tcW w:w="75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4</w:t>
            </w:r>
          </w:p>
        </w:tc>
        <w:tc>
          <w:tcPr>
            <w:tcW w:w="47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462"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bidi="ar-SA"/>
              </w:rPr>
              <w:t>预算管理</w:t>
              <w:br/>
              <w:t>（25分）</w:t>
            </w:r>
          </w:p>
        </w:tc>
        <w:tc>
          <w:tcPr>
            <w:tcW w:w="166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预算编制质量</w:t>
            </w:r>
          </w:p>
        </w:tc>
        <w:tc>
          <w:tcPr>
            <w:tcW w:w="72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8</w:t>
            </w:r>
          </w:p>
        </w:tc>
        <w:tc>
          <w:tcPr>
            <w:tcW w:w="473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部门是否严格按要求编制年初部门预算，年初预算编制的科学性和准确性</w:t>
            </w:r>
          </w:p>
        </w:tc>
        <w:tc>
          <w:tcPr>
            <w:tcW w:w="75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8</w:t>
            </w:r>
          </w:p>
        </w:tc>
        <w:tc>
          <w:tcPr>
            <w:tcW w:w="47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单位收入统筹</w:t>
            </w:r>
          </w:p>
        </w:tc>
        <w:tc>
          <w:tcPr>
            <w:tcW w:w="72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部门统筹自有收入程度</w:t>
            </w:r>
          </w:p>
        </w:tc>
        <w:tc>
          <w:tcPr>
            <w:tcW w:w="75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4</w:t>
            </w:r>
          </w:p>
        </w:tc>
        <w:tc>
          <w:tcPr>
            <w:tcW w:w="47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支出执行进度</w:t>
            </w:r>
          </w:p>
        </w:tc>
        <w:tc>
          <w:tcPr>
            <w:tcW w:w="72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6</w:t>
            </w:r>
          </w:p>
        </w:tc>
        <w:tc>
          <w:tcPr>
            <w:tcW w:w="473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部门1至6月、1至10月预算执行情况</w:t>
            </w:r>
          </w:p>
        </w:tc>
        <w:tc>
          <w:tcPr>
            <w:tcW w:w="75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5</w:t>
            </w:r>
          </w:p>
        </w:tc>
        <w:tc>
          <w:tcPr>
            <w:tcW w:w="47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预算年终结余</w:t>
            </w:r>
          </w:p>
        </w:tc>
        <w:tc>
          <w:tcPr>
            <w:tcW w:w="72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2</w:t>
            </w:r>
          </w:p>
        </w:tc>
        <w:tc>
          <w:tcPr>
            <w:tcW w:w="473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部门整体年终预算结余情况</w:t>
            </w:r>
          </w:p>
        </w:tc>
        <w:tc>
          <w:tcPr>
            <w:tcW w:w="75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1</w:t>
            </w:r>
          </w:p>
        </w:tc>
        <w:tc>
          <w:tcPr>
            <w:tcW w:w="47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严控一般性支出</w:t>
            </w:r>
          </w:p>
        </w:tc>
        <w:tc>
          <w:tcPr>
            <w:tcW w:w="72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5</w:t>
            </w:r>
          </w:p>
        </w:tc>
        <w:tc>
          <w:tcPr>
            <w:tcW w:w="473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部门严控“三公”经费、会议、培训、差旅、办节办展、办公设备购置、信息网络及软件购置更新、课题经费等8项一般性支出情况</w:t>
            </w:r>
          </w:p>
        </w:tc>
        <w:tc>
          <w:tcPr>
            <w:tcW w:w="75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5</w:t>
            </w:r>
          </w:p>
        </w:tc>
        <w:tc>
          <w:tcPr>
            <w:tcW w:w="47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462"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bidi="ar-SA"/>
              </w:rPr>
              <w:t>财务管理</w:t>
              <w:br/>
              <w:t>（10分）</w:t>
            </w:r>
          </w:p>
        </w:tc>
        <w:tc>
          <w:tcPr>
            <w:tcW w:w="166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财务管理制度</w:t>
            </w:r>
          </w:p>
        </w:tc>
        <w:tc>
          <w:tcPr>
            <w:tcW w:w="72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部门财务管理制度建立情况</w:t>
            </w:r>
          </w:p>
        </w:tc>
        <w:tc>
          <w:tcPr>
            <w:tcW w:w="75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4</w:t>
            </w:r>
          </w:p>
        </w:tc>
        <w:tc>
          <w:tcPr>
            <w:tcW w:w="47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财务岗位设置</w:t>
            </w:r>
          </w:p>
        </w:tc>
        <w:tc>
          <w:tcPr>
            <w:tcW w:w="72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2</w:t>
            </w:r>
          </w:p>
        </w:tc>
        <w:tc>
          <w:tcPr>
            <w:tcW w:w="473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部门财务岗位设置是否符合相关财务管理制度要求</w:t>
            </w:r>
          </w:p>
        </w:tc>
        <w:tc>
          <w:tcPr>
            <w:tcW w:w="75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2</w:t>
            </w:r>
          </w:p>
        </w:tc>
        <w:tc>
          <w:tcPr>
            <w:tcW w:w="47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资金使用规范</w:t>
            </w:r>
          </w:p>
        </w:tc>
        <w:tc>
          <w:tcPr>
            <w:tcW w:w="72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部门资金使用是否符合相关财务管理制度规定</w:t>
            </w:r>
          </w:p>
        </w:tc>
        <w:tc>
          <w:tcPr>
            <w:tcW w:w="75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4</w:t>
            </w:r>
          </w:p>
        </w:tc>
        <w:tc>
          <w:tcPr>
            <w:tcW w:w="47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462"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bidi="ar-SA"/>
              </w:rPr>
              <w:t>资产管理</w:t>
              <w:br/>
              <w:t>（9分）</w:t>
            </w:r>
          </w:p>
        </w:tc>
        <w:tc>
          <w:tcPr>
            <w:tcW w:w="166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人均资产变化率</w:t>
            </w:r>
          </w:p>
        </w:tc>
        <w:tc>
          <w:tcPr>
            <w:tcW w:w="72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3</w:t>
            </w:r>
          </w:p>
        </w:tc>
        <w:tc>
          <w:tcPr>
            <w:tcW w:w="473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部门人均资产变化情况</w:t>
            </w:r>
          </w:p>
        </w:tc>
        <w:tc>
          <w:tcPr>
            <w:tcW w:w="75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3</w:t>
            </w:r>
          </w:p>
        </w:tc>
        <w:tc>
          <w:tcPr>
            <w:tcW w:w="47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资产利用率</w:t>
            </w:r>
          </w:p>
        </w:tc>
        <w:tc>
          <w:tcPr>
            <w:tcW w:w="72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3</w:t>
            </w:r>
          </w:p>
        </w:tc>
        <w:tc>
          <w:tcPr>
            <w:tcW w:w="473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部门资产超最低使用年限情况</w:t>
            </w:r>
          </w:p>
        </w:tc>
        <w:tc>
          <w:tcPr>
            <w:tcW w:w="75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3</w:t>
            </w:r>
          </w:p>
        </w:tc>
        <w:tc>
          <w:tcPr>
            <w:tcW w:w="47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bidi="ar-SA"/>
              </w:rPr>
            </w:pPr>
          </w:p>
        </w:tc>
      </w:tr>
      <w:tr>
        <w:trPr>
          <w:trHeight w:val="23"/>
        </w:trPr>
        <w:tc>
          <w:tcPr>
            <w:tcW w:w="1004"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bidi="ar-SA"/>
              </w:rPr>
              <w:t>总体绩效</w:t>
              <w:br/>
              <w:t>（65分）</w:t>
            </w:r>
          </w:p>
        </w:tc>
        <w:tc>
          <w:tcPr>
            <w:tcW w:w="1462"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bidi="ar-SA"/>
              </w:rPr>
              <w:t>资产管理</w:t>
              <w:br/>
              <w:t>（9分）</w:t>
            </w:r>
          </w:p>
        </w:tc>
        <w:tc>
          <w:tcPr>
            <w:tcW w:w="166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资产盘活率</w:t>
            </w:r>
          </w:p>
        </w:tc>
        <w:tc>
          <w:tcPr>
            <w:tcW w:w="72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3</w:t>
            </w:r>
          </w:p>
        </w:tc>
        <w:tc>
          <w:tcPr>
            <w:tcW w:w="473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部门闲置一年以上的资产盘活情况</w:t>
            </w:r>
          </w:p>
        </w:tc>
        <w:tc>
          <w:tcPr>
            <w:tcW w:w="75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0</w:t>
            </w:r>
          </w:p>
        </w:tc>
        <w:tc>
          <w:tcPr>
            <w:tcW w:w="47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462"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bidi="ar-SA"/>
              </w:rPr>
              <w:t>采购管理</w:t>
              <w:br/>
              <w:t>（6分）</w:t>
            </w:r>
          </w:p>
        </w:tc>
        <w:tc>
          <w:tcPr>
            <w:tcW w:w="166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支持中小企业发展</w:t>
            </w:r>
          </w:p>
        </w:tc>
        <w:tc>
          <w:tcPr>
            <w:tcW w:w="72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3</w:t>
            </w:r>
          </w:p>
        </w:tc>
        <w:tc>
          <w:tcPr>
            <w:tcW w:w="473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部门是否严格执行政府采购促进中小企业发展相关管理办法</w:t>
            </w:r>
          </w:p>
        </w:tc>
        <w:tc>
          <w:tcPr>
            <w:tcW w:w="75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3</w:t>
            </w:r>
          </w:p>
        </w:tc>
        <w:tc>
          <w:tcPr>
            <w:tcW w:w="47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采购执行率</w:t>
            </w:r>
          </w:p>
        </w:tc>
        <w:tc>
          <w:tcPr>
            <w:tcW w:w="72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3</w:t>
            </w:r>
          </w:p>
        </w:tc>
        <w:tc>
          <w:tcPr>
            <w:tcW w:w="473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部门政府采购项目资金支付比例情况</w:t>
            </w:r>
          </w:p>
        </w:tc>
        <w:tc>
          <w:tcPr>
            <w:tcW w:w="75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3</w:t>
            </w:r>
          </w:p>
        </w:tc>
        <w:tc>
          <w:tcPr>
            <w:tcW w:w="47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bidi="ar-SA"/>
              </w:rPr>
            </w:pPr>
          </w:p>
        </w:tc>
      </w:tr>
      <w:tr>
        <w:trPr>
          <w:trHeight w:val="23"/>
        </w:trPr>
        <w:tc>
          <w:tcPr>
            <w:tcW w:w="1004"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bidi="ar-SA"/>
              </w:rPr>
              <w:t>项目绩效</w:t>
              <w:br/>
              <w:t>（35分）</w:t>
            </w:r>
          </w:p>
        </w:tc>
        <w:tc>
          <w:tcPr>
            <w:tcW w:w="1462" w:type="dxa"/>
            <w:vMerge w:val="restart"/>
            <w:tcBorders>
              <w:top w:val="single" w:sz="4" w:space="0" w:color="000000"/>
              <w:left w:val="single" w:sz="4" w:space="0" w:color="000000"/>
              <w:bottom w:val="nil"/>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bidi="ar-SA"/>
              </w:rPr>
              <w:t>项目决策</w:t>
              <w:br/>
              <w:t>（12分）</w:t>
            </w:r>
          </w:p>
        </w:tc>
        <w:tc>
          <w:tcPr>
            <w:tcW w:w="166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决策程序</w:t>
            </w:r>
          </w:p>
        </w:tc>
        <w:tc>
          <w:tcPr>
            <w:tcW w:w="72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部门预算项目设立是否按规定履行评估论证、申报程序</w:t>
            </w:r>
          </w:p>
        </w:tc>
        <w:tc>
          <w:tcPr>
            <w:tcW w:w="75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4</w:t>
            </w:r>
          </w:p>
        </w:tc>
        <w:tc>
          <w:tcPr>
            <w:tcW w:w="47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462" w:type="dxa"/>
            <w:vMerge/>
            <w:tcBorders>
              <w:top w:val="single" w:sz="4" w:space="0" w:color="000000"/>
              <w:left w:val="single" w:sz="4" w:space="0" w:color="000000"/>
              <w:bottom w:val="nil"/>
              <w:right w:val="single" w:sz="4" w:space="0" w:color="000000"/>
              <w:tl2br w:val="nil"/>
              <w:tr2bl w:val="nil"/>
            </w:tcBorders>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目标设置</w:t>
            </w:r>
          </w:p>
        </w:tc>
        <w:tc>
          <w:tcPr>
            <w:tcW w:w="72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部门预算项目绩效目标与计划期内的任务量、预算安排的资金量匹配情况，绩效目标设置是否科学合理、规范完整、量化细化、预算匹配</w:t>
            </w:r>
          </w:p>
        </w:tc>
        <w:tc>
          <w:tcPr>
            <w:tcW w:w="75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4</w:t>
            </w:r>
          </w:p>
        </w:tc>
        <w:tc>
          <w:tcPr>
            <w:tcW w:w="47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462" w:type="dxa"/>
            <w:vMerge/>
            <w:tcBorders>
              <w:top w:val="single" w:sz="4" w:space="0" w:color="000000"/>
              <w:left w:val="single" w:sz="4" w:space="0" w:color="000000"/>
              <w:bottom w:val="nil"/>
              <w:right w:val="single" w:sz="4" w:space="0" w:color="000000"/>
              <w:tl2br w:val="nil"/>
              <w:tr2bl w:val="nil"/>
            </w:tcBorders>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项目入库</w:t>
            </w:r>
          </w:p>
        </w:tc>
        <w:tc>
          <w:tcPr>
            <w:tcW w:w="72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部门预算项目是否在规定时间完成项目入库</w:t>
            </w:r>
          </w:p>
        </w:tc>
        <w:tc>
          <w:tcPr>
            <w:tcW w:w="75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4</w:t>
            </w:r>
          </w:p>
        </w:tc>
        <w:tc>
          <w:tcPr>
            <w:tcW w:w="47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462" w:type="dxa"/>
            <w:vMerge w:val="restart"/>
            <w:tcBorders>
              <w:top w:val="single" w:sz="4" w:space="0" w:color="000000"/>
              <w:left w:val="single" w:sz="4" w:space="0" w:color="000000"/>
              <w:bottom w:val="nil"/>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bidi="ar-SA"/>
              </w:rPr>
              <w:t>项目执行</w:t>
              <w:br/>
              <w:t>（12分）</w:t>
            </w:r>
          </w:p>
        </w:tc>
        <w:tc>
          <w:tcPr>
            <w:tcW w:w="166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执行同向</w:t>
            </w:r>
          </w:p>
        </w:tc>
        <w:tc>
          <w:tcPr>
            <w:tcW w:w="72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部门预算项目实际列支内容是否与绩效目标设置方向相符</w:t>
            </w:r>
          </w:p>
        </w:tc>
        <w:tc>
          <w:tcPr>
            <w:tcW w:w="75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4</w:t>
            </w:r>
          </w:p>
        </w:tc>
        <w:tc>
          <w:tcPr>
            <w:tcW w:w="47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462" w:type="dxa"/>
            <w:vMerge/>
            <w:tcBorders>
              <w:top w:val="single" w:sz="4" w:space="0" w:color="000000"/>
              <w:left w:val="single" w:sz="4" w:space="0" w:color="000000"/>
              <w:bottom w:val="nil"/>
              <w:right w:val="single" w:sz="4" w:space="0" w:color="000000"/>
              <w:tl2br w:val="nil"/>
              <w:tr2bl w:val="nil"/>
            </w:tcBorders>
            <w:vAlign w:val="center"/>
          </w:tcPr>
          <w:p/>
        </w:tc>
        <w:tc>
          <w:tcPr>
            <w:tcW w:w="1665" w:type="dxa"/>
            <w:tcBorders>
              <w:top w:val="single" w:sz="4" w:space="0" w:color="000000"/>
              <w:left w:val="single" w:sz="4" w:space="0" w:color="000000"/>
              <w:bottom w:val="nil"/>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项目调整</w:t>
            </w:r>
          </w:p>
        </w:tc>
        <w:tc>
          <w:tcPr>
            <w:tcW w:w="72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部门预算项目是否采取对应调整措施</w:t>
            </w:r>
          </w:p>
        </w:tc>
        <w:tc>
          <w:tcPr>
            <w:tcW w:w="75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4</w:t>
            </w:r>
          </w:p>
        </w:tc>
        <w:tc>
          <w:tcPr>
            <w:tcW w:w="47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462" w:type="dxa"/>
            <w:vMerge/>
            <w:tcBorders>
              <w:top w:val="single" w:sz="4" w:space="0" w:color="000000"/>
              <w:left w:val="single" w:sz="4" w:space="0" w:color="000000"/>
              <w:bottom w:val="nil"/>
              <w:right w:val="single" w:sz="4" w:space="0" w:color="000000"/>
              <w:tl2br w:val="nil"/>
              <w:tr2bl w:val="nil"/>
            </w:tcBorders>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执行结果</w:t>
            </w:r>
          </w:p>
        </w:tc>
        <w:tc>
          <w:tcPr>
            <w:tcW w:w="72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部门预算项目预算执行情况</w:t>
            </w:r>
          </w:p>
        </w:tc>
        <w:tc>
          <w:tcPr>
            <w:tcW w:w="75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4</w:t>
            </w:r>
          </w:p>
        </w:tc>
        <w:tc>
          <w:tcPr>
            <w:tcW w:w="47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462"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bidi="ar-SA"/>
              </w:rPr>
              <w:t>目标实现</w:t>
              <w:br/>
              <w:t>（11分）</w:t>
            </w:r>
          </w:p>
        </w:tc>
        <w:tc>
          <w:tcPr>
            <w:tcW w:w="166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目标完成</w:t>
            </w:r>
          </w:p>
        </w:tc>
        <w:tc>
          <w:tcPr>
            <w:tcW w:w="72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部门预算项目绩效目标数量指标完成情况</w:t>
            </w:r>
          </w:p>
        </w:tc>
        <w:tc>
          <w:tcPr>
            <w:tcW w:w="75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4</w:t>
            </w:r>
          </w:p>
        </w:tc>
        <w:tc>
          <w:tcPr>
            <w:tcW w:w="47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目标偏离</w:t>
            </w:r>
          </w:p>
        </w:tc>
        <w:tc>
          <w:tcPr>
            <w:tcW w:w="72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部门预算项目绩效目标数量指标实现程度与预期目标的偏离情况</w:t>
            </w:r>
          </w:p>
        </w:tc>
        <w:tc>
          <w:tcPr>
            <w:tcW w:w="75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4</w:t>
            </w:r>
          </w:p>
        </w:tc>
        <w:tc>
          <w:tcPr>
            <w:tcW w:w="47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实现效果</w:t>
            </w:r>
          </w:p>
        </w:tc>
        <w:tc>
          <w:tcPr>
            <w:tcW w:w="72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3</w:t>
            </w:r>
          </w:p>
        </w:tc>
        <w:tc>
          <w:tcPr>
            <w:tcW w:w="473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部门预算项目绩效目标效益指标实施效果</w:t>
            </w:r>
          </w:p>
        </w:tc>
        <w:tc>
          <w:tcPr>
            <w:tcW w:w="75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ascii="宋体" w:eastAsia="宋体" w:cs="宋体" w:hint="eastAsia"/>
                <w:i w:val="0"/>
                <w:color w:val="000000"/>
                <w:kern w:val="0"/>
                <w:sz w:val="24"/>
                <w:szCs w:val="24"/>
                <w:u w:val="none"/>
                <w:lang w:val="en-US" w:eastAsia="zh-CN" w:bidi="ar-SA"/>
              </w:rPr>
              <w:t>3</w:t>
            </w:r>
          </w:p>
        </w:tc>
        <w:tc>
          <w:tcPr>
            <w:tcW w:w="47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bidi="ar-SA"/>
              </w:rPr>
            </w:pPr>
          </w:p>
        </w:tc>
      </w:tr>
      <w:tr>
        <w:trPr>
          <w:trHeight w:val="23"/>
        </w:trPr>
        <w:tc>
          <w:tcPr>
            <w:tcW w:w="100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bidi="ar-SA"/>
              </w:rPr>
              <w:t>扣分项</w:t>
              <w:br/>
              <w:t>（10分）</w:t>
            </w:r>
          </w:p>
        </w:tc>
        <w:tc>
          <w:tcPr>
            <w:tcW w:w="3127"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被评价部门配合度</w:t>
            </w:r>
          </w:p>
        </w:tc>
        <w:tc>
          <w:tcPr>
            <w:tcW w:w="72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w:t>
            </w:r>
          </w:p>
        </w:tc>
        <w:tc>
          <w:tcPr>
            <w:tcW w:w="473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bidi="ar-SA"/>
              </w:rPr>
              <w:t>被评价对象工作配合情况</w:t>
            </w:r>
          </w:p>
        </w:tc>
        <w:tc>
          <w:tcPr>
            <w:tcW w:w="75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bidi="ar-SA"/>
              </w:rPr>
            </w:pPr>
          </w:p>
        </w:tc>
        <w:tc>
          <w:tcPr>
            <w:tcW w:w="478"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bidi="ar-SA"/>
              </w:rPr>
            </w:pPr>
          </w:p>
        </w:tc>
      </w:tr>
    </w:tbl>
    <w:p>
      <w:pPr>
        <w:keepNext w:val="0"/>
        <w:keepLines w:val="0"/>
        <w:pageBreakBefore w:val="0"/>
        <w:widowControl w:val="0"/>
        <w:kinsoku/>
        <w:wordWrap/>
        <w:overflowPunct/>
        <w:topLinePunct w:val="0"/>
        <w:autoSpaceDE/>
        <w:autoSpaceDN/>
        <w:spacing w:line="578" w:lineRule="exact"/>
        <w:jc w:val="left"/>
        <w:rPr>
          <w:rFonts w:ascii="Times New Roman" w:eastAsia="黑体" w:cs="Times New Roman" w:hAnsi="Times New Roman"/>
          <w:kern w:val="2"/>
          <w:sz w:val="32"/>
          <w:szCs w:val="24"/>
          <w:lang w:val="en-US" w:eastAsia="zh-CN" w:bidi="ar-SA"/>
          <w:highlight w:val="auto"/>
        </w:rPr>
      </w:pPr>
    </w:p>
    <w:p>
      <w:pPr>
        <w:keepNext w:val="0"/>
        <w:keepLines w:val="0"/>
        <w:pageBreakBefore w:val="0"/>
        <w:widowControl w:val="0"/>
        <w:kinsoku/>
        <w:wordWrap/>
        <w:overflowPunct/>
        <w:topLinePunct w:val="0"/>
        <w:autoSpaceDE/>
        <w:autoSpaceDN/>
        <w:spacing w:line="578" w:lineRule="exact"/>
        <w:jc w:val="left"/>
        <w:rPr>
          <w:rFonts w:ascii="Times New Roman" w:eastAsia="黑体" w:cs="Times New Roman" w:hAnsi="Times New Roman"/>
          <w:kern w:val="2"/>
          <w:sz w:val="32"/>
          <w:szCs w:val="24"/>
          <w:lang w:val="en-US" w:eastAsia="zh-CN" w:bidi="ar-SA"/>
          <w:highlight w:val="auto"/>
        </w:rPr>
      </w:pPr>
    </w:p>
    <w:p>
      <w:pPr>
        <w:keepNext w:val="0"/>
        <w:keepLines w:val="0"/>
        <w:pageBreakBefore w:val="0"/>
        <w:widowControl w:val="0"/>
        <w:kinsoku/>
        <w:wordWrap/>
        <w:overflowPunct/>
        <w:topLinePunct w:val="0"/>
        <w:autoSpaceDE/>
        <w:autoSpaceDN/>
        <w:spacing w:line="578" w:lineRule="exact"/>
        <w:jc w:val="left"/>
        <w:rPr>
          <w:rFonts w:ascii="Times New Roman" w:eastAsia="黑体" w:cs="Times New Roman" w:hAnsi="Times New Roman"/>
          <w:kern w:val="2"/>
          <w:sz w:val="32"/>
          <w:szCs w:val="24"/>
          <w:lang w:val="en-US" w:eastAsia="zh-CN" w:bidi="ar-SA"/>
          <w:highlight w:val="auto"/>
        </w:rPr>
      </w:pPr>
    </w:p>
    <w:p>
      <w:pPr>
        <w:keepNext w:val="0"/>
        <w:keepLines w:val="0"/>
        <w:pageBreakBefore w:val="0"/>
        <w:widowControl w:val="0"/>
        <w:kinsoku/>
        <w:wordWrap/>
        <w:overflowPunct/>
        <w:topLinePunct w:val="0"/>
        <w:autoSpaceDE/>
        <w:autoSpaceDN/>
        <w:spacing w:line="578" w:lineRule="exact"/>
        <w:jc w:val="left"/>
        <w:rPr>
          <w:rFonts w:ascii="Times New Roman" w:eastAsia="黑体" w:cs="Times New Roman" w:hAnsi="Times New Roman"/>
          <w:kern w:val="2"/>
          <w:sz w:val="32"/>
          <w:szCs w:val="24"/>
          <w:lang w:val="en-US" w:eastAsia="zh-CN" w:bidi="ar-SA"/>
          <w:highlight w:val="auto"/>
        </w:rPr>
      </w:pPr>
    </w:p>
    <w:p>
      <w:pPr>
        <w:keepNext w:val="0"/>
        <w:keepLines w:val="0"/>
        <w:pageBreakBefore w:val="0"/>
        <w:widowControl w:val="0"/>
        <w:kinsoku/>
        <w:wordWrap/>
        <w:overflowPunct/>
        <w:topLinePunct w:val="0"/>
        <w:autoSpaceDE/>
        <w:autoSpaceDN/>
        <w:spacing w:line="578" w:lineRule="exact"/>
        <w:jc w:val="left"/>
        <w:rPr>
          <w:rFonts w:ascii="Times New Roman" w:eastAsia="黑体" w:cs="Times New Roman" w:hAnsi="Times New Roman"/>
          <w:kern w:val="2"/>
          <w:sz w:val="32"/>
          <w:szCs w:val="24"/>
          <w:lang w:val="en-US" w:eastAsia="zh-CN" w:bidi="ar-SA"/>
          <w:highlight w:val="auto"/>
        </w:rPr>
      </w:pPr>
    </w:p>
    <w:p>
      <w:pPr>
        <w:keepNext w:val="0"/>
        <w:keepLines w:val="0"/>
        <w:pageBreakBefore w:val="0"/>
        <w:widowControl w:val="0"/>
        <w:kinsoku/>
        <w:wordWrap/>
        <w:overflowPunct/>
        <w:topLinePunct w:val="0"/>
        <w:autoSpaceDE/>
        <w:autoSpaceDN/>
        <w:spacing w:line="578" w:lineRule="exact"/>
        <w:jc w:val="left"/>
        <w:rPr>
          <w:rFonts w:ascii="Times New Roman" w:eastAsia="黑体" w:cs="Times New Roman" w:hAnsi="Times New Roman"/>
          <w:kern w:val="2"/>
          <w:sz w:val="32"/>
          <w:szCs w:val="24"/>
          <w:lang w:val="en-US" w:eastAsia="zh-CN" w:bidi="ar-SA"/>
          <w:highlight w:val="auto"/>
        </w:rPr>
      </w:pPr>
    </w:p>
    <w:p>
      <w:pPr>
        <w:keepNext w:val="0"/>
        <w:keepLines w:val="0"/>
        <w:pageBreakBefore w:val="0"/>
        <w:widowControl w:val="0"/>
        <w:kinsoku/>
        <w:wordWrap/>
        <w:overflowPunct/>
        <w:topLinePunct w:val="0"/>
        <w:autoSpaceDE/>
        <w:autoSpaceDN/>
        <w:spacing w:line="578" w:lineRule="exact"/>
        <w:jc w:val="left"/>
        <w:rPr>
          <w:rFonts w:ascii="Times New Roman" w:eastAsia="黑体" w:cs="Times New Roman" w:hAnsi="Times New Roman"/>
          <w:kern w:val="2"/>
          <w:sz w:val="32"/>
          <w:szCs w:val="24"/>
          <w:lang w:val="en-US" w:eastAsia="zh-CN" w:bidi="ar-SA"/>
          <w:highlight w:val="auto"/>
        </w:rPr>
      </w:pPr>
    </w:p>
    <w:p>
      <w:pPr>
        <w:keepNext w:val="0"/>
        <w:keepLines w:val="0"/>
        <w:pageBreakBefore w:val="0"/>
        <w:widowControl w:val="0"/>
        <w:kinsoku/>
        <w:wordWrap/>
        <w:overflowPunct/>
        <w:topLinePunct w:val="0"/>
        <w:autoSpaceDE/>
        <w:autoSpaceDN/>
        <w:spacing w:line="578" w:lineRule="exact"/>
        <w:jc w:val="left"/>
        <w:rPr>
          <w:rFonts w:ascii="Times New Roman" w:eastAsia="黑体" w:cs="Times New Roman" w:hAnsi="Times New Roman"/>
          <w:kern w:val="2"/>
          <w:sz w:val="32"/>
          <w:szCs w:val="24"/>
          <w:lang w:val="en-US" w:eastAsia="zh-CN" w:bidi="ar-SA"/>
          <w:highlight w:val="auto"/>
        </w:rPr>
      </w:pPr>
    </w:p>
    <w:p>
      <w:pPr>
        <w:keepNext w:val="0"/>
        <w:keepLines w:val="0"/>
        <w:pageBreakBefore w:val="0"/>
        <w:widowControl w:val="0"/>
        <w:kinsoku/>
        <w:wordWrap/>
        <w:overflowPunct/>
        <w:topLinePunct w:val="0"/>
        <w:autoSpaceDE/>
        <w:autoSpaceDN/>
        <w:spacing w:line="578" w:lineRule="exact"/>
        <w:jc w:val="left"/>
        <w:rPr>
          <w:rFonts w:ascii="Times New Roman" w:eastAsia="黑体" w:cs="Times New Roman" w:hAnsi="Times New Roman"/>
          <w:kern w:val="2"/>
          <w:sz w:val="32"/>
          <w:szCs w:val="24"/>
          <w:lang w:val="en-US" w:eastAsia="zh-CN" w:bidi="ar-SA"/>
          <w:highlight w:val="auto"/>
        </w:rPr>
      </w:pPr>
    </w:p>
    <w:p>
      <w:pPr>
        <w:keepNext w:val="0"/>
        <w:keepLines w:val="0"/>
        <w:pageBreakBefore w:val="0"/>
        <w:widowControl w:val="0"/>
        <w:kinsoku/>
        <w:wordWrap/>
        <w:overflowPunct/>
        <w:topLinePunct w:val="0"/>
        <w:autoSpaceDE/>
        <w:autoSpaceDN/>
        <w:spacing w:line="578" w:lineRule="exact"/>
        <w:jc w:val="left"/>
        <w:rPr>
          <w:rFonts w:ascii="Times New Roman" w:eastAsia="黑体" w:cs="Times New Roman" w:hAnsi="Times New Roman"/>
          <w:kern w:val="2"/>
          <w:sz w:val="32"/>
          <w:szCs w:val="24"/>
          <w:lang w:val="en-US" w:eastAsia="zh-CN" w:bidi="ar-SA"/>
          <w:highlight w:val="auto"/>
        </w:rPr>
      </w:pPr>
    </w:p>
    <w:p>
      <w:pPr>
        <w:keepNext w:val="0"/>
        <w:keepLines w:val="0"/>
        <w:pageBreakBefore w:val="0"/>
        <w:widowControl w:val="0"/>
        <w:kinsoku/>
        <w:wordWrap/>
        <w:overflowPunct/>
        <w:topLinePunct w:val="0"/>
        <w:autoSpaceDE/>
        <w:autoSpaceDN/>
        <w:spacing w:line="578" w:lineRule="exact"/>
        <w:jc w:val="left"/>
        <w:rPr>
          <w:rFonts w:ascii="Times New Roman" w:eastAsia="黑体" w:cs="Times New Roman" w:hAnsi="Times New Roman"/>
          <w:kern w:val="2"/>
          <w:sz w:val="32"/>
          <w:szCs w:val="24"/>
          <w:lang w:val="en-US" w:eastAsia="zh-CN" w:bidi="ar-SA"/>
          <w:highlight w:val="auto"/>
        </w:rPr>
      </w:pPr>
    </w:p>
    <w:p>
      <w:pPr>
        <w:keepNext w:val="0"/>
        <w:keepLines w:val="0"/>
        <w:pageBreakBefore w:val="0"/>
        <w:widowControl w:val="0"/>
        <w:kinsoku/>
        <w:wordWrap/>
        <w:overflowPunct/>
        <w:topLinePunct w:val="0"/>
        <w:autoSpaceDE/>
        <w:autoSpaceDN/>
        <w:spacing w:line="578" w:lineRule="exact"/>
        <w:jc w:val="left"/>
        <w:rPr>
          <w:rFonts w:ascii="Times New Roman" w:eastAsia="黑体" w:cs="Times New Roman" w:hAnsi="Times New Roman"/>
          <w:kern w:val="2"/>
          <w:sz w:val="32"/>
          <w:szCs w:val="24"/>
          <w:lang w:val="en-US" w:eastAsia="zh-CN" w:bidi="ar-SA"/>
          <w:highlight w:val="auto"/>
        </w:rPr>
      </w:pPr>
    </w:p>
    <w:p>
      <w:pPr>
        <w:keepNext w:val="0"/>
        <w:keepLines w:val="0"/>
        <w:pageBreakBefore w:val="0"/>
        <w:widowControl w:val="0"/>
        <w:kinsoku/>
        <w:wordWrap/>
        <w:overflowPunct/>
        <w:topLinePunct w:val="0"/>
        <w:autoSpaceDE/>
        <w:autoSpaceDN/>
        <w:spacing w:line="578" w:lineRule="exact"/>
        <w:jc w:val="left"/>
        <w:rPr>
          <w:rFonts w:ascii="Times New Roman" w:eastAsia="黑体" w:cs="Times New Roman" w:hAnsi="Times New Roman"/>
          <w:kern w:val="2"/>
          <w:sz w:val="32"/>
          <w:szCs w:val="24"/>
          <w:lang w:val="en-US" w:eastAsia="zh-CN" w:bidi="ar-SA"/>
          <w:highlight w:val="auto"/>
        </w:rPr>
      </w:pPr>
    </w:p>
    <w:p>
      <w:pPr>
        <w:keepNext w:val="0"/>
        <w:keepLines w:val="0"/>
        <w:pageBreakBefore w:val="0"/>
        <w:widowControl w:val="0"/>
        <w:kinsoku/>
        <w:wordWrap/>
        <w:overflowPunct/>
        <w:topLinePunct w:val="0"/>
        <w:autoSpaceDE/>
        <w:autoSpaceDN/>
        <w:spacing w:line="578" w:lineRule="exact"/>
        <w:jc w:val="left"/>
        <w:rPr>
          <w:rFonts w:ascii="Times New Roman" w:eastAsia="黑体" w:cs="Times New Roman" w:hAnsi="Times New Roman"/>
          <w:kern w:val="2"/>
          <w:sz w:val="32"/>
          <w:szCs w:val="24"/>
          <w:lang w:val="en-US" w:eastAsia="zh-CN" w:bidi="ar-SA"/>
          <w:highlight w:val="auto"/>
        </w:rPr>
      </w:pPr>
    </w:p>
    <w:p>
      <w:pPr>
        <w:keepNext w:val="0"/>
        <w:keepLines w:val="0"/>
        <w:pageBreakBefore w:val="0"/>
        <w:widowControl w:val="0"/>
        <w:kinsoku/>
        <w:wordWrap/>
        <w:overflowPunct/>
        <w:topLinePunct w:val="0"/>
        <w:autoSpaceDE/>
        <w:autoSpaceDN/>
        <w:spacing w:line="578" w:lineRule="exact"/>
        <w:jc w:val="left"/>
        <w:rPr>
          <w:rFonts w:ascii="Times New Roman" w:eastAsia="黑体" w:cs="Times New Roman" w:hAnsi="Times New Roman"/>
          <w:kern w:val="2"/>
          <w:sz w:val="32"/>
          <w:szCs w:val="24"/>
          <w:lang w:val="en-US" w:eastAsia="zh-CN" w:bidi="ar-SA"/>
          <w:highlight w:val="auto"/>
        </w:rPr>
      </w:pPr>
    </w:p>
    <w:p>
      <w:pPr>
        <w:keepNext w:val="0"/>
        <w:keepLines w:val="0"/>
        <w:pageBreakBefore w:val="0"/>
        <w:widowControl w:val="0"/>
        <w:kinsoku/>
        <w:wordWrap/>
        <w:overflowPunct/>
        <w:topLinePunct w:val="0"/>
        <w:autoSpaceDE/>
        <w:autoSpaceDN/>
        <w:spacing w:line="578" w:lineRule="exact"/>
        <w:jc w:val="left"/>
        <w:rPr>
          <w:rFonts w:ascii="Times New Roman" w:eastAsia="黑体" w:cs="Times New Roman" w:hAnsi="Times New Roman"/>
          <w:kern w:val="2"/>
          <w:sz w:val="32"/>
          <w:szCs w:val="24"/>
          <w:lang w:val="en-US" w:eastAsia="zh-CN" w:bidi="ar-SA"/>
          <w:highlight w:val="auto"/>
        </w:rPr>
      </w:pPr>
    </w:p>
    <w:p>
      <w:pPr>
        <w:keepNext w:val="0"/>
        <w:keepLines w:val="0"/>
        <w:pageBreakBefore w:val="0"/>
        <w:widowControl w:val="0"/>
        <w:kinsoku/>
        <w:wordWrap/>
        <w:overflowPunct/>
        <w:topLinePunct w:val="0"/>
        <w:autoSpaceDE/>
        <w:autoSpaceDN/>
        <w:spacing w:line="578" w:lineRule="exact"/>
        <w:jc w:val="left"/>
        <w:rPr>
          <w:rFonts w:ascii="Times New Roman" w:eastAsia="黑体" w:cs="Times New Roman" w:hAnsi="Times New Roman"/>
          <w:kern w:val="2"/>
          <w:sz w:val="32"/>
          <w:szCs w:val="24"/>
          <w:lang w:val="en-US" w:eastAsia="zh-CN" w:bidi="ar-SA"/>
          <w:highlight w:val="auto"/>
        </w:rPr>
      </w:pPr>
    </w:p>
    <w:p>
      <w:pPr>
        <w:keepNext w:val="0"/>
        <w:keepLines w:val="0"/>
        <w:pageBreakBefore w:val="0"/>
        <w:widowControl w:val="0"/>
        <w:kinsoku/>
        <w:wordWrap/>
        <w:overflowPunct/>
        <w:topLinePunct w:val="0"/>
        <w:autoSpaceDE/>
        <w:autoSpaceDN/>
        <w:spacing w:line="578" w:lineRule="exact"/>
        <w:jc w:val="left"/>
        <w:rPr>
          <w:rFonts w:ascii="Times New Roman" w:eastAsia="黑体" w:cs="Times New Roman" w:hAnsi="Times New Roman"/>
          <w:kern w:val="2"/>
          <w:sz w:val="32"/>
          <w:szCs w:val="24"/>
          <w:lang w:val="en-US" w:eastAsia="zh-CN" w:bidi="ar-SA"/>
          <w:highlight w:val="auto"/>
        </w:rPr>
      </w:pPr>
    </w:p>
    <w:p>
      <w:pPr>
        <w:keepNext w:val="0"/>
        <w:keepLines w:val="0"/>
        <w:pageBreakBefore w:val="0"/>
        <w:widowControl w:val="0"/>
        <w:kinsoku/>
        <w:wordWrap/>
        <w:overflowPunct/>
        <w:topLinePunct w:val="0"/>
        <w:autoSpaceDE/>
        <w:autoSpaceDN/>
        <w:spacing w:line="578" w:lineRule="exact"/>
        <w:jc w:val="left"/>
        <w:rPr>
          <w:rFonts w:ascii="Times New Roman" w:eastAsia="黑体" w:cs="Times New Roman" w:hAnsi="Times New Roman"/>
          <w:kern w:val="2"/>
          <w:sz w:val="32"/>
          <w:szCs w:val="24"/>
          <w:lang w:val="en-US" w:eastAsia="zh-CN" w:bidi="ar-SA"/>
          <w:highlight w:val="auto"/>
        </w:rPr>
      </w:pPr>
    </w:p>
    <w:p>
      <w:pPr>
        <w:keepNext w:val="0"/>
        <w:keepLines w:val="0"/>
        <w:pageBreakBefore w:val="0"/>
        <w:widowControl w:val="0"/>
        <w:kinsoku/>
        <w:wordWrap/>
        <w:overflowPunct/>
        <w:topLinePunct w:val="0"/>
        <w:autoSpaceDE/>
        <w:autoSpaceDN/>
        <w:spacing w:line="578" w:lineRule="exact"/>
        <w:jc w:val="left"/>
        <w:rPr>
          <w:rFonts w:ascii="Times New Roman" w:eastAsia="黑体" w:cs="Times New Roman" w:hAnsi="Times New Roman"/>
          <w:kern w:val="2"/>
          <w:sz w:val="32"/>
          <w:szCs w:val="24"/>
          <w:lang w:val="en-US" w:eastAsia="zh-CN" w:bidi="ar-SA"/>
          <w:highlight w:val="auto"/>
        </w:rPr>
      </w:pPr>
    </w:p>
    <w:p>
      <w:pPr>
        <w:keepNext w:val="0"/>
        <w:keepLines w:val="0"/>
        <w:pageBreakBefore w:val="0"/>
        <w:widowControl w:val="0"/>
        <w:kinsoku/>
        <w:wordWrap/>
        <w:overflowPunct/>
        <w:topLinePunct w:val="0"/>
        <w:autoSpaceDE/>
        <w:autoSpaceDN/>
        <w:spacing w:line="578" w:lineRule="exact"/>
        <w:jc w:val="left"/>
        <w:rPr>
          <w:rFonts w:ascii="Times New Roman" w:eastAsia="黑体" w:cs="Times New Roman" w:hAnsi="Times New Roman"/>
          <w:kern w:val="2"/>
          <w:sz w:val="32"/>
          <w:szCs w:val="24"/>
          <w:lang w:val="en-US" w:eastAsia="zh-CN" w:bidi="ar-SA"/>
          <w:highlight w:val="auto"/>
        </w:rPr>
      </w:pPr>
    </w:p>
    <w:p>
      <w:pPr>
        <w:keepNext w:val="0"/>
        <w:keepLines w:val="0"/>
        <w:pageBreakBefore w:val="0"/>
        <w:widowControl w:val="0"/>
        <w:kinsoku/>
        <w:wordWrap/>
        <w:overflowPunct/>
        <w:topLinePunct w:val="0"/>
        <w:autoSpaceDE/>
        <w:autoSpaceDN/>
        <w:spacing w:line="578" w:lineRule="exact"/>
        <w:jc w:val="left"/>
        <w:rPr>
          <w:rFonts w:eastAsia="黑体"/>
          <w:sz w:val="32"/>
        </w:rPr>
      </w:pPr>
      <w:r>
        <w:rPr>
          <w:rFonts w:ascii="Times New Roman" w:eastAsia="黑体" w:cs="Times New Roman" w:hAnsi="Times New Roman"/>
          <w:kern w:val="2"/>
          <w:sz w:val="32"/>
          <w:szCs w:val="24"/>
          <w:lang w:val="en-US" w:eastAsia="zh-CN" w:bidi="ar-SA"/>
          <w:highlight w:val="auto"/>
        </w:rPr>
        <w:t>附表</w:t>
      </w:r>
      <w:r>
        <w:rPr>
          <w:rFonts w:ascii="Times New Roman" w:eastAsia="黑体" w:cs="Times New Roman" w:hAnsi="Times New Roman" w:hint="eastAsia"/>
          <w:kern w:val="2"/>
          <w:sz w:val="32"/>
          <w:szCs w:val="24"/>
          <w:lang w:val="en-US" w:eastAsia="zh-CN" w:bidi="ar-SA"/>
          <w:highlight w:val="auto"/>
        </w:rPr>
        <w:t>2</w:t>
      </w:r>
    </w:p>
    <w:tbl>
      <w:tblPr>
        <w:jc w:val="center"/>
        <w:tblW w:w="10560"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1309"/>
        <w:gridCol w:w="1347"/>
        <w:gridCol w:w="1273"/>
        <w:gridCol w:w="1809"/>
        <w:gridCol w:w="1529"/>
        <w:gridCol w:w="826"/>
        <w:gridCol w:w="885"/>
        <w:gridCol w:w="585"/>
        <w:gridCol w:w="997"/>
      </w:tblGrid>
      <w:tr>
        <w:trPr>
          <w:trHeight w:hRule="exact" w:val="762"/>
        </w:trPr>
        <w:tc>
          <w:tcPr>
            <w:tcW w:w="10560" w:type="dxa"/>
            <w:gridSpan w:val="9"/>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ascii="Times New Roman" w:eastAsia="黑体" w:cs="Times New Roman" w:hAnsi="Times New Roman"/>
                <w:i w:val="0"/>
                <w:color w:val="000000"/>
                <w:sz w:val="28"/>
                <w:szCs w:val="28"/>
                <w:u w:val="none"/>
              </w:rPr>
            </w:pPr>
            <w:r>
              <w:rPr>
                <w:rFonts w:ascii="Times New Roman" w:eastAsia="方正小标宋简体" w:cs="Times New Roman" w:hAnsi="Times New Roman"/>
                <w:i w:val="0"/>
                <w:color w:val="000000"/>
                <w:kern w:val="0"/>
                <w:sz w:val="44"/>
                <w:szCs w:val="44"/>
                <w:u w:val="none"/>
                <w:lang w:val="en-US" w:eastAsia="zh-CN" w:bidi="ar-SA"/>
              </w:rPr>
              <w:t>部门整体绩效目标完成情况自评表</w:t>
            </w:r>
          </w:p>
        </w:tc>
      </w:tr>
      <w:tr>
        <w:trPr>
          <w:trHeight w:val="23"/>
        </w:trPr>
        <w:tc>
          <w:tcPr>
            <w:tcW w:w="10560" w:type="dxa"/>
            <w:gridSpan w:val="9"/>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8"/>
                <w:szCs w:val="28"/>
                <w:u w:val="none"/>
              </w:rPr>
            </w:pPr>
            <w:r>
              <w:rPr>
                <w:rFonts w:ascii="Times New Roman" w:eastAsia="宋体" w:cs="Times New Roman" w:hAnsi="Times New Roman"/>
                <w:i w:val="0"/>
                <w:color w:val="000000"/>
                <w:kern w:val="0"/>
                <w:sz w:val="28"/>
                <w:szCs w:val="28"/>
                <w:u w:val="none"/>
                <w:lang w:val="en-US" w:eastAsia="zh-CN" w:bidi="ar-SA"/>
              </w:rPr>
              <w:t>（202</w:t>
            </w:r>
            <w:r>
              <w:rPr>
                <w:rFonts w:eastAsia="宋体" w:cs="Times New Roman" w:hint="eastAsia"/>
                <w:i w:val="0"/>
                <w:color w:val="000000"/>
                <w:kern w:val="0"/>
                <w:sz w:val="28"/>
                <w:szCs w:val="28"/>
                <w:u w:val="none"/>
                <w:lang w:val="en-US" w:eastAsia="zh-CN" w:bidi="ar-SA"/>
              </w:rPr>
              <w:t>4</w:t>
            </w:r>
            <w:r>
              <w:rPr>
                <w:rFonts w:ascii="Times New Roman" w:eastAsia="宋体" w:cs="Times New Roman" w:hAnsi="Times New Roman"/>
                <w:i w:val="0"/>
                <w:color w:val="000000"/>
                <w:kern w:val="0"/>
                <w:sz w:val="28"/>
                <w:szCs w:val="28"/>
                <w:u w:val="none"/>
                <w:lang w:val="en-US" w:eastAsia="zh-CN" w:bidi="ar-SA"/>
              </w:rPr>
              <w:t>年度）</w:t>
            </w:r>
          </w:p>
        </w:tc>
      </w:tr>
      <w:tr>
        <w:trPr>
          <w:trHeight w:val="23"/>
        </w:trPr>
        <w:tc>
          <w:tcPr>
            <w:tcW w:w="10560" w:type="dxa"/>
            <w:gridSpan w:val="9"/>
            <w:tcBorders>
              <w:bottom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ascii="Times New Roman" w:eastAsia="宋体" w:cs="Times New Roman" w:hAnsi="Times New Roman"/>
                <w:i w:val="0"/>
                <w:color w:val="000000"/>
                <w:sz w:val="21"/>
                <w:szCs w:val="21"/>
                <w:u w:val="none"/>
              </w:rPr>
            </w:pPr>
            <w:r>
              <w:rPr>
                <w:rFonts w:ascii="Times New Roman" w:eastAsia="宋体" w:cs="Times New Roman" w:hAnsi="Times New Roman"/>
                <w:i w:val="0"/>
                <w:color w:val="000000"/>
                <w:kern w:val="0"/>
                <w:sz w:val="21"/>
                <w:szCs w:val="21"/>
                <w:u w:val="none"/>
                <w:lang w:val="en-US" w:eastAsia="zh-CN" w:bidi="ar-SA"/>
              </w:rPr>
              <w:t>单位：万元</w:t>
            </w:r>
          </w:p>
        </w:tc>
      </w:tr>
      <w:tr>
        <w:trPr>
          <w:trHeight w:val="23"/>
        </w:trPr>
        <w:tc>
          <w:tcPr>
            <w:tcW w:w="3929"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部门名称</w:t>
            </w:r>
          </w:p>
        </w:tc>
        <w:tc>
          <w:tcPr>
            <w:tcW w:w="6631" w:type="dxa"/>
            <w:gridSpan w:val="6"/>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中共金川县委</w:t>
            </w:r>
          </w:p>
        </w:tc>
      </w:tr>
      <w:tr>
        <w:trPr>
          <w:trHeight w:val="23"/>
        </w:trPr>
        <w:tc>
          <w:tcPr>
            <w:tcW w:w="1309"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年度部门整体支出预算</w:t>
            </w:r>
          </w:p>
        </w:tc>
        <w:tc>
          <w:tcPr>
            <w:tcW w:w="2620"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资金总额</w:t>
            </w:r>
          </w:p>
        </w:tc>
        <w:tc>
          <w:tcPr>
            <w:tcW w:w="3338"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财政拨款</w:t>
            </w:r>
          </w:p>
        </w:tc>
        <w:tc>
          <w:tcPr>
            <w:tcW w:w="3293" w:type="dxa"/>
            <w:gridSpan w:val="4"/>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其他资金</w:t>
            </w:r>
          </w:p>
        </w:tc>
      </w:tr>
      <w:tr>
        <w:trPr>
          <w:trHeight w:val="23"/>
        </w:trPr>
        <w:tc>
          <w:tcPr>
            <w:tcW w:w="1309"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2620"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1,164.25</w:t>
            </w:r>
          </w:p>
        </w:tc>
        <w:tc>
          <w:tcPr>
            <w:tcW w:w="3338"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1,164.25</w:t>
            </w:r>
          </w:p>
        </w:tc>
        <w:tc>
          <w:tcPr>
            <w:tcW w:w="3293" w:type="dxa"/>
            <w:gridSpan w:val="4"/>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hint="eastAsia"/>
                <w:i w:val="0"/>
                <w:color w:val="000000"/>
                <w:kern w:val="0"/>
                <w:sz w:val="24"/>
                <w:szCs w:val="24"/>
                <w:u w:val="none"/>
                <w:lang w:val="en-US" w:eastAsia="zh-CN" w:bidi="ar-SA"/>
              </w:rPr>
              <w:t>0</w:t>
            </w:r>
          </w:p>
        </w:tc>
      </w:tr>
      <w:tr>
        <w:trPr>
          <w:trHeight w:val="23"/>
        </w:trPr>
        <w:tc>
          <w:tcPr>
            <w:tcW w:w="1309" w:type="dxa"/>
            <w:tcBorders>
              <w:top w:val="single" w:sz="4" w:space="0" w:color="000000"/>
              <w:left w:val="single" w:sz="4" w:space="0" w:color="000000"/>
              <w:bottom w:val="single" w:sz="4" w:space="0" w:color="auto"/>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bidi="ar-SA"/>
              </w:rPr>
            </w:pPr>
            <w:r>
              <w:rPr>
                <w:rFonts w:ascii="Times New Roman" w:eastAsia="宋体" w:cs="Times New Roman" w:hAnsi="Times New Roman"/>
                <w:i w:val="0"/>
                <w:color w:val="000000"/>
                <w:kern w:val="0"/>
                <w:sz w:val="24"/>
                <w:szCs w:val="24"/>
                <w:u w:val="none"/>
                <w:lang w:val="en-US" w:eastAsia="zh-CN" w:bidi="ar-SA"/>
              </w:rPr>
              <w:t>年度总体</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目标</w:t>
            </w:r>
          </w:p>
        </w:tc>
        <w:tc>
          <w:tcPr>
            <w:tcW w:w="9251" w:type="dxa"/>
            <w:gridSpan w:val="8"/>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全面保障单位硬件、软件设备的正常运转，保障县委办公室、全县机要保密各项工作正常开展。</w:t>
            </w:r>
          </w:p>
        </w:tc>
      </w:tr>
      <w:tr>
        <w:trPr>
          <w:trHeight w:val="23"/>
        </w:trPr>
        <w:tc>
          <w:tcPr>
            <w:tcW w:w="1309" w:type="dxa"/>
            <w:vMerge w:val="restart"/>
            <w:tcBorders>
              <w:top w:val="single" w:sz="4" w:space="0" w:color="auto"/>
              <w:left w:val="single" w:sz="4" w:space="0" w:color="auto"/>
              <w:bottom w:val="nil"/>
              <w:right w:val="single" w:sz="4" w:space="0" w:color="auto"/>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bidi="ar-SA"/>
              </w:rPr>
            </w:pPr>
            <w:r>
              <w:rPr>
                <w:rFonts w:ascii="Times New Roman" w:eastAsia="宋体" w:cs="Times New Roman" w:hAnsi="Times New Roman"/>
                <w:i w:val="0"/>
                <w:color w:val="000000"/>
                <w:kern w:val="0"/>
                <w:sz w:val="24"/>
                <w:szCs w:val="24"/>
                <w:u w:val="none"/>
                <w:lang w:val="en-US" w:eastAsia="zh-CN" w:bidi="ar-SA"/>
              </w:rPr>
              <w:t>年度主要</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任务</w:t>
            </w:r>
          </w:p>
        </w:tc>
        <w:tc>
          <w:tcPr>
            <w:tcW w:w="2620" w:type="dxa"/>
            <w:gridSpan w:val="2"/>
            <w:tcBorders>
              <w:top w:val="single" w:sz="4" w:space="0" w:color="000000"/>
              <w:left w:val="single" w:sz="4" w:space="0" w:color="auto"/>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任务名称</w:t>
            </w:r>
          </w:p>
        </w:tc>
        <w:tc>
          <w:tcPr>
            <w:tcW w:w="6631" w:type="dxa"/>
            <w:gridSpan w:val="6"/>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主要内容</w:t>
            </w:r>
          </w:p>
        </w:tc>
      </w:tr>
      <w:tr>
        <w:trPr>
          <w:trHeight w:val="23"/>
        </w:trPr>
        <w:tc>
          <w:tcPr>
            <w:tcW w:w="1309" w:type="dxa"/>
            <w:vMerge/>
            <w:tcBorders>
              <w:top w:val="nil"/>
              <w:left w:val="single" w:sz="4" w:space="0" w:color="auto"/>
              <w:bottom w:val="nil"/>
              <w:right w:val="single" w:sz="4" w:space="0" w:color="auto"/>
              <w:tl2br w:val="nil"/>
              <w:tr2bl w:val="nil"/>
            </w:tcBorders>
            <w:vAlign w:val="center"/>
          </w:tcPr>
          <w:p/>
        </w:tc>
        <w:tc>
          <w:tcPr>
            <w:tcW w:w="2620" w:type="dxa"/>
            <w:gridSpan w:val="2"/>
            <w:tcBorders>
              <w:top w:val="single" w:sz="4" w:space="0" w:color="000000"/>
              <w:left w:val="single" w:sz="4" w:space="0" w:color="auto"/>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阿坝州在用非安可计算机替代经费</w:t>
            </w:r>
          </w:p>
        </w:tc>
        <w:tc>
          <w:tcPr>
            <w:tcW w:w="6631" w:type="dxa"/>
            <w:gridSpan w:val="6"/>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对金川县的在用非安可台式计算机、便携式计算机、服务器硬件基础设施等进行替代。保障电子政务内网、电子政务外网等正常运转。</w:t>
            </w:r>
          </w:p>
        </w:tc>
      </w:tr>
      <w:tr>
        <w:trPr>
          <w:trHeight w:val="23"/>
        </w:trPr>
        <w:tc>
          <w:tcPr>
            <w:tcW w:w="1309" w:type="dxa"/>
            <w:vMerge/>
            <w:tcBorders>
              <w:top w:val="nil"/>
              <w:left w:val="single" w:sz="4" w:space="0" w:color="auto"/>
              <w:bottom w:val="nil"/>
              <w:right w:val="single" w:sz="4" w:space="0" w:color="auto"/>
              <w:tl2br w:val="nil"/>
              <w:tr2bl w:val="nil"/>
            </w:tcBorders>
            <w:vAlign w:val="center"/>
          </w:tcPr>
          <w:p/>
        </w:tc>
        <w:tc>
          <w:tcPr>
            <w:tcW w:w="2620" w:type="dxa"/>
            <w:gridSpan w:val="2"/>
            <w:tcBorders>
              <w:top w:val="single" w:sz="4" w:space="0" w:color="000000"/>
              <w:left w:val="single" w:sz="4" w:space="0" w:color="auto"/>
              <w:bottom w:val="single" w:sz="4" w:space="0" w:color="000000"/>
              <w:right w:val="single" w:sz="4" w:space="0" w:color="000000"/>
              <w:tl2br w:val="nil"/>
              <w:tr2bl w:val="nil"/>
            </w:tcBorders>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机要局密码设备维修费</w:t>
            </w:r>
          </w:p>
        </w:tc>
        <w:tc>
          <w:tcPr>
            <w:tcW w:w="6631" w:type="dxa"/>
            <w:gridSpan w:val="6"/>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用于软件和数据库使用维护、设备及材料的购置、其他费用等</w:t>
            </w:r>
          </w:p>
        </w:tc>
      </w:tr>
      <w:tr>
        <w:trPr>
          <w:trHeight w:val="23"/>
        </w:trPr>
        <w:tc>
          <w:tcPr>
            <w:tcW w:w="1309" w:type="dxa"/>
            <w:vMerge/>
            <w:tcBorders>
              <w:top w:val="nil"/>
              <w:left w:val="single" w:sz="4" w:space="0" w:color="auto"/>
              <w:bottom w:val="nil"/>
              <w:right w:val="single" w:sz="4" w:space="0" w:color="auto"/>
              <w:tl2br w:val="nil"/>
              <w:tr2bl w:val="nil"/>
            </w:tcBorders>
            <w:vAlign w:val="center"/>
          </w:tcPr>
          <w:p/>
        </w:tc>
        <w:tc>
          <w:tcPr>
            <w:tcW w:w="2620" w:type="dxa"/>
            <w:gridSpan w:val="2"/>
            <w:tcBorders>
              <w:top w:val="single" w:sz="4" w:space="0" w:color="000000"/>
              <w:left w:val="single" w:sz="4" w:space="0" w:color="auto"/>
              <w:bottom w:val="single" w:sz="4" w:space="0" w:color="000000"/>
              <w:right w:val="single" w:sz="4" w:space="0" w:color="000000"/>
              <w:tl2br w:val="nil"/>
              <w:tr2bl w:val="nil"/>
            </w:tcBorders>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海事卫星BGAN通信资费</w:t>
            </w:r>
          </w:p>
        </w:tc>
        <w:tc>
          <w:tcPr>
            <w:tcW w:w="6631" w:type="dxa"/>
            <w:gridSpan w:val="6"/>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保障机要局海事卫星BGAN通信畅通</w:t>
            </w:r>
          </w:p>
        </w:tc>
      </w:tr>
      <w:tr>
        <w:trPr>
          <w:trHeight w:val="23"/>
        </w:trPr>
        <w:tc>
          <w:tcPr>
            <w:tcW w:w="1309" w:type="dxa"/>
            <w:vMerge/>
            <w:tcBorders>
              <w:top w:val="nil"/>
              <w:left w:val="single" w:sz="4" w:space="0" w:color="auto"/>
              <w:bottom w:val="nil"/>
              <w:right w:val="single" w:sz="4" w:space="0" w:color="auto"/>
              <w:tl2br w:val="nil"/>
              <w:tr2bl w:val="nil"/>
            </w:tcBorders>
            <w:vAlign w:val="center"/>
          </w:tcPr>
          <w:p/>
        </w:tc>
        <w:tc>
          <w:tcPr>
            <w:tcW w:w="2620" w:type="dxa"/>
            <w:gridSpan w:val="2"/>
            <w:tcBorders>
              <w:top w:val="single" w:sz="4" w:space="0" w:color="000000"/>
              <w:left w:val="single" w:sz="4" w:space="0" w:color="auto"/>
              <w:bottom w:val="single" w:sz="4" w:space="0" w:color="000000"/>
              <w:right w:val="single" w:sz="4" w:space="0" w:color="000000"/>
              <w:tl2br w:val="nil"/>
              <w:tr2bl w:val="nil"/>
            </w:tcBorders>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政务内网维修费</w:t>
            </w:r>
          </w:p>
        </w:tc>
        <w:tc>
          <w:tcPr>
            <w:tcW w:w="6631" w:type="dxa"/>
            <w:gridSpan w:val="6"/>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电子政务内网设备正常运行，保障电子政务内网工作正常开展</w:t>
            </w:r>
          </w:p>
        </w:tc>
      </w:tr>
      <w:tr>
        <w:trPr>
          <w:trHeight w:val="23"/>
        </w:trPr>
        <w:tc>
          <w:tcPr>
            <w:tcW w:w="1309" w:type="dxa"/>
            <w:vMerge/>
            <w:tcBorders>
              <w:top w:val="nil"/>
              <w:left w:val="single" w:sz="4" w:space="0" w:color="auto"/>
              <w:bottom w:val="nil"/>
              <w:right w:val="single" w:sz="4" w:space="0" w:color="auto"/>
              <w:tl2br w:val="nil"/>
              <w:tr2bl w:val="nil"/>
            </w:tcBorders>
            <w:vAlign w:val="center"/>
          </w:tcPr>
          <w:p/>
        </w:tc>
        <w:tc>
          <w:tcPr>
            <w:tcW w:w="2620" w:type="dxa"/>
            <w:gridSpan w:val="2"/>
            <w:tcBorders>
              <w:top w:val="single" w:sz="4" w:space="0" w:color="000000"/>
              <w:left w:val="single" w:sz="4" w:space="0" w:color="auto"/>
              <w:bottom w:val="single" w:sz="4" w:space="0" w:color="000000"/>
              <w:right w:val="single" w:sz="4" w:space="0" w:color="000000"/>
              <w:tl2br w:val="nil"/>
              <w:tr2bl w:val="nil"/>
            </w:tcBorders>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电子政务内网换装普通密码设备</w:t>
            </w:r>
          </w:p>
        </w:tc>
        <w:tc>
          <w:tcPr>
            <w:tcW w:w="6631" w:type="dxa"/>
            <w:gridSpan w:val="6"/>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电子政务内网换装百兆网络密码机4台</w:t>
            </w:r>
          </w:p>
        </w:tc>
      </w:tr>
      <w:tr>
        <w:trPr>
          <w:trHeight w:val="23"/>
        </w:trPr>
        <w:tc>
          <w:tcPr>
            <w:tcW w:w="1309" w:type="dxa"/>
            <w:vMerge/>
            <w:tcBorders>
              <w:top w:val="nil"/>
              <w:left w:val="single" w:sz="4" w:space="0" w:color="auto"/>
              <w:bottom w:val="nil"/>
              <w:right w:val="single" w:sz="4" w:space="0" w:color="auto"/>
              <w:tl2br w:val="nil"/>
              <w:tr2bl w:val="nil"/>
            </w:tcBorders>
            <w:vAlign w:val="center"/>
          </w:tcPr>
          <w:p/>
        </w:tc>
        <w:tc>
          <w:tcPr>
            <w:tcW w:w="2620" w:type="dxa"/>
            <w:gridSpan w:val="2"/>
            <w:tcBorders>
              <w:top w:val="single" w:sz="4" w:space="0" w:color="000000"/>
              <w:left w:val="single" w:sz="4" w:space="0" w:color="auto"/>
              <w:bottom w:val="single" w:sz="4" w:space="0" w:color="000000"/>
              <w:right w:val="single" w:sz="4" w:space="0" w:color="000000"/>
              <w:tl2br w:val="nil"/>
              <w:tr2bl w:val="nil"/>
            </w:tcBorders>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保密平台工作经费</w:t>
            </w:r>
          </w:p>
        </w:tc>
        <w:tc>
          <w:tcPr>
            <w:tcW w:w="6631" w:type="dxa"/>
            <w:gridSpan w:val="6"/>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用于设备及材料的购置，保障保密工作正常开展</w:t>
            </w:r>
          </w:p>
        </w:tc>
      </w:tr>
      <w:tr>
        <w:trPr>
          <w:trHeight w:val="23"/>
        </w:trPr>
        <w:tc>
          <w:tcPr>
            <w:tcW w:w="1309" w:type="dxa"/>
            <w:vMerge/>
            <w:tcBorders>
              <w:top w:val="nil"/>
              <w:left w:val="single" w:sz="4" w:space="0" w:color="auto"/>
              <w:bottom w:val="nil"/>
              <w:right w:val="single" w:sz="4" w:space="0" w:color="auto"/>
              <w:tl2br w:val="nil"/>
              <w:tr2bl w:val="nil"/>
            </w:tcBorders>
            <w:vAlign w:val="center"/>
          </w:tcPr>
          <w:p/>
        </w:tc>
        <w:tc>
          <w:tcPr>
            <w:tcW w:w="2620" w:type="dxa"/>
            <w:gridSpan w:val="2"/>
            <w:tcBorders>
              <w:top w:val="single" w:sz="4" w:space="0" w:color="000000"/>
              <w:left w:val="single" w:sz="4" w:space="0" w:color="auto"/>
              <w:bottom w:val="single" w:sz="4" w:space="0" w:color="000000"/>
              <w:right w:val="single" w:sz="4" w:space="0" w:color="000000"/>
              <w:tl2br w:val="nil"/>
              <w:tr2bl w:val="nil"/>
            </w:tcBorders>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国安工作</w:t>
            </w:r>
          </w:p>
        </w:tc>
        <w:tc>
          <w:tcPr>
            <w:tcW w:w="6631" w:type="dxa"/>
            <w:gridSpan w:val="6"/>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为推动全县党委国家安全工作一体化推进、一盘棋运转，全面加强县委国家安全力量建设，保障县委国安办高校权威，运行畅通。</w:t>
            </w:r>
          </w:p>
        </w:tc>
      </w:tr>
      <w:tr>
        <w:trPr>
          <w:trHeight w:val="23"/>
        </w:trPr>
        <w:tc>
          <w:tcPr>
            <w:tcW w:w="1309" w:type="dxa"/>
            <w:vMerge/>
            <w:tcBorders>
              <w:top w:val="nil"/>
              <w:left w:val="single" w:sz="4" w:space="0" w:color="auto"/>
              <w:bottom w:val="nil"/>
              <w:right w:val="single" w:sz="4" w:space="0" w:color="auto"/>
              <w:tl2br w:val="nil"/>
              <w:tr2bl w:val="nil"/>
            </w:tcBorders>
            <w:vAlign w:val="center"/>
          </w:tcPr>
          <w:p/>
        </w:tc>
        <w:tc>
          <w:tcPr>
            <w:tcW w:w="2620" w:type="dxa"/>
            <w:gridSpan w:val="2"/>
            <w:tcBorders>
              <w:top w:val="single" w:sz="4" w:space="0" w:color="000000"/>
              <w:left w:val="single" w:sz="4" w:space="0" w:color="auto"/>
              <w:bottom w:val="single" w:sz="4" w:space="0" w:color="000000"/>
              <w:right w:val="single" w:sz="4" w:space="0" w:color="000000"/>
              <w:tl2br w:val="nil"/>
              <w:tr2bl w:val="nil"/>
            </w:tcBorders>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目督中心工作</w:t>
            </w:r>
          </w:p>
        </w:tc>
        <w:tc>
          <w:tcPr>
            <w:tcW w:w="6631" w:type="dxa"/>
            <w:gridSpan w:val="6"/>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为确保县委决策部署落地落实、政令畅通，不断提高执行能力，确保督察工作有效完成。</w:t>
            </w:r>
          </w:p>
        </w:tc>
      </w:tr>
      <w:tr>
        <w:trPr>
          <w:trHeight w:val="23"/>
        </w:trPr>
        <w:tc>
          <w:tcPr>
            <w:tcW w:w="1309" w:type="dxa"/>
            <w:tcBorders>
              <w:top w:val="nil"/>
              <w:left w:val="single" w:sz="4" w:space="0" w:color="auto"/>
              <w:bottom w:val="single" w:sz="4" w:space="0" w:color="auto"/>
              <w:right w:val="single" w:sz="4" w:space="0" w:color="auto"/>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rPr>
            </w:pPr>
          </w:p>
        </w:tc>
        <w:tc>
          <w:tcPr>
            <w:tcW w:w="2620" w:type="dxa"/>
            <w:gridSpan w:val="2"/>
            <w:tcBorders>
              <w:top w:val="single" w:sz="4" w:space="0" w:color="000000"/>
              <w:left w:val="single" w:sz="4" w:space="0" w:color="auto"/>
              <w:bottom w:val="single" w:sz="4" w:space="0" w:color="000000"/>
              <w:right w:val="single" w:sz="4" w:space="0" w:color="000000"/>
              <w:tl2br w:val="nil"/>
              <w:tr2bl w:val="nil"/>
            </w:tcBorders>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办公室工作</w:t>
            </w:r>
          </w:p>
        </w:tc>
        <w:tc>
          <w:tcPr>
            <w:tcW w:w="6631" w:type="dxa"/>
            <w:gridSpan w:val="6"/>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系统学习政策法规、公文写作、信息写作、机要保密、档案管理等业务，让所有人能够精准高效服务</w:t>
            </w:r>
          </w:p>
        </w:tc>
      </w:tr>
      <w:tr>
        <w:trPr>
          <w:trHeight w:val="23"/>
        </w:trPr>
        <w:tc>
          <w:tcPr>
            <w:tcW w:w="1309" w:type="dxa"/>
            <w:vMerge w:val="restart"/>
            <w:tcBorders>
              <w:top w:val="single" w:sz="4" w:space="0" w:color="auto"/>
              <w:left w:val="single" w:sz="4" w:space="0" w:color="000000"/>
              <w:bottom w:val="single" w:sz="4" w:space="0" w:color="auto"/>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bidi="ar-SA"/>
              </w:rPr>
            </w:pPr>
            <w:r>
              <w:rPr>
                <w:rFonts w:ascii="Times New Roman" w:eastAsia="宋体" w:cs="Times New Roman" w:hAnsi="Times New Roman"/>
                <w:i w:val="0"/>
                <w:color w:val="000000"/>
                <w:kern w:val="0"/>
                <w:sz w:val="24"/>
                <w:szCs w:val="24"/>
                <w:u w:val="none"/>
                <w:lang w:val="en-US" w:eastAsia="zh-CN" w:bidi="ar-SA"/>
              </w:rPr>
              <w:t>年度绩效</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指标</w:t>
            </w:r>
          </w:p>
        </w:tc>
        <w:tc>
          <w:tcPr>
            <w:tcW w:w="1347"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一级指标</w:t>
            </w:r>
          </w:p>
        </w:tc>
        <w:tc>
          <w:tcPr>
            <w:tcW w:w="1273"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二级指标</w:t>
            </w:r>
          </w:p>
        </w:tc>
        <w:tc>
          <w:tcPr>
            <w:tcW w:w="180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三级指标</w:t>
            </w:r>
          </w:p>
        </w:tc>
        <w:tc>
          <w:tcPr>
            <w:tcW w:w="152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bidi="ar-SA"/>
              </w:rPr>
            </w:pPr>
            <w:r>
              <w:rPr>
                <w:rFonts w:ascii="Times New Roman" w:eastAsia="宋体" w:cs="Times New Roman" w:hAnsi="Times New Roman"/>
                <w:i w:val="0"/>
                <w:color w:val="000000"/>
                <w:kern w:val="0"/>
                <w:sz w:val="24"/>
                <w:szCs w:val="24"/>
                <w:u w:val="none"/>
                <w:lang w:val="en-US" w:eastAsia="zh-CN" w:bidi="ar-SA"/>
              </w:rPr>
              <w:t>绩效指标</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性质</w:t>
            </w:r>
          </w:p>
        </w:tc>
        <w:tc>
          <w:tcPr>
            <w:tcW w:w="82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绩效指标值</w:t>
            </w:r>
          </w:p>
        </w:tc>
        <w:tc>
          <w:tcPr>
            <w:tcW w:w="88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绩效度量单位</w:t>
            </w:r>
          </w:p>
        </w:tc>
        <w:tc>
          <w:tcPr>
            <w:tcW w:w="585" w:type="dxa"/>
            <w:tcBorders>
              <w:top w:val="single" w:sz="4" w:space="0" w:color="000000"/>
              <w:left w:val="single" w:sz="4" w:space="0" w:color="000000"/>
              <w:bottom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权重</w:t>
            </w:r>
          </w:p>
        </w:tc>
        <w:tc>
          <w:tcPr>
            <w:tcW w:w="997"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bidi="ar-SA"/>
              </w:rPr>
            </w:pPr>
            <w:r>
              <w:rPr>
                <w:rFonts w:ascii="Times New Roman" w:eastAsia="宋体" w:cs="Times New Roman" w:hAnsi="Times New Roman"/>
                <w:i w:val="0"/>
                <w:color w:val="000000"/>
                <w:kern w:val="0"/>
                <w:sz w:val="24"/>
                <w:szCs w:val="24"/>
                <w:u w:val="none"/>
                <w:lang w:val="en-US" w:eastAsia="zh-CN" w:bidi="ar-SA"/>
              </w:rPr>
              <w:t>实际完成</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指标值</w:t>
            </w:r>
          </w:p>
        </w:tc>
      </w:tr>
      <w:tr>
        <w:trPr>
          <w:trHeight w:val="23"/>
        </w:trPr>
        <w:tc>
          <w:tcPr>
            <w:tcW w:w="1309" w:type="dxa"/>
            <w:vMerge/>
            <w:tcBorders>
              <w:top w:val="single" w:sz="4" w:space="0" w:color="auto"/>
              <w:left w:val="single" w:sz="4" w:space="0" w:color="000000"/>
              <w:bottom w:val="single" w:sz="4" w:space="0" w:color="auto"/>
              <w:right w:val="single" w:sz="4" w:space="0" w:color="000000"/>
              <w:tl2br w:val="nil"/>
              <w:tr2bl w:val="nil"/>
            </w:tcBorders>
            <w:vAlign w:val="center"/>
          </w:tcPr>
          <w:p/>
        </w:tc>
        <w:tc>
          <w:tcPr>
            <w:tcW w:w="1347"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产出指标</w:t>
            </w:r>
          </w:p>
        </w:tc>
        <w:tc>
          <w:tcPr>
            <w:tcW w:w="1273"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数量指标</w:t>
            </w:r>
          </w:p>
        </w:tc>
        <w:tc>
          <w:tcPr>
            <w:tcW w:w="180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部门重点工作完成率</w:t>
            </w:r>
          </w:p>
        </w:tc>
        <w:tc>
          <w:tcPr>
            <w:tcW w:w="152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w:t>
            </w:r>
          </w:p>
        </w:tc>
        <w:tc>
          <w:tcPr>
            <w:tcW w:w="82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98</w:t>
            </w:r>
          </w:p>
        </w:tc>
        <w:tc>
          <w:tcPr>
            <w:tcW w:w="88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w:t>
            </w:r>
          </w:p>
        </w:tc>
        <w:tc>
          <w:tcPr>
            <w:tcW w:w="58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i w:val="0"/>
                <w:color w:val="000000"/>
                <w:kern w:val="0"/>
                <w:sz w:val="18"/>
                <w:szCs w:val="18"/>
                <w:u w:val="none"/>
                <w:lang w:val="en-US" w:eastAsia="zh-CN" w:bidi="ar-SA"/>
              </w:rPr>
            </w:pPr>
            <w:r>
              <w:rPr>
                <w:rFonts w:ascii="宋体" w:eastAsia="宋体" w:cs="宋体" w:hint="eastAsia"/>
                <w:i w:val="0"/>
                <w:color w:val="000000"/>
                <w:kern w:val="0"/>
                <w:sz w:val="18"/>
                <w:szCs w:val="18"/>
                <w:u w:val="none"/>
                <w:lang w:val="en-US" w:eastAsia="zh-CN" w:bidi="ar-SA"/>
              </w:rPr>
              <w:t>10</w:t>
            </w:r>
            <w:r>
              <w:rPr>
                <w:rFonts w:ascii="宋体" w:eastAsia="宋体" w:cs="宋体"/>
                <w:i w:val="0"/>
                <w:color w:val="000000"/>
                <w:kern w:val="0"/>
                <w:sz w:val="18"/>
                <w:szCs w:val="18"/>
                <w:u w:val="none"/>
                <w:lang w:val="en-US" w:eastAsia="zh-CN" w:bidi="ar-SA"/>
              </w:rPr>
              <w:t>%</w:t>
            </w:r>
          </w:p>
        </w:tc>
        <w:tc>
          <w:tcPr>
            <w:tcW w:w="997" w:type="dxa"/>
            <w:tcBorders>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i w:val="0"/>
                <w:color w:val="000000"/>
                <w:kern w:val="0"/>
                <w:sz w:val="18"/>
                <w:szCs w:val="18"/>
                <w:u w:val="none"/>
                <w:lang w:val="en-US" w:eastAsia="zh-CN" w:bidi="ar-SA"/>
              </w:rPr>
            </w:pPr>
            <w:r>
              <w:rPr>
                <w:rFonts w:ascii="宋体" w:eastAsia="宋体" w:cs="宋体" w:hint="eastAsia"/>
                <w:i w:val="0"/>
                <w:color w:val="000000"/>
                <w:kern w:val="0"/>
                <w:sz w:val="18"/>
                <w:szCs w:val="18"/>
                <w:u w:val="none"/>
                <w:lang w:val="en-US" w:eastAsia="zh-CN" w:bidi="ar-SA"/>
              </w:rPr>
              <w:t>10</w:t>
            </w:r>
            <w:r>
              <w:rPr>
                <w:rFonts w:ascii="宋体" w:eastAsia="宋体" w:cs="宋体"/>
                <w:i w:val="0"/>
                <w:color w:val="000000"/>
                <w:kern w:val="0"/>
                <w:sz w:val="18"/>
                <w:szCs w:val="18"/>
                <w:u w:val="none"/>
                <w:lang w:val="en-US" w:eastAsia="zh-CN" w:bidi="ar-SA"/>
              </w:rPr>
              <w:t>%</w:t>
            </w:r>
          </w:p>
        </w:tc>
      </w:tr>
      <w:tr>
        <w:trPr>
          <w:trHeight w:val="23"/>
        </w:trPr>
        <w:tc>
          <w:tcPr>
            <w:tcW w:w="1309" w:type="dxa"/>
            <w:vMerge/>
            <w:tcBorders>
              <w:top w:val="single" w:sz="4" w:space="0" w:color="auto"/>
              <w:left w:val="single" w:sz="4" w:space="0" w:color="000000"/>
              <w:bottom w:val="single" w:sz="4" w:space="0" w:color="auto"/>
              <w:right w:val="single" w:sz="4" w:space="0" w:color="000000"/>
              <w:tl2br w:val="nil"/>
              <w:tr2bl w:val="nil"/>
            </w:tcBorders>
            <w:vAlign w:val="center"/>
          </w:tcPr>
          <w:p/>
        </w:tc>
        <w:tc>
          <w:tcPr>
            <w:tcW w:w="134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273"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80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全年六项任务保质保量完成</w:t>
            </w:r>
          </w:p>
        </w:tc>
        <w:tc>
          <w:tcPr>
            <w:tcW w:w="152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w:t>
            </w:r>
          </w:p>
        </w:tc>
        <w:tc>
          <w:tcPr>
            <w:tcW w:w="82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98</w:t>
            </w:r>
          </w:p>
        </w:tc>
        <w:tc>
          <w:tcPr>
            <w:tcW w:w="88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w:t>
            </w:r>
          </w:p>
        </w:tc>
        <w:tc>
          <w:tcPr>
            <w:tcW w:w="58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i w:val="0"/>
                <w:color w:val="000000"/>
                <w:kern w:val="0"/>
                <w:sz w:val="18"/>
                <w:szCs w:val="18"/>
                <w:u w:val="none"/>
                <w:lang w:val="en-US" w:eastAsia="zh-CN" w:bidi="ar-SA"/>
              </w:rPr>
            </w:pPr>
            <w:r>
              <w:rPr>
                <w:rFonts w:ascii="宋体" w:eastAsia="宋体" w:cs="宋体" w:hint="eastAsia"/>
                <w:i w:val="0"/>
                <w:color w:val="000000"/>
                <w:kern w:val="0"/>
                <w:sz w:val="18"/>
                <w:szCs w:val="18"/>
                <w:u w:val="none"/>
                <w:lang w:val="en-US" w:eastAsia="zh-CN" w:bidi="ar-SA"/>
              </w:rPr>
              <w:t>20</w:t>
            </w:r>
            <w:r>
              <w:rPr>
                <w:rFonts w:ascii="宋体" w:eastAsia="宋体" w:cs="宋体"/>
                <w:i w:val="0"/>
                <w:color w:val="000000"/>
                <w:kern w:val="0"/>
                <w:sz w:val="18"/>
                <w:szCs w:val="18"/>
                <w:u w:val="none"/>
                <w:lang w:val="en-US" w:eastAsia="zh-CN" w:bidi="ar-SA"/>
              </w:rPr>
              <w:t>%</w:t>
            </w:r>
          </w:p>
        </w:tc>
        <w:tc>
          <w:tcPr>
            <w:tcW w:w="997"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i w:val="0"/>
                <w:color w:val="000000"/>
                <w:kern w:val="0"/>
                <w:sz w:val="18"/>
                <w:szCs w:val="18"/>
                <w:u w:val="none"/>
                <w:lang w:val="en-US" w:eastAsia="zh-CN" w:bidi="ar-SA"/>
              </w:rPr>
            </w:pPr>
            <w:r>
              <w:rPr>
                <w:rFonts w:ascii="宋体" w:eastAsia="宋体" w:cs="宋体" w:hint="eastAsia"/>
                <w:i w:val="0"/>
                <w:color w:val="000000"/>
                <w:kern w:val="0"/>
                <w:sz w:val="18"/>
                <w:szCs w:val="18"/>
                <w:u w:val="none"/>
                <w:lang w:val="en-US" w:eastAsia="zh-CN" w:bidi="ar-SA"/>
              </w:rPr>
              <w:t>20</w:t>
            </w:r>
            <w:r>
              <w:rPr>
                <w:rFonts w:ascii="宋体" w:eastAsia="宋体" w:cs="宋体"/>
                <w:i w:val="0"/>
                <w:color w:val="000000"/>
                <w:kern w:val="0"/>
                <w:sz w:val="18"/>
                <w:szCs w:val="18"/>
                <w:u w:val="none"/>
                <w:lang w:val="en-US" w:eastAsia="zh-CN" w:bidi="ar-SA"/>
              </w:rPr>
              <w:t>%</w:t>
            </w:r>
          </w:p>
        </w:tc>
      </w:tr>
      <w:tr>
        <w:trPr>
          <w:trHeight w:val="23"/>
        </w:trPr>
        <w:tc>
          <w:tcPr>
            <w:tcW w:w="1309" w:type="dxa"/>
            <w:vMerge/>
            <w:tcBorders>
              <w:top w:val="single" w:sz="4" w:space="0" w:color="auto"/>
              <w:left w:val="single" w:sz="4" w:space="0" w:color="000000"/>
              <w:bottom w:val="single" w:sz="4" w:space="0" w:color="auto"/>
              <w:right w:val="single" w:sz="4" w:space="0" w:color="000000"/>
              <w:tl2br w:val="nil"/>
              <w:tr2bl w:val="nil"/>
            </w:tcBorders>
            <w:vAlign w:val="center"/>
          </w:tcPr>
          <w:p/>
        </w:tc>
        <w:tc>
          <w:tcPr>
            <w:tcW w:w="134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273"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质量指标</w:t>
            </w:r>
          </w:p>
        </w:tc>
        <w:tc>
          <w:tcPr>
            <w:tcW w:w="180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保障各项工作推进</w:t>
            </w:r>
          </w:p>
        </w:tc>
        <w:tc>
          <w:tcPr>
            <w:tcW w:w="152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w:t>
            </w:r>
          </w:p>
        </w:tc>
        <w:tc>
          <w:tcPr>
            <w:tcW w:w="82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98</w:t>
            </w:r>
          </w:p>
        </w:tc>
        <w:tc>
          <w:tcPr>
            <w:tcW w:w="88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w:t>
            </w:r>
          </w:p>
        </w:tc>
        <w:tc>
          <w:tcPr>
            <w:tcW w:w="58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i w:val="0"/>
                <w:color w:val="000000"/>
                <w:kern w:val="0"/>
                <w:sz w:val="18"/>
                <w:szCs w:val="18"/>
                <w:u w:val="none"/>
                <w:lang w:val="en-US" w:eastAsia="zh-CN" w:bidi="ar-SA"/>
              </w:rPr>
            </w:pPr>
            <w:r>
              <w:rPr>
                <w:rFonts w:ascii="宋体" w:eastAsia="宋体" w:cs="宋体" w:hint="eastAsia"/>
                <w:i w:val="0"/>
                <w:color w:val="000000"/>
                <w:kern w:val="0"/>
                <w:sz w:val="18"/>
                <w:szCs w:val="18"/>
                <w:u w:val="none"/>
                <w:lang w:val="en-US" w:eastAsia="zh-CN" w:bidi="ar-SA"/>
              </w:rPr>
              <w:t>10</w:t>
            </w:r>
            <w:r>
              <w:rPr>
                <w:rFonts w:ascii="宋体" w:eastAsia="宋体" w:cs="宋体"/>
                <w:i w:val="0"/>
                <w:color w:val="000000"/>
                <w:kern w:val="0"/>
                <w:sz w:val="18"/>
                <w:szCs w:val="18"/>
                <w:u w:val="none"/>
                <w:lang w:val="en-US" w:eastAsia="zh-CN" w:bidi="ar-SA"/>
              </w:rPr>
              <w:t>%</w:t>
            </w:r>
          </w:p>
        </w:tc>
        <w:tc>
          <w:tcPr>
            <w:tcW w:w="997"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i w:val="0"/>
                <w:color w:val="000000"/>
                <w:kern w:val="0"/>
                <w:sz w:val="18"/>
                <w:szCs w:val="18"/>
                <w:u w:val="none"/>
                <w:lang w:val="en-US" w:eastAsia="zh-CN" w:bidi="ar-SA"/>
              </w:rPr>
            </w:pPr>
            <w:r>
              <w:rPr>
                <w:rFonts w:ascii="宋体" w:eastAsia="宋体" w:cs="宋体" w:hint="eastAsia"/>
                <w:i w:val="0"/>
                <w:color w:val="000000"/>
                <w:kern w:val="0"/>
                <w:sz w:val="18"/>
                <w:szCs w:val="18"/>
                <w:u w:val="none"/>
                <w:lang w:val="en-US" w:eastAsia="zh-CN" w:bidi="ar-SA"/>
              </w:rPr>
              <w:t>10</w:t>
            </w:r>
            <w:r>
              <w:rPr>
                <w:rFonts w:ascii="宋体" w:eastAsia="宋体" w:cs="宋体"/>
                <w:i w:val="0"/>
                <w:color w:val="000000"/>
                <w:kern w:val="0"/>
                <w:sz w:val="18"/>
                <w:szCs w:val="18"/>
                <w:u w:val="none"/>
                <w:lang w:val="en-US" w:eastAsia="zh-CN" w:bidi="ar-SA"/>
              </w:rPr>
              <w:t>%</w:t>
            </w:r>
          </w:p>
        </w:tc>
      </w:tr>
      <w:tr>
        <w:trPr>
          <w:trHeight w:val="23"/>
        </w:trPr>
        <w:tc>
          <w:tcPr>
            <w:tcW w:w="1309" w:type="dxa"/>
            <w:vMerge/>
            <w:tcBorders>
              <w:top w:val="single" w:sz="4" w:space="0" w:color="auto"/>
              <w:left w:val="single" w:sz="4" w:space="0" w:color="000000"/>
              <w:bottom w:val="single" w:sz="4" w:space="0" w:color="auto"/>
              <w:right w:val="single" w:sz="4" w:space="0" w:color="000000"/>
              <w:tl2br w:val="nil"/>
              <w:tr2bl w:val="nil"/>
            </w:tcBorders>
            <w:vAlign w:val="center"/>
          </w:tcPr>
          <w:p/>
        </w:tc>
        <w:tc>
          <w:tcPr>
            <w:tcW w:w="134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273"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bidi="ar-SA"/>
              </w:rPr>
            </w:pPr>
          </w:p>
        </w:tc>
        <w:tc>
          <w:tcPr>
            <w:tcW w:w="180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保障全县机要工作正常运转</w:t>
            </w:r>
          </w:p>
        </w:tc>
        <w:tc>
          <w:tcPr>
            <w:tcW w:w="152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w:t>
            </w:r>
          </w:p>
        </w:tc>
        <w:tc>
          <w:tcPr>
            <w:tcW w:w="82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98</w:t>
            </w:r>
          </w:p>
        </w:tc>
        <w:tc>
          <w:tcPr>
            <w:tcW w:w="88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w:t>
            </w:r>
          </w:p>
        </w:tc>
        <w:tc>
          <w:tcPr>
            <w:tcW w:w="58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i w:val="0"/>
                <w:color w:val="000000"/>
                <w:kern w:val="0"/>
                <w:sz w:val="18"/>
                <w:szCs w:val="18"/>
                <w:u w:val="none"/>
                <w:lang w:val="en-US" w:eastAsia="zh-CN" w:bidi="ar-SA"/>
              </w:rPr>
            </w:pPr>
            <w:r>
              <w:rPr>
                <w:rFonts w:ascii="宋体" w:eastAsia="宋体" w:cs="宋体" w:hint="eastAsia"/>
                <w:i w:val="0"/>
                <w:color w:val="000000"/>
                <w:kern w:val="0"/>
                <w:sz w:val="18"/>
                <w:szCs w:val="18"/>
                <w:u w:val="none"/>
                <w:lang w:val="en-US" w:eastAsia="zh-CN" w:bidi="ar-SA"/>
              </w:rPr>
              <w:t>20</w:t>
            </w:r>
            <w:r>
              <w:rPr>
                <w:rFonts w:ascii="宋体" w:eastAsia="宋体" w:cs="宋体"/>
                <w:i w:val="0"/>
                <w:color w:val="000000"/>
                <w:kern w:val="0"/>
                <w:sz w:val="18"/>
                <w:szCs w:val="18"/>
                <w:u w:val="none"/>
                <w:lang w:val="en-US" w:eastAsia="zh-CN" w:bidi="ar-SA"/>
              </w:rPr>
              <w:t>%</w:t>
            </w:r>
          </w:p>
        </w:tc>
        <w:tc>
          <w:tcPr>
            <w:tcW w:w="997"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i w:val="0"/>
                <w:color w:val="000000"/>
                <w:kern w:val="0"/>
                <w:sz w:val="18"/>
                <w:szCs w:val="18"/>
                <w:u w:val="none"/>
                <w:lang w:val="en-US" w:eastAsia="zh-CN" w:bidi="ar-SA"/>
              </w:rPr>
            </w:pPr>
            <w:r>
              <w:rPr>
                <w:rFonts w:ascii="宋体" w:eastAsia="宋体" w:cs="宋体" w:hint="eastAsia"/>
                <w:i w:val="0"/>
                <w:color w:val="000000"/>
                <w:kern w:val="0"/>
                <w:sz w:val="18"/>
                <w:szCs w:val="18"/>
                <w:u w:val="none"/>
                <w:lang w:val="en-US" w:eastAsia="zh-CN" w:bidi="ar-SA"/>
              </w:rPr>
              <w:t>20</w:t>
            </w:r>
            <w:r>
              <w:rPr>
                <w:rFonts w:ascii="宋体" w:eastAsia="宋体" w:cs="宋体"/>
                <w:i w:val="0"/>
                <w:color w:val="000000"/>
                <w:kern w:val="0"/>
                <w:sz w:val="18"/>
                <w:szCs w:val="18"/>
                <w:u w:val="none"/>
                <w:lang w:val="en-US" w:eastAsia="zh-CN" w:bidi="ar-SA"/>
              </w:rPr>
              <w:t>%</w:t>
            </w:r>
          </w:p>
        </w:tc>
      </w:tr>
      <w:tr>
        <w:trPr>
          <w:trHeight w:val="23"/>
        </w:trPr>
        <w:tc>
          <w:tcPr>
            <w:tcW w:w="1309" w:type="dxa"/>
            <w:vMerge/>
            <w:tcBorders>
              <w:top w:val="single" w:sz="4" w:space="0" w:color="auto"/>
              <w:left w:val="single" w:sz="4" w:space="0" w:color="000000"/>
              <w:bottom w:val="single" w:sz="4" w:space="0" w:color="auto"/>
              <w:right w:val="single" w:sz="4" w:space="0" w:color="000000"/>
              <w:tl2br w:val="nil"/>
              <w:tr2bl w:val="nil"/>
            </w:tcBorders>
            <w:vAlign w:val="center"/>
          </w:tcPr>
          <w:p/>
        </w:tc>
        <w:tc>
          <w:tcPr>
            <w:tcW w:w="134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273"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时效指标</w:t>
            </w:r>
          </w:p>
        </w:tc>
        <w:tc>
          <w:tcPr>
            <w:tcW w:w="180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不断提高公文处理质效</w:t>
            </w:r>
          </w:p>
        </w:tc>
        <w:tc>
          <w:tcPr>
            <w:tcW w:w="152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定性</w:t>
            </w:r>
          </w:p>
        </w:tc>
        <w:tc>
          <w:tcPr>
            <w:tcW w:w="82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优良中差</w:t>
            </w:r>
          </w:p>
        </w:tc>
        <w:tc>
          <w:tcPr>
            <w:tcW w:w="885" w:type="dxa"/>
            <w:tcBorders>
              <w:top w:val="single" w:sz="4" w:space="0" w:color="000000"/>
              <w:left w:val="single" w:sz="4" w:space="0" w:color="000000"/>
              <w:bottom w:val="single" w:sz="4" w:space="0" w:color="000000"/>
              <w:right w:val="single" w:sz="4" w:space="0" w:color="000000"/>
              <w:tl2br w:val="nil"/>
              <w:tr2bl w:val="nil"/>
            </w:tcBorders>
            <w:vAlign w:val="center"/>
          </w:tcPr>
          <w:p>
            <w:pPr>
              <w:jc w:val="center"/>
              <w:rPr>
                <w:rFonts w:ascii="Times New Roman" w:eastAsia="宋体" w:cs="Times New Roman" w:hAnsi="Times New Roman"/>
                <w:i w:val="0"/>
                <w:color w:val="000000"/>
                <w:sz w:val="24"/>
                <w:szCs w:val="24"/>
                <w:u w:val="none"/>
              </w:rPr>
            </w:pPr>
          </w:p>
        </w:tc>
        <w:tc>
          <w:tcPr>
            <w:tcW w:w="58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i w:val="0"/>
                <w:color w:val="000000"/>
                <w:kern w:val="0"/>
                <w:sz w:val="18"/>
                <w:szCs w:val="18"/>
                <w:u w:val="none"/>
                <w:lang w:val="en-US" w:eastAsia="zh-CN" w:bidi="ar-SA"/>
              </w:rPr>
            </w:pPr>
            <w:r>
              <w:rPr>
                <w:rFonts w:ascii="宋体" w:eastAsia="宋体" w:cs="宋体" w:hint="eastAsia"/>
                <w:i w:val="0"/>
                <w:color w:val="000000"/>
                <w:kern w:val="0"/>
                <w:sz w:val="18"/>
                <w:szCs w:val="18"/>
                <w:u w:val="none"/>
                <w:lang w:val="en-US" w:eastAsia="zh-CN" w:bidi="ar-SA"/>
              </w:rPr>
              <w:t>10</w:t>
            </w:r>
            <w:r>
              <w:rPr>
                <w:rFonts w:ascii="宋体" w:eastAsia="宋体" w:cs="宋体"/>
                <w:i w:val="0"/>
                <w:color w:val="000000"/>
                <w:kern w:val="0"/>
                <w:sz w:val="18"/>
                <w:szCs w:val="18"/>
                <w:u w:val="none"/>
                <w:lang w:val="en-US" w:eastAsia="zh-CN" w:bidi="ar-SA"/>
              </w:rPr>
              <w:t>%</w:t>
            </w:r>
          </w:p>
        </w:tc>
        <w:tc>
          <w:tcPr>
            <w:tcW w:w="997"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i w:val="0"/>
                <w:color w:val="000000"/>
                <w:kern w:val="0"/>
                <w:sz w:val="18"/>
                <w:szCs w:val="18"/>
                <w:u w:val="none"/>
                <w:lang w:val="en-US" w:eastAsia="zh-CN" w:bidi="ar-SA"/>
              </w:rPr>
            </w:pPr>
            <w:r>
              <w:rPr>
                <w:rFonts w:ascii="宋体" w:eastAsia="宋体" w:cs="宋体" w:hint="eastAsia"/>
                <w:i w:val="0"/>
                <w:color w:val="000000"/>
                <w:kern w:val="0"/>
                <w:sz w:val="18"/>
                <w:szCs w:val="18"/>
                <w:u w:val="none"/>
                <w:lang w:val="en-US" w:eastAsia="zh-CN" w:bidi="ar-SA"/>
              </w:rPr>
              <w:t>10</w:t>
            </w:r>
            <w:r>
              <w:rPr>
                <w:rFonts w:ascii="宋体" w:eastAsia="宋体" w:cs="宋体"/>
                <w:i w:val="0"/>
                <w:color w:val="000000"/>
                <w:kern w:val="0"/>
                <w:sz w:val="18"/>
                <w:szCs w:val="18"/>
                <w:u w:val="none"/>
                <w:lang w:val="en-US" w:eastAsia="zh-CN" w:bidi="ar-SA"/>
              </w:rPr>
              <w:t>%</w:t>
            </w:r>
          </w:p>
        </w:tc>
      </w:tr>
      <w:tr>
        <w:trPr>
          <w:trHeight w:val="23"/>
        </w:trPr>
        <w:tc>
          <w:tcPr>
            <w:tcW w:w="1309" w:type="dxa"/>
            <w:vMerge/>
            <w:tcBorders>
              <w:top w:val="single" w:sz="4" w:space="0" w:color="auto"/>
              <w:left w:val="single" w:sz="4" w:space="0" w:color="000000"/>
              <w:bottom w:val="single" w:sz="4" w:space="0" w:color="auto"/>
              <w:right w:val="single" w:sz="4" w:space="0" w:color="000000"/>
              <w:tl2br w:val="nil"/>
              <w:tr2bl w:val="nil"/>
            </w:tcBorders>
            <w:vAlign w:val="center"/>
          </w:tcPr>
          <w:p/>
        </w:tc>
        <w:tc>
          <w:tcPr>
            <w:tcW w:w="134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273"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w:t>
            </w:r>
          </w:p>
        </w:tc>
        <w:tc>
          <w:tcPr>
            <w:tcW w:w="180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2023年12月31日完成</w:t>
            </w:r>
          </w:p>
        </w:tc>
        <w:tc>
          <w:tcPr>
            <w:tcW w:w="152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w:t>
            </w:r>
          </w:p>
        </w:tc>
        <w:tc>
          <w:tcPr>
            <w:tcW w:w="82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98</w:t>
            </w:r>
          </w:p>
        </w:tc>
        <w:tc>
          <w:tcPr>
            <w:tcW w:w="88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w:t>
            </w:r>
          </w:p>
        </w:tc>
        <w:tc>
          <w:tcPr>
            <w:tcW w:w="58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i w:val="0"/>
                <w:color w:val="000000"/>
                <w:kern w:val="0"/>
                <w:sz w:val="18"/>
                <w:szCs w:val="18"/>
                <w:u w:val="none"/>
                <w:lang w:val="en-US" w:eastAsia="zh-CN" w:bidi="ar-SA"/>
              </w:rPr>
            </w:pPr>
            <w:r>
              <w:rPr>
                <w:rFonts w:ascii="宋体" w:eastAsia="宋体" w:cs="宋体" w:hint="eastAsia"/>
                <w:i w:val="0"/>
                <w:color w:val="000000"/>
                <w:kern w:val="0"/>
                <w:sz w:val="18"/>
                <w:szCs w:val="18"/>
                <w:u w:val="none"/>
                <w:lang w:val="en-US" w:eastAsia="zh-CN" w:bidi="ar-SA"/>
              </w:rPr>
              <w:t>10</w:t>
            </w:r>
            <w:r>
              <w:rPr>
                <w:rFonts w:ascii="宋体" w:eastAsia="宋体" w:cs="宋体"/>
                <w:i w:val="0"/>
                <w:color w:val="000000"/>
                <w:kern w:val="0"/>
                <w:sz w:val="18"/>
                <w:szCs w:val="18"/>
                <w:u w:val="none"/>
                <w:lang w:val="en-US" w:eastAsia="zh-CN" w:bidi="ar-SA"/>
              </w:rPr>
              <w:t>%</w:t>
            </w:r>
          </w:p>
        </w:tc>
        <w:tc>
          <w:tcPr>
            <w:tcW w:w="997"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i w:val="0"/>
                <w:color w:val="000000"/>
                <w:kern w:val="0"/>
                <w:sz w:val="18"/>
                <w:szCs w:val="18"/>
                <w:u w:val="none"/>
                <w:lang w:val="en-US" w:eastAsia="zh-CN" w:bidi="ar-SA"/>
              </w:rPr>
            </w:pPr>
            <w:r>
              <w:rPr>
                <w:rFonts w:ascii="宋体" w:eastAsia="宋体" w:cs="宋体" w:hint="eastAsia"/>
                <w:i w:val="0"/>
                <w:color w:val="000000"/>
                <w:kern w:val="0"/>
                <w:sz w:val="18"/>
                <w:szCs w:val="18"/>
                <w:u w:val="none"/>
                <w:lang w:val="en-US" w:eastAsia="zh-CN" w:bidi="ar-SA"/>
              </w:rPr>
              <w:t>10</w:t>
            </w:r>
            <w:r>
              <w:rPr>
                <w:rFonts w:ascii="宋体" w:eastAsia="宋体" w:cs="宋体"/>
                <w:i w:val="0"/>
                <w:color w:val="000000"/>
                <w:kern w:val="0"/>
                <w:sz w:val="18"/>
                <w:szCs w:val="18"/>
                <w:u w:val="none"/>
                <w:lang w:val="en-US" w:eastAsia="zh-CN" w:bidi="ar-SA"/>
              </w:rPr>
              <w:t>%</w:t>
            </w:r>
          </w:p>
        </w:tc>
      </w:tr>
      <w:tr>
        <w:trPr>
          <w:trHeight w:val="23"/>
        </w:trPr>
        <w:tc>
          <w:tcPr>
            <w:tcW w:w="1309" w:type="dxa"/>
            <w:vMerge/>
            <w:tcBorders>
              <w:top w:val="single" w:sz="4" w:space="0" w:color="auto"/>
              <w:left w:val="single" w:sz="4" w:space="0" w:color="000000"/>
              <w:bottom w:val="single" w:sz="4" w:space="0" w:color="auto"/>
              <w:right w:val="single" w:sz="4" w:space="0" w:color="000000"/>
              <w:tl2br w:val="nil"/>
              <w:tr2bl w:val="nil"/>
            </w:tcBorders>
            <w:vAlign w:val="center"/>
          </w:tcPr>
          <w:p/>
        </w:tc>
        <w:tc>
          <w:tcPr>
            <w:tcW w:w="1347"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效益指标</w:t>
            </w:r>
          </w:p>
        </w:tc>
        <w:tc>
          <w:tcPr>
            <w:tcW w:w="1273" w:type="dxa"/>
            <w:vMerge w:val="restart"/>
            <w:tcBorders>
              <w:top w:val="single" w:sz="4" w:space="0" w:color="000000"/>
              <w:left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bidi="ar-SA"/>
              </w:rPr>
            </w:pPr>
            <w:r>
              <w:rPr>
                <w:rFonts w:ascii="Times New Roman" w:eastAsia="宋体" w:cs="Times New Roman" w:hAnsi="Times New Roman"/>
                <w:i w:val="0"/>
                <w:color w:val="000000"/>
                <w:kern w:val="0"/>
                <w:sz w:val="24"/>
                <w:szCs w:val="24"/>
                <w:u w:val="none"/>
                <w:lang w:val="en-US" w:eastAsia="zh-CN" w:bidi="ar-SA"/>
              </w:rPr>
              <w:t>社会效益</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指标</w:t>
            </w:r>
          </w:p>
        </w:tc>
        <w:tc>
          <w:tcPr>
            <w:tcW w:w="180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152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82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88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58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i w:val="0"/>
                <w:color w:val="000000"/>
                <w:kern w:val="0"/>
                <w:sz w:val="18"/>
                <w:szCs w:val="18"/>
                <w:u w:val="none"/>
                <w:lang w:val="en-US" w:eastAsia="zh-CN" w:bidi="ar-SA"/>
              </w:rPr>
            </w:pPr>
          </w:p>
        </w:tc>
        <w:tc>
          <w:tcPr>
            <w:tcW w:w="997"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i w:val="0"/>
                <w:color w:val="000000"/>
                <w:kern w:val="0"/>
                <w:sz w:val="18"/>
                <w:szCs w:val="18"/>
                <w:u w:val="none"/>
                <w:lang w:val="en-US" w:eastAsia="zh-CN" w:bidi="ar-SA"/>
              </w:rPr>
            </w:pPr>
          </w:p>
        </w:tc>
      </w:tr>
      <w:tr>
        <w:trPr>
          <w:trHeight w:val="23"/>
        </w:trPr>
        <w:tc>
          <w:tcPr>
            <w:tcW w:w="1309" w:type="dxa"/>
            <w:vMerge/>
            <w:tcBorders>
              <w:top w:val="single" w:sz="4" w:space="0" w:color="auto"/>
              <w:left w:val="single" w:sz="4" w:space="0" w:color="000000"/>
              <w:bottom w:val="single" w:sz="4" w:space="0" w:color="auto"/>
              <w:right w:val="single" w:sz="4" w:space="0" w:color="000000"/>
              <w:tl2br w:val="nil"/>
              <w:tr2bl w:val="nil"/>
            </w:tcBorders>
            <w:vAlign w:val="center"/>
          </w:tcPr>
          <w:p/>
        </w:tc>
        <w:tc>
          <w:tcPr>
            <w:tcW w:w="134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273" w:type="dxa"/>
            <w:vMerge/>
            <w:tcBorders>
              <w:top w:val="single" w:sz="4" w:space="0" w:color="000000"/>
              <w:left w:val="single" w:sz="4" w:space="0" w:color="000000"/>
              <w:right w:val="single" w:sz="4" w:space="0" w:color="000000"/>
              <w:tl2br w:val="nil"/>
              <w:tr2bl w:val="nil"/>
            </w:tcBorders>
            <w:vAlign w:val="center"/>
          </w:tcPr>
          <w:p/>
        </w:tc>
        <w:tc>
          <w:tcPr>
            <w:tcW w:w="180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152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82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88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58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i w:val="0"/>
                <w:color w:val="000000"/>
                <w:kern w:val="0"/>
                <w:sz w:val="18"/>
                <w:szCs w:val="18"/>
                <w:u w:val="none"/>
                <w:lang w:val="en-US" w:eastAsia="zh-CN" w:bidi="ar-SA"/>
              </w:rPr>
            </w:pPr>
          </w:p>
        </w:tc>
        <w:tc>
          <w:tcPr>
            <w:tcW w:w="997"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i w:val="0"/>
                <w:color w:val="000000"/>
                <w:kern w:val="0"/>
                <w:sz w:val="18"/>
                <w:szCs w:val="18"/>
                <w:u w:val="none"/>
                <w:lang w:val="en-US" w:eastAsia="zh-CN" w:bidi="ar-SA"/>
              </w:rPr>
            </w:pPr>
          </w:p>
        </w:tc>
      </w:tr>
      <w:tr>
        <w:trPr>
          <w:trHeight w:val="23"/>
        </w:trPr>
        <w:tc>
          <w:tcPr>
            <w:tcW w:w="1309" w:type="dxa"/>
            <w:vMerge/>
            <w:tcBorders>
              <w:top w:val="single" w:sz="4" w:space="0" w:color="auto"/>
              <w:left w:val="single" w:sz="4" w:space="0" w:color="000000"/>
              <w:bottom w:val="single" w:sz="4" w:space="0" w:color="auto"/>
              <w:right w:val="single" w:sz="4" w:space="0" w:color="000000"/>
              <w:tl2br w:val="nil"/>
              <w:tr2bl w:val="nil"/>
            </w:tcBorders>
            <w:vAlign w:val="center"/>
          </w:tcPr>
          <w:p/>
        </w:tc>
        <w:tc>
          <w:tcPr>
            <w:tcW w:w="134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273"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w:t>
            </w:r>
          </w:p>
        </w:tc>
        <w:tc>
          <w:tcPr>
            <w:tcW w:w="180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152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82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88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58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i w:val="0"/>
                <w:color w:val="000000"/>
                <w:kern w:val="0"/>
                <w:sz w:val="18"/>
                <w:szCs w:val="18"/>
                <w:u w:val="none"/>
                <w:lang w:val="en-US" w:eastAsia="zh-CN" w:bidi="ar-SA"/>
              </w:rPr>
            </w:pPr>
          </w:p>
        </w:tc>
        <w:tc>
          <w:tcPr>
            <w:tcW w:w="997"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i w:val="0"/>
                <w:color w:val="000000"/>
                <w:kern w:val="0"/>
                <w:sz w:val="18"/>
                <w:szCs w:val="18"/>
                <w:u w:val="none"/>
                <w:lang w:val="en-US" w:eastAsia="zh-CN" w:bidi="ar-SA"/>
              </w:rPr>
            </w:pPr>
          </w:p>
        </w:tc>
      </w:tr>
      <w:tr>
        <w:trPr>
          <w:trHeight w:val="23"/>
        </w:trPr>
        <w:tc>
          <w:tcPr>
            <w:tcW w:w="1309" w:type="dxa"/>
            <w:vMerge/>
            <w:tcBorders>
              <w:top w:val="single" w:sz="4" w:space="0" w:color="auto"/>
              <w:left w:val="single" w:sz="4" w:space="0" w:color="000000"/>
              <w:bottom w:val="single" w:sz="4" w:space="0" w:color="auto"/>
              <w:right w:val="single" w:sz="4" w:space="0" w:color="000000"/>
              <w:tl2br w:val="nil"/>
              <w:tr2bl w:val="nil"/>
            </w:tcBorders>
            <w:vAlign w:val="center"/>
          </w:tcPr>
          <w:p/>
        </w:tc>
        <w:tc>
          <w:tcPr>
            <w:tcW w:w="1347"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满意度指标</w:t>
            </w:r>
          </w:p>
        </w:tc>
        <w:tc>
          <w:tcPr>
            <w:tcW w:w="1273"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bidi="ar-SA"/>
              </w:rPr>
              <w:t>满意度指标</w:t>
            </w:r>
          </w:p>
        </w:tc>
        <w:tc>
          <w:tcPr>
            <w:tcW w:w="180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服务对象满意度指标</w:t>
            </w:r>
          </w:p>
        </w:tc>
        <w:tc>
          <w:tcPr>
            <w:tcW w:w="1529"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使用人员满意度</w:t>
            </w:r>
          </w:p>
        </w:tc>
        <w:tc>
          <w:tcPr>
            <w:tcW w:w="826"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w:t>
            </w:r>
          </w:p>
        </w:tc>
        <w:tc>
          <w:tcPr>
            <w:tcW w:w="88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color w:val="000000"/>
                <w:sz w:val="24"/>
                <w:szCs w:val="24"/>
                <w:u w:val="none"/>
              </w:rPr>
            </w:pPr>
            <w:r>
              <w:rPr>
                <w:rFonts w:ascii="宋体" w:eastAsia="宋体" w:cs="宋体"/>
                <w:i w:val="0"/>
                <w:color w:val="000000"/>
                <w:kern w:val="0"/>
                <w:sz w:val="18"/>
                <w:szCs w:val="18"/>
                <w:u w:val="none"/>
                <w:lang w:val="en-US" w:eastAsia="zh-CN" w:bidi="ar-SA"/>
              </w:rPr>
              <w:t>98</w:t>
            </w:r>
          </w:p>
        </w:tc>
        <w:tc>
          <w:tcPr>
            <w:tcW w:w="58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i w:val="0"/>
                <w:color w:val="000000"/>
                <w:kern w:val="0"/>
                <w:sz w:val="18"/>
                <w:szCs w:val="18"/>
                <w:u w:val="none"/>
                <w:lang w:val="en-US" w:eastAsia="zh-CN" w:bidi="ar-SA"/>
              </w:rPr>
            </w:pPr>
            <w:r>
              <w:rPr>
                <w:rFonts w:ascii="宋体" w:eastAsia="宋体" w:cs="宋体" w:hint="eastAsia"/>
                <w:i w:val="0"/>
                <w:color w:val="000000"/>
                <w:kern w:val="0"/>
                <w:sz w:val="18"/>
                <w:szCs w:val="18"/>
                <w:u w:val="none"/>
                <w:lang w:val="en-US" w:eastAsia="zh-CN" w:bidi="ar-SA"/>
              </w:rPr>
              <w:t>10</w:t>
            </w:r>
            <w:r>
              <w:rPr>
                <w:rFonts w:ascii="宋体" w:eastAsia="宋体" w:cs="宋体"/>
                <w:i w:val="0"/>
                <w:color w:val="000000"/>
                <w:kern w:val="0"/>
                <w:sz w:val="18"/>
                <w:szCs w:val="18"/>
                <w:u w:val="none"/>
                <w:lang w:val="en-US" w:eastAsia="zh-CN" w:bidi="ar-SA"/>
              </w:rPr>
              <w:t>%</w:t>
            </w:r>
          </w:p>
        </w:tc>
        <w:tc>
          <w:tcPr>
            <w:tcW w:w="997"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i w:val="0"/>
                <w:color w:val="000000"/>
                <w:kern w:val="0"/>
                <w:sz w:val="18"/>
                <w:szCs w:val="18"/>
                <w:u w:val="none"/>
                <w:lang w:val="en-US" w:eastAsia="zh-CN" w:bidi="ar-SA"/>
              </w:rPr>
            </w:pPr>
            <w:r>
              <w:rPr>
                <w:rFonts w:ascii="宋体" w:eastAsia="宋体" w:cs="宋体" w:hint="eastAsia"/>
                <w:i w:val="0"/>
                <w:color w:val="000000"/>
                <w:kern w:val="0"/>
                <w:sz w:val="18"/>
                <w:szCs w:val="18"/>
                <w:u w:val="none"/>
                <w:lang w:val="en-US" w:eastAsia="zh-CN" w:bidi="ar-SA"/>
              </w:rPr>
              <w:t>10</w:t>
            </w:r>
            <w:r>
              <w:rPr>
                <w:rFonts w:ascii="宋体" w:eastAsia="宋体" w:cs="宋体"/>
                <w:i w:val="0"/>
                <w:color w:val="000000"/>
                <w:kern w:val="0"/>
                <w:sz w:val="18"/>
                <w:szCs w:val="18"/>
                <w:u w:val="none"/>
                <w:lang w:val="en-US" w:eastAsia="zh-CN" w:bidi="ar-SA"/>
              </w:rPr>
              <w:t>%</w:t>
            </w:r>
          </w:p>
        </w:tc>
      </w:tr>
    </w:tbl>
    <w:p>
      <w:pPr>
        <w:pStyle w:val="18"/>
        <w:pageBreakBefore w:val="0"/>
        <w:widowControl w:val="0"/>
        <w:kinsoku/>
        <w:wordWrap/>
        <w:overflowPunct/>
        <w:topLinePunct w:val="0"/>
        <w:autoSpaceDE/>
        <w:autoSpaceDN/>
        <w:bidi w:val="0"/>
        <w:adjustRightInd/>
        <w:snapToGrid/>
        <w:spacing w:after="0" w:line="578" w:lineRule="exact"/>
        <w:ind w:leftChars="0" w:left="0" w:firstLineChars="0" w:firstLine="0"/>
        <w:rPr>
          <w:rFonts w:ascii="Times New Roman" w:eastAsia="黑体" w:cs="Times New Roman" w:hAnsi="Times New Roman" w:hint="eastAsia"/>
          <w:kern w:val="2"/>
          <w:sz w:val="32"/>
          <w:szCs w:val="24"/>
          <w:lang w:val="en-US" w:eastAsia="zh-CN" w:bidi="ar-SA"/>
          <w:highlight w:val="auto"/>
        </w:rPr>
      </w:pPr>
      <w:r>
        <w:rPr>
          <w:rFonts w:ascii="Times New Roman" w:eastAsia="黑体" w:cs="Times New Roman" w:hAnsi="Times New Roman"/>
          <w:kern w:val="2"/>
          <w:sz w:val="32"/>
          <w:szCs w:val="24"/>
          <w:lang w:val="en-US" w:eastAsia="zh-CN" w:bidi="ar-SA"/>
          <w:highlight w:val="auto"/>
        </w:rPr>
        <w:t>附表</w:t>
      </w:r>
      <w:r>
        <w:rPr>
          <w:rFonts w:ascii="Times New Roman" w:eastAsia="黑体" w:cs="Times New Roman" w:hAnsi="Times New Roman" w:hint="eastAsia"/>
          <w:kern w:val="2"/>
          <w:sz w:val="32"/>
          <w:szCs w:val="24"/>
          <w:lang w:val="en-US" w:eastAsia="zh-CN" w:bidi="ar-SA"/>
          <w:highlight w:val="auto"/>
        </w:rPr>
        <w:t>3</w:t>
      </w: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6"/>
        <w:jc w:val="center"/>
        <w:rPr>
          <w:rFonts w:ascii="Times New Roman" w:eastAsia="仿宋_GB2312" w:cs="Times New Roman" w:hAnsi="Times New Roman"/>
          <w:bCs/>
          <w:kern w:val="0"/>
          <w:sz w:val="32"/>
          <w:szCs w:val="32"/>
          <w:shd w:val="clear" w:color="auto" w:fill="FFFFFF"/>
          <w:lang w:val="zh-CN"/>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1298" w:type="dxa"/>
        <w:tblW w:w="11115"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750"/>
        <w:gridCol w:w="1500"/>
        <w:gridCol w:w="1440"/>
        <w:gridCol w:w="2697"/>
        <w:gridCol w:w="828"/>
        <w:gridCol w:w="570"/>
        <w:gridCol w:w="420"/>
        <w:gridCol w:w="1050"/>
        <w:gridCol w:w="570"/>
        <w:gridCol w:w="540"/>
        <w:gridCol w:w="750"/>
      </w:tblGrid>
      <w:tr>
        <w:trPr>
          <w:trHeight w:val="464"/>
        </w:trPr>
        <w:tc>
          <w:tcPr>
            <w:tcW w:w="11115"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2250"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886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51000021Y000000011490-日常公用经费</w:t>
            </w:r>
          </w:p>
        </w:tc>
      </w:tr>
      <w:tr>
        <w:trPr>
          <w:trHeight w:val="544"/>
        </w:trPr>
        <w:tc>
          <w:tcPr>
            <w:tcW w:w="2250"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5955"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1050"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860"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中共金川县委办公室</w:t>
            </w:r>
          </w:p>
        </w:tc>
      </w:tr>
      <w:tr>
        <w:trPr>
          <w:trHeight w:val="286"/>
        </w:trPr>
        <w:tc>
          <w:tcPr>
            <w:tcW w:w="750"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500"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5955"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910"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75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50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5955"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提高预算编制质量，严格执行预算，保障单位日常运转。</w:t>
            </w:r>
          </w:p>
        </w:tc>
        <w:tc>
          <w:tcPr>
            <w:tcW w:w="2910"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713"/>
        </w:trPr>
        <w:tc>
          <w:tcPr>
            <w:tcW w:w="75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50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886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750"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50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14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269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81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10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57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5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7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75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50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14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28.18</w:t>
            </w:r>
          </w:p>
        </w:tc>
        <w:tc>
          <w:tcPr>
            <w:tcW w:w="269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385.18</w:t>
            </w:r>
          </w:p>
        </w:tc>
        <w:tc>
          <w:tcPr>
            <w:tcW w:w="181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385.18</w:t>
            </w:r>
          </w:p>
        </w:tc>
        <w:tc>
          <w:tcPr>
            <w:tcW w:w="10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57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5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750"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75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50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14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28.18</w:t>
            </w:r>
          </w:p>
        </w:tc>
        <w:tc>
          <w:tcPr>
            <w:tcW w:w="269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385.18</w:t>
            </w:r>
          </w:p>
        </w:tc>
        <w:tc>
          <w:tcPr>
            <w:tcW w:w="181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385.18</w:t>
            </w:r>
          </w:p>
        </w:tc>
        <w:tc>
          <w:tcPr>
            <w:tcW w:w="10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57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75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75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50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14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269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81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0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57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75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75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50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14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269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81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0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57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75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75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50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14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269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81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0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57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75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750"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50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14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269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82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7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4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10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57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5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7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75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500"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14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269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科目调整次数</w:t>
            </w:r>
          </w:p>
        </w:tc>
        <w:tc>
          <w:tcPr>
            <w:tcW w:w="82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7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w:t>
            </w:r>
          </w:p>
        </w:tc>
        <w:tc>
          <w:tcPr>
            <w:tcW w:w="4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次</w:t>
            </w:r>
          </w:p>
        </w:tc>
        <w:tc>
          <w:tcPr>
            <w:tcW w:w="10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57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w:t>
            </w:r>
          </w:p>
        </w:tc>
        <w:tc>
          <w:tcPr>
            <w:tcW w:w="5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w:t>
            </w:r>
          </w:p>
        </w:tc>
        <w:tc>
          <w:tcPr>
            <w:tcW w:w="7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678"/>
        </w:trPr>
        <w:tc>
          <w:tcPr>
            <w:tcW w:w="75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50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4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质量指标</w:t>
            </w:r>
          </w:p>
        </w:tc>
        <w:tc>
          <w:tcPr>
            <w:tcW w:w="269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预算编制准确率（计算方法为：∣（执行数-预算数）/预算数∣）</w:t>
            </w:r>
          </w:p>
        </w:tc>
        <w:tc>
          <w:tcPr>
            <w:tcW w:w="82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7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w:t>
            </w:r>
          </w:p>
        </w:tc>
        <w:tc>
          <w:tcPr>
            <w:tcW w:w="4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10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57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5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7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904"/>
        </w:trPr>
        <w:tc>
          <w:tcPr>
            <w:tcW w:w="75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500"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14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经济效益指标</w:t>
            </w:r>
          </w:p>
        </w:tc>
        <w:tc>
          <w:tcPr>
            <w:tcW w:w="269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“三公经费”控制率[计算方法为：（三公经费实际支出数/预算安排数]×100%）</w:t>
            </w:r>
          </w:p>
        </w:tc>
        <w:tc>
          <w:tcPr>
            <w:tcW w:w="82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7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4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10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57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w:t>
            </w:r>
          </w:p>
        </w:tc>
        <w:tc>
          <w:tcPr>
            <w:tcW w:w="5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w:t>
            </w:r>
          </w:p>
        </w:tc>
        <w:tc>
          <w:tcPr>
            <w:tcW w:w="7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75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50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4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269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运转保障率</w:t>
            </w:r>
          </w:p>
        </w:tc>
        <w:tc>
          <w:tcPr>
            <w:tcW w:w="82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7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4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10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57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w:t>
            </w:r>
          </w:p>
        </w:tc>
        <w:tc>
          <w:tcPr>
            <w:tcW w:w="5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w:t>
            </w:r>
          </w:p>
        </w:tc>
        <w:tc>
          <w:tcPr>
            <w:tcW w:w="7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9255"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57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7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7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10365"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7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10365"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7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10365"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7215"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900"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r>
        <w:trPr>
          <w:trHeight w:val="286"/>
        </w:trPr>
        <w:tc>
          <w:tcPr>
            <w:tcW w:w="750" w:type="dxa"/>
            <w:tcBorders>
              <w:top w:val="nil"/>
              <w:left w:val="nil"/>
              <w:bottom w:val="nil"/>
              <w:right w:val="nil"/>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c>
          <w:tcPr>
            <w:tcW w:w="1500" w:type="dxa"/>
            <w:tcBorders>
              <w:top w:val="nil"/>
              <w:left w:val="nil"/>
              <w:bottom w:val="nil"/>
              <w:right w:val="nil"/>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c>
          <w:tcPr>
            <w:tcW w:w="1440" w:type="dxa"/>
            <w:tcBorders>
              <w:top w:val="nil"/>
              <w:left w:val="nil"/>
              <w:bottom w:val="nil"/>
              <w:right w:val="nil"/>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c>
          <w:tcPr>
            <w:tcW w:w="2697" w:type="dxa"/>
            <w:tcBorders>
              <w:top w:val="nil"/>
              <w:left w:val="nil"/>
              <w:bottom w:val="nil"/>
              <w:right w:val="nil"/>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c>
          <w:tcPr>
            <w:tcW w:w="828" w:type="dxa"/>
            <w:tcBorders>
              <w:top w:val="nil"/>
              <w:left w:val="nil"/>
              <w:bottom w:val="nil"/>
              <w:right w:val="nil"/>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c>
          <w:tcPr>
            <w:tcW w:w="570" w:type="dxa"/>
            <w:tcBorders>
              <w:top w:val="nil"/>
              <w:left w:val="nil"/>
              <w:bottom w:val="nil"/>
              <w:right w:val="nil"/>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c>
          <w:tcPr>
            <w:tcW w:w="420" w:type="dxa"/>
            <w:tcBorders>
              <w:top w:val="nil"/>
              <w:left w:val="nil"/>
              <w:bottom w:val="nil"/>
              <w:right w:val="nil"/>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c>
          <w:tcPr>
            <w:tcW w:w="1050" w:type="dxa"/>
            <w:tcBorders>
              <w:top w:val="nil"/>
              <w:left w:val="nil"/>
              <w:bottom w:val="nil"/>
              <w:right w:val="nil"/>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c>
          <w:tcPr>
            <w:tcW w:w="570" w:type="dxa"/>
            <w:tcBorders>
              <w:top w:val="nil"/>
              <w:left w:val="nil"/>
              <w:bottom w:val="nil"/>
              <w:right w:val="nil"/>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c>
          <w:tcPr>
            <w:tcW w:w="540" w:type="dxa"/>
            <w:tcBorders>
              <w:top w:val="nil"/>
              <w:left w:val="nil"/>
              <w:bottom w:val="nil"/>
              <w:right w:val="nil"/>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c>
          <w:tcPr>
            <w:tcW w:w="750" w:type="dxa"/>
            <w:tcBorders>
              <w:top w:val="nil"/>
              <w:left w:val="nil"/>
              <w:bottom w:val="nil"/>
              <w:right w:val="nil"/>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1478" w:type="dxa"/>
        <w:tblW w:w="1143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1873"/>
        <w:gridCol w:w="2325"/>
        <w:gridCol w:w="1380"/>
        <w:gridCol w:w="1172"/>
        <w:gridCol w:w="435"/>
        <w:gridCol w:w="390"/>
        <w:gridCol w:w="450"/>
        <w:gridCol w:w="1560"/>
        <w:gridCol w:w="540"/>
        <w:gridCol w:w="420"/>
        <w:gridCol w:w="885"/>
      </w:tblGrid>
      <w:tr>
        <w:trPr>
          <w:trHeight w:val="579"/>
        </w:trPr>
        <w:tc>
          <w:tcPr>
            <w:tcW w:w="11430"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4198"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7232"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51322622R000000307551-其他社会保障缴费（失业保险）</w:t>
            </w:r>
          </w:p>
        </w:tc>
      </w:tr>
      <w:tr>
        <w:trPr>
          <w:trHeight w:val="512"/>
        </w:trPr>
        <w:tc>
          <w:tcPr>
            <w:tcW w:w="4198"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38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1560"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84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中共金川县委办公室</w:t>
            </w:r>
          </w:p>
        </w:tc>
      </w:tr>
      <w:tr>
        <w:trPr>
          <w:trHeight w:val="286"/>
        </w:trPr>
        <w:tc>
          <w:tcPr>
            <w:tcW w:w="1873"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2325"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38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3405"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187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325"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38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3405"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187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32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7232"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1873"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232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13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17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27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156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5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4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88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187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32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13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0.48</w:t>
            </w:r>
          </w:p>
        </w:tc>
        <w:tc>
          <w:tcPr>
            <w:tcW w:w="117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0.42</w:t>
            </w:r>
          </w:p>
        </w:tc>
        <w:tc>
          <w:tcPr>
            <w:tcW w:w="127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0.42</w:t>
            </w:r>
          </w:p>
        </w:tc>
        <w:tc>
          <w:tcPr>
            <w:tcW w:w="156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5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4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885"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187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32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13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0.48</w:t>
            </w:r>
          </w:p>
        </w:tc>
        <w:tc>
          <w:tcPr>
            <w:tcW w:w="117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0.42</w:t>
            </w:r>
          </w:p>
        </w:tc>
        <w:tc>
          <w:tcPr>
            <w:tcW w:w="127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0.42</w:t>
            </w:r>
          </w:p>
        </w:tc>
        <w:tc>
          <w:tcPr>
            <w:tcW w:w="156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5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4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885"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187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32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13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17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27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56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5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4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885"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187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32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13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17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27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56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5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4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885"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187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32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13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17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27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56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5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4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885"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1873"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232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13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17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4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156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5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4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88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187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32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13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17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4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156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5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4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88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187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32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13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17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4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156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5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4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88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9585"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5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4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88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187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9557"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187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9557"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187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9557"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7185"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4245"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rPr>
          <w:rFonts w:hint="eastAsia"/>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51322622R000000307567-其他社会保障缴费（工伤保险）</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中共金川县委办公室</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0.68</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0.68</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0.68</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0.68</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0.68</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0.68</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51322622R000000307571-其他社会保障缴费（残疾人就业保障金）</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中共金川县委办公室</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6.62</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6.62</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6.62</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6.62</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6.62</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6.62</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24"/>
        <w:gridCol w:w="1037"/>
        <w:gridCol w:w="984"/>
        <w:gridCol w:w="1422"/>
        <w:gridCol w:w="591"/>
        <w:gridCol w:w="539"/>
        <w:gridCol w:w="591"/>
        <w:gridCol w:w="984"/>
        <w:gridCol w:w="332"/>
        <w:gridCol w:w="333"/>
        <w:gridCol w:w="599"/>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51322622R000000307882-住房公积金（职工）</w:t>
            </w:r>
          </w:p>
        </w:tc>
      </w:tr>
      <w:tr>
        <w:trPr>
          <w:trHeight w:val="512"/>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84"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6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中共金川县委办公室</w:t>
            </w:r>
          </w:p>
        </w:tc>
      </w:tr>
      <w:tr>
        <w:trPr>
          <w:trHeight w:val="286"/>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37"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56.71</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53.74</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53.74</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59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56.71</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53.74</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53.74</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7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5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378"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24"/>
        <w:gridCol w:w="1037"/>
        <w:gridCol w:w="984"/>
        <w:gridCol w:w="1422"/>
        <w:gridCol w:w="591"/>
        <w:gridCol w:w="539"/>
        <w:gridCol w:w="591"/>
        <w:gridCol w:w="984"/>
        <w:gridCol w:w="332"/>
        <w:gridCol w:w="333"/>
        <w:gridCol w:w="599"/>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51322622R000000308142-基本离休费</w:t>
            </w:r>
          </w:p>
        </w:tc>
      </w:tr>
      <w:tr>
        <w:trPr>
          <w:trHeight w:val="512"/>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84"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6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中共金川县委办公室</w:t>
            </w:r>
          </w:p>
        </w:tc>
      </w:tr>
      <w:tr>
        <w:trPr>
          <w:trHeight w:val="286"/>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37"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27.16</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29.60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29.60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59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27.16</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29.60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29.60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7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5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378"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51322622R000000308399-生活补助（遗嘱人员）</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中共金川县委办公室</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8.11</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8.10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8.10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8.11</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8.10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8.10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51322622R000000308424-春节慰问金</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中共金川县委办公室</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3.21</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4.20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4.20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3.21</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4.20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4.20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51322622R000006494124-退休人员一次性退休补贴</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中共金川县委办公室</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3.86</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3.86</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3.86</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3.86</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24"/>
        <w:gridCol w:w="1037"/>
        <w:gridCol w:w="984"/>
        <w:gridCol w:w="1422"/>
        <w:gridCol w:w="591"/>
        <w:gridCol w:w="539"/>
        <w:gridCol w:w="591"/>
        <w:gridCol w:w="984"/>
        <w:gridCol w:w="332"/>
        <w:gridCol w:w="333"/>
        <w:gridCol w:w="599"/>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51322623R000007822512-机关事业单位基本养老保险缴费</w:t>
            </w:r>
          </w:p>
        </w:tc>
      </w:tr>
      <w:tr>
        <w:trPr>
          <w:trHeight w:val="512"/>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84"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6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中共金川县委办公室</w:t>
            </w:r>
          </w:p>
        </w:tc>
      </w:tr>
      <w:tr>
        <w:trPr>
          <w:trHeight w:val="286"/>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37"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68.03</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66.99</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66.99</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59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68.03</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66.99</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66.99</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7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5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378"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24"/>
        <w:gridCol w:w="1037"/>
        <w:gridCol w:w="984"/>
        <w:gridCol w:w="1422"/>
        <w:gridCol w:w="591"/>
        <w:gridCol w:w="539"/>
        <w:gridCol w:w="591"/>
        <w:gridCol w:w="984"/>
        <w:gridCol w:w="332"/>
        <w:gridCol w:w="333"/>
        <w:gridCol w:w="599"/>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51322623R000007822795-职业年金缴费</w:t>
            </w:r>
          </w:p>
        </w:tc>
      </w:tr>
      <w:tr>
        <w:trPr>
          <w:trHeight w:val="512"/>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84"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6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中共金川县委办公室</w:t>
            </w:r>
          </w:p>
        </w:tc>
      </w:tr>
      <w:tr>
        <w:trPr>
          <w:trHeight w:val="286"/>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37"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34.02</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33.44</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33.44</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59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34.02</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33.44</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33.44</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7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5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378"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24"/>
        <w:gridCol w:w="1037"/>
        <w:gridCol w:w="984"/>
        <w:gridCol w:w="1422"/>
        <w:gridCol w:w="591"/>
        <w:gridCol w:w="539"/>
        <w:gridCol w:w="591"/>
        <w:gridCol w:w="984"/>
        <w:gridCol w:w="332"/>
        <w:gridCol w:w="333"/>
        <w:gridCol w:w="599"/>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51322623R000007823104-职工基本医疗保险缴费</w:t>
            </w:r>
          </w:p>
        </w:tc>
      </w:tr>
      <w:tr>
        <w:trPr>
          <w:trHeight w:val="512"/>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84"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6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中共金川县委办公室</w:t>
            </w:r>
          </w:p>
        </w:tc>
      </w:tr>
      <w:tr>
        <w:trPr>
          <w:trHeight w:val="286"/>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37"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33.08</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32.08</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32.08</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59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33.08</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32.08</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32.08</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7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5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378"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24"/>
        <w:gridCol w:w="1037"/>
        <w:gridCol w:w="984"/>
        <w:gridCol w:w="1422"/>
        <w:gridCol w:w="591"/>
        <w:gridCol w:w="539"/>
        <w:gridCol w:w="591"/>
        <w:gridCol w:w="984"/>
        <w:gridCol w:w="332"/>
        <w:gridCol w:w="333"/>
        <w:gridCol w:w="599"/>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51322623R000007823488-公务员医疗补助缴费</w:t>
            </w:r>
          </w:p>
        </w:tc>
      </w:tr>
      <w:tr>
        <w:trPr>
          <w:trHeight w:val="512"/>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84"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6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中共金川县委办公室</w:t>
            </w:r>
          </w:p>
        </w:tc>
      </w:tr>
      <w:tr>
        <w:trPr>
          <w:trHeight w:val="286"/>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37"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11.68</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11.74</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11.74</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59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11.68</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11.74</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11.74</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7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5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378"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51322623R000007823763-奖励金</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中共金川县委办公室</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0.03</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0.01</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0.01</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0.03</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0.01</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0.01</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0"/>
        <w:gridCol w:w="1046"/>
        <w:gridCol w:w="933"/>
        <w:gridCol w:w="1435"/>
        <w:gridCol w:w="596"/>
        <w:gridCol w:w="543"/>
        <w:gridCol w:w="596"/>
        <w:gridCol w:w="988"/>
        <w:gridCol w:w="333"/>
        <w:gridCol w:w="333"/>
        <w:gridCol w:w="603"/>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76"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60"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51322623R000008940976-年度考核奖</w:t>
            </w:r>
          </w:p>
        </w:tc>
      </w:tr>
      <w:tr>
        <w:trPr>
          <w:trHeight w:val="512"/>
        </w:trPr>
        <w:tc>
          <w:tcPr>
            <w:tcW w:w="1976"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10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88"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69"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中共金川县委办公室</w:t>
            </w:r>
          </w:p>
        </w:tc>
      </w:tr>
      <w:tr>
        <w:trPr>
          <w:trHeight w:val="286"/>
        </w:trPr>
        <w:tc>
          <w:tcPr>
            <w:tcW w:w="930"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46"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10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57"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10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57"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60"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0"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65.79</w:t>
            </w: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65.79</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3"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65.79</w:t>
            </w: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65.79</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0"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7"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406"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406"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406"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40"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396"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51322623R000009124010-年度考核奖励奖金</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中共金川县委办公室</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0.60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0.60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0.60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0.60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0"/>
        <w:gridCol w:w="1046"/>
        <w:gridCol w:w="933"/>
        <w:gridCol w:w="1435"/>
        <w:gridCol w:w="596"/>
        <w:gridCol w:w="543"/>
        <w:gridCol w:w="596"/>
        <w:gridCol w:w="988"/>
        <w:gridCol w:w="333"/>
        <w:gridCol w:w="333"/>
        <w:gridCol w:w="603"/>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76"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60"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51322623R000009142666-丧葬抚恤金</w:t>
            </w:r>
          </w:p>
        </w:tc>
      </w:tr>
      <w:tr>
        <w:trPr>
          <w:trHeight w:val="512"/>
        </w:trPr>
        <w:tc>
          <w:tcPr>
            <w:tcW w:w="1976"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10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88"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69"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中共金川县委办公室</w:t>
            </w:r>
          </w:p>
        </w:tc>
      </w:tr>
      <w:tr>
        <w:trPr>
          <w:trHeight w:val="286"/>
        </w:trPr>
        <w:tc>
          <w:tcPr>
            <w:tcW w:w="930"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46"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10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57"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10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57"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60"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0"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38.71</w:t>
            </w: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38.71</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3"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38.71</w:t>
            </w: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38.71</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0"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7"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406"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406"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406"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40"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396"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10"/>
        <w:gridCol w:w="1020"/>
        <w:gridCol w:w="1029"/>
        <w:gridCol w:w="1456"/>
        <w:gridCol w:w="581"/>
        <w:gridCol w:w="533"/>
        <w:gridCol w:w="581"/>
        <w:gridCol w:w="975"/>
        <w:gridCol w:w="331"/>
        <w:gridCol w:w="331"/>
        <w:gridCol w:w="589"/>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30"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406"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51322624R000010562265-在职在编人员基本工资</w:t>
            </w:r>
          </w:p>
        </w:tc>
      </w:tr>
      <w:tr>
        <w:trPr>
          <w:trHeight w:val="512"/>
        </w:trPr>
        <w:tc>
          <w:tcPr>
            <w:tcW w:w="1930"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180"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75"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5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中共金川县委办公室</w:t>
            </w:r>
          </w:p>
        </w:tc>
      </w:tr>
      <w:tr>
        <w:trPr>
          <w:trHeight w:val="286"/>
        </w:trPr>
        <w:tc>
          <w:tcPr>
            <w:tcW w:w="910"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20"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180"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2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1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2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180"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2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1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406"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10"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102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45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69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7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8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1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102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137.42</w:t>
            </w:r>
          </w:p>
        </w:tc>
        <w:tc>
          <w:tcPr>
            <w:tcW w:w="145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138.39</w:t>
            </w:r>
          </w:p>
        </w:tc>
        <w:tc>
          <w:tcPr>
            <w:tcW w:w="169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138.39</w:t>
            </w:r>
          </w:p>
        </w:tc>
        <w:tc>
          <w:tcPr>
            <w:tcW w:w="97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58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1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102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137.42</w:t>
            </w:r>
          </w:p>
        </w:tc>
        <w:tc>
          <w:tcPr>
            <w:tcW w:w="145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138.39</w:t>
            </w:r>
          </w:p>
        </w:tc>
        <w:tc>
          <w:tcPr>
            <w:tcW w:w="169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138.39</w:t>
            </w:r>
          </w:p>
        </w:tc>
        <w:tc>
          <w:tcPr>
            <w:tcW w:w="97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8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1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102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5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69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7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8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1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102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5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69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7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8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1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102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45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69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7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8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10"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102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45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58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58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7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8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1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102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45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58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8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7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58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1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102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45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58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8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7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58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85"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8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1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426"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1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426"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1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426"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96"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340"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24"/>
        <w:gridCol w:w="1037"/>
        <w:gridCol w:w="984"/>
        <w:gridCol w:w="1422"/>
        <w:gridCol w:w="591"/>
        <w:gridCol w:w="539"/>
        <w:gridCol w:w="591"/>
        <w:gridCol w:w="984"/>
        <w:gridCol w:w="332"/>
        <w:gridCol w:w="333"/>
        <w:gridCol w:w="599"/>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51322624R000010567592-年终一次性奖金（行政）</w:t>
            </w:r>
          </w:p>
        </w:tc>
      </w:tr>
      <w:tr>
        <w:trPr>
          <w:trHeight w:val="512"/>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84"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6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中共金川县委办公室</w:t>
            </w:r>
          </w:p>
        </w:tc>
      </w:tr>
      <w:tr>
        <w:trPr>
          <w:trHeight w:val="286"/>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37"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11.45</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11.45</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11.45</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59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11.45</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11.45</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11.45</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7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5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378"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rPr>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17"/>
        <w:gridCol w:w="1029"/>
        <w:gridCol w:w="1035"/>
        <w:gridCol w:w="1410"/>
        <w:gridCol w:w="586"/>
        <w:gridCol w:w="536"/>
        <w:gridCol w:w="586"/>
        <w:gridCol w:w="979"/>
        <w:gridCol w:w="332"/>
        <w:gridCol w:w="332"/>
        <w:gridCol w:w="594"/>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46"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90"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51322624R000010568356-公务员规范津贴补贴</w:t>
            </w:r>
          </w:p>
        </w:tc>
      </w:tr>
      <w:tr>
        <w:trPr>
          <w:trHeight w:val="512"/>
        </w:trPr>
        <w:tc>
          <w:tcPr>
            <w:tcW w:w="1946"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15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79"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5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中共金川县委办公室</w:t>
            </w:r>
          </w:p>
        </w:tc>
      </w:tr>
      <w:tr>
        <w:trPr>
          <w:trHeight w:val="286"/>
        </w:trPr>
        <w:tc>
          <w:tcPr>
            <w:tcW w:w="917"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2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15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37"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1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2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15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37"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1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2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90"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17"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2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10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41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0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7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1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2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10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100.60</w:t>
            </w:r>
          </w:p>
        </w:tc>
        <w:tc>
          <w:tcPr>
            <w:tcW w:w="141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99.18</w:t>
            </w:r>
          </w:p>
        </w:tc>
        <w:tc>
          <w:tcPr>
            <w:tcW w:w="170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99.18</w:t>
            </w:r>
          </w:p>
        </w:tc>
        <w:tc>
          <w:tcPr>
            <w:tcW w:w="97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59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1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2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10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100.60</w:t>
            </w:r>
          </w:p>
        </w:tc>
        <w:tc>
          <w:tcPr>
            <w:tcW w:w="141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99.18</w:t>
            </w:r>
          </w:p>
        </w:tc>
        <w:tc>
          <w:tcPr>
            <w:tcW w:w="170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99.18</w:t>
            </w:r>
          </w:p>
        </w:tc>
        <w:tc>
          <w:tcPr>
            <w:tcW w:w="97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1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2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10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1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0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7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1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2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10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1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0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7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1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2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10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41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0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7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17"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2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10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41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58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3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58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7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1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2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10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41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58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8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7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59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1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2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10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41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58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8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7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59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78"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1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419"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1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419"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1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419"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7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 xml:space="preserve">项目负责人：王道国 </w:t>
            </w:r>
          </w:p>
        </w:tc>
        <w:tc>
          <w:tcPr>
            <w:tcW w:w="3359"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10"/>
        <w:gridCol w:w="1020"/>
        <w:gridCol w:w="1029"/>
        <w:gridCol w:w="1456"/>
        <w:gridCol w:w="581"/>
        <w:gridCol w:w="533"/>
        <w:gridCol w:w="581"/>
        <w:gridCol w:w="975"/>
        <w:gridCol w:w="331"/>
        <w:gridCol w:w="331"/>
        <w:gridCol w:w="589"/>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30"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406"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51322624R000010570295-基础绩效奖（行政）</w:t>
            </w:r>
          </w:p>
        </w:tc>
      </w:tr>
      <w:tr>
        <w:trPr>
          <w:trHeight w:val="512"/>
        </w:trPr>
        <w:tc>
          <w:tcPr>
            <w:tcW w:w="1930"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180"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75"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5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中共金川县委办公室</w:t>
            </w:r>
          </w:p>
        </w:tc>
      </w:tr>
      <w:tr>
        <w:trPr>
          <w:trHeight w:val="286"/>
        </w:trPr>
        <w:tc>
          <w:tcPr>
            <w:tcW w:w="910"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20"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180"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2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1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2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180"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2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1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406"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10"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102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45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69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7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8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1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102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114.84</w:t>
            </w:r>
          </w:p>
        </w:tc>
        <w:tc>
          <w:tcPr>
            <w:tcW w:w="145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112.63</w:t>
            </w:r>
          </w:p>
        </w:tc>
        <w:tc>
          <w:tcPr>
            <w:tcW w:w="169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112.63</w:t>
            </w:r>
          </w:p>
        </w:tc>
        <w:tc>
          <w:tcPr>
            <w:tcW w:w="97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58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1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102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114.84</w:t>
            </w:r>
          </w:p>
        </w:tc>
        <w:tc>
          <w:tcPr>
            <w:tcW w:w="145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112.63</w:t>
            </w:r>
          </w:p>
        </w:tc>
        <w:tc>
          <w:tcPr>
            <w:tcW w:w="169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112.63</w:t>
            </w:r>
          </w:p>
        </w:tc>
        <w:tc>
          <w:tcPr>
            <w:tcW w:w="97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8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1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102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5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69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7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8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1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102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5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69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7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8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1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102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45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69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7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8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10"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102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45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58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58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7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8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1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102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45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58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8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7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58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1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2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102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45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58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8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7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58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85"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8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1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426"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1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426"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1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426"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96"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340"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24"/>
        <w:gridCol w:w="1037"/>
        <w:gridCol w:w="984"/>
        <w:gridCol w:w="1422"/>
        <w:gridCol w:w="591"/>
        <w:gridCol w:w="539"/>
        <w:gridCol w:w="591"/>
        <w:gridCol w:w="984"/>
        <w:gridCol w:w="332"/>
        <w:gridCol w:w="333"/>
        <w:gridCol w:w="599"/>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51322624R000010571106-艰苦边远地区津贴</w:t>
            </w:r>
          </w:p>
        </w:tc>
      </w:tr>
      <w:tr>
        <w:trPr>
          <w:trHeight w:val="512"/>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84"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6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中共金川县委办公室</w:t>
            </w:r>
          </w:p>
        </w:tc>
      </w:tr>
      <w:tr>
        <w:trPr>
          <w:trHeight w:val="286"/>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37"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46.02</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46.02</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46.02</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59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46.02</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46.02</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46.02</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7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5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378"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0"/>
        <w:gridCol w:w="1046"/>
        <w:gridCol w:w="933"/>
        <w:gridCol w:w="1435"/>
        <w:gridCol w:w="596"/>
        <w:gridCol w:w="543"/>
        <w:gridCol w:w="596"/>
        <w:gridCol w:w="988"/>
        <w:gridCol w:w="333"/>
        <w:gridCol w:w="333"/>
        <w:gridCol w:w="603"/>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76"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60"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51322624R000010571424-高海拔地区折算工龄补贴</w:t>
            </w:r>
          </w:p>
        </w:tc>
      </w:tr>
      <w:tr>
        <w:trPr>
          <w:trHeight w:val="512"/>
        </w:trPr>
        <w:tc>
          <w:tcPr>
            <w:tcW w:w="1976"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10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88"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69"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中共金川县委办公室</w:t>
            </w:r>
          </w:p>
        </w:tc>
      </w:tr>
      <w:tr>
        <w:trPr>
          <w:trHeight w:val="286"/>
        </w:trPr>
        <w:tc>
          <w:tcPr>
            <w:tcW w:w="930"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46"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10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57"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10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57"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60"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0"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7.91</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15.87</w:t>
            </w: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15.87</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3"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7.91</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15.87</w:t>
            </w: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15.87</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0"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7"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406"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406"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406"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40"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396"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51322624R000010571692-乡镇工作补贴（行政）</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中共金川县委办公室</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1.32</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1.90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1.90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1.32</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1.90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1.90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51322624R000010574781-其他工资性支出</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中共金川县委办公室</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5.62</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5.62</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5.62</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5.62</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5.62</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5.62</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51322624R000011908631-退休人员建房补助</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中共金川县委办公室</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1523" w:type="dxa"/>
        <w:tblW w:w="11235"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1793"/>
        <w:gridCol w:w="2258"/>
        <w:gridCol w:w="1291"/>
        <w:gridCol w:w="1864"/>
        <w:gridCol w:w="324"/>
        <w:gridCol w:w="330"/>
        <w:gridCol w:w="585"/>
        <w:gridCol w:w="1055"/>
        <w:gridCol w:w="464"/>
        <w:gridCol w:w="464"/>
        <w:gridCol w:w="807"/>
      </w:tblGrid>
      <w:tr>
        <w:trPr>
          <w:trHeight w:val="474"/>
        </w:trPr>
        <w:tc>
          <w:tcPr>
            <w:tcW w:w="11235"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405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718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51322625Y000012345878-日常公用经费-新</w:t>
            </w:r>
          </w:p>
        </w:tc>
      </w:tr>
      <w:tr>
        <w:trPr>
          <w:trHeight w:val="512"/>
        </w:trPr>
        <w:tc>
          <w:tcPr>
            <w:tcW w:w="405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394"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1055"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中共金川县委办公室</w:t>
            </w:r>
          </w:p>
        </w:tc>
      </w:tr>
      <w:tr>
        <w:trPr>
          <w:trHeight w:val="286"/>
        </w:trPr>
        <w:tc>
          <w:tcPr>
            <w:tcW w:w="1793"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225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394"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790"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473"/>
        </w:trPr>
        <w:tc>
          <w:tcPr>
            <w:tcW w:w="179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5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394"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提高预算编制质量，严格执行预算，保障单位日常运转。</w:t>
            </w:r>
          </w:p>
        </w:tc>
        <w:tc>
          <w:tcPr>
            <w:tcW w:w="2790"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328"/>
        </w:trPr>
        <w:tc>
          <w:tcPr>
            <w:tcW w:w="179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5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718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1793"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225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12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8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239"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105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4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4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80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179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5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12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8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49.00</w:t>
            </w:r>
          </w:p>
        </w:tc>
        <w:tc>
          <w:tcPr>
            <w:tcW w:w="1239"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49.00</w:t>
            </w:r>
          </w:p>
        </w:tc>
        <w:tc>
          <w:tcPr>
            <w:tcW w:w="105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4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4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807"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179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5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12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8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49.00</w:t>
            </w:r>
          </w:p>
        </w:tc>
        <w:tc>
          <w:tcPr>
            <w:tcW w:w="1239"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49.00</w:t>
            </w:r>
          </w:p>
        </w:tc>
        <w:tc>
          <w:tcPr>
            <w:tcW w:w="105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4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4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80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179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5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12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8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239"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05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4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4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80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179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5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12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8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239"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05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4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4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80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179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5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12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8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239"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05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4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4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80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1793"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225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12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8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3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33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58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105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4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4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80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179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5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12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8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科目调整次数</w:t>
            </w:r>
          </w:p>
        </w:tc>
        <w:tc>
          <w:tcPr>
            <w:tcW w:w="3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w:t>
            </w:r>
          </w:p>
        </w:tc>
        <w:tc>
          <w:tcPr>
            <w:tcW w:w="58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次</w:t>
            </w:r>
          </w:p>
        </w:tc>
        <w:tc>
          <w:tcPr>
            <w:tcW w:w="105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4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w:t>
            </w:r>
          </w:p>
        </w:tc>
        <w:tc>
          <w:tcPr>
            <w:tcW w:w="4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w:t>
            </w:r>
          </w:p>
        </w:tc>
        <w:tc>
          <w:tcPr>
            <w:tcW w:w="80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678"/>
        </w:trPr>
        <w:tc>
          <w:tcPr>
            <w:tcW w:w="179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5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2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质量指标</w:t>
            </w:r>
          </w:p>
        </w:tc>
        <w:tc>
          <w:tcPr>
            <w:tcW w:w="18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预算编制准确率（计算方法为：∣（执行数-预算数）/预算数∣）</w:t>
            </w:r>
          </w:p>
        </w:tc>
        <w:tc>
          <w:tcPr>
            <w:tcW w:w="3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w:t>
            </w:r>
          </w:p>
        </w:tc>
        <w:tc>
          <w:tcPr>
            <w:tcW w:w="58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105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4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4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80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904"/>
        </w:trPr>
        <w:tc>
          <w:tcPr>
            <w:tcW w:w="179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5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12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经济效益指标</w:t>
            </w:r>
          </w:p>
        </w:tc>
        <w:tc>
          <w:tcPr>
            <w:tcW w:w="18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“三公经费”控制率[计算方法为：（三公经费实际支出数/预算安排数]×100%）</w:t>
            </w:r>
          </w:p>
        </w:tc>
        <w:tc>
          <w:tcPr>
            <w:tcW w:w="3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8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105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4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w:t>
            </w:r>
          </w:p>
        </w:tc>
        <w:tc>
          <w:tcPr>
            <w:tcW w:w="4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w:t>
            </w:r>
          </w:p>
        </w:tc>
        <w:tc>
          <w:tcPr>
            <w:tcW w:w="80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179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5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2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8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运转保障率</w:t>
            </w:r>
          </w:p>
        </w:tc>
        <w:tc>
          <w:tcPr>
            <w:tcW w:w="3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8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105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4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w:t>
            </w:r>
          </w:p>
        </w:tc>
        <w:tc>
          <w:tcPr>
            <w:tcW w:w="4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w:t>
            </w:r>
          </w:p>
        </w:tc>
        <w:tc>
          <w:tcPr>
            <w:tcW w:w="80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9500"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4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46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80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179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944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179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944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179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944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7530"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705"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1448" w:type="dxa"/>
        <w:tblW w:w="1131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1784"/>
        <w:gridCol w:w="2219"/>
        <w:gridCol w:w="1278"/>
        <w:gridCol w:w="1680"/>
        <w:gridCol w:w="349"/>
        <w:gridCol w:w="333"/>
        <w:gridCol w:w="607"/>
        <w:gridCol w:w="1380"/>
        <w:gridCol w:w="480"/>
        <w:gridCol w:w="510"/>
        <w:gridCol w:w="690"/>
      </w:tblGrid>
      <w:tr>
        <w:trPr>
          <w:trHeight w:val="534"/>
        </w:trPr>
        <w:tc>
          <w:tcPr>
            <w:tcW w:w="11310"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4003"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7307"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51000021Y000000011490-日常公用经费</w:t>
            </w:r>
          </w:p>
        </w:tc>
      </w:tr>
      <w:tr>
        <w:trPr>
          <w:trHeight w:val="512"/>
        </w:trPr>
        <w:tc>
          <w:tcPr>
            <w:tcW w:w="4003"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24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1380"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680"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金川县目标绩效事务中心</w:t>
            </w:r>
          </w:p>
        </w:tc>
      </w:tr>
      <w:tr>
        <w:trPr>
          <w:trHeight w:val="286"/>
        </w:trPr>
        <w:tc>
          <w:tcPr>
            <w:tcW w:w="178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221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24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3060"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443"/>
        </w:trPr>
        <w:tc>
          <w:tcPr>
            <w:tcW w:w="178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1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24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提高预算编制质量，严格执行预算，保障单位日常运转。</w:t>
            </w:r>
          </w:p>
        </w:tc>
        <w:tc>
          <w:tcPr>
            <w:tcW w:w="3060"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383"/>
        </w:trPr>
        <w:tc>
          <w:tcPr>
            <w:tcW w:w="178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1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7307"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178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221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127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6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289"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13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4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51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178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1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127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4.01</w:t>
            </w:r>
          </w:p>
        </w:tc>
        <w:tc>
          <w:tcPr>
            <w:tcW w:w="16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3.89</w:t>
            </w:r>
          </w:p>
        </w:tc>
        <w:tc>
          <w:tcPr>
            <w:tcW w:w="1289"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3.89</w:t>
            </w:r>
          </w:p>
        </w:tc>
        <w:tc>
          <w:tcPr>
            <w:tcW w:w="13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4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51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90"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178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1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127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4.01</w:t>
            </w:r>
          </w:p>
        </w:tc>
        <w:tc>
          <w:tcPr>
            <w:tcW w:w="16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3.89</w:t>
            </w:r>
          </w:p>
        </w:tc>
        <w:tc>
          <w:tcPr>
            <w:tcW w:w="1289"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3.89</w:t>
            </w:r>
          </w:p>
        </w:tc>
        <w:tc>
          <w:tcPr>
            <w:tcW w:w="13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4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1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9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178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1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127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6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289"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4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1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9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178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1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127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6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289"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4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1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9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178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1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127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6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289"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4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1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9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178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221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127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6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34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13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4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51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178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1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127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6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科目调整次数</w:t>
            </w:r>
          </w:p>
        </w:tc>
        <w:tc>
          <w:tcPr>
            <w:tcW w:w="34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w:t>
            </w:r>
          </w:p>
        </w:tc>
        <w:tc>
          <w:tcPr>
            <w:tcW w:w="60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次</w:t>
            </w:r>
          </w:p>
        </w:tc>
        <w:tc>
          <w:tcPr>
            <w:tcW w:w="13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4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w:t>
            </w:r>
          </w:p>
        </w:tc>
        <w:tc>
          <w:tcPr>
            <w:tcW w:w="51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w:t>
            </w:r>
          </w:p>
        </w:tc>
        <w:tc>
          <w:tcPr>
            <w:tcW w:w="6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678"/>
        </w:trPr>
        <w:tc>
          <w:tcPr>
            <w:tcW w:w="178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1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27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质量指标</w:t>
            </w:r>
          </w:p>
        </w:tc>
        <w:tc>
          <w:tcPr>
            <w:tcW w:w="16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预算编制准确率（计算方法为：∣（执行数-预算数）/预算数∣）</w:t>
            </w:r>
          </w:p>
        </w:tc>
        <w:tc>
          <w:tcPr>
            <w:tcW w:w="34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w:t>
            </w:r>
          </w:p>
        </w:tc>
        <w:tc>
          <w:tcPr>
            <w:tcW w:w="60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13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4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51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904"/>
        </w:trPr>
        <w:tc>
          <w:tcPr>
            <w:tcW w:w="178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1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127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经济效益指标</w:t>
            </w:r>
          </w:p>
        </w:tc>
        <w:tc>
          <w:tcPr>
            <w:tcW w:w="16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“三公经费”控制率[计算方法为：（三公经费实际支出数/预算安排数]×100%）</w:t>
            </w:r>
          </w:p>
        </w:tc>
        <w:tc>
          <w:tcPr>
            <w:tcW w:w="34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13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4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w:t>
            </w:r>
          </w:p>
        </w:tc>
        <w:tc>
          <w:tcPr>
            <w:tcW w:w="51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w:t>
            </w:r>
          </w:p>
        </w:tc>
        <w:tc>
          <w:tcPr>
            <w:tcW w:w="6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178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1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27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6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运转保障率</w:t>
            </w:r>
          </w:p>
        </w:tc>
        <w:tc>
          <w:tcPr>
            <w:tcW w:w="34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13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4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w:t>
            </w:r>
          </w:p>
        </w:tc>
        <w:tc>
          <w:tcPr>
            <w:tcW w:w="51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w:t>
            </w:r>
          </w:p>
        </w:tc>
        <w:tc>
          <w:tcPr>
            <w:tcW w:w="6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9630"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48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1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17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9526"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352"/>
        </w:trPr>
        <w:tc>
          <w:tcPr>
            <w:tcW w:w="17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9526"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473"/>
        </w:trPr>
        <w:tc>
          <w:tcPr>
            <w:tcW w:w="17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9526"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7310"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4000"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51322622R000000307567-其他社会保障缴费（工伤保险）</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金川县目标绩效事务中心</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0.08</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0.08</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0.08</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0.08</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0.08</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0.08</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51322622R000000307571-其他社会保障缴费（残疾人就业保障金）</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金川县目标绩效事务中心</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0.79</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0.79</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0.79</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0.79</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0.79</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0.79</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51322622R000000307882-住房公积金（职工）</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金川县目标绩效事务中心</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6.85</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6.49</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6.49</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6.85</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6.49</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6.49</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51322623R000007822512-机关事业单位基本养老保险缴费</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金川县目标绩效事务中心</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8.10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8.09</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8.09</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8.10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8.09</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8.09</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51322623R000007822795-职业年金缴费</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金川县目标绩效事务中心</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4.05</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4.04</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4.04</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4.05</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4.04</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4.04</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51322623R000007823104-职工基本医疗保险缴费</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金川县目标绩效事务中心</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4.00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3.95</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3.95</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4.00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3.95</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3.95</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51322623R000007823488-公务员医疗补助缴费</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金川县目标绩效事务中心</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0.87</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0.87</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0.87</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0.87</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0.87</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0.87</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both"/>
        <w:textAlignment w:val="center"/>
        <w:outlineLvl w:val="9"/>
        <w:rPr>
          <w:rFonts w:ascii="Times New Roman" w:eastAsia="方正小标宋简体" w:cs="Times New Roman" w:hAnsi="Times New Roman"/>
          <w:i w:val="0"/>
          <w:color w:val="000000"/>
          <w:kern w:val="0"/>
          <w:sz w:val="44"/>
          <w:szCs w:val="44"/>
          <w:u w:val="none"/>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51322623R000008940976-年度考核奖</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金川县目标绩效事务中心</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6.23</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6.23</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6.23</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6.23</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rPr>
          <w:rFonts w:hint="eastAsia"/>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24"/>
        <w:gridCol w:w="1037"/>
        <w:gridCol w:w="984"/>
        <w:gridCol w:w="1422"/>
        <w:gridCol w:w="591"/>
        <w:gridCol w:w="539"/>
        <w:gridCol w:w="591"/>
        <w:gridCol w:w="984"/>
        <w:gridCol w:w="332"/>
        <w:gridCol w:w="333"/>
        <w:gridCol w:w="599"/>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51322624R000010562265-在职在编人员基本工资</w:t>
            </w:r>
          </w:p>
        </w:tc>
      </w:tr>
      <w:tr>
        <w:trPr>
          <w:trHeight w:val="512"/>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84"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6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金川县目标绩效事务中心</w:t>
            </w:r>
          </w:p>
        </w:tc>
      </w:tr>
      <w:tr>
        <w:trPr>
          <w:trHeight w:val="286"/>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37"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15.55</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15.49</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15.49</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59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15.55</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15.49</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15.49</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7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5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378"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rPr>
          <w:rFonts w:hint="eastAsia"/>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78" w:lineRule="exact"/>
        <w:jc w:val="both"/>
        <w:textAlignment w:val="center"/>
        <w:outlineLvl w:val="9"/>
        <w:rPr>
          <w:rFonts w:ascii="Times New Roman" w:eastAsia="方正小标宋简体" w:cs="Times New Roman" w:hAnsi="Times New Roman"/>
          <w:i w:val="0"/>
          <w:color w:val="000000"/>
          <w:kern w:val="0"/>
          <w:sz w:val="44"/>
          <w:szCs w:val="44"/>
          <w:u w:val="none"/>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51322624R000010567592-年终一次性奖金（行政）</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金川县目标绩效事务中心</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1.30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1.30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1.30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1.30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1.30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1.30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both"/>
        <w:textAlignment w:val="center"/>
        <w:outlineLvl w:val="9"/>
        <w:rPr>
          <w:rFonts w:ascii="Times New Roman" w:eastAsia="方正小标宋简体" w:cs="Times New Roman" w:hAnsi="Times New Roman"/>
          <w:i w:val="0"/>
          <w:color w:val="000000"/>
          <w:kern w:val="0"/>
          <w:sz w:val="44"/>
          <w:szCs w:val="44"/>
          <w:u w:val="none"/>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24"/>
        <w:gridCol w:w="1037"/>
        <w:gridCol w:w="984"/>
        <w:gridCol w:w="1422"/>
        <w:gridCol w:w="591"/>
        <w:gridCol w:w="539"/>
        <w:gridCol w:w="591"/>
        <w:gridCol w:w="984"/>
        <w:gridCol w:w="332"/>
        <w:gridCol w:w="333"/>
        <w:gridCol w:w="599"/>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51322624R000010568356-公务员规范津贴补贴</w:t>
            </w:r>
          </w:p>
        </w:tc>
      </w:tr>
      <w:tr>
        <w:trPr>
          <w:trHeight w:val="512"/>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84"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6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金川县目标绩效事务中心</w:t>
            </w:r>
          </w:p>
        </w:tc>
      </w:tr>
      <w:tr>
        <w:trPr>
          <w:trHeight w:val="286"/>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37"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12.75</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12.29</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12.29</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59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12.75</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12.29</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12.29</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7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5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378"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both"/>
        <w:textAlignment w:val="center"/>
        <w:outlineLvl w:val="9"/>
        <w:rPr>
          <w:rFonts w:ascii="Times New Roman" w:eastAsia="方正小标宋简体" w:cs="Times New Roman" w:hAnsi="Times New Roman"/>
          <w:i w:val="0"/>
          <w:color w:val="000000"/>
          <w:kern w:val="0"/>
          <w:sz w:val="44"/>
          <w:szCs w:val="44"/>
          <w:u w:val="none"/>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24"/>
        <w:gridCol w:w="1037"/>
        <w:gridCol w:w="984"/>
        <w:gridCol w:w="1422"/>
        <w:gridCol w:w="591"/>
        <w:gridCol w:w="539"/>
        <w:gridCol w:w="591"/>
        <w:gridCol w:w="984"/>
        <w:gridCol w:w="332"/>
        <w:gridCol w:w="333"/>
        <w:gridCol w:w="599"/>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51322624R000010570295-基础绩效奖（行政）</w:t>
            </w:r>
          </w:p>
        </w:tc>
      </w:tr>
      <w:tr>
        <w:trPr>
          <w:trHeight w:val="512"/>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84"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6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金川县目标绩效事务中心</w:t>
            </w:r>
          </w:p>
        </w:tc>
      </w:tr>
      <w:tr>
        <w:trPr>
          <w:trHeight w:val="286"/>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37"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14.01</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13.32</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13.32</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59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14.01</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13.32</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13.32</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7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5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378"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rPr>
          <w:rFonts w:hint="eastAsia"/>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78" w:lineRule="exact"/>
        <w:jc w:val="both"/>
        <w:textAlignment w:val="center"/>
        <w:outlineLvl w:val="9"/>
        <w:rPr>
          <w:rFonts w:ascii="Times New Roman" w:eastAsia="方正小标宋简体" w:cs="Times New Roman" w:hAnsi="Times New Roman"/>
          <w:i w:val="0"/>
          <w:color w:val="000000"/>
          <w:kern w:val="0"/>
          <w:sz w:val="44"/>
          <w:szCs w:val="44"/>
          <w:u w:val="none"/>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51322624R000010571106-艰苦边远地区津贴</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金川县目标绩效事务中心</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5.89</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5.89</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5.89</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5.89</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5.89</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5.89</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rPr>
          <w:rFonts w:hint="eastAsia"/>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51322624R000010571424-高海拔地区折算工龄补贴</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金川县目标绩效事务中心</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0.86</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1.89</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1.89</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0.86</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1.89</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1.89</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both"/>
        <w:textAlignment w:val="center"/>
        <w:outlineLvl w:val="9"/>
        <w:rPr>
          <w:rFonts w:ascii="Times New Roman" w:eastAsia="方正小标宋简体" w:cs="Times New Roman" w:hAnsi="Times New Roman"/>
          <w:i w:val="0"/>
          <w:color w:val="000000"/>
          <w:kern w:val="0"/>
          <w:sz w:val="44"/>
          <w:szCs w:val="44"/>
          <w:u w:val="none"/>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51322624R000010574781-其他工资性支出</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金川县目标绩效事务中心</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0.27</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0.27</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0.27</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0.27</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0.27</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0.27</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both"/>
        <w:textAlignment w:val="center"/>
        <w:outlineLvl w:val="9"/>
        <w:rPr>
          <w:rFonts w:ascii="Times New Roman" w:eastAsia="方正小标宋简体" w:cs="Times New Roman" w:hAnsi="Times New Roman"/>
          <w:i w:val="0"/>
          <w:color w:val="000000"/>
          <w:kern w:val="0"/>
          <w:sz w:val="44"/>
          <w:szCs w:val="44"/>
          <w:u w:val="none"/>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1598" w:type="dxa"/>
        <w:tblW w:w="11445"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1679"/>
        <w:gridCol w:w="2249"/>
        <w:gridCol w:w="1503"/>
        <w:gridCol w:w="1696"/>
        <w:gridCol w:w="335"/>
        <w:gridCol w:w="334"/>
        <w:gridCol w:w="467"/>
        <w:gridCol w:w="601"/>
        <w:gridCol w:w="311"/>
        <w:gridCol w:w="311"/>
        <w:gridCol w:w="1959"/>
      </w:tblGrid>
      <w:tr>
        <w:trPr>
          <w:trHeight w:val="904"/>
        </w:trPr>
        <w:tc>
          <w:tcPr>
            <w:tcW w:w="11445"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3928"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7517"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51000021Y000000011490-日常公用经费</w:t>
            </w:r>
          </w:p>
        </w:tc>
      </w:tr>
      <w:tr>
        <w:trPr>
          <w:trHeight w:val="512"/>
        </w:trPr>
        <w:tc>
          <w:tcPr>
            <w:tcW w:w="3928"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335"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601"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258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金川县党政网管理中心</w:t>
            </w:r>
          </w:p>
        </w:tc>
      </w:tr>
      <w:tr>
        <w:trPr>
          <w:trHeight w:val="286"/>
        </w:trPr>
        <w:tc>
          <w:tcPr>
            <w:tcW w:w="167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224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335"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3182"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308"/>
        </w:trPr>
        <w:tc>
          <w:tcPr>
            <w:tcW w:w="167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4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335"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提高预算编制质量，严格执行预算，保障单位日常运转。</w:t>
            </w:r>
          </w:p>
        </w:tc>
        <w:tc>
          <w:tcPr>
            <w:tcW w:w="3182"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323"/>
        </w:trPr>
        <w:tc>
          <w:tcPr>
            <w:tcW w:w="167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4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7517"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167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224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15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6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136"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1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1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195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167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4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15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5.41</w:t>
            </w:r>
          </w:p>
        </w:tc>
        <w:tc>
          <w:tcPr>
            <w:tcW w:w="16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5.41</w:t>
            </w:r>
          </w:p>
        </w:tc>
        <w:tc>
          <w:tcPr>
            <w:tcW w:w="1136"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5.41</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1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1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195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167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4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15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5.41</w:t>
            </w:r>
          </w:p>
        </w:tc>
        <w:tc>
          <w:tcPr>
            <w:tcW w:w="16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5.41</w:t>
            </w:r>
          </w:p>
        </w:tc>
        <w:tc>
          <w:tcPr>
            <w:tcW w:w="1136"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5.41</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1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1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195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167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4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15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6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136"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1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1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195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167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4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15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6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136"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1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1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195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167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4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15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6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136"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1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1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195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167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224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15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6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3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33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46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1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1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195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167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4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15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6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科目调整次数</w:t>
            </w:r>
          </w:p>
        </w:tc>
        <w:tc>
          <w:tcPr>
            <w:tcW w:w="3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w:t>
            </w:r>
          </w:p>
        </w:tc>
        <w:tc>
          <w:tcPr>
            <w:tcW w:w="46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次</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1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w:t>
            </w:r>
          </w:p>
        </w:tc>
        <w:tc>
          <w:tcPr>
            <w:tcW w:w="31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w:t>
            </w:r>
          </w:p>
        </w:tc>
        <w:tc>
          <w:tcPr>
            <w:tcW w:w="195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678"/>
        </w:trPr>
        <w:tc>
          <w:tcPr>
            <w:tcW w:w="167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4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5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质量指标</w:t>
            </w:r>
          </w:p>
        </w:tc>
        <w:tc>
          <w:tcPr>
            <w:tcW w:w="16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预算编制准确率（计算方法为：∣（执行数-预算数）/预算数∣）</w:t>
            </w:r>
          </w:p>
        </w:tc>
        <w:tc>
          <w:tcPr>
            <w:tcW w:w="3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w:t>
            </w:r>
          </w:p>
        </w:tc>
        <w:tc>
          <w:tcPr>
            <w:tcW w:w="46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1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1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195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904"/>
        </w:trPr>
        <w:tc>
          <w:tcPr>
            <w:tcW w:w="167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4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15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经济效益指标</w:t>
            </w:r>
          </w:p>
        </w:tc>
        <w:tc>
          <w:tcPr>
            <w:tcW w:w="16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“三公经费”控制率[计算方法为：（三公经费实际支出数/预算安排数]×100%）</w:t>
            </w:r>
          </w:p>
        </w:tc>
        <w:tc>
          <w:tcPr>
            <w:tcW w:w="3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46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1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w:t>
            </w:r>
          </w:p>
        </w:tc>
        <w:tc>
          <w:tcPr>
            <w:tcW w:w="31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w:t>
            </w:r>
          </w:p>
        </w:tc>
        <w:tc>
          <w:tcPr>
            <w:tcW w:w="195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167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224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5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6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运转保障率</w:t>
            </w:r>
          </w:p>
        </w:tc>
        <w:tc>
          <w:tcPr>
            <w:tcW w:w="3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46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1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w:t>
            </w:r>
          </w:p>
        </w:tc>
        <w:tc>
          <w:tcPr>
            <w:tcW w:w="31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w:t>
            </w:r>
          </w:p>
        </w:tc>
        <w:tc>
          <w:tcPr>
            <w:tcW w:w="195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8864"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1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1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195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53"/>
        </w:trPr>
        <w:tc>
          <w:tcPr>
            <w:tcW w:w="167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9766"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277"/>
        </w:trPr>
        <w:tc>
          <w:tcPr>
            <w:tcW w:w="167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9766"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33"/>
        </w:trPr>
        <w:tc>
          <w:tcPr>
            <w:tcW w:w="167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9766"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7462"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98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51322622R000000307551-其他社会保障缴费（失业保险）</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金川县党政网管理中心</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0.50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0.47</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0.47</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0.50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0.47</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0.47</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51322622R000000307567-其他社会保障缴费（工伤保险）</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金川县党政网管理中心</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0.13</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0.12</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0.12</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0.13</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0.12</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0.12</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51322622R000000307571-其他社会保障缴费（残疾人就业保障金）</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金川县党政网管理中心</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1.31</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1.31</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1.31</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1.31</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1.31</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1.31</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24"/>
        <w:gridCol w:w="1037"/>
        <w:gridCol w:w="984"/>
        <w:gridCol w:w="1422"/>
        <w:gridCol w:w="591"/>
        <w:gridCol w:w="539"/>
        <w:gridCol w:w="591"/>
        <w:gridCol w:w="984"/>
        <w:gridCol w:w="332"/>
        <w:gridCol w:w="333"/>
        <w:gridCol w:w="599"/>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51322622R000000307882-住房公积金（职工）</w:t>
            </w:r>
          </w:p>
        </w:tc>
      </w:tr>
      <w:tr>
        <w:trPr>
          <w:trHeight w:val="512"/>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84"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6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金川县党政网管理中心</w:t>
            </w:r>
          </w:p>
        </w:tc>
      </w:tr>
      <w:tr>
        <w:trPr>
          <w:trHeight w:val="286"/>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37"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11.45</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10.39</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10.39</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59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11.45</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10.39</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10.39</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7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5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378"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rPr>
          <w:rFonts w:hint="eastAsia"/>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24"/>
        <w:gridCol w:w="1037"/>
        <w:gridCol w:w="984"/>
        <w:gridCol w:w="1422"/>
        <w:gridCol w:w="591"/>
        <w:gridCol w:w="539"/>
        <w:gridCol w:w="591"/>
        <w:gridCol w:w="984"/>
        <w:gridCol w:w="332"/>
        <w:gridCol w:w="333"/>
        <w:gridCol w:w="599"/>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51322623R000007822512-机关事业单位基本养老保险缴费</w:t>
            </w:r>
          </w:p>
        </w:tc>
      </w:tr>
      <w:tr>
        <w:trPr>
          <w:trHeight w:val="512"/>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84"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6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金川县党政网管理中心</w:t>
            </w:r>
          </w:p>
        </w:tc>
      </w:tr>
      <w:tr>
        <w:trPr>
          <w:trHeight w:val="286"/>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37"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13.46</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12.49</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12.49</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59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13.46</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12.49</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12.49</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7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5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378"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rPr>
          <w:rFonts w:hint="eastAsia"/>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51322623R000007822795-职业年金缴费</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金川县党政网管理中心</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6.73</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6.24</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6.24</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6.73</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6.24</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6.24</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51322623R000007823104-职工基本医疗保险缴费</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金川县党政网管理中心</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6.68</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6.34</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6.34</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6.68</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6.34</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6.34</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51322623R000007823488-公务员医疗补助缴费</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金川县党政网管理中心</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1.51</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1.46</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1.46</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1.51</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1.46</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1.46</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0"/>
        <w:gridCol w:w="1046"/>
        <w:gridCol w:w="933"/>
        <w:gridCol w:w="1435"/>
        <w:gridCol w:w="596"/>
        <w:gridCol w:w="543"/>
        <w:gridCol w:w="596"/>
        <w:gridCol w:w="988"/>
        <w:gridCol w:w="333"/>
        <w:gridCol w:w="333"/>
        <w:gridCol w:w="603"/>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76"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60"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51322623R000008940976-年度考核奖</w:t>
            </w:r>
          </w:p>
        </w:tc>
      </w:tr>
      <w:tr>
        <w:trPr>
          <w:trHeight w:val="512"/>
        </w:trPr>
        <w:tc>
          <w:tcPr>
            <w:tcW w:w="1976"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10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88"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69"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金川县党政网管理中心</w:t>
            </w:r>
          </w:p>
        </w:tc>
      </w:tr>
      <w:tr>
        <w:trPr>
          <w:trHeight w:val="286"/>
        </w:trPr>
        <w:tc>
          <w:tcPr>
            <w:tcW w:w="930"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46"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10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57"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10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57"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60"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0"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11.56</w:t>
            </w: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11.56</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3"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11.56</w:t>
            </w: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11.56</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0"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0"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43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7"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406"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406"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406"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40"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396"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rPr>
          <w:rFonts w:hint="eastAsia"/>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pStyle w:val="15"/>
        <w:jc w:val="center"/>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24"/>
        <w:gridCol w:w="1037"/>
        <w:gridCol w:w="984"/>
        <w:gridCol w:w="1422"/>
        <w:gridCol w:w="591"/>
        <w:gridCol w:w="539"/>
        <w:gridCol w:w="591"/>
        <w:gridCol w:w="984"/>
        <w:gridCol w:w="332"/>
        <w:gridCol w:w="333"/>
        <w:gridCol w:w="599"/>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51322624R000010562265-在职在编人员基本工资</w:t>
            </w:r>
          </w:p>
        </w:tc>
      </w:tr>
      <w:tr>
        <w:trPr>
          <w:trHeight w:val="512"/>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84"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6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金川县党政网管理中心</w:t>
            </w:r>
          </w:p>
        </w:tc>
      </w:tr>
      <w:tr>
        <w:trPr>
          <w:trHeight w:val="286"/>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37"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23.90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23.01</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23.01</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59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23.90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23.01</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23.01</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7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5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378"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24"/>
        <w:gridCol w:w="1037"/>
        <w:gridCol w:w="984"/>
        <w:gridCol w:w="1422"/>
        <w:gridCol w:w="591"/>
        <w:gridCol w:w="539"/>
        <w:gridCol w:w="591"/>
        <w:gridCol w:w="984"/>
        <w:gridCol w:w="332"/>
        <w:gridCol w:w="333"/>
        <w:gridCol w:w="599"/>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51322624R000010570025-事业单位绩效工资</w:t>
            </w:r>
          </w:p>
        </w:tc>
      </w:tr>
      <w:tr>
        <w:trPr>
          <w:trHeight w:val="512"/>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84"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6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金川县党政网管理中心</w:t>
            </w:r>
          </w:p>
        </w:tc>
      </w:tr>
      <w:tr>
        <w:trPr>
          <w:trHeight w:val="286"/>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37"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21.05</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19.81</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19.81</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59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21.05</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19.81</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19.81</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7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5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378"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rPr>
          <w:rFonts w:hint="eastAsia"/>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24"/>
        <w:gridCol w:w="1037"/>
        <w:gridCol w:w="984"/>
        <w:gridCol w:w="1422"/>
        <w:gridCol w:w="591"/>
        <w:gridCol w:w="539"/>
        <w:gridCol w:w="591"/>
        <w:gridCol w:w="984"/>
        <w:gridCol w:w="332"/>
        <w:gridCol w:w="333"/>
        <w:gridCol w:w="599"/>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51322624R000010570573-基础绩效奖（事业）</w:t>
            </w:r>
          </w:p>
        </w:tc>
      </w:tr>
      <w:tr>
        <w:trPr>
          <w:trHeight w:val="512"/>
        </w:trPr>
        <w:tc>
          <w:tcPr>
            <w:tcW w:w="1961"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84"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6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金川县党政网管理中心</w:t>
            </w:r>
          </w:p>
        </w:tc>
      </w:tr>
      <w:tr>
        <w:trPr>
          <w:trHeight w:val="286"/>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37"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127"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48"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75"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21.89</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20.31</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20.31</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599"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21.89</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20.31</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20.31</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99"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2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2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3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42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3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7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9"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2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412"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5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378"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51322624R000010570840-年终一次性奖金（事业）</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金川县党政网管理中心</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1.99</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1.99</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1.99</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1.99</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1.99</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1.99</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1"/>
        <w:gridCol w:w="1046"/>
        <w:gridCol w:w="990"/>
        <w:gridCol w:w="1377"/>
        <w:gridCol w:w="596"/>
        <w:gridCol w:w="543"/>
        <w:gridCol w:w="596"/>
        <w:gridCol w:w="988"/>
        <w:gridCol w:w="333"/>
        <w:gridCol w:w="333"/>
        <w:gridCol w:w="603"/>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77"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59"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51322624R000010571106-艰苦边远地区津贴</w:t>
            </w:r>
          </w:p>
        </w:tc>
      </w:tr>
      <w:tr>
        <w:trPr>
          <w:trHeight w:val="512"/>
        </w:trPr>
        <w:tc>
          <w:tcPr>
            <w:tcW w:w="1977"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102"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88"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69"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金川县党政网管理中心</w:t>
            </w:r>
          </w:p>
        </w:tc>
      </w:tr>
      <w:tr>
        <w:trPr>
          <w:trHeight w:val="286"/>
        </w:trPr>
        <w:tc>
          <w:tcPr>
            <w:tcW w:w="931"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46"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102"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57"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1"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102"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57"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1"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59"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1"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7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1"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10.52</w:t>
            </w:r>
          </w:p>
        </w:tc>
        <w:tc>
          <w:tcPr>
            <w:tcW w:w="137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8.05</w:t>
            </w: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8.05</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3"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1"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10.52</w:t>
            </w:r>
          </w:p>
        </w:tc>
        <w:tc>
          <w:tcPr>
            <w:tcW w:w="137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8.05</w:t>
            </w: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8.05</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1"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7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1"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7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1"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7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35"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3"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1"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7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1"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7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1"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77"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59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8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7"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405"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405"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405"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40"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396"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51322624R000010571424-高海拔地区折算工龄补贴</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金川县党政网管理中心</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1.40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2.69</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2.69</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1.40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2.69</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2.69</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51322624R000010571962-乡镇工作补贴（事业）</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金川县党政网管理中心</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2.16</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2.16</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2.16</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2.16</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2.16</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2.16</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bidi="ar-SA"/>
        </w:rPr>
      </w:pPr>
      <w:r>
        <w:rPr>
          <w:rFonts w:ascii="Times New Roman" w:eastAsia="方正小标宋简体" w:cs="Times New Roman" w:hAnsi="Times New Roman"/>
          <w:i w:val="0"/>
          <w:color w:val="000000"/>
          <w:kern w:val="0"/>
          <w:sz w:val="44"/>
          <w:szCs w:val="44"/>
          <w:u w:val="none"/>
          <w:lang w:val="en-US" w:eastAsia="zh-CN" w:bidi="ar-SA"/>
        </w:rPr>
        <w:t>部门预算项目支出绩效评价表</w:t>
      </w: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32"/>
          <w:szCs w:val="32"/>
          <w:u w:val="none"/>
          <w:lang w:val="en-US" w:eastAsia="zh-CN" w:bidi="ar-SA"/>
        </w:rPr>
      </w:pPr>
      <w:r>
        <w:rPr>
          <w:rFonts w:ascii="Times New Roman" w:eastAsia="方正小标宋简体" w:cs="Times New Roman" w:hAnsi="Times New Roman"/>
          <w:i w:val="0"/>
          <w:color w:val="000000"/>
          <w:kern w:val="0"/>
          <w:sz w:val="32"/>
          <w:szCs w:val="32"/>
          <w:u w:val="none"/>
          <w:lang w:val="en-US" w:eastAsia="zh-CN" w:bidi="ar-SA"/>
        </w:rPr>
        <w:t>（2024年度）</w:t>
      </w:r>
    </w:p>
    <w:tbl>
      <w:tblPr>
        <w:jc w:val="left"/>
        <w:tblInd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938"/>
        <w:gridCol w:w="1054"/>
        <w:gridCol w:w="940"/>
        <w:gridCol w:w="1390"/>
        <w:gridCol w:w="601"/>
        <w:gridCol w:w="546"/>
        <w:gridCol w:w="601"/>
        <w:gridCol w:w="992"/>
        <w:gridCol w:w="333"/>
        <w:gridCol w:w="333"/>
        <w:gridCol w:w="608"/>
      </w:tblGrid>
      <w:tr>
        <w:trPr>
          <w:trHeight w:val="904"/>
        </w:trPr>
        <w:tc>
          <w:tcPr>
            <w:tcW w:w="8336" w:type="dxa"/>
            <w:gridSpan w:val="11"/>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b/>
                <w:i w:val="0"/>
                <w:color w:val="000000"/>
                <w:sz w:val="30"/>
                <w:szCs w:val="30"/>
                <w:u w:val="none"/>
              </w:rPr>
            </w:pPr>
            <w:r>
              <w:rPr>
                <w:rFonts w:ascii="黑体" w:eastAsia="黑体" w:cs="黑体" w:hint="eastAsia"/>
                <w:b/>
                <w:i w:val="0"/>
                <w:color w:val="000000"/>
                <w:kern w:val="0"/>
                <w:sz w:val="30"/>
                <w:szCs w:val="30"/>
                <w:u w:val="none"/>
                <w:bdr w:val="none" w:sz="0" w:space="0" w:color="auto"/>
                <w:lang w:val="en-US" w:eastAsia="zh-CN" w:bidi="ar-SA"/>
              </w:rPr>
              <w:t>部门预算项目支出绩效自评表（2024年度）</w:t>
            </w:r>
          </w:p>
        </w:tc>
      </w:tr>
      <w:tr>
        <w:trPr>
          <w:trHeight w:val="286"/>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项目名称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51322624R000010574781-其他工资性支出</w:t>
            </w:r>
          </w:p>
        </w:tc>
      </w:tr>
      <w:tr>
        <w:trPr>
          <w:trHeight w:val="512"/>
        </w:trPr>
        <w:tc>
          <w:tcPr>
            <w:tcW w:w="1992" w:type="dxa"/>
            <w:gridSpan w:val="2"/>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主管部门</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中共金川县委</w:t>
            </w:r>
          </w:p>
        </w:tc>
        <w:tc>
          <w:tcPr>
            <w:tcW w:w="992" w:type="dxa"/>
            <w:tcBorders>
              <w:top w:val="nil"/>
              <w:left w:val="nil"/>
              <w:bottom w:val="nil"/>
              <w:right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实施单位 （盖章）</w:t>
            </w:r>
          </w:p>
        </w:tc>
        <w:tc>
          <w:tcPr>
            <w:tcW w:w="1274"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金川县党政网管理中心</w:t>
            </w:r>
          </w:p>
        </w:tc>
      </w:tr>
      <w:tr>
        <w:trPr>
          <w:trHeight w:val="286"/>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项目基本情况</w:t>
            </w:r>
          </w:p>
        </w:tc>
        <w:tc>
          <w:tcPr>
            <w:tcW w:w="1054"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1.项目年度目标完成情况</w:t>
            </w: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项目年度目标</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年度目标完成情况</w:t>
            </w:r>
          </w:p>
        </w:tc>
      </w:tr>
      <w:tr>
        <w:trPr>
          <w:trHeight w:val="708"/>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4078"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严格执行相关政策，保障工资及时、足额发放或社保及时、足额缴纳，预算编制科学合理，减少结余资金。</w:t>
            </w:r>
          </w:p>
        </w:tc>
        <w:tc>
          <w:tcPr>
            <w:tcW w:w="2266" w:type="dxa"/>
            <w:gridSpan w:val="4"/>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年度目标已完成</w:t>
            </w:r>
          </w:p>
        </w:tc>
      </w:tr>
      <w:tr>
        <w:trPr>
          <w:trHeight w:val="693"/>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2.项目实施内容及过程概述</w:t>
            </w:r>
          </w:p>
        </w:tc>
        <w:tc>
          <w:tcPr>
            <w:tcW w:w="6344" w:type="dxa"/>
            <w:gridSpan w:val="9"/>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361"/>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预算执行情况（10分）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年度预算数（万元）</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年初预算</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调整后预算数</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预算执行率</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原因</w:t>
            </w:r>
          </w:p>
        </w:tc>
      </w:tr>
      <w:tr>
        <w:trPr>
          <w:trHeight w:val="346"/>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总额</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1.20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1.20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1.20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w:t>
            </w:r>
          </w:p>
        </w:tc>
        <w:tc>
          <w:tcPr>
            <w:tcW w:w="60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黑体" w:eastAsia="黑体" w:cs="黑体" w:hint="eastAsia"/>
                <w:i/>
                <w:color w:val="000000"/>
                <w:sz w:val="18"/>
                <w:szCs w:val="18"/>
                <w:u w:val="none"/>
              </w:rPr>
            </w:pPr>
          </w:p>
        </w:tc>
      </w:tr>
      <w:tr>
        <w:trPr>
          <w:trHeight w:val="39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其中：财政资金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1.20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1.20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1.20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07"/>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财政专户管理资金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61"/>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单位资金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0.00%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其他资金</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1748" w:type="dxa"/>
            <w:gridSpan w:val="3"/>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60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r>
      <w:tr>
        <w:trPr>
          <w:trHeight w:val="452"/>
        </w:trPr>
        <w:tc>
          <w:tcPr>
            <w:tcW w:w="938" w:type="dxa"/>
            <w:vMerge w:val="restart"/>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绩效指标（90分）</w:t>
            </w: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一级指标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二级指标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三级指标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指标性质</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指标值</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度量单位</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完成值</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权重</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得分</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未完成原因分析</w:t>
            </w: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产出指标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数量指标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发放（缴纳）覆盖率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60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339"/>
        </w:trPr>
        <w:tc>
          <w:tcPr>
            <w:tcW w:w="938" w:type="dxa"/>
            <w:vMerge/>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效益指标</w:t>
            </w:r>
          </w:p>
        </w:tc>
        <w:tc>
          <w:tcPr>
            <w:tcW w:w="94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社会效益指标</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足额保障率（参保率）</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546"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1"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30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jc w:val="center"/>
              <w:rPr>
                <w:rFonts w:ascii="微软雅黑" w:eastAsia="微软雅黑" w:cs="微软雅黑" w:hint="eastAsia"/>
                <w:i/>
                <w:color w:val="000000"/>
                <w:sz w:val="16"/>
                <w:szCs w:val="16"/>
                <w:u w:val="none"/>
              </w:rPr>
            </w:pPr>
          </w:p>
        </w:tc>
      </w:tr>
      <w:tr>
        <w:trPr>
          <w:trHeight w:val="286"/>
        </w:trPr>
        <w:tc>
          <w:tcPr>
            <w:tcW w:w="7062" w:type="dxa"/>
            <w:gridSpan w:val="8"/>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合计</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333"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100</w:t>
            </w:r>
          </w:p>
        </w:tc>
        <w:tc>
          <w:tcPr>
            <w:tcW w:w="60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宋体" w:eastAsia="宋体" w:cs="宋体" w:hint="eastAsia"/>
                <w:i w:val="0"/>
                <w:color w:val="000000"/>
                <w:sz w:val="18"/>
                <w:szCs w:val="18"/>
                <w:u w:val="none"/>
              </w:rPr>
            </w:pPr>
          </w:p>
        </w:tc>
      </w:tr>
      <w:tr>
        <w:trPr>
          <w:trHeight w:val="60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评价结论</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微软雅黑" w:eastAsia="微软雅黑" w:cs="微软雅黑" w:hint="eastAsia"/>
                <w:i/>
                <w:color w:val="000000"/>
                <w:sz w:val="16"/>
                <w:szCs w:val="16"/>
                <w:u w:val="none"/>
              </w:rPr>
            </w:pPr>
            <w:r>
              <w:rPr>
                <w:rFonts w:ascii="微软雅黑" w:eastAsia="微软雅黑" w:cs="微软雅黑" w:hint="eastAsia"/>
                <w:i/>
                <w:color w:val="000000"/>
                <w:kern w:val="0"/>
                <w:sz w:val="16"/>
                <w:szCs w:val="16"/>
                <w:u w:val="none"/>
                <w:bdr w:val="none" w:sz="0" w:space="0" w:color="auto"/>
                <w:lang w:val="en-US" w:eastAsia="zh-CN" w:bidi="ar-SA"/>
              </w:rPr>
              <w:t>优</w:t>
            </w:r>
          </w:p>
        </w:tc>
      </w:tr>
      <w:tr>
        <w:trPr>
          <w:trHeight w:val="572"/>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存在问题</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633"/>
        </w:trPr>
        <w:tc>
          <w:tcPr>
            <w:tcW w:w="938"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bidi="ar-SA"/>
              </w:rPr>
              <w:t>改进措施</w:t>
            </w:r>
          </w:p>
        </w:tc>
        <w:tc>
          <w:tcPr>
            <w:tcW w:w="7398" w:type="dxa"/>
            <w:gridSpan w:val="10"/>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rPr>
                <w:rFonts w:ascii="微软雅黑" w:eastAsia="微软雅黑" w:cs="微软雅黑" w:hint="eastAsia"/>
                <w:i/>
                <w:color w:val="000000"/>
                <w:sz w:val="16"/>
                <w:szCs w:val="16"/>
                <w:u w:val="none"/>
              </w:rPr>
            </w:pPr>
          </w:p>
        </w:tc>
      </w:tr>
      <w:tr>
        <w:trPr>
          <w:trHeight w:val="286"/>
        </w:trPr>
        <w:tc>
          <w:tcPr>
            <w:tcW w:w="4923" w:type="dxa"/>
            <w:gridSpan w:val="5"/>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项目负责人：王道国</w:t>
            </w:r>
          </w:p>
        </w:tc>
        <w:tc>
          <w:tcPr>
            <w:tcW w:w="3413" w:type="dxa"/>
            <w:gridSpan w:val="6"/>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pPr>
              <w:keepNext w:val="0"/>
              <w:keepLines w:val="0"/>
              <w:widowControl/>
              <w:suppressLineNumbers w:val="0"/>
              <w:jc w:val="left"/>
              <w:textAlignment w:val="center"/>
              <w:rPr>
                <w:rFonts w:ascii="黑体" w:eastAsia="黑体" w:cs="黑体" w:hint="eastAsia"/>
                <w:i w:val="0"/>
                <w:color w:val="000000"/>
                <w:sz w:val="18"/>
                <w:szCs w:val="18"/>
                <w:u w:val="none"/>
              </w:rPr>
            </w:pPr>
            <w:r>
              <w:rPr>
                <w:rFonts w:ascii="黑体" w:eastAsia="黑体" w:cs="黑体" w:hint="eastAsia"/>
                <w:i w:val="0"/>
                <w:color w:val="000000"/>
                <w:kern w:val="0"/>
                <w:sz w:val="18"/>
                <w:szCs w:val="18"/>
                <w:u w:val="none"/>
                <w:bdr w:val="none" w:sz="0" w:space="0" w:color="auto"/>
                <w:lang w:val="en-US" w:eastAsia="zh-CN" w:bidi="ar-SA"/>
              </w:rPr>
              <w:t>财务负责人：张虹</w:t>
            </w:r>
          </w:p>
        </w:tc>
      </w:tr>
    </w:tbl>
    <w:p>
      <w:pPr>
        <w:pStyle w:val="16"/>
        <w:rPr>
          <w:rFonts w:ascii="Times New Roman" w:eastAsia="仿宋_GB2312" w:cs="Times New Roman" w:hAnsi="Times New Roman"/>
          <w:bCs/>
          <w:kern w:val="0"/>
          <w:sz w:val="32"/>
          <w:szCs w:val="32"/>
          <w:shd w:val="clear" w:color="auto" w:fill="FFFFFF"/>
          <w:lang w:val="zh-CN"/>
        </w:rPr>
      </w:pPr>
    </w:p>
    <w:p>
      <w:pPr>
        <w:pStyle w:val="16"/>
        <w:rPr>
          <w:rFonts w:ascii="Times New Roman" w:eastAsia="黑体" w:cs="黑体" w:hAnsi="Times New Roman" w:hint="eastAsia"/>
          <w:color w:val="auto"/>
          <w:sz w:val="32"/>
          <w:szCs w:val="32"/>
          <w:lang w:val="en-US" w:eastAsia="zh-CN"/>
          <w:highlight w:val="auto"/>
        </w:rPr>
      </w:pPr>
      <w:r>
        <w:rPr>
          <w:rFonts w:ascii="Times New Roman" w:eastAsia="黑体" w:cs="黑体" w:hAnsi="Times New Roman" w:hint="eastAsia"/>
          <w:color w:val="auto"/>
          <w:kern w:val="0"/>
          <w:sz w:val="32"/>
          <w:szCs w:val="32"/>
          <w:shd w:val="clear" w:color="auto" w:fill="FFFFFF"/>
          <w:lang w:val="zh-CN"/>
          <w:highlight w:val="auto"/>
        </w:rPr>
        <w:t>附件</w:t>
      </w:r>
      <w:r>
        <w:rPr>
          <w:rFonts w:ascii="Times New Roman" w:eastAsia="黑体" w:cs="黑体" w:hAnsi="Times New Roman" w:hint="eastAsia"/>
          <w:color w:val="auto"/>
          <w:kern w:val="0"/>
          <w:sz w:val="32"/>
          <w:szCs w:val="32"/>
          <w:shd w:val="clear" w:color="auto" w:fill="FFFFFF"/>
          <w:lang w:val="en-US" w:eastAsia="zh-CN"/>
          <w:highlight w:val="auto"/>
        </w:rPr>
        <w:t>2</w:t>
      </w:r>
    </w:p>
    <w:p>
      <w:pPr>
        <w:pStyle w:val="36"/>
        <w:keepNext w:val="0"/>
        <w:keepLines w:val="0"/>
        <w:pageBreakBefore w:val="0"/>
        <w:widowControl w:val="0"/>
        <w:kinsoku/>
        <w:wordWrap/>
        <w:overflowPunct/>
        <w:topLinePunct w:val="0"/>
        <w:autoSpaceDE/>
        <w:autoSpaceDN/>
        <w:bidi w:val="0"/>
        <w:spacing w:line="578" w:lineRule="exact"/>
        <w:ind w:left="0"/>
        <w:jc w:val="both"/>
        <w:textAlignment w:val="auto"/>
        <w:rPr>
          <w:rFonts w:ascii="Times New Roman" w:eastAsia="方正小标宋简体" w:cs="Times New Roman" w:hAnsi="Times New Roman"/>
          <w:color w:val="auto"/>
          <w:kern w:val="2"/>
          <w:sz w:val="44"/>
          <w:szCs w:val="44"/>
          <w:lang w:val="en-US" w:eastAsia="zh-CN"/>
          <w:highlight w:val="auto"/>
        </w:rPr>
      </w:pPr>
    </w:p>
    <w:p>
      <w:pPr>
        <w:pStyle w:val="36"/>
        <w:keepNext w:val="0"/>
        <w:keepLines w:val="0"/>
        <w:pageBreakBefore w:val="0"/>
        <w:widowControl w:val="0"/>
        <w:kinsoku/>
        <w:wordWrap/>
        <w:overflowPunct/>
        <w:topLinePunct w:val="0"/>
        <w:autoSpaceDE/>
        <w:autoSpaceDN/>
        <w:bidi w:val="0"/>
        <w:spacing w:line="578" w:lineRule="exact"/>
        <w:ind w:left="0"/>
        <w:jc w:val="center"/>
        <w:textAlignment w:val="auto"/>
        <w:rPr>
          <w:rFonts w:ascii="Times New Roman" w:eastAsia="方正小标宋简体" w:cs="Times New Roman" w:hAnsi="Times New Roman"/>
          <w:color w:val="auto"/>
          <w:kern w:val="2"/>
          <w:sz w:val="44"/>
          <w:szCs w:val="44"/>
          <w:lang w:val="en-US" w:eastAsia="zh-CN"/>
          <w:highlight w:val="auto"/>
        </w:rPr>
      </w:pPr>
      <w:r>
        <w:rPr>
          <w:rFonts w:ascii="Times New Roman" w:eastAsia="方正小标宋简体" w:cs="Times New Roman" w:hAnsi="Times New Roman"/>
          <w:color w:val="auto"/>
          <w:kern w:val="2"/>
          <w:sz w:val="44"/>
          <w:szCs w:val="44"/>
          <w:lang w:val="en-US" w:eastAsia="zh-CN"/>
          <w:highlight w:val="auto"/>
        </w:rPr>
        <w:t>专项预算绩效自评报告</w:t>
      </w:r>
    </w:p>
    <w:p>
      <w:pPr>
        <w:pStyle w:val="36"/>
        <w:keepNext w:val="0"/>
        <w:keepLines w:val="0"/>
        <w:pageBreakBefore w:val="0"/>
        <w:widowControl w:val="0"/>
        <w:kinsoku/>
        <w:wordWrap/>
        <w:overflowPunct/>
        <w:topLinePunct w:val="0"/>
        <w:autoSpaceDE/>
        <w:autoSpaceDN/>
        <w:bidi w:val="0"/>
        <w:spacing w:line="578" w:lineRule="exact"/>
        <w:ind w:left="0" w:firstLine="640"/>
        <w:jc w:val="center"/>
        <w:textAlignment w:val="auto"/>
        <w:rPr>
          <w:rFonts w:ascii="Times New Roman" w:cs="Times New Roman" w:hAnsi="Times New Roman"/>
          <w:color w:val="auto"/>
          <w:kern w:val="2"/>
          <w:sz w:val="32"/>
          <w:szCs w:val="32"/>
          <w:highlight w:val="auto"/>
        </w:rPr>
      </w:pPr>
    </w:p>
    <w:p>
      <w:pPr>
        <w:keepNext w:val="0"/>
        <w:keepLines w:val="0"/>
        <w:pageBreakBefore w:val="0"/>
        <w:widowControl w:val="0"/>
        <w:kinsoku/>
        <w:wordWrap/>
        <w:overflowPunct/>
        <w:topLinePunct w:val="0"/>
        <w:autoSpaceDE/>
        <w:autoSpaceDN/>
        <w:bidi w:val="0"/>
        <w:adjustRightInd w:val="0"/>
        <w:snapToGrid w:val="0"/>
        <w:spacing w:line="578" w:lineRule="exact"/>
        <w:ind w:firstLineChars="200" w:firstLine="640"/>
        <w:textAlignment w:val="auto"/>
        <w:rPr>
          <w:rFonts w:ascii="Times New Roman" w:eastAsia="黑体" w:hAnsi="Times New Roman"/>
          <w:sz w:val="32"/>
          <w:szCs w:val="32"/>
          <w:lang w:val="zh-CN"/>
          <w:highlight w:val="auto"/>
        </w:rPr>
      </w:pPr>
      <w:r>
        <w:rPr>
          <w:rFonts w:ascii="Times New Roman" w:eastAsia="黑体" w:hAnsi="Times New Roman" w:hint="eastAsia"/>
          <w:sz w:val="32"/>
          <w:szCs w:val="32"/>
          <w:highlight w:val="auto"/>
        </w:rPr>
        <w:t>一、</w:t>
      </w:r>
      <w:r>
        <w:rPr>
          <w:rFonts w:ascii="Times New Roman" w:eastAsia="黑体" w:hAnsi="Times New Roman" w:hint="eastAsia"/>
          <w:sz w:val="32"/>
          <w:szCs w:val="32"/>
          <w:lang w:val="zh-CN"/>
          <w:highlight w:val="auto"/>
        </w:rPr>
        <w:t>项目概况</w:t>
      </w:r>
    </w:p>
    <w:p>
      <w:pPr>
        <w:pBdr>
          <w:bottom w:val="single" w:sz="4" w:space="29" w:color="FFFFFF"/>
        </w:pBdr>
        <w:tabs>
          <w:tab w:val="left" w:pos="1440"/>
        </w:tabs>
        <w:spacing w:line="576" w:lineRule="exact"/>
        <w:ind w:left="0" w:firstLineChars="200" w:firstLine="640"/>
        <w:rPr>
          <w:rFonts w:ascii="Times New Roman" w:eastAsia="楷体_GB2312" w:hAnsi="Times New Roman"/>
          <w:b/>
          <w:color w:val="auto"/>
          <w:sz w:val="32"/>
          <w:szCs w:val="32"/>
          <w:u w:val="none"/>
          <w:lang w:val="zh-CN"/>
          <w:highlight w:val="auto"/>
        </w:rPr>
      </w:pPr>
    </w:p>
    <w:p>
      <w:pPr>
        <w:pBdr>
          <w:bottom w:val="single" w:sz="4" w:space="29" w:color="FFFFFF"/>
        </w:pBdr>
        <w:tabs>
          <w:tab w:val="left" w:pos="1440"/>
        </w:tabs>
        <w:spacing w:line="576" w:lineRule="exact"/>
        <w:ind w:left="0" w:firstLineChars="200" w:firstLine="640"/>
        <w:rPr>
          <w:rFonts w:ascii="Times New Roman" w:eastAsia="楷体_GB2312" w:hAnsi="Times New Roman"/>
          <w:b/>
          <w:color w:val="auto"/>
          <w:sz w:val="32"/>
          <w:szCs w:val="32"/>
          <w:u w:val="none"/>
          <w:lang w:val="zh-CN"/>
          <w:highlight w:val="auto"/>
        </w:rPr>
      </w:pPr>
    </w:p>
    <w:p>
      <w:pPr>
        <w:pBdr>
          <w:bottom w:val="single" w:sz="4" w:space="29" w:color="FFFFFF"/>
        </w:pBdr>
        <w:tabs>
          <w:tab w:val="left" w:pos="1440"/>
        </w:tabs>
        <w:spacing w:line="576" w:lineRule="exact"/>
        <w:ind w:left="0" w:firstLineChars="200" w:firstLine="640"/>
        <w:rPr>
          <w:rFonts w:ascii="Times New Roman" w:eastAsia="楷体_GB2312" w:hAnsi="Times New Roman"/>
          <w:b/>
          <w:color w:val="auto"/>
          <w:sz w:val="32"/>
          <w:szCs w:val="32"/>
          <w:u w:val="none"/>
          <w:lang w:val="zh-CN"/>
          <w:highlight w:val="auto"/>
        </w:rPr>
      </w:pPr>
    </w:p>
    <w:p>
      <w:pPr>
        <w:pBdr>
          <w:bottom w:val="single" w:sz="4" w:space="29" w:color="FFFFFF"/>
        </w:pBdr>
        <w:tabs>
          <w:tab w:val="left" w:pos="1440"/>
        </w:tabs>
        <w:spacing w:line="576" w:lineRule="exact"/>
        <w:ind w:left="0" w:firstLineChars="200" w:firstLine="640"/>
        <w:rPr>
          <w:rFonts w:ascii="Times New Roman" w:eastAsia="楷体_GB2312" w:hAnsi="Times New Roman"/>
          <w:b/>
          <w:color w:val="auto"/>
          <w:sz w:val="32"/>
          <w:szCs w:val="32"/>
          <w:u w:val="none"/>
          <w:lang w:val="zh-CN"/>
          <w:highlight w:val="auto"/>
        </w:rPr>
      </w:pPr>
    </w:p>
    <w:p>
      <w:pPr>
        <w:pBdr>
          <w:bottom w:val="single" w:sz="4" w:space="29" w:color="FFFFFF"/>
        </w:pBdr>
        <w:tabs>
          <w:tab w:val="left" w:pos="1440"/>
        </w:tabs>
        <w:spacing w:line="576" w:lineRule="exact"/>
        <w:ind w:left="0" w:firstLineChars="200" w:firstLine="640"/>
        <w:rPr>
          <w:rFonts w:ascii="Times New Roman" w:eastAsia="楷体_GB2312" w:hAnsi="Times New Roman"/>
          <w:b/>
          <w:color w:val="auto"/>
          <w:sz w:val="32"/>
          <w:szCs w:val="32"/>
          <w:u w:val="none"/>
          <w:lang w:val="zh-CN"/>
          <w:highlight w:val="auto"/>
        </w:rPr>
      </w:pPr>
    </w:p>
    <w:p>
      <w:pPr>
        <w:pBdr>
          <w:bottom w:val="single" w:sz="4" w:space="29" w:color="FFFFFF"/>
        </w:pBdr>
        <w:tabs>
          <w:tab w:val="left" w:pos="1440"/>
        </w:tabs>
        <w:spacing w:line="576" w:lineRule="exact"/>
        <w:ind w:left="0" w:firstLineChars="200" w:firstLine="640"/>
        <w:rPr>
          <w:rFonts w:ascii="Times New Roman" w:eastAsia="楷体_GB2312" w:hAnsi="Times New Roman"/>
          <w:b/>
          <w:color w:val="auto"/>
          <w:sz w:val="32"/>
          <w:szCs w:val="32"/>
          <w:u w:val="none"/>
          <w:lang w:val="zh-CN"/>
          <w:highlight w:val="auto"/>
        </w:rPr>
      </w:pPr>
    </w:p>
    <w:p>
      <w:pPr>
        <w:pBdr>
          <w:bottom w:val="single" w:sz="4" w:space="29" w:color="FFFFFF"/>
        </w:pBdr>
        <w:tabs>
          <w:tab w:val="left" w:pos="1440"/>
        </w:tabs>
        <w:spacing w:line="576" w:lineRule="exact"/>
        <w:ind w:left="0" w:firstLineChars="200" w:firstLine="640"/>
        <w:rPr>
          <w:rFonts w:ascii="仿宋_GB2312" w:eastAsia="仿宋_GB2312" w:cs="仿宋_GB2312" w:hint="eastAsia"/>
          <w:sz w:val="32"/>
          <w:szCs w:val="32"/>
          <w:lang w:val="en-US" w:eastAsia="zh-CN"/>
        </w:rPr>
      </w:pPr>
      <w:r>
        <w:rPr>
          <w:rFonts w:ascii="Times New Roman" w:eastAsia="楷体_GB2312" w:hAnsi="Times New Roman" w:hint="eastAsia"/>
          <w:b/>
          <w:color w:val="auto"/>
          <w:sz w:val="32"/>
          <w:szCs w:val="32"/>
          <w:u w:val="none"/>
          <w:lang w:val="zh-CN"/>
          <w:highlight w:val="auto"/>
        </w:rPr>
        <w:t>（一）设立背景及基本情况。</w:t>
      </w:r>
    </w:p>
    <w:p>
      <w:pPr>
        <w:pBdr>
          <w:bottom w:val="single" w:sz="4" w:space="29" w:color="FFFFFF"/>
        </w:pBdr>
        <w:tabs>
          <w:tab w:val="left" w:pos="1440"/>
        </w:tabs>
        <w:spacing w:line="576"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我办2024年度专项预算专项项目是根据川机发[2002]1号文件要求预算电子政务内网设备维修运行维修费网络运行线路租用维修费，设备及材料购置费，根据阿委[2009]103号文件要求预算密码设备维护维修费用于软件和数据库使用维护、设备及材料的购置、其他费用等。机要密码部门应急密码通信系统所用海事卫星BGAN通信资费，根据阿编办（2022）26号文件中共金川县委国家安全委员会办公室文件要求预算国安办工作经费。共预算资金19.38万元为保障机要工作正常有效运转。</w:t>
      </w:r>
    </w:p>
    <w:p>
      <w:pPr>
        <w:pBdr>
          <w:bottom w:val="single" w:sz="4" w:space="29" w:color="FFFFFF"/>
        </w:pBdr>
        <w:tabs>
          <w:tab w:val="left" w:pos="1440"/>
        </w:tabs>
        <w:spacing w:line="576" w:lineRule="exact"/>
        <w:ind w:left="0" w:firstLineChars="200" w:firstLine="640"/>
        <w:rPr>
          <w:rFonts w:ascii="仿宋_GB2312" w:cs="Times New Roman" w:hAnsi="仿宋_GB2312" w:hint="eastAsia"/>
          <w:lang w:val="en-US" w:eastAsia="zh-CN"/>
        </w:rPr>
      </w:pPr>
      <w:r>
        <w:rPr>
          <w:rFonts w:ascii="Times New Roman" w:eastAsia="楷体_GB2312" w:cs="Times New Roman" w:hAnsi="Times New Roman" w:hint="eastAsia"/>
          <w:b/>
          <w:color w:val="auto"/>
          <w:sz w:val="32"/>
          <w:szCs w:val="32"/>
          <w:u w:val="none"/>
          <w:lang w:val="en-US" w:eastAsia="zh-CN"/>
          <w:highlight w:val="auto"/>
        </w:rPr>
        <w:t>（二）</w:t>
      </w:r>
      <w:r>
        <w:rPr>
          <w:rFonts w:ascii="Times New Roman" w:eastAsia="楷体_GB2312" w:cs="Times New Roman" w:hAnsi="Times New Roman"/>
          <w:b/>
          <w:color w:val="auto"/>
          <w:sz w:val="32"/>
          <w:szCs w:val="32"/>
          <w:u w:val="none"/>
          <w:lang w:val="en-US" w:eastAsia="zh-CN"/>
          <w:highlight w:val="auto"/>
        </w:rPr>
        <w:t>实施目的及支持方向。</w:t>
      </w:r>
      <w:r>
        <w:rPr>
          <w:rFonts w:ascii="仿宋_GB2312" w:eastAsia="仿宋_GB2312" w:cs="仿宋_GB2312" w:hint="eastAsia"/>
          <w:sz w:val="32"/>
          <w:szCs w:val="32"/>
          <w:lang w:val="en-US" w:eastAsia="zh-CN"/>
        </w:rPr>
        <w:t>根据有关文件规定和工作安排，我单位开展自行评估，通过召开会议收集被评估项目相关基础资料，查阅资料、收集数据信息等，深入论证分析后，形成绩效评估报告。</w:t>
      </w:r>
    </w:p>
    <w:p>
      <w:pPr>
        <w:pBdr>
          <w:bottom w:val="single" w:sz="4" w:space="29" w:color="FFFFFF"/>
        </w:pBdr>
        <w:tabs>
          <w:tab w:val="left" w:pos="1440"/>
        </w:tabs>
        <w:spacing w:line="576" w:lineRule="exact"/>
        <w:ind w:left="0" w:firstLineChars="200" w:firstLine="640"/>
        <w:rPr>
          <w:rFonts w:ascii="Times New Roman" w:eastAsia="楷体_GB2312" w:cs="Times New Roman" w:hAnsi="Times New Roman"/>
          <w:b/>
          <w:color w:val="auto"/>
          <w:sz w:val="32"/>
          <w:szCs w:val="32"/>
          <w:u w:val="none"/>
          <w:lang w:val="zh-CN" w:eastAsia="zh-CN"/>
          <w:highlight w:val="auto"/>
        </w:rPr>
      </w:pPr>
      <w:r>
        <w:rPr>
          <w:rFonts w:ascii="Times New Roman" w:eastAsia="楷体_GB2312" w:cs="Times New Roman" w:hAnsi="Times New Roman" w:hint="eastAsia"/>
          <w:b/>
          <w:color w:val="auto"/>
          <w:sz w:val="32"/>
          <w:szCs w:val="32"/>
          <w:u w:val="none"/>
          <w:lang w:val="en-US" w:eastAsia="zh-CN"/>
          <w:highlight w:val="auto"/>
        </w:rPr>
        <w:t>（三）</w:t>
      </w:r>
      <w:r>
        <w:rPr>
          <w:rFonts w:ascii="Times New Roman" w:eastAsia="楷体_GB2312" w:cs="Times New Roman" w:hAnsi="Times New Roman"/>
          <w:b/>
          <w:color w:val="auto"/>
          <w:sz w:val="32"/>
          <w:szCs w:val="32"/>
          <w:u w:val="none"/>
          <w:lang w:val="en-US" w:eastAsia="zh-CN"/>
          <w:highlight w:val="auto"/>
        </w:rPr>
        <w:t>预算安排及分配管理</w:t>
      </w:r>
      <w:r>
        <w:rPr>
          <w:rFonts w:ascii="Times New Roman" w:eastAsia="楷体_GB2312" w:cs="Times New Roman" w:hAnsi="Times New Roman"/>
          <w:b/>
          <w:color w:val="auto"/>
          <w:sz w:val="32"/>
          <w:szCs w:val="32"/>
          <w:u w:val="none"/>
          <w:lang w:val="zh-CN" w:eastAsia="zh-CN"/>
          <w:highlight w:val="auto"/>
        </w:rPr>
        <w:t>。</w:t>
      </w:r>
    </w:p>
    <w:p>
      <w:pPr>
        <w:pBdr>
          <w:bottom w:val="single" w:sz="4" w:space="29" w:color="FFFFFF"/>
        </w:pBdr>
        <w:tabs>
          <w:tab w:val="left" w:pos="1440"/>
        </w:tabs>
        <w:spacing w:line="576" w:lineRule="exact"/>
        <w:ind w:left="0"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val="en-US" w:eastAsia="zh-CN"/>
        </w:rPr>
        <w:t>2024年度</w:t>
      </w:r>
      <w:r>
        <w:rPr>
          <w:rFonts w:ascii="仿宋_GB2312" w:eastAsia="仿宋_GB2312" w:cs="仿宋_GB2312" w:hint="eastAsia"/>
          <w:sz w:val="32"/>
          <w:szCs w:val="32"/>
        </w:rPr>
        <w:t>项目申报预算</w:t>
      </w:r>
      <w:r>
        <w:rPr>
          <w:rFonts w:ascii="仿宋_GB2312" w:eastAsia="仿宋_GB2312" w:cs="仿宋_GB2312" w:hint="eastAsia"/>
          <w:sz w:val="32"/>
          <w:szCs w:val="32"/>
          <w:lang w:val="en-US" w:eastAsia="zh-CN"/>
        </w:rPr>
        <w:t>19.38</w:t>
      </w:r>
      <w:r>
        <w:rPr>
          <w:rFonts w:ascii="仿宋_GB2312" w:eastAsia="仿宋_GB2312" w:cs="仿宋_GB2312" w:hint="eastAsia"/>
          <w:sz w:val="32"/>
          <w:szCs w:val="32"/>
        </w:rPr>
        <w:t>万元，年度申报金额为</w:t>
      </w:r>
      <w:r>
        <w:rPr>
          <w:rFonts w:ascii="仿宋_GB2312" w:eastAsia="仿宋_GB2312" w:cs="仿宋_GB2312" w:hint="eastAsia"/>
          <w:sz w:val="32"/>
          <w:szCs w:val="32"/>
          <w:lang w:val="en-US" w:eastAsia="zh-CN"/>
        </w:rPr>
        <w:t>19.38</w:t>
      </w:r>
      <w:r>
        <w:rPr>
          <w:rFonts w:ascii="仿宋_GB2312" w:eastAsia="仿宋_GB2312" w:cs="仿宋_GB2312" w:hint="eastAsia"/>
          <w:sz w:val="32"/>
          <w:szCs w:val="32"/>
        </w:rPr>
        <w:t>万元，资金来源为</w:t>
      </w:r>
      <w:r>
        <w:rPr>
          <w:rFonts w:ascii="仿宋_GB2312" w:eastAsia="仿宋_GB2312" w:cs="仿宋_GB2312" w:hint="eastAsia"/>
          <w:sz w:val="32"/>
          <w:szCs w:val="32"/>
          <w:lang w:eastAsia="zh-CN"/>
        </w:rPr>
        <w:t>县</w:t>
      </w:r>
      <w:r>
        <w:rPr>
          <w:rFonts w:ascii="仿宋_GB2312" w:eastAsia="仿宋_GB2312" w:cs="仿宋_GB2312" w:hint="eastAsia"/>
          <w:sz w:val="32"/>
          <w:szCs w:val="32"/>
        </w:rPr>
        <w:t>级财政资金。本次对项目投入经济性的评估是在项目事前绩效评估、预算测算的基础上，按照厉行节约的要求，结合项目20</w:t>
      </w:r>
      <w:r>
        <w:rPr>
          <w:rFonts w:ascii="仿宋_GB2312" w:eastAsia="仿宋_GB2312" w:cs="仿宋_GB2312" w:hint="eastAsia"/>
          <w:sz w:val="32"/>
          <w:szCs w:val="32"/>
          <w:lang w:val="en-US" w:eastAsia="zh-CN"/>
        </w:rPr>
        <w:t>23</w:t>
      </w:r>
      <w:r>
        <w:rPr>
          <w:rFonts w:ascii="仿宋_GB2312" w:eastAsia="仿宋_GB2312" w:cs="仿宋_GB2312" w:hint="eastAsia"/>
          <w:sz w:val="32"/>
          <w:szCs w:val="32"/>
        </w:rPr>
        <w:t>年开支情况20</w:t>
      </w:r>
      <w:r>
        <w:rPr>
          <w:rFonts w:ascii="仿宋_GB2312" w:eastAsia="仿宋_GB2312" w:cs="仿宋_GB2312" w:hint="eastAsia"/>
          <w:sz w:val="32"/>
          <w:szCs w:val="32"/>
          <w:lang w:val="en-US" w:eastAsia="zh-CN"/>
        </w:rPr>
        <w:t>24</w:t>
      </w:r>
      <w:r>
        <w:rPr>
          <w:rFonts w:ascii="仿宋_GB2312" w:eastAsia="仿宋_GB2312" w:cs="仿宋_GB2312" w:hint="eastAsia"/>
          <w:sz w:val="32"/>
          <w:szCs w:val="32"/>
        </w:rPr>
        <w:t>年实际需求、相关费用标准及市场价格水平，重点对数量是否合理、投入是否经济、预算测算是否准确、测算过程是否详细、测算依据是否充分等方面进行了评估。评估认为，该项目任务数量合理、预算测算过程详细、测算依据充分、有一定的经济性。预算控制在</w:t>
      </w:r>
      <w:r>
        <w:rPr>
          <w:rFonts w:ascii="仿宋_GB2312" w:eastAsia="仿宋_GB2312" w:cs="仿宋_GB2312" w:hint="eastAsia"/>
          <w:sz w:val="32"/>
          <w:szCs w:val="32"/>
          <w:lang w:val="en-US" w:eastAsia="zh-CN"/>
        </w:rPr>
        <w:t>19.38</w:t>
      </w:r>
      <w:r>
        <w:rPr>
          <w:rFonts w:ascii="仿宋_GB2312" w:eastAsia="仿宋_GB2312" w:cs="仿宋_GB2312" w:hint="eastAsia"/>
          <w:sz w:val="32"/>
          <w:szCs w:val="32"/>
        </w:rPr>
        <w:t>万元以内</w:t>
      </w:r>
      <w:r>
        <w:rPr>
          <w:rFonts w:ascii="仿宋_GB2312" w:eastAsia="仿宋_GB2312" w:cs="仿宋_GB2312" w:hint="eastAsia"/>
          <w:sz w:val="32"/>
          <w:szCs w:val="32"/>
          <w:lang w:eastAsia="zh-CN"/>
        </w:rPr>
        <w:t>。</w:t>
      </w:r>
    </w:p>
    <w:p>
      <w:pPr>
        <w:pBdr>
          <w:bottom w:val="single" w:sz="4" w:space="29" w:color="FFFFFF"/>
        </w:pBdr>
        <w:tabs>
          <w:tab w:val="left" w:pos="1440"/>
        </w:tabs>
        <w:spacing w:line="576" w:lineRule="exact"/>
        <w:ind w:left="0" w:firstLineChars="200" w:firstLine="640"/>
        <w:rPr>
          <w:rFonts w:ascii="Times New Roman" w:eastAsia="楷体_GB2312" w:cs="Times New Roman" w:hAnsi="Times New Roman"/>
          <w:b/>
          <w:color w:val="auto"/>
          <w:sz w:val="32"/>
          <w:szCs w:val="32"/>
          <w:u w:val="none"/>
          <w:lang w:val="zh-CN" w:eastAsia="zh-CN"/>
          <w:highlight w:val="auto"/>
        </w:rPr>
      </w:pPr>
      <w:r>
        <w:rPr>
          <w:rFonts w:ascii="Times New Roman" w:eastAsia="楷体_GB2312" w:cs="Times New Roman" w:hAnsi="Times New Roman" w:hint="eastAsia"/>
          <w:b/>
          <w:color w:val="auto"/>
          <w:sz w:val="32"/>
          <w:szCs w:val="32"/>
          <w:u w:val="none"/>
          <w:lang w:val="zh-CN" w:eastAsia="zh-CN"/>
          <w:highlight w:val="auto"/>
        </w:rPr>
        <w:t>（</w:t>
      </w:r>
      <w:r>
        <w:rPr>
          <w:rFonts w:ascii="Times New Roman" w:eastAsia="楷体_GB2312" w:cs="Times New Roman" w:hAnsi="Times New Roman" w:hint="eastAsia"/>
          <w:b/>
          <w:color w:val="auto"/>
          <w:sz w:val="32"/>
          <w:szCs w:val="32"/>
          <w:u w:val="none"/>
          <w:lang w:val="en-US" w:eastAsia="zh-CN"/>
          <w:highlight w:val="auto"/>
        </w:rPr>
        <w:t>四</w:t>
      </w:r>
      <w:r>
        <w:rPr>
          <w:rFonts w:ascii="Times New Roman" w:eastAsia="楷体_GB2312" w:cs="Times New Roman" w:hAnsi="Times New Roman" w:hint="eastAsia"/>
          <w:b/>
          <w:color w:val="auto"/>
          <w:sz w:val="32"/>
          <w:szCs w:val="32"/>
          <w:u w:val="none"/>
          <w:lang w:val="zh-CN" w:eastAsia="zh-CN"/>
          <w:highlight w:val="auto"/>
        </w:rPr>
        <w:t>）</w:t>
      </w:r>
      <w:r>
        <w:rPr>
          <w:rFonts w:ascii="Times New Roman" w:eastAsia="楷体_GB2312" w:cs="Times New Roman" w:hAnsi="Times New Roman"/>
          <w:b/>
          <w:color w:val="auto"/>
          <w:sz w:val="32"/>
          <w:szCs w:val="32"/>
          <w:u w:val="none"/>
          <w:lang w:val="zh-CN" w:eastAsia="zh-CN"/>
          <w:highlight w:val="auto"/>
        </w:rPr>
        <w:t>项目绩效目标设置。</w:t>
      </w:r>
    </w:p>
    <w:p>
      <w:pPr>
        <w:pBdr>
          <w:bottom w:val="single" w:sz="4" w:space="29" w:color="FFFFFF"/>
        </w:pBdr>
        <w:tabs>
          <w:tab w:val="left" w:pos="1440"/>
        </w:tabs>
        <w:spacing w:line="576" w:lineRule="exact"/>
        <w:ind w:left="0" w:firstLineChars="200" w:firstLine="640"/>
        <w:rPr>
          <w:rFonts w:ascii="仿宋_GB2312" w:eastAsia="仿宋_GB2312" w:cs="仿宋_GB2312" w:hint="eastAsia"/>
          <w:sz w:val="32"/>
          <w:szCs w:val="32"/>
          <w:lang w:val="zh-CN" w:eastAsia="zh-CN"/>
        </w:rPr>
      </w:pPr>
      <w:r>
        <w:rPr>
          <w:rFonts w:ascii="仿宋_GB2312" w:eastAsia="仿宋_GB2312" w:cs="仿宋_GB2312" w:hint="eastAsia"/>
          <w:sz w:val="32"/>
          <w:szCs w:val="32"/>
        </w:rPr>
        <w:t>根据20</w:t>
      </w:r>
      <w:r>
        <w:rPr>
          <w:rFonts w:ascii="仿宋_GB2312" w:eastAsia="仿宋_GB2312" w:cs="仿宋_GB2312" w:hint="eastAsia"/>
          <w:sz w:val="32"/>
          <w:szCs w:val="32"/>
          <w:lang w:val="en-US" w:eastAsia="zh-CN"/>
        </w:rPr>
        <w:t>24</w:t>
      </w:r>
      <w:r>
        <w:rPr>
          <w:rFonts w:ascii="仿宋_GB2312" w:eastAsia="仿宋_GB2312" w:cs="仿宋_GB2312" w:hint="eastAsia"/>
          <w:sz w:val="32"/>
          <w:szCs w:val="32"/>
        </w:rPr>
        <w:t>年预算编制要求，事前绩效评估本着真正过紧日子的原则，厉行节约、精打细算，从严从紧控制项目申报和预算安排，非必要项目和工作内容可压尽压、应压尽压，做到客观、绩效、精准。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r>
        <w:rPr>
          <w:rFonts w:ascii="仿宋_GB2312" w:eastAsia="仿宋_GB2312" w:cs="仿宋_GB2312" w:hint="eastAsia"/>
          <w:sz w:val="32"/>
          <w:szCs w:val="32"/>
          <w:lang w:val="zh-CN" w:eastAsia="zh-CN"/>
        </w:rPr>
        <w:t>。</w:t>
      </w:r>
    </w:p>
    <w:p>
      <w:pPr>
        <w:pBdr>
          <w:bottom w:val="single" w:sz="4" w:space="29" w:color="FFFFFF"/>
        </w:pBdr>
        <w:tabs>
          <w:tab w:val="left" w:pos="1440"/>
        </w:tabs>
        <w:spacing w:line="576" w:lineRule="exact"/>
        <w:ind w:left="0" w:firstLineChars="200" w:firstLine="640"/>
        <w:rPr>
          <w:rFonts w:ascii="Times New Roman" w:eastAsia="黑体" w:hAnsi="Times New Roman" w:hint="eastAsia"/>
          <w:sz w:val="32"/>
          <w:szCs w:val="32"/>
          <w:lang w:eastAsia="zh-CN"/>
          <w:highlight w:val="auto"/>
        </w:rPr>
      </w:pPr>
      <w:r>
        <w:rPr>
          <w:rFonts w:ascii="Times New Roman" w:eastAsia="黑体" w:hAnsi="Times New Roman" w:hint="eastAsia"/>
          <w:sz w:val="32"/>
          <w:szCs w:val="32"/>
          <w:highlight w:val="auto"/>
        </w:rPr>
        <w:t>二、</w:t>
      </w:r>
      <w:r>
        <w:rPr>
          <w:rFonts w:ascii="Times New Roman" w:eastAsia="黑体" w:hAnsi="Times New Roman" w:hint="eastAsia"/>
          <w:sz w:val="32"/>
          <w:szCs w:val="32"/>
          <w:lang w:eastAsia="zh-CN"/>
          <w:highlight w:val="auto"/>
        </w:rPr>
        <w:t>评价实施</w:t>
      </w:r>
    </w:p>
    <w:p>
      <w:pPr>
        <w:pBdr>
          <w:bottom w:val="single" w:sz="4" w:space="29" w:color="FFFFFF"/>
        </w:pBdr>
        <w:tabs>
          <w:tab w:val="left" w:pos="1440"/>
        </w:tabs>
        <w:spacing w:line="576" w:lineRule="exact"/>
        <w:ind w:left="0" w:firstLineChars="200" w:firstLine="640"/>
        <w:rPr>
          <w:rFonts w:cs="Times New Roman" w:hint="eastAsia"/>
          <w:szCs w:val="32"/>
          <w:lang w:eastAsia="zh-CN"/>
        </w:rPr>
      </w:pPr>
      <w:r>
        <w:rPr>
          <w:rFonts w:ascii="Times New Roman" w:eastAsia="楷体_GB2312" w:hAnsi="Times New Roman" w:hint="eastAsia"/>
          <w:b/>
          <w:color w:val="auto"/>
          <w:sz w:val="32"/>
          <w:szCs w:val="32"/>
          <w:u w:val="none"/>
          <w:lang w:val="zh-CN"/>
          <w:highlight w:val="auto"/>
        </w:rPr>
        <w:t>（一）评价目的。</w:t>
      </w:r>
      <w:r>
        <w:rPr>
          <w:rFonts w:ascii="仿宋_GB2312" w:eastAsia="仿宋_GB2312" w:cs="仿宋_GB2312" w:hint="eastAsia"/>
          <w:sz w:val="32"/>
          <w:szCs w:val="32"/>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r>
        <w:rPr>
          <w:rFonts w:ascii="仿宋_GB2312" w:eastAsia="仿宋_GB2312" w:cs="仿宋_GB2312" w:hint="eastAsia"/>
          <w:sz w:val="32"/>
          <w:szCs w:val="32"/>
          <w:lang w:eastAsia="zh-CN"/>
        </w:rPr>
        <w:t>。</w:t>
      </w:r>
    </w:p>
    <w:p>
      <w:pPr>
        <w:pBdr>
          <w:bottom w:val="single" w:sz="4" w:space="29" w:color="FFFFFF"/>
        </w:pBdr>
        <w:tabs>
          <w:tab w:val="left" w:pos="1440"/>
        </w:tabs>
        <w:spacing w:line="576" w:lineRule="exact"/>
        <w:ind w:left="0" w:firstLineChars="200" w:firstLine="640"/>
        <w:rPr>
          <w:rFonts w:ascii="Times New Roman" w:eastAsia="楷体_GB2312" w:hAnsi="Times New Roman" w:hint="eastAsia"/>
          <w:b/>
          <w:color w:val="auto"/>
          <w:sz w:val="32"/>
          <w:szCs w:val="32"/>
          <w:u w:val="none"/>
          <w:lang w:val="zh-CN"/>
          <w:highlight w:val="auto"/>
        </w:rPr>
      </w:pPr>
      <w:r>
        <w:rPr>
          <w:rFonts w:ascii="Times New Roman" w:eastAsia="楷体_GB2312" w:hAnsi="Times New Roman" w:hint="eastAsia"/>
          <w:b/>
          <w:color w:val="auto"/>
          <w:sz w:val="32"/>
          <w:szCs w:val="32"/>
          <w:u w:val="none"/>
          <w:lang w:val="zh-CN"/>
          <w:highlight w:val="auto"/>
        </w:rPr>
        <w:t>（二）预设问题及评价重点。</w:t>
      </w:r>
    </w:p>
    <w:p>
      <w:pPr>
        <w:pBdr>
          <w:bottom w:val="single" w:sz="4" w:space="29" w:color="FFFFFF"/>
        </w:pBdr>
        <w:tabs>
          <w:tab w:val="left" w:pos="1440"/>
        </w:tabs>
        <w:spacing w:line="576" w:lineRule="exact"/>
        <w:ind w:left="0" w:firstLineChars="200" w:firstLine="640"/>
        <w:rPr>
          <w:rFonts w:ascii="仿宋_GB2312" w:eastAsia="仿宋_GB2312" w:cs="仿宋_GB2312" w:hint="eastAsia"/>
          <w:sz w:val="32"/>
          <w:szCs w:val="32"/>
          <w:lang w:val="zh-CN"/>
        </w:rPr>
      </w:pPr>
      <w:r>
        <w:rPr>
          <w:rFonts w:ascii="仿宋_GB2312" w:eastAsia="仿宋_GB2312" w:cs="仿宋_GB2312" w:hint="eastAsia"/>
          <w:b w:val="0"/>
          <w:bCs/>
          <w:color w:val="auto"/>
          <w:sz w:val="32"/>
          <w:szCs w:val="32"/>
          <w:u w:val="none"/>
          <w:lang w:val="en-US" w:eastAsia="zh-CN"/>
          <w:highlight w:val="auto"/>
        </w:rPr>
        <w:t>1.</w:t>
      </w:r>
      <w:r>
        <w:rPr>
          <w:rFonts w:ascii="仿宋_GB2312" w:eastAsia="仿宋_GB2312" w:cs="仿宋_GB2312" w:hint="eastAsia"/>
          <w:sz w:val="32"/>
          <w:szCs w:val="32"/>
          <w:lang w:val="en-US" w:eastAsia="zh-CN"/>
        </w:rPr>
        <w:t>项目决策：</w:t>
      </w:r>
      <w:r>
        <w:rPr>
          <w:rFonts w:ascii="仿宋_GB2312" w:eastAsia="仿宋_GB2312" w:cs="仿宋_GB2312" w:hint="eastAsia"/>
          <w:sz w:val="32"/>
          <w:szCs w:val="32"/>
          <w:lang w:val="zh-CN"/>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pPr>
        <w:pBdr>
          <w:bottom w:val="single" w:sz="4" w:space="29" w:color="FFFFFF"/>
        </w:pBdr>
        <w:tabs>
          <w:tab w:val="left" w:pos="1440"/>
        </w:tabs>
        <w:spacing w:line="576" w:lineRule="exact"/>
        <w:ind w:left="0" w:firstLineChars="200" w:firstLine="640"/>
        <w:rPr>
          <w:rFonts w:ascii="仿宋_GB2312" w:eastAsia="仿宋_GB2312" w:cs="仿宋_GB2312" w:hint="eastAsia"/>
          <w:sz w:val="32"/>
          <w:szCs w:val="32"/>
          <w:lang w:val="zh-CN"/>
        </w:rPr>
      </w:pPr>
      <w:r>
        <w:rPr>
          <w:rFonts w:ascii="仿宋_GB2312" w:eastAsia="仿宋_GB2312" w:cs="仿宋_GB2312" w:hint="eastAsia"/>
          <w:sz w:val="32"/>
          <w:szCs w:val="32"/>
          <w:lang w:val="en-US" w:eastAsia="zh-CN"/>
        </w:rPr>
        <w:t>2.项目管理：</w:t>
      </w:r>
      <w:r>
        <w:rPr>
          <w:rFonts w:ascii="仿宋_GB2312" w:eastAsia="仿宋_GB2312" w:cs="仿宋_GB2312" w:hint="eastAsia"/>
          <w:sz w:val="32"/>
          <w:szCs w:val="32"/>
          <w:lang w:val="zh-CN"/>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pPr>
        <w:pBdr>
          <w:bottom w:val="single" w:sz="4" w:space="29" w:color="FFFFFF"/>
        </w:pBdr>
        <w:tabs>
          <w:tab w:val="left" w:pos="1440"/>
        </w:tabs>
        <w:spacing w:line="576" w:lineRule="exact"/>
        <w:ind w:left="0" w:firstLineChars="200" w:firstLine="640"/>
        <w:rPr>
          <w:rFonts w:ascii="仿宋_GB2312" w:eastAsia="仿宋_GB2312" w:cs="仿宋_GB2312" w:hint="eastAsia"/>
          <w:sz w:val="32"/>
          <w:szCs w:val="32"/>
          <w:lang w:val="zh-CN"/>
        </w:rPr>
      </w:pPr>
      <w:r>
        <w:rPr>
          <w:rFonts w:ascii="仿宋_GB2312" w:eastAsia="仿宋_GB2312" w:cs="仿宋_GB2312" w:hint="eastAsia"/>
          <w:sz w:val="32"/>
          <w:szCs w:val="32"/>
          <w:lang w:val="en-US" w:eastAsia="zh-CN"/>
        </w:rPr>
        <w:t>3.项目实施：</w:t>
      </w:r>
      <w:r>
        <w:rPr>
          <w:rFonts w:ascii="仿宋_GB2312" w:eastAsia="仿宋_GB2312" w:cs="仿宋_GB2312" w:hint="eastAsia"/>
          <w:sz w:val="32"/>
          <w:szCs w:val="32"/>
          <w:lang w:val="zh-CN"/>
        </w:rPr>
        <w:t>项目资金财政拨付按时完成率</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lang w:val="zh-CN"/>
        </w:rPr>
        <w:t>、单位执行资金使用率为</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lang w:val="zh-CN"/>
        </w:rPr>
        <w:t>和地方配套资金到位率</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lang w:val="zh-CN"/>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pPr>
        <w:keepNext w:val="0"/>
        <w:keepLines w:val="0"/>
        <w:pageBreakBefore w:val="0"/>
        <w:widowControl w:val="0"/>
        <w:kinsoku/>
        <w:wordWrap/>
        <w:overflowPunct/>
        <w:topLinePunct w:val="0"/>
        <w:autoSpaceDE/>
        <w:autoSpaceDN/>
        <w:bidi w:val="0"/>
        <w:adjustRightInd w:val="0"/>
        <w:snapToGrid w:val="0"/>
        <w:spacing w:line="578" w:lineRule="exact"/>
        <w:ind w:left="640" w:firstLineChars="200" w:firstLine="640"/>
        <w:textAlignment w:val="auto"/>
        <w:outlineLvl w:val="9"/>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4、项目结果：</w:t>
      </w:r>
      <w:r>
        <w:rPr>
          <w:rFonts w:ascii="仿宋_GB2312" w:eastAsia="仿宋_GB2312" w:cs="仿宋_GB2312" w:hint="eastAsia"/>
          <w:sz w:val="32"/>
          <w:szCs w:val="32"/>
          <w:lang w:val="zh-CN"/>
        </w:rPr>
        <w:t>项目完成预期目标，实施结果与绩效目标相匹配，反映目标实</w:t>
      </w:r>
      <w:r>
        <w:rPr>
          <w:rFonts w:ascii="仿宋_GB2312" w:eastAsia="仿宋_GB2312" w:cs="仿宋_GB2312" w:hint="eastAsia"/>
          <w:sz w:val="32"/>
          <w:szCs w:val="32"/>
          <w:lang w:val="zh-CN" w:eastAsia="zh-CN"/>
        </w:rPr>
        <w:t>现率</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lang w:val="zh-CN" w:eastAsia="zh-CN"/>
        </w:rPr>
        <w:t>，项目实际完成时间与计划完成时间的比较差异率为</w:t>
      </w:r>
      <w:r>
        <w:rPr>
          <w:rFonts w:ascii="仿宋_GB2312" w:eastAsia="仿宋_GB2312" w:cs="仿宋_GB2312" w:hint="eastAsia"/>
          <w:sz w:val="32"/>
          <w:szCs w:val="32"/>
          <w:lang w:val="en-US" w:eastAsia="zh-CN"/>
        </w:rPr>
        <w:t>0%。</w:t>
      </w:r>
    </w:p>
    <w:p>
      <w:pPr>
        <w:keepNext w:val="0"/>
        <w:keepLines w:val="0"/>
        <w:pageBreakBefore w:val="0"/>
        <w:widowControl w:val="0"/>
        <w:kinsoku/>
        <w:wordWrap/>
        <w:overflowPunct/>
        <w:topLinePunct w:val="0"/>
        <w:autoSpaceDE/>
        <w:autoSpaceDN/>
        <w:bidi w:val="0"/>
        <w:adjustRightInd w:val="0"/>
        <w:snapToGrid w:val="0"/>
        <w:spacing w:line="578" w:lineRule="exact"/>
        <w:ind w:firstLineChars="200" w:firstLine="640"/>
        <w:textAlignment w:val="auto"/>
        <w:rPr>
          <w:rFonts w:ascii="Times New Roman" w:eastAsia="黑体" w:cs="Times New Roman" w:hAnsi="Times New Roman" w:hint="eastAsia"/>
          <w:b w:val="0"/>
          <w:bCs w:val="0"/>
          <w:color w:val="auto"/>
          <w:sz w:val="32"/>
          <w:szCs w:val="32"/>
          <w:u w:val="none"/>
          <w:lang w:val="zh-CN" w:eastAsia="zh-CN"/>
          <w:highlight w:val="auto"/>
        </w:rPr>
      </w:pPr>
      <w:r>
        <w:rPr>
          <w:rFonts w:ascii="Times New Roman" w:eastAsia="黑体" w:cs="Times New Roman" w:hAnsi="Times New Roman" w:hint="eastAsia"/>
          <w:b w:val="0"/>
          <w:bCs w:val="0"/>
          <w:color w:val="auto"/>
          <w:sz w:val="32"/>
          <w:szCs w:val="32"/>
          <w:u w:val="none"/>
          <w:lang w:val="zh-CN" w:eastAsia="zh-CN"/>
          <w:highlight w:val="auto"/>
        </w:rPr>
        <w:t>（三）评价选点。</w:t>
      </w:r>
    </w:p>
    <w:p>
      <w:pPr>
        <w:keepNext w:val="0"/>
        <w:keepLines w:val="0"/>
        <w:pageBreakBefore w:val="0"/>
        <w:widowControl w:val="0"/>
        <w:kinsoku/>
        <w:wordWrap/>
        <w:overflowPunct/>
        <w:topLinePunct w:val="0"/>
        <w:autoSpaceDE/>
        <w:autoSpaceDN/>
        <w:bidi w:val="0"/>
        <w:adjustRightInd w:val="0"/>
        <w:snapToGrid w:val="0"/>
        <w:spacing w:line="578" w:lineRule="exact"/>
        <w:ind w:firstLineChars="200" w:firstLine="640"/>
        <w:textAlignment w:val="auto"/>
        <w:rPr>
          <w:rFonts w:ascii="仿宋_GB2312" w:eastAsia="仿宋_GB2312" w:cs="仿宋_GB2312" w:hint="eastAsia"/>
          <w:b w:val="0"/>
          <w:bCs w:val="0"/>
          <w:color w:val="auto"/>
          <w:sz w:val="32"/>
          <w:szCs w:val="32"/>
          <w:u w:val="none"/>
          <w:lang w:val="zh-CN" w:eastAsia="zh-CN"/>
          <w:highlight w:val="auto"/>
        </w:rPr>
      </w:pPr>
      <w:r>
        <w:rPr>
          <w:rFonts w:ascii="仿宋_GB2312" w:eastAsia="仿宋_GB2312" w:cs="仿宋_GB2312" w:hint="eastAsia"/>
          <w:b w:val="0"/>
          <w:bCs w:val="0"/>
          <w:color w:val="auto"/>
          <w:sz w:val="32"/>
          <w:szCs w:val="32"/>
          <w:u w:val="none"/>
          <w:lang w:val="zh-CN" w:eastAsia="zh-CN"/>
          <w:highlight w:val="auto"/>
        </w:rPr>
        <w:t>项目绩效自评抽样采用实地考察</w:t>
      </w:r>
    </w:p>
    <w:p>
      <w:pPr>
        <w:keepNext w:val="0"/>
        <w:keepLines w:val="0"/>
        <w:pageBreakBefore w:val="0"/>
        <w:widowControl w:val="0"/>
        <w:kinsoku/>
        <w:wordWrap/>
        <w:overflowPunct/>
        <w:topLinePunct w:val="0"/>
        <w:autoSpaceDE/>
        <w:autoSpaceDN/>
        <w:bidi w:val="0"/>
        <w:adjustRightInd w:val="0"/>
        <w:snapToGrid w:val="0"/>
        <w:spacing w:line="578" w:lineRule="exact"/>
        <w:ind w:firstLineChars="200" w:firstLine="640"/>
        <w:textAlignment w:val="auto"/>
        <w:rPr>
          <w:rFonts w:ascii="Times New Roman" w:eastAsia="黑体" w:cs="Times New Roman" w:hAnsi="Times New Roman"/>
          <w:b w:val="0"/>
          <w:bCs w:val="0"/>
          <w:color w:val="auto"/>
          <w:sz w:val="32"/>
          <w:szCs w:val="32"/>
          <w:u w:val="none"/>
          <w:lang w:val="zh-CN" w:eastAsia="zh-CN"/>
          <w:highlight w:val="auto"/>
        </w:rPr>
      </w:pPr>
      <w:r>
        <w:rPr>
          <w:rFonts w:ascii="Times New Roman" w:eastAsia="黑体" w:cs="Times New Roman" w:hAnsi="Times New Roman" w:hint="eastAsia"/>
          <w:b w:val="0"/>
          <w:bCs w:val="0"/>
          <w:color w:val="auto"/>
          <w:sz w:val="32"/>
          <w:szCs w:val="32"/>
          <w:u w:val="none"/>
          <w:lang w:val="zh-CN" w:eastAsia="zh-CN"/>
          <w:highlight w:val="auto"/>
        </w:rPr>
        <w:t>（</w:t>
      </w:r>
      <w:r>
        <w:rPr>
          <w:rFonts w:ascii="Times New Roman" w:eastAsia="黑体" w:cs="Times New Roman" w:hAnsi="Times New Roman" w:hint="eastAsia"/>
          <w:b w:val="0"/>
          <w:bCs w:val="0"/>
          <w:color w:val="auto"/>
          <w:sz w:val="32"/>
          <w:szCs w:val="32"/>
          <w:u w:val="none"/>
          <w:lang w:val="en-US" w:eastAsia="zh-CN"/>
          <w:highlight w:val="auto"/>
        </w:rPr>
        <w:t>四</w:t>
      </w:r>
      <w:r>
        <w:rPr>
          <w:rFonts w:ascii="Times New Roman" w:eastAsia="黑体" w:cs="Times New Roman" w:hAnsi="Times New Roman" w:hint="eastAsia"/>
          <w:b w:val="0"/>
          <w:bCs w:val="0"/>
          <w:color w:val="auto"/>
          <w:sz w:val="32"/>
          <w:szCs w:val="32"/>
          <w:u w:val="none"/>
          <w:lang w:val="zh-CN" w:eastAsia="zh-CN"/>
          <w:highlight w:val="auto"/>
        </w:rPr>
        <w:t>）</w:t>
      </w:r>
      <w:r>
        <w:rPr>
          <w:rFonts w:ascii="Times New Roman" w:eastAsia="黑体" w:cs="Times New Roman" w:hAnsi="Times New Roman"/>
          <w:b w:val="0"/>
          <w:bCs w:val="0"/>
          <w:color w:val="auto"/>
          <w:sz w:val="32"/>
          <w:szCs w:val="32"/>
          <w:u w:val="none"/>
          <w:lang w:val="zh-CN" w:eastAsia="zh-CN"/>
          <w:highlight w:val="auto"/>
        </w:rPr>
        <w:t>评价方法。</w:t>
      </w:r>
    </w:p>
    <w:p>
      <w:pPr>
        <w:keepNext w:val="0"/>
        <w:keepLines w:val="0"/>
        <w:pageBreakBefore w:val="0"/>
        <w:widowControl w:val="0"/>
        <w:kinsoku/>
        <w:wordWrap/>
        <w:overflowPunct/>
        <w:topLinePunct w:val="0"/>
        <w:autoSpaceDE/>
        <w:autoSpaceDN/>
        <w:bidi w:val="0"/>
        <w:adjustRightInd w:val="0"/>
        <w:snapToGrid w:val="0"/>
        <w:spacing w:line="578" w:lineRule="exact"/>
        <w:ind w:firstLineChars="200" w:firstLine="640"/>
        <w:textAlignment w:val="auto"/>
        <w:rPr>
          <w:rFonts w:ascii="仿宋_GB2312" w:eastAsia="仿宋_GB2312" w:cs="仿宋_GB2312" w:hint="eastAsia"/>
          <w:b w:val="0"/>
          <w:bCs w:val="0"/>
          <w:color w:val="auto"/>
          <w:sz w:val="32"/>
          <w:szCs w:val="32"/>
          <w:u w:val="none"/>
          <w:lang w:val="zh-CN" w:eastAsia="zh-CN"/>
          <w:highlight w:val="auto"/>
        </w:rPr>
      </w:pPr>
      <w:r>
        <w:rPr>
          <w:rFonts w:ascii="仿宋_GB2312" w:eastAsia="仿宋_GB2312" w:cs="仿宋_GB2312" w:hint="eastAsia"/>
          <w:b w:val="0"/>
          <w:bCs w:val="0"/>
          <w:color w:val="auto"/>
          <w:sz w:val="32"/>
          <w:szCs w:val="32"/>
          <w:u w:val="none"/>
          <w:lang w:val="zh-CN" w:eastAsia="zh-CN"/>
          <w:highlight w:val="auto"/>
        </w:rPr>
        <w:t>根据文件有关规定和工作安排，我单位开展自行评估，通过召开座谈</w:t>
      </w:r>
      <w:r>
        <w:rPr>
          <w:rFonts w:ascii="仿宋_GB2312" w:eastAsia="仿宋_GB2312" w:cs="仿宋_GB2312" w:hint="eastAsia"/>
          <w:b w:val="0"/>
          <w:bCs w:val="0"/>
          <w:color w:val="auto"/>
          <w:sz w:val="32"/>
          <w:szCs w:val="32"/>
          <w:u w:val="none"/>
          <w:highlight w:val="auto"/>
        </w:rPr>
        <w:t>会收集被评估项目相关基础资料，查阅资料、收集数据信息等，深入论证分析后，形成绩效评估报告。</w:t>
      </w:r>
      <w:r>
        <w:rPr>
          <w:rFonts w:ascii="仿宋_GB2312" w:eastAsia="仿宋_GB2312" w:cs="仿宋_GB2312" w:hint="eastAsia"/>
          <w:b w:val="0"/>
          <w:bCs w:val="0"/>
          <w:color w:val="auto"/>
          <w:sz w:val="32"/>
          <w:szCs w:val="32"/>
          <w:u w:val="none"/>
          <w:lang w:val="zh-CN" w:eastAsia="zh-CN"/>
          <w:highlight w:val="auto"/>
        </w:rPr>
        <w:t>根据项目完成情况，采用查看文卷及实地考察等方法。</w:t>
      </w:r>
    </w:p>
    <w:p>
      <w:pPr>
        <w:keepNext w:val="0"/>
        <w:keepLines w:val="0"/>
        <w:pageBreakBefore w:val="0"/>
        <w:widowControl w:val="0"/>
        <w:kinsoku/>
        <w:wordWrap/>
        <w:overflowPunct/>
        <w:topLinePunct w:val="0"/>
        <w:autoSpaceDE/>
        <w:autoSpaceDN/>
        <w:bidi w:val="0"/>
        <w:adjustRightInd w:val="0"/>
        <w:snapToGrid w:val="0"/>
        <w:spacing w:line="578" w:lineRule="exact"/>
        <w:ind w:firstLineChars="200" w:firstLine="640"/>
        <w:textAlignment w:val="auto"/>
        <w:rPr>
          <w:rFonts w:ascii="Times New Roman" w:eastAsia="黑体" w:cs="Times New Roman" w:hAnsi="Times New Roman"/>
          <w:b/>
          <w:bCs/>
          <w:color w:val="auto"/>
          <w:sz w:val="32"/>
          <w:szCs w:val="32"/>
          <w:u w:val="none"/>
          <w:lang w:val="zh-CN"/>
          <w:highlight w:val="auto"/>
        </w:rPr>
      </w:pPr>
      <w:r>
        <w:rPr>
          <w:rFonts w:ascii="Times New Roman" w:eastAsia="黑体" w:cs="Times New Roman" w:hAnsi="Times New Roman" w:hint="eastAsia"/>
          <w:b/>
          <w:bCs/>
          <w:color w:val="auto"/>
          <w:sz w:val="32"/>
          <w:szCs w:val="32"/>
          <w:u w:val="none"/>
          <w:lang w:val="zh-CN"/>
          <w:highlight w:val="auto"/>
        </w:rPr>
        <w:t>（</w:t>
      </w:r>
      <w:r>
        <w:rPr>
          <w:rFonts w:ascii="Times New Roman" w:eastAsia="黑体" w:cs="Times New Roman" w:hAnsi="Times New Roman" w:hint="eastAsia"/>
          <w:b w:val="0"/>
          <w:bCs w:val="0"/>
          <w:color w:val="auto"/>
          <w:sz w:val="32"/>
          <w:szCs w:val="32"/>
          <w:u w:val="none"/>
          <w:lang w:val="en-US" w:eastAsia="zh-CN"/>
          <w:highlight w:val="auto"/>
        </w:rPr>
        <w:t>五</w:t>
      </w:r>
      <w:r>
        <w:rPr>
          <w:rFonts w:ascii="Times New Roman" w:eastAsia="黑体" w:cs="Times New Roman" w:hAnsi="Times New Roman" w:hint="eastAsia"/>
          <w:b w:val="0"/>
          <w:bCs w:val="0"/>
          <w:color w:val="auto"/>
          <w:sz w:val="32"/>
          <w:szCs w:val="32"/>
          <w:u w:val="none"/>
          <w:lang w:val="zh-CN"/>
          <w:highlight w:val="auto"/>
        </w:rPr>
        <w:t>）</w:t>
      </w:r>
      <w:r>
        <w:rPr>
          <w:rFonts w:ascii="Times New Roman" w:eastAsia="黑体" w:cs="Times New Roman" w:hAnsi="Times New Roman"/>
          <w:b w:val="0"/>
          <w:bCs w:val="0"/>
          <w:color w:val="auto"/>
          <w:sz w:val="32"/>
          <w:szCs w:val="32"/>
          <w:u w:val="none"/>
          <w:lang w:val="zh-CN"/>
          <w:highlight w:val="auto"/>
        </w:rPr>
        <w:t>评价组织。</w:t>
      </w:r>
    </w:p>
    <w:p>
      <w:pPr>
        <w:keepNext w:val="0"/>
        <w:keepLines w:val="0"/>
        <w:pageBreakBefore w:val="0"/>
        <w:widowControl w:val="0"/>
        <w:kinsoku/>
        <w:wordWrap/>
        <w:overflowPunct/>
        <w:topLinePunct w:val="0"/>
        <w:autoSpaceDE/>
        <w:autoSpaceDN/>
        <w:bidi w:val="0"/>
        <w:adjustRightInd w:val="0"/>
        <w:snapToGrid w:val="0"/>
        <w:spacing w:line="578" w:lineRule="exact"/>
        <w:ind w:firstLineChars="200" w:firstLine="640"/>
        <w:textAlignment w:val="auto"/>
        <w:rPr>
          <w:rFonts w:ascii="仿宋_GB2312" w:eastAsia="仿宋_GB2312" w:cs="仿宋_GB2312" w:hint="eastAsia"/>
          <w:b w:val="0"/>
          <w:bCs w:val="0"/>
          <w:color w:val="auto"/>
          <w:sz w:val="32"/>
          <w:szCs w:val="32"/>
          <w:u w:val="none"/>
          <w:lang w:eastAsia="zh-CN"/>
          <w:highlight w:val="auto"/>
        </w:rPr>
      </w:pPr>
      <w:r>
        <w:rPr>
          <w:rFonts w:ascii="仿宋_GB2312" w:eastAsia="仿宋_GB2312" w:cs="仿宋_GB2312" w:hint="eastAsia"/>
          <w:b w:val="0"/>
          <w:bCs w:val="0"/>
          <w:color w:val="auto"/>
          <w:sz w:val="32"/>
          <w:szCs w:val="32"/>
          <w:u w:val="none"/>
          <w:highlight w:val="auto"/>
        </w:rPr>
        <w:t>评价组人员</w:t>
      </w:r>
      <w:r>
        <w:rPr>
          <w:rFonts w:ascii="仿宋_GB2312" w:eastAsia="仿宋_GB2312" w:cs="仿宋_GB2312" w:hint="eastAsia"/>
          <w:b w:val="0"/>
          <w:bCs w:val="0"/>
          <w:color w:val="auto"/>
          <w:sz w:val="32"/>
          <w:szCs w:val="32"/>
          <w:u w:val="none"/>
          <w:lang w:eastAsia="zh-CN"/>
          <w:highlight w:val="auto"/>
        </w:rPr>
        <w:t>由项目管理人员和财务室工作人员共同进行，项目管理人员主要负责项目决策、项目管理、项目实施、项目结果等评价评分；财务室工作人员主要负责用资金用途合规性、程序合规性、标准合规性评价评分。</w:t>
      </w:r>
    </w:p>
    <w:p>
      <w:pPr>
        <w:keepNext w:val="0"/>
        <w:keepLines w:val="0"/>
        <w:pageBreakBefore w:val="0"/>
        <w:widowControl w:val="0"/>
        <w:kinsoku/>
        <w:wordWrap/>
        <w:overflowPunct/>
        <w:topLinePunct w:val="0"/>
        <w:autoSpaceDE/>
        <w:autoSpaceDN/>
        <w:bidi w:val="0"/>
        <w:adjustRightInd w:val="0"/>
        <w:snapToGrid w:val="0"/>
        <w:spacing w:line="578" w:lineRule="exact"/>
        <w:ind w:firstLineChars="200" w:firstLine="640"/>
        <w:textAlignment w:val="auto"/>
        <w:rPr>
          <w:rFonts w:ascii="Times New Roman" w:cs="Times New Roman" w:hAnsi="Times New Roman"/>
          <w:color w:val="auto"/>
          <w:sz w:val="32"/>
          <w:szCs w:val="32"/>
          <w:u w:val="none"/>
          <w:lang w:val="zh-CN"/>
          <w:highlight w:val="auto"/>
        </w:rPr>
      </w:pPr>
      <w:r>
        <w:rPr>
          <w:rFonts w:ascii="Times New Roman" w:eastAsia="黑体" w:cs="Times New Roman" w:hAnsi="Times New Roman"/>
          <w:color w:val="auto"/>
          <w:sz w:val="32"/>
          <w:szCs w:val="32"/>
          <w:u w:val="none"/>
          <w:highlight w:val="auto"/>
        </w:rPr>
        <w:t>三、</w:t>
      </w:r>
      <w:r>
        <w:rPr>
          <w:rFonts w:ascii="Times New Roman" w:eastAsia="黑体" w:cs="Times New Roman" w:hAnsi="Times New Roman"/>
          <w:color w:val="auto"/>
          <w:sz w:val="32"/>
          <w:szCs w:val="32"/>
          <w:u w:val="none"/>
          <w:lang w:eastAsia="zh-CN"/>
          <w:highlight w:val="auto"/>
        </w:rPr>
        <w:t>绩效分析</w:t>
      </w:r>
      <w:r>
        <w:rPr>
          <w:rFonts w:ascii="Times New Roman" w:cs="Times New Roman" w:hAnsi="Times New Roman"/>
          <w:color w:val="auto"/>
          <w:sz w:val="32"/>
          <w:szCs w:val="32"/>
          <w:u w:val="none"/>
          <w:lang w:val="zh-CN"/>
          <w:highlight w:val="auto"/>
        </w:rPr>
        <w:tab/>
      </w:r>
    </w:p>
    <w:p>
      <w:pPr>
        <w:snapToGrid w:val="0"/>
        <w:spacing w:line="360" w:lineRule="auto"/>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zh-CN" w:eastAsia="zh-CN"/>
        </w:rPr>
        <w:t>根据项目预算绩效评价指标体系“通用指标”“专用指标”“个性指标”涉及二、三级指标进行逐项绩效分析并评分</w:t>
      </w:r>
      <w:r>
        <w:rPr>
          <w:rFonts w:ascii="仿宋_GB2312" w:eastAsia="仿宋_GB2312" w:cs="仿宋_GB2312" w:hint="eastAsia"/>
          <w:sz w:val="32"/>
          <w:szCs w:val="32"/>
          <w:lang w:val="en-US" w:eastAsia="zh-CN"/>
        </w:rPr>
        <w:t>。项目评估总得分93分、评估等级优、得分项目决策15分、项目管理15分、项目实施7分、项目结果8分、产业发展9分、民生保障10分、基础设施0分、行政运转29分、个性指标0分。预期产出和效果能满足需求、不需要核减预算安排。</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Times New Roman" w:eastAsia="仿宋_GB2312" w:cs="Times New Roman" w:hAnsi="Times New Roman"/>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Times New Roman" w:eastAsia="楷体_GB2312" w:cs="Times New Roman" w:hAnsi="Times New Roman"/>
          <w:b/>
          <w:color w:val="auto"/>
          <w:sz w:val="32"/>
          <w:szCs w:val="32"/>
          <w:u w:val="none"/>
          <w:lang w:val="en-US" w:eastAsia="zh-CN"/>
          <w:highlight w:val="auto"/>
        </w:rPr>
      </w:pPr>
      <w:r>
        <w:rPr>
          <w:rFonts w:ascii="Times New Roman" w:eastAsia="楷体_GB2312" w:cs="Times New Roman" w:hAnsi="Times New Roman"/>
          <w:b/>
          <w:color w:val="auto"/>
          <w:sz w:val="32"/>
          <w:szCs w:val="32"/>
          <w:u w:val="none"/>
          <w:lang w:val="zh-CN"/>
          <w:highlight w:val="auto"/>
        </w:rPr>
        <w:t>（一）</w:t>
      </w:r>
      <w:r>
        <w:rPr>
          <w:rFonts w:ascii="Times New Roman" w:eastAsia="楷体_GB2312" w:cs="Times New Roman" w:hAnsi="Times New Roman"/>
          <w:b/>
          <w:color w:val="auto"/>
          <w:sz w:val="32"/>
          <w:szCs w:val="32"/>
          <w:u w:val="none"/>
          <w:lang w:val="en-US" w:eastAsia="zh-CN"/>
          <w:highlight w:val="auto"/>
        </w:rPr>
        <w:t>通用指标</w:t>
      </w:r>
      <w:r>
        <w:rPr>
          <w:rFonts w:ascii="Times New Roman" w:eastAsia="楷体_GB2312" w:cs="Times New Roman" w:hAnsi="Times New Roman"/>
          <w:b/>
          <w:color w:val="auto"/>
          <w:sz w:val="32"/>
          <w:szCs w:val="32"/>
          <w:u w:val="none"/>
          <w:lang w:val="zh-CN" w:eastAsia="zh-CN"/>
          <w:highlight w:val="auto"/>
        </w:rPr>
        <w:t>绩效分析。</w:t>
      </w:r>
    </w:p>
    <w:p>
      <w:pPr>
        <w:snapToGrid w:val="0"/>
        <w:spacing w:line="360" w:lineRule="auto"/>
        <w:ind w:firstLineChars="200" w:firstLine="640"/>
        <w:rPr>
          <w:rFonts w:ascii="仿宋_GB2312" w:eastAsia="仿宋_GB2312" w:cs="仿宋_GB2312" w:hint="eastAsia"/>
          <w:kern w:val="2"/>
          <w:sz w:val="32"/>
          <w:szCs w:val="32"/>
          <w:lang w:val="zh-CN" w:eastAsia="zh-CN" w:bidi="ar-SA"/>
        </w:rPr>
      </w:pPr>
      <w:r>
        <w:rPr>
          <w:rFonts w:ascii="仿宋_GB2312" w:eastAsia="仿宋_GB2312" w:cs="仿宋_GB2312" w:hint="eastAsia"/>
          <w:kern w:val="2"/>
          <w:sz w:val="32"/>
          <w:szCs w:val="32"/>
          <w:lang w:val="en-US" w:eastAsia="zh-CN" w:bidi="ar-SA"/>
        </w:rPr>
        <w:t>1.</w:t>
      </w:r>
      <w:r>
        <w:rPr>
          <w:rFonts w:ascii="仿宋_GB2312" w:eastAsia="仿宋_GB2312" w:cs="仿宋_GB2312" w:hint="eastAsia"/>
          <w:kern w:val="2"/>
          <w:sz w:val="32"/>
          <w:szCs w:val="32"/>
          <w:lang w:val="zh-CN" w:eastAsia="zh-CN" w:bidi="ar-SA"/>
        </w:rPr>
        <w:t>项目决策。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pPr>
        <w:snapToGrid w:val="0"/>
        <w:spacing w:line="360" w:lineRule="auto"/>
        <w:ind w:firstLineChars="200" w:firstLine="64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2.项目管理。</w:t>
      </w:r>
      <w:r>
        <w:rPr>
          <w:rFonts w:ascii="仿宋_GB2312" w:eastAsia="仿宋_GB2312" w:cs="仿宋_GB2312" w:hint="eastAsia"/>
          <w:kern w:val="2"/>
          <w:sz w:val="32"/>
          <w:szCs w:val="32"/>
          <w:lang w:val="zh-CN" w:eastAsia="zh-CN" w:bidi="ar-SA"/>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pPr>
        <w:snapToGrid w:val="0"/>
        <w:spacing w:line="360" w:lineRule="auto"/>
        <w:ind w:firstLineChars="200" w:firstLine="640"/>
        <w:rPr>
          <w:rFonts w:ascii="仿宋_GB2312" w:eastAsia="仿宋_GB2312" w:cs="仿宋_GB2312" w:hint="eastAsia"/>
          <w:kern w:val="2"/>
          <w:sz w:val="32"/>
          <w:szCs w:val="32"/>
          <w:lang w:val="zh-CN" w:eastAsia="zh-CN" w:bidi="ar-SA"/>
        </w:rPr>
      </w:pPr>
      <w:r>
        <w:rPr>
          <w:rFonts w:ascii="仿宋_GB2312" w:eastAsia="仿宋_GB2312" w:cs="仿宋_GB2312" w:hint="eastAsia"/>
          <w:kern w:val="2"/>
          <w:sz w:val="32"/>
          <w:szCs w:val="32"/>
          <w:lang w:val="en-US" w:eastAsia="zh-CN" w:bidi="ar-SA"/>
        </w:rPr>
        <w:t>3.项目实施。</w:t>
      </w:r>
      <w:r>
        <w:rPr>
          <w:rFonts w:ascii="仿宋_GB2312" w:eastAsia="仿宋_GB2312" w:cs="仿宋_GB2312" w:hint="eastAsia"/>
          <w:kern w:val="2"/>
          <w:sz w:val="32"/>
          <w:szCs w:val="32"/>
          <w:lang w:val="zh-CN" w:eastAsia="zh-CN" w:bidi="ar-SA"/>
        </w:rPr>
        <w:t>项目资金财政拨付按时完成率</w:t>
      </w:r>
      <w:r>
        <w:rPr>
          <w:rFonts w:ascii="仿宋_GB2312" w:eastAsia="仿宋_GB2312" w:cs="仿宋_GB2312" w:hint="eastAsia"/>
          <w:kern w:val="2"/>
          <w:sz w:val="32"/>
          <w:szCs w:val="32"/>
          <w:lang w:val="en-US" w:eastAsia="zh-CN" w:bidi="ar-SA"/>
        </w:rPr>
        <w:t>100%</w:t>
      </w:r>
      <w:r>
        <w:rPr>
          <w:rFonts w:ascii="仿宋_GB2312" w:eastAsia="仿宋_GB2312" w:cs="仿宋_GB2312" w:hint="eastAsia"/>
          <w:kern w:val="2"/>
          <w:sz w:val="32"/>
          <w:szCs w:val="32"/>
          <w:lang w:val="zh-CN" w:eastAsia="zh-CN" w:bidi="ar-SA"/>
        </w:rPr>
        <w:t>、单位执行资金使用率为</w:t>
      </w:r>
      <w:r>
        <w:rPr>
          <w:rFonts w:ascii="仿宋_GB2312" w:eastAsia="仿宋_GB2312" w:cs="仿宋_GB2312" w:hint="eastAsia"/>
          <w:kern w:val="2"/>
          <w:sz w:val="32"/>
          <w:szCs w:val="32"/>
          <w:lang w:val="en-US" w:eastAsia="zh-CN" w:bidi="ar-SA"/>
        </w:rPr>
        <w:t>100%</w:t>
      </w:r>
      <w:r>
        <w:rPr>
          <w:rFonts w:ascii="仿宋_GB2312" w:eastAsia="仿宋_GB2312" w:cs="仿宋_GB2312" w:hint="eastAsia"/>
          <w:kern w:val="2"/>
          <w:sz w:val="32"/>
          <w:szCs w:val="32"/>
          <w:lang w:val="zh-CN" w:eastAsia="zh-CN" w:bidi="ar-SA"/>
        </w:rPr>
        <w:t>和地方配套资金到位率</w:t>
      </w:r>
      <w:r>
        <w:rPr>
          <w:rFonts w:ascii="仿宋_GB2312" w:eastAsia="仿宋_GB2312" w:cs="仿宋_GB2312" w:hint="eastAsia"/>
          <w:kern w:val="2"/>
          <w:sz w:val="32"/>
          <w:szCs w:val="32"/>
          <w:lang w:val="en-US" w:eastAsia="zh-CN" w:bidi="ar-SA"/>
        </w:rPr>
        <w:t>100%</w:t>
      </w:r>
      <w:r>
        <w:rPr>
          <w:rFonts w:ascii="仿宋_GB2312" w:eastAsia="仿宋_GB2312" w:cs="仿宋_GB2312" w:hint="eastAsia"/>
          <w:kern w:val="2"/>
          <w:sz w:val="32"/>
          <w:szCs w:val="32"/>
          <w:lang w:val="zh-CN" w:eastAsia="zh-CN" w:bidi="ar-SA"/>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pPr>
        <w:snapToGrid w:val="0"/>
        <w:spacing w:line="360" w:lineRule="auto"/>
        <w:ind w:firstLineChars="200" w:firstLine="640"/>
        <w:rPr>
          <w:rFonts w:ascii="仿宋_GB2312" w:eastAsia="仿宋_GB2312" w:cs="仿宋_GB2312" w:hint="eastAsia"/>
          <w:color w:val="auto"/>
          <w:sz w:val="32"/>
          <w:szCs w:val="32"/>
          <w:lang w:eastAsia="zh-CN"/>
        </w:rPr>
      </w:pPr>
      <w:r>
        <w:rPr>
          <w:rFonts w:ascii="仿宋_GB2312" w:eastAsia="仿宋_GB2312" w:cs="仿宋_GB2312" w:hint="eastAsia"/>
          <w:kern w:val="2"/>
          <w:sz w:val="32"/>
          <w:szCs w:val="32"/>
          <w:lang w:val="en-US" w:eastAsia="zh-CN" w:bidi="ar-SA"/>
        </w:rPr>
        <w:t>4.项目结果。</w:t>
      </w:r>
      <w:r>
        <w:rPr>
          <w:rFonts w:ascii="仿宋_GB2312" w:eastAsia="仿宋_GB2312" w:cs="仿宋_GB2312" w:hint="eastAsia"/>
          <w:kern w:val="2"/>
          <w:sz w:val="32"/>
          <w:szCs w:val="32"/>
          <w:lang w:val="zh-CN" w:eastAsia="zh-CN" w:bidi="ar-SA"/>
        </w:rPr>
        <w:t>项目完成预期目标，实施结果与绩效目标相匹配，反映目标实现率</w:t>
      </w:r>
      <w:r>
        <w:rPr>
          <w:rFonts w:ascii="仿宋_GB2312" w:eastAsia="仿宋_GB2312" w:cs="仿宋_GB2312" w:hint="eastAsia"/>
          <w:kern w:val="2"/>
          <w:sz w:val="32"/>
          <w:szCs w:val="32"/>
          <w:lang w:val="en-US" w:eastAsia="zh-CN" w:bidi="ar-SA"/>
        </w:rPr>
        <w:t>100%</w:t>
      </w:r>
      <w:r>
        <w:rPr>
          <w:rFonts w:ascii="仿宋_GB2312" w:eastAsia="仿宋_GB2312" w:cs="仿宋_GB2312" w:hint="eastAsia"/>
          <w:kern w:val="2"/>
          <w:sz w:val="32"/>
          <w:szCs w:val="32"/>
          <w:lang w:val="zh-CN" w:eastAsia="zh-CN" w:bidi="ar-SA"/>
        </w:rPr>
        <w:t>，项目实际完成时间与计划完成时间的比较差异率为</w:t>
      </w:r>
      <w:r>
        <w:rPr>
          <w:rFonts w:ascii="仿宋_GB2312" w:eastAsia="仿宋_GB2312" w:cs="仿宋_GB2312" w:hint="eastAsia"/>
          <w:kern w:val="2"/>
          <w:sz w:val="32"/>
          <w:szCs w:val="32"/>
          <w:lang w:val="en-US" w:eastAsia="zh-CN" w:bidi="ar-SA"/>
        </w:rPr>
        <w:t>0%</w:t>
      </w:r>
      <w:r>
        <w:rPr>
          <w:rFonts w:ascii="仿宋_GB2312" w:eastAsia="仿宋_GB2312" w:cs="仿宋_GB2312" w:hint="eastAsia"/>
          <w:kern w:val="2"/>
          <w:sz w:val="32"/>
          <w:szCs w:val="32"/>
          <w:lang w:val="zh-CN" w:eastAsia="zh-CN" w:bidi="ar-SA"/>
        </w:rPr>
        <w:t>。</w:t>
      </w:r>
    </w:p>
    <w:p>
      <w:pPr>
        <w:keepNext w:val="0"/>
        <w:keepLines w:val="0"/>
        <w:pageBreakBefore w:val="0"/>
        <w:widowControl w:val="0"/>
        <w:kinsoku/>
        <w:wordWrap/>
        <w:overflowPunct/>
        <w:topLinePunct w:val="0"/>
        <w:autoSpaceDE/>
        <w:autoSpaceDN/>
        <w:bidi w:val="0"/>
        <w:adjustRightInd/>
        <w:snapToGrid/>
        <w:spacing w:line="578" w:lineRule="exact"/>
        <w:ind w:left="0" w:firstLineChars="200" w:firstLine="640"/>
        <w:textAlignment w:val="auto"/>
        <w:outlineLvl w:val="9"/>
        <w:rPr>
          <w:rFonts w:ascii="Times New Roman" w:eastAsia="楷体_GB2312" w:cs="Times New Roman" w:hAnsi="Times New Roman"/>
          <w:b/>
          <w:bCs/>
          <w:color w:val="000000"/>
          <w:kern w:val="0"/>
          <w:szCs w:val="32"/>
          <w:shd w:val="clear" w:color="auto" w:fill="FFFFFF"/>
          <w:lang w:val="zh-CN"/>
          <w:highlight w:val="auto"/>
        </w:rPr>
      </w:pPr>
      <w:r>
        <w:rPr>
          <w:rFonts w:ascii="Times New Roman" w:eastAsia="楷体_GB2312" w:cs="Times New Roman" w:hAnsi="Times New Roman"/>
          <w:b/>
          <w:color w:val="auto"/>
          <w:sz w:val="32"/>
          <w:szCs w:val="32"/>
          <w:u w:val="none"/>
          <w:lang w:val="zh-CN"/>
          <w:highlight w:val="auto"/>
        </w:rPr>
        <w:t>（二）</w:t>
      </w:r>
      <w:r>
        <w:rPr>
          <w:rFonts w:ascii="Times New Roman" w:eastAsia="楷体_GB2312" w:cs="Times New Roman" w:hAnsi="Times New Roman"/>
          <w:b/>
          <w:color w:val="auto"/>
          <w:sz w:val="32"/>
          <w:szCs w:val="32"/>
          <w:u w:val="none"/>
          <w:lang w:val="en-US" w:eastAsia="zh-CN"/>
          <w:highlight w:val="auto"/>
        </w:rPr>
        <w:t>专用指标</w:t>
      </w:r>
      <w:r>
        <w:rPr>
          <w:rFonts w:ascii="Times New Roman" w:eastAsia="楷体_GB2312" w:cs="Times New Roman" w:hAnsi="Times New Roman"/>
          <w:b/>
          <w:color w:val="auto"/>
          <w:sz w:val="32"/>
          <w:szCs w:val="32"/>
          <w:u w:val="none"/>
          <w:lang w:val="zh-CN" w:eastAsia="zh-CN"/>
          <w:highlight w:val="auto"/>
        </w:rPr>
        <w:t>绩效分析。</w:t>
      </w:r>
    </w:p>
    <w:p>
      <w:pPr>
        <w:keepNext w:val="0"/>
        <w:keepLines w:val="0"/>
        <w:pageBreakBefore w:val="0"/>
        <w:widowControl w:val="0"/>
        <w:kinsoku/>
        <w:wordWrap/>
        <w:overflowPunct/>
        <w:topLinePunct w:val="0"/>
        <w:autoSpaceDE/>
        <w:autoSpaceDN/>
        <w:bidi w:val="0"/>
        <w:adjustRightInd/>
        <w:snapToGrid/>
        <w:spacing w:line="578" w:lineRule="exact"/>
        <w:ind w:left="0" w:firstLineChars="200" w:firstLine="640"/>
        <w:textAlignment w:val="auto"/>
        <w:outlineLvl w:val="9"/>
        <w:rPr>
          <w:rFonts w:ascii="Times New Roman" w:cs="Times New Roman" w:hAnsi="Times New Roman"/>
          <w:color w:val="auto"/>
          <w:szCs w:val="32"/>
          <w:lang w:val="en-US" w:eastAsia="zh-CN"/>
        </w:rPr>
      </w:pPr>
      <w:r>
        <w:rPr>
          <w:rFonts w:ascii="仿宋_GB2312" w:eastAsia="仿宋_GB2312" w:cs="仿宋_GB2312" w:hint="eastAsia"/>
          <w:kern w:val="2"/>
          <w:sz w:val="32"/>
          <w:szCs w:val="32"/>
          <w:lang w:val="zh-CN" w:eastAsia="zh-CN" w:bidi="ar-SA"/>
        </w:rPr>
        <w:t>行政运转：资金按规定用途、适用范围进行本地区专项资金分配，资金管理程序符合专项资金管理要求，资金分配标准符合专项资金管理要求</w:t>
      </w:r>
      <w:r>
        <w:rPr>
          <w:rFonts w:ascii="仿宋_GB2312" w:cs="Times New Roman" w:hAnsi="仿宋_GB2312" w:hint="eastAsia"/>
          <w:kern w:val="2"/>
          <w:sz w:val="32"/>
          <w:szCs w:val="32"/>
          <w:lang w:val="zh-CN" w:eastAsia="zh-CN" w:bidi="ar-SA"/>
        </w:rPr>
        <w:t>。</w:t>
      </w:r>
    </w:p>
    <w:p>
      <w:pPr>
        <w:keepNext w:val="0"/>
        <w:keepLines w:val="0"/>
        <w:pageBreakBefore w:val="0"/>
        <w:widowControl w:val="0"/>
        <w:kinsoku/>
        <w:wordWrap/>
        <w:overflowPunct/>
        <w:topLinePunct w:val="0"/>
        <w:autoSpaceDE/>
        <w:autoSpaceDN/>
        <w:bidi w:val="0"/>
        <w:adjustRightInd/>
        <w:snapToGrid/>
        <w:spacing w:line="578" w:lineRule="exact"/>
        <w:ind w:left="0" w:firstLineChars="200" w:firstLine="640"/>
        <w:textAlignment w:val="auto"/>
        <w:outlineLvl w:val="9"/>
        <w:rPr>
          <w:rFonts w:ascii="Times New Roman" w:eastAsia="楷体_GB2312" w:cs="Times New Roman" w:hAnsi="Times New Roman"/>
          <w:b/>
          <w:color w:val="auto"/>
          <w:sz w:val="32"/>
          <w:szCs w:val="32"/>
          <w:u w:val="none"/>
          <w:lang w:val="zh-CN"/>
          <w:highlight w:val="auto"/>
        </w:rPr>
      </w:pPr>
      <w:r>
        <w:rPr>
          <w:rFonts w:ascii="Times New Roman" w:eastAsia="楷体_GB2312" w:cs="Times New Roman" w:hAnsi="Times New Roman" w:hint="eastAsia"/>
          <w:b/>
          <w:color w:val="auto"/>
          <w:sz w:val="32"/>
          <w:szCs w:val="32"/>
          <w:u w:val="none"/>
          <w:lang w:val="en-US" w:eastAsia="zh-CN"/>
          <w:highlight w:val="auto"/>
        </w:rPr>
        <w:t>（三）</w:t>
      </w:r>
      <w:r>
        <w:rPr>
          <w:rFonts w:ascii="Times New Roman" w:eastAsia="楷体_GB2312" w:cs="Times New Roman" w:hAnsi="Times New Roman"/>
          <w:b/>
          <w:color w:val="auto"/>
          <w:sz w:val="32"/>
          <w:szCs w:val="32"/>
          <w:u w:val="none"/>
          <w:lang w:val="en-US" w:eastAsia="zh-CN"/>
          <w:highlight w:val="auto"/>
        </w:rPr>
        <w:t>个性指标</w:t>
      </w:r>
      <w:r>
        <w:rPr>
          <w:rFonts w:ascii="Times New Roman" w:eastAsia="楷体_GB2312" w:cs="Times New Roman" w:hAnsi="Times New Roman"/>
          <w:b/>
          <w:color w:val="auto"/>
          <w:sz w:val="32"/>
          <w:szCs w:val="32"/>
          <w:u w:val="none"/>
          <w:lang w:val="zh-CN" w:eastAsia="zh-CN"/>
          <w:highlight w:val="auto"/>
        </w:rPr>
        <w:t>绩效分析。</w:t>
      </w:r>
    </w:p>
    <w:p>
      <w:pPr>
        <w:keepNext w:val="0"/>
        <w:keepLines w:val="0"/>
        <w:pageBreakBefore w:val="0"/>
        <w:widowControl w:val="0"/>
        <w:kinsoku/>
        <w:wordWrap/>
        <w:overflowPunct/>
        <w:topLinePunct w:val="0"/>
        <w:autoSpaceDE/>
        <w:autoSpaceDN/>
        <w:bidi w:val="0"/>
        <w:adjustRightInd/>
        <w:snapToGrid/>
        <w:spacing w:line="578" w:lineRule="exact"/>
        <w:ind w:left="0" w:firstLineChars="200" w:firstLine="640"/>
        <w:textAlignment w:val="auto"/>
        <w:outlineLvl w:val="9"/>
        <w:rPr>
          <w:rFonts w:ascii="仿宋_GB2312" w:eastAsia="仿宋_GB2312" w:cs="仿宋_GB2312" w:hint="eastAsia"/>
          <w:color w:val="auto"/>
          <w:sz w:val="32"/>
          <w:szCs w:val="32"/>
          <w:lang w:val="en-US" w:eastAsia="zh-CN"/>
        </w:rPr>
      </w:pPr>
      <w:r>
        <w:rPr>
          <w:rFonts w:ascii="仿宋_GB2312" w:eastAsia="仿宋_GB2312" w:cs="仿宋_GB2312" w:hint="eastAsia"/>
          <w:kern w:val="2"/>
          <w:sz w:val="32"/>
          <w:szCs w:val="32"/>
          <w:lang w:val="en-US" w:eastAsia="zh-CN" w:bidi="ar-SA"/>
        </w:rPr>
        <w:t>项目符合</w:t>
      </w:r>
      <w:r>
        <w:rPr>
          <w:rFonts w:ascii="仿宋_GB2312" w:eastAsia="仿宋_GB2312" w:cs="仿宋_GB2312" w:hint="eastAsia"/>
          <w:kern w:val="2"/>
          <w:sz w:val="32"/>
          <w:szCs w:val="32"/>
          <w:lang w:val="zh-CN" w:eastAsia="zh-CN" w:bidi="ar-SA"/>
        </w:rPr>
        <w:t>全面提升</w:t>
      </w:r>
      <w:r>
        <w:rPr>
          <w:rFonts w:ascii="仿宋_GB2312" w:eastAsia="仿宋_GB2312" w:cs="仿宋_GB2312" w:hint="eastAsia"/>
          <w:kern w:val="2"/>
          <w:sz w:val="32"/>
          <w:szCs w:val="32"/>
          <w:lang w:val="en-US" w:eastAsia="zh-CN" w:bidi="ar-SA"/>
        </w:rPr>
        <w:t>委办</w:t>
      </w:r>
      <w:r>
        <w:rPr>
          <w:rFonts w:ascii="仿宋_GB2312" w:eastAsia="仿宋_GB2312" w:cs="仿宋_GB2312" w:hint="eastAsia"/>
          <w:kern w:val="2"/>
          <w:sz w:val="32"/>
          <w:szCs w:val="32"/>
          <w:lang w:val="zh-CN" w:eastAsia="zh-CN" w:bidi="ar-SA"/>
        </w:rPr>
        <w:t>工作能力水平，提高</w:t>
      </w:r>
      <w:r>
        <w:rPr>
          <w:rFonts w:ascii="仿宋_GB2312" w:eastAsia="仿宋_GB2312" w:cs="仿宋_GB2312" w:hint="eastAsia"/>
          <w:kern w:val="2"/>
          <w:sz w:val="32"/>
          <w:szCs w:val="32"/>
          <w:lang w:val="en-US" w:eastAsia="zh-CN" w:bidi="ar-SA"/>
        </w:rPr>
        <w:t>政策落实、落地能力</w:t>
      </w:r>
      <w:r>
        <w:rPr>
          <w:rFonts w:ascii="仿宋_GB2312" w:eastAsia="仿宋_GB2312" w:cs="仿宋_GB2312" w:hint="eastAsia"/>
          <w:kern w:val="2"/>
          <w:sz w:val="32"/>
          <w:szCs w:val="32"/>
          <w:lang w:val="zh-CN" w:eastAsia="zh-CN" w:bidi="ar-SA"/>
        </w:rPr>
        <w:t>，增强人民群众</w:t>
      </w:r>
      <w:r>
        <w:rPr>
          <w:rFonts w:ascii="仿宋_GB2312" w:eastAsia="仿宋_GB2312" w:cs="仿宋_GB2312" w:hint="eastAsia"/>
          <w:kern w:val="2"/>
          <w:sz w:val="32"/>
          <w:szCs w:val="32"/>
          <w:lang w:val="en-US" w:eastAsia="zh-CN" w:bidi="ar-SA"/>
        </w:rPr>
        <w:t>幸福</w:t>
      </w:r>
      <w:r>
        <w:rPr>
          <w:rFonts w:ascii="仿宋_GB2312" w:eastAsia="仿宋_GB2312" w:cs="仿宋_GB2312" w:hint="eastAsia"/>
          <w:kern w:val="2"/>
          <w:sz w:val="32"/>
          <w:szCs w:val="32"/>
          <w:lang w:val="zh-CN" w:eastAsia="zh-CN" w:bidi="ar-SA"/>
        </w:rPr>
        <w:t>感和满意度，为全面建成小康金川、美丽金川</w:t>
      </w:r>
      <w:r>
        <w:rPr>
          <w:rFonts w:ascii="仿宋_GB2312" w:eastAsia="仿宋_GB2312" w:cs="仿宋_GB2312" w:hint="eastAsia"/>
          <w:kern w:val="2"/>
          <w:sz w:val="32"/>
          <w:szCs w:val="32"/>
          <w:lang w:val="en-US" w:eastAsia="zh-CN" w:bidi="ar-SA"/>
        </w:rPr>
        <w:t>提供相应的政策方针</w:t>
      </w:r>
      <w:r>
        <w:rPr>
          <w:rFonts w:ascii="仿宋_GB2312" w:eastAsia="仿宋_GB2312" w:cs="仿宋_GB2312" w:hint="eastAsia"/>
          <w:kern w:val="2"/>
          <w:sz w:val="32"/>
          <w:szCs w:val="32"/>
          <w:lang w:val="zh-CN" w:eastAsia="zh-CN" w:bidi="ar-SA"/>
        </w:rPr>
        <w:t>。</w:t>
      </w:r>
    </w:p>
    <w:p>
      <w:pPr>
        <w:pStyle w:val="16"/>
        <w:pageBreakBefore w:val="0"/>
        <w:widowControl w:val="0"/>
        <w:tabs>
          <w:tab w:val="left" w:pos="2160"/>
        </w:tabs>
        <w:kinsoku/>
        <w:wordWrap/>
        <w:overflowPunct/>
        <w:topLinePunct w:val="0"/>
        <w:autoSpaceDE/>
        <w:autoSpaceDN/>
        <w:bidi w:val="0"/>
        <w:adjustRightInd/>
        <w:spacing w:line="600" w:lineRule="exact"/>
        <w:ind w:left="0" w:firstLineChars="200" w:firstLine="640"/>
        <w:textAlignment w:val="auto"/>
        <w:rPr>
          <w:rFonts w:ascii="Times New Roman" w:eastAsia="黑体" w:cs="Times New Roman" w:hAnsi="Times New Roman"/>
          <w:color w:val="auto"/>
          <w:sz w:val="32"/>
          <w:szCs w:val="32"/>
          <w:u w:val="none"/>
          <w:highlight w:val="auto"/>
        </w:rPr>
      </w:pPr>
      <w:r>
        <w:rPr>
          <w:rFonts w:ascii="Times New Roman" w:eastAsia="黑体" w:cs="Times New Roman" w:hAnsi="Times New Roman"/>
          <w:color w:val="auto"/>
          <w:sz w:val="32"/>
          <w:szCs w:val="32"/>
          <w:u w:val="none"/>
          <w:lang w:eastAsia="zh-CN"/>
          <w:highlight w:val="auto"/>
        </w:rPr>
        <w:t>四</w:t>
      </w:r>
      <w:r>
        <w:rPr>
          <w:rFonts w:ascii="Times New Roman" w:eastAsia="黑体" w:cs="Times New Roman" w:hAnsi="Times New Roman"/>
          <w:color w:val="auto"/>
          <w:sz w:val="32"/>
          <w:szCs w:val="32"/>
          <w:u w:val="none"/>
          <w:highlight w:val="auto"/>
        </w:rPr>
        <w:t>、评价结论</w:t>
      </w:r>
    </w:p>
    <w:p>
      <w:pPr>
        <w:keepNext w:val="0"/>
        <w:keepLines w:val="0"/>
        <w:pageBreakBefore w:val="0"/>
        <w:widowControl w:val="0"/>
        <w:kinsoku/>
        <w:wordWrap/>
        <w:overflowPunct/>
        <w:topLinePunct w:val="0"/>
        <w:autoSpaceDE/>
        <w:autoSpaceDN/>
        <w:bidi w:val="0"/>
        <w:adjustRightInd/>
        <w:snapToGrid/>
        <w:spacing w:line="578" w:lineRule="exact"/>
        <w:ind w:firstLineChars="200" w:firstLine="640"/>
        <w:textAlignment w:val="auto"/>
        <w:outlineLvl w:val="9"/>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项目总体评分93分，</w:t>
      </w:r>
      <w:r>
        <w:rPr>
          <w:rFonts w:ascii="仿宋_GB2312" w:eastAsia="仿宋_GB2312" w:cs="仿宋_GB2312" w:hint="eastAsia"/>
          <w:kern w:val="2"/>
          <w:sz w:val="32"/>
          <w:szCs w:val="32"/>
          <w:lang w:val="zh-CN" w:eastAsia="zh-CN" w:bidi="ar-SA"/>
        </w:rPr>
        <w:t>按照规定落实</w:t>
      </w:r>
      <w:r>
        <w:rPr>
          <w:rFonts w:ascii="仿宋_GB2312" w:eastAsia="仿宋_GB2312" w:cs="仿宋_GB2312" w:hint="eastAsia"/>
          <w:kern w:val="2"/>
          <w:sz w:val="32"/>
          <w:szCs w:val="32"/>
          <w:lang w:val="en-US" w:eastAsia="zh-CN" w:bidi="ar-SA"/>
        </w:rPr>
        <w:t>各个项目，有序推进各项目并顺利竣工，保障机构</w:t>
      </w:r>
      <w:r>
        <w:rPr>
          <w:rFonts w:ascii="仿宋_GB2312" w:eastAsia="仿宋_GB2312" w:cs="仿宋_GB2312" w:hint="eastAsia"/>
          <w:kern w:val="2"/>
          <w:sz w:val="32"/>
          <w:szCs w:val="32"/>
          <w:lang w:val="zh-CN" w:eastAsia="zh-CN" w:bidi="ar-SA"/>
        </w:rPr>
        <w:t>工作顺利开展。</w:t>
      </w:r>
    </w:p>
    <w:p>
      <w:pPr>
        <w:pStyle w:val="16"/>
        <w:pageBreakBefore w:val="0"/>
        <w:widowControl w:val="0"/>
        <w:tabs>
          <w:tab w:val="left" w:pos="2160"/>
        </w:tabs>
        <w:kinsoku/>
        <w:wordWrap/>
        <w:overflowPunct/>
        <w:topLinePunct w:val="0"/>
        <w:autoSpaceDE/>
        <w:autoSpaceDN/>
        <w:bidi w:val="0"/>
        <w:adjustRightInd/>
        <w:spacing w:line="600" w:lineRule="exact"/>
        <w:ind w:left="0" w:firstLineChars="200" w:firstLine="640"/>
        <w:textAlignment w:val="auto"/>
        <w:rPr>
          <w:rFonts w:ascii="Times New Roman" w:eastAsia="黑体" w:cs="Times New Roman" w:hAnsi="Times New Roman"/>
          <w:color w:val="auto"/>
          <w:sz w:val="32"/>
          <w:szCs w:val="32"/>
          <w:u w:val="none"/>
          <w:lang w:eastAsia="zh-CN"/>
          <w:highlight w:val="auto"/>
        </w:rPr>
      </w:pPr>
      <w:r>
        <w:rPr>
          <w:rFonts w:ascii="Times New Roman" w:cs="Times New Roman" w:hAnsi="Times New Roman"/>
          <w:color w:val="auto"/>
          <w:sz w:val="32"/>
          <w:szCs w:val="32"/>
          <w:u w:val="none"/>
          <w:lang w:eastAsia="zh-CN"/>
          <w:highlight w:val="auto"/>
        </w:rPr>
        <w:t>五、</w:t>
      </w:r>
      <w:r>
        <w:rPr>
          <w:rFonts w:ascii="Times New Roman" w:eastAsia="黑体" w:cs="Times New Roman" w:hAnsi="Times New Roman"/>
          <w:color w:val="auto"/>
          <w:sz w:val="32"/>
          <w:szCs w:val="32"/>
          <w:u w:val="none"/>
          <w:lang w:eastAsia="zh-CN"/>
          <w:highlight w:val="auto"/>
        </w:rPr>
        <w:t>存在主要问题</w:t>
      </w:r>
    </w:p>
    <w:p>
      <w:pPr>
        <w:pStyle w:val="16"/>
        <w:pageBreakBefore w:val="0"/>
        <w:widowControl w:val="0"/>
        <w:tabs>
          <w:tab w:val="left" w:pos="2160"/>
        </w:tabs>
        <w:kinsoku/>
        <w:wordWrap/>
        <w:overflowPunct/>
        <w:topLinePunct w:val="0"/>
        <w:autoSpaceDE/>
        <w:autoSpaceDN/>
        <w:bidi w:val="0"/>
        <w:adjustRightInd/>
        <w:spacing w:line="600" w:lineRule="exact"/>
        <w:ind w:left="0" w:firstLineChars="200" w:firstLine="640"/>
        <w:textAlignment w:val="auto"/>
        <w:rPr>
          <w:rFonts w:ascii="Times New Roman" w:cs="Times New Roman" w:hAnsi="Times New Roman"/>
          <w:b w:val="0"/>
          <w:bCs w:val="0"/>
          <w:kern w:val="2"/>
          <w:position w:val="0"/>
          <w:sz w:val="32"/>
          <w:szCs w:val="32"/>
          <w:lang w:val="en-US" w:eastAsia="zh-CN" w:bidi="ar-SA"/>
          <w:highlight w:val="auto"/>
        </w:rPr>
      </w:pPr>
      <w:r>
        <w:rPr>
          <w:rFonts w:ascii="Times New Roman" w:eastAsia="仿宋_GB2312" w:cs="Times New Roman" w:hAnsi="Times New Roman" w:hint="eastAsia"/>
          <w:b w:val="0"/>
          <w:bCs w:val="0"/>
          <w:kern w:val="0"/>
          <w:position w:val="0"/>
          <w:sz w:val="32"/>
          <w:szCs w:val="32"/>
          <w:lang w:val="en-US" w:eastAsia="zh-CN" w:bidi="ar-SA"/>
          <w:highlight w:val="auto"/>
        </w:rPr>
        <w:t>无</w:t>
      </w:r>
    </w:p>
    <w:p>
      <w:pPr>
        <w:pStyle w:val="16"/>
        <w:pageBreakBefore w:val="0"/>
        <w:widowControl w:val="0"/>
        <w:tabs>
          <w:tab w:val="left" w:pos="2160"/>
        </w:tabs>
        <w:kinsoku/>
        <w:wordWrap/>
        <w:overflowPunct/>
        <w:topLinePunct w:val="0"/>
        <w:autoSpaceDE/>
        <w:autoSpaceDN/>
        <w:bidi w:val="0"/>
        <w:adjustRightInd/>
        <w:spacing w:line="600" w:lineRule="exact"/>
        <w:ind w:left="0" w:firstLineChars="200" w:firstLine="640"/>
        <w:textAlignment w:val="auto"/>
        <w:rPr>
          <w:rFonts w:ascii="Times New Roman" w:eastAsia="黑体" w:cs="Times New Roman" w:hAnsi="Times New Roman"/>
          <w:color w:val="auto"/>
          <w:kern w:val="0"/>
          <w:position w:val="3"/>
          <w:sz w:val="32"/>
          <w:szCs w:val="32"/>
          <w:u w:val="none"/>
          <w:lang w:val="zh-CN" w:eastAsia="zh-CN" w:bidi="ar-SA"/>
          <w:highlight w:val="auto"/>
        </w:rPr>
      </w:pPr>
      <w:r>
        <w:rPr>
          <w:rFonts w:ascii="Times New Roman" w:eastAsia="黑体" w:cs="Times New Roman" w:hAnsi="Times New Roman"/>
          <w:color w:val="auto"/>
          <w:kern w:val="0"/>
          <w:position w:val="3"/>
          <w:sz w:val="32"/>
          <w:szCs w:val="32"/>
          <w:u w:val="none"/>
          <w:lang w:val="zh-CN" w:eastAsia="zh-CN" w:bidi="ar-SA"/>
          <w:highlight w:val="auto"/>
        </w:rPr>
        <w:t>六、改进建议</w:t>
      </w:r>
    </w:p>
    <w:p>
      <w:pPr>
        <w:tabs>
          <w:tab w:val="left" w:pos="1911"/>
        </w:tabs>
        <w:jc w:val="left"/>
        <w:rPr>
          <w:rFonts w:ascii="Times New Roman" w:eastAsia="仿宋_GB2312" w:cs="Times New Roman" w:hAnsi="Times New Roman"/>
          <w:b w:val="0"/>
          <w:bCs w:val="0"/>
          <w:kern w:val="0"/>
          <w:position w:val="0"/>
          <w:sz w:val="32"/>
          <w:szCs w:val="32"/>
          <w:lang w:val="en-US" w:eastAsia="zh-CN" w:bidi="ar-SA"/>
          <w:highlight w:val="auto"/>
        </w:rPr>
      </w:pPr>
      <w:r>
        <w:rPr>
          <w:rFonts w:ascii="Times New Roman" w:eastAsia="仿宋_GB2312" w:cs="Times New Roman" w:hAnsi="Times New Roman"/>
          <w:color w:val="auto"/>
          <w:kern w:val="0"/>
          <w:sz w:val="32"/>
          <w:szCs w:val="32"/>
          <w:u w:val="none"/>
          <w:shd w:val="clear" w:color="auto" w:fill="FFFFFF"/>
          <w:lang w:val="zh-CN" w:eastAsia="zh-CN"/>
          <w:highlight w:val="auto"/>
        </w:rPr>
        <w:t xml:space="preserve"> </w:t>
      </w:r>
      <w:r>
        <w:rPr>
          <w:rFonts w:ascii="Times New Roman" w:cs="Times New Roman" w:hAnsi="Times New Roman"/>
          <w:b w:val="0"/>
          <w:bCs w:val="0"/>
          <w:kern w:val="0"/>
          <w:position w:val="0"/>
          <w:sz w:val="32"/>
          <w:szCs w:val="32"/>
          <w:lang w:val="en-US" w:eastAsia="zh-CN" w:bidi="ar-SA"/>
          <w:highlight w:val="auto"/>
        </w:rPr>
        <w:t xml:space="preserve">   </w:t>
      </w:r>
      <w:bookmarkStart w:id="91" w:name="_Hlk110546638"/>
      <w:r>
        <w:rPr>
          <w:rFonts w:cs="Times New Roman" w:hint="eastAsia"/>
          <w:b w:val="0"/>
          <w:bCs w:val="0"/>
          <w:kern w:val="0"/>
          <w:position w:val="0"/>
          <w:sz w:val="32"/>
          <w:szCs w:val="32"/>
          <w:lang w:val="en-US" w:eastAsia="zh-CN" w:bidi="ar-SA"/>
          <w:highlight w:val="auto"/>
        </w:rPr>
        <w:t>无</w:t>
      </w:r>
    </w:p>
    <w:p>
      <w:pPr>
        <w:pStyle w:val="16"/>
        <w:rPr>
          <w:rFonts w:ascii="Times New Roman" w:eastAsia="仿宋_GB2312" w:cs="Times New Roman" w:hAnsi="Times New Roman"/>
          <w:bCs/>
          <w:kern w:val="0"/>
          <w:sz w:val="32"/>
          <w:szCs w:val="32"/>
          <w:shd w:val="clear" w:color="auto" w:fill="FFFFFF"/>
          <w:lang w:val="zh-CN"/>
        </w:rPr>
      </w:pPr>
      <w:bookmarkEnd w:id="91"/>
    </w:p>
    <w:p>
      <w:pPr>
        <w:pStyle w:val="16"/>
        <w:rPr>
          <w:rFonts w:ascii="Times New Roman" w:eastAsia="仿宋_GB2312" w:cs="Times New Roman" w:hAnsi="Times New Roman"/>
          <w:bCs/>
          <w:kern w:val="0"/>
          <w:sz w:val="32"/>
          <w:szCs w:val="32"/>
          <w:shd w:val="clear" w:color="auto" w:fill="FFFFFF"/>
          <w:lang w:val="zh-CN"/>
        </w:rPr>
      </w:pPr>
    </w:p>
    <w:p>
      <w:pPr>
        <w:pStyle w:val="16"/>
        <w:rPr>
          <w:rFonts w:ascii="Times New Roman" w:eastAsia="仿宋_GB2312" w:cs="Times New Roman" w:hAnsi="Times New Roman"/>
          <w:bCs/>
          <w:kern w:val="0"/>
          <w:sz w:val="32"/>
          <w:szCs w:val="32"/>
          <w:shd w:val="clear" w:color="auto" w:fill="FFFFFF"/>
          <w:lang w:val="zh-CN"/>
        </w:rPr>
      </w:pPr>
    </w:p>
    <w:p>
      <w:pPr>
        <w:pStyle w:val="16"/>
        <w:rPr>
          <w:rFonts w:ascii="Times New Roman" w:eastAsia="仿宋_GB2312" w:cs="Times New Roman" w:hAnsi="Times New Roman"/>
          <w:bCs/>
          <w:kern w:val="0"/>
          <w:sz w:val="32"/>
          <w:szCs w:val="32"/>
          <w:shd w:val="clear" w:color="auto" w:fill="FFFFFF"/>
          <w:lang w:val="zh-CN"/>
        </w:rPr>
      </w:pPr>
    </w:p>
    <w:p>
      <w:pPr>
        <w:pStyle w:val="16"/>
        <w:rPr>
          <w:rFonts w:ascii="Times New Roman" w:eastAsia="仿宋_GB2312" w:cs="Times New Roman" w:hAnsi="Times New Roman"/>
          <w:bCs/>
          <w:kern w:val="0"/>
          <w:sz w:val="32"/>
          <w:szCs w:val="32"/>
          <w:shd w:val="clear" w:color="auto" w:fill="FFFFFF"/>
          <w:lang w:val="zh-CN"/>
        </w:rPr>
      </w:pPr>
    </w:p>
    <w:p>
      <w:pPr>
        <w:pStyle w:val="16"/>
        <w:rPr>
          <w:rFonts w:ascii="Times New Roman" w:eastAsia="仿宋_GB2312" w:cs="Times New Roman" w:hAnsi="Times New Roman"/>
          <w:bCs/>
          <w:kern w:val="0"/>
          <w:sz w:val="32"/>
          <w:szCs w:val="32"/>
          <w:shd w:val="clear" w:color="auto" w:fill="FFFFFF"/>
          <w:lang w:val="zh-CN"/>
        </w:rPr>
      </w:pPr>
    </w:p>
    <w:p>
      <w:pPr>
        <w:pStyle w:val="16"/>
        <w:rPr>
          <w:rFonts w:ascii="Times New Roman" w:eastAsia="仿宋_GB2312" w:cs="Times New Roman" w:hAnsi="Times New Roman"/>
          <w:bCs/>
          <w:kern w:val="0"/>
          <w:sz w:val="32"/>
          <w:szCs w:val="32"/>
          <w:shd w:val="clear" w:color="auto" w:fill="FFFFFF"/>
          <w:lang w:val="zh-CN"/>
        </w:rPr>
      </w:pPr>
    </w:p>
    <w:p>
      <w:pPr>
        <w:pStyle w:val="16"/>
        <w:rPr>
          <w:rFonts w:ascii="Times New Roman" w:eastAsia="仿宋_GB2312" w:cs="Times New Roman" w:hAnsi="Times New Roman"/>
          <w:bCs/>
          <w:kern w:val="0"/>
          <w:sz w:val="32"/>
          <w:szCs w:val="32"/>
          <w:shd w:val="clear" w:color="auto" w:fill="FFFFFF"/>
          <w:lang w:val="zh-CN"/>
        </w:rPr>
      </w:pPr>
    </w:p>
    <w:p>
      <w:pPr>
        <w:pStyle w:val="16"/>
        <w:rPr>
          <w:rFonts w:ascii="Times New Roman" w:eastAsia="仿宋_GB2312" w:cs="Times New Roman" w:hAnsi="Times New Roman"/>
          <w:bCs/>
          <w:kern w:val="0"/>
          <w:sz w:val="32"/>
          <w:szCs w:val="32"/>
          <w:shd w:val="clear" w:color="auto" w:fill="FFFFFF"/>
          <w:lang w:val="zh-CN"/>
        </w:rPr>
      </w:pPr>
    </w:p>
    <w:p>
      <w:pPr>
        <w:pStyle w:val="16"/>
        <w:rPr>
          <w:rFonts w:ascii="Times New Roman" w:eastAsia="仿宋_GB2312" w:cs="Times New Roman" w:hAnsi="Times New Roman"/>
          <w:bCs/>
          <w:kern w:val="0"/>
          <w:sz w:val="32"/>
          <w:szCs w:val="32"/>
          <w:shd w:val="clear" w:color="auto" w:fill="FFFFFF"/>
          <w:lang w:val="zh-CN"/>
        </w:rPr>
      </w:pPr>
    </w:p>
    <w:p>
      <w:pPr>
        <w:pStyle w:val="16"/>
        <w:rPr>
          <w:rFonts w:ascii="Times New Roman" w:eastAsia="仿宋_GB2312" w:cs="Times New Roman" w:hAnsi="Times New Roman"/>
          <w:bCs/>
          <w:kern w:val="0"/>
          <w:sz w:val="32"/>
          <w:szCs w:val="32"/>
          <w:shd w:val="clear" w:color="auto" w:fill="FFFFFF"/>
          <w:lang w:val="zh-CN"/>
        </w:rPr>
      </w:pPr>
    </w:p>
    <w:p>
      <w:pPr>
        <w:pStyle w:val="16"/>
        <w:rPr>
          <w:rFonts w:ascii="Times New Roman" w:eastAsia="仿宋_GB2312" w:cs="Times New Roman" w:hAnsi="Times New Roman"/>
          <w:bCs/>
          <w:kern w:val="0"/>
          <w:sz w:val="32"/>
          <w:szCs w:val="32"/>
          <w:shd w:val="clear" w:color="auto" w:fill="FFFFFF"/>
          <w:lang w:val="zh-CN"/>
        </w:rPr>
      </w:pPr>
    </w:p>
    <w:p>
      <w:pPr>
        <w:pStyle w:val="16"/>
        <w:rPr>
          <w:rFonts w:ascii="Times New Roman" w:eastAsia="仿宋_GB2312" w:cs="Times New Roman" w:hAnsi="Times New Roman"/>
          <w:bCs/>
          <w:kern w:val="0"/>
          <w:sz w:val="32"/>
          <w:szCs w:val="32"/>
          <w:shd w:val="clear" w:color="auto" w:fill="FFFFFF"/>
          <w:lang w:val="zh-CN"/>
        </w:rPr>
      </w:pPr>
    </w:p>
    <w:p>
      <w:pPr>
        <w:pageBreakBefore w:val="0"/>
        <w:widowControl w:val="0"/>
        <w:kinsoku/>
        <w:wordWrap/>
        <w:overflowPunct/>
        <w:topLinePunct w:val="0"/>
        <w:bidi w:val="0"/>
        <w:spacing w:line="576" w:lineRule="exact"/>
        <w:jc w:val="center"/>
        <w:outlineLvl w:val="0"/>
        <w:rPr>
          <w:rFonts w:ascii="Times New Roman" w:eastAsia="仿宋" w:cs="Times New Roman" w:hAnsi="Times New Roman"/>
        </w:rPr>
      </w:pPr>
      <w:bookmarkStart w:id="92" w:name="_Toc6708"/>
      <w:bookmarkStart w:id="93" w:name="_Toc15396618"/>
      <w:r>
        <w:rPr>
          <w:rFonts w:ascii="Times New Roman" w:eastAsia="黑体" w:cs="Times New Roman" w:hAnsi="Times New Roman"/>
          <w:sz w:val="44"/>
          <w:szCs w:val="44"/>
        </w:rPr>
        <w:t>第</w:t>
      </w:r>
      <w:r>
        <w:rPr>
          <w:rStyle w:val="1Char"/>
          <w:rFonts w:ascii="Times New Roman" w:eastAsia="黑体" w:cs="Times New Roman" w:hAnsi="Times New Roman"/>
          <w:b w:val="0"/>
        </w:rPr>
        <w:t>五部分 附表</w:t>
      </w:r>
      <w:bookmarkStart w:id="94" w:name="_Toc15396619"/>
      <w:bookmarkEnd w:id="92"/>
      <w:bookmarkEnd w:id="93"/>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5" w:name="_Toc8248"/>
      <w:r>
        <w:rPr>
          <w:rFonts w:ascii="Times New Roman" w:eastAsia="仿宋" w:cs="Times New Roman" w:hAnsi="Times New Roman"/>
          <w:b w:val="0"/>
        </w:rPr>
        <w:t>一、收</w:t>
      </w:r>
      <w:r>
        <w:rPr>
          <w:rStyle w:val="2Char"/>
          <w:rFonts w:ascii="Times New Roman" w:eastAsia="仿宋" w:cs="Times New Roman" w:hAnsi="Times New Roman"/>
          <w:b w:val="0"/>
          <w:bCs w:val="0"/>
        </w:rPr>
        <w:t>入支出决算总表</w:t>
      </w:r>
      <w:bookmarkEnd w:id="94"/>
      <w:bookmarkEnd w:id="95"/>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6" w:name="_Toc15396620"/>
      <w:bookmarkStart w:id="97" w:name="_Toc6712"/>
      <w:r>
        <w:rPr>
          <w:rFonts w:ascii="Times New Roman" w:eastAsia="仿宋" w:cs="Times New Roman" w:hAnsi="Times New Roman"/>
          <w:b w:val="0"/>
        </w:rPr>
        <w:t>二、收</w:t>
      </w:r>
      <w:r>
        <w:rPr>
          <w:rStyle w:val="2Char"/>
          <w:rFonts w:ascii="Times New Roman" w:eastAsia="仿宋" w:cs="Times New Roman" w:hAnsi="Times New Roman"/>
          <w:b w:val="0"/>
          <w:bCs w:val="0"/>
        </w:rPr>
        <w:t>入决算表</w:t>
      </w:r>
      <w:bookmarkEnd w:id="96"/>
      <w:bookmarkEnd w:id="97"/>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8" w:name="_Toc15396621"/>
      <w:bookmarkStart w:id="99" w:name="_Toc4350"/>
      <w:r>
        <w:rPr>
          <w:rStyle w:val="2Char"/>
          <w:rFonts w:ascii="Times New Roman" w:eastAsia="仿宋" w:cs="Times New Roman" w:hAnsi="Times New Roman"/>
          <w:b w:val="0"/>
          <w:bCs w:val="0"/>
        </w:rPr>
        <w:t>三、</w:t>
      </w:r>
      <w:r>
        <w:rPr>
          <w:rFonts w:ascii="Times New Roman" w:eastAsia="仿宋" w:cs="Times New Roman" w:hAnsi="Times New Roman"/>
          <w:b w:val="0"/>
        </w:rPr>
        <w:t>支</w:t>
      </w:r>
      <w:r>
        <w:rPr>
          <w:rStyle w:val="2Char"/>
          <w:rFonts w:ascii="Times New Roman" w:eastAsia="仿宋" w:cs="Times New Roman" w:hAnsi="Times New Roman"/>
          <w:b w:val="0"/>
          <w:bCs w:val="0"/>
        </w:rPr>
        <w:t>出决算表</w:t>
      </w:r>
      <w:bookmarkEnd w:id="98"/>
      <w:bookmarkEnd w:id="99"/>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b w:val="0"/>
        </w:rPr>
      </w:pPr>
      <w:bookmarkStart w:id="100" w:name="_Toc9094"/>
      <w:bookmarkStart w:id="101" w:name="_Toc15396622"/>
      <w:r>
        <w:rPr>
          <w:rStyle w:val="2Char"/>
          <w:rFonts w:ascii="Times New Roman" w:eastAsia="仿宋" w:cs="Times New Roman" w:hAnsi="Times New Roman"/>
          <w:b w:val="0"/>
          <w:bCs w:val="0"/>
        </w:rPr>
        <w:t>四、</w:t>
      </w:r>
      <w:r>
        <w:rPr>
          <w:rFonts w:ascii="Times New Roman" w:eastAsia="仿宋" w:cs="Times New Roman" w:hAnsi="Times New Roman"/>
          <w:b w:val="0"/>
        </w:rPr>
        <w:t>财</w:t>
      </w:r>
      <w:r>
        <w:rPr>
          <w:rStyle w:val="2Char"/>
          <w:rFonts w:ascii="Times New Roman" w:eastAsia="仿宋" w:cs="Times New Roman" w:hAnsi="Times New Roman"/>
          <w:b w:val="0"/>
          <w:bCs w:val="0"/>
        </w:rPr>
        <w:t>政拨款收入支出决算总表</w:t>
      </w:r>
      <w:bookmarkEnd w:id="100"/>
      <w:bookmarkEnd w:id="101"/>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102" w:name="_Toc22482"/>
      <w:bookmarkStart w:id="103" w:name="_Toc15396623"/>
      <w:r>
        <w:rPr>
          <w:rStyle w:val="2Char"/>
          <w:rFonts w:ascii="Times New Roman" w:eastAsia="仿宋" w:cs="Times New Roman" w:hAnsi="Times New Roman"/>
          <w:b w:val="0"/>
          <w:bCs w:val="0"/>
        </w:rPr>
        <w:t>五、</w:t>
      </w:r>
      <w:r>
        <w:rPr>
          <w:rFonts w:ascii="Times New Roman" w:eastAsia="仿宋" w:cs="Times New Roman" w:hAnsi="Times New Roman"/>
          <w:b w:val="0"/>
        </w:rPr>
        <w:t>财</w:t>
      </w:r>
      <w:r>
        <w:rPr>
          <w:rStyle w:val="2Char"/>
          <w:rFonts w:ascii="Times New Roman" w:eastAsia="仿宋" w:cs="Times New Roman" w:hAnsi="Times New Roman"/>
          <w:b w:val="0"/>
          <w:bCs w:val="0"/>
        </w:rPr>
        <w:t>政拨款支出决算明细表</w:t>
      </w:r>
      <w:bookmarkStart w:id="104" w:name="_Toc15396624"/>
      <w:bookmarkEnd w:id="102"/>
      <w:bookmarkEnd w:id="103"/>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5" w:name="_Toc17906"/>
      <w:r>
        <w:rPr>
          <w:rStyle w:val="2Char"/>
          <w:rFonts w:ascii="Times New Roman" w:eastAsia="仿宋" w:cs="Times New Roman" w:hAnsi="Times New Roman"/>
          <w:b w:val="0"/>
          <w:bCs w:val="0"/>
        </w:rPr>
        <w:t>六、</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般公共预算财政拨款支出决算表</w:t>
      </w:r>
      <w:bookmarkEnd w:id="104"/>
      <w:bookmarkEnd w:id="105"/>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6" w:name="_Toc11894"/>
      <w:bookmarkStart w:id="107" w:name="_Toc15396625"/>
      <w:r>
        <w:rPr>
          <w:rStyle w:val="2Char"/>
          <w:rFonts w:ascii="Times New Roman" w:eastAsia="仿宋" w:cs="Times New Roman" w:hAnsi="Times New Roman"/>
          <w:b w:val="0"/>
          <w:bCs w:val="0"/>
        </w:rPr>
        <w:t>七、</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般公共预算财政拨款支出决算明细表</w:t>
      </w:r>
      <w:bookmarkEnd w:id="106"/>
      <w:bookmarkEnd w:id="107"/>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8" w:name="_Toc8305"/>
      <w:bookmarkStart w:id="109" w:name="_Toc15396626"/>
      <w:r>
        <w:rPr>
          <w:rStyle w:val="2Char"/>
          <w:rFonts w:ascii="Times New Roman" w:eastAsia="仿宋" w:cs="Times New Roman" w:hAnsi="Times New Roman"/>
          <w:b w:val="0"/>
          <w:bCs w:val="0"/>
        </w:rPr>
        <w:t>八、</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般公共预算财政拨款基本支出决算表</w:t>
      </w:r>
      <w:bookmarkEnd w:id="108"/>
      <w:bookmarkEnd w:id="109"/>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10" w:name="_Toc15197"/>
      <w:bookmarkStart w:id="111" w:name="_Toc15396627"/>
      <w:r>
        <w:rPr>
          <w:rStyle w:val="2Char"/>
          <w:rFonts w:ascii="Times New Roman" w:eastAsia="仿宋" w:cs="Times New Roman" w:hAnsi="Times New Roman"/>
          <w:b w:val="0"/>
          <w:bCs w:val="0"/>
        </w:rPr>
        <w:t>九、</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般公共预算财政拨款项目支出决算表</w:t>
      </w:r>
      <w:bookmarkEnd w:id="110"/>
      <w:bookmarkEnd w:id="111"/>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12" w:name="_Toc15396628"/>
      <w:bookmarkStart w:id="113" w:name="_Toc32177"/>
      <w:r>
        <w:rPr>
          <w:rStyle w:val="2Char"/>
          <w:rFonts w:ascii="Times New Roman" w:eastAsia="仿宋" w:cs="Times New Roman" w:hAnsi="Times New Roman"/>
          <w:b w:val="0"/>
          <w:bCs w:val="0"/>
        </w:rPr>
        <w:t>十、</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般公共预算财政拨款“三公”经费支出决算表</w:t>
      </w:r>
      <w:bookmarkEnd w:id="112"/>
      <w:bookmarkEnd w:id="113"/>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14" w:name="_Toc15396629"/>
      <w:bookmarkStart w:id="115" w:name="_Toc26843636"/>
      <w:r>
        <w:rPr>
          <w:rStyle w:val="2Char"/>
          <w:rFonts w:ascii="Times New Roman" w:eastAsia="仿宋" w:cs="Times New Roman" w:hAnsi="Times New Roman"/>
          <w:b w:val="0"/>
          <w:bCs w:val="0"/>
        </w:rPr>
        <w:t>十一、</w:t>
      </w:r>
      <w:r>
        <w:rPr>
          <w:rFonts w:ascii="Times New Roman" w:eastAsia="仿宋" w:cs="Times New Roman" w:hAnsi="Times New Roman"/>
          <w:b w:val="0"/>
        </w:rPr>
        <w:t>政</w:t>
      </w:r>
      <w:r>
        <w:rPr>
          <w:rStyle w:val="2Char"/>
          <w:rFonts w:ascii="Times New Roman" w:eastAsia="仿宋" w:cs="Times New Roman" w:hAnsi="Times New Roman"/>
          <w:b w:val="0"/>
          <w:bCs w:val="0"/>
        </w:rPr>
        <w:t>府性基金预算财政拨款收入支出决算表</w:t>
      </w:r>
      <w:bookmarkEnd w:id="114"/>
      <w:bookmarkEnd w:id="115"/>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16" w:name="_Toc26843637"/>
      <w:bookmarkStart w:id="117" w:name="_Toc15396630"/>
      <w:r>
        <w:rPr>
          <w:rStyle w:val="2Char"/>
          <w:rFonts w:ascii="Times New Roman" w:eastAsia="仿宋" w:cs="Times New Roman" w:hAnsi="Times New Roman"/>
          <w:b w:val="0"/>
          <w:bCs w:val="0"/>
        </w:rPr>
        <w:t>十二、</w:t>
      </w:r>
      <w:r>
        <w:rPr>
          <w:rFonts w:ascii="Times New Roman" w:eastAsia="仿宋" w:cs="Times New Roman" w:hAnsi="Times New Roman"/>
          <w:b w:val="0"/>
        </w:rPr>
        <w:t>政</w:t>
      </w:r>
      <w:r>
        <w:rPr>
          <w:rStyle w:val="2Char"/>
          <w:rFonts w:ascii="Times New Roman" w:eastAsia="仿宋" w:cs="Times New Roman" w:hAnsi="Times New Roman"/>
          <w:b w:val="0"/>
          <w:bCs w:val="0"/>
        </w:rPr>
        <w:t>府性基金预算财政拨款“三公”经费支出决算表</w:t>
      </w:r>
      <w:bookmarkEnd w:id="116"/>
      <w:bookmarkEnd w:id="117"/>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118" w:name="_Toc15396631"/>
      <w:bookmarkStart w:id="119" w:name="_Toc26843638"/>
      <w:r>
        <w:rPr>
          <w:rStyle w:val="2Char"/>
          <w:rFonts w:ascii="Times New Roman" w:eastAsia="仿宋" w:cs="Times New Roman" w:hAnsi="Times New Roman"/>
          <w:b w:val="0"/>
          <w:bCs w:val="0"/>
        </w:rPr>
        <w:t>十三、</w:t>
      </w:r>
      <w:r>
        <w:rPr>
          <w:rFonts w:ascii="Times New Roman" w:eastAsia="仿宋" w:cs="Times New Roman" w:hAnsi="Times New Roman"/>
          <w:b w:val="0"/>
        </w:rPr>
        <w:t>国</w:t>
      </w:r>
      <w:r>
        <w:rPr>
          <w:rStyle w:val="2Char"/>
          <w:rFonts w:ascii="Times New Roman" w:eastAsia="仿宋" w:cs="Times New Roman" w:hAnsi="Times New Roman"/>
          <w:b w:val="0"/>
          <w:bCs w:val="0"/>
        </w:rPr>
        <w:t>有资本经营预算财政拨款收入支出决算表</w:t>
      </w:r>
      <w:bookmarkEnd w:id="118"/>
      <w:bookmarkEnd w:id="119"/>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Pr>
      <w:bookmarkEnd w:id="89"/>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altName w:val="DejaVu Sans"/>
    <w:panose1 w:val="02020603050405020304"/>
    <w:charset w:val="01"/>
    <w:family w:val="auto"/>
    <w:pitch w:val="variable"/>
    <w:sig w:usb0="E0002EFF" w:usb1="C000785B" w:usb2="00000009" w:usb3="00000000" w:csb0="400001FF" w:csb1="FFFF0000"/>
  </w:font>
  <w:font w:name="方正小标宋简体">
    <w:altName w:val="AR PL UKai CN"/>
    <w:panose1 w:val="03000509000000000000"/>
    <w:charset w:val="86"/>
    <w:family w:val="script"/>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EFF" w:usb1="C000785B" w:usb2="00000009" w:usb3="00000000" w:csb0="400001FF" w:csb1="FFFF0000"/>
  </w:font>
  <w:font w:name="仿宋">
    <w:altName w:val="仿宋_GB2312"/>
    <w:panose1 w:val="02010609060101010101"/>
    <w:charset w:val="86"/>
    <w:family w:val="auto"/>
    <w:pitch w:val="variable"/>
    <w:sig w:usb0="800002BF" w:usb1="38CF7CFA" w:usb2="00000016" w:usb3="00000000" w:csb0="00040001" w:csb1="00000000"/>
  </w:font>
  <w:font w:name="方正黑体_GBK">
    <w:altName w:val="微软雅黑"/>
    <w:panose1 w:val="03000509000000000000"/>
    <w:charset w:val="86"/>
    <w:family w:val="auto"/>
    <w:pitch w:val="variable"/>
    <w:sig w:usb0="00000000" w:usb1="00000000" w:usb2="00000000" w:usb3="00000000" w:csb0="00040000" w:csb1="00000000"/>
  </w:font>
  <w:font w:name="宋体">
    <w:altName w:val="方正书宋_GBK"/>
    <w:panose1 w:val="02010600030101010101"/>
    <w:charset w:val="7A"/>
    <w:family w:val="auto"/>
    <w:pitch w:val="variable"/>
    <w:sig w:usb0="00000003" w:usb1="288F0000" w:usb2="00000006" w:usb3="00000000" w:csb0="00040001" w:csb1="00000000"/>
  </w:font>
  <w:font w:name="楷体_GB2312">
    <w:altName w:val="楷体"/>
    <w:panose1 w:val="02010609030101010101"/>
    <w:charset w:val="86"/>
    <w:family w:val="modern"/>
    <w:pitch w:val="variable"/>
    <w:sig w:usb0="00000000" w:usb1="00000000" w:usb2="00000000" w:usb3="00000000" w:csb0="00040000" w:csb1="00000000"/>
  </w:font>
  <w:font w:name="微软雅黑">
    <w:altName w:val="AR PL UKai CN"/>
    <w:panose1 w:val="020B0503020204020204"/>
    <w:charset w:val="86"/>
    <w:family w:val="auto"/>
    <w:pitch w:val="variable"/>
    <w:sig w:usb0="80000287" w:usb1="2ACF3C50" w:usb2="00000016" w:usb3="00000000" w:csb0="0004001F" w:csb1="00000000"/>
  </w:font>
  <w:font w:name="Cambria">
    <w:altName w:val="DejaVu Sans"/>
    <w:panose1 w:val="02040503050406030204"/>
    <w:charset w:val="00"/>
    <w:family w:val="roman"/>
    <w:pitch w:val="variable"/>
    <w:sig w:usb0="E00006FF" w:usb1="420024FF" w:usb2="02000000" w:usb3="00000000" w:csb0="2000019F" w:csb1="00000000"/>
  </w:font>
  <w:font w:name="Calibri">
    <w:altName w:val="DejaVu Sans"/>
    <w:panose1 w:val="020F0502020204030204"/>
    <w:charset w:val="00"/>
    <w:family w:val="swiss"/>
    <w:pitch w:val="variable"/>
    <w:sig w:usb0="E4002EFF" w:usb1="C000247B" w:usb2="00000009" w:usb3="00000000" w:csb0="200001FF" w:csb1="00000000"/>
  </w:font>
  <w:font w:name="??">
    <w:altName w:val="AR PL UKai CN"/>
    <w:panose1 w:val="00000000000000000000"/>
    <w:charset w:val="00"/>
    <w:family w:val="roman"/>
    <w:pitch w:val="variable"/>
    <w:sig w:usb0="00000000" w:usb1="00000000" w:usb2="00000000"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49150153"/>
    </w:sdtPr>
    <w:sdtContent>
      <w:p>
        <w:pPr>
          <w:pStyle w:val="21"/>
          <w:tabs>
            <w:tab w:val="center" w:pos="4153"/>
            <w:tab w:val="right" w:pos="8306"/>
          </w:tabs>
          <w:jc w:val="center"/>
        </w:pPr>
        <w:r>
          <w:fldChar w:fldCharType="begin"/>
        </w:r>
        <w:r>
          <w:instrText>PAGE   \* MERGEFORMAT</w:instrText>
        </w:r>
        <w:r>
          <w:fldChar w:fldCharType="separate"/>
        </w:r>
        <w:r>
          <w:rPr>
            <w:lang w:val="zh-CN"/>
          </w:rPr>
          <w:t>8</w:t>
        </w:r>
        <w:r>
          <w:fldChar w:fldCharType="end"/>
        </w:r>
      </w:p>
    </w:sdtContent>
  </w:sdt>
  <w:p>
    <w:pPr>
      <w:pStyle w:val="21"/>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62621CDC"/>
    <w:multiLevelType w:val="multilevel"/>
    <w:tmpl w:val="62621CDC"/>
    <w:lvl w:ilvl="0">
      <w:start w:val="1"/>
      <w:numFmt w:val="decimal"/>
      <w:lvlRestart w:val="0"/>
      <w:lvlText w:val="%1."/>
      <w:lvlJc w:val="left"/>
      <w:pPr>
        <w:tabs>
          <w:tab w:val="num" w:pos="0"/>
        </w:tabs>
        <w:ind w:left="1152" w:hanging="480"/>
      </w:pPr>
      <w:rPr>
        <w:rFonts w:hint="default"/>
      </w:rPr>
    </w:lvl>
    <w:lvl w:ilvl="1">
      <w:start w:val="1"/>
      <w:numFmt w:val="lowerLetter"/>
      <w:lvlText w:val="%2)"/>
      <w:lvlJc w:val="left"/>
      <w:pPr>
        <w:tabs>
          <w:tab w:val="num" w:pos="0"/>
        </w:tabs>
        <w:ind w:left="1512" w:hanging="420"/>
      </w:pPr>
    </w:lvl>
    <w:lvl w:ilvl="2">
      <w:start w:val="1"/>
      <w:numFmt w:val="lowerRoman"/>
      <w:lvlText w:val="%3."/>
      <w:lvlJc w:val="right"/>
      <w:pPr>
        <w:tabs>
          <w:tab w:val="num" w:pos="0"/>
        </w:tabs>
        <w:ind w:left="1932" w:hanging="420"/>
      </w:pPr>
    </w:lvl>
    <w:lvl w:ilvl="3">
      <w:start w:val="1"/>
      <w:numFmt w:val="decimal"/>
      <w:lvlText w:val="%4."/>
      <w:lvlJc w:val="left"/>
      <w:pPr>
        <w:tabs>
          <w:tab w:val="num" w:pos="0"/>
        </w:tabs>
        <w:ind w:left="2352" w:hanging="420"/>
      </w:pPr>
    </w:lvl>
    <w:lvl w:ilvl="4">
      <w:start w:val="1"/>
      <w:numFmt w:val="lowerLetter"/>
      <w:lvlText w:val="%5)"/>
      <w:lvlJc w:val="left"/>
      <w:pPr>
        <w:tabs>
          <w:tab w:val="num" w:pos="0"/>
        </w:tabs>
        <w:ind w:left="2772" w:hanging="420"/>
      </w:pPr>
    </w:lvl>
    <w:lvl w:ilvl="5">
      <w:start w:val="1"/>
      <w:numFmt w:val="lowerRoman"/>
      <w:lvlText w:val="%6."/>
      <w:lvlJc w:val="right"/>
      <w:pPr>
        <w:tabs>
          <w:tab w:val="num" w:pos="0"/>
        </w:tabs>
        <w:ind w:left="3192" w:hanging="420"/>
      </w:pPr>
    </w:lvl>
    <w:lvl w:ilvl="6">
      <w:start w:val="1"/>
      <w:numFmt w:val="decimal"/>
      <w:lvlText w:val="%7."/>
      <w:lvlJc w:val="left"/>
      <w:pPr>
        <w:tabs>
          <w:tab w:val="num" w:pos="0"/>
        </w:tabs>
        <w:ind w:left="3612" w:hanging="420"/>
      </w:pPr>
    </w:lvl>
    <w:lvl w:ilvl="7">
      <w:start w:val="1"/>
      <w:numFmt w:val="lowerLetter"/>
      <w:lvlText w:val="%8)"/>
      <w:lvlJc w:val="left"/>
      <w:pPr>
        <w:tabs>
          <w:tab w:val="num" w:pos="0"/>
        </w:tabs>
        <w:ind w:left="4032" w:hanging="420"/>
      </w:pPr>
    </w:lvl>
    <w:lvl w:ilvl="8">
      <w:start w:val="1"/>
      <w:numFmt w:val="lowerRoman"/>
      <w:lvlText w:val="%9."/>
      <w:lvlJc w:val="right"/>
      <w:pPr>
        <w:tabs>
          <w:tab w:val="num" w:pos="0"/>
        </w:tabs>
        <w:ind w:left="4452" w:hanging="420"/>
      </w:pPr>
    </w:lvl>
  </w:abstractNum>
  <w:abstractNum w:abstractNumId="1">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2">
    <w:nsid w:val="DE0193FB"/>
    <w:multiLevelType w:val="singleLevel"/>
    <w:tmpl w:val="DE0193FB"/>
    <w:lvl w:ilvl="0">
      <w:start w:val="4"/>
      <w:numFmt w:val="decimal"/>
      <w:lvlRestart w:val="0"/>
      <w:lvlText w:val="%1."/>
      <w:lvlJc w:val="left"/>
      <w:pPr>
        <w:tabs>
          <w:tab w:val="num" w:pos="0"/>
        </w:tabs>
        <w:ind w:left="0" w:hanging="0"/>
      </w:pPr>
    </w:lvl>
  </w:abstractNum>
  <w:abstractNum w:abstractNumId="3">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4">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5">
    <w:nsid w:val="B094DE4A"/>
    <w:multiLevelType w:val="multilevel"/>
    <w:tmpl w:val="B094DE4A"/>
    <w:lvl w:ilvl="0">
      <w:start w:val="1"/>
      <w:numFmt w:val="chineseCountingThousand"/>
      <w:lvlRestart w:val="0"/>
      <w:lvlText w:val="（%1）"/>
      <w:lvlJc w:val="left"/>
      <w:pPr>
        <w:tabs>
          <w:tab w:val="num" w:pos="0"/>
        </w:tabs>
        <w:ind w:left="1600" w:hanging="960"/>
      </w:pPr>
      <w:rPr>
        <w:rFonts w:ascii="仿宋_GB2312" w:hAnsi="仿宋_GB2312" w:eastAsia="仿宋_GB2312" w:cs="宋体" w:hint="default"/>
        <w:sz w:val="32"/>
        <w:szCs w:val="32"/>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6">
    <w:nsid w:val="B4E87BDB"/>
    <w:multiLevelType w:val="singleLevel"/>
    <w:tmpl w:val="B4E87BDB"/>
    <w:lvl w:ilvl="0">
      <w:start w:val="2"/>
      <w:numFmt w:val="chineseCounting"/>
      <w:lvlRestart w:val="0"/>
      <w:suff w:val="nothing"/>
      <w:lvlText w:val="（%1）"/>
      <w:lvlJc w:val="left"/>
      <w:pPr>
        <w:tabs>
          <w:tab w:val="num" w:pos="0"/>
        </w:tabs>
        <w:ind w:left="64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docVar w:name="commondata" w:val="eyJoZGlkIjoiNDAwZGE5ZTdmMDgyOGI0ZTA3MTFiOWY1MDY1MWU0MG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标题 5（有编号）（绿盟科技）"/>
    <w:next w:val="0"/>
    <w:pPr>
      <w:keepNext/>
      <w:keepLines/>
      <w:widowControl w:val="0"/>
      <w:spacing w:before="280" w:after="156" w:line="377" w:lineRule="auto"/>
      <w:outlineLvl w:val="4"/>
    </w:pPr>
    <w:rPr>
      <w:rFonts w:ascii="Arial" w:eastAsia="黑体" w:cs="Times New Roman" w:hAnsi="Arial"/>
      <w:b/>
      <w:kern w:val="2"/>
      <w:sz w:val="24"/>
      <w:szCs w:val="28"/>
      <w:lang w:val="en-US" w:eastAsia="zh-CN" w:bidi="ar-SA"/>
    </w:rPr>
  </w:style>
  <w:style w:type="paragraph" w:styleId="16">
    <w:name w:val="Body Text"/>
    <w:basedOn w:val="0"/>
    <w:pPr>
      <w:spacing w:beforeLines="30" w:before="30"/>
    </w:pPr>
    <w:rPr>
      <w:rFonts w:ascii="仿宋_GB2312" w:eastAsia="仿宋_GB2312"/>
      <w:kern w:val="0"/>
      <w:sz w:val="30"/>
    </w:rPr>
  </w:style>
  <w:style w:type="paragraph" w:styleId="17">
    <w:name w:val="Body Text Indent"/>
    <w:basedOn w:val="0"/>
    <w:next w:val="18"/>
    <w:pPr>
      <w:spacing w:after="120"/>
      <w:ind w:leftChars="200" w:left="200"/>
    </w:pPr>
    <w:rPr>
      <w:rFonts w:ascii="仿宋_GB2312" w:hAnsi="仿宋_GB2312"/>
      <w:szCs w:val="32"/>
    </w:rPr>
  </w:style>
  <w:style w:type="paragraph" w:styleId="18">
    <w:name w:val="Body Text First Indent 2"/>
    <w:basedOn w:val="17"/>
    <w:pPr>
      <w:ind w:firstLineChars="200" w:firstLine="200"/>
    </w:pPr>
  </w:style>
  <w:style w:type="paragraph" w:styleId="19">
    <w:name w:val="toc 3"/>
    <w:basedOn w:val="0"/>
    <w:next w:val="0"/>
    <w:pPr>
      <w:tabs>
        <w:tab w:val="right" w:leader="dot" w:pos="8296"/>
      </w:tabs>
      <w:ind w:leftChars="400" w:left="400"/>
    </w:p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rFonts w:ascii="Calibri" w:hAnsi="Calibri"/>
      <w:kern w:val="0"/>
      <w:sz w:val="18"/>
      <w:szCs w:val="18"/>
    </w:rPr>
  </w:style>
  <w:style w:type="paragraph" w:styleId="22">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3">
    <w:name w:val="toc 1"/>
    <w:basedOn w:val="0"/>
    <w:next w:val="0"/>
    <w:pPr>
      <w:tabs>
        <w:tab w:val="right" w:leader="dot" w:pos="8296"/>
      </w:tabs>
      <w:spacing w:before="93"/>
      <w:jc w:val="center"/>
    </w:pPr>
    <w:rPr>
      <w:rFonts w:ascii="仿宋" w:eastAsia="仿宋"/>
      <w:sz w:val="28"/>
      <w:szCs w:val="28"/>
    </w:rPr>
  </w:style>
  <w:style w:type="paragraph" w:styleId="24">
    <w:name w:val="table of figures"/>
    <w:basedOn w:val="0"/>
    <w:next w:val="0"/>
    <w:pPr>
      <w:ind w:leftChars="200" w:left="400" w:hangingChars="200" w:hanging="200"/>
    </w:pPr>
  </w:style>
  <w:style w:type="paragraph" w:styleId="25">
    <w:name w:val="toc 2"/>
    <w:basedOn w:val="0"/>
    <w:next w:val="0"/>
    <w:pPr>
      <w:tabs>
        <w:tab w:val="right" w:leader="dot" w:pos="8296"/>
      </w:tabs>
      <w:ind w:leftChars="200" w:left="200"/>
    </w:pPr>
  </w:style>
  <w:style w:type="character" w:styleId="26">
    <w:name w:val="Strong"/>
    <w:basedOn w:val="10"/>
    <w:rPr>
      <w:b/>
    </w:rPr>
  </w:style>
  <w:style w:type="character" w:styleId="27">
    <w:name w:val="Hyperlink"/>
    <w:basedOn w:val="10"/>
    <w:rPr>
      <w:color w:val="0000FF"/>
      <w:u w:val="single"/>
    </w:rPr>
  </w:style>
  <w:style w:type="character" w:customStyle="1" w:styleId="28">
    <w:name w:val="Header Char"/>
    <w:basedOn w:val="10"/>
    <w:rPr>
      <w:rFonts w:ascii="Times New Roman" w:hAnsi="Times New Roman"/>
      <w:sz w:val="18"/>
      <w:szCs w:val="18"/>
    </w:rPr>
  </w:style>
  <w:style w:type="character" w:customStyle="1" w:styleId="29">
    <w:name w:val="Footer Char"/>
    <w:basedOn w:val="10"/>
    <w:rPr>
      <w:rFonts w:ascii="Times New Roman" w:hAnsi="Times New Roman"/>
      <w:sz w:val="18"/>
      <w:szCs w:val="18"/>
    </w:rPr>
  </w:style>
  <w:style w:type="character" w:customStyle="1" w:styleId="30">
    <w:name w:val="Body Text Char"/>
    <w:basedOn w:val="10"/>
    <w:rPr>
      <w:rFonts w:ascii="Times New Roman" w:hAnsi="Times New Roman"/>
      <w:szCs w:val="24"/>
    </w:rPr>
  </w:style>
  <w:style w:type="paragraph" w:customStyle="1" w:styleId="31">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2">
    <w:name w:val="List Paragraph"/>
    <w:basedOn w:val="0"/>
    <w:pPr>
      <w:ind w:firstLineChars="200" w:firstLine="200"/>
    </w:pPr>
  </w:style>
  <w:style w:type="paragraph" w:customStyle="1" w:styleId="33">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4">
    <w:name w:val="TOC 标题2"/>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5">
    <w:name w:val="文档正文"/>
    <w:pPr>
      <w:adjustRightInd w:val="0"/>
      <w:spacing w:line="480" w:lineRule="atLeast"/>
      <w:textAlignment w:val="baseline"/>
    </w:pPr>
    <w:rPr>
      <w:rFonts w:ascii="Arial" w:eastAsia="宋体" w:cs="Times New Roman" w:hAnsi="Arial"/>
      <w:kern w:val="0"/>
      <w:sz w:val="20"/>
      <w:szCs w:val="20"/>
      <w:lang w:val="en-US" w:eastAsia="zh-CN" w:bidi="ar-SA"/>
    </w:rPr>
  </w:style>
  <w:style w:type="paragraph" w:customStyle="1" w:styleId="36">
    <w:name w:val="四号正文"/>
    <w:basedOn w:val="0"/>
    <w:pPr>
      <w:spacing w:line="360" w:lineRule="auto"/>
    </w:pPr>
    <w:rPr>
      <w:rFonts w:ascii="??" w:eastAsia="宋体" w:hAnsi="??"/>
      <w:color w:val="000000"/>
      <w:kern w:val="0"/>
      <w:sz w:val="28"/>
      <w:szCs w:val="21"/>
      <w:lang w:val="zh-CN"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Lucida Sans"/>
              </a:defRPr>
            </a:pPr>
            <a:r>
              <a:rPr lang="zh-CN"/>
              <a:t> </a:t>
            </a:r>
          </a:p>
        </c:rich>
      </c:tx>
      <c:layout>
        <c:manualLayout>
          <c:xMode val="edge"/>
          <c:yMode val="edge"/>
          <c:x val="0.3960356"/>
          <c:y val="0.007473842"/>
        </c:manualLayout>
      </c:layout>
      <c:overlay val="0"/>
      <c:spPr>
        <a:noFill/>
        <a:ln>
          <a:noFill/>
        </a:ln>
      </c:spPr>
    </c:title>
    <c:autoTitleDeleted val="1"/>
    <c:plotArea>
      <c:layout/>
      <c:barChart>
        <c:barDir val="col"/>
        <c:grouping val="clustered"/>
        <c:varyColors val="0"/>
        <c:ser>
          <c:idx val="0"/>
          <c:order val="0"/>
          <c:tx>
            <c:strRef>
              <c:f>'Sheet1 (3)'!$B$1</c:f>
              <c:strCache>
                <c:ptCount val="1"/>
                <c:pt idx="0">
                  <c:v/>
                </c:pt>
              </c:strCache>
            </c:strRef>
          </c:tx>
          <c:spPr>
            <a:solidFill>
              <a:srgbClr val="4F81BD"/>
            </a:solidFill>
            <a:ln>
              <a:noFill/>
            </a:ln>
          </c:spPr>
          <c:invertIfNegative val="0"/>
          <c:dPt>
            <c:idx val="0"/>
            <c:invertIfNegative val="0"/>
            <c:bubble3D val="0"/>
            <c:spPr>
              <a:solidFill>
                <a:srgbClr val="4F81BD"/>
              </a:solidFill>
              <a:ln>
                <a:noFill/>
              </a:ln>
              <a:effectLst>
                <a:outerShdw dist="35921" dir="2700000" algn="br">
                  <a:srgbClr val="000000"/>
                </a:outerShdw>
              </a:effectLst>
            </c:spPr>
          </c:dPt>
          <c:dPt>
            <c:idx val="1"/>
            <c:invertIfNegative val="0"/>
            <c:bubble3D val="0"/>
            <c:spPr>
              <a:solidFill>
                <a:srgbClr val="C0504D"/>
              </a:solidFill>
              <a:ln>
                <a:noFill/>
              </a:ln>
              <a:effectLst>
                <a:outerShdw dist="35921" dir="2700000" algn="br">
                  <a:srgbClr val="000000"/>
                </a:outerShdw>
              </a:effectLst>
            </c:spPr>
          </c:dPt>
          <c:dPt>
            <c:idx val="2"/>
            <c:invertIfNegative val="0"/>
            <c:bubble3D val="0"/>
            <c:spPr>
              <a:solidFill>
                <a:srgbClr val="9BBB59"/>
              </a:solidFill>
              <a:ln>
                <a:noFill/>
              </a:ln>
              <a:effectLst>
                <a:outerShdw dist="35921" dir="2700000" algn="br">
                  <a:srgbClr val="000000"/>
                </a:outerShdw>
              </a:effectLst>
            </c:spPr>
          </c:dPt>
          <c:dPt>
            <c:idx val="3"/>
            <c:invertIfNegative val="0"/>
            <c:bubble3D val="0"/>
            <c:spPr>
              <a:solidFill>
                <a:srgbClr val="8064A2"/>
              </a:solidFill>
              <a:ln>
                <a:noFill/>
              </a:ln>
              <a:effectLst>
                <a:outerShdw dist="35921" dir="2700000" algn="br">
                  <a:srgbClr val="000000"/>
                </a:outerShdw>
              </a:effectLst>
            </c:spPr>
          </c:dPt>
          <c:dLbls>
            <c:showLegendKey val="0"/>
            <c:showVal val="0"/>
            <c:showCatName val="0"/>
            <c:showSerName val="0"/>
            <c:showPercent val="0"/>
            <c:showBubbleSize val="0"/>
            <c:showLeaderLines val="0"/>
          </c:dLbls>
          <c:cat>
            <c:strRef>
              <c:f>'Sheet1 (3)'!$A$2:$A$5</c:f>
              <c:strCache>
                <c:ptCount val="4"/>
                <c:pt idx="0">
                  <c:v>2023年总收入</c:v>
                </c:pt>
                <c:pt idx="1">
                  <c:v>2024年总收入</c:v>
                </c:pt>
                <c:pt idx="2">
                  <c:v>2023年总支出</c:v>
                </c:pt>
                <c:pt idx="3">
                  <c:v>2024年总支出</c:v>
                </c:pt>
              </c:strCache>
            </c:strRef>
          </c:cat>
          <c:val>
            <c:numRef>
              <c:f>'Sheet1 (3)'!$B$2:$B$5</c:f>
              <c:numCache>
                <c:formatCode>General</c:formatCode>
                <c:ptCount val="4"/>
                <c:pt idx="0">
                  <c:v>2156.8</c:v>
                </c:pt>
                <c:pt idx="1">
                  <c:v>2032.89</c:v>
                </c:pt>
                <c:pt idx="2">
                  <c:v>2156.8</c:v>
                </c:pt>
                <c:pt idx="3">
                  <c:v>2032.89</c:v>
                </c:pt>
              </c:numCache>
            </c:numRef>
          </c:val>
        </c:ser>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Times New Roman"/>
                <a:ea typeface="宋体"/>
                <a:cs typeface="Lucida Sans"/>
              </a:defRPr>
            </a:pPr>
            <a:r>
              <a:rPr lang="zh-CN"/>
              <a:t>2024年收入</a:t>
            </a:r>
          </a:p>
        </c:rich>
      </c:tx>
      <c:layout/>
      <c:overlay val="0"/>
      <c:spPr>
        <a:ln>
          <a:noFill/>
        </a:ln>
      </c:spPr>
    </c:title>
    <c:autoTitleDeleted val="1"/>
    <c:plotArea>
      <c:layout/>
      <c:pieChart>
        <c:varyColors val="1"/>
        <c:ser>
          <c:idx val="0"/>
          <c:order val="0"/>
          <c:tx>
            <c:strRef>
              <c:f>'Sheet1'!$B$1</c:f>
              <c:strCache>
                <c:ptCount val="1"/>
                <c:pt idx="0">
                  <c:v>2024年收入</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dLbls>
          <c:cat>
            <c:strRef>
              <c:f>'Sheet1'!$A$2:$A$3</c:f>
              <c:strCache>
                <c:ptCount val="2"/>
                <c:pt idx="0">
                  <c:v>一般公共预算财政拨款收入</c:v>
                </c:pt>
                <c:pt idx="1">
                  <c:v>其他收入</c:v>
                </c:pt>
              </c:strCache>
            </c:strRef>
          </c:cat>
          <c:val>
            <c:numRef>
              <c:f>'Sheet1'!$B$2:$B$3</c:f>
              <c:numCache>
                <c:formatCode>General</c:formatCode>
                <c:ptCount val="2"/>
                <c:pt idx="0">
                  <c:v>2032.89</c:v>
                </c:pt>
                <c:pt idx="1">
                  <c:v>0.0</c:v>
                </c:pt>
              </c:numCache>
            </c:numRef>
          </c:val>
        </c:ser>
        <c:firstSliceAng val="0"/>
      </c:pieChart>
      <c:spPr>
        <a:noFill/>
        <a:ln>
          <a:noFill/>
        </a:ln>
      </c:spPr>
    </c:plotArea>
    <c:legend>
      <c:legendPos val="b"/>
      <c:layout>
        <c:manualLayout>
          <c:xMode val="edge"/>
          <c:yMode val="edge"/>
          <c:x val="0.1159768"/>
          <c:y val="0.87356013"/>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Times New Roman"/>
                <a:ea typeface="宋体"/>
                <a:cs typeface="Lucida Sans"/>
              </a:defRPr>
            </a:pPr>
            <a:r>
              <a:rPr lang="zh-CN"/>
              <a:t>2024年支出</a:t>
            </a:r>
          </a:p>
        </c:rich>
      </c:tx>
      <c:layout/>
      <c:overlay val="0"/>
      <c:spPr>
        <a:ln>
          <a:noFill/>
        </a:ln>
      </c:spPr>
    </c:title>
    <c:autoTitleDeleted val="1"/>
    <c:plotArea>
      <c:layout/>
      <c:pieChart>
        <c:varyColors val="1"/>
        <c:ser>
          <c:idx val="0"/>
          <c:order val="0"/>
          <c:tx>
            <c:strRef>
              <c:f>'Sheet1 (4)'!$B$1</c:f>
              <c:strCache>
                <c:ptCount val="1"/>
                <c:pt idx="0">
                  <c:v>2024年支出</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0.00_ " sourceLinked="1"/>
            <c:showLegendKey val="0"/>
            <c:showVal val="1"/>
            <c:showCatName val="0"/>
            <c:showSerName val="0"/>
            <c:showPercent val="0"/>
            <c:showBubbleSize val="0"/>
            <c:showLeaderLines val="1"/>
          </c:dLbls>
          <c:cat>
            <c:strRef>
              <c:f>'Sheet1 (4)'!$A$2:$A$3</c:f>
              <c:strCache>
                <c:ptCount val="2"/>
                <c:pt idx="0">
                  <c:v>基本支出</c:v>
                </c:pt>
                <c:pt idx="1">
                  <c:v>项目支出</c:v>
                </c:pt>
              </c:strCache>
            </c:strRef>
          </c:cat>
          <c:val>
            <c:numRef>
              <c:f>'Sheet1 (4)'!$B$2:$B$3</c:f>
              <c:numCache>
                <c:formatCode>0.00_ </c:formatCode>
                <c:ptCount val="2"/>
                <c:pt idx="0">
                  <c:v>1443.69</c:v>
                </c:pt>
                <c:pt idx="1">
                  <c:v>589.19</c:v>
                </c:pt>
              </c:numCache>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Lucida Sans"/>
              </a:defRPr>
            </a:pPr>
            <a:r>
              <a:rPr lang="zh-CN"/>
              <a:t> </a:t>
            </a:r>
          </a:p>
        </c:rich>
      </c:tx>
      <c:layout>
        <c:manualLayout>
          <c:xMode val="edge"/>
          <c:yMode val="edge"/>
          <c:x val="0.3960356"/>
          <c:y val="0.007473842"/>
        </c:manualLayout>
      </c:layout>
      <c:overlay val="0"/>
      <c:spPr>
        <a:noFill/>
        <a:ln>
          <a:noFill/>
        </a:ln>
      </c:spPr>
    </c:title>
    <c:autoTitleDeleted val="1"/>
    <c:plotArea>
      <c:layout>
        <c:manualLayout>
          <c:layoutTarget val="inner"/>
          <c:xMode val="edge"/>
          <c:yMode val="edge"/>
          <c:x val="0.13915858"/>
          <c:y val="0.21375187"/>
          <c:w val="0.47572815"/>
          <c:h val="0.45216742"/>
        </c:manualLayout>
      </c:layout>
      <c:barChart>
        <c:barDir val="col"/>
        <c:grouping val="clustered"/>
        <c:varyColors val="0"/>
        <c:ser>
          <c:idx val="0"/>
          <c:order val="0"/>
          <c:tx>
            <c:strRef>
              <c:f>'Sheet1 (5)'!$B$1</c:f>
              <c:strCache>
                <c:ptCount val="1"/>
                <c:pt idx="0">
                  <c:v/>
                </c:pt>
              </c:strCache>
            </c:strRef>
          </c:tx>
          <c:spPr>
            <a:solidFill>
              <a:srgbClr val="4F81BD"/>
            </a:solidFill>
            <a:ln>
              <a:noFill/>
            </a:ln>
          </c:spPr>
          <c:invertIfNegative val="0"/>
          <c:dPt>
            <c:idx val="0"/>
            <c:invertIfNegative val="0"/>
            <c:bubble3D val="0"/>
            <c:spPr>
              <a:solidFill>
                <a:srgbClr val="4F81BD"/>
              </a:solidFill>
              <a:ln>
                <a:noFill/>
              </a:ln>
              <a:effectLst>
                <a:outerShdw dist="35921" dir="2700000" algn="br">
                  <a:srgbClr val="000000"/>
                </a:outerShdw>
              </a:effectLst>
            </c:spPr>
          </c:dPt>
          <c:dPt>
            <c:idx val="1"/>
            <c:invertIfNegative val="0"/>
            <c:bubble3D val="0"/>
            <c:spPr>
              <a:solidFill>
                <a:srgbClr val="C0504D"/>
              </a:solidFill>
              <a:ln>
                <a:noFill/>
              </a:ln>
              <a:effectLst>
                <a:outerShdw dist="35921" dir="2700000" algn="br">
                  <a:srgbClr val="000000"/>
                </a:outerShdw>
              </a:effectLst>
            </c:spPr>
          </c:dPt>
          <c:dPt>
            <c:idx val="2"/>
            <c:invertIfNegative val="0"/>
            <c:bubble3D val="0"/>
            <c:spPr>
              <a:solidFill>
                <a:srgbClr val="9BBB59"/>
              </a:solidFill>
              <a:ln>
                <a:noFill/>
              </a:ln>
              <a:effectLst>
                <a:outerShdw dist="35921" dir="2700000" algn="br">
                  <a:srgbClr val="000000"/>
                </a:outerShdw>
              </a:effectLst>
            </c:spPr>
          </c:dPt>
          <c:dPt>
            <c:idx val="3"/>
            <c:invertIfNegative val="0"/>
            <c:bubble3D val="0"/>
            <c:spPr>
              <a:solidFill>
                <a:srgbClr val="8064A2"/>
              </a:solidFill>
              <a:ln>
                <a:noFill/>
              </a:ln>
              <a:effectLst>
                <a:outerShdw dist="35921" dir="2700000" algn="br">
                  <a:srgbClr val="000000"/>
                </a:outerShdw>
              </a:effectLst>
            </c:spPr>
          </c:dPt>
          <c:dLbls>
            <c:showLegendKey val="0"/>
            <c:showVal val="0"/>
            <c:showCatName val="0"/>
            <c:showSerName val="0"/>
            <c:showPercent val="0"/>
            <c:showBubbleSize val="0"/>
            <c:showLeaderLines val="0"/>
          </c:dLbls>
          <c:cat>
            <c:strRef>
              <c:f>'Sheet1 (5)'!$A$2:$A$5</c:f>
              <c:strCache>
                <c:ptCount val="4"/>
                <c:pt idx="0">
                  <c:v>2023年总收入</c:v>
                </c:pt>
                <c:pt idx="1">
                  <c:v>2024年总收入</c:v>
                </c:pt>
                <c:pt idx="2">
                  <c:v>2023年总支出</c:v>
                </c:pt>
                <c:pt idx="3">
                  <c:v>2024年总支出</c:v>
                </c:pt>
              </c:strCache>
            </c:strRef>
          </c:cat>
          <c:val>
            <c:numRef>
              <c:f>'Sheet1 (5)'!$B$2:$B$5</c:f>
              <c:numCache>
                <c:formatCode>General</c:formatCode>
                <c:ptCount val="4"/>
                <c:pt idx="0">
                  <c:v>2156.8</c:v>
                </c:pt>
                <c:pt idx="1">
                  <c:v>2032.89</c:v>
                </c:pt>
                <c:pt idx="2">
                  <c:v>2156.8</c:v>
                </c:pt>
                <c:pt idx="3">
                  <c:v>2032.89</c:v>
                </c:pt>
              </c:numCache>
            </c:numRef>
          </c:val>
        </c:ser>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Lucida Sans"/>
              </a:defRPr>
            </a:pPr>
            <a:r>
              <a:rPr lang="zh-CN"/>
              <a:t> </a:t>
            </a:r>
          </a:p>
        </c:rich>
      </c:tx>
      <c:layout>
        <c:manualLayout>
          <c:xMode val="edge"/>
          <c:yMode val="edge"/>
          <c:x val="0.3960356"/>
          <c:y val="0.007473842"/>
        </c:manualLayout>
      </c:layout>
      <c:overlay val="0"/>
      <c:spPr>
        <a:noFill/>
        <a:ln>
          <a:noFill/>
        </a:ln>
      </c:spPr>
    </c:title>
    <c:autoTitleDeleted val="1"/>
    <c:plotArea>
      <c:layout/>
      <c:barChart>
        <c:barDir val="col"/>
        <c:grouping val="clustered"/>
        <c:varyColors val="0"/>
        <c:ser>
          <c:idx val="0"/>
          <c:order val="0"/>
          <c:tx>
            <c:strRef>
              <c:f>'Sheet1 (6)'!$B$1</c:f>
              <c:strCache>
                <c:ptCount val="1"/>
                <c:pt idx="0">
                  <c:v/>
                </c:pt>
              </c:strCache>
            </c:strRef>
          </c:tx>
          <c:spPr>
            <a:solidFill>
              <a:srgbClr val="4F81BD"/>
            </a:solidFill>
            <a:ln>
              <a:noFill/>
            </a:ln>
          </c:spPr>
          <c:invertIfNegative val="0"/>
          <c:dPt>
            <c:idx val="0"/>
            <c:invertIfNegative val="0"/>
            <c:bubble3D val="0"/>
            <c:spPr>
              <a:solidFill>
                <a:srgbClr val="4F81BD"/>
              </a:solidFill>
              <a:ln>
                <a:noFill/>
              </a:ln>
              <a:effectLst>
                <a:outerShdw dist="35921" dir="2700000" algn="br">
                  <a:srgbClr val="000000"/>
                </a:outerShdw>
              </a:effectLst>
            </c:spPr>
          </c:dPt>
          <c:dPt>
            <c:idx val="1"/>
            <c:invertIfNegative val="0"/>
            <c:bubble3D val="0"/>
            <c:spPr>
              <a:solidFill>
                <a:srgbClr val="C0504D"/>
              </a:solidFill>
              <a:ln>
                <a:noFill/>
              </a:ln>
              <a:effectLst>
                <a:outerShdw dist="35921" dir="2700000" algn="br">
                  <a:srgbClr val="000000"/>
                </a:outerShdw>
              </a:effectLst>
            </c:spPr>
          </c:dPt>
          <c:dPt>
            <c:idx val="2"/>
            <c:invertIfNegative val="0"/>
            <c:bubble3D val="0"/>
            <c:spPr>
              <a:solidFill>
                <a:srgbClr val="9BBB59"/>
              </a:solidFill>
              <a:ln>
                <a:noFill/>
              </a:ln>
              <a:effectLst>
                <a:outerShdw dist="35921" dir="2700000" algn="br">
                  <a:srgbClr val="000000"/>
                </a:outerShdw>
              </a:effectLst>
            </c:spPr>
          </c:dPt>
          <c:dPt>
            <c:idx val="3"/>
            <c:invertIfNegative val="0"/>
            <c:bubble3D val="0"/>
            <c:spPr>
              <a:solidFill>
                <a:srgbClr val="8064A2"/>
              </a:solidFill>
              <a:ln>
                <a:noFill/>
              </a:ln>
              <a:effectLst>
                <a:outerShdw dist="35921" dir="2700000" algn="br">
                  <a:srgbClr val="000000"/>
                </a:outerShdw>
              </a:effectLst>
            </c:spPr>
          </c:dPt>
          <c:dLbls>
            <c:showLegendKey val="0"/>
            <c:showVal val="0"/>
            <c:showCatName val="0"/>
            <c:showSerName val="0"/>
            <c:showPercent val="0"/>
            <c:showBubbleSize val="0"/>
            <c:showLeaderLines val="0"/>
          </c:dLbls>
          <c:cat>
            <c:strRef>
              <c:f>'Sheet1 (6)'!$A$2:$A$5</c:f>
              <c:strCache>
                <c:ptCount val="4"/>
                <c:pt idx="0">
                  <c:v>2023年总收入</c:v>
                </c:pt>
                <c:pt idx="1">
                  <c:v>2024年总收入</c:v>
                </c:pt>
                <c:pt idx="2">
                  <c:v>2023年总支出</c:v>
                </c:pt>
                <c:pt idx="3">
                  <c:v>2024年总支出</c:v>
                </c:pt>
              </c:strCache>
            </c:strRef>
          </c:cat>
          <c:val>
            <c:numRef>
              <c:f>'Sheet1 (6)'!$B$2:$B$5</c:f>
              <c:numCache>
                <c:formatCode>General</c:formatCode>
                <c:ptCount val="4"/>
                <c:pt idx="0">
                  <c:v>2156.8</c:v>
                </c:pt>
                <c:pt idx="1">
                  <c:v>2032.89</c:v>
                </c:pt>
                <c:pt idx="2">
                  <c:v>2156.8</c:v>
                </c:pt>
                <c:pt idx="3">
                  <c:v>2032.89</c:v>
                </c:pt>
              </c:numCache>
            </c:numRef>
          </c:val>
        </c:ser>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At val="1.0"/>
        <c:crossBetween val="between"/>
        <c:crossAx val="0"/>
      </c:valAx>
      <c:spPr>
        <a:noFill/>
        <a:ln>
          <a:noFill/>
        </a:ln>
      </c:spPr>
    </c:plotArea>
    <c:legend>
      <c:legendPos val="r"/>
      <c:layout>
        <c:manualLayout>
          <c:xMode val="edge"/>
          <c:yMode val="edge"/>
          <c:x val="0.70165855"/>
          <c:y val="0.4165421"/>
        </c:manualLayout>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Lucida Sans"/>
              </a:defRPr>
            </a:pPr>
            <a:r>
              <a:rPr lang="zh-CN"/>
              <a:t> </a:t>
            </a:r>
          </a:p>
        </c:rich>
      </c:tx>
      <c:layout>
        <c:manualLayout>
          <c:xMode val="edge"/>
          <c:yMode val="edge"/>
          <c:x val="0.3960356"/>
          <c:y val="0.007473842"/>
        </c:manualLayout>
      </c:layout>
      <c:overlay val="0"/>
      <c:spPr>
        <a:noFill/>
        <a:ln>
          <a:noFill/>
        </a:ln>
      </c:spPr>
    </c:title>
    <c:autoTitleDeleted val="1"/>
    <c:plotArea>
      <c:layout/>
      <c:pieChart>
        <c:varyColors val="1"/>
        <c:ser>
          <c:idx val="0"/>
          <c:order val="0"/>
          <c:tx>
            <c:strRef>
              <c:f>'Sheet1 (7)'!$B$1</c:f>
              <c:strCache>
                <c:ptCount val="1"/>
                <c:pt idx="0">
                  <c:v>2024年一般公共预算财政拨款支出</c:v>
                </c:pt>
              </c:strCache>
            </c:strRef>
          </c:tx>
          <c:spPr>
            <a:solidFill>
              <a:srgbClr val="4F81BD"/>
            </a:solidFill>
            <a:ln>
              <a:noFill/>
            </a:ln>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Pt>
            <c:idx val="3"/>
            <c:bubble3D val="0"/>
            <c:spPr>
              <a:solidFill>
                <a:srgbClr val="8064A2"/>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Lucida Sans"/>
                  </a:defRPr>
                </a:pPr>
                <a:endParaRPr lang="zh-CN"/>
              </a:p>
            </c:txPr>
            <c:numFmt formatCode="0%" sourceLinked="0"/>
            <c:dLblPos val="ctr"/>
            <c:showLegendKey val="0"/>
            <c:showVal val="0"/>
            <c:showCatName val="0"/>
            <c:showSerName val="0"/>
            <c:showPercent val="1"/>
            <c:showBubbleSize val="0"/>
            <c:showLeaderLines val="1"/>
          </c:dLbls>
          <c:cat>
            <c:strRef>
              <c:f>'Sheet1 (7)'!$A$2:$A$5</c:f>
              <c:strCache>
                <c:ptCount val="4"/>
                <c:pt idx="0">
                  <c:v>一般公共服务</c:v>
                </c:pt>
                <c:pt idx="1">
                  <c:v>社会保障和就业</c:v>
                </c:pt>
                <c:pt idx="2">
                  <c:v>卫生健康</c:v>
                </c:pt>
                <c:pt idx="3">
                  <c:v>住房保障</c:v>
                </c:pt>
              </c:strCache>
            </c:strRef>
          </c:cat>
          <c:val>
            <c:numRef>
              <c:f>'Sheet1 (7)'!$B$2:$B$5</c:f>
              <c:numCache>
                <c:formatCode>General</c:formatCode>
                <c:ptCount val="4"/>
                <c:pt idx="0">
                  <c:v>1733.95</c:v>
                </c:pt>
                <c:pt idx="1">
                  <c:v>169.9</c:v>
                </c:pt>
                <c:pt idx="2">
                  <c:v>56.42</c:v>
                </c:pt>
                <c:pt idx="3">
                  <c:v>72.62</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Times New Roman"/>
                <a:ea typeface="宋体"/>
                <a:cs typeface="Lucida Sans"/>
              </a:defRPr>
            </a:pPr>
            <a:r>
              <a:rPr lang="zh-CN"/>
              <a:t>“三公”经费财政拨款支出</a:t>
            </a:r>
          </a:p>
        </c:rich>
      </c:tx>
      <c:layout/>
      <c:overlay val="0"/>
      <c:spPr>
        <a:ln>
          <a:noFill/>
        </a:ln>
      </c:spPr>
    </c:title>
    <c:autoTitleDeleted val="1"/>
    <c:plotArea>
      <c:layout/>
      <c:pieChart>
        <c:varyColors val="1"/>
        <c:ser>
          <c:idx val="0"/>
          <c:order val="0"/>
          <c:tx>
            <c:strRef>
              <c:f>'Sheet1 (8)'!$B$1</c:f>
              <c:strCache>
                <c:ptCount val="1"/>
                <c:pt idx="0">
                  <c:v>“三公”经费财政拨款支出</c:v>
                </c:pt>
              </c:strCache>
            </c:strRef>
          </c:tx>
          <c:spPr>
            <a:solidFill>
              <a:srgbClr val="4F81BD"/>
            </a:solidFill>
            <a:ln>
              <a:noFill/>
            </a:ln>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dLbls>
          <c:cat>
            <c:strRef>
              <c:f>'Sheet1 (8)'!$A$2:$A$4</c:f>
              <c:strCache>
                <c:ptCount val="3"/>
                <c:pt idx="0">
                  <c:v>因公出国（境）费支出</c:v>
                </c:pt>
                <c:pt idx="1">
                  <c:v>公务用车购置及运行维护费支出</c:v>
                </c:pt>
                <c:pt idx="2">
                  <c:v>公务接待费支出</c:v>
                </c:pt>
              </c:strCache>
            </c:strRef>
          </c:cat>
          <c:val>
            <c:numRef>
              <c:f>'Sheet1 (8)'!$B$2:$B$4</c:f>
              <c:numCache>
                <c:formatCode>General</c:formatCode>
                <c:ptCount val="3"/>
                <c:pt idx="0">
                  <c:v>0.0</c:v>
                </c:pt>
                <c:pt idx="1">
                  <c:v>103.23</c:v>
                </c:pt>
                <c:pt idx="2">
                  <c:v>0.5</c:v>
                </c:pt>
              </c:numCache>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29</TotalTime>
  <Application>Yozo_Office27021597764231179</Application>
  <Pages>98</Pages>
  <Words>37488</Words>
  <Characters>44977</Characters>
  <Lines>9091</Lines>
  <Paragraphs>6179</Paragraphs>
  <CharactersWithSpaces>45105</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33</cp:revision>
  <cp:lastPrinted>2023-08-25T03:19:00Z</cp:lastPrinted>
  <dcterms:created xsi:type="dcterms:W3CDTF">2020-08-05T01:49:00Z</dcterms:created>
  <dcterms:modified xsi:type="dcterms:W3CDTF">2025-08-18T04:12:45Z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2052-11.1.0.10314</vt:lpwstr>
  </property>
  <property fmtid="{D5CDD505-2E9C-101B-9397-08002B2CF9AE}" pid="3" name="ICV">
    <vt:lpwstr>BC54DA9398424DE59D63E92CA15B24B7</vt:lpwstr>
  </property>
</Properties>
</file>