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ind w:left="0" w:right="0" w:firstLine="0"/>
        <w:textAlignment w:val="auto"/>
        <w:outlineLvl w:val="9"/>
        <w:rPr>
          <w:rFonts w:ascii="Times New Roman" w:eastAsia="方正小标宋简体" w:cs="Times New Roman" w:hAnsi="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ascii="Times New Roman" w:eastAsia="方正小标宋简体" w:cs="Times New Roman" w:hAnsi="Times New Roman"/>
          <w:sz w:val="44"/>
          <w:szCs w:val="44"/>
          <w:lang w:val="en-US" w:eastAsia="zh-CN"/>
        </w:rPr>
      </w:pPr>
      <w:r>
        <w:rPr>
          <w:rFonts w:ascii="Times New Roman" w:eastAsia="方正小标宋简体" w:cs="Times New Roman" w:hAnsi="Times New Roman"/>
          <w:sz w:val="44"/>
          <w:szCs w:val="44"/>
          <w:lang w:val="en-US" w:eastAsia="zh-CN"/>
        </w:rPr>
        <w:t>金川县财政局</w:t>
      </w: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ascii="Times New Roman" w:cs="Times New Roman" w:hAnsi="Times New Roman"/>
          <w:lang w:eastAsia="zh-CN"/>
        </w:rPr>
      </w:pPr>
      <w:r>
        <w:rPr>
          <w:rFonts w:ascii="Times New Roman" w:eastAsia="方正小标宋简体" w:cs="Times New Roman" w:hAnsi="Times New Roman"/>
          <w:sz w:val="44"/>
          <w:szCs w:val="44"/>
          <w:lang w:val="en-US" w:eastAsia="zh-CN"/>
        </w:rPr>
        <w:t>2025年预算绩效管理工作开展情况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jc w:val="both"/>
        <w:textAlignment w:val="auto"/>
        <w:outlineLvl w:val="9"/>
        <w:rPr>
          <w:rFonts w:ascii="Times New Roman" w:eastAsia="仿宋_GB2312" w:cs="Times New Roman" w:hAnsi="Times New Roman"/>
          <w:sz w:val="32"/>
          <w:szCs w:val="32"/>
          <w:lang w:eastAsia="zh-CN"/>
          <w:highlight w:val="auto"/>
        </w:rPr>
      </w:pPr>
    </w:p>
    <w:p>
      <w:pPr>
        <w:keepNext w:val="0"/>
        <w:keepLines w:val="0"/>
        <w:pageBreakBefore w:val="0"/>
        <w:widowControl w:val="0"/>
        <w:kinsoku/>
        <w:wordWrap/>
        <w:overflowPunct/>
        <w:topLinePunct w:val="0"/>
        <w:bidi w:val="0"/>
        <w:adjustRightInd/>
        <w:snapToGrid w:val="0"/>
        <w:spacing w:beforeAutospacing="0" w:afterAutospacing="0" w:line="576" w:lineRule="exact"/>
        <w:ind w:firstLineChars="200" w:firstLine="632"/>
        <w:rPr>
          <w:rFonts w:ascii="Times New Roman" w:eastAsia="仿宋_GB2312" w:cs="Times New Roman" w:hAnsi="Times New Roman"/>
          <w:sz w:val="32"/>
          <w:szCs w:val="32"/>
          <w:lang w:val="en-US" w:eastAsia="zh-CN"/>
        </w:rPr>
      </w:pPr>
      <w:r>
        <w:rPr>
          <w:rFonts w:ascii="Times New Roman" w:cs="Times New Roman" w:hAnsi="Times New Roman"/>
          <w:sz w:val="32"/>
          <w:szCs w:val="32"/>
          <w:lang w:val="en-US" w:eastAsia="zh-CN"/>
        </w:rPr>
        <w:t>2025</w:t>
      </w:r>
      <w:r>
        <w:rPr>
          <w:rFonts w:ascii="Times New Roman" w:eastAsia="仿宋_GB2312" w:cs="Times New Roman" w:hAnsi="Times New Roman"/>
          <w:sz w:val="32"/>
          <w:szCs w:val="32"/>
          <w:lang w:val="en-US" w:eastAsia="zh-CN"/>
        </w:rPr>
        <w:t>年以来，我局继续深入贯彻落实《中共四川省委办公厅 四川省人民政府办公厅关于深入实施预算绩效管理的通知》（川委厅〔2022〕5号）和</w:t>
      </w:r>
      <w:r>
        <w:rPr>
          <w:rFonts w:ascii="Times New Roman" w:eastAsia="仿宋_GB2312" w:cs="Times New Roman" w:hAnsi="Times New Roman"/>
          <w:sz w:val="32"/>
          <w:szCs w:val="32"/>
          <w:lang w:eastAsia="zh-CN"/>
        </w:rPr>
        <w:t>《推进财政绩效监督“三管三必须”落实见效实施办法》（川财办</w:t>
      </w:r>
      <w:r>
        <w:rPr>
          <w:rFonts w:ascii="Times New Roman" w:eastAsia="仿宋_GB2312" w:cs="Times New Roman" w:hAnsi="Times New Roman"/>
          <w:sz w:val="32"/>
          <w:szCs w:val="32"/>
          <w:lang w:val="en-US" w:eastAsia="zh-CN"/>
        </w:rPr>
        <w:t>〔2024〕31号）</w:t>
      </w:r>
      <w:r>
        <w:rPr>
          <w:rFonts w:ascii="Times New Roman" w:cs="Times New Roman" w:hAnsi="Times New Roman"/>
          <w:sz w:val="32"/>
          <w:szCs w:val="32"/>
          <w:lang w:val="en-US" w:eastAsia="zh-CN"/>
        </w:rPr>
        <w:t>等文件精神</w:t>
      </w:r>
      <w:r>
        <w:rPr>
          <w:rFonts w:ascii="Times New Roman" w:eastAsia="仿宋_GB2312" w:cs="Times New Roman" w:hAnsi="Times New Roman"/>
          <w:sz w:val="32"/>
          <w:szCs w:val="32"/>
          <w:lang w:val="en-US" w:eastAsia="zh-CN"/>
        </w:rPr>
        <w:t>，</w:t>
      </w:r>
      <w:r>
        <w:rPr>
          <w:rFonts w:ascii="Times New Roman" w:cs="Times New Roman" w:hAnsi="Times New Roman"/>
          <w:sz w:val="32"/>
          <w:szCs w:val="32"/>
          <w:lang w:val="en-US" w:eastAsia="zh-CN"/>
        </w:rPr>
        <w:t>扎实</w:t>
      </w:r>
      <w:r>
        <w:rPr>
          <w:rFonts w:ascii="Times New Roman" w:eastAsia="仿宋_GB2312" w:cs="Times New Roman" w:hAnsi="Times New Roman"/>
          <w:sz w:val="32"/>
          <w:szCs w:val="32"/>
          <w:lang w:val="en-US" w:eastAsia="zh-CN"/>
        </w:rPr>
        <w:t>推动</w:t>
      </w:r>
      <w:r>
        <w:rPr>
          <w:rFonts w:ascii="Times New Roman" w:eastAsia="仿宋_GB2312" w:cs="Times New Roman" w:hAnsi="Times New Roman"/>
          <w:sz w:val="32"/>
          <w:szCs w:val="32"/>
        </w:rPr>
        <w:t>“管资金必须管绩效和监督、管项目必须管绩效和</w:t>
      </w:r>
      <w:bookmarkStart w:id="0" w:name="_GoBack"/>
      <w:bookmarkEnd w:id="0"/>
      <w:r>
        <w:rPr>
          <w:rFonts w:ascii="Times New Roman" w:eastAsia="仿宋_GB2312" w:cs="Times New Roman" w:hAnsi="Times New Roman"/>
          <w:sz w:val="32"/>
          <w:szCs w:val="32"/>
        </w:rPr>
        <w:t>监督、管政策必须管绩效和监督”</w:t>
      </w:r>
      <w:r>
        <w:rPr>
          <w:rFonts w:ascii="Times New Roman" w:eastAsia="仿宋_GB2312" w:cs="Times New Roman" w:hAnsi="Times New Roman"/>
          <w:sz w:val="32"/>
          <w:szCs w:val="32"/>
          <w:lang w:eastAsia="zh-CN"/>
        </w:rPr>
        <w:t>落</w:t>
      </w:r>
      <w:r>
        <w:rPr>
          <w:rFonts w:ascii="Times New Roman" w:cs="Times New Roman" w:hAnsi="Times New Roman"/>
          <w:sz w:val="32"/>
          <w:szCs w:val="32"/>
          <w:lang w:eastAsia="zh-CN"/>
        </w:rPr>
        <w:t>地</w:t>
      </w:r>
      <w:r>
        <w:rPr>
          <w:rFonts w:ascii="Times New Roman" w:eastAsia="仿宋_GB2312" w:cs="Times New Roman" w:hAnsi="Times New Roman"/>
          <w:sz w:val="32"/>
          <w:szCs w:val="32"/>
          <w:lang w:eastAsia="zh-CN"/>
        </w:rPr>
        <w:t>见效</w:t>
      </w:r>
      <w:r>
        <w:rPr>
          <w:rFonts w:ascii="Times New Roman" w:cs="Times New Roman" w:hAnsi="Times New Roman"/>
          <w:sz w:val="32"/>
          <w:szCs w:val="32"/>
          <w:lang w:eastAsia="zh-CN"/>
        </w:rPr>
        <w:t>，全面提升预算绩效管理质效</w:t>
      </w: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rPr>
        <w:t>全年工作</w:t>
      </w:r>
      <w:r>
        <w:rPr>
          <w:rFonts w:ascii="Times New Roman" w:cs="Times New Roman" w:hAnsi="Times New Roman"/>
          <w:sz w:val="32"/>
          <w:szCs w:val="32"/>
          <w:lang w:eastAsia="zh-CN"/>
        </w:rPr>
        <w:t>开展</w:t>
      </w:r>
      <w:r>
        <w:rPr>
          <w:rFonts w:ascii="Times New Roman" w:eastAsia="仿宋_GB2312" w:cs="Times New Roman" w:hAnsi="Times New Roman"/>
          <w:sz w:val="32"/>
          <w:szCs w:val="32"/>
        </w:rPr>
        <w:t>情况如下：</w:t>
      </w:r>
    </w:p>
    <w:p>
      <w:pPr>
        <w:keepNext w:val="0"/>
        <w:keepLines w:val="0"/>
        <w:pageBreakBefore w:val="0"/>
        <w:widowControl w:val="0"/>
        <w:numPr>
          <w:ilvl w:val="0"/>
          <w:numId w:val="1"/>
        </w:numPr>
        <w:kinsoku/>
        <w:wordWrap/>
        <w:overflowPunct/>
        <w:topLinePunct w:val="0"/>
        <w:autoSpaceDE/>
        <w:autoSpaceDN/>
        <w:bidi w:val="0"/>
        <w:adjustRightInd/>
        <w:snapToGrid w:val="0"/>
        <w:spacing w:beforeAutospacing="0" w:afterAutospacing="0" w:line="576" w:lineRule="exact"/>
        <w:ind w:left="0" w:right="0" w:firstLineChars="200" w:firstLine="632"/>
        <w:jc w:val="left"/>
        <w:textAlignment w:val="auto"/>
        <w:outlineLvl w:val="9"/>
        <w:rPr>
          <w:rFonts w:ascii="Times New Roman" w:eastAsia="黑体" w:cs="Times New Roman" w:hAnsi="Times New Roman"/>
          <w:b/>
          <w:bCs/>
          <w:sz w:val="32"/>
          <w:szCs w:val="32"/>
        </w:rPr>
      </w:pPr>
      <w:r>
        <w:rPr>
          <w:rFonts w:ascii="Times New Roman" w:eastAsia="黑体" w:cs="Times New Roman" w:hAnsi="Times New Roman"/>
          <w:b/>
          <w:bCs/>
          <w:sz w:val="32"/>
          <w:szCs w:val="32"/>
          <w:lang w:val="en-US" w:eastAsia="zh-CN"/>
        </w:rPr>
        <w:t>工作开展情况</w:t>
      </w:r>
    </w:p>
    <w:p>
      <w:pPr>
        <w:keepNext w:val="0"/>
        <w:keepLines w:val="0"/>
        <w:pageBreakBefore w:val="0"/>
        <w:widowControl w:val="0"/>
        <w:numPr>
          <w:ilvl w:val="0"/>
          <w:numId w:val="2"/>
        </w:numPr>
        <w:kinsoku/>
        <w:wordWrap/>
        <w:overflowPunct/>
        <w:topLinePunct w:val="0"/>
        <w:autoSpaceDE/>
        <w:autoSpaceDN/>
        <w:bidi w:val="0"/>
        <w:adjustRightInd/>
        <w:snapToGrid w:val="0"/>
        <w:spacing w:beforeAutospacing="0" w:afterAutospacing="0" w:line="576" w:lineRule="exact"/>
        <w:ind w:left="0" w:right="0" w:firstLineChars="200" w:firstLine="632"/>
        <w:jc w:val="left"/>
        <w:textAlignment w:val="auto"/>
        <w:outlineLvl w:val="9"/>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lang w:eastAsia="zh-CN"/>
        </w:rPr>
        <w:t>抓实绩效目标管理，筑牢预算管理根基。</w:t>
      </w:r>
      <w:r>
        <w:rPr>
          <w:rFonts w:ascii="Times New Roman" w:eastAsia="方正楷体_GBK" w:cs="Times New Roman" w:hAnsi="Times New Roman"/>
          <w:b/>
          <w:bCs/>
          <w:sz w:val="32"/>
          <w:szCs w:val="32"/>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right="0" w:firstLineChars="200" w:firstLine="632"/>
        <w:jc w:val="left"/>
        <w:textAlignment w:val="auto"/>
        <w:outlineLvl w:val="9"/>
        <w:rPr>
          <w:rFonts w:ascii="Times New Roman" w:eastAsia="仿宋_GB2312" w:cs="Times New Roman" w:hAnsi="Times New Roman"/>
          <w:sz w:val="32"/>
          <w:szCs w:val="32"/>
          <w:lang w:eastAsia="zh-CN"/>
        </w:rPr>
      </w:pPr>
      <w:r>
        <w:rPr>
          <w:rFonts w:ascii="Times New Roman" w:eastAsia="仿宋_GB2312" w:cs="Times New Roman" w:hAnsi="Times New Roman"/>
          <w:b/>
          <w:bCs/>
          <w:sz w:val="32"/>
          <w:szCs w:val="32"/>
          <w:lang w:val="en-US" w:eastAsia="zh-CN"/>
        </w:rPr>
        <w:t>1.明确编制要求。</w:t>
      </w:r>
      <w:r>
        <w:rPr>
          <w:rFonts w:ascii="Times New Roman" w:eastAsia="仿宋_GB2312" w:cs="Times New Roman" w:hAnsi="Times New Roman"/>
          <w:bCs/>
          <w:color w:val="000000"/>
          <w:sz w:val="32"/>
          <w:szCs w:val="32"/>
          <w:lang w:eastAsia="zh-CN" w:bidi="ar-SA"/>
        </w:rPr>
        <w:t>印发《金川县财政局关于</w:t>
      </w:r>
      <w:r>
        <w:rPr>
          <w:rFonts w:ascii="Times New Roman" w:eastAsia="仿宋_GB2312" w:cs="Times New Roman" w:hAnsi="Times New Roman"/>
          <w:sz w:val="32"/>
          <w:szCs w:val="32"/>
          <w:lang w:bidi="ar-SA"/>
        </w:rPr>
        <w:t>加强202</w:t>
      </w:r>
      <w:r>
        <w:rPr>
          <w:rFonts w:ascii="Times New Roman" w:eastAsia="仿宋_GB2312" w:cs="Times New Roman" w:hAnsi="Times New Roman"/>
          <w:sz w:val="32"/>
          <w:szCs w:val="32"/>
          <w:lang w:val="en-US" w:eastAsia="zh-CN" w:bidi="ar-SA"/>
        </w:rPr>
        <w:t>6</w:t>
      </w:r>
      <w:r>
        <w:rPr>
          <w:rFonts w:ascii="Times New Roman" w:eastAsia="仿宋_GB2312" w:cs="Times New Roman" w:hAnsi="Times New Roman"/>
          <w:sz w:val="32"/>
          <w:szCs w:val="32"/>
          <w:lang w:bidi="ar-SA"/>
        </w:rPr>
        <w:t>年度</w:t>
      </w:r>
      <w:r>
        <w:rPr>
          <w:rFonts w:ascii="Times New Roman" w:eastAsia="仿宋_GB2312" w:cs="Times New Roman" w:hAnsi="Times New Roman"/>
          <w:sz w:val="32"/>
          <w:szCs w:val="32"/>
          <w:lang w:eastAsia="zh-CN" w:bidi="ar-SA"/>
        </w:rPr>
        <w:t>县</w:t>
      </w:r>
      <w:r>
        <w:rPr>
          <w:rFonts w:ascii="Times New Roman" w:eastAsia="仿宋_GB2312" w:cs="Times New Roman" w:hAnsi="Times New Roman"/>
          <w:sz w:val="32"/>
          <w:szCs w:val="32"/>
          <w:lang w:bidi="ar-SA"/>
        </w:rPr>
        <w:t>级</w:t>
      </w:r>
      <w:r>
        <w:rPr>
          <w:rFonts w:ascii="Times New Roman" w:eastAsia="仿宋_GB2312" w:cs="Times New Roman" w:hAnsi="Times New Roman"/>
          <w:kern w:val="2"/>
          <w:sz w:val="32"/>
          <w:szCs w:val="32"/>
        </w:rPr>
        <w:t>预算绩效目标管理</w:t>
      </w:r>
      <w:r>
        <w:rPr>
          <w:rFonts w:ascii="Times New Roman" w:eastAsia="仿宋_GB2312" w:cs="Times New Roman" w:hAnsi="Times New Roman"/>
          <w:kern w:val="2"/>
          <w:sz w:val="32"/>
          <w:szCs w:val="32"/>
          <w:lang w:bidi="ar-SA"/>
        </w:rPr>
        <w:t>和事前</w:t>
      </w:r>
      <w:r>
        <w:rPr>
          <w:rFonts w:ascii="Times New Roman" w:eastAsia="仿宋_GB2312" w:cs="Times New Roman" w:hAnsi="Times New Roman"/>
          <w:kern w:val="2"/>
          <w:sz w:val="32"/>
          <w:szCs w:val="32"/>
        </w:rPr>
        <w:t>绩效评估工作的通知</w:t>
      </w:r>
      <w:r>
        <w:rPr>
          <w:rFonts w:ascii="Times New Roman" w:eastAsia="仿宋_GB2312" w:cs="Times New Roman" w:hAnsi="Times New Roman"/>
          <w:kern w:val="2"/>
          <w:sz w:val="32"/>
          <w:szCs w:val="32"/>
          <w:lang w:eastAsia="zh-CN"/>
        </w:rPr>
        <w:t>》（</w:t>
      </w:r>
      <w:r>
        <w:rPr>
          <w:rFonts w:ascii="Times New Roman" w:eastAsia="仿宋_GB2312" w:cs="Times New Roman" w:hAnsi="Times New Roman"/>
          <w:sz w:val="32"/>
          <w:szCs w:val="32"/>
          <w:lang w:val="en-US" w:eastAsia="zh-CN"/>
        </w:rPr>
        <w:t>金财监绩</w:t>
      </w:r>
      <w:r>
        <w:rPr>
          <w:rFonts w:ascii="Times New Roman" w:eastAsia="仿宋_GB2312" w:cs="Times New Roman" w:hAnsi="Times New Roman"/>
          <w:sz w:val="32"/>
          <w:szCs w:val="32"/>
          <w:lang w:bidi="ar-SA"/>
        </w:rPr>
        <w:t>〔202</w:t>
      </w:r>
      <w:r>
        <w:rPr>
          <w:rFonts w:ascii="Times New Roman" w:eastAsia="仿宋_GB2312" w:cs="Times New Roman" w:hAnsi="Times New Roman"/>
          <w:sz w:val="32"/>
          <w:szCs w:val="32"/>
          <w:lang w:val="en-US" w:eastAsia="zh-CN" w:bidi="ar-SA"/>
        </w:rPr>
        <w:t>5</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val="en-US" w:eastAsia="zh-CN" w:bidi="ar-SA"/>
        </w:rPr>
        <w:t>73</w:t>
      </w:r>
      <w:r>
        <w:rPr>
          <w:rFonts w:ascii="Times New Roman" w:eastAsia="仿宋_GB2312" w:cs="Times New Roman" w:hAnsi="Times New Roman"/>
          <w:sz w:val="32"/>
          <w:szCs w:val="32"/>
          <w:lang w:bidi="ar-SA"/>
        </w:rPr>
        <w:t>号</w:t>
      </w:r>
      <w:r>
        <w:rPr>
          <w:rFonts w:ascii="Times New Roman" w:eastAsia="仿宋_GB2312" w:cs="Times New Roman" w:hAnsi="Times New Roman"/>
          <w:sz w:val="32"/>
          <w:szCs w:val="32"/>
          <w:lang w:eastAsia="zh-CN" w:bidi="ar-SA"/>
        </w:rPr>
        <w:t>），明确各预算单位</w:t>
      </w:r>
      <w:r>
        <w:rPr>
          <w:rFonts w:ascii="Times New Roman" w:eastAsia="仿宋_GB2312" w:cs="Times New Roman" w:hAnsi="Times New Roman"/>
          <w:sz w:val="32"/>
          <w:szCs w:val="32"/>
        </w:rPr>
        <w:t>严格按照“谁支出、谁负责”的原则，结合年度</w:t>
      </w:r>
      <w:r>
        <w:rPr>
          <w:rFonts w:ascii="Times New Roman" w:eastAsia="仿宋_GB2312" w:cs="Times New Roman" w:hAnsi="Times New Roman"/>
          <w:sz w:val="32"/>
          <w:szCs w:val="32"/>
          <w:lang w:eastAsia="zh-CN"/>
        </w:rPr>
        <w:t>工作重点和项目实际</w:t>
      </w:r>
      <w:r>
        <w:rPr>
          <w:rFonts w:ascii="Times New Roman" w:eastAsia="仿宋_GB2312" w:cs="Times New Roman" w:hAnsi="Times New Roman"/>
          <w:sz w:val="32"/>
          <w:szCs w:val="32"/>
        </w:rPr>
        <w:t>，科学</w:t>
      </w:r>
      <w:r>
        <w:rPr>
          <w:rFonts w:ascii="Times New Roman" w:eastAsia="仿宋_GB2312" w:cs="Times New Roman" w:hAnsi="Times New Roman"/>
          <w:sz w:val="32"/>
          <w:szCs w:val="32"/>
          <w:lang w:eastAsia="zh-CN"/>
        </w:rPr>
        <w:t>规范设置绩效目标。按照预算绩效管理全覆盖要求，各部门</w:t>
      </w:r>
      <w:r>
        <w:rPr>
          <w:rFonts w:ascii="Times New Roman" w:cs="Times New Roman" w:hAnsi="Times New Roman"/>
          <w:sz w:val="32"/>
          <w:szCs w:val="32"/>
          <w:lang w:eastAsia="zh-CN"/>
        </w:rPr>
        <w:t>（乡镇）</w:t>
      </w:r>
      <w:r>
        <w:rPr>
          <w:rFonts w:ascii="Times New Roman" w:eastAsia="仿宋_GB2312" w:cs="Times New Roman" w:hAnsi="Times New Roman"/>
          <w:sz w:val="32"/>
          <w:szCs w:val="32"/>
          <w:lang w:eastAsia="zh-CN"/>
        </w:rPr>
        <w:t>依托预算管理一体化系统，全面完成202</w:t>
      </w:r>
      <w:r>
        <w:rPr>
          <w:rFonts w:ascii="Times New Roman" w:eastAsia="仿宋_GB2312" w:cs="Times New Roman" w:hAnsi="Times New Roman"/>
          <w:sz w:val="32"/>
          <w:szCs w:val="32"/>
          <w:lang w:val="en-US" w:eastAsia="zh-CN"/>
        </w:rPr>
        <w:t>6</w:t>
      </w:r>
      <w:r>
        <w:rPr>
          <w:rFonts w:ascii="Times New Roman" w:eastAsia="仿宋_GB2312" w:cs="Times New Roman" w:hAnsi="Times New Roman"/>
          <w:sz w:val="32"/>
          <w:szCs w:val="32"/>
          <w:lang w:eastAsia="zh-CN"/>
        </w:rPr>
        <w:t>年度部门整体、项目支出绩效目标编制工作。</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both"/>
        <w:textAlignment w:val="auto"/>
        <w:outlineLvl w:val="9"/>
        <w:rPr>
          <w:rFonts w:ascii="Times New Roman" w:eastAsia="仿宋_GB2312" w:cs="Times New Roman" w:hAnsi="Times New Roman"/>
          <w:color w:val="auto"/>
          <w:sz w:val="32"/>
          <w:szCs w:val="32"/>
          <w:lang w:val="en-US" w:eastAsia="zh-CN"/>
        </w:rPr>
      </w:pPr>
      <w:r>
        <w:rPr>
          <w:rFonts w:ascii="Times New Roman" w:eastAsia="仿宋_GB2312" w:cs="Times New Roman" w:hAnsi="Times New Roman"/>
          <w:b/>
          <w:bCs/>
          <w:sz w:val="32"/>
          <w:szCs w:val="32"/>
          <w:lang w:val="en-US" w:eastAsia="zh-CN"/>
        </w:rPr>
        <w:t>2.强化业务培训</w:t>
      </w:r>
      <w:r>
        <w:rPr>
          <w:rFonts w:ascii="Times New Roman" w:eastAsia="仿宋_GB2312" w:cs="Times New Roman" w:hAnsi="Times New Roman"/>
          <w:b/>
          <w:bCs/>
          <w:sz w:val="32"/>
          <w:szCs w:val="32"/>
          <w:lang w:eastAsia="zh-CN"/>
        </w:rPr>
        <w:t>。</w:t>
      </w:r>
      <w:r>
        <w:rPr>
          <w:rFonts w:ascii="Times New Roman" w:eastAsia="仿宋_GB2312" w:cs="Times New Roman" w:hAnsi="Times New Roman"/>
          <w:sz w:val="32"/>
          <w:szCs w:val="32"/>
          <w:lang w:eastAsia="zh-CN"/>
        </w:rPr>
        <w:t>联合预算股组织全县预算单位开展专题培训，重点围绕部门整体、部门预算项目、县级专项资金项目绩效目标申报</w:t>
      </w:r>
      <w:r>
        <w:rPr>
          <w:rFonts w:ascii="Times New Roman" w:eastAsia="仿宋_GB2312" w:cs="Times New Roman" w:hAnsi="Times New Roman"/>
          <w:color w:val="auto"/>
          <w:sz w:val="32"/>
          <w:szCs w:val="32"/>
          <w:lang w:eastAsia="zh-CN"/>
        </w:rPr>
        <w:t>的一级指标、二级指标设置规范进行了详细讲解，切实提升各单位绩效目标编制的规范性、专业性和精准度。</w:t>
      </w:r>
    </w:p>
    <w:p>
      <w:pPr>
        <w:keepNext w:val="0"/>
        <w:keepLines w:val="0"/>
        <w:pageBreakBefore w:val="0"/>
        <w:widowControl w:val="0"/>
        <w:kinsoku/>
        <w:wordWrap/>
        <w:overflowPunct/>
        <w:topLinePunct w:val="0"/>
        <w:bidi w:val="0"/>
        <w:adjustRightInd/>
        <w:snapToGrid w:val="0"/>
        <w:spacing w:beforeAutospacing="0" w:afterAutospacing="0" w:line="576" w:lineRule="exact"/>
        <w:ind w:firstLineChars="200" w:firstLine="632"/>
        <w:rPr>
          <w:rFonts w:ascii="Times New Roman" w:eastAsia="仿宋_GB2312" w:cs="Times New Roman" w:hAnsi="Times New Roman"/>
          <w:sz w:val="32"/>
          <w:szCs w:val="32"/>
          <w:lang w:eastAsia="zh-CN"/>
        </w:rPr>
      </w:pPr>
      <w:r>
        <w:rPr>
          <w:rFonts w:ascii="Times New Roman" w:eastAsia="方正楷体_GBK" w:cs="Times New Roman" w:hAnsi="Times New Roman"/>
          <w:b/>
          <w:bCs/>
          <w:sz w:val="32"/>
          <w:szCs w:val="32"/>
          <w:lang w:val="en-US" w:eastAsia="zh-CN"/>
        </w:rPr>
        <w:t>3.严把准入关口</w:t>
      </w:r>
      <w:r>
        <w:rPr>
          <w:rFonts w:ascii="Times New Roman" w:eastAsia="方正楷体_GBK" w:cs="Times New Roman" w:hAnsi="Times New Roman"/>
          <w:b/>
          <w:bCs/>
          <w:sz w:val="32"/>
          <w:szCs w:val="32"/>
          <w:lang w:eastAsia="zh-CN"/>
        </w:rPr>
        <w:t>。</w:t>
      </w:r>
      <w:r>
        <w:rPr>
          <w:rFonts w:ascii="Times New Roman" w:eastAsia="仿宋_GB2312" w:cs="Times New Roman" w:hAnsi="Times New Roman"/>
          <w:sz w:val="32"/>
          <w:szCs w:val="32"/>
          <w:lang w:eastAsia="zh-CN"/>
        </w:rPr>
        <w:t>依托“预算管理一体化系统”，在预算编审项目入库环节，建立“业务股室初审、绩效股复审、预算股终审”三级审核机制，重点审核</w:t>
      </w:r>
      <w:r>
        <w:rPr>
          <w:rFonts w:ascii="Times New Roman" w:cs="Times New Roman" w:hAnsi="Times New Roman"/>
          <w:sz w:val="32"/>
          <w:szCs w:val="32"/>
          <w:lang w:eastAsia="zh-CN"/>
          <w:highlight w:val="auto"/>
        </w:rPr>
        <w:t>绩效</w:t>
      </w:r>
      <w:r>
        <w:rPr>
          <w:rFonts w:ascii="Times New Roman" w:eastAsia="仿宋_GB2312" w:cs="Times New Roman" w:hAnsi="Times New Roman"/>
          <w:sz w:val="32"/>
          <w:szCs w:val="32"/>
          <w:lang w:eastAsia="zh-CN"/>
        </w:rPr>
        <w:t>目标与部门职能的匹配性、指标设置的科学性和可衡量性，明确要求</w:t>
      </w:r>
      <w:r>
        <w:rPr>
          <w:rFonts w:ascii="Times New Roman" w:eastAsia="仿宋_GB2312" w:cs="Times New Roman" w:hAnsi="Times New Roman"/>
          <w:sz w:val="32"/>
          <w:szCs w:val="32"/>
          <w:lang w:val="en-US" w:eastAsia="zh-CN"/>
        </w:rPr>
        <w:t>绩效目标必须涵盖产出、效益、满意度三大核心指标，且量化指标占比不低于60%。确保绩效目标可量化、可考核、可追溯。</w:t>
      </w:r>
      <w:r>
        <w:rPr>
          <w:rFonts w:ascii="Times New Roman" w:eastAsia="仿宋_GB2312" w:cs="Times New Roman" w:hAnsi="Times New Roman"/>
          <w:sz w:val="32"/>
          <w:szCs w:val="32"/>
        </w:rPr>
        <w:t>审核通过后，绩效目标</w:t>
      </w:r>
      <w:r>
        <w:rPr>
          <w:rFonts w:ascii="Times New Roman" w:eastAsia="仿宋_GB2312" w:cs="Times New Roman" w:hAnsi="Times New Roman"/>
          <w:sz w:val="32"/>
          <w:szCs w:val="32"/>
          <w:lang w:eastAsia="zh-CN"/>
        </w:rPr>
        <w:t>将</w:t>
      </w:r>
      <w:r>
        <w:rPr>
          <w:rFonts w:ascii="Times New Roman" w:eastAsia="仿宋_GB2312" w:cs="Times New Roman" w:hAnsi="Times New Roman"/>
          <w:sz w:val="32"/>
          <w:szCs w:val="32"/>
        </w:rPr>
        <w:t>随</w:t>
      </w:r>
      <w:r>
        <w:rPr>
          <w:rFonts w:ascii="Times New Roman" w:eastAsia="仿宋_GB2312" w:cs="Times New Roman" w:hAnsi="Times New Roman"/>
          <w:sz w:val="32"/>
          <w:szCs w:val="32"/>
          <w:lang w:eastAsia="zh-CN"/>
        </w:rPr>
        <w:t>部门</w:t>
      </w:r>
      <w:r>
        <w:rPr>
          <w:rFonts w:ascii="Times New Roman" w:eastAsia="仿宋_GB2312" w:cs="Times New Roman" w:hAnsi="Times New Roman"/>
          <w:sz w:val="32"/>
          <w:szCs w:val="32"/>
        </w:rPr>
        <w:t>预算一并批复下达，作为预算执行</w:t>
      </w:r>
      <w:r>
        <w:rPr>
          <w:rFonts w:ascii="Times New Roman" w:eastAsia="仿宋_GB2312" w:cs="Times New Roman" w:hAnsi="Times New Roman"/>
          <w:sz w:val="32"/>
          <w:szCs w:val="32"/>
          <w:lang w:eastAsia="zh-CN"/>
        </w:rPr>
        <w:t>、绩效监控和</w:t>
      </w:r>
      <w:r>
        <w:rPr>
          <w:rFonts w:ascii="Times New Roman" w:eastAsia="仿宋_GB2312" w:cs="Times New Roman" w:hAnsi="Times New Roman"/>
          <w:sz w:val="32"/>
          <w:szCs w:val="32"/>
        </w:rPr>
        <w:t>绩效评价的</w:t>
      </w:r>
      <w:r>
        <w:rPr>
          <w:rFonts w:ascii="Times New Roman" w:eastAsia="仿宋_GB2312" w:cs="Times New Roman" w:hAnsi="Times New Roman"/>
          <w:sz w:val="32"/>
          <w:szCs w:val="32"/>
          <w:lang w:eastAsia="zh-CN"/>
        </w:rPr>
        <w:t>核心</w:t>
      </w:r>
      <w:r>
        <w:rPr>
          <w:rFonts w:ascii="Times New Roman" w:eastAsia="仿宋_GB2312" w:cs="Times New Roman" w:hAnsi="Times New Roman"/>
          <w:sz w:val="32"/>
          <w:szCs w:val="32"/>
        </w:rPr>
        <w:t>依据</w:t>
      </w:r>
      <w:r>
        <w:rPr>
          <w:rFonts w:ascii="Times New Roman" w:eastAsia="仿宋_GB2312" w:cs="Times New Roman" w:hAnsi="Times New Roman"/>
          <w:sz w:val="32"/>
          <w:szCs w:val="32"/>
          <w:lang w:eastAsia="zh-CN"/>
        </w:rPr>
        <w:t>，从源头提升预算编制质量。</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both"/>
        <w:textAlignment w:val="auto"/>
        <w:outlineLvl w:val="9"/>
        <w:rPr>
          <w:rFonts w:ascii="Times New Roman" w:eastAsia="方正楷体_GBK" w:cs="Times New Roman" w:hAnsi="Times New Roman"/>
          <w:b/>
          <w:bCs/>
          <w:sz w:val="32"/>
          <w:szCs w:val="32"/>
          <w:lang w:val="en-US" w:eastAsia="zh-CN"/>
        </w:rPr>
      </w:pPr>
      <w:r>
        <w:rPr>
          <w:rFonts w:ascii="Times New Roman" w:eastAsia="方正楷体_GBK" w:cs="Times New Roman" w:hAnsi="Times New Roman"/>
          <w:b/>
          <w:bCs/>
          <w:sz w:val="32"/>
          <w:szCs w:val="32"/>
          <w:lang w:val="en-US" w:eastAsia="zh-CN"/>
        </w:rPr>
        <w:t>（二）深化事前绩效评估，提升资金配置效能。</w:t>
      </w:r>
    </w:p>
    <w:p>
      <w:pPr>
        <w:keepNext w:val="0"/>
        <w:keepLines w:val="0"/>
        <w:pageBreakBefore w:val="0"/>
        <w:widowControl w:val="0"/>
        <w:kinsoku/>
        <w:wordWrap/>
        <w:overflowPunct/>
        <w:topLinePunct w:val="0"/>
        <w:bidi w:val="0"/>
        <w:adjustRightInd/>
        <w:snapToGrid w:val="0"/>
        <w:spacing w:beforeAutospacing="0" w:afterAutospacing="0" w:line="576" w:lineRule="exact"/>
        <w:ind w:firstLineChars="200" w:firstLine="632"/>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1.</w:t>
      </w:r>
      <w:r>
        <w:rPr>
          <w:rFonts w:ascii="Times New Roman" w:eastAsia="仿宋_GB2312" w:cs="Times New Roman" w:hAnsi="Times New Roman"/>
          <w:b/>
          <w:bCs/>
          <w:color w:val="000000"/>
          <w:kern w:val="2"/>
          <w:sz w:val="32"/>
          <w:szCs w:val="32"/>
          <w:lang w:val="en-US" w:eastAsia="zh-CN" w:bidi="ar-SA"/>
        </w:rPr>
        <w:t>压实部门自评责任。</w:t>
      </w:r>
      <w:r>
        <w:rPr>
          <w:rFonts w:ascii="Times New Roman" w:eastAsia="仿宋_GB2312" w:cs="Times New Roman" w:hAnsi="Times New Roman"/>
          <w:b w:val="0"/>
          <w:bCs w:val="0"/>
          <w:color w:val="000000"/>
          <w:kern w:val="2"/>
          <w:sz w:val="32"/>
          <w:szCs w:val="32"/>
          <w:lang w:val="en-US" w:eastAsia="zh-CN" w:bidi="ar-SA"/>
        </w:rPr>
        <w:t>严格</w:t>
      </w:r>
      <w:r>
        <w:rPr>
          <w:rFonts w:ascii="Times New Roman" w:eastAsia="仿宋_GB2312" w:cs="Times New Roman" w:hAnsi="Times New Roman"/>
          <w:kern w:val="2"/>
          <w:sz w:val="32"/>
          <w:szCs w:val="32"/>
          <w:lang w:val="en-US" w:eastAsia="zh-CN" w:bidi="ar-SA"/>
        </w:rPr>
        <w:t>按照《金川县县级预算事前绩效评估管理暂行办法》（</w:t>
      </w:r>
      <w:r>
        <w:rPr>
          <w:rFonts w:ascii="Times New Roman" w:eastAsia="仿宋_GB2312" w:cs="Times New Roman" w:hAnsi="Times New Roman"/>
          <w:sz w:val="32"/>
          <w:szCs w:val="32"/>
        </w:rPr>
        <w:t>金财监绩〔</w:t>
      </w:r>
      <w:r>
        <w:rPr>
          <w:rFonts w:ascii="Times New Roman" w:eastAsia="仿宋_GB2312" w:cs="Times New Roman" w:hAnsi="Times New Roman"/>
          <w:sz w:val="32"/>
          <w:szCs w:val="32"/>
          <w:lang w:val="en-US" w:eastAsia="zh-CN"/>
        </w:rPr>
        <w:t>2020</w:t>
      </w:r>
      <w:r>
        <w:rPr>
          <w:rFonts w:ascii="Times New Roman" w:eastAsia="仿宋_GB2312" w:cs="Times New Roman" w:hAnsi="Times New Roman"/>
          <w:sz w:val="32"/>
          <w:szCs w:val="32"/>
        </w:rPr>
        <w:t>〕</w:t>
      </w:r>
      <w:r>
        <w:rPr>
          <w:rFonts w:ascii="Times New Roman" w:eastAsia="仿宋_GB2312" w:cs="Times New Roman" w:hAnsi="Times New Roman"/>
          <w:sz w:val="32"/>
          <w:szCs w:val="32"/>
          <w:lang w:val="en-US" w:eastAsia="zh-CN"/>
        </w:rPr>
        <w:t>48</w:t>
      </w:r>
      <w:r>
        <w:rPr>
          <w:rFonts w:ascii="Times New Roman" w:eastAsia="仿宋_GB2312" w:cs="Times New Roman" w:hAnsi="Times New Roman"/>
          <w:sz w:val="32"/>
          <w:szCs w:val="32"/>
        </w:rPr>
        <w:t>号</w:t>
      </w:r>
      <w:r>
        <w:rPr>
          <w:rFonts w:ascii="Times New Roman" w:eastAsia="仿宋_GB2312" w:cs="Times New Roman" w:hAnsi="Times New Roman"/>
          <w:kern w:val="2"/>
          <w:sz w:val="32"/>
          <w:szCs w:val="32"/>
          <w:lang w:val="en-US" w:eastAsia="zh-CN" w:bidi="ar-SA"/>
        </w:rPr>
        <w:t>）和《金川县人民政府贯彻落实&lt;</w:t>
      </w:r>
      <w:r>
        <w:rPr>
          <w:rFonts w:ascii="Times New Roman" w:eastAsia="仿宋_GB2312" w:cs="Times New Roman" w:hAnsi="Times New Roman"/>
          <w:sz w:val="32"/>
          <w:szCs w:val="32"/>
        </w:rPr>
        <w:t>中共四川省委办公厅</w:t>
      </w:r>
      <w:r>
        <w:rPr>
          <w:rFonts w:ascii="Times New Roman" w:eastAsia="仿宋_GB2312" w:cs="Times New Roman" w:hAnsi="Times New Roman"/>
          <w:sz w:val="32"/>
          <w:szCs w:val="32"/>
          <w:lang w:val="en-US" w:eastAsia="zh-CN"/>
        </w:rPr>
        <w:t xml:space="preserve"> </w:t>
      </w:r>
      <w:r>
        <w:rPr>
          <w:rFonts w:ascii="Times New Roman" w:eastAsia="仿宋_GB2312" w:cs="Times New Roman" w:hAnsi="Times New Roman"/>
          <w:sz w:val="32"/>
          <w:szCs w:val="32"/>
        </w:rPr>
        <w:t>四川省人民政府办公厅关于深入推进实施预算绩效管理的通知</w:t>
      </w:r>
      <w:r>
        <w:rPr>
          <w:rFonts w:ascii="Times New Roman" w:eastAsia="仿宋_GB2312" w:cs="Times New Roman" w:hAnsi="Times New Roman"/>
          <w:sz w:val="32"/>
          <w:szCs w:val="32"/>
          <w:lang w:val="en-US" w:eastAsia="zh-CN"/>
        </w:rPr>
        <w:t>&gt;的实施方案》（金川府办发</w:t>
      </w:r>
      <w:r>
        <w:rPr>
          <w:rFonts w:ascii="Times New Roman" w:eastAsia="仿宋_GB2312" w:cs="Times New Roman" w:hAnsi="Times New Roman"/>
          <w:sz w:val="32"/>
          <w:szCs w:val="32"/>
        </w:rPr>
        <w:t>〔</w:t>
      </w:r>
      <w:r>
        <w:rPr>
          <w:rFonts w:ascii="Times New Roman" w:eastAsia="仿宋_GB2312" w:cs="Times New Roman" w:hAnsi="Times New Roman"/>
          <w:sz w:val="32"/>
          <w:szCs w:val="32"/>
          <w:lang w:val="en-US" w:eastAsia="zh-CN"/>
        </w:rPr>
        <w:t>2022</w:t>
      </w:r>
      <w:r>
        <w:rPr>
          <w:rFonts w:ascii="Times New Roman" w:eastAsia="仿宋_GB2312" w:cs="Times New Roman" w:hAnsi="Times New Roman"/>
          <w:sz w:val="32"/>
          <w:szCs w:val="32"/>
        </w:rPr>
        <w:t>〕</w:t>
      </w:r>
      <w:r>
        <w:rPr>
          <w:rFonts w:ascii="Times New Roman" w:eastAsia="仿宋_GB2312" w:cs="Times New Roman" w:hAnsi="Times New Roman"/>
          <w:sz w:val="32"/>
          <w:szCs w:val="32"/>
          <w:lang w:val="en-US" w:eastAsia="zh-CN"/>
        </w:rPr>
        <w:t>60号）要求，各部门</w:t>
      </w:r>
      <w:r>
        <w:rPr>
          <w:rFonts w:ascii="Times New Roman" w:cs="Times New Roman" w:hAnsi="Times New Roman"/>
          <w:sz w:val="32"/>
          <w:szCs w:val="32"/>
          <w:lang w:val="en-US" w:eastAsia="zh-CN"/>
        </w:rPr>
        <w:t>（乡镇）</w:t>
      </w:r>
      <w:r>
        <w:rPr>
          <w:rFonts w:ascii="Times New Roman" w:eastAsia="仿宋_GB2312" w:cs="Times New Roman" w:hAnsi="Times New Roman"/>
          <w:kern w:val="2"/>
          <w:sz w:val="32"/>
          <w:szCs w:val="32"/>
          <w:lang w:val="en-US" w:eastAsia="zh-CN" w:bidi="ar-SA"/>
        </w:rPr>
        <w:t>借助预算一体化平台，</w:t>
      </w:r>
      <w:r>
        <w:rPr>
          <w:rFonts w:ascii="Times New Roman" w:eastAsia="仿宋_GB2312" w:cs="Times New Roman" w:hAnsi="Times New Roman"/>
          <w:sz w:val="32"/>
          <w:szCs w:val="32"/>
        </w:rPr>
        <w:t>对</w:t>
      </w:r>
      <w:r>
        <w:rPr>
          <w:rFonts w:ascii="Times New Roman" w:eastAsia="仿宋_GB2312" w:cs="Times New Roman" w:hAnsi="Times New Roman"/>
          <w:sz w:val="32"/>
          <w:szCs w:val="32"/>
          <w:lang w:eastAsia="zh-CN"/>
        </w:rPr>
        <w:t>所有入库</w:t>
      </w:r>
      <w:r>
        <w:rPr>
          <w:rFonts w:ascii="Times New Roman" w:eastAsia="仿宋_GB2312" w:cs="Times New Roman" w:hAnsi="Times New Roman"/>
          <w:sz w:val="32"/>
          <w:szCs w:val="32"/>
        </w:rPr>
        <w:t>项目的立项必要性、投入经济性、绩效目标合理性、实施方案可行性等进行</w:t>
      </w:r>
      <w:r>
        <w:rPr>
          <w:rFonts w:ascii="Times New Roman" w:eastAsia="仿宋_GB2312" w:cs="Times New Roman" w:hAnsi="Times New Roman"/>
          <w:sz w:val="32"/>
          <w:szCs w:val="32"/>
          <w:lang w:eastAsia="zh-CN"/>
        </w:rPr>
        <w:t>全面自查审核，切实履行主体责任。</w:t>
      </w:r>
    </w:p>
    <w:p>
      <w:pPr>
        <w:keepNext w:val="0"/>
        <w:keepLines w:val="0"/>
        <w:pageBreakBefore w:val="0"/>
        <w:widowControl w:val="0"/>
        <w:kinsoku/>
        <w:wordWrap/>
        <w:overflowPunct/>
        <w:topLinePunct w:val="0"/>
        <w:bidi w:val="0"/>
        <w:adjustRightInd/>
        <w:snapToGrid w:val="0"/>
        <w:spacing w:beforeAutospacing="0" w:afterAutospacing="0" w:line="576" w:lineRule="exact"/>
        <w:ind w:firstLineChars="200" w:firstLine="632"/>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2.</w:t>
      </w:r>
      <w:r>
        <w:rPr>
          <w:rFonts w:ascii="Times New Roman" w:eastAsia="仿宋_GB2312" w:cs="Times New Roman" w:hAnsi="Times New Roman"/>
          <w:b/>
          <w:bCs/>
          <w:color w:val="000000"/>
          <w:kern w:val="2"/>
          <w:sz w:val="32"/>
          <w:szCs w:val="32"/>
          <w:lang w:val="en-US" w:eastAsia="zh-CN" w:bidi="ar-SA"/>
        </w:rPr>
        <w:t>强化财政重点评估。</w:t>
      </w:r>
      <w:r>
        <w:rPr>
          <w:rFonts w:ascii="Times New Roman" w:eastAsia="仿宋_GB2312" w:cs="Times New Roman" w:hAnsi="Times New Roman"/>
          <w:b w:val="0"/>
          <w:bCs w:val="0"/>
          <w:color w:val="000000"/>
          <w:kern w:val="2"/>
          <w:sz w:val="32"/>
          <w:szCs w:val="32"/>
          <w:lang w:val="en-US" w:eastAsia="zh-CN" w:bidi="ar-SA"/>
        </w:rPr>
        <w:t>预算编制阶段，</w:t>
      </w:r>
      <w:r>
        <w:rPr>
          <w:rFonts w:ascii="Times New Roman" w:eastAsia="仿宋_GB2312" w:cs="Times New Roman" w:hAnsi="Times New Roman"/>
          <w:b w:val="0"/>
          <w:bCs w:val="0"/>
          <w:kern w:val="2"/>
          <w:sz w:val="32"/>
          <w:szCs w:val="32"/>
          <w:lang w:val="en-US" w:eastAsia="zh-CN" w:bidi="ar-SA"/>
        </w:rPr>
        <w:t>按</w:t>
      </w:r>
      <w:r>
        <w:rPr>
          <w:rFonts w:ascii="Times New Roman" w:eastAsia="仿宋_GB2312" w:cs="Times New Roman" w:hAnsi="Times New Roman"/>
          <w:kern w:val="2"/>
          <w:sz w:val="32"/>
          <w:szCs w:val="32"/>
          <w:lang w:val="en-US" w:eastAsia="zh-CN" w:bidi="ar-SA"/>
        </w:rPr>
        <w:t>照《四川省财政厅关于印发&lt;四川省预算绩效管理工作考核暂行办法&gt;的通知 》（川财绩〔2020〕2号）及县级相关管理办法，选取了</w:t>
      </w:r>
      <w:r>
        <w:rPr>
          <w:rFonts w:ascii="Times New Roman" w:eastAsia="仿宋_GB2312" w:cs="Times New Roman" w:hAnsi="Times New Roman"/>
          <w:sz w:val="32"/>
          <w:szCs w:val="32"/>
          <w:lang w:val="en-US" w:eastAsia="zh-CN"/>
        </w:rPr>
        <w:t>2个</w:t>
      </w:r>
      <w:r>
        <w:rPr>
          <w:rFonts w:ascii="Times New Roman" w:eastAsia="仿宋_GB2312" w:cs="Times New Roman" w:hAnsi="Times New Roman"/>
          <w:kern w:val="2"/>
          <w:sz w:val="32"/>
          <w:szCs w:val="32"/>
          <w:lang w:val="en-US" w:eastAsia="zh-CN" w:bidi="ar-SA"/>
        </w:rPr>
        <w:t>新增项目</w:t>
      </w:r>
      <w:r>
        <w:rPr>
          <w:rFonts w:ascii="Times New Roman" w:cs="Times New Roman" w:hAnsi="Times New Roman"/>
          <w:kern w:val="2"/>
          <w:sz w:val="32"/>
          <w:szCs w:val="32"/>
          <w:lang w:val="en-US" w:eastAsia="zh-CN" w:bidi="ar-SA"/>
        </w:rPr>
        <w:t>和</w:t>
      </w:r>
      <w:r>
        <w:rPr>
          <w:rFonts w:ascii="Times New Roman" w:eastAsia="仿宋_GB2312" w:cs="Times New Roman" w:hAnsi="Times New Roman"/>
          <w:sz w:val="32"/>
          <w:szCs w:val="32"/>
          <w:lang w:val="en-US" w:eastAsia="zh-CN"/>
        </w:rPr>
        <w:t>7</w:t>
      </w:r>
      <w:r>
        <w:rPr>
          <w:rFonts w:ascii="Times New Roman" w:eastAsia="仿宋_GB2312" w:cs="Times New Roman" w:hAnsi="Times New Roman"/>
          <w:kern w:val="2"/>
          <w:sz w:val="32"/>
          <w:szCs w:val="32"/>
          <w:lang w:val="en-US" w:eastAsia="zh-CN" w:bidi="ar-SA"/>
        </w:rPr>
        <w:t>个年度资金增幅</w:t>
      </w:r>
      <w:r>
        <w:rPr>
          <w:rFonts w:ascii="Times New Roman" w:eastAsia="仿宋_GB2312" w:cs="Times New Roman" w:hAnsi="Times New Roman"/>
          <w:sz w:val="32"/>
          <w:szCs w:val="32"/>
          <w:lang w:val="en-US" w:eastAsia="zh-CN"/>
        </w:rPr>
        <w:t>50%</w:t>
      </w:r>
      <w:r>
        <w:rPr>
          <w:rFonts w:ascii="Times New Roman" w:eastAsia="仿宋_GB2312" w:cs="Times New Roman" w:hAnsi="Times New Roman"/>
          <w:kern w:val="2"/>
          <w:sz w:val="32"/>
          <w:szCs w:val="32"/>
          <w:lang w:val="en-US" w:eastAsia="zh-CN" w:bidi="ar-SA"/>
        </w:rPr>
        <w:t>以上的项目（涉及资金</w:t>
      </w:r>
      <w:r>
        <w:rPr>
          <w:rFonts w:ascii="Times New Roman" w:eastAsia="仿宋_GB2312" w:cs="Times New Roman" w:hAnsi="Times New Roman"/>
          <w:sz w:val="32"/>
          <w:szCs w:val="32"/>
          <w:lang w:val="en-US" w:eastAsia="zh-CN"/>
        </w:rPr>
        <w:t>30</w:t>
      </w:r>
      <w:r>
        <w:rPr>
          <w:rFonts w:ascii="Times New Roman" w:cs="Times New Roman" w:hAnsi="Times New Roman"/>
          <w:sz w:val="32"/>
          <w:szCs w:val="32"/>
          <w:lang w:val="en-US" w:eastAsia="zh-CN"/>
        </w:rPr>
        <w:t>26.97</w:t>
      </w:r>
      <w:r>
        <w:rPr>
          <w:rFonts w:ascii="Times New Roman" w:eastAsia="仿宋_GB2312" w:cs="Times New Roman" w:hAnsi="Times New Roman"/>
          <w:kern w:val="2"/>
          <w:sz w:val="32"/>
          <w:szCs w:val="32"/>
          <w:lang w:val="en-US" w:eastAsia="zh-CN" w:bidi="ar-SA"/>
        </w:rPr>
        <w:t>万元），委托第三方机构开展重点评估，</w:t>
      </w:r>
      <w:r>
        <w:rPr>
          <w:rFonts w:ascii="Times New Roman" w:eastAsia="仿宋_GB2312" w:cs="Times New Roman" w:hAnsi="Times New Roman"/>
          <w:sz w:val="32"/>
          <w:szCs w:val="32"/>
          <w:lang w:eastAsia="zh-CN"/>
        </w:rPr>
        <w:t>全面研判核心要素</w:t>
      </w:r>
      <w:r>
        <w:rPr>
          <w:rFonts w:ascii="Times New Roman" w:eastAsia="仿宋_GB2312" w:cs="Times New Roman" w:hAnsi="Times New Roman"/>
          <w:sz w:val="32"/>
          <w:szCs w:val="32"/>
        </w:rPr>
        <w:t>。</w:t>
      </w:r>
      <w:r>
        <w:rPr>
          <w:rFonts w:ascii="Times New Roman" w:eastAsia="仿宋_GB2312" w:cs="Times New Roman" w:hAnsi="Times New Roman"/>
          <w:sz w:val="32"/>
          <w:szCs w:val="32"/>
          <w:lang w:eastAsia="zh-CN"/>
        </w:rPr>
        <w:t>评估</w:t>
      </w:r>
      <w:r>
        <w:rPr>
          <w:rFonts w:ascii="Times New Roman" w:eastAsia="仿宋_GB2312" w:cs="Times New Roman" w:hAnsi="Times New Roman"/>
          <w:sz w:val="32"/>
          <w:szCs w:val="32"/>
          <w:lang w:val="en-US" w:eastAsia="zh-CN"/>
        </w:rPr>
        <w:t>建议压减项目</w:t>
      </w:r>
      <w:r>
        <w:rPr>
          <w:rFonts w:ascii="Times New Roman" w:cs="Times New Roman" w:hAnsi="Times New Roman"/>
          <w:sz w:val="32"/>
          <w:szCs w:val="32"/>
          <w:lang w:val="en-US" w:eastAsia="zh-CN"/>
        </w:rPr>
        <w:t>5</w:t>
      </w:r>
      <w:r>
        <w:rPr>
          <w:rFonts w:ascii="Times New Roman" w:eastAsia="仿宋_GB2312" w:cs="Times New Roman" w:hAnsi="Times New Roman"/>
          <w:sz w:val="32"/>
          <w:szCs w:val="32"/>
          <w:lang w:val="en-US" w:eastAsia="zh-CN"/>
        </w:rPr>
        <w:t>个，压减资金</w:t>
      </w:r>
      <w:r>
        <w:rPr>
          <w:rFonts w:ascii="Times New Roman" w:cs="Times New Roman" w:hAnsi="Times New Roman"/>
          <w:sz w:val="32"/>
          <w:szCs w:val="32"/>
          <w:lang w:val="en-US" w:eastAsia="zh-CN"/>
        </w:rPr>
        <w:t>316.95</w:t>
      </w:r>
      <w:r>
        <w:rPr>
          <w:rFonts w:ascii="Times New Roman" w:eastAsia="仿宋_GB2312" w:cs="Times New Roman" w:hAnsi="Times New Roman"/>
          <w:sz w:val="32"/>
          <w:szCs w:val="32"/>
          <w:lang w:val="en-US" w:eastAsia="zh-CN"/>
        </w:rPr>
        <w:t>万元，</w:t>
      </w:r>
      <w:r>
        <w:rPr>
          <w:rFonts w:ascii="Times New Roman" w:eastAsia="仿宋_GB2312" w:cs="Times New Roman" w:hAnsi="Times New Roman"/>
          <w:sz w:val="32"/>
          <w:szCs w:val="32"/>
        </w:rPr>
        <w:t>有效</w:t>
      </w:r>
      <w:r>
        <w:rPr>
          <w:rFonts w:ascii="Times New Roman" w:eastAsia="仿宋_GB2312" w:cs="Times New Roman" w:hAnsi="Times New Roman"/>
          <w:sz w:val="32"/>
          <w:szCs w:val="32"/>
          <w:lang w:eastAsia="zh-CN"/>
        </w:rPr>
        <w:t>防范财政资源浪费，提升资金配置效率</w:t>
      </w:r>
      <w:r>
        <w:rPr>
          <w:rFonts w:ascii="Times New Roman" w:eastAsia="仿宋_GB2312" w:cs="Times New Roman" w:hAnsi="Times New Roman"/>
          <w:sz w:val="32"/>
          <w:szCs w:val="32"/>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both"/>
        <w:textAlignment w:val="auto"/>
        <w:rPr>
          <w:rFonts w:ascii="Times New Roman" w:eastAsia="方正楷体_GBK" w:cs="Times New Roman" w:hAnsi="Times New Roman"/>
          <w:b/>
          <w:bCs/>
          <w:color w:val="000000"/>
          <w:kern w:val="2"/>
          <w:sz w:val="32"/>
          <w:szCs w:val="32"/>
          <w:lang w:val="en-US" w:eastAsia="zh-CN" w:bidi="ar-SA"/>
        </w:rPr>
      </w:pPr>
      <w:r>
        <w:rPr>
          <w:rFonts w:ascii="Times New Roman" w:eastAsia="仿宋_GB2312" w:cs="Times New Roman" w:hAnsi="Times New Roman"/>
          <w:b/>
          <w:bCs/>
          <w:sz w:val="32"/>
          <w:szCs w:val="32"/>
          <w:lang w:val="en-US" w:eastAsia="zh-CN"/>
        </w:rPr>
        <w:t>（</w:t>
      </w:r>
      <w:r>
        <w:rPr>
          <w:rFonts w:ascii="Times New Roman" w:eastAsia="方正楷体_GBK" w:cs="Times New Roman" w:hAnsi="Times New Roman"/>
          <w:b/>
          <w:bCs/>
          <w:sz w:val="32"/>
          <w:szCs w:val="32"/>
          <w:lang w:val="en-US" w:eastAsia="zh-CN"/>
        </w:rPr>
        <w:t>三）</w:t>
      </w:r>
      <w:r>
        <w:rPr>
          <w:rFonts w:ascii="Times New Roman" w:eastAsia="方正楷体_GBK" w:cs="Times New Roman" w:hAnsi="Times New Roman"/>
          <w:b/>
          <w:bCs/>
          <w:color w:val="000000"/>
          <w:kern w:val="2"/>
          <w:sz w:val="32"/>
          <w:szCs w:val="32"/>
          <w:lang w:val="en-US" w:eastAsia="zh-CN" w:bidi="ar-SA"/>
        </w:rPr>
        <w:t>强化绩效运行监控，保障目标有序实现。</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both"/>
        <w:textAlignment w:val="auto"/>
        <w:rPr>
          <w:rFonts w:ascii="Times New Roman" w:eastAsia="仿宋_GB2312" w:cs="Times New Roman" w:hAnsi="Times New Roman"/>
          <w:i w:val="0"/>
          <w:color w:val="000000"/>
          <w:sz w:val="32"/>
          <w:szCs w:val="32"/>
          <w:lang w:eastAsia="zh-CN"/>
        </w:rPr>
      </w:pPr>
      <w:r>
        <w:rPr>
          <w:rFonts w:ascii="Times New Roman" w:eastAsia="仿宋_GB2312" w:cs="Times New Roman" w:hAnsi="Times New Roman"/>
          <w:b/>
          <w:bCs/>
          <w:color w:val="auto"/>
          <w:sz w:val="32"/>
          <w:szCs w:val="32"/>
          <w:lang w:val="en-US" w:eastAsia="zh-CN"/>
        </w:rPr>
        <w:t>1.周密部署安排。</w:t>
      </w:r>
      <w:r>
        <w:rPr>
          <w:rFonts w:ascii="Times New Roman" w:eastAsia="仿宋_GB2312" w:cs="Times New Roman" w:hAnsi="Times New Roman"/>
          <w:b w:val="0"/>
          <w:bCs w:val="0"/>
          <w:color w:val="auto"/>
          <w:sz w:val="32"/>
          <w:szCs w:val="32"/>
          <w:lang w:val="en-US" w:eastAsia="zh-CN"/>
        </w:rPr>
        <w:t>根据《阿坝州财政局关于开展2025年度州级预算绩效运行监控管理工作的通知》（阿州财监绩〔2025〕10号）</w:t>
      </w:r>
      <w:r>
        <w:rPr>
          <w:rFonts w:ascii="Times New Roman" w:cs="Times New Roman" w:hAnsi="Times New Roman"/>
          <w:b w:val="0"/>
          <w:bCs w:val="0"/>
          <w:color w:val="auto"/>
          <w:sz w:val="32"/>
          <w:szCs w:val="32"/>
          <w:lang w:val="en-US" w:eastAsia="zh-CN"/>
        </w:rPr>
        <w:t>及</w:t>
      </w:r>
      <w:r>
        <w:rPr>
          <w:rFonts w:ascii="Times New Roman" w:eastAsia="仿宋_GB2312" w:cs="Times New Roman" w:hAnsi="Times New Roman"/>
          <w:b w:val="0"/>
          <w:bCs w:val="0"/>
          <w:color w:val="auto"/>
          <w:sz w:val="32"/>
          <w:szCs w:val="32"/>
          <w:lang w:val="en-US" w:eastAsia="zh-CN"/>
        </w:rPr>
        <w:t>《金川县县级预算绩效运行监控管理办法》（金财监绩〔2023〕1号）要求，结合我县工作实际，印发《金川县财政局关于开展2025年度县级预算绩效运行监控管理工作的通知》（金财监绩〔2025〕46号），</w:t>
      </w:r>
      <w:r>
        <w:rPr>
          <w:rFonts w:ascii="Times New Roman" w:eastAsia="仿宋_GB2312" w:cs="Times New Roman" w:hAnsi="Times New Roman"/>
          <w:i w:val="0"/>
          <w:color w:val="000000"/>
          <w:sz w:val="32"/>
          <w:szCs w:val="32"/>
          <w:lang w:eastAsia="zh-CN"/>
        </w:rPr>
        <w:t>明确监控范围、方式、对象及时工作时限，确保监控工作有序推进、落地见效。</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both"/>
        <w:textAlignment w:val="auto"/>
        <w:rPr>
          <w:rFonts w:ascii="Times New Roman" w:eastAsia="仿宋_GB2312" w:cs="Times New Roman" w:hAnsi="Times New Roman"/>
          <w:i w:val="0"/>
          <w:color w:val="000000"/>
          <w:sz w:val="32"/>
          <w:szCs w:val="32"/>
          <w:lang w:eastAsia="zh-CN"/>
          <w:highlight w:val="auto"/>
        </w:rPr>
      </w:pPr>
      <w:r>
        <w:rPr>
          <w:rFonts w:ascii="Times New Roman" w:eastAsia="仿宋_GB2312" w:cs="Times New Roman" w:hAnsi="Times New Roman"/>
          <w:b/>
          <w:bCs/>
          <w:i w:val="0"/>
          <w:color w:val="000000"/>
          <w:sz w:val="32"/>
          <w:szCs w:val="32"/>
          <w:lang w:val="en-US" w:eastAsia="zh-CN"/>
        </w:rPr>
        <w:t>2.推进部门自行监控</w:t>
      </w:r>
      <w:r>
        <w:rPr>
          <w:rFonts w:ascii="Times New Roman" w:eastAsia="仿宋_GB2312" w:cs="Times New Roman" w:hAnsi="Times New Roman"/>
          <w:i w:val="0"/>
          <w:color w:val="000000"/>
          <w:sz w:val="32"/>
          <w:szCs w:val="32"/>
          <w:lang w:val="en-US" w:eastAsia="zh-CN"/>
        </w:rPr>
        <w:t>。7</w:t>
      </w:r>
      <w:r>
        <w:rPr>
          <w:rFonts w:ascii="Times New Roman" w:eastAsia="仿宋_GB2312" w:cs="Times New Roman" w:hAnsi="Times New Roman"/>
          <w:i w:val="0"/>
          <w:color w:val="000000"/>
          <w:sz w:val="32"/>
          <w:szCs w:val="32"/>
          <w:lang w:eastAsia="zh-CN"/>
        </w:rPr>
        <w:t>月30日、10月</w:t>
      </w:r>
      <w:r>
        <w:rPr>
          <w:rFonts w:ascii="Times New Roman" w:eastAsia="仿宋_GB2312" w:cs="Times New Roman" w:hAnsi="Times New Roman"/>
          <w:i w:val="0"/>
          <w:color w:val="000000"/>
          <w:sz w:val="32"/>
          <w:szCs w:val="32"/>
          <w:lang w:val="en-US" w:eastAsia="zh-CN"/>
        </w:rPr>
        <w:t>30</w:t>
      </w:r>
      <w:r>
        <w:rPr>
          <w:rFonts w:ascii="Times New Roman" w:eastAsia="仿宋_GB2312" w:cs="Times New Roman" w:hAnsi="Times New Roman"/>
          <w:i w:val="0"/>
          <w:color w:val="000000"/>
          <w:sz w:val="32"/>
          <w:szCs w:val="32"/>
          <w:lang w:eastAsia="zh-CN"/>
        </w:rPr>
        <w:t>前，组织各部门（乡镇）依托“预算管理一体化系统”，对1-</w:t>
      </w:r>
      <w:r>
        <w:rPr>
          <w:rFonts w:ascii="Times New Roman" w:eastAsia="仿宋_GB2312" w:cs="Times New Roman" w:hAnsi="Times New Roman"/>
          <w:i w:val="0"/>
          <w:color w:val="000000"/>
          <w:sz w:val="32"/>
          <w:szCs w:val="32"/>
          <w:lang w:val="en-US" w:eastAsia="zh-CN"/>
        </w:rPr>
        <w:t>7</w:t>
      </w:r>
      <w:r>
        <w:rPr>
          <w:rFonts w:ascii="Times New Roman" w:eastAsia="仿宋_GB2312" w:cs="Times New Roman" w:hAnsi="Times New Roman"/>
          <w:i w:val="0"/>
          <w:color w:val="000000"/>
          <w:sz w:val="32"/>
          <w:szCs w:val="32"/>
          <w:lang w:eastAsia="zh-CN"/>
        </w:rPr>
        <w:t>月、1-10月的预算执行进度和绩效目标实现程度实施“双监控”，逐项目填报“完成值、完成率、目标实现可能性、预计结余数及偏差原因分析、解决措施或建议、部门意见等信息，按时报送预算绩效运行监控报告。</w:t>
      </w:r>
      <w:r>
        <w:rPr>
          <w:rFonts w:ascii="Times New Roman" w:eastAsia="仿宋_GB2312" w:cs="Times New Roman" w:hAnsi="Times New Roman"/>
          <w:i w:val="0"/>
          <w:color w:val="000000"/>
          <w:sz w:val="32"/>
          <w:szCs w:val="32"/>
          <w:lang w:eastAsia="zh-CN"/>
          <w:highlight w:val="auto"/>
        </w:rPr>
        <w:t>截止10月底，全县应监控项目数为</w:t>
      </w:r>
      <w:r>
        <w:rPr>
          <w:rFonts w:ascii="Times New Roman" w:eastAsia="仿宋_GB2312" w:cs="Times New Roman" w:hAnsi="Times New Roman"/>
          <w:i w:val="0"/>
          <w:color w:val="000000"/>
          <w:sz w:val="32"/>
          <w:szCs w:val="32"/>
          <w:lang w:val="en-US" w:eastAsia="zh-CN"/>
          <w:highlight w:val="auto"/>
        </w:rPr>
        <w:t>5909</w:t>
      </w:r>
      <w:r>
        <w:rPr>
          <w:rFonts w:ascii="Times New Roman" w:eastAsia="仿宋_GB2312" w:cs="Times New Roman" w:hAnsi="Times New Roman"/>
          <w:i w:val="0"/>
          <w:color w:val="000000"/>
          <w:sz w:val="32"/>
          <w:szCs w:val="32"/>
          <w:lang w:eastAsia="zh-CN"/>
          <w:highlight w:val="auto"/>
        </w:rPr>
        <w:t>个，已监控</w:t>
      </w:r>
      <w:r>
        <w:rPr>
          <w:rFonts w:ascii="Times New Roman" w:eastAsia="仿宋_GB2312" w:cs="Times New Roman" w:hAnsi="Times New Roman"/>
          <w:i w:val="0"/>
          <w:color w:val="000000"/>
          <w:sz w:val="32"/>
          <w:szCs w:val="32"/>
          <w:lang w:val="en-US" w:eastAsia="zh-CN"/>
          <w:highlight w:val="auto"/>
        </w:rPr>
        <w:t>5856</w:t>
      </w:r>
      <w:r>
        <w:rPr>
          <w:rFonts w:ascii="Times New Roman" w:eastAsia="仿宋_GB2312" w:cs="Times New Roman" w:hAnsi="Times New Roman"/>
          <w:i w:val="0"/>
          <w:color w:val="000000"/>
          <w:sz w:val="32"/>
          <w:szCs w:val="32"/>
          <w:lang w:eastAsia="zh-CN"/>
          <w:highlight w:val="auto"/>
        </w:rPr>
        <w:t>个，总体监控率达9</w:t>
      </w:r>
      <w:r>
        <w:rPr>
          <w:rFonts w:ascii="Times New Roman" w:eastAsia="仿宋_GB2312" w:cs="Times New Roman" w:hAnsi="Times New Roman"/>
          <w:i w:val="0"/>
          <w:color w:val="000000"/>
          <w:sz w:val="32"/>
          <w:szCs w:val="32"/>
          <w:lang w:val="en-US" w:eastAsia="zh-CN"/>
          <w:highlight w:val="auto"/>
        </w:rPr>
        <w:t>9.10</w:t>
      </w:r>
      <w:r>
        <w:rPr>
          <w:rFonts w:ascii="Times New Roman" w:eastAsia="仿宋_GB2312" w:cs="Times New Roman" w:hAnsi="Times New Roman"/>
          <w:i w:val="0"/>
          <w:color w:val="000000"/>
          <w:sz w:val="32"/>
          <w:szCs w:val="32"/>
          <w:lang w:eastAsia="zh-CN"/>
          <w:highlight w:val="auto"/>
        </w:rPr>
        <w:t>%。</w:t>
      </w:r>
    </w:p>
    <w:p>
      <w:pPr>
        <w:keepNext w:val="0"/>
        <w:keepLines w:val="0"/>
        <w:pageBreakBefore w:val="0"/>
        <w:widowControl w:val="0"/>
        <w:kinsoku/>
        <w:wordWrap/>
        <w:overflowPunct/>
        <w:topLinePunct w:val="0"/>
        <w:autoSpaceDE w:val="0"/>
        <w:autoSpaceDN w:val="0"/>
        <w:bidi w:val="0"/>
        <w:adjustRightInd/>
        <w:snapToGrid w:val="0"/>
        <w:spacing w:beforeAutospacing="0" w:afterAutospacing="0" w:line="576" w:lineRule="exact"/>
        <w:ind w:firstLineChars="200" w:firstLine="632"/>
        <w:jc w:val="both"/>
        <w:textAlignment w:val="baseline"/>
        <w:rPr>
          <w:rFonts w:ascii="Times New Roman" w:eastAsia="仿宋_GB2312" w:cs="Times New Roman" w:hAnsi="Times New Roman"/>
          <w:color w:val="auto"/>
          <w:sz w:val="32"/>
          <w:szCs w:val="32"/>
          <w:lang w:val="en-US" w:eastAsia="zh-CN"/>
          <w:highlight w:val="auto"/>
        </w:rPr>
      </w:pPr>
      <w:r>
        <w:rPr>
          <w:rFonts w:ascii="Times New Roman" w:eastAsia="仿宋_GB2312" w:cs="Times New Roman" w:hAnsi="Times New Roman"/>
          <w:b/>
          <w:bCs/>
          <w:i w:val="0"/>
          <w:color w:val="000000"/>
          <w:sz w:val="32"/>
          <w:szCs w:val="32"/>
          <w:lang w:val="en-US" w:eastAsia="zh-CN"/>
        </w:rPr>
        <w:t>3.开展财政重点监控。</w:t>
      </w:r>
      <w:r>
        <w:rPr>
          <w:rFonts w:ascii="Times New Roman" w:eastAsia="仿宋_GB2312" w:cs="Times New Roman" w:hAnsi="Times New Roman"/>
          <w:color w:val="auto"/>
          <w:sz w:val="32"/>
          <w:szCs w:val="32"/>
          <w:lang w:val="en-US" w:eastAsia="zh-CN"/>
        </w:rPr>
        <w:t>10月，财政监督与绩效管理股</w:t>
      </w:r>
      <w:r>
        <w:rPr>
          <w:rFonts w:ascii="Times New Roman" w:eastAsia="仿宋_GB2312" w:cs="Times New Roman" w:hAnsi="Times New Roman"/>
          <w:color w:val="auto"/>
          <w:sz w:val="32"/>
          <w:szCs w:val="32"/>
        </w:rPr>
        <w:t>抽</w:t>
      </w:r>
      <w:r>
        <w:rPr>
          <w:rFonts w:ascii="Times New Roman" w:eastAsia="仿宋_GB2312" w:cs="Times New Roman" w:hAnsi="Times New Roman"/>
          <w:color w:val="auto"/>
          <w:sz w:val="32"/>
          <w:szCs w:val="32"/>
          <w:lang w:eastAsia="zh-CN"/>
        </w:rPr>
        <w:t>取</w:t>
      </w:r>
      <w:r>
        <w:rPr>
          <w:rFonts w:ascii="Times New Roman" w:eastAsia="仿宋_GB2312" w:cs="Times New Roman" w:hAnsi="Times New Roman"/>
          <w:color w:val="auto"/>
          <w:sz w:val="32"/>
          <w:szCs w:val="32"/>
          <w:lang w:val="en-US" w:eastAsia="zh-CN"/>
        </w:rPr>
        <w:t>50个部门</w:t>
      </w:r>
      <w:r>
        <w:rPr>
          <w:rFonts w:ascii="Times New Roman" w:cs="Times New Roman" w:hAnsi="Times New Roman"/>
          <w:color w:val="auto"/>
          <w:sz w:val="32"/>
          <w:szCs w:val="32"/>
          <w:lang w:val="en-US" w:eastAsia="zh-CN"/>
        </w:rPr>
        <w:t>预算</w:t>
      </w:r>
      <w:r>
        <w:rPr>
          <w:rFonts w:ascii="Times New Roman" w:eastAsia="仿宋_GB2312" w:cs="Times New Roman" w:hAnsi="Times New Roman"/>
          <w:color w:val="auto"/>
          <w:sz w:val="32"/>
          <w:szCs w:val="32"/>
          <w:lang w:val="en-US" w:eastAsia="zh-CN"/>
        </w:rPr>
        <w:t>项目（</w:t>
      </w:r>
      <w:r>
        <w:rPr>
          <w:rFonts w:ascii="Times New Roman" w:eastAsia="仿宋_GB2312" w:cs="Times New Roman" w:hAnsi="Times New Roman"/>
          <w:color w:val="auto"/>
          <w:sz w:val="32"/>
          <w:szCs w:val="32"/>
          <w:lang w:eastAsia="zh-CN"/>
        </w:rPr>
        <w:t>涉及</w:t>
      </w:r>
      <w:r>
        <w:rPr>
          <w:rFonts w:ascii="Times New Roman" w:eastAsia="仿宋_GB2312" w:cs="Times New Roman" w:hAnsi="Times New Roman"/>
          <w:color w:val="auto"/>
          <w:sz w:val="32"/>
          <w:szCs w:val="32"/>
        </w:rPr>
        <w:t>预算</w:t>
      </w:r>
      <w:r>
        <w:rPr>
          <w:rFonts w:ascii="Times New Roman" w:eastAsia="仿宋_GB2312" w:cs="Times New Roman" w:hAnsi="Times New Roman"/>
          <w:color w:val="auto"/>
          <w:sz w:val="32"/>
          <w:szCs w:val="32"/>
          <w:lang w:val="en-US" w:eastAsia="zh-CN"/>
        </w:rPr>
        <w:t>资金总额12726.7962万元），采取线上核查与线下核实相结合的方式开展重点绩效监控，</w:t>
      </w:r>
      <w:r>
        <w:rPr>
          <w:rFonts w:ascii="Times New Roman" w:eastAsia="仿宋_GB2312" w:cs="Times New Roman" w:hAnsi="Times New Roman"/>
          <w:color w:val="auto"/>
          <w:sz w:val="32"/>
          <w:szCs w:val="32"/>
          <w:lang w:val="en-US" w:eastAsia="zh-CN"/>
          <w:highlight w:val="auto"/>
        </w:rPr>
        <w:t>经监控，上述项目1-10月资</w:t>
      </w:r>
      <w:r>
        <w:rPr>
          <w:rFonts w:ascii="Times New Roman" w:eastAsia="仿宋_GB2312" w:cs="Times New Roman" w:hAnsi="Times New Roman"/>
          <w:color w:val="auto"/>
          <w:sz w:val="32"/>
          <w:szCs w:val="32"/>
          <w:lang w:val="en-US" w:eastAsia="zh-CN"/>
        </w:rPr>
        <w:t>金执行数为0万元，</w:t>
      </w:r>
      <w:r>
        <w:rPr>
          <w:rFonts w:ascii="Times New Roman" w:eastAsia="仿宋_GB2312" w:cs="Times New Roman" w:hAnsi="Times New Roman"/>
          <w:color w:val="auto"/>
          <w:sz w:val="32"/>
          <w:szCs w:val="32"/>
        </w:rPr>
        <w:t>执行率</w:t>
      </w:r>
      <w:r>
        <w:rPr>
          <w:rFonts w:ascii="Times New Roman" w:eastAsia="仿宋_GB2312" w:cs="Times New Roman" w:hAnsi="Times New Roman"/>
          <w:color w:val="auto"/>
          <w:sz w:val="32"/>
          <w:szCs w:val="32"/>
          <w:lang w:val="en-US" w:eastAsia="zh-CN"/>
        </w:rPr>
        <w:t>0</w:t>
      </w:r>
      <w:r>
        <w:rPr>
          <w:rFonts w:ascii="Times New Roman" w:eastAsia="仿宋_GB2312" w:cs="Times New Roman" w:hAnsi="Times New Roman"/>
          <w:color w:val="auto"/>
          <w:sz w:val="32"/>
          <w:szCs w:val="32"/>
          <w:highlight w:val="auto"/>
        </w:rPr>
        <w:t>%</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color w:val="auto"/>
          <w:sz w:val="32"/>
          <w:szCs w:val="32"/>
          <w:lang w:val="en-US" w:eastAsia="zh-CN"/>
          <w:highlight w:val="auto"/>
        </w:rPr>
        <w:t>48个项目确定能完成绩效目标，1个项目预计可能完成绩效目标，1个项目无法完成绩效目标。</w:t>
      </w:r>
    </w:p>
    <w:p>
      <w:pPr>
        <w:pStyle w:val="21"/>
        <w:keepNext w:val="0"/>
        <w:keepLines w:val="0"/>
        <w:pageBreakBefore w:val="0"/>
        <w:widowControl w:val="0"/>
        <w:kinsoku/>
        <w:wordWrap/>
        <w:overflowPunct/>
        <w:topLinePunct w:val="0"/>
        <w:bidi w:val="0"/>
        <w:adjustRightInd/>
        <w:snapToGrid w:val="0"/>
        <w:spacing w:beforeAutospacing="0" w:afterAutospacing="0" w:line="576" w:lineRule="exact"/>
        <w:ind w:left="0" w:firstLineChars="200" w:firstLine="632"/>
        <w:rPr>
          <w:rFonts w:ascii="Times New Roman" w:eastAsia="仿宋_GB2312" w:cs="Times New Roman" w:hAnsi="Times New Roman"/>
          <w:color w:val="auto"/>
          <w:sz w:val="32"/>
          <w:szCs w:val="32"/>
          <w:lang w:val="en-US" w:eastAsia="zh-CN"/>
          <w:highlight w:val="auto"/>
        </w:rPr>
      </w:pPr>
      <w:r>
        <w:rPr>
          <w:rFonts w:ascii="Times New Roman" w:eastAsia="仿宋_GB2312" w:cs="Times New Roman" w:hAnsi="Times New Roman"/>
          <w:b/>
          <w:bCs/>
          <w:color w:val="auto"/>
          <w:sz w:val="32"/>
          <w:szCs w:val="32"/>
          <w:lang w:val="en-US" w:eastAsia="zh-CN"/>
          <w:highlight w:val="auto"/>
        </w:rPr>
        <w:t>4.强化预警处置情况。</w:t>
      </w:r>
      <w:r>
        <w:rPr>
          <w:rFonts w:ascii="Times New Roman" w:eastAsia="仿宋_GB2312" w:cs="Times New Roman" w:hAnsi="Times New Roman"/>
          <w:color w:val="auto"/>
          <w:sz w:val="32"/>
          <w:szCs w:val="32"/>
          <w:lang w:val="en-US" w:eastAsia="zh-CN"/>
          <w:highlight w:val="auto"/>
        </w:rPr>
        <w:t>根据部门自行监控和财政重点监控结果，系统累计触发预警处置通知717个，单位及时处置699个（其中继续预算执行650个，申请项目取消1个（涉及资金670万元），申请预算调剂8个（涉及资金540.63万元），财政累计收回资金1210.63万元；18个项目因预算</w:t>
      </w:r>
      <w:r>
        <w:rPr>
          <w:rFonts w:ascii="Times New Roman" w:eastAsia="仿宋_GB2312" w:cs="Times New Roman" w:hAnsi="Times New Roman"/>
          <w:color w:val="auto"/>
          <w:sz w:val="32"/>
          <w:szCs w:val="32"/>
          <w:lang w:val="en-US" w:eastAsia="zh-CN"/>
        </w:rPr>
        <w:t>单位未在预警后的10个工作日内未处置，系统自动暂停预算执行</w:t>
      </w:r>
      <w:r>
        <w:rPr>
          <w:rFonts w:ascii="Times New Roman" w:eastAsia="仿宋_GB2312" w:cs="Times New Roman" w:hAnsi="Times New Roman"/>
          <w:color w:val="auto"/>
          <w:sz w:val="32"/>
          <w:szCs w:val="32"/>
          <w:lang w:val="en-US" w:eastAsia="zh-CN"/>
          <w:highlight w:val="auto"/>
        </w:rPr>
        <w:t>。</w:t>
      </w:r>
    </w:p>
    <w:p>
      <w:pPr>
        <w:pStyle w:val="21"/>
        <w:keepNext w:val="0"/>
        <w:keepLines w:val="0"/>
        <w:pageBreakBefore w:val="0"/>
        <w:widowControl w:val="0"/>
        <w:kinsoku/>
        <w:wordWrap/>
        <w:overflowPunct/>
        <w:topLinePunct w:val="0"/>
        <w:bidi w:val="0"/>
        <w:adjustRightInd/>
        <w:snapToGrid w:val="0"/>
        <w:spacing w:beforeAutospacing="0" w:afterAutospacing="0" w:line="576" w:lineRule="exact"/>
        <w:ind w:left="0" w:firstLineChars="200" w:firstLine="632"/>
        <w:rPr>
          <w:rFonts w:ascii="Times New Roman" w:eastAsia="方正楷体_GBK" w:cs="Times New Roman" w:hAnsi="Times New Roman"/>
          <w:kern w:val="2"/>
          <w:sz w:val="32"/>
          <w:szCs w:val="32"/>
          <w:lang w:val="en-US" w:eastAsia="zh-CN" w:bidi="ar-SA"/>
        </w:rPr>
      </w:pPr>
      <w:r>
        <w:rPr>
          <w:rFonts w:ascii="Times New Roman" w:eastAsia="方正楷体_GBK" w:cs="Times New Roman" w:hAnsi="Times New Roman"/>
          <w:b/>
          <w:bCs/>
          <w:color w:val="000000"/>
          <w:kern w:val="2"/>
          <w:sz w:val="32"/>
          <w:szCs w:val="32"/>
          <w:lang w:val="en-US" w:eastAsia="zh-CN" w:bidi="ar-SA"/>
        </w:rPr>
        <w:t>（四）抓实预算绩效评价，精准研判实施成效。</w:t>
      </w:r>
    </w:p>
    <w:p>
      <w:pPr>
        <w:pStyle w:val="22"/>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576" w:lineRule="exact"/>
        <w:ind w:leftChars="0" w:left="0" w:right="0" w:firstLineChars="200" w:firstLine="632"/>
        <w:jc w:val="both"/>
        <w:textAlignment w:val="auto"/>
        <w:rPr>
          <w:rFonts w:ascii="Times New Roman" w:eastAsia="仿宋_GB2312" w:cs="Times New Roman" w:hAnsi="Times New Roman"/>
          <w:color w:val="000000"/>
          <w:kern w:val="2"/>
          <w:sz w:val="32"/>
          <w:szCs w:val="32"/>
          <w:lang w:val="en-US" w:eastAsia="zh-CN" w:bidi="ar-SA"/>
        </w:rPr>
      </w:pPr>
      <w:r>
        <w:rPr>
          <w:rFonts w:ascii="Times New Roman" w:eastAsia="仿宋_GB2312" w:cs="Times New Roman" w:hAnsi="Times New Roman"/>
          <w:b/>
          <w:bCs/>
          <w:kern w:val="2"/>
          <w:sz w:val="32"/>
          <w:szCs w:val="32"/>
          <w:lang w:val="en-US" w:eastAsia="zh-CN" w:bidi="ar-SA"/>
        </w:rPr>
        <w:t>1.配合省州</w:t>
      </w:r>
      <w:r>
        <w:rPr>
          <w:rFonts w:ascii="Times New Roman" w:eastAsia="仿宋_GB2312" w:cs="Times New Roman" w:hAnsi="Times New Roman"/>
          <w:b/>
          <w:bCs/>
          <w:color w:val="000000"/>
          <w:kern w:val="2"/>
          <w:sz w:val="32"/>
          <w:szCs w:val="32"/>
          <w:lang w:val="en-US" w:eastAsia="zh-CN" w:bidi="ar-SA"/>
        </w:rPr>
        <w:t>重点绩效评价。</w:t>
      </w:r>
      <w:r>
        <w:rPr>
          <w:rFonts w:ascii="Times New Roman" w:eastAsia="仿宋_GB2312" w:cs="Times New Roman" w:hAnsi="Times New Roman"/>
          <w:color w:val="000000"/>
          <w:kern w:val="2"/>
          <w:sz w:val="32"/>
          <w:szCs w:val="32"/>
          <w:lang w:val="en-US" w:eastAsia="zh-CN" w:bidi="ar-SA"/>
        </w:rPr>
        <w:t>按照《四川省财政厅关于开展2025年财政重点绩效评价工作的通知》（川财绩〔2024〕8号）要求，配合省绩效评价组完成省级财政BFGB风险保障资金、中省级财政优抚对象抚恤补助资金等2个现场选点项目评价（涉及1328.61万元）；按照《阿坝州财政局关于开展州本级2025年财政重点绩效评价工作的通知》（</w:t>
      </w:r>
      <w:r>
        <w:rPr>
          <w:rFonts w:ascii="Times New Roman" w:eastAsia="仿宋_GB2312" w:cs="Times New Roman" w:hAnsi="Times New Roman"/>
          <w:kern w:val="2"/>
          <w:sz w:val="32"/>
          <w:szCs w:val="32"/>
          <w:u w:val="none"/>
          <w:lang w:bidi="ar-SA"/>
        </w:rPr>
        <w:t>阿州财监绩〔2025〕12号</w:t>
      </w:r>
      <w:r>
        <w:rPr>
          <w:rFonts w:ascii="Times New Roman" w:eastAsia="仿宋_GB2312" w:cs="Times New Roman" w:hAnsi="Times New Roman"/>
          <w:color w:val="000000"/>
          <w:kern w:val="2"/>
          <w:sz w:val="32"/>
          <w:szCs w:val="32"/>
          <w:lang w:val="en-US" w:eastAsia="zh-CN" w:bidi="ar-SA"/>
        </w:rPr>
        <w:t>）要求，配合州绩效评价组完成</w:t>
      </w:r>
      <w:r>
        <w:rPr>
          <w:rFonts w:ascii="Times New Roman" w:eastAsia="仿宋_GB2312" w:cs="Times New Roman" w:hAnsi="Times New Roman"/>
          <w:bCs/>
          <w:color w:val="000000"/>
          <w:sz w:val="32"/>
          <w:szCs w:val="32"/>
          <w:lang w:val="en-US" w:eastAsia="zh-CN" w:bidi="ar-SA"/>
        </w:rPr>
        <w:t>2024年省级市场监管专项资金、2024年村（社区）森林防火奖补资金防火奖补、2024年中央财政林业改革发展资金预算、2024年省级财政工会专项资金、2024年省级促进粮油产业高质量发展资金等25个项目</w:t>
      </w:r>
      <w:r>
        <w:rPr>
          <w:rFonts w:ascii="Times New Roman" w:eastAsia="仿宋_GB2312" w:cs="Times New Roman" w:hAnsi="Times New Roman"/>
          <w:color w:val="000000"/>
          <w:kern w:val="2"/>
          <w:sz w:val="32"/>
          <w:szCs w:val="32"/>
          <w:lang w:val="en-US" w:eastAsia="zh-CN" w:bidi="ar-SA"/>
        </w:rPr>
        <w:t>绩效评价（涉及资金8497.53万元）。</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both"/>
        <w:textAlignment w:val="auto"/>
        <w:rPr>
          <w:rFonts w:ascii="Times New Roman" w:eastAsia="仿宋_GB2312" w:cs="Times New Roman" w:hAnsi="Times New Roman"/>
          <w:color w:val="000000"/>
          <w:sz w:val="32"/>
          <w:szCs w:val="32"/>
          <w:lang w:val="en-US" w:eastAsia="zh-CN"/>
        </w:rPr>
      </w:pPr>
      <w:r>
        <w:rPr>
          <w:rFonts w:ascii="Times New Roman" w:eastAsia="仿宋_GB2312" w:cs="Times New Roman" w:hAnsi="Times New Roman"/>
          <w:b/>
          <w:bCs/>
          <w:kern w:val="2"/>
          <w:sz w:val="32"/>
          <w:szCs w:val="32"/>
          <w:lang w:val="en-US" w:eastAsia="zh-CN" w:bidi="ar-SA"/>
        </w:rPr>
        <w:t>3.组织</w:t>
      </w:r>
      <w:r>
        <w:rPr>
          <w:rFonts w:ascii="Times New Roman" w:cs="Times New Roman" w:hAnsi="Times New Roman"/>
          <w:b/>
          <w:bCs/>
          <w:kern w:val="2"/>
          <w:sz w:val="32"/>
          <w:szCs w:val="32"/>
          <w:lang w:val="en-US" w:eastAsia="zh-CN" w:bidi="ar-SA"/>
        </w:rPr>
        <w:t>部门</w:t>
      </w:r>
      <w:r>
        <w:rPr>
          <w:rFonts w:ascii="Times New Roman" w:eastAsia="仿宋_GB2312" w:cs="Times New Roman" w:hAnsi="Times New Roman"/>
          <w:b/>
          <w:bCs/>
          <w:kern w:val="2"/>
          <w:sz w:val="32"/>
          <w:szCs w:val="32"/>
          <w:lang w:val="en-US" w:eastAsia="zh-CN" w:bidi="ar-SA"/>
        </w:rPr>
        <w:t>绩效自评。</w:t>
      </w:r>
      <w:r>
        <w:rPr>
          <w:rFonts w:ascii="Times New Roman" w:eastAsia="仿宋_GB2312" w:cs="Times New Roman" w:hAnsi="Times New Roman"/>
          <w:color w:val="000000"/>
          <w:sz w:val="32"/>
          <w:szCs w:val="32"/>
          <w:lang w:eastAsia="zh-CN"/>
        </w:rPr>
        <w:t>印发《金川县财政局关于202</w:t>
      </w:r>
      <w:r>
        <w:rPr>
          <w:rFonts w:ascii="Times New Roman" w:eastAsia="仿宋_GB2312" w:cs="Times New Roman" w:hAnsi="Times New Roman"/>
          <w:color w:val="000000"/>
          <w:sz w:val="32"/>
          <w:szCs w:val="32"/>
          <w:lang w:val="en-US" w:eastAsia="zh-CN"/>
        </w:rPr>
        <w:t>5</w:t>
      </w:r>
      <w:r>
        <w:rPr>
          <w:rFonts w:ascii="Times New Roman" w:eastAsia="仿宋_GB2312" w:cs="Times New Roman" w:hAnsi="Times New Roman"/>
          <w:color w:val="000000"/>
          <w:sz w:val="32"/>
          <w:szCs w:val="32"/>
          <w:lang w:eastAsia="zh-CN"/>
        </w:rPr>
        <w:t>年县级部门绩效自评工作的通知》（</w:t>
      </w:r>
      <w:r>
        <w:rPr>
          <w:rFonts w:ascii="Times New Roman" w:eastAsia="仿宋_GB2312" w:cs="Times New Roman" w:hAnsi="Times New Roman"/>
          <w:sz w:val="32"/>
          <w:szCs w:val="32"/>
          <w:lang w:val="en-US" w:eastAsia="zh-CN"/>
        </w:rPr>
        <w:t>金财监绩</w:t>
      </w:r>
      <w:r>
        <w:rPr>
          <w:rFonts w:ascii="Times New Roman" w:eastAsia="仿宋_GB2312" w:cs="Times New Roman" w:hAnsi="Times New Roman"/>
          <w:sz w:val="32"/>
          <w:szCs w:val="32"/>
          <w:lang w:bidi="ar-SA"/>
        </w:rPr>
        <w:t>〔202</w:t>
      </w:r>
      <w:r>
        <w:rPr>
          <w:rFonts w:ascii="Times New Roman" w:eastAsia="仿宋_GB2312" w:cs="Times New Roman" w:hAnsi="Times New Roman"/>
          <w:sz w:val="32"/>
          <w:szCs w:val="32"/>
          <w:lang w:val="en-US" w:eastAsia="zh-CN" w:bidi="ar-SA"/>
        </w:rPr>
        <w:t>5</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val="en-US" w:eastAsia="zh-CN" w:bidi="ar-SA"/>
        </w:rPr>
        <w:t>35</w:t>
      </w:r>
      <w:r>
        <w:rPr>
          <w:rFonts w:ascii="Times New Roman" w:eastAsia="仿宋_GB2312" w:cs="Times New Roman" w:hAnsi="Times New Roman"/>
          <w:sz w:val="32"/>
          <w:szCs w:val="32"/>
          <w:lang w:bidi="ar-SA"/>
        </w:rPr>
        <w:t>号</w:t>
      </w:r>
      <w:r>
        <w:rPr>
          <w:rFonts w:ascii="Times New Roman" w:eastAsia="仿宋_GB2312" w:cs="Times New Roman" w:hAnsi="Times New Roman"/>
          <w:color w:val="000000"/>
          <w:sz w:val="32"/>
          <w:szCs w:val="32"/>
          <w:lang w:eastAsia="zh-CN"/>
        </w:rPr>
        <w:t>），明确了</w:t>
      </w:r>
      <w:r>
        <w:rPr>
          <w:rFonts w:ascii="Times New Roman" w:eastAsia="仿宋_GB2312" w:cs="Times New Roman" w:hAnsi="Times New Roman"/>
          <w:color w:val="000000"/>
          <w:sz w:val="32"/>
          <w:szCs w:val="32"/>
        </w:rPr>
        <w:t>自评范围</w:t>
      </w:r>
      <w:r>
        <w:rPr>
          <w:rFonts w:ascii="Times New Roman" w:eastAsia="仿宋_GB2312" w:cs="Times New Roman" w:hAnsi="Times New Roman"/>
          <w:color w:val="000000"/>
          <w:sz w:val="32"/>
          <w:szCs w:val="32"/>
          <w:lang w:eastAsia="zh-CN"/>
        </w:rPr>
        <w:t>、程序及要求，优化完善评价指标体系和自评报告范本。各</w:t>
      </w:r>
      <w:r>
        <w:rPr>
          <w:rFonts w:ascii="Times New Roman" w:cs="Times New Roman" w:hAnsi="Times New Roman"/>
          <w:color w:val="000000"/>
          <w:sz w:val="32"/>
          <w:szCs w:val="32"/>
          <w:lang w:eastAsia="zh-CN"/>
        </w:rPr>
        <w:t>部门（乡镇）</w:t>
      </w:r>
      <w:r>
        <w:rPr>
          <w:rFonts w:ascii="Times New Roman" w:eastAsia="仿宋_GB2312" w:cs="Times New Roman" w:hAnsi="Times New Roman"/>
          <w:color w:val="000000"/>
          <w:sz w:val="32"/>
          <w:szCs w:val="32"/>
          <w:lang w:eastAsia="zh-CN"/>
        </w:rPr>
        <w:t>按要求将自评材料上传至预算管理一体化系统，全面完成</w:t>
      </w:r>
      <w:r>
        <w:rPr>
          <w:rFonts w:ascii="Times New Roman" w:eastAsia="仿宋_GB2312" w:cs="Times New Roman" w:hAnsi="Times New Roman"/>
          <w:color w:val="000000"/>
          <w:sz w:val="32"/>
          <w:szCs w:val="32"/>
          <w:lang w:val="en-US" w:eastAsia="zh-CN"/>
        </w:rPr>
        <w:t>83个部门整体自评，469个专项预算项目自评，10个政府基金预算项目自评及5个社保基金预算自评。</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left"/>
        <w:textAlignment w:val="auto"/>
        <w:rPr>
          <w:rFonts w:ascii="Times New Roman" w:eastAsia="仿宋_GB2312" w:cs="Times New Roman" w:hAnsi="Times New Roman"/>
          <w:kern w:val="2"/>
          <w:sz w:val="32"/>
          <w:szCs w:val="32"/>
          <w:lang w:val="en-US" w:eastAsia="zh-CN" w:bidi="ar-SA"/>
        </w:rPr>
      </w:pPr>
      <w:r>
        <w:rPr>
          <w:rFonts w:ascii="Times New Roman" w:eastAsia="仿宋_GB2312" w:cs="Times New Roman" w:hAnsi="Times New Roman"/>
          <w:b/>
          <w:bCs/>
          <w:kern w:val="2"/>
          <w:sz w:val="32"/>
          <w:szCs w:val="32"/>
          <w:lang w:val="en-US" w:eastAsia="zh-CN" w:bidi="ar-SA"/>
          <w:highlight w:val="auto"/>
        </w:rPr>
        <w:t>4.开展县级重点评价。一是</w:t>
      </w:r>
      <w:r>
        <w:rPr>
          <w:rFonts w:ascii="Times New Roman" w:eastAsia="仿宋_GB2312" w:cs="Times New Roman" w:hAnsi="Times New Roman"/>
          <w:kern w:val="2"/>
          <w:sz w:val="32"/>
          <w:szCs w:val="32"/>
          <w:lang w:val="en-US" w:eastAsia="zh-CN" w:bidi="ar-SA"/>
          <w:highlight w:val="auto"/>
        </w:rPr>
        <w:t>结合省州财政抽评项目，联系工作实际，印发了《金川县财政局关于开展</w:t>
      </w:r>
      <w:r>
        <w:rPr>
          <w:rFonts w:ascii="Times New Roman" w:eastAsia="仿宋_GB2312" w:cs="Times New Roman" w:hAnsi="Times New Roman"/>
          <w:snapToGrid/>
          <w:spacing w:val="0"/>
          <w:w w:val="100"/>
          <w:kern w:val="2"/>
          <w:position w:val="0"/>
          <w:sz w:val="32"/>
          <w:szCs w:val="32"/>
          <w:u w:val="none"/>
          <w:vertAlign w:val="baseline"/>
          <w:lang w:val="en-US" w:eastAsia="zh-CN" w:bidi="ar-SA"/>
          <w:highlight w:val="auto"/>
        </w:rPr>
        <w:t>2025</w:t>
      </w:r>
      <w:r>
        <w:rPr>
          <w:rFonts w:ascii="Times New Roman" w:eastAsia="仿宋_GB2312" w:cs="Times New Roman" w:hAnsi="Times New Roman"/>
          <w:kern w:val="2"/>
          <w:sz w:val="32"/>
          <w:szCs w:val="32"/>
          <w:lang w:val="en-US" w:eastAsia="zh-CN" w:bidi="ar-SA"/>
          <w:highlight w:val="auto"/>
        </w:rPr>
        <w:t>年财政重点绩效评价工作的通知》（金财监绩〔</w:t>
      </w:r>
      <w:r>
        <w:rPr>
          <w:rFonts w:ascii="Times New Roman" w:eastAsia="仿宋_GB2312" w:cs="Times New Roman" w:hAnsi="Times New Roman"/>
          <w:snapToGrid/>
          <w:spacing w:val="0"/>
          <w:w w:val="100"/>
          <w:kern w:val="2"/>
          <w:position w:val="0"/>
          <w:sz w:val="32"/>
          <w:szCs w:val="32"/>
          <w:u w:val="none"/>
          <w:vertAlign w:val="baseline"/>
          <w:lang w:val="en-US" w:eastAsia="zh-CN" w:bidi="ar-SA"/>
          <w:highlight w:val="auto"/>
        </w:rPr>
        <w:t>2025</w:t>
      </w:r>
      <w:r>
        <w:rPr>
          <w:rFonts w:ascii="Times New Roman" w:eastAsia="仿宋_GB2312" w:cs="Times New Roman" w:hAnsi="Times New Roman"/>
          <w:kern w:val="2"/>
          <w:sz w:val="32"/>
          <w:szCs w:val="32"/>
          <w:lang w:val="en-US" w:eastAsia="zh-CN" w:bidi="ar-SA"/>
          <w:highlight w:val="auto"/>
        </w:rPr>
        <w:t>〕4</w:t>
      </w:r>
      <w:r>
        <w:rPr>
          <w:rFonts w:ascii="Times New Roman" w:eastAsia="仿宋_GB2312" w:cs="Times New Roman" w:hAnsi="Times New Roman"/>
          <w:snapToGrid/>
          <w:spacing w:val="0"/>
          <w:w w:val="100"/>
          <w:kern w:val="2"/>
          <w:position w:val="0"/>
          <w:sz w:val="32"/>
          <w:szCs w:val="32"/>
          <w:u w:val="none"/>
          <w:vertAlign w:val="baseline"/>
          <w:lang w:val="en-US" w:eastAsia="zh-CN" w:bidi="ar-SA"/>
          <w:highlight w:val="auto"/>
        </w:rPr>
        <w:t>5</w:t>
      </w:r>
      <w:r>
        <w:rPr>
          <w:rFonts w:ascii="Times New Roman" w:eastAsia="仿宋_GB2312" w:cs="Times New Roman" w:hAnsi="Times New Roman"/>
          <w:kern w:val="2"/>
          <w:sz w:val="32"/>
          <w:szCs w:val="32"/>
          <w:lang w:val="en-US" w:eastAsia="zh-CN" w:bidi="ar-SA"/>
          <w:highlight w:val="auto"/>
        </w:rPr>
        <w:t>号），明确了绩效评价的范围、对象、方式、步骤；</w:t>
      </w:r>
      <w:r>
        <w:rPr>
          <w:rFonts w:ascii="Times New Roman" w:eastAsia="仿宋_GB2312" w:cs="Times New Roman" w:hAnsi="Times New Roman"/>
          <w:b/>
          <w:bCs/>
          <w:kern w:val="2"/>
          <w:sz w:val="32"/>
          <w:szCs w:val="32"/>
          <w:lang w:val="en-US" w:eastAsia="zh-CN" w:bidi="ar-SA"/>
          <w:highlight w:val="auto"/>
        </w:rPr>
        <w:t>二是</w:t>
      </w:r>
      <w:r>
        <w:rPr>
          <w:rFonts w:ascii="Times New Roman" w:eastAsia="仿宋_GB2312" w:cs="Times New Roman" w:hAnsi="Times New Roman"/>
          <w:sz w:val="32"/>
          <w:szCs w:val="32"/>
          <w:u w:val="none"/>
          <w:lang w:eastAsia="zh-CN"/>
          <w:highlight w:val="auto"/>
        </w:rPr>
        <w:t>选取</w:t>
      </w:r>
      <w:r>
        <w:rPr>
          <w:rFonts w:ascii="Times New Roman" w:eastAsia="仿宋_GB2312" w:cs="Times New Roman" w:hAnsi="Times New Roman"/>
          <w:sz w:val="32"/>
          <w:szCs w:val="32"/>
          <w:u w:val="none"/>
          <w:lang w:val="en-US" w:eastAsia="zh-CN"/>
          <w:highlight w:val="auto"/>
        </w:rPr>
        <w:t>宜居宜业和美乡村建设项目、金川县Y015回八路（鹦沟嘴至和尚湾段）幸福美丽乡村路、金川县脱贫劳动力技能培训和劳务转移输出项目、金川县老街旅游旅游集散中心建设项目、河东乡结木村嘎尖草坪旅游道路提升改造项目、村集体经济建设项目</w:t>
      </w:r>
      <w:r>
        <w:rPr>
          <w:rFonts w:ascii="Times New Roman" w:eastAsia="仿宋_GB2312" w:cs="Times New Roman" w:hAnsi="Times New Roman"/>
          <w:sz w:val="32"/>
          <w:szCs w:val="32"/>
          <w:u w:val="none"/>
          <w:lang w:eastAsia="zh-CN"/>
          <w:highlight w:val="auto"/>
        </w:rPr>
        <w:t>等</w:t>
      </w:r>
      <w:r>
        <w:rPr>
          <w:rFonts w:ascii="Times New Roman" w:eastAsia="仿宋_GB2312" w:cs="Times New Roman" w:hAnsi="Times New Roman"/>
          <w:sz w:val="32"/>
          <w:szCs w:val="32"/>
          <w:u w:val="none"/>
          <w:lang w:val="en-US" w:eastAsia="zh-CN"/>
          <w:highlight w:val="auto"/>
        </w:rPr>
        <w:t>98</w:t>
      </w:r>
      <w:r>
        <w:rPr>
          <w:rFonts w:ascii="Times New Roman" w:eastAsia="仿宋_GB2312" w:cs="Times New Roman" w:hAnsi="Times New Roman"/>
          <w:sz w:val="32"/>
          <w:szCs w:val="32"/>
          <w:u w:val="none"/>
          <w:lang w:eastAsia="zh-CN"/>
          <w:highlight w:val="auto"/>
        </w:rPr>
        <w:t>个项目开展项目绩效评价（涉及资金</w:t>
      </w:r>
      <w:r>
        <w:rPr>
          <w:rFonts w:ascii="Times New Roman" w:eastAsia="仿宋_GB2312" w:cs="Times New Roman" w:hAnsi="Times New Roman"/>
          <w:color w:val="000000"/>
          <w:sz w:val="32"/>
          <w:szCs w:val="32"/>
          <w:lang w:val="en-US" w:eastAsia="zh-CN"/>
          <w:highlight w:val="auto"/>
        </w:rPr>
        <w:t>34，558.47万元）</w:t>
      </w:r>
      <w:r>
        <w:rPr>
          <w:rFonts w:ascii="Times New Roman" w:eastAsia="仿宋_GB2312" w:cs="Times New Roman" w:hAnsi="Times New Roman"/>
          <w:sz w:val="32"/>
          <w:szCs w:val="32"/>
          <w:u w:val="none"/>
          <w:lang w:eastAsia="zh-CN"/>
          <w:highlight w:val="auto"/>
        </w:rPr>
        <w:t>；</w:t>
      </w:r>
      <w:r>
        <w:rPr>
          <w:rFonts w:ascii="Times New Roman" w:eastAsia="仿宋_GB2312" w:cs="Times New Roman" w:hAnsi="Times New Roman"/>
          <w:b/>
          <w:bCs/>
          <w:sz w:val="32"/>
          <w:szCs w:val="32"/>
          <w:u w:val="none"/>
          <w:lang w:eastAsia="zh-CN"/>
          <w:highlight w:val="auto"/>
        </w:rPr>
        <w:t>三是</w:t>
      </w:r>
      <w:r>
        <w:rPr>
          <w:rFonts w:ascii="Times New Roman" w:eastAsia="仿宋_GB2312" w:cs="Times New Roman" w:hAnsi="Times New Roman"/>
          <w:sz w:val="32"/>
          <w:szCs w:val="32"/>
          <w:u w:val="none"/>
          <w:lang w:eastAsia="zh-CN"/>
          <w:highlight w:val="auto"/>
        </w:rPr>
        <w:t>选取金川县城乡义务教育补助寄宿制生活补助、财政对城乡居民基本医疗保险基金的补助、2023年度中央财政农村客运补贴和城市交通发展奖励资金等</w:t>
      </w:r>
      <w:r>
        <w:rPr>
          <w:rFonts w:ascii="Times New Roman" w:eastAsia="仿宋_GB2312" w:cs="Times New Roman" w:hAnsi="Times New Roman"/>
          <w:sz w:val="32"/>
          <w:szCs w:val="32"/>
          <w:u w:val="none"/>
          <w:lang w:val="en-US" w:eastAsia="zh-CN"/>
          <w:highlight w:val="auto"/>
        </w:rPr>
        <w:t>5</w:t>
      </w:r>
      <w:r>
        <w:rPr>
          <w:rFonts w:ascii="Times New Roman" w:eastAsia="仿宋_GB2312" w:cs="Times New Roman" w:hAnsi="Times New Roman"/>
          <w:sz w:val="32"/>
          <w:szCs w:val="32"/>
          <w:u w:val="none"/>
          <w:lang w:eastAsia="zh-CN"/>
          <w:highlight w:val="auto"/>
        </w:rPr>
        <w:t>个项目</w:t>
      </w:r>
      <w:r>
        <w:rPr>
          <w:rFonts w:ascii="Times New Roman" w:eastAsia="仿宋_GB2312" w:cs="Times New Roman" w:hAnsi="Times New Roman"/>
          <w:color w:val="000000"/>
          <w:sz w:val="32"/>
          <w:szCs w:val="32"/>
          <w:lang w:val="en-US" w:eastAsia="zh-CN"/>
          <w:highlight w:val="auto"/>
        </w:rPr>
        <w:t>开展财政政策重点绩效评价（</w:t>
      </w:r>
      <w:r>
        <w:rPr>
          <w:rFonts w:ascii="Times New Roman" w:eastAsia="仿宋_GB2312" w:cs="Times New Roman" w:hAnsi="Times New Roman"/>
          <w:sz w:val="32"/>
          <w:szCs w:val="32"/>
          <w:u w:val="none"/>
          <w:lang w:eastAsia="zh-CN"/>
          <w:highlight w:val="auto"/>
        </w:rPr>
        <w:t>涉及资金</w:t>
      </w:r>
      <w:r>
        <w:rPr>
          <w:rFonts w:ascii="Times New Roman" w:eastAsia="仿宋_GB2312" w:cs="Times New Roman" w:hAnsi="Times New Roman"/>
          <w:snapToGrid/>
          <w:spacing w:val="0"/>
          <w:w w:val="100"/>
          <w:kern w:val="2"/>
          <w:position w:val="0"/>
          <w:sz w:val="32"/>
          <w:szCs w:val="32"/>
          <w:u w:val="none"/>
          <w:vertAlign w:val="baseline"/>
          <w:lang w:val="en-US" w:eastAsia="zh-CN" w:bidi="ar-SA"/>
          <w:highlight w:val="auto"/>
        </w:rPr>
        <w:t>1045.44</w:t>
      </w:r>
      <w:r>
        <w:rPr>
          <w:rFonts w:ascii="Times New Roman" w:eastAsia="仿宋_GB2312" w:cs="Times New Roman" w:hAnsi="Times New Roman"/>
          <w:color w:val="000000"/>
          <w:sz w:val="32"/>
          <w:szCs w:val="32"/>
          <w:lang w:val="en-US" w:eastAsia="zh-CN"/>
          <w:highlight w:val="auto"/>
        </w:rPr>
        <w:t>万元）：评价范围涵盖一般公共预算、政府基金预算、社保基金预算、国有资金本经营预算以及超长期国债等各类预算项目；</w:t>
      </w:r>
      <w:r>
        <w:rPr>
          <w:rFonts w:ascii="Times New Roman" w:eastAsia="仿宋_GB2312" w:cs="Times New Roman" w:hAnsi="Times New Roman"/>
          <w:b/>
          <w:bCs/>
          <w:kern w:val="2"/>
          <w:sz w:val="32"/>
          <w:szCs w:val="32"/>
          <w:lang w:val="en-US" w:eastAsia="zh-CN" w:bidi="ar-SA"/>
          <w:highlight w:val="auto"/>
        </w:rPr>
        <w:t>四是</w:t>
      </w:r>
      <w:r>
        <w:rPr>
          <w:rFonts w:ascii="Times New Roman" w:eastAsia="仿宋_GB2312" w:cs="Times New Roman" w:hAnsi="Times New Roman"/>
          <w:bCs/>
          <w:color w:val="000000"/>
          <w:sz w:val="32"/>
          <w:szCs w:val="32"/>
          <w:lang w:val="en-US" w:eastAsia="zh-CN" w:bidi="ar-SA"/>
        </w:rPr>
        <w:t>选取县委组织、县委政法委、县发改委、县总工会等19个部门（乡镇）</w:t>
      </w:r>
      <w:r>
        <w:rPr>
          <w:rFonts w:ascii="Times New Roman" w:eastAsia="仿宋_GB2312" w:cs="Times New Roman" w:hAnsi="Times New Roman"/>
          <w:sz w:val="32"/>
          <w:szCs w:val="32"/>
          <w:u w:val="none"/>
          <w:lang w:eastAsia="zh-CN"/>
          <w:highlight w:val="auto"/>
        </w:rPr>
        <w:t>开展部门整体绩效评价，</w:t>
      </w:r>
      <w:r>
        <w:rPr>
          <w:rFonts w:ascii="Times New Roman" w:eastAsia="仿宋_GB2312" w:cs="Times New Roman" w:hAnsi="Times New Roman"/>
          <w:color w:val="000000"/>
          <w:sz w:val="32"/>
          <w:szCs w:val="32"/>
          <w:lang w:val="en-US" w:eastAsia="zh-CN"/>
          <w:highlight w:val="auto"/>
        </w:rPr>
        <w:t>抽取中藏医院</w:t>
      </w:r>
      <w:r>
        <w:rPr>
          <w:rFonts w:ascii="Times New Roman" w:eastAsia="仿宋_GB2312" w:cs="Times New Roman" w:hAnsi="Times New Roman"/>
          <w:color w:val="000000"/>
          <w:sz w:val="32"/>
          <w:szCs w:val="32"/>
          <w:lang w:val="en-US" w:eastAsia="zh-CN"/>
        </w:rPr>
        <w:t>开展了国有资产管理评价，累计涉及资金29065.52万元。</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both"/>
        <w:textAlignment w:val="auto"/>
        <w:rPr>
          <w:rFonts w:ascii="Times New Roman" w:eastAsia="仿宋_GB2312" w:cs="Times New Roman" w:hAnsi="Times New Roman"/>
          <w:b/>
          <w:bCs/>
          <w:color w:val="000000"/>
          <w:kern w:val="2"/>
          <w:sz w:val="32"/>
          <w:szCs w:val="32"/>
          <w:lang w:val="en-US" w:eastAsia="zh-CN" w:bidi="ar-SA"/>
        </w:rPr>
      </w:pPr>
      <w:r>
        <w:rPr>
          <w:rFonts w:ascii="Times New Roman" w:eastAsia="方正楷体_GBK" w:cs="Times New Roman" w:hAnsi="Times New Roman"/>
          <w:b/>
          <w:bCs/>
          <w:color w:val="000000"/>
          <w:kern w:val="2"/>
          <w:sz w:val="32"/>
          <w:szCs w:val="32"/>
          <w:lang w:val="en-US" w:eastAsia="zh-CN" w:bidi="ar-SA"/>
        </w:rPr>
        <w:t>（五）强化绩效结果应用，压实闭环管理责任</w:t>
      </w:r>
      <w:r>
        <w:rPr>
          <w:rFonts w:ascii="Times New Roman" w:eastAsia="仿宋_GB2312" w:cs="Times New Roman" w:hAnsi="Times New Roman"/>
          <w:b/>
          <w:bCs/>
          <w:color w:val="00000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both"/>
        <w:textAlignment w:val="auto"/>
        <w:rPr>
          <w:rFonts w:ascii="Times New Roman" w:eastAsia="仿宋_GB2312" w:cs="Times New Roman" w:hAnsi="Times New Roman"/>
          <w:i w:val="0"/>
          <w:iCs w:val="0"/>
          <w:caps w:val="0"/>
          <w:smallCaps w:val="0"/>
          <w:color w:val="000000"/>
          <w:spacing w:val="0"/>
          <w:sz w:val="32"/>
          <w:szCs w:val="32"/>
          <w:shd w:val="clear" w:color="auto" w:fill="FFFFFF"/>
          <w:lang w:eastAsia="zh-CN"/>
        </w:rPr>
      </w:pPr>
      <w:r>
        <w:rPr>
          <w:rFonts w:ascii="Times New Roman" w:eastAsia="仿宋_GB2312" w:cs="Times New Roman" w:hAnsi="Times New Roman"/>
          <w:b/>
          <w:bCs/>
          <w:sz w:val="32"/>
          <w:szCs w:val="32"/>
          <w:lang w:val="en-US" w:eastAsia="zh-CN" w:bidi="ar-SA"/>
        </w:rPr>
        <w:t>1.</w:t>
      </w:r>
      <w:r>
        <w:rPr>
          <w:rFonts w:ascii="Times New Roman" w:eastAsia="仿宋_GB2312" w:cs="Times New Roman" w:hAnsi="Times New Roman"/>
          <w:b/>
          <w:bCs/>
          <w:sz w:val="32"/>
          <w:szCs w:val="32"/>
          <w:lang w:eastAsia="zh-CN" w:bidi="ar-SA"/>
        </w:rPr>
        <w:t>狠抓问题整改。</w:t>
      </w:r>
      <w:r>
        <w:rPr>
          <w:rFonts w:ascii="Times New Roman" w:eastAsia="仿宋_GB2312" w:cs="Times New Roman" w:hAnsi="Times New Roman"/>
          <w:b w:val="0"/>
          <w:bCs w:val="0"/>
          <w:sz w:val="32"/>
          <w:szCs w:val="32"/>
          <w:lang w:eastAsia="zh-CN" w:bidi="ar-SA"/>
        </w:rPr>
        <w:t>压实</w:t>
      </w:r>
      <w:r>
        <w:rPr>
          <w:rFonts w:ascii="Times New Roman" w:cs="Times New Roman" w:hAnsi="Times New Roman"/>
          <w:b w:val="0"/>
          <w:bCs w:val="0"/>
          <w:sz w:val="32"/>
          <w:szCs w:val="32"/>
          <w:lang w:eastAsia="zh-CN" w:bidi="ar-SA"/>
        </w:rPr>
        <w:t>部门（乡镇）</w:t>
      </w:r>
      <w:r>
        <w:rPr>
          <w:rFonts w:ascii="Times New Roman" w:eastAsia="仿宋_GB2312" w:cs="Times New Roman" w:hAnsi="Times New Roman"/>
          <w:b w:val="0"/>
          <w:bCs w:val="0"/>
          <w:sz w:val="32"/>
          <w:szCs w:val="32"/>
          <w:lang w:eastAsia="zh-CN" w:bidi="ar-SA"/>
        </w:rPr>
        <w:t>整改主体责任，督促各</w:t>
      </w:r>
      <w:r>
        <w:rPr>
          <w:rFonts w:ascii="Times New Roman" w:cs="Times New Roman" w:hAnsi="Times New Roman"/>
          <w:b w:val="0"/>
          <w:bCs w:val="0"/>
          <w:sz w:val="32"/>
          <w:szCs w:val="32"/>
          <w:lang w:eastAsia="zh-CN" w:bidi="ar-SA"/>
        </w:rPr>
        <w:t>部门（乡镇）</w:t>
      </w:r>
      <w:r>
        <w:rPr>
          <w:rFonts w:ascii="Times New Roman" w:eastAsia="仿宋_GB2312" w:cs="Times New Roman" w:hAnsi="Times New Roman"/>
          <w:b w:val="0"/>
          <w:bCs w:val="0"/>
          <w:sz w:val="32"/>
          <w:szCs w:val="32"/>
          <w:lang w:eastAsia="zh-CN" w:bidi="ar-SA"/>
        </w:rPr>
        <w:t>全面完成</w:t>
      </w:r>
      <w:r>
        <w:rPr>
          <w:rFonts w:ascii="Times New Roman" w:eastAsia="仿宋_GB2312" w:cs="Times New Roman" w:hAnsi="Times New Roman"/>
          <w:b w:val="0"/>
          <w:bCs w:val="0"/>
          <w:sz w:val="32"/>
          <w:szCs w:val="32"/>
          <w:lang w:val="en-US" w:eastAsia="zh-CN" w:bidi="ar-SA"/>
        </w:rPr>
        <w:t>2024年省州级财政重点绩效评价、县级事前绩效评估、绩效目标管理、绩效运行监控等环节发现问题的整改工作。建</w:t>
      </w:r>
      <w:r>
        <w:rPr>
          <w:rFonts w:ascii="Times New Roman" w:cs="Times New Roman" w:hAnsi="Times New Roman"/>
          <w:b w:val="0"/>
          <w:bCs w:val="0"/>
          <w:sz w:val="32"/>
          <w:szCs w:val="32"/>
          <w:lang w:val="en-US" w:eastAsia="zh-CN" w:bidi="ar-SA"/>
        </w:rPr>
        <w:t>立</w:t>
      </w:r>
      <w:r>
        <w:rPr>
          <w:rFonts w:ascii="Times New Roman" w:eastAsia="仿宋_GB2312" w:cs="Times New Roman" w:hAnsi="Times New Roman"/>
          <w:b w:val="0"/>
          <w:bCs w:val="0"/>
          <w:sz w:val="32"/>
          <w:szCs w:val="32"/>
          <w:lang w:val="en-US" w:eastAsia="zh-CN" w:bidi="ar-SA"/>
        </w:rPr>
        <w:t>问题台账，实行清单化管理，销号式整改，确保整改落地见效。</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both"/>
        <w:textAlignment w:val="auto"/>
        <w:rPr>
          <w:rFonts w:ascii="Times New Roman" w:eastAsia="仿宋_GB2312" w:cs="Times New Roman" w:hAnsi="Times New Roman"/>
          <w:i w:val="0"/>
          <w:iCs w:val="0"/>
          <w:caps w:val="0"/>
          <w:smallCaps w:val="0"/>
          <w:color w:val="000000"/>
          <w:spacing w:val="0"/>
          <w:sz w:val="32"/>
          <w:szCs w:val="32"/>
          <w:shd w:val="clear" w:color="auto" w:fill="FFFFFF"/>
        </w:rPr>
      </w:pPr>
      <w:r>
        <w:rPr>
          <w:rFonts w:ascii="Times New Roman" w:eastAsia="仿宋_GB2312" w:cs="Times New Roman" w:hAnsi="Times New Roman"/>
          <w:b/>
          <w:bCs/>
          <w:sz w:val="32"/>
          <w:szCs w:val="32"/>
          <w:lang w:val="en-US" w:eastAsia="zh-CN" w:bidi="ar-SA"/>
        </w:rPr>
        <w:t>2.强化考核导向。</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将</w:t>
      </w:r>
      <w:r>
        <w:rPr>
          <w:rFonts w:ascii="Times New Roman" w:eastAsia="仿宋_GB2312" w:cs="Times New Roman" w:hAnsi="Times New Roman"/>
          <w:i w:val="0"/>
          <w:iCs w:val="0"/>
          <w:caps w:val="0"/>
          <w:smallCaps w:val="0"/>
          <w:color w:val="000000"/>
          <w:spacing w:val="0"/>
          <w:sz w:val="32"/>
          <w:szCs w:val="32"/>
          <w:shd w:val="clear" w:color="auto" w:fill="FFFFFF"/>
        </w:rPr>
        <w:t>预算绩效综合结果纳入县委、县政府对县级主管部门（预算单位）绩效考核体系</w:t>
      </w:r>
      <w:r>
        <w:rPr>
          <w:rFonts w:ascii="Times New Roman" w:eastAsia="仿宋_GB2312" w:cs="Times New Roman" w:hAnsi="Times New Roman"/>
          <w:i w:val="0"/>
          <w:iCs w:val="0"/>
          <w:caps w:val="0"/>
          <w:smallCaps w:val="0"/>
          <w:color w:val="000000"/>
          <w:spacing w:val="0"/>
          <w:sz w:val="32"/>
          <w:szCs w:val="32"/>
          <w:shd w:val="clear" w:color="auto" w:fill="FFFFFF"/>
          <w:lang w:eastAsia="zh-CN"/>
        </w:rPr>
        <w:t>，进一步强化考核“指挥棒”作用，倒逼绩效责任全面落实</w:t>
      </w:r>
      <w:r>
        <w:rPr>
          <w:rFonts w:ascii="Times New Roman" w:eastAsia="仿宋_GB2312" w:cs="Times New Roman" w:hAnsi="Times New Roman"/>
          <w:i w:val="0"/>
          <w:iCs w:val="0"/>
          <w:caps w:val="0"/>
          <w:smallCaps w:val="0"/>
          <w:color w:val="000000"/>
          <w:spacing w:val="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jc w:val="both"/>
        <w:textAlignment w:val="auto"/>
        <w:rPr>
          <w:rFonts w:ascii="Times New Roman" w:eastAsia="仿宋_GB2312" w:cs="Times New Roman" w:hAnsi="Times New Roman"/>
          <w:sz w:val="32"/>
          <w:szCs w:val="32"/>
          <w:lang w:val="en-US" w:eastAsia="zh-CN"/>
        </w:rPr>
      </w:pPr>
      <w:r>
        <w:rPr>
          <w:rFonts w:ascii="Times New Roman" w:eastAsia="仿宋_GB2312" w:cs="Times New Roman" w:hAnsi="Times New Roman"/>
          <w:b/>
          <w:bCs/>
          <w:sz w:val="32"/>
          <w:szCs w:val="32"/>
          <w:lang w:val="en-US" w:eastAsia="zh-CN" w:bidi="ar-SA"/>
        </w:rPr>
        <w:t>3.规范信息公开。</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严格</w:t>
      </w:r>
      <w:r>
        <w:rPr>
          <w:rFonts w:ascii="Times New Roman" w:eastAsia="仿宋_GB2312" w:cs="Times New Roman" w:hAnsi="Times New Roman"/>
          <w:i w:val="0"/>
          <w:iCs w:val="0"/>
          <w:caps w:val="0"/>
          <w:smallCaps w:val="0"/>
          <w:color w:val="000000"/>
          <w:spacing w:val="0"/>
          <w:sz w:val="32"/>
          <w:szCs w:val="32"/>
          <w:shd w:val="clear" w:color="auto" w:fill="FFFFFF"/>
        </w:rPr>
        <w:t>按照绩效信息公开要求，将</w:t>
      </w:r>
      <w:r>
        <w:rPr>
          <w:rFonts w:ascii="Times New Roman" w:eastAsia="仿宋_GB2312" w:cs="Times New Roman" w:hAnsi="Times New Roman"/>
          <w:i w:val="0"/>
          <w:iCs w:val="0"/>
          <w:caps w:val="0"/>
          <w:smallCaps w:val="0"/>
          <w:color w:val="000000"/>
          <w:spacing w:val="0"/>
          <w:sz w:val="32"/>
          <w:szCs w:val="32"/>
          <w:shd w:val="clear" w:color="auto" w:fill="FFFFFF"/>
          <w:lang w:eastAsia="zh-CN"/>
        </w:rPr>
        <w:t>部门整体绩效目标、</w:t>
      </w:r>
      <w:r>
        <w:rPr>
          <w:rFonts w:ascii="Times New Roman" w:eastAsia="仿宋_GB2312" w:cs="Times New Roman" w:hAnsi="Times New Roman"/>
          <w:i w:val="0"/>
          <w:iCs w:val="0"/>
          <w:caps w:val="0"/>
          <w:smallCaps w:val="0"/>
          <w:color w:val="000000"/>
          <w:spacing w:val="0"/>
          <w:sz w:val="32"/>
          <w:szCs w:val="32"/>
          <w:shd w:val="clear" w:color="auto" w:fill="FFFFFF"/>
        </w:rPr>
        <w:t>项目绩效目标随同预算向社会公开，</w:t>
      </w:r>
      <w:r>
        <w:rPr>
          <w:rFonts w:ascii="Times New Roman" w:eastAsia="仿宋_GB2312" w:cs="Times New Roman" w:hAnsi="Times New Roman"/>
          <w:i w:val="0"/>
          <w:iCs w:val="0"/>
          <w:caps w:val="0"/>
          <w:smallCaps w:val="0"/>
          <w:color w:val="000000"/>
          <w:spacing w:val="0"/>
          <w:sz w:val="32"/>
          <w:szCs w:val="32"/>
          <w:shd w:val="clear" w:color="auto" w:fill="FFFFFF"/>
          <w:lang w:eastAsia="zh-CN"/>
        </w:rPr>
        <w:t>将</w:t>
      </w:r>
      <w:r>
        <w:rPr>
          <w:rFonts w:ascii="Times New Roman" w:eastAsia="仿宋_GB2312" w:cs="Times New Roman" w:hAnsi="Times New Roman"/>
          <w:i w:val="0"/>
          <w:iCs w:val="0"/>
          <w:caps w:val="0"/>
          <w:smallCaps w:val="0"/>
          <w:color w:val="000000"/>
          <w:spacing w:val="0"/>
          <w:sz w:val="32"/>
          <w:szCs w:val="32"/>
          <w:shd w:val="clear" w:color="auto" w:fill="FFFFFF"/>
        </w:rPr>
        <w:t>部门整体支出绩效自评及项目支出绩效自评结果等随同决算向社会公开</w:t>
      </w:r>
      <w:r>
        <w:rPr>
          <w:rFonts w:ascii="Times New Roman" w:eastAsia="仿宋_GB2312" w:cs="Times New Roman" w:hAnsi="Times New Roman"/>
          <w:i w:val="0"/>
          <w:iCs w:val="0"/>
          <w:caps w:val="0"/>
          <w:smallCaps w:val="0"/>
          <w:color w:val="000000"/>
          <w:spacing w:val="0"/>
          <w:sz w:val="32"/>
          <w:szCs w:val="32"/>
          <w:shd w:val="clear" w:color="auto" w:fill="FFFFFF"/>
          <w:lang w:eastAsia="zh-CN"/>
        </w:rPr>
        <w:t>，主动接受社会监督，提升财政资金使用透明度。</w:t>
      </w:r>
    </w:p>
    <w:p>
      <w:pPr>
        <w:keepNext w:val="0"/>
        <w:keepLines w:val="0"/>
        <w:pageBreakBefore w:val="0"/>
        <w:widowControl w:val="0"/>
        <w:numPr>
          <w:ilvl w:val="0"/>
          <w:numId w:val="1"/>
        </w:numPr>
        <w:kinsoku/>
        <w:wordWrap/>
        <w:overflowPunct/>
        <w:topLinePunct w:val="0"/>
        <w:autoSpaceDE/>
        <w:autoSpaceDN/>
        <w:bidi w:val="0"/>
        <w:adjustRightInd/>
        <w:snapToGrid w:val="0"/>
        <w:spacing w:beforeAutospacing="0" w:afterAutospacing="0" w:line="576" w:lineRule="exact"/>
        <w:ind w:left="0" w:right="0" w:firstLineChars="200" w:firstLine="632"/>
        <w:jc w:val="left"/>
        <w:textAlignment w:val="auto"/>
        <w:outlineLvl w:val="9"/>
        <w:rPr>
          <w:rFonts w:ascii="Times New Roman" w:eastAsia="黑体" w:cs="Times New Roman" w:hAnsi="Times New Roman"/>
          <w:b/>
          <w:bCs/>
          <w:sz w:val="32"/>
          <w:szCs w:val="32"/>
          <w:lang w:val="en-US" w:eastAsia="zh-CN"/>
          <w:highlight w:val="auto"/>
        </w:rPr>
      </w:pPr>
      <w:r>
        <w:rPr>
          <w:rFonts w:ascii="Times New Roman" w:eastAsia="黑体" w:cs="Times New Roman" w:hAnsi="Times New Roman"/>
          <w:b/>
          <w:bCs/>
          <w:sz w:val="32"/>
          <w:szCs w:val="32"/>
          <w:lang w:val="en-US" w:eastAsia="zh-CN"/>
          <w:highlight w:val="auto"/>
        </w:rPr>
        <w:t>存在的问题</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firstLineChars="200" w:firstLine="632"/>
        <w:textAlignment w:val="auto"/>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sz w:val="32"/>
          <w:szCs w:val="32"/>
          <w:lang w:val="en-US" w:eastAsia="zh-CN"/>
          <w:highlight w:val="auto"/>
        </w:rPr>
        <w:t>尽管今年我县预算绩效管理工作取得了一定成效，但对照“三管三必须”要求和财政高质量发展需要，仍存在一些短板弱项，主要体现在以下方面：</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firstLineChars="200" w:firstLine="632"/>
        <w:textAlignment w:val="auto"/>
        <w:rPr>
          <w:rFonts w:ascii="Times New Roman" w:eastAsia="仿宋_GB2312" w:cs="Times New Roman" w:hAnsi="Times New Roman"/>
          <w:sz w:val="32"/>
          <w:szCs w:val="32"/>
          <w:lang w:val="en-US" w:eastAsia="zh-CN"/>
          <w:highlight w:val="auto"/>
        </w:rPr>
      </w:pPr>
      <w:r>
        <w:rPr>
          <w:rFonts w:ascii="Times New Roman" w:eastAsia="方正楷体_GBK" w:cs="Times New Roman" w:hAnsi="Times New Roman"/>
          <w:b/>
          <w:bCs/>
          <w:sz w:val="32"/>
          <w:szCs w:val="32"/>
          <w:lang w:val="en-US" w:eastAsia="zh-CN"/>
          <w:highlight w:val="auto"/>
        </w:rPr>
        <w:t>（一）</w:t>
      </w:r>
      <w:r>
        <w:rPr>
          <w:rFonts w:ascii="Times New Roman" w:eastAsia="方正楷体_GBK" w:cs="Times New Roman" w:hAnsi="Times New Roman"/>
          <w:b/>
          <w:bCs/>
          <w:sz w:val="32"/>
          <w:szCs w:val="32"/>
          <w:lang w:eastAsia="zh-CN"/>
          <w:highlight w:val="auto"/>
        </w:rPr>
        <w:t>绩效理念树得不牢。</w:t>
      </w:r>
      <w:r>
        <w:rPr>
          <w:rFonts w:ascii="Times New Roman" w:eastAsia="仿宋_GB2312" w:cs="Times New Roman" w:hAnsi="Times New Roman"/>
          <w:sz w:val="32"/>
          <w:szCs w:val="32"/>
          <w:lang w:val="en-US" w:eastAsia="zh-CN"/>
          <w:highlight w:val="auto"/>
        </w:rPr>
        <w:t>部分预算单位仍存在“重编制、轻执行、弱应用 ”的倾向，少数单位负责人绩效意识不强，将绩效管理简单等同于填报表、完成任务，未能将绩效理念贯穿预算编制、执行、监督、评价全流程，对绩效目标实现、问题整改落实的重视程度不足。</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firstLineChars="200" w:firstLine="632"/>
        <w:textAlignment w:val="auto"/>
        <w:rPr>
          <w:rFonts w:ascii="Times New Roman" w:eastAsia="仿宋_GB2312" w:cs="Times New Roman" w:hAnsi="Times New Roman"/>
          <w:sz w:val="32"/>
          <w:szCs w:val="32"/>
          <w:lang w:val="en-US" w:eastAsia="zh-CN"/>
        </w:rPr>
      </w:pPr>
      <w:r>
        <w:rPr>
          <w:rFonts w:ascii="Times New Roman" w:eastAsia="方正楷体_GBK" w:cs="Times New Roman" w:hAnsi="Times New Roman"/>
          <w:b/>
          <w:bCs/>
          <w:sz w:val="32"/>
          <w:szCs w:val="32"/>
          <w:lang w:val="en-US" w:eastAsia="zh-CN"/>
          <w:highlight w:val="auto"/>
        </w:rPr>
        <w:t>（二）绩效评价深度不够。</w:t>
      </w:r>
      <w:r>
        <w:rPr>
          <w:rFonts w:ascii="Times New Roman" w:eastAsia="仿宋_GB2312" w:cs="Times New Roman" w:hAnsi="Times New Roman"/>
          <w:kern w:val="2"/>
          <w:sz w:val="32"/>
          <w:szCs w:val="32"/>
          <w:lang w:val="en-US" w:eastAsia="zh-CN" w:bidi="ar-SA"/>
          <w:highlight w:val="auto"/>
        </w:rPr>
        <w:t>第三方机构专业能力参差不齐，部分评价报告缺乏深度分析和针对性建议；部门自评质量不均衡，少数单位自评工作流于形式，数据真实性和准确性有待提升</w:t>
      </w:r>
      <w:r>
        <w:rPr>
          <w:rFonts w:ascii="Times New Roman" w:cs="Times New Roman" w:hAnsi="Times New Roman"/>
          <w:kern w:val="2"/>
          <w:sz w:val="32"/>
          <w:szCs w:val="32"/>
          <w:lang w:val="en-US" w:eastAsia="zh-CN" w:bidi="ar-SA"/>
          <w:highlight w:val="auto"/>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firstLineChars="200" w:firstLine="632"/>
        <w:textAlignment w:val="auto"/>
        <w:rPr>
          <w:rFonts w:ascii="Times New Roman" w:eastAsia="仿宋_GB2312" w:cs="Times New Roman" w:hAnsi="Times New Roman"/>
          <w:sz w:val="32"/>
          <w:szCs w:val="32"/>
          <w:lang w:val="en-US" w:eastAsia="zh-CN"/>
        </w:rPr>
      </w:pPr>
      <w:r>
        <w:rPr>
          <w:rFonts w:ascii="Times New Roman" w:eastAsia="方正楷体_GBK" w:cs="Times New Roman" w:hAnsi="Times New Roman"/>
          <w:b/>
          <w:bCs/>
          <w:sz w:val="32"/>
          <w:szCs w:val="32"/>
          <w:lang w:val="en-US" w:eastAsia="zh-CN"/>
          <w:highlight w:val="auto"/>
        </w:rPr>
        <w:t>（三）绩效结果应用力度不足。</w:t>
      </w:r>
      <w:r>
        <w:rPr>
          <w:rFonts w:ascii="Times New Roman" w:eastAsia="仿宋_GB2312" w:cs="Times New Roman" w:hAnsi="Times New Roman"/>
          <w:kern w:val="2"/>
          <w:sz w:val="32"/>
          <w:szCs w:val="32"/>
          <w:lang w:val="en-US" w:eastAsia="zh-CN" w:bidi="ar-SA"/>
          <w:highlight w:val="auto"/>
        </w:rPr>
        <w:t>绩效评价结果与预算安排、资金分配</w:t>
      </w:r>
      <w:r>
        <w:rPr>
          <w:rFonts w:ascii="Times New Roman" w:cs="Times New Roman" w:hAnsi="Times New Roman"/>
          <w:kern w:val="2"/>
          <w:sz w:val="32"/>
          <w:szCs w:val="32"/>
          <w:lang w:val="en-US" w:eastAsia="zh-CN" w:bidi="ar-SA"/>
          <w:highlight w:val="auto"/>
        </w:rPr>
        <w:t>未完全</w:t>
      </w:r>
      <w:r>
        <w:rPr>
          <w:rFonts w:ascii="Times New Roman" w:eastAsia="仿宋_GB2312" w:cs="Times New Roman" w:hAnsi="Times New Roman"/>
          <w:kern w:val="2"/>
          <w:sz w:val="32"/>
          <w:szCs w:val="32"/>
          <w:lang w:val="en-US" w:eastAsia="zh-CN" w:bidi="ar-SA"/>
          <w:highlight w:val="auto"/>
        </w:rPr>
        <w:t>挂钩，对单位约束</w:t>
      </w:r>
      <w:r>
        <w:rPr>
          <w:rFonts w:ascii="Times New Roman" w:cs="Times New Roman" w:hAnsi="Times New Roman"/>
          <w:kern w:val="2"/>
          <w:sz w:val="32"/>
          <w:szCs w:val="32"/>
          <w:lang w:val="en-US" w:eastAsia="zh-CN" w:bidi="ar-SA"/>
          <w:highlight w:val="auto"/>
        </w:rPr>
        <w:t>力不强</w:t>
      </w:r>
      <w:r>
        <w:rPr>
          <w:rFonts w:ascii="Times New Roman" w:eastAsia="仿宋_GB2312" w:cs="Times New Roman" w:hAnsi="Times New Roman"/>
          <w:kern w:val="2"/>
          <w:sz w:val="32"/>
          <w:szCs w:val="32"/>
          <w:lang w:val="en-US" w:eastAsia="zh-CN" w:bidi="ar-SA"/>
          <w:highlight w:val="auto"/>
        </w:rPr>
        <w:t>。问题整改存在“重整改，轻长效”现象，部分单位整改流于表面，未能从制度层面堵塞漏洞，整改成果难以巩固；绩效信息公开的广度和深度不足，社会监督作未能充分彰显。</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Chars="200" w:firstLine="632"/>
        <w:textAlignment w:val="auto"/>
        <w:rPr>
          <w:rFonts w:ascii="Times New Roman" w:eastAsia="仿宋_GB2312" w:cs="Times New Roman" w:hAnsi="Times New Roman"/>
          <w:b w:val="0"/>
          <w:bCs w:val="0"/>
          <w:color w:val="auto"/>
          <w:sz w:val="32"/>
          <w:szCs w:val="32"/>
          <w:lang w:val="en-US" w:eastAsia="zh-CN"/>
          <w:highlight w:val="auto"/>
        </w:rPr>
      </w:pPr>
      <w:r>
        <w:rPr>
          <w:rFonts w:ascii="Times New Roman" w:eastAsia="方正楷体_GBK" w:cs="Times New Roman" w:hAnsi="Times New Roman"/>
          <w:b/>
          <w:bCs/>
          <w:sz w:val="32"/>
          <w:szCs w:val="32"/>
          <w:lang w:val="en-US" w:eastAsia="zh-CN"/>
          <w:highlight w:val="auto"/>
        </w:rPr>
        <w:t>（四）绩效管理队伍能力薄弱。</w:t>
      </w:r>
      <w:r>
        <w:rPr>
          <w:rFonts w:ascii="Times New Roman" w:eastAsia="仿宋_GB2312" w:cs="Times New Roman" w:hAnsi="Times New Roman"/>
          <w:b w:val="0"/>
          <w:bCs w:val="0"/>
          <w:color w:val="auto"/>
          <w:sz w:val="32"/>
          <w:szCs w:val="32"/>
          <w:lang w:val="en-US" w:eastAsia="zh-CN"/>
          <w:highlight w:val="auto"/>
        </w:rPr>
        <w:t>无论是财政部门还是预算单位，都面临绩效管理专业人才不足的问题。在绩效评估、评价过程中，对一些复杂项目的分析和评价能力有限，难以满足工作需要。</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right="0" w:firstLineChars="200" w:firstLine="632"/>
        <w:jc w:val="left"/>
        <w:textAlignment w:val="auto"/>
        <w:outlineLvl w:val="9"/>
        <w:rPr>
          <w:rFonts w:ascii="Times New Roman" w:eastAsia="黑体" w:cs="Times New Roman" w:hAnsi="Times New Roman"/>
          <w:b/>
          <w:bCs/>
          <w:sz w:val="32"/>
          <w:szCs w:val="32"/>
          <w:lang w:val="en-US" w:eastAsia="zh-CN"/>
          <w:highlight w:val="auto"/>
        </w:rPr>
      </w:pPr>
      <w:r>
        <w:rPr>
          <w:rFonts w:ascii="Times New Roman" w:eastAsia="黑体" w:cs="Times New Roman" w:hAnsi="Times New Roman"/>
          <w:b/>
          <w:bCs/>
          <w:sz w:val="32"/>
          <w:szCs w:val="32"/>
          <w:lang w:val="en-US" w:eastAsia="zh-CN"/>
          <w:highlight w:val="auto"/>
        </w:rPr>
        <w:t>三、下一步工作打算</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right="0" w:firstLineChars="200" w:firstLine="632"/>
        <w:jc w:val="left"/>
        <w:textAlignment w:val="auto"/>
        <w:outlineLvl w:val="9"/>
        <w:rPr>
          <w:rFonts w:ascii="Times New Roman" w:eastAsia="仿宋_GB2312" w:cs="Times New Roman" w:hAnsi="Times New Roman"/>
          <w:bCs/>
          <w:color w:val="000000"/>
          <w:sz w:val="32"/>
          <w:szCs w:val="32"/>
          <w:lang w:val="en-US" w:eastAsia="zh-CN" w:bidi="ar-SA"/>
          <w:highlight w:val="auto"/>
        </w:rPr>
      </w:pPr>
      <w:r>
        <w:rPr>
          <w:rFonts w:ascii="Times New Roman" w:eastAsia="仿宋_GB2312" w:cs="Times New Roman" w:hAnsi="Times New Roman"/>
          <w:bCs/>
          <w:color w:val="000000"/>
          <w:sz w:val="32"/>
          <w:szCs w:val="32"/>
          <w:lang w:val="en-US" w:eastAsia="zh-CN" w:bidi="ar-SA"/>
          <w:highlight w:val="auto"/>
        </w:rPr>
        <w:t>下一步，我局将坚持问题导向、目标导向、结果导向相统一，深入落实“三管三必须”要求，聚焦短板弱项，强化举措、狠抓落实，全面提升预算绩效管理科学化、规范化、精细化水平，为全县经济社会高质量发展提供坚实财政保障。</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firstLineChars="200" w:firstLine="632"/>
        <w:jc w:val="both"/>
        <w:textAlignment w:val="auto"/>
        <w:rPr>
          <w:rFonts w:ascii="Times New Roman" w:eastAsia="仿宋_GB2312" w:cs="Times New Roman" w:hAnsi="Times New Roman"/>
          <w:bCs/>
          <w:color w:val="000000"/>
          <w:sz w:val="32"/>
          <w:szCs w:val="32"/>
          <w:lang w:val="en-US" w:eastAsia="zh-CN" w:bidi="ar-SA"/>
          <w:highlight w:val="auto"/>
        </w:rPr>
      </w:pPr>
      <w:r>
        <w:rPr>
          <w:rFonts w:ascii="Times New Roman" w:eastAsia="方正楷体_GBK" w:cs="Times New Roman" w:hAnsi="Times New Roman"/>
          <w:b/>
          <w:bCs/>
          <w:sz w:val="32"/>
          <w:szCs w:val="32"/>
          <w:lang w:val="en-US" w:eastAsia="zh-CN"/>
          <w:highlight w:val="auto"/>
        </w:rPr>
        <w:t>（一）深化绩效理念，压实管理责任。</w:t>
      </w:r>
      <w:r>
        <w:rPr>
          <w:rFonts w:ascii="Times New Roman" w:eastAsia="仿宋_GB2312" w:cs="Times New Roman" w:hAnsi="Times New Roman"/>
          <w:b/>
          <w:bCs w:val="0"/>
          <w:color w:val="000000"/>
          <w:sz w:val="32"/>
          <w:szCs w:val="32"/>
          <w:lang w:val="en-US" w:eastAsia="zh-CN" w:bidi="ar-SA"/>
          <w:highlight w:val="auto"/>
        </w:rPr>
        <w:t>一是</w:t>
      </w:r>
      <w:r>
        <w:rPr>
          <w:rFonts w:ascii="Times New Roman" w:eastAsia="仿宋_GB2312" w:cs="Times New Roman" w:hAnsi="Times New Roman"/>
          <w:bCs/>
          <w:color w:val="000000"/>
          <w:sz w:val="32"/>
          <w:szCs w:val="32"/>
          <w:lang w:val="en-US" w:eastAsia="zh-CN" w:bidi="ar-SA"/>
          <w:highlight w:val="auto"/>
        </w:rPr>
        <w:t>强化宣传培训，将绩效管理政策法规、业务知识纳入全县财政干部和预算单位财务人员培训重点，通过专题讲座、案例剖析、实操演练等方式，全面提升全员绩效意识和业务能力。</w:t>
      </w:r>
      <w:r>
        <w:rPr>
          <w:rFonts w:ascii="Times New Roman" w:eastAsia="仿宋_GB2312" w:cs="Times New Roman" w:hAnsi="Times New Roman"/>
          <w:b/>
          <w:bCs w:val="0"/>
          <w:color w:val="000000"/>
          <w:sz w:val="32"/>
          <w:szCs w:val="32"/>
          <w:lang w:val="en-US" w:eastAsia="zh-CN" w:bidi="ar-SA"/>
          <w:highlight w:val="auto"/>
        </w:rPr>
        <w:t>二是</w:t>
      </w:r>
      <w:r>
        <w:rPr>
          <w:rFonts w:ascii="Times New Roman" w:eastAsia="仿宋_GB2312" w:cs="Times New Roman" w:hAnsi="Times New Roman"/>
          <w:bCs/>
          <w:color w:val="000000"/>
          <w:sz w:val="32"/>
          <w:szCs w:val="32"/>
          <w:lang w:val="en-US" w:eastAsia="zh-CN" w:bidi="ar-SA"/>
          <w:highlight w:val="auto"/>
        </w:rPr>
        <w:t>压实主体责任，明确预算单位主要负责人为绩效管理第一责任人，将绩效要求贯穿预算管理全流程，构建“人人重绩效、事事讲绩效、层层抓绩效”的工作格局。</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firstLineChars="200" w:firstLine="632"/>
        <w:jc w:val="both"/>
        <w:textAlignment w:val="auto"/>
        <w:rPr>
          <w:rFonts w:ascii="Times New Roman" w:eastAsia="仿宋_GB2312" w:cs="Times New Roman" w:hAnsi="Times New Roman"/>
          <w:bCs/>
          <w:color w:val="000000"/>
          <w:sz w:val="32"/>
          <w:szCs w:val="32"/>
          <w:lang w:val="en-US" w:eastAsia="zh-CN" w:bidi="ar-SA"/>
          <w:highlight w:val="auto"/>
        </w:rPr>
      </w:pPr>
      <w:r>
        <w:rPr>
          <w:rFonts w:ascii="Times New Roman" w:eastAsia="方正楷体_GBK" w:cs="Times New Roman" w:hAnsi="Times New Roman"/>
          <w:b/>
          <w:bCs/>
          <w:sz w:val="32"/>
          <w:szCs w:val="32"/>
          <w:lang w:val="en-US" w:eastAsia="zh-CN"/>
          <w:highlight w:val="auto"/>
        </w:rPr>
        <w:t>（二）提升目标质量，严把入口关。</w:t>
      </w:r>
      <w:r>
        <w:rPr>
          <w:rFonts w:ascii="Times New Roman" w:eastAsia="仿宋_GB2312" w:cs="Times New Roman" w:hAnsi="Times New Roman"/>
          <w:b/>
          <w:bCs w:val="0"/>
          <w:color w:val="000000"/>
          <w:sz w:val="32"/>
          <w:szCs w:val="32"/>
          <w:lang w:val="en-US" w:eastAsia="zh-CN" w:bidi="ar-SA"/>
          <w:highlight w:val="auto"/>
        </w:rPr>
        <w:t>一是</w:t>
      </w:r>
      <w:r>
        <w:rPr>
          <w:rFonts w:ascii="Times New Roman" w:eastAsia="仿宋_GB2312" w:cs="Times New Roman" w:hAnsi="Times New Roman"/>
          <w:bCs/>
          <w:color w:val="000000"/>
          <w:sz w:val="32"/>
          <w:szCs w:val="32"/>
          <w:lang w:val="en-US" w:eastAsia="zh-CN" w:bidi="ar-SA"/>
          <w:highlight w:val="auto"/>
        </w:rPr>
        <w:t>强化绩效目标与部门职能、年度重点工作的衔接，确保绩效目标科学合理、贴合实际。</w:t>
      </w:r>
      <w:r>
        <w:rPr>
          <w:rFonts w:ascii="Times New Roman" w:eastAsia="仿宋_GB2312" w:cs="Times New Roman" w:hAnsi="Times New Roman"/>
          <w:b/>
          <w:bCs w:val="0"/>
          <w:color w:val="000000"/>
          <w:sz w:val="32"/>
          <w:szCs w:val="32"/>
          <w:lang w:val="en-US" w:eastAsia="zh-CN" w:bidi="ar-SA"/>
          <w:highlight w:val="auto"/>
        </w:rPr>
        <w:t>二是</w:t>
      </w:r>
      <w:r>
        <w:rPr>
          <w:rFonts w:ascii="Times New Roman" w:eastAsia="仿宋_GB2312" w:cs="Times New Roman" w:hAnsi="Times New Roman"/>
          <w:bCs/>
          <w:color w:val="000000"/>
          <w:sz w:val="32"/>
          <w:szCs w:val="32"/>
          <w:lang w:val="en-US" w:eastAsia="zh-CN" w:bidi="ar-SA"/>
          <w:highlight w:val="auto"/>
        </w:rPr>
        <w:t>强化三级审核，进一步完善“业务股室初审、绩效股复审、预算股终审”机制，对不符合要求的绩效目标坚决退回重编，从源头提升预算编制质量。</w:t>
      </w:r>
      <w:r>
        <w:rPr>
          <w:rFonts w:ascii="Times New Roman" w:eastAsia="仿宋_GB2312" w:cs="Times New Roman" w:hAnsi="Times New Roman"/>
          <w:b/>
          <w:bCs w:val="0"/>
          <w:color w:val="000000"/>
          <w:sz w:val="32"/>
          <w:szCs w:val="32"/>
          <w:lang w:val="en-US" w:eastAsia="zh-CN" w:bidi="ar-SA"/>
          <w:highlight w:val="auto"/>
        </w:rPr>
        <w:t>三是</w:t>
      </w:r>
      <w:r>
        <w:rPr>
          <w:rFonts w:ascii="Times New Roman" w:eastAsia="仿宋_GB2312" w:cs="Times New Roman" w:hAnsi="Times New Roman"/>
          <w:bCs/>
          <w:color w:val="000000"/>
          <w:sz w:val="32"/>
          <w:szCs w:val="32"/>
          <w:lang w:val="en-US" w:eastAsia="zh-CN" w:bidi="ar-SA"/>
          <w:highlight w:val="auto"/>
        </w:rPr>
        <w:t>建立动态调整机制，允许预算单位在预算执行过程中，根据实际情况按程序调整绩效目标，确保绩效目标与预算执行同步推进。</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firstLineChars="200" w:firstLine="632"/>
        <w:jc w:val="both"/>
        <w:textAlignment w:val="auto"/>
        <w:rPr>
          <w:rFonts w:ascii="Times New Roman" w:eastAsia="仿宋_GB2312" w:cs="Times New Roman" w:hAnsi="Times New Roman"/>
          <w:bCs/>
          <w:color w:val="000000"/>
          <w:sz w:val="32"/>
          <w:szCs w:val="32"/>
          <w:lang w:val="en-US" w:eastAsia="zh-CN" w:bidi="ar-SA"/>
          <w:highlight w:val="auto"/>
        </w:rPr>
      </w:pPr>
      <w:r>
        <w:rPr>
          <w:rFonts w:ascii="Times New Roman" w:eastAsia="方正楷体_GBK" w:cs="Times New Roman" w:hAnsi="Times New Roman"/>
          <w:b/>
          <w:bCs/>
          <w:sz w:val="32"/>
          <w:szCs w:val="32"/>
          <w:lang w:val="en-US" w:eastAsia="zh-CN"/>
          <w:highlight w:val="auto"/>
        </w:rPr>
        <w:t>（三）强化运行监控，提升监管实效。</w:t>
      </w:r>
      <w:r>
        <w:rPr>
          <w:rFonts w:ascii="Times New Roman" w:eastAsia="仿宋_GB2312" w:cs="Times New Roman" w:hAnsi="Times New Roman"/>
          <w:b/>
          <w:bCs w:val="0"/>
          <w:color w:val="000000"/>
          <w:sz w:val="32"/>
          <w:szCs w:val="32"/>
          <w:lang w:val="en-US" w:eastAsia="zh-CN" w:bidi="ar-SA"/>
          <w:highlight w:val="auto"/>
        </w:rPr>
        <w:t>一是</w:t>
      </w:r>
      <w:r>
        <w:rPr>
          <w:rFonts w:ascii="Times New Roman" w:eastAsia="仿宋_GB2312" w:cs="Times New Roman" w:hAnsi="Times New Roman"/>
          <w:bCs/>
          <w:color w:val="000000"/>
          <w:sz w:val="32"/>
          <w:szCs w:val="32"/>
          <w:lang w:val="en-US" w:eastAsia="zh-CN" w:bidi="ar-SA"/>
          <w:highlight w:val="auto"/>
        </w:rPr>
        <w:t>压实部门监控责任，督促各单位常态化开展绩效运行“双监控”，对监控发现的问题及时分析原因、整改落实，构建“监控—分析—整改—提升”的闭环管理体系。</w:t>
      </w:r>
      <w:r>
        <w:rPr>
          <w:rFonts w:ascii="Times New Roman" w:eastAsia="仿宋_GB2312" w:cs="Times New Roman" w:hAnsi="Times New Roman"/>
          <w:b/>
          <w:bCs w:val="0"/>
          <w:color w:val="000000"/>
          <w:sz w:val="32"/>
          <w:szCs w:val="32"/>
          <w:lang w:val="en-US" w:eastAsia="zh-CN" w:bidi="ar-SA"/>
          <w:highlight w:val="auto"/>
        </w:rPr>
        <w:t>二是</w:t>
      </w:r>
      <w:r>
        <w:rPr>
          <w:rFonts w:ascii="Times New Roman" w:eastAsia="仿宋_GB2312" w:cs="Times New Roman" w:hAnsi="Times New Roman"/>
          <w:bCs/>
          <w:color w:val="000000"/>
          <w:sz w:val="32"/>
          <w:szCs w:val="32"/>
          <w:lang w:val="en-US" w:eastAsia="zh-CN" w:bidi="ar-SA"/>
          <w:highlight w:val="auto"/>
        </w:rPr>
        <w:t>结合资金规模、项目重要性，科学确定财政重点监控项目，采取线上线下相结合、定期核查与随机抽查相结合的方式，强化动态跟踪，提升监控精准度。</w:t>
      </w:r>
      <w:r>
        <w:rPr>
          <w:rFonts w:ascii="Times New Roman" w:eastAsia="仿宋_GB2312" w:cs="Times New Roman" w:hAnsi="Times New Roman"/>
          <w:b/>
          <w:bCs w:val="0"/>
          <w:color w:val="000000"/>
          <w:sz w:val="32"/>
          <w:szCs w:val="32"/>
          <w:lang w:val="en-US" w:eastAsia="zh-CN" w:bidi="ar-SA"/>
          <w:highlight w:val="auto"/>
        </w:rPr>
        <w:t>三是</w:t>
      </w:r>
      <w:r>
        <w:rPr>
          <w:rFonts w:ascii="Times New Roman" w:eastAsia="仿宋_GB2312" w:cs="Times New Roman" w:hAnsi="Times New Roman"/>
          <w:bCs/>
          <w:color w:val="000000"/>
          <w:sz w:val="32"/>
          <w:szCs w:val="32"/>
          <w:lang w:val="en-US" w:eastAsia="zh-CN" w:bidi="ar-SA"/>
          <w:highlight w:val="auto"/>
        </w:rPr>
        <w:t>优化预警处置，对未及时处置预警、整改不到位的单位进行通报约谈，确保预警处置落地见效。</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firstLineChars="200" w:firstLine="632"/>
        <w:jc w:val="both"/>
        <w:textAlignment w:val="auto"/>
        <w:rPr>
          <w:rFonts w:ascii="Times New Roman" w:eastAsia="仿宋_GB2312" w:cs="Times New Roman" w:hAnsi="Times New Roman"/>
          <w:bCs/>
          <w:color w:val="000000"/>
          <w:sz w:val="32"/>
          <w:szCs w:val="32"/>
          <w:lang w:val="en-US" w:eastAsia="zh-CN" w:bidi="ar-SA"/>
          <w:highlight w:val="auto"/>
        </w:rPr>
      </w:pPr>
      <w:r>
        <w:rPr>
          <w:rFonts w:ascii="Times New Roman" w:eastAsia="方正楷体_GBK" w:cs="Times New Roman" w:hAnsi="Times New Roman"/>
          <w:b/>
          <w:bCs/>
          <w:sz w:val="32"/>
          <w:szCs w:val="32"/>
          <w:lang w:val="en-US" w:eastAsia="zh-CN"/>
          <w:highlight w:val="auto"/>
        </w:rPr>
        <w:t>（四）深化绩效评价，提升评价质效。</w:t>
      </w:r>
      <w:r>
        <w:rPr>
          <w:rFonts w:ascii="Times New Roman" w:eastAsia="仿宋_GB2312" w:cs="Times New Roman" w:hAnsi="Times New Roman"/>
          <w:b/>
          <w:bCs w:val="0"/>
          <w:color w:val="000000"/>
          <w:sz w:val="32"/>
          <w:szCs w:val="32"/>
          <w:lang w:val="en-US" w:eastAsia="zh-CN" w:bidi="ar-SA"/>
          <w:highlight w:val="auto"/>
        </w:rPr>
        <w:t>一是</w:t>
      </w:r>
      <w:r>
        <w:rPr>
          <w:rFonts w:ascii="Times New Roman" w:eastAsia="仿宋_GB2312" w:cs="Times New Roman" w:hAnsi="Times New Roman"/>
          <w:bCs/>
          <w:color w:val="000000"/>
          <w:sz w:val="32"/>
          <w:szCs w:val="32"/>
          <w:lang w:val="en-US" w:eastAsia="zh-CN" w:bidi="ar-SA"/>
          <w:highlight w:val="auto"/>
        </w:rPr>
        <w:t>提升评价深度，聚焦重点领域、重点项目和重大政策，开展全方位、多层次绩效评价，强化成本效益分析，注重评价实施效果和政策落地成效，形成有数据支撑、有深度分析、有针对性建议的高质量评价报告。</w:t>
      </w:r>
      <w:r>
        <w:rPr>
          <w:rFonts w:ascii="Times New Roman" w:eastAsia="仿宋_GB2312" w:cs="Times New Roman" w:hAnsi="Times New Roman"/>
          <w:b/>
          <w:bCs w:val="0"/>
          <w:color w:val="000000"/>
          <w:sz w:val="32"/>
          <w:szCs w:val="32"/>
          <w:lang w:val="en-US" w:eastAsia="zh-CN" w:bidi="ar-SA"/>
          <w:highlight w:val="auto"/>
        </w:rPr>
        <w:t>二是</w:t>
      </w:r>
      <w:r>
        <w:rPr>
          <w:rFonts w:ascii="Times New Roman" w:eastAsia="仿宋_GB2312" w:cs="Times New Roman" w:hAnsi="Times New Roman"/>
          <w:bCs/>
          <w:color w:val="000000"/>
          <w:sz w:val="32"/>
          <w:szCs w:val="32"/>
          <w:lang w:val="en-US" w:eastAsia="zh-CN" w:bidi="ar-SA"/>
          <w:highlight w:val="auto"/>
        </w:rPr>
        <w:t>强化自评监管，加大对部门自评报告的核查力度，对虚假自评、流于形式的单位严肃通报批评，确保自评质量真实可靠。</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firstLineChars="200" w:firstLine="632"/>
        <w:jc w:val="both"/>
        <w:textAlignment w:val="auto"/>
        <w:rPr>
          <w:rFonts w:ascii="Times New Roman" w:eastAsia="仿宋_GB2312" w:cs="Times New Roman" w:hAnsi="Times New Roman"/>
          <w:bCs/>
          <w:color w:val="000000"/>
          <w:sz w:val="32"/>
          <w:szCs w:val="32"/>
          <w:lang w:val="en-US" w:eastAsia="zh-CN" w:bidi="ar-SA"/>
          <w:highlight w:val="auto"/>
        </w:rPr>
      </w:pPr>
      <w:r>
        <w:rPr>
          <w:rFonts w:ascii="Times New Roman" w:eastAsia="方正楷体_GBK" w:cs="Times New Roman" w:hAnsi="Times New Roman"/>
          <w:b/>
          <w:bCs/>
          <w:sz w:val="32"/>
          <w:szCs w:val="32"/>
          <w:lang w:val="en-US" w:eastAsia="zh-CN"/>
          <w:highlight w:val="auto"/>
        </w:rPr>
        <w:t>（五）强化结果应用，健全长效机制。</w:t>
      </w:r>
      <w:r>
        <w:rPr>
          <w:rFonts w:ascii="Times New Roman" w:eastAsia="仿宋_GB2312" w:cs="Times New Roman" w:hAnsi="Times New Roman"/>
          <w:b/>
          <w:bCs w:val="0"/>
          <w:color w:val="000000"/>
          <w:sz w:val="32"/>
          <w:szCs w:val="32"/>
          <w:lang w:val="en-US" w:eastAsia="zh-CN" w:bidi="ar-SA"/>
          <w:highlight w:val="auto"/>
        </w:rPr>
        <w:t>一是</w:t>
      </w:r>
      <w:r>
        <w:rPr>
          <w:rFonts w:ascii="Times New Roman" w:eastAsia="仿宋_GB2312" w:cs="Times New Roman" w:hAnsi="Times New Roman"/>
          <w:bCs/>
          <w:color w:val="000000"/>
          <w:sz w:val="32"/>
          <w:szCs w:val="32"/>
          <w:lang w:val="en-US" w:eastAsia="zh-CN" w:bidi="ar-SA"/>
          <w:highlight w:val="auto"/>
        </w:rPr>
        <w:t>强化结果与预算挂钩，将绩效评价结果作为预算安排、资金分配的重要依据，对绩效优良的项目优先保障、重点支持，对绩效低劣的项目压减预算、暂停安排，充分发挥“奖优罚劣”作用。</w:t>
      </w:r>
      <w:r>
        <w:rPr>
          <w:rFonts w:ascii="Times New Roman" w:eastAsia="仿宋_GB2312" w:cs="Times New Roman" w:hAnsi="Times New Roman"/>
          <w:b/>
          <w:bCs w:val="0"/>
          <w:color w:val="000000"/>
          <w:sz w:val="32"/>
          <w:szCs w:val="32"/>
          <w:lang w:val="en-US" w:eastAsia="zh-CN" w:bidi="ar-SA"/>
          <w:highlight w:val="auto"/>
        </w:rPr>
        <w:t>二是</w:t>
      </w:r>
      <w:r>
        <w:rPr>
          <w:rFonts w:ascii="Times New Roman" w:eastAsia="仿宋_GB2312" w:cs="Times New Roman" w:hAnsi="Times New Roman"/>
          <w:bCs/>
          <w:color w:val="000000"/>
          <w:sz w:val="32"/>
          <w:szCs w:val="32"/>
          <w:lang w:val="en-US" w:eastAsia="zh-CN" w:bidi="ar-SA"/>
          <w:highlight w:val="auto"/>
        </w:rPr>
        <w:t>狠抓问题整改，建立问题整改台账，实行“清单化管理、销号式整改”，督促各单位举一反三，从制度层面完善措施，防止问题反弹，推动整改成果制度化、长效化。</w:t>
      </w:r>
      <w:r>
        <w:rPr>
          <w:rFonts w:ascii="Times New Roman" w:eastAsia="仿宋_GB2312" w:cs="Times New Roman" w:hAnsi="Times New Roman"/>
          <w:b/>
          <w:bCs w:val="0"/>
          <w:color w:val="000000"/>
          <w:sz w:val="32"/>
          <w:szCs w:val="32"/>
          <w:lang w:val="en-US" w:eastAsia="zh-CN" w:bidi="ar-SA"/>
          <w:highlight w:val="auto"/>
        </w:rPr>
        <w:t>三是</w:t>
      </w:r>
      <w:r>
        <w:rPr>
          <w:rFonts w:ascii="Times New Roman" w:eastAsia="仿宋_GB2312" w:cs="Times New Roman" w:hAnsi="Times New Roman"/>
          <w:bCs/>
          <w:color w:val="000000"/>
          <w:sz w:val="32"/>
          <w:szCs w:val="32"/>
          <w:lang w:val="en-US" w:eastAsia="zh-CN" w:bidi="ar-SA"/>
          <w:highlight w:val="auto"/>
        </w:rPr>
        <w:t>扩大绩效信息公开范围，主动接受社会监督，提升财政资金使用透明度和公信力。</w:t>
      </w:r>
    </w:p>
    <w:p>
      <w:pPr>
        <w:pStyle w:val="15"/>
        <w:tabs>
          <w:tab w:val="center" w:pos="4153"/>
          <w:tab w:val="right" w:pos="8306"/>
        </w:tabs>
        <w:rPr>
          <w:rFonts w:ascii="Times New Roman" w:cs="Times New Roman" w:hAnsi="Times New Roman"/>
          <w:lang w:val="en-US" w:eastAsia="zh-CN"/>
        </w:rPr>
      </w:pPr>
    </w:p>
    <w:p>
      <w:pPr>
        <w:pStyle w:val="16"/>
        <w:tabs>
          <w:tab w:val="center" w:pos="4153"/>
          <w:tab w:val="right" w:pos="8306"/>
        </w:tabs>
        <w:rPr>
          <w:lang w:val="en-US" w:eastAsia="zh-CN"/>
        </w:rPr>
      </w:pPr>
    </w:p>
    <w:p>
      <w:pPr>
        <w:pStyle w:val="16"/>
        <w:tabs>
          <w:tab w:val="center" w:pos="4153"/>
          <w:tab w:val="right" w:pos="8306"/>
        </w:tabs>
        <w:rPr>
          <w:lang w:val="en-US" w:eastAsia="zh-CN"/>
        </w:rPr>
      </w:pPr>
    </w:p>
    <w:sectPr>
      <w:footerReference w:type="default" r:id="rId2"/>
      <w:pgSz w:w="11906" w:h="16838"/>
      <w:pgMar w:top="2098" w:right="1474" w:bottom="1984" w:left="1587" w:header="851" w:footer="992" w:gutter="0"/>
      <w:pgNumType w:fmt="numberInDash" w:start="1"/>
      <w:rtlGutter/>
      <w:docGrid w:type="linesAndChars" w:linePitch="579" w:charSpace="-842"/>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Times New Roman">
    <w:panose1 w:val="02020603050405020304"/>
    <w:charset w:val="86"/>
    <w:family w:val="auto"/>
    <w:pitch w:val="variable"/>
    <w:sig w:usb0="E0002AFF" w:usb1="C0007841" w:usb2="00000009" w:usb3="00000000" w:csb0="400001FF" w:csb1="FFFF0000"/>
  </w:font>
  <w:font w:name="方正小标宋简体">
    <w:panose1 w:val="03000509000000000000"/>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方正楷体_GBK">
    <w:panose1 w:val="03000509000000000000"/>
    <w:charset w:val="86"/>
    <w:family w:val="auto"/>
    <w:pitch w:val="variable"/>
    <w:sig w:usb0="00000001" w:usb1="080E0000" w:usb2="00000000" w:usb3="00000000" w:csb0="00040000"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楷体_GB2312">
    <w:panose1 w:val="02010609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outside</wp:align>
              </wp:positionH>
              <wp:positionV relativeFrom="paragraph">
                <wp:posOffset>0</wp:posOffset>
              </wp:positionV>
              <wp:extent cx="444499" cy="230251"/>
              <wp:effectExtent l="0" t="0" r="0" b="0"/>
              <wp:wrapNone/>
              <wp:docPr id="1" name="文本框 1"/>
              <wp:cNvGraphicFramePr>
                <a:graphicFrameLocks noChangeAspect="0"/>
              </wp:cNvGraphicFramePr>
              <a:graphic>
                <a:graphicData uri="http://schemas.microsoft.com/office/word/2010/wordprocessingShape">
                  <wps:wsp>
                    <wps:cNvSpPr/>
                    <wps:spPr>
                      <a:xfrm rot="0">
                        <a:off x="0" y="0"/>
                        <a:ext cx="444499" cy="230251"/>
                      </a:xfrm>
                      <a:prstGeom prst="rect"/>
                      <a:noFill/>
                      <a:ln w="6350" cmpd="sng" cap="flat">
                        <a:noFill/>
                        <a:prstDash val="solid"/>
                        <a:round/>
                      </a:ln>
                    </wps:spPr>
                    <wps:txbx id="2">
                      <w:txbxContent>
                        <w:p>
                          <w:pPr>
                            <w:pStyle w:val="16"/>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34.999996pt;height:18.130003pt;z-index:12;mso-position-horizontal:outside;mso-position-horizontal-relative:margin;mso-position-vertical:absolute;mso-wrap-distance-left:8.999863pt;mso-wrap-distance-right:8.999863pt;mso-wrap-style:none;">
              <v:stroke color="#000000"/>
              <v:textbox id="850" inset="0mm,0mm,0mm,0mm" o:insetmode="custom" style="layout-flow:horizontal;v-text-anchor:top;mso-fit-shape-to-text:t;">
                <w:txbxContent>
                  <w:p>
                    <w:pPr>
                      <w:pStyle w:val="16"/>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ECF9A29"/>
    <w:multiLevelType w:val="singleLevel"/>
    <w:tmpl w:val="FECF9A29"/>
    <w:lvl w:ilvl="0">
      <w:start w:val="1"/>
      <w:numFmt w:val="chineseCounting"/>
      <w:lvlRestart w:val="0"/>
      <w:suff w:val="nothing"/>
      <w:lvlText w:val="%1、"/>
      <w:lvlJc w:val="left"/>
      <w:pPr>
        <w:tabs>
          <w:tab w:val="num" w:pos="0"/>
        </w:tabs>
        <w:ind w:left="0" w:hanging="0"/>
      </w:pPr>
      <w:rPr>
        <w:rFonts w:hint="eastAsia"/>
      </w:rPr>
    </w:lvl>
  </w:abstractNum>
  <w:abstractNum w:abstractNumId="1">
    <w:nsid w:val="764F5B6D"/>
    <w:multiLevelType w:val="singleLevel"/>
    <w:tmpl w:val="764F5B6D"/>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val="0"/>
  <w:bordersDoNotSurroundFooter w:val="0"/>
  <w:documentProtection w:edit="readOnly" w:enforcement="0"/>
  <w:defaultTabStop w:val="420"/>
  <w:drawingGridHorizontalSpacing w:val="157"/>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zQ3NDA5YzJiMGRmN2ZlM2I4MDA4MDE3NjdhMzRmN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仿宋_GB2312" w:cs="Times New Roman" w:hAnsi="Times New Roman"/>
      <w:kern w:val="2"/>
      <w:sz w:val="32"/>
      <w:szCs w:val="30"/>
      <w:lang w:val="en-US" w:eastAsia="zh-CN" w:bidi="ar-SA"/>
    </w:rPr>
  </w:style>
  <w:style w:type="paragraph" w:styleId="1">
    <w:name w:val="heading 1"/>
    <w:basedOn w:val="0"/>
    <w:next w:val="0"/>
    <w:pPr>
      <w:keepNext/>
      <w:keepLines/>
      <w:widowControl w:val="0"/>
      <w:spacing w:beforeAutospacing="0" w:afterAutospacing="0" w:line="560" w:lineRule="exact"/>
      <w:jc w:val="center"/>
      <w:outlineLvl w:val="0"/>
    </w:pPr>
    <w:rPr>
      <w:rFonts w:ascii="Calibri" w:eastAsia="方正小标宋简体" w:hAnsi="Calibri"/>
      <w:kern w:val="44"/>
      <w:sz w:val="44"/>
    </w:rPr>
  </w:style>
  <w:style w:type="paragraph" w:styleId="2">
    <w:name w:val="heading 2"/>
    <w:basedOn w:val="0"/>
    <w:next w:val="0"/>
    <w:pPr>
      <w:keepNext/>
      <w:keepLines/>
      <w:widowControl w:val="0"/>
      <w:spacing w:beforeAutospacing="0" w:afterAutospacing="0" w:line="560" w:lineRule="exact"/>
      <w:ind w:firstLineChars="200" w:firstLine="200"/>
      <w:outlineLvl w:val="1"/>
    </w:pPr>
    <w:rPr>
      <w:rFonts w:ascii="Arial" w:eastAsia="黑体" w:cs="Times New Roman" w:hAnsi="Arial"/>
      <w:sz w:val="32"/>
    </w:rPr>
  </w:style>
  <w:style w:type="paragraph" w:styleId="3">
    <w:name w:val="heading 3"/>
    <w:basedOn w:val="0"/>
    <w:next w:val="0"/>
    <w:pPr>
      <w:keepNext/>
      <w:keepLines/>
      <w:widowControl w:val="0"/>
      <w:spacing w:before="260" w:beforeAutospacing="0" w:after="260" w:afterAutospacing="0" w:line="560" w:lineRule="exact"/>
      <w:ind w:firstLineChars="200" w:firstLine="200"/>
      <w:outlineLvl w:val="2"/>
    </w:pPr>
    <w:rPr>
      <w:rFonts w:ascii="Times New Roman" w:eastAsia="楷体_GB2312" w:cs="Times New Roman" w:hAnsi="Times New Roman"/>
      <w:b/>
      <w:sz w:val="32"/>
    </w:rPr>
  </w:style>
  <w:style w:type="paragraph" w:styleId="4">
    <w:name w:val="heading 4"/>
    <w:basedOn w:val="0"/>
    <w:next w:val="0"/>
    <w:pPr>
      <w:keepNext/>
      <w:keepLines/>
      <w:widowControl w:val="0"/>
      <w:spacing w:before="280" w:beforeAutospacing="0" w:after="290" w:afterAutospacing="0" w:line="560" w:lineRule="exact"/>
      <w:ind w:firstLineChars="200" w:firstLine="200"/>
      <w:outlineLvl w:val="3"/>
    </w:pPr>
    <w:rPr>
      <w:rFonts w:ascii="Arial" w:eastAsia="仿宋_GB2312" w:hAnsi="Arial"/>
      <w:b/>
      <w:sz w:val="32"/>
    </w:rPr>
  </w:style>
  <w:style w:type="character" w:default="1" w:styleId="10">
    <w:name w:val="Default Paragraph Font"/>
  </w:style>
  <w:style w:type="paragraph" w:styleId="15">
    <w:name w:val="header"/>
    <w:basedOn w:val="0"/>
    <w:next w:val="16"/>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6">
    <w:name w:val="footer"/>
    <w:basedOn w:val="0"/>
    <w:pPr>
      <w:tabs>
        <w:tab w:val="center" w:pos="4153"/>
        <w:tab w:val="right" w:pos="8306"/>
      </w:tabs>
      <w:snapToGrid w:val="0"/>
      <w:jc w:val="left"/>
    </w:pPr>
    <w:rPr>
      <w:sz w:val="18"/>
    </w:rPr>
  </w:style>
  <w:style w:type="paragraph" w:styleId="17">
    <w:name w:val="index 5"/>
    <w:basedOn w:val="0"/>
    <w:next w:val="0"/>
    <w:pPr>
      <w:ind w:left="1680"/>
    </w:pPr>
  </w:style>
  <w:style w:type="paragraph" w:styleId="18">
    <w:name w:val="Body Text"/>
    <w:basedOn w:val="0"/>
    <w:pPr>
      <w:spacing w:after="120" w:afterAutospacing="0"/>
    </w:pPr>
  </w:style>
  <w:style w:type="paragraph" w:styleId="19">
    <w:name w:val="Body Text 2"/>
    <w:basedOn w:val="0"/>
    <w:rPr>
      <w:sz w:val="28"/>
    </w:rPr>
  </w:style>
  <w:style w:type="paragraph" w:styleId="20">
    <w:name w:val="Body Text Indent"/>
    <w:basedOn w:val="19"/>
    <w:pPr>
      <w:ind w:firstLineChars="200" w:firstLine="200"/>
    </w:pPr>
    <w:rPr>
      <w:rFonts w:ascii="宋体" w:hAnsi="宋体"/>
    </w:rPr>
  </w:style>
  <w:style w:type="paragraph" w:styleId="21">
    <w:name w:val="Body Text First Indent 2"/>
    <w:basedOn w:val="20"/>
  </w:style>
  <w:style w:type="paragraph" w:styleId="22">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4">
    <w:name w:val="Normal (Web)"/>
    <w:basedOn w:val="0"/>
    <w:next w:val="2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Calibri" w:eastAsia="宋体" w:cs="Times New Roman" w:hAnsi="Calibri"/>
      <w:snapToGrid/>
      <w:color w:val="auto"/>
      <w:spacing w:val="0"/>
      <w:w w:val="100"/>
      <w:kern w:val="0"/>
      <w:position w:val="0"/>
      <w:sz w:val="24"/>
      <w:szCs w:val="24"/>
      <w:u w:val="none" w:color="auto"/>
      <w:vertAlign w:val="baseline"/>
      <w:lang w:val="en-US" w:eastAsia="zh-CN" w:bidi="ar-SA"/>
    </w:rPr>
  </w:style>
  <w:style w:type="paragraph" w:customStyle="1" w:styleId="25">
    <w:name w:val="列出段落"/>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9</Pages>
  <Words>4462</Words>
  <Characters>4695</Characters>
  <Lines>186</Lines>
  <Paragraphs>37</Paragraphs>
  <CharactersWithSpaces>4699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Seven-nine </dc:creator>
  <cp:lastModifiedBy>user</cp:lastModifiedBy>
  <cp:revision>1</cp:revision>
  <cp:lastPrinted>2026-03-16T07:44:00Z</cp:lastPrinted>
  <dcterms:created xsi:type="dcterms:W3CDTF">2022-04-26T08:20:00Z</dcterms:created>
  <dcterms:modified xsi:type="dcterms:W3CDTF">2026-03-20T06:47:01Z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2052-11.1.0.7832</vt:lpwstr>
  </property>
  <property fmtid="{D5CDD505-2E9C-101B-9397-08002B2CF9AE}" pid="3" name="ICV">
    <vt:lpwstr>AC689CE895334AD3A682C8F6099862A6</vt:lpwstr>
  </property>
  <property fmtid="{D5CDD505-2E9C-101B-9397-08002B2CF9AE}" pid="4" name="KSOTemplateDocerSaveRecord">
    <vt:lpwstr>eyJoZGlkIjoiOTE2ZDllODRiODE2ZDJhYjhiNzIxNGU1Mjk2ZDY5YmQiLCJ1c2VySWQiOiI1NTg1MTI2NjAifQ==</vt:lpwstr>
  </property>
</Properties>
</file>