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0"/>
        <w:jc w:val="center"/>
        <w:textAlignment w:val="auto"/>
        <w:outlineLvl w:val="9"/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</w:pPr>
      <w:r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  <w:t>金川县财政局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0"/>
        <w:jc w:val="center"/>
        <w:textAlignment w:val="auto"/>
        <w:outlineLvl w:val="9"/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</w:pPr>
      <w:r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  <w:t>关于金川县2026年政府预算重大政策和重点项目绩效目标的情况说明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0"/>
        <w:jc w:val="center"/>
        <w:textAlignment w:val="auto"/>
        <w:outlineLvl w:val="9"/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eastAsia="zh-CN"/>
        </w:rPr>
        <w:t>为深入贯彻落实党中央、国务院和省委、省政府关于全面实施预算绩效管理的决策部署，牢固树立“花钱必问效、无效必追责”的绩效管理理念，进一步强化预算刚性约束，提升绩效管理质效，切实加强预算绩效管理全流程跟踪问效，持续优化财政资金配置效率和使用效益，</w:t>
      </w:r>
      <w:r>
        <w:rPr>
          <w:rFonts w:ascii="仿宋_GB2312" w:eastAsia="仿宋_GB2312" w:cs="仿宋_GB2312" w:hint="eastAsia"/>
          <w:sz w:val="32"/>
          <w:szCs w:val="32"/>
        </w:rPr>
        <w:t>根据《中共四川省委办公厅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四川省人民政府办公厅关于深入推进实施预算绩效管理的通知》(川委厅〔202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</w:t>
      </w:r>
      <w:r>
        <w:rPr>
          <w:rFonts w:ascii="仿宋_GB2312" w:eastAsia="仿宋_GB2312" w:cs="仿宋_GB2312" w:hint="eastAsia"/>
          <w:sz w:val="32"/>
          <w:szCs w:val="32"/>
        </w:rPr>
        <w:t>〕5号)，我县将绩效目标设定作为预算安排的前置条件，严格开展绩效目标审核工作，推动绩效目标与预算同步上会、同步批复、同步公开，主动接受社会各界监督，切实把绩效管理要求贯穿预算管理全过程。现将2026年预算编审阶段，我县预算绩效目标管理工作开展情况说明如下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</w:t>
      </w: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left="0" w:firstLineChars="200" w:firstLine="640"/>
        <w:textAlignment w:val="auto"/>
        <w:rPr>
          <w:rFonts w:ascii="方正黑体_GBK" w:eastAsia="方正黑体_GBK" w:cs="黑体" w:hint="eastAsia"/>
          <w:sz w:val="32"/>
          <w:szCs w:val="32"/>
        </w:rPr>
      </w:pPr>
      <w:r>
        <w:rPr>
          <w:rFonts w:ascii="方正黑体_GBK" w:eastAsia="方正黑体_GBK" w:cs="黑体" w:hint="eastAsia"/>
          <w:sz w:val="32"/>
          <w:szCs w:val="32"/>
        </w:rPr>
        <w:t>严把前置关口，做实做细事前绩效评估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val="en-US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 xml:space="preserve">我县坚持将绩效关口前移，把事前绩效评估作为项目立项和预算安排的重要依据，实现绩效评估与预算编制深度融合。针对纳入部门年初预算的177个特定目标项目，围绕立项必要性、投入经济性、目标合理性、实施可行性、筹资合规性等核心维度，全面开展事前绩效评估工作，所有项目评估报告均按要求上传至“预算管理一体化系统”，经业务科室、监督与绩效管理股、预算股逐级审核通过。为提升评估专业性和精准性，县级财政部门严格按照《金川县县级预算事前绩效评估管理暂行办法》相关要求，重点抽取了困难农牧民群众大病基金救助资金、医疗卫生事业发展、义务教育生均公用经费、学前辅导员劳务报酬提标补助和少数民族地区教育补助项目、金川县城镇环卫作业等服务采购项目、工会经费、金川县政策性牦牛保险、城乡居民养老保险缴费档次补助、金川县财政局档案信息化共9个重点项目，委托第三方专业机构开展财政绩效评估。此次委托评估项目共涉及财政资金3026.97万元，经第三方专业核查，发现医疗卫生事业发展、义务教育生均公用经费、工会经费、金川县政策性牦牛保险和2金川县财政局档案信息化5个项目存在成本测算依据不够充分的问题，我县据此精准压减非必要资金316.946万元，切实做到预算安排与项目实际需求相匹配，从源头提升财政资金使用的科学性和规范性。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Chars="200" w:firstLine="640"/>
        <w:jc w:val="left"/>
        <w:textAlignment w:val="auto"/>
        <w:outlineLvl w:val="9"/>
        <w:rPr>
          <w:rFonts w:ascii="方正黑体_GBK" w:eastAsia="方正黑体_GBK" w:cs="黑体" w:hint="eastAsia"/>
          <w:kern w:val="2"/>
          <w:sz w:val="32"/>
          <w:szCs w:val="32"/>
          <w:lang w:val="en-US" w:eastAsia="zh-CN" w:bidi="ar-SA"/>
        </w:rPr>
      </w:pPr>
      <w:r>
        <w:rPr>
          <w:rFonts w:ascii="方正黑体_GBK" w:eastAsia="方正黑体_GBK" w:cs="黑体" w:hint="eastAsia"/>
          <w:kern w:val="2"/>
          <w:sz w:val="32"/>
          <w:szCs w:val="32"/>
          <w:lang w:val="en-US" w:eastAsia="zh-CN" w:bidi="ar-SA"/>
        </w:rPr>
        <w:t>聚焦规范精准，提升绩效目标编制质量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Chars="200" w:firstLine="640"/>
        <w:jc w:val="left"/>
        <w:textAlignment w:val="auto"/>
        <w:outlineLvl w:val="9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eastAsia="zh-CN"/>
        </w:rPr>
        <w:t>我县始终将绩效目标编制作为预算绩效管理的核心环节，严格贯彻落实省委、省政府决策部署和州委、州政府工作要求，全面统筹设置重大政策、转移支付绩效目标，持续完善部门整体绩效目标、项目绩效目标体系，确保绩效目标与县域发展规划、部门核心职能高度契合。各预算单位严格遵循“二上二下”预算编制原则和绩效管理相关规定，结合项目实施实际情况，科学编制项目绩效总体目标和可量化、可考核、可实现的具体绩效指标，确保绩效目标设定清晰、指向明确、标准合理。财政局各相关业务股室、财政监督绩效管理股和预算股按照职责分工，对各单位报送的绩效目标开展分层分类审核，再组织开展集中会审，严把绩效目标编制质量关。审核通过后的绩效目标，与《金川县2025年财政预算执行情况和2026年财政预算草案的报告》一并报请县人民政府审议，再由县人民政府按程序报县人大常委会审定。县人大下达批复后，县级财政部门及时将绩效目标与部门年初预算一并批复至各部门（单位），将绩效目标作为各部门（单位）年度工作执行、项目推进和后续绩效评价的核心考核标准，实现绩效目标对预算执行的全过程牵引。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  </w:t>
      </w: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left="0" w:firstLineChars="200" w:firstLine="640"/>
        <w:textAlignment w:val="auto"/>
        <w:rPr>
          <w:rFonts w:ascii="方正黑体_GBK" w:eastAsia="方正黑体_GBK" w:cs="黑体" w:hint="eastAsia"/>
          <w:sz w:val="32"/>
          <w:szCs w:val="32"/>
          <w:lang w:val="en-US" w:eastAsia="zh-CN"/>
        </w:rPr>
      </w:pPr>
      <w:r>
        <w:rPr>
          <w:rFonts w:ascii="方正黑体_GBK" w:eastAsia="方正黑体_GBK" w:cs="黑体" w:hint="eastAsia"/>
          <w:sz w:val="32"/>
          <w:szCs w:val="32"/>
          <w:lang w:val="en-US" w:eastAsia="zh-CN"/>
        </w:rPr>
        <w:t>锚定提质增效，明确下一步工作举措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下一步，我县将以提升财政资金使用效益为核心，以预算管理一体化系统为依托，持续健全全流程预算绩效管理体系，推动绩效管理工作走深走实，切实把绩效管控要求落到预算执行各环节，具体抓好四方面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Chars="200" w:firstLine="640"/>
        <w:jc w:val="left"/>
        <w:textAlignment w:val="auto"/>
        <w:outlineLvl w:val="9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方正楷体_GBK" w:eastAsia="方正楷体_GBK" w:cs="仿宋_GB2312"/>
          <w:b/>
          <w:bCs/>
          <w:sz w:val="32"/>
          <w:szCs w:val="32"/>
          <w:lang w:val="en-US" w:eastAsia="zh-CN"/>
        </w:rPr>
        <w:t>（一）</w:t>
      </w:r>
      <w:r>
        <w:rPr>
          <w:rFonts w:ascii="方正楷体_GBK" w:eastAsia="方正楷体_GBK" w:cs="仿宋_GB2312" w:hint="eastAsia"/>
          <w:b/>
          <w:bCs/>
          <w:sz w:val="32"/>
          <w:szCs w:val="32"/>
          <w:lang w:val="en-US" w:eastAsia="zh-CN"/>
        </w:rPr>
        <w:t>做实做细绩效运行监控，实现动态纠偏 。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严格落实“谁支出，谁绩效”的绩效管理责任，要求各部门（乡镇）对预算执行进度和绩效目标实现情况开展“靶向式”常态化监控，精准掌握项目推进和资金使用情况，及时发现执行偏差和问题隐患并督促整改。依托预算管理一体化系统绩效运行监控模块，实现监控对象全覆盖、监控频率全时段的部门自行监控，对系统发出的预警提示，督促部门内部财务机构与业务机构联动开展自查自纠，第一时间核实反馈情况；对核查认定的问题，建立整改台账，明确整改时限和责任要求，督促相关单位立即整改、闭环处理，确保绩效目标如期保质保量实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Chars="200" w:firstLine="640"/>
        <w:jc w:val="left"/>
        <w:textAlignment w:val="auto"/>
        <w:outlineLvl w:val="9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方正楷体_GBK" w:eastAsia="方正楷体_GBK" w:cs="仿宋_GB2312" w:hint="eastAsia"/>
          <w:b/>
          <w:bCs/>
          <w:sz w:val="32"/>
          <w:szCs w:val="32"/>
          <w:lang w:val="en-US" w:eastAsia="zh-CN"/>
        </w:rPr>
        <w:t>（二）从严从实开展绩效自评，确保评有实效。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各部门（乡镇）深化绩效自评工作，强化自评工作业务指导和培训，规范自评流程和标准，推动各单位全面、客观、精准开展绩效自评。引导各单位把绩效自评作为发现问题、改进工作的重要手段，让绩效自评成为查摆资金使用和项目实施问题的“显微镜”和“放大镜”，切实做到全面自查、深入分析、精准评价，确保绩效自评不走过场、评而有效、评而有用，为后续绩效管理和预算优化提供可靠依据。</w:t>
      </w:r>
    </w:p>
    <w:p>
      <w:pPr>
        <w:pStyle w:val="15"/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方正楷体_GBK" w:eastAsia="方正楷体_GBK" w:cs="仿宋_GB2312"/>
          <w:b/>
          <w:bCs/>
          <w:sz w:val="32"/>
          <w:szCs w:val="32"/>
          <w:lang w:val="en-US" w:eastAsia="zh-CN"/>
        </w:rPr>
        <w:t>（三）</w:t>
      </w:r>
      <w:r>
        <w:rPr>
          <w:rFonts w:ascii="方正楷体_GBK" w:eastAsia="方正楷体_GBK" w:cs="仿宋_GB2312" w:hint="eastAsia"/>
          <w:b/>
          <w:bCs/>
          <w:sz w:val="32"/>
          <w:szCs w:val="32"/>
          <w:lang w:val="en-US" w:eastAsia="zh-CN"/>
        </w:rPr>
        <w:t>精准开展重点绩效评价，强化结果运用</w:t>
      </w:r>
      <w:r>
        <w:rPr>
          <w:rFonts w:ascii="方正楷体_GBK" w:eastAsia="方正楷体_GBK" w:cs="仿宋_GB2312" w:hint="eastAsia"/>
          <w:sz w:val="32"/>
          <w:szCs w:val="32"/>
          <w:lang w:val="en-US" w:eastAsia="zh-CN"/>
        </w:rPr>
        <w:t>。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严格按照省、州财政部门工作部署，全力配合做好省州级财政重点绩效评价工作，确保评价工作有序开展、结果真实有效。同时，结合我县财政工作实际，科学选定县级财政重点绩效评价项目，精心组织开展县级重点绩效评价，聚焦重大政策落实、重点项目推进、大额资金使用等关键领域，精准查摆问题、分析原因、提出建议，强化绩效评价结果与预算安排、政策调整、项目管理的刚性挂钩，切实发挥绩效评价的导向和约束作用。   </w:t>
      </w:r>
    </w:p>
    <w:p>
      <w:pPr>
        <w:pStyle w:val="15"/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adjustRightInd/>
        <w:snapToGrid w:val="0"/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方正楷体_GBK" w:eastAsia="方正楷体_GBK" w:cs="仿宋_GB2312"/>
          <w:b/>
          <w:bCs/>
          <w:sz w:val="32"/>
          <w:szCs w:val="32"/>
          <w:lang w:val="en-US" w:eastAsia="zh-CN"/>
        </w:rPr>
        <w:t>（四）</w:t>
      </w:r>
      <w:r>
        <w:rPr>
          <w:rFonts w:ascii="方正楷体_GBK" w:eastAsia="方正楷体_GBK" w:cs="仿宋_GB2312" w:hint="eastAsia"/>
          <w:b/>
          <w:bCs/>
          <w:sz w:val="32"/>
          <w:szCs w:val="32"/>
          <w:lang w:val="en-US" w:eastAsia="zh-CN"/>
        </w:rPr>
        <w:t>狠抓绩效问题整改落实，推动提质增效 。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牢固树立“问题导向、整改为先”的理念，强化绩效评价发现问题的整改落实，加力推动预算绩效管理提质增效。对事前评估、运行监控、绩效评价等各环节发现的问题，督促相关单位深入剖析根源、举一反三，制定针对性整改措施，建立问题整改清单、责任清单、时限清单，实行销号管理。县级财政部门定期对问题整改情况开展核查复核，跟踪整改进度、核实整改成效，对整改不力、敷衍整改、虚假整改的单位进行督促问责，确保整改工作落地见效，以问题整改推动预算管理和绩效管理水平双提升。</w:t>
      </w:r>
      <w:bookmarkStart w:id="0" w:name="_GoBack"/>
      <w:bookmarkEnd w:id="0"/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4" w:left="1587" w:header="851" w:footer="1587" w:gutter="0"/>
      <w:titlePg/>
      <w:rtlGutter/>
      <w:docGrid w:type="lines" w:linePitch="57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6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31445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7150" cy="131445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文本框 1 3" o:spid="_x0000_s3" filled="f" stroked="f" strokeweight="0.5pt" style="position:absolute;margin-left:0.0pt;margin-top:0.0pt;width:4.5pt;height:10.35pt;z-index:16;mso-position-horizontal:center;mso-position-horizontal-relative:margin;mso-position-vertical:absolute;mso-wrap-distance-left:8.999863pt;mso-wrap-distance-right:8.999863pt;mso-wrap-style:none;">
              <v:stroke color="#000000"/>
              <v:textbox id="849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4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31445"/>
              <wp:effectExtent l="0" t="0" r="0" b="0"/>
              <wp:wrapNone/>
              <wp:docPr id="4" name="文本框 2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7150" cy="131445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5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文本框 2 6" o:spid="_x0000_s6" filled="f" stroked="f" strokeweight="0.5pt" style="position:absolute;margin-left:0.0pt;margin-top:0.0pt;width:4.5pt;height:10.35pt;z-index:14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8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31445"/>
              <wp:effectExtent l="0" t="0" r="0" b="0"/>
              <wp:wrapNone/>
              <wp:docPr id="7" name="文本框 3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7150" cy="131445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8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文本框 3 9" o:spid="_x0000_s9" filled="f" stroked="f" strokeweight="0.5pt" style="position:absolute;margin-left:0.0pt;margin-top:0.0pt;width:4.5pt;height:10.35pt;z-index:18;mso-position-horizontal:center;mso-position-horizontal-relative:margin;mso-position-vertical:absolute;mso-wrap-distance-left:8.999863pt;mso-wrap-distance-right:8.999863pt;mso-wrap-style:none;">
              <v:stroke color="#000000"/>
              <v:textbox id="850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1E5DE1D"/>
    <w:multiLevelType w:val="singleLevel"/>
    <w:tmpl w:val="E1E5DE1D"/>
    <w:lvl w:ilvl="0">
      <w:start w:val="1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evenAndOddHeaders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table of figures"/>
    <w:basedOn w:val="0"/>
    <w:next w:val="0"/>
    <w:pPr>
      <w:ind w:leftChars="200" w:left="400" w:hangingChars="200" w:hanging="200"/>
    </w:pPr>
  </w:style>
  <w:style w:type="paragraph" w:styleId="1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Yozo_Office27021597764231179</Application>
  <Pages>5</Pages>
  <Words>2387</Words>
  <Characters>2416</Characters>
  <Lines>94</Lines>
  <Paragraphs>13</Paragraphs>
  <CharactersWithSpaces>2427</CharactersWithSpaces>
  <Company>Kingsoft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zhaoxinlei</dc:creator>
  <cp:lastModifiedBy>user</cp:lastModifiedBy>
  <cp:revision>2</cp:revision>
  <dcterms:created xsi:type="dcterms:W3CDTF">2014-10-29T12:08:00Z</dcterms:created>
  <dcterms:modified xsi:type="dcterms:W3CDTF">2026-03-20T06:39:00Z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2052-11.1.0.7832</vt:lpwstr>
  </property>
</Properties>
</file>