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lang w:val="en-US" w:eastAsia="zh-CN"/>
        </w:rPr>
        <w:t>金川县财政局</w:t>
      </w:r>
    </w:p>
    <w:p>
      <w:pPr>
        <w:keepNext w:val="0"/>
        <w:keepLines w:val="0"/>
        <w:pageBreakBefore w:val="0"/>
        <w:widowControl w:val="0"/>
        <w:kinsoku/>
        <w:wordWrap/>
        <w:overflowPunct/>
        <w:topLinePunct w:val="0"/>
        <w:autoSpaceDE/>
        <w:autoSpaceDN/>
        <w:adjustRightInd/>
        <w:snapToGrid/>
        <w:spacing w:line="560" w:lineRule="exact"/>
        <w:ind w:left="0" w:firstLine="0"/>
        <w:jc w:val="center"/>
        <w:rPr>
          <w:rFonts w:ascii="方正小标宋简体" w:eastAsia="方正小标宋简体" w:cs="方正小标宋简体"/>
          <w:sz w:val="44"/>
          <w:szCs w:val="44"/>
          <w:lang w:val="en-US" w:eastAsia="zh-CN"/>
        </w:rPr>
      </w:pPr>
      <w:r>
        <w:rPr>
          <w:rFonts w:ascii="方正小标宋简体" w:eastAsia="方正小标宋简体" w:cs="方正小标宋简体"/>
          <w:sz w:val="44"/>
          <w:szCs w:val="44"/>
          <w:lang w:val="en-US" w:eastAsia="zh-CN"/>
        </w:rPr>
        <w:t>关于</w:t>
      </w:r>
      <w:r>
        <w:rPr>
          <w:rFonts w:ascii="方正小标宋简体" w:eastAsia="方正小标宋简体" w:cs="方正小标宋简体" w:hint="eastAsia"/>
          <w:sz w:val="44"/>
          <w:szCs w:val="44"/>
          <w:lang w:val="en-US" w:eastAsia="zh-CN"/>
        </w:rPr>
        <w:t>2024年预算绩效管理工作开展情况</w:t>
      </w:r>
      <w:r>
        <w:rPr>
          <w:rFonts w:ascii="方正小标宋简体" w:eastAsia="方正小标宋简体" w:cs="方正小标宋简体"/>
          <w:sz w:val="44"/>
          <w:szCs w:val="44"/>
          <w:lang w:val="en-US" w:eastAsia="zh-CN"/>
        </w:rPr>
        <w:t>的报告</w:t>
      </w:r>
    </w:p>
    <w:p>
      <w:pPr>
        <w:pStyle w:val="15"/>
        <w:keepNext w:val="0"/>
        <w:keepLines w:val="0"/>
        <w:pageBreakBefore w:val="0"/>
        <w:widowControl w:val="0"/>
        <w:tabs>
          <w:tab w:val="center" w:pos="4153"/>
          <w:tab w:val="right" w:pos="8306"/>
        </w:tabs>
        <w:adjustRightInd/>
        <w:snapToGrid w:val="0"/>
        <w:spacing w:line="560" w:lineRule="exact"/>
        <w:contextualSpacing w:val="0"/>
      </w:pPr>
    </w:p>
    <w:p>
      <w:pPr>
        <w:keepNext w:val="0"/>
        <w:keepLines w:val="0"/>
        <w:pageBreakBefore w:val="0"/>
        <w:widowControl w:val="0"/>
        <w:kinsoku/>
        <w:wordWrap/>
        <w:overflowPunct/>
        <w:topLinePunct w:val="0"/>
        <w:bidi w:val="0"/>
        <w:adjustRightInd/>
        <w:spacing w:line="560" w:lineRule="exact"/>
        <w:ind w:firstLineChars="200" w:firstLine="632"/>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今年以来，我局</w:t>
      </w:r>
      <w:r>
        <w:rPr>
          <w:rFonts w:ascii="仿宋_GB2312" w:eastAsia="仿宋_GB2312" w:cs="仿宋_GB2312" w:hint="eastAsia"/>
        </w:rPr>
        <w:t>积极响应中央和省、</w:t>
      </w:r>
      <w:r>
        <w:rPr>
          <w:rFonts w:ascii="仿宋_GB2312" w:cs="仿宋_GB2312" w:hint="eastAsia"/>
          <w:lang w:eastAsia="zh-CN"/>
        </w:rPr>
        <w:t>州</w:t>
      </w:r>
      <w:r>
        <w:rPr>
          <w:rFonts w:ascii="仿宋_GB2312" w:eastAsia="仿宋_GB2312" w:cs="仿宋_GB2312" w:hint="eastAsia"/>
        </w:rPr>
        <w:t>关于全面实施预算绩效管理的号召，以绩效为核心，</w:t>
      </w:r>
      <w:r>
        <w:rPr>
          <w:rFonts w:ascii="仿宋_GB2312" w:eastAsia="仿宋_GB2312" w:cs="仿宋_GB2312" w:hint="eastAsia"/>
          <w:sz w:val="32"/>
          <w:szCs w:val="32"/>
          <w:lang w:val="en-US" w:eastAsia="zh-CN"/>
        </w:rPr>
        <w:t>继续深入贯彻落实《中共四川省委办公厅 四川省人民政府办公厅关于深入实施预算绩效管理的通知》（川委厅〔2022〕5号）文件要求，</w:t>
      </w:r>
      <w:r>
        <w:rPr>
          <w:rFonts w:ascii="仿宋_GB2312" w:eastAsia="仿宋_GB2312" w:cs="仿宋_GB2312" w:hint="eastAsia"/>
        </w:rPr>
        <w:t>从事前绩效评估、绩效目标管理、事中绩效监控、事后绩效评价到结果应用，形成了全过程、全方位、全覆盖的预算绩效管理体系。现将全年预算绩效管理工作情况报告如下：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firstLineChars="200" w:firstLine="632"/>
        <w:jc w:val="left"/>
        <w:textAlignment w:val="auto"/>
        <w:outlineLvl w:val="9"/>
        <w:rPr>
          <w:rFonts w:ascii="黑体" w:eastAsia="黑体" w:cs="黑体" w:hint="eastAsia"/>
        </w:rPr>
      </w:pPr>
      <w:r>
        <w:rPr>
          <w:rFonts w:ascii="黑体" w:eastAsia="黑体" w:cs="黑体" w:hint="eastAsia"/>
          <w:sz w:val="32"/>
          <w:szCs w:val="32"/>
          <w:lang w:val="en-US" w:eastAsia="zh-CN"/>
        </w:rPr>
        <w:t>工作开展情况</w:t>
      </w:r>
    </w:p>
    <w:p>
      <w:pPr>
        <w:keepNext w:val="0"/>
        <w:keepLines w:val="0"/>
        <w:pageBreakBefore w:val="0"/>
        <w:widowControl w:val="0"/>
        <w:kinsoku/>
        <w:wordWrap/>
        <w:overflowPunct/>
        <w:topLinePunct w:val="0"/>
        <w:autoSpaceDE/>
        <w:autoSpaceDN/>
        <w:bidi w:val="0"/>
        <w:adjustRightInd/>
        <w:snapToGrid/>
        <w:spacing w:line="560" w:lineRule="exact"/>
        <w:ind w:left="632" w:right="0"/>
        <w:jc w:val="left"/>
        <w:textAlignment w:val="auto"/>
        <w:outlineLvl w:val="9"/>
        <w:rPr>
          <w:rFonts w:ascii="仿宋_GB2312" w:eastAsia="仿宋_GB2312" w:cs="仿宋_GB2312" w:hint="eastAsia"/>
        </w:rPr>
      </w:pPr>
      <w:r>
        <w:rPr>
          <w:rFonts w:ascii="楷体_GB2312" w:eastAsia="楷体_GB2312" w:cs="楷体_GB2312"/>
          <w:b/>
          <w:bCs/>
        </w:rPr>
        <w:t>（一）</w:t>
      </w:r>
      <w:r>
        <w:rPr>
          <w:rFonts w:ascii="楷体_GB2312" w:eastAsia="楷体_GB2312" w:cs="楷体_GB2312" w:hint="eastAsia"/>
          <w:b/>
          <w:bCs/>
        </w:rPr>
        <w:t>绩效目标管理</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32"/>
        <w:jc w:val="left"/>
        <w:textAlignment w:val="auto"/>
        <w:outlineLvl w:val="9"/>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1.明确</w:t>
      </w:r>
      <w:r>
        <w:rPr>
          <w:rFonts w:ascii="仿宋_GB2312" w:eastAsia="仿宋_GB2312" w:cs="仿宋_GB2312" w:hint="eastAsia"/>
          <w:b/>
          <w:bCs/>
        </w:rPr>
        <w:t>绩效</w:t>
      </w:r>
      <w:r>
        <w:rPr>
          <w:rFonts w:ascii="仿宋_GB2312" w:eastAsia="仿宋_GB2312" w:cs="仿宋_GB2312" w:hint="eastAsia"/>
          <w:b/>
          <w:bCs/>
          <w:sz w:val="32"/>
          <w:szCs w:val="32"/>
          <w:lang w:val="en-US" w:eastAsia="zh-CN"/>
        </w:rPr>
        <w:t>目标编制要求。</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32"/>
        <w:jc w:val="both"/>
        <w:textAlignment w:val="auto"/>
        <w:outlineLvl w:val="9"/>
        <w:rPr>
          <w:rFonts w:ascii="仿宋_GB2312" w:eastAsia="仿宋_GB2312" w:cs="仿宋_GB2312" w:hint="eastAsia"/>
          <w:szCs w:val="32"/>
          <w:lang w:eastAsia="zh-CN"/>
        </w:rPr>
      </w:pPr>
      <w:r>
        <w:rPr>
          <w:rFonts w:ascii="仿宋_GB2312" w:eastAsia="仿宋_GB2312" w:cs="仿宋_GB2312" w:hint="eastAsia"/>
          <w:bCs/>
          <w:color w:val="000000"/>
          <w:sz w:val="32"/>
          <w:szCs w:val="32"/>
          <w:lang w:eastAsia="zh-CN" w:bidi="ar-SA"/>
        </w:rPr>
        <w:t>印发了《金川县财政局关于</w:t>
      </w:r>
      <w:r>
        <w:rPr>
          <w:rFonts w:ascii="仿宋_GB2312" w:eastAsia="仿宋_GB2312" w:cs="仿宋_GB2312" w:hint="eastAsia"/>
          <w:sz w:val="32"/>
          <w:szCs w:val="32"/>
          <w:lang w:bidi="ar-SA"/>
        </w:rPr>
        <w:t>加强202</w:t>
      </w:r>
      <w:r>
        <w:rPr>
          <w:rFonts w:ascii="仿宋_GB2312" w:eastAsia="仿宋_GB2312" w:cs="仿宋_GB2312" w:hint="eastAsia"/>
          <w:sz w:val="32"/>
          <w:szCs w:val="32"/>
          <w:lang w:val="en-US" w:eastAsia="zh-CN" w:bidi="ar-SA"/>
        </w:rPr>
        <w:t>5</w:t>
      </w:r>
      <w:r>
        <w:rPr>
          <w:rFonts w:ascii="仿宋_GB2312" w:eastAsia="仿宋_GB2312" w:cs="仿宋_GB2312" w:hint="eastAsia"/>
          <w:sz w:val="32"/>
          <w:szCs w:val="32"/>
          <w:lang w:bidi="ar-SA"/>
        </w:rPr>
        <w:t>年度</w:t>
      </w:r>
      <w:r>
        <w:rPr>
          <w:rFonts w:ascii="仿宋_GB2312" w:eastAsia="仿宋_GB2312" w:cs="仿宋_GB2312" w:hint="eastAsia"/>
          <w:sz w:val="32"/>
          <w:szCs w:val="32"/>
          <w:lang w:eastAsia="zh-CN" w:bidi="ar-SA"/>
        </w:rPr>
        <w:t>县</w:t>
      </w:r>
      <w:r>
        <w:rPr>
          <w:rFonts w:ascii="仿宋_GB2312" w:eastAsia="仿宋_GB2312" w:cs="仿宋_GB2312" w:hint="eastAsia"/>
          <w:sz w:val="32"/>
          <w:szCs w:val="32"/>
          <w:lang w:bidi="ar-SA"/>
        </w:rPr>
        <w:t>级</w:t>
      </w:r>
      <w:r>
        <w:rPr>
          <w:rFonts w:ascii="仿宋_GB2312" w:eastAsia="仿宋_GB2312" w:cs="仿宋_GB2312" w:hint="eastAsia"/>
          <w:kern w:val="2"/>
          <w:sz w:val="32"/>
          <w:szCs w:val="32"/>
        </w:rPr>
        <w:t>预算绩效目标管理</w:t>
      </w:r>
      <w:r>
        <w:rPr>
          <w:rFonts w:ascii="仿宋_GB2312" w:eastAsia="仿宋_GB2312" w:cs="仿宋_GB2312" w:hint="eastAsia"/>
          <w:kern w:val="2"/>
          <w:sz w:val="32"/>
          <w:szCs w:val="32"/>
          <w:lang w:bidi="ar-SA"/>
        </w:rPr>
        <w:t>和事前</w:t>
      </w:r>
      <w:r>
        <w:rPr>
          <w:rFonts w:ascii="仿宋_GB2312" w:eastAsia="仿宋_GB2312" w:cs="仿宋_GB2312" w:hint="eastAsia"/>
          <w:kern w:val="2"/>
          <w:sz w:val="32"/>
          <w:szCs w:val="32"/>
        </w:rPr>
        <w:t>绩效评估工作的通知</w:t>
      </w:r>
      <w:r>
        <w:rPr>
          <w:rFonts w:ascii="仿宋_GB2312" w:eastAsia="仿宋_GB2312" w:cs="仿宋_GB2312" w:hint="eastAsia"/>
          <w:kern w:val="2"/>
          <w:sz w:val="32"/>
          <w:szCs w:val="32"/>
          <w:lang w:eastAsia="zh-CN"/>
        </w:rPr>
        <w:t>》（</w:t>
      </w:r>
      <w:r>
        <w:rPr>
          <w:rFonts w:ascii="仿宋_GB2312" w:eastAsia="仿宋_GB2312" w:cs="仿宋_GB2312" w:hint="eastAsia"/>
          <w:sz w:val="32"/>
          <w:lang w:val="en-US" w:eastAsia="zh-CN"/>
        </w:rPr>
        <w:t>金财监绩</w:t>
      </w:r>
      <w:r>
        <w:rPr>
          <w:rFonts w:ascii="仿宋_GB2312" w:eastAsia="仿宋_GB2312" w:cs="仿宋_GB2312" w:hint="eastAsia"/>
          <w:sz w:val="32"/>
          <w:szCs w:val="32"/>
          <w:lang w:bidi="ar-SA"/>
        </w:rPr>
        <w:t>〔202</w:t>
      </w:r>
      <w:r>
        <w:rPr>
          <w:rFonts w:ascii="仿宋_GB2312" w:eastAsia="仿宋_GB2312" w:cs="仿宋_GB2312" w:hint="eastAsia"/>
          <w:sz w:val="32"/>
          <w:szCs w:val="32"/>
          <w:lang w:val="en-US" w:eastAsia="zh-CN" w:bidi="ar-SA"/>
        </w:rPr>
        <w:t>4</w:t>
      </w: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46</w:t>
      </w:r>
      <w:r>
        <w:rPr>
          <w:rFonts w:ascii="仿宋_GB2312" w:eastAsia="仿宋_GB2312" w:cs="仿宋_GB2312" w:hint="eastAsia"/>
          <w:sz w:val="32"/>
          <w:szCs w:val="32"/>
          <w:lang w:bidi="ar-SA"/>
        </w:rPr>
        <w:t>号</w:t>
      </w:r>
      <w:r>
        <w:rPr>
          <w:rFonts w:ascii="仿宋_GB2312" w:eastAsia="仿宋_GB2312" w:cs="仿宋_GB2312" w:hint="eastAsia"/>
          <w:sz w:val="32"/>
          <w:szCs w:val="32"/>
          <w:lang w:eastAsia="zh-CN" w:bidi="ar-SA"/>
        </w:rPr>
        <w:t>）文件，明确各预算单位要</w:t>
      </w:r>
      <w:r>
        <w:rPr>
          <w:rFonts w:ascii="仿宋_GB2312" w:eastAsia="仿宋_GB2312" w:cs="仿宋_GB2312" w:hint="eastAsia"/>
        </w:rPr>
        <w:t>严格按照“谁支出、谁负责”的原则，结合年度工作计划和重点项目，科学</w:t>
      </w:r>
      <w:r>
        <w:rPr>
          <w:rFonts w:ascii="仿宋_GB2312" w:eastAsia="仿宋_GB2312" w:cs="仿宋_GB2312" w:hint="eastAsia"/>
          <w:lang w:eastAsia="zh-CN"/>
        </w:rPr>
        <w:t>、</w:t>
      </w:r>
      <w:r>
        <w:rPr>
          <w:rFonts w:ascii="仿宋_GB2312" w:eastAsia="仿宋_GB2312" w:cs="仿宋_GB2312" w:hint="eastAsia"/>
          <w:szCs w:val="32"/>
          <w:lang w:eastAsia="zh-CN"/>
        </w:rPr>
        <w:t>全面设置2025年度部门整体、项目支出绩效目标，一级目标设置条数不低于7条。结转项目和执行中追加项目也应设置绩效目标。</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outlineLvl w:val="9"/>
        <w:rPr>
          <w:rFonts w:ascii="仿宋_GB2312" w:eastAsia="仿宋_GB2312" w:cs="仿宋_GB2312" w:hint="eastAsia"/>
          <w:color w:val="auto"/>
          <w:szCs w:val="32"/>
          <w:lang w:val="en-US" w:eastAsia="zh-CN"/>
        </w:rPr>
      </w:pPr>
      <w:r>
        <w:rPr>
          <w:rFonts w:ascii="仿宋_GB2312" w:eastAsia="仿宋_GB2312" w:cs="仿宋_GB2312" w:hint="eastAsia"/>
          <w:b/>
          <w:bCs/>
          <w:szCs w:val="32"/>
          <w:lang w:val="en-US" w:eastAsia="zh-CN"/>
        </w:rPr>
        <w:t>2.组织开展</w:t>
      </w:r>
      <w:r>
        <w:rPr>
          <w:rFonts w:ascii="仿宋_GB2312" w:eastAsia="仿宋_GB2312" w:cs="仿宋_GB2312" w:hint="eastAsia"/>
          <w:b/>
          <w:bCs/>
          <w:szCs w:val="32"/>
          <w:lang w:eastAsia="zh-CN"/>
        </w:rPr>
        <w:t>绩效目标培训。</w:t>
      </w:r>
      <w:r>
        <w:rPr>
          <w:rFonts w:ascii="仿宋_GB2312" w:eastAsia="仿宋_GB2312" w:cs="仿宋_GB2312" w:hint="eastAsia"/>
          <w:szCs w:val="32"/>
          <w:lang w:eastAsia="zh-CN"/>
        </w:rPr>
        <w:t>会同预算股组织全县预算单位，针对部门整体绩效目标申报、部门预算项目支出绩效目标申报、县级专项资金项目支出绩效目标申报涉及</w:t>
      </w:r>
      <w:r>
        <w:rPr>
          <w:rFonts w:ascii="仿宋_GB2312" w:eastAsia="仿宋_GB2312" w:cs="仿宋_GB2312" w:hint="eastAsia"/>
          <w:color w:val="auto"/>
          <w:szCs w:val="32"/>
          <w:lang w:eastAsia="zh-CN"/>
        </w:rPr>
        <w:t>的一级指标、二级指标进行了详细讲解。</w:t>
      </w:r>
    </w:p>
    <w:p>
      <w:pPr>
        <w:keepNext w:val="0"/>
        <w:keepLines w:val="0"/>
        <w:pageBreakBefore w:val="0"/>
        <w:widowControl w:val="0"/>
        <w:kinsoku/>
        <w:wordWrap/>
        <w:overflowPunct/>
        <w:topLinePunct w:val="0"/>
        <w:bidi w:val="0"/>
        <w:adjustRightInd/>
        <w:spacing w:line="560" w:lineRule="exact"/>
        <w:ind w:firstLineChars="200" w:firstLine="632"/>
        <w:rPr>
          <w:rFonts w:ascii="仿宋_GB2312" w:eastAsia="仿宋_GB2312" w:cs="仿宋_GB2312" w:hint="eastAsia"/>
        </w:rPr>
      </w:pPr>
      <w:r>
        <w:rPr>
          <w:rFonts w:ascii="仿宋_GB2312" w:eastAsia="仿宋_GB2312" w:cs="仿宋_GB2312" w:hint="eastAsia"/>
          <w:b/>
          <w:bCs/>
          <w:szCs w:val="32"/>
          <w:lang w:val="en-US" w:eastAsia="zh-CN"/>
        </w:rPr>
        <w:t>3.扎实开展绩效目标</w:t>
      </w:r>
      <w:r>
        <w:rPr>
          <w:rFonts w:ascii="仿宋_GB2312" w:eastAsia="仿宋_GB2312" w:cs="仿宋_GB2312" w:hint="eastAsia"/>
          <w:b/>
          <w:bCs/>
        </w:rPr>
        <w:t>‌审核</w:t>
      </w:r>
      <w:r>
        <w:rPr>
          <w:rFonts w:ascii="仿宋_GB2312" w:eastAsia="仿宋_GB2312" w:cs="仿宋_GB2312" w:hint="eastAsia"/>
          <w:b/>
          <w:bCs/>
          <w:szCs w:val="32"/>
          <w:lang w:eastAsia="zh-CN"/>
        </w:rPr>
        <w:t>。</w:t>
      </w:r>
      <w:r>
        <w:rPr>
          <w:rFonts w:ascii="仿宋_GB2312" w:eastAsia="仿宋_GB2312" w:cs="仿宋_GB2312" w:hint="eastAsia"/>
          <w:szCs w:val="32"/>
          <w:lang w:eastAsia="zh-CN"/>
        </w:rPr>
        <w:t>财政依托“预算管理一体化系统”平台，在预算编审项目入库环节，对绩效目标进行严格审核，</w:t>
      </w:r>
      <w:r>
        <w:rPr>
          <w:rFonts w:ascii="仿宋_GB2312" w:eastAsia="仿宋_GB2312" w:cs="仿宋_GB2312" w:hint="eastAsia"/>
          <w:sz w:val="32"/>
          <w:szCs w:val="32"/>
          <w:lang w:val="en-US" w:eastAsia="zh-CN"/>
        </w:rPr>
        <w:t>对绩效目标不细不实的不予入库、不予安排预算，</w:t>
      </w:r>
      <w:r>
        <w:rPr>
          <w:rFonts w:ascii="仿宋_GB2312" w:eastAsia="仿宋_GB2312" w:cs="仿宋_GB2312" w:hint="eastAsia"/>
          <w:szCs w:val="32"/>
          <w:lang w:eastAsia="zh-CN"/>
        </w:rPr>
        <w:t>对不符合要求的绩效目标及时反馈预算单位修改完善。</w:t>
      </w:r>
      <w:r>
        <w:rPr>
          <w:rFonts w:ascii="仿宋_GB2312" w:eastAsia="仿宋_GB2312" w:cs="仿宋_GB2312" w:hint="eastAsia"/>
          <w:sz w:val="32"/>
          <w:szCs w:val="32"/>
          <w:lang w:val="en-US" w:eastAsia="zh-CN"/>
        </w:rPr>
        <w:t>做到绩效目标细化、量化，</w:t>
      </w:r>
      <w:r>
        <w:rPr>
          <w:rFonts w:ascii="仿宋_GB2312" w:eastAsia="仿宋_GB2312" w:cs="仿宋_GB2312" w:hint="eastAsia"/>
        </w:rPr>
        <w:t>确保目标的相关性、完整性和适当性。</w:t>
      </w:r>
      <w:r>
        <w:rPr>
          <w:rFonts w:ascii="仿宋_GB2312" w:eastAsia="仿宋_GB2312" w:cs="仿宋_GB2312" w:hint="eastAsia"/>
          <w:szCs w:val="32"/>
          <w:lang w:val="en-US" w:eastAsia="zh-CN"/>
        </w:rPr>
        <w:t>绩效目标</w:t>
      </w:r>
      <w:r>
        <w:rPr>
          <w:rFonts w:ascii="仿宋_GB2312" w:eastAsia="仿宋_GB2312" w:cs="仿宋_GB2312" w:hint="eastAsia"/>
        </w:rPr>
        <w:t>审核通过后，绩效目标</w:t>
      </w:r>
      <w:r>
        <w:rPr>
          <w:rFonts w:ascii="仿宋_GB2312" w:eastAsia="仿宋_GB2312" w:cs="仿宋_GB2312" w:hint="eastAsia"/>
          <w:lang w:eastAsia="zh-CN"/>
        </w:rPr>
        <w:t>将</w:t>
      </w:r>
      <w:r>
        <w:rPr>
          <w:rFonts w:ascii="仿宋_GB2312" w:eastAsia="仿宋_GB2312" w:cs="仿宋_GB2312" w:hint="eastAsia"/>
        </w:rPr>
        <w:t>随</w:t>
      </w:r>
      <w:r>
        <w:rPr>
          <w:rFonts w:ascii="仿宋_GB2312" w:eastAsia="仿宋_GB2312" w:cs="仿宋_GB2312" w:hint="eastAsia"/>
          <w:lang w:eastAsia="zh-CN"/>
        </w:rPr>
        <w:t>部门</w:t>
      </w:r>
      <w:r>
        <w:rPr>
          <w:rFonts w:ascii="仿宋_GB2312" w:eastAsia="仿宋_GB2312" w:cs="仿宋_GB2312" w:hint="eastAsia"/>
        </w:rPr>
        <w:t>预算一并批复下达，作为预算执行</w:t>
      </w:r>
      <w:r>
        <w:rPr>
          <w:rFonts w:ascii="仿宋_GB2312" w:eastAsia="仿宋_GB2312" w:cs="仿宋_GB2312" w:hint="eastAsia"/>
          <w:lang w:eastAsia="zh-CN"/>
        </w:rPr>
        <w:t>、绩效监控和</w:t>
      </w:r>
      <w:r>
        <w:rPr>
          <w:rFonts w:ascii="仿宋_GB2312" w:eastAsia="仿宋_GB2312" w:cs="仿宋_GB2312" w:hint="eastAsia"/>
        </w:rPr>
        <w:t>绩效评价的重要依据。</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outlineLvl w:val="9"/>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（二）事前绩效评估。</w:t>
      </w:r>
    </w:p>
    <w:p>
      <w:pPr>
        <w:keepNext w:val="0"/>
        <w:keepLines w:val="0"/>
        <w:pageBreakBefore w:val="0"/>
        <w:widowControl w:val="0"/>
        <w:kinsoku/>
        <w:wordWrap/>
        <w:overflowPunct/>
        <w:topLinePunct w:val="0"/>
        <w:bidi w:val="0"/>
        <w:adjustRightInd/>
        <w:spacing w:line="560" w:lineRule="exact"/>
        <w:ind w:firstLineChars="200" w:firstLine="632"/>
        <w:rPr>
          <w:rFonts w:ascii="仿宋_GB2312" w:eastAsia="仿宋_GB2312" w:cs="仿宋_GB2312" w:hint="eastAsia"/>
          <w:lang w:val="en-US" w:eastAsia="zh-CN"/>
        </w:rPr>
      </w:pPr>
      <w:r>
        <w:rPr>
          <w:rFonts w:ascii="仿宋_GB2312" w:eastAsia="仿宋_GB2312" w:cs="仿宋_GB2312" w:hint="eastAsia"/>
          <w:sz w:val="32"/>
          <w:szCs w:val="32"/>
          <w:lang w:val="en-US" w:eastAsia="zh-CN"/>
        </w:rPr>
        <w:t>1.</w:t>
      </w:r>
      <w:r>
        <w:rPr>
          <w:rFonts w:ascii="仿宋_GB2312" w:eastAsia="仿宋_GB2312" w:cs="仿宋_GB2312" w:hint="eastAsia"/>
          <w:b/>
          <w:bCs/>
          <w:color w:val="000000"/>
          <w:kern w:val="2"/>
          <w:sz w:val="32"/>
          <w:szCs w:val="32"/>
          <w:lang w:val="en-US" w:eastAsia="zh-CN" w:bidi="ar-SA"/>
        </w:rPr>
        <w:t>部门自行评估。</w:t>
      </w:r>
      <w:r>
        <w:rPr>
          <w:rFonts w:ascii="仿宋_GB2312" w:eastAsia="仿宋_GB2312" w:cs="仿宋_GB2312" w:hint="eastAsia"/>
          <w:b w:val="0"/>
          <w:bCs w:val="0"/>
          <w:color w:val="000000"/>
          <w:kern w:val="2"/>
          <w:sz w:val="32"/>
          <w:szCs w:val="32"/>
          <w:lang w:val="en-US" w:eastAsia="zh-CN" w:bidi="ar-SA"/>
        </w:rPr>
        <w:t>严格</w:t>
      </w:r>
      <w:r>
        <w:rPr>
          <w:rFonts w:ascii="仿宋_GB2312" w:eastAsia="仿宋_GB2312" w:cs="仿宋_GB2312" w:hint="eastAsia"/>
          <w:kern w:val="2"/>
          <w:sz w:val="32"/>
          <w:szCs w:val="32"/>
          <w:lang w:val="en-US" w:eastAsia="zh-CN" w:bidi="ar-SA"/>
        </w:rPr>
        <w:t>按照《金川县县级预算事前绩效评估管理暂行办法》（</w:t>
      </w:r>
      <w:r>
        <w:rPr>
          <w:rFonts w:ascii="仿宋_GB2312" w:eastAsia="仿宋_GB2312" w:cs="仿宋_GB2312" w:hint="eastAsia"/>
          <w:sz w:val="32"/>
          <w:szCs w:val="32"/>
        </w:rPr>
        <w:t>金财监绩〔</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48</w:t>
      </w:r>
      <w:r>
        <w:rPr>
          <w:rFonts w:ascii="仿宋_GB2312" w:eastAsia="仿宋_GB2312" w:cs="仿宋_GB2312" w:hint="eastAsia"/>
          <w:sz w:val="32"/>
          <w:szCs w:val="32"/>
        </w:rPr>
        <w:t>号</w:t>
      </w:r>
      <w:r>
        <w:rPr>
          <w:rFonts w:ascii="仿宋_GB2312" w:eastAsia="仿宋_GB2312" w:cs="仿宋_GB2312" w:hint="eastAsia"/>
          <w:kern w:val="2"/>
          <w:sz w:val="32"/>
          <w:szCs w:val="32"/>
          <w:lang w:val="en-US" w:eastAsia="zh-CN" w:bidi="ar-SA"/>
        </w:rPr>
        <w:t>）和《金川县人民政府贯彻落实&lt;</w:t>
      </w:r>
      <w:r>
        <w:rPr>
          <w:rFonts w:ascii="仿宋_GB2312" w:eastAsia="仿宋_GB2312" w:cs="仿宋_GB2312" w:hint="eastAsia"/>
          <w:sz w:val="32"/>
          <w:szCs w:val="32"/>
        </w:rPr>
        <w:t>中共四川省委办公厅</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四川省人民政府办公厅关于深入推进实施预算绩效管理的通知</w:t>
      </w:r>
      <w:r>
        <w:rPr>
          <w:rFonts w:ascii="仿宋_GB2312" w:eastAsia="仿宋_GB2312" w:cs="仿宋_GB2312" w:hint="eastAsia"/>
          <w:sz w:val="32"/>
          <w:szCs w:val="32"/>
          <w:lang w:val="en-US" w:eastAsia="zh-CN"/>
        </w:rPr>
        <w:t>&gt;的实施方案》（金川府办发</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202</w:t>
      </w:r>
      <w:r>
        <w:rPr>
          <w:rFonts w:ascii="仿宋_GB2312" w:cs="仿宋_GB2312" w:hint="eastAsia"/>
          <w:sz w:val="32"/>
          <w:szCs w:val="32"/>
          <w:lang w:val="en-US" w:eastAsia="zh-CN"/>
        </w:rPr>
        <w:t>2</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60号）要求，</w:t>
      </w:r>
      <w:r>
        <w:rPr>
          <w:rFonts w:ascii="仿宋_GB2312" w:eastAsia="仿宋_GB2312" w:cs="仿宋_GB2312" w:hint="eastAsia"/>
          <w:kern w:val="2"/>
          <w:sz w:val="32"/>
          <w:szCs w:val="32"/>
          <w:lang w:val="en-US" w:eastAsia="zh-CN" w:bidi="ar-SA"/>
        </w:rPr>
        <w:t>借助预算一体化平台，</w:t>
      </w:r>
      <w:r>
        <w:rPr>
          <w:rFonts w:ascii="仿宋_GB2312" w:eastAsia="仿宋_GB2312" w:cs="仿宋_GB2312" w:hint="eastAsia"/>
        </w:rPr>
        <w:t>对</w:t>
      </w:r>
      <w:r>
        <w:rPr>
          <w:rFonts w:ascii="仿宋_GB2312" w:eastAsia="仿宋_GB2312" w:cs="仿宋_GB2312" w:hint="eastAsia"/>
          <w:lang w:eastAsia="zh-CN"/>
        </w:rPr>
        <w:t>所有入库</w:t>
      </w:r>
      <w:r>
        <w:rPr>
          <w:rFonts w:ascii="仿宋_GB2312" w:eastAsia="仿宋_GB2312" w:cs="仿宋_GB2312" w:hint="eastAsia"/>
        </w:rPr>
        <w:t>项目的立项必要性、投入经济性、绩效目标合理性、实施方案可行性等进行</w:t>
      </w:r>
      <w:r>
        <w:rPr>
          <w:rFonts w:ascii="仿宋_GB2312" w:eastAsia="仿宋_GB2312" w:cs="仿宋_GB2312" w:hint="eastAsia"/>
          <w:lang w:eastAsia="zh-CN"/>
        </w:rPr>
        <w:t>审核</w:t>
      </w:r>
      <w:r>
        <w:rPr>
          <w:rFonts w:ascii="仿宋_GB2312" w:eastAsia="仿宋_GB2312" w:cs="仿宋_GB2312" w:hint="eastAsia"/>
        </w:rPr>
        <w:t>。</w:t>
      </w:r>
    </w:p>
    <w:p>
      <w:pPr>
        <w:keepNext w:val="0"/>
        <w:keepLines w:val="0"/>
        <w:pageBreakBefore w:val="0"/>
        <w:widowControl w:val="0"/>
        <w:kinsoku/>
        <w:wordWrap/>
        <w:overflowPunct/>
        <w:topLinePunct w:val="0"/>
        <w:bidi w:val="0"/>
        <w:adjustRightInd/>
        <w:spacing w:line="560" w:lineRule="exact"/>
        <w:ind w:firstLineChars="200" w:firstLine="632"/>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w:t>
      </w:r>
      <w:r>
        <w:rPr>
          <w:rFonts w:ascii="仿宋_GB2312" w:eastAsia="仿宋_GB2312" w:cs="仿宋_GB2312" w:hint="eastAsia"/>
          <w:b/>
          <w:bCs/>
          <w:color w:val="000000"/>
          <w:kern w:val="2"/>
          <w:sz w:val="32"/>
          <w:szCs w:val="32"/>
          <w:lang w:val="en-US" w:eastAsia="zh-CN" w:bidi="ar-SA"/>
        </w:rPr>
        <w:t>财政重点评估。</w:t>
      </w:r>
      <w:r>
        <w:rPr>
          <w:rFonts w:ascii="仿宋_GB2312" w:eastAsia="仿宋_GB2312" w:cs="仿宋_GB2312" w:hint="eastAsia"/>
          <w:b w:val="0"/>
          <w:bCs w:val="0"/>
          <w:color w:val="000000"/>
          <w:kern w:val="2"/>
          <w:sz w:val="32"/>
          <w:szCs w:val="32"/>
          <w:lang w:val="en-US" w:eastAsia="zh-CN" w:bidi="ar-SA"/>
        </w:rPr>
        <w:t>在预算编制阶段，</w:t>
      </w:r>
      <w:r>
        <w:rPr>
          <w:rFonts w:ascii="仿宋_GB2312" w:eastAsia="仿宋_GB2312" w:cs="仿宋_GB2312" w:hint="eastAsia"/>
          <w:b w:val="0"/>
          <w:bCs w:val="0"/>
          <w:kern w:val="2"/>
          <w:sz w:val="32"/>
          <w:szCs w:val="32"/>
          <w:lang w:val="en-US" w:eastAsia="zh-CN" w:bidi="ar-SA"/>
        </w:rPr>
        <w:t>按</w:t>
      </w:r>
      <w:r>
        <w:rPr>
          <w:rFonts w:ascii="仿宋_GB2312" w:eastAsia="仿宋_GB2312" w:cs="仿宋_GB2312" w:hint="eastAsia"/>
          <w:kern w:val="2"/>
          <w:sz w:val="32"/>
          <w:szCs w:val="32"/>
          <w:lang w:val="en-US" w:eastAsia="zh-CN" w:bidi="ar-SA"/>
        </w:rPr>
        <w:t>照《四川省财政厅关于印发&lt;四川省预算绩效管理工作考核暂行办法&gt;的通知 》（川财绩〔2020〕2号）和《金川县县级预算事前绩效评估管理暂行办法》（</w:t>
      </w:r>
      <w:r>
        <w:rPr>
          <w:rFonts w:ascii="仿宋_GB2312" w:eastAsia="仿宋_GB2312" w:cs="仿宋_GB2312" w:hint="eastAsia"/>
          <w:sz w:val="32"/>
          <w:szCs w:val="32"/>
        </w:rPr>
        <w:t>金财监绩〔</w:t>
      </w:r>
      <w:r>
        <w:rPr>
          <w:rFonts w:ascii="仿宋_GB2312" w:eastAsia="仿宋_GB2312" w:cs="仿宋_GB2312" w:hint="eastAsia"/>
          <w:sz w:val="32"/>
          <w:szCs w:val="32"/>
          <w:lang w:val="en-US" w:eastAsia="zh-CN"/>
        </w:rPr>
        <w:t>2020</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48</w:t>
      </w:r>
      <w:r>
        <w:rPr>
          <w:rFonts w:ascii="仿宋_GB2312" w:eastAsia="仿宋_GB2312" w:cs="仿宋_GB2312" w:hint="eastAsia"/>
          <w:sz w:val="32"/>
          <w:szCs w:val="32"/>
        </w:rPr>
        <w:t>号</w:t>
      </w:r>
      <w:r>
        <w:rPr>
          <w:rFonts w:ascii="仿宋_GB2312" w:eastAsia="仿宋_GB2312" w:cs="仿宋_GB2312" w:hint="eastAsia"/>
          <w:kern w:val="2"/>
          <w:sz w:val="32"/>
          <w:szCs w:val="32"/>
          <w:lang w:val="en-US" w:eastAsia="zh-CN" w:bidi="ar-SA"/>
        </w:rPr>
        <w:t>）</w:t>
      </w:r>
      <w:r>
        <w:rPr>
          <w:rFonts w:ascii="仿宋_GB2312" w:eastAsia="仿宋_GB2312" w:cs="仿宋_GB2312" w:hint="eastAsia"/>
          <w:sz w:val="32"/>
          <w:szCs w:val="32"/>
          <w:lang w:val="en-US" w:eastAsia="zh-CN"/>
        </w:rPr>
        <w:t>要求，</w:t>
      </w:r>
      <w:r>
        <w:rPr>
          <w:rFonts w:ascii="仿宋_GB2312" w:eastAsia="仿宋_GB2312" w:cs="仿宋_GB2312" w:hint="eastAsia"/>
          <w:kern w:val="2"/>
          <w:sz w:val="32"/>
          <w:szCs w:val="32"/>
          <w:lang w:val="en-US" w:eastAsia="zh-CN" w:bidi="ar-SA"/>
        </w:rPr>
        <w:t>财政选取了</w:t>
      </w:r>
      <w:r>
        <w:rPr>
          <w:rFonts w:ascii="仿宋_GB2312" w:eastAsia="仿宋_GB2312" w:cs="仿宋_GB2312" w:hint="eastAsia"/>
          <w:sz w:val="32"/>
          <w:szCs w:val="32"/>
          <w:lang w:val="en-US" w:eastAsia="zh-CN"/>
        </w:rPr>
        <w:t>5</w:t>
      </w:r>
      <w:r>
        <w:rPr>
          <w:rFonts w:ascii="仿宋_GB2312" w:cs="仿宋_GB2312" w:hint="eastAsia"/>
          <w:sz w:val="32"/>
          <w:szCs w:val="32"/>
          <w:lang w:val="en-US" w:eastAsia="zh-CN"/>
        </w:rPr>
        <w:t>个</w:t>
      </w:r>
      <w:r>
        <w:rPr>
          <w:rFonts w:ascii="仿宋_GB2312" w:eastAsia="仿宋_GB2312" w:cs="仿宋_GB2312" w:hint="eastAsia"/>
          <w:kern w:val="2"/>
          <w:sz w:val="32"/>
          <w:szCs w:val="32"/>
          <w:lang w:val="en-US" w:eastAsia="zh-CN" w:bidi="ar-SA"/>
        </w:rPr>
        <w:t>新增项目和</w:t>
      </w:r>
      <w:r>
        <w:rPr>
          <w:rFonts w:ascii="仿宋_GB2312" w:eastAsia="仿宋_GB2312" w:cs="仿宋_GB2312" w:hint="eastAsia"/>
          <w:sz w:val="32"/>
          <w:szCs w:val="32"/>
          <w:lang w:val="en-US" w:eastAsia="zh-CN"/>
        </w:rPr>
        <w:t>4</w:t>
      </w:r>
      <w:r>
        <w:rPr>
          <w:rFonts w:ascii="仿宋_GB2312" w:eastAsia="仿宋_GB2312" w:cs="仿宋_GB2312" w:hint="eastAsia"/>
          <w:kern w:val="2"/>
          <w:sz w:val="32"/>
          <w:szCs w:val="32"/>
          <w:lang w:val="en-US" w:eastAsia="zh-CN" w:bidi="ar-SA"/>
        </w:rPr>
        <w:t>个较上年增长</w:t>
      </w:r>
      <w:r>
        <w:rPr>
          <w:rFonts w:ascii="仿宋_GB2312" w:eastAsia="仿宋_GB2312" w:cs="仿宋_GB2312" w:hint="eastAsia"/>
          <w:sz w:val="32"/>
          <w:szCs w:val="32"/>
          <w:lang w:val="en-US" w:eastAsia="zh-CN"/>
        </w:rPr>
        <w:t>50%</w:t>
      </w:r>
      <w:r>
        <w:rPr>
          <w:rFonts w:ascii="仿宋_GB2312" w:eastAsia="仿宋_GB2312" w:cs="仿宋_GB2312" w:hint="eastAsia"/>
          <w:kern w:val="2"/>
          <w:sz w:val="32"/>
          <w:szCs w:val="32"/>
          <w:lang w:val="en-US" w:eastAsia="zh-CN" w:bidi="ar-SA"/>
        </w:rPr>
        <w:t>以上的项目，涉及资金</w:t>
      </w:r>
      <w:r>
        <w:rPr>
          <w:rFonts w:ascii="仿宋_GB2312" w:eastAsia="仿宋_GB2312" w:cs="仿宋_GB2312" w:hint="eastAsia"/>
          <w:sz w:val="32"/>
          <w:szCs w:val="32"/>
          <w:lang w:val="en-US" w:eastAsia="zh-CN"/>
        </w:rPr>
        <w:t>2449.54</w:t>
      </w:r>
      <w:r>
        <w:rPr>
          <w:rFonts w:ascii="仿宋_GB2312" w:eastAsia="仿宋_GB2312" w:cs="仿宋_GB2312" w:hint="eastAsia"/>
          <w:kern w:val="2"/>
          <w:sz w:val="32"/>
          <w:szCs w:val="32"/>
          <w:lang w:val="en-US" w:eastAsia="zh-CN" w:bidi="ar-SA"/>
        </w:rPr>
        <w:t>万元。委托三方开展财政重点评估，</w:t>
      </w:r>
      <w:r>
        <w:rPr>
          <w:rFonts w:ascii="仿宋_GB2312" w:eastAsia="仿宋_GB2312" w:cs="仿宋_GB2312" w:hint="eastAsia"/>
        </w:rPr>
        <w:t>对项目的立项必要性、投入经济性、绩效目标合理性、实施方案可行性等进行全面、客观的评估。</w:t>
      </w:r>
      <w:r>
        <w:rPr>
          <w:rFonts w:ascii="仿宋_GB2312" w:eastAsia="仿宋_GB2312" w:cs="仿宋_GB2312" w:hint="eastAsia"/>
          <w:lang w:eastAsia="zh-CN"/>
        </w:rPr>
        <w:t>其中</w:t>
      </w:r>
      <w:r>
        <w:rPr>
          <w:rFonts w:ascii="仿宋_GB2312" w:eastAsia="仿宋_GB2312" w:cs="仿宋_GB2312" w:hint="eastAsia"/>
        </w:rPr>
        <w:t>建议不纳入年初预算</w:t>
      </w:r>
      <w:r>
        <w:rPr>
          <w:rFonts w:ascii="仿宋_GB2312" w:eastAsia="仿宋_GB2312" w:cs="仿宋_GB2312" w:hint="eastAsia"/>
          <w:lang w:eastAsia="zh-CN"/>
        </w:rPr>
        <w:t>项目</w:t>
      </w:r>
      <w:r>
        <w:rPr>
          <w:rFonts w:ascii="仿宋_GB2312" w:eastAsia="仿宋_GB2312" w:cs="仿宋_GB2312" w:hint="eastAsia"/>
          <w:lang w:val="en-US" w:eastAsia="zh-CN"/>
        </w:rPr>
        <w:t>2个，涉及资金875.95万元，建议压减项目1个，压减资金266万元，</w:t>
      </w:r>
      <w:r>
        <w:rPr>
          <w:rFonts w:ascii="仿宋_GB2312" w:eastAsia="仿宋_GB2312" w:cs="仿宋_GB2312" w:hint="eastAsia"/>
        </w:rPr>
        <w:t>有效避免了财政资源的浪费和低效使用。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楷体_GB2312" w:eastAsia="楷体_GB2312" w:cs="楷体_GB2312" w:hint="eastAsia"/>
          <w:b/>
          <w:bCs/>
          <w:color w:val="000000"/>
          <w:kern w:val="2"/>
          <w:sz w:val="32"/>
          <w:szCs w:val="32"/>
          <w:lang w:val="en-US" w:eastAsia="zh-CN" w:bidi="ar-SA"/>
        </w:rPr>
      </w:pPr>
      <w:r>
        <w:rPr>
          <w:rFonts w:ascii="楷体_GB2312" w:eastAsia="楷体_GB2312" w:cs="楷体_GB2312" w:hint="eastAsia"/>
          <w:b/>
          <w:bCs/>
          <w:sz w:val="32"/>
          <w:szCs w:val="32"/>
          <w:lang w:val="en-US" w:eastAsia="zh-CN"/>
        </w:rPr>
        <w:t>（三）</w:t>
      </w:r>
      <w:r>
        <w:rPr>
          <w:rFonts w:ascii="楷体_GB2312" w:eastAsia="楷体_GB2312" w:cs="楷体_GB2312" w:hint="eastAsia"/>
          <w:b/>
          <w:bCs/>
          <w:color w:val="000000"/>
          <w:kern w:val="2"/>
          <w:sz w:val="32"/>
          <w:szCs w:val="32"/>
          <w:lang w:val="en-US" w:eastAsia="zh-CN" w:bidi="ar-SA"/>
        </w:rPr>
        <w:t>绩效运行监控。</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仿宋_GB2312" w:eastAsia="仿宋_GB2312" w:cs="仿宋_GB2312" w:hint="eastAsia"/>
          <w:i w:val="0"/>
          <w:color w:val="000000"/>
          <w:sz w:val="32"/>
          <w:szCs w:val="32"/>
          <w:lang w:eastAsia="zh-CN"/>
        </w:rPr>
      </w:pPr>
      <w:r>
        <w:rPr>
          <w:rFonts w:ascii="仿宋_GB2312" w:eastAsia="仿宋_GB2312" w:cs="仿宋_GB2312" w:hint="eastAsia"/>
          <w:b/>
          <w:bCs/>
          <w:color w:val="auto"/>
          <w:sz w:val="32"/>
          <w:szCs w:val="32"/>
          <w:lang w:val="en-US" w:eastAsia="zh-CN"/>
        </w:rPr>
        <w:t>1.工作布置安排。</w:t>
      </w:r>
      <w:r>
        <w:rPr>
          <w:rFonts w:ascii="仿宋_GB2312" w:eastAsia="仿宋_GB2312" w:cs="仿宋_GB2312" w:hint="eastAsia"/>
          <w:b w:val="0"/>
          <w:bCs w:val="0"/>
          <w:color w:val="auto"/>
          <w:sz w:val="32"/>
          <w:szCs w:val="32"/>
          <w:lang w:val="en-US" w:eastAsia="zh-CN"/>
        </w:rPr>
        <w:t>根据《阿坝州财政局关于开展2024年度州级预算绩效运行监控管理工作的通知》（阿州财监绩〔2024〕17号）、《金川县县级预算绩效运行监控管理办法》（金财监绩〔2023〕1号）文件要求，结合工作实际，印发了《金川县财政局关于开展2024年度县级预算绩效运行监控管理工作的通知》（金财监绩〔2023〕38号），</w:t>
      </w:r>
      <w:r>
        <w:rPr>
          <w:rFonts w:ascii="仿宋_GB2312" w:eastAsia="仿宋_GB2312" w:cs="仿宋_GB2312" w:hint="eastAsia"/>
          <w:i w:val="0"/>
          <w:color w:val="000000"/>
          <w:sz w:val="32"/>
          <w:szCs w:val="32"/>
          <w:lang w:eastAsia="zh-CN"/>
        </w:rPr>
        <w:t>明确了监控范围、监控方式、监控对象和监控工作要求。</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仿宋_GB2312" w:eastAsia="仿宋_GB2312" w:cs="仿宋_GB2312" w:hint="eastAsia"/>
          <w:i w:val="0"/>
          <w:color w:val="000000"/>
          <w:sz w:val="32"/>
          <w:szCs w:val="32"/>
          <w:lang w:eastAsia="zh-CN"/>
        </w:rPr>
      </w:pPr>
      <w:r>
        <w:rPr>
          <w:rFonts w:ascii="仿宋_GB2312" w:eastAsia="仿宋_GB2312" w:cs="仿宋_GB2312" w:hint="eastAsia"/>
          <w:b/>
          <w:bCs/>
          <w:i w:val="0"/>
          <w:color w:val="000000"/>
          <w:sz w:val="32"/>
          <w:szCs w:val="32"/>
          <w:lang w:val="en-US" w:eastAsia="zh-CN"/>
        </w:rPr>
        <w:t>2.部门自行监控</w:t>
      </w:r>
      <w:r>
        <w:rPr>
          <w:rFonts w:ascii="仿宋_GB2312" w:eastAsia="仿宋_GB2312" w:cs="仿宋_GB2312" w:hint="eastAsia"/>
          <w:i w:val="0"/>
          <w:color w:val="000000"/>
          <w:sz w:val="32"/>
          <w:szCs w:val="32"/>
          <w:lang w:val="en-US" w:eastAsia="zh-CN"/>
        </w:rPr>
        <w:t>。</w:t>
      </w:r>
      <w:r>
        <w:rPr>
          <w:rFonts w:ascii="仿宋_GB2312" w:eastAsia="仿宋_GB2312" w:cs="仿宋_GB2312" w:hint="eastAsia"/>
          <w:i w:val="0"/>
          <w:color w:val="000000"/>
          <w:sz w:val="32"/>
          <w:szCs w:val="32"/>
          <w:lang w:eastAsia="zh-CN"/>
        </w:rPr>
        <w:t>8月30日前和10月20前，组织各部门（乡镇）在“预算管理一体化系统”对1-8月、1-10月的预算执行进度和绩效目标实现程度实施“双监控”，对每一个监控项目逐一填报“完成值、完成率、完成目标可能性、预计结余数、偏差原因分析、解决措施或建议、部门意见”等内容并提交预算绩效运行</w:t>
      </w:r>
      <w:r>
        <w:rPr>
          <w:rFonts w:ascii="仿宋_GB2312" w:cs="仿宋_GB2312" w:hint="eastAsia"/>
          <w:i w:val="0"/>
          <w:color w:val="000000"/>
          <w:sz w:val="32"/>
          <w:szCs w:val="32"/>
          <w:lang w:eastAsia="zh-CN"/>
        </w:rPr>
        <w:t>监控</w:t>
      </w:r>
      <w:r>
        <w:rPr>
          <w:rFonts w:ascii="仿宋_GB2312" w:eastAsia="仿宋_GB2312" w:cs="仿宋_GB2312" w:hint="eastAsia"/>
          <w:i w:val="0"/>
          <w:color w:val="000000"/>
          <w:sz w:val="32"/>
          <w:szCs w:val="32"/>
          <w:lang w:eastAsia="zh-CN"/>
        </w:rPr>
        <w:t>报告。截止10月，全县应监控项目数为6162个，已监控项目6067个，其中95个项目为10月新增人员类和特定目标类项目，总体监控率为98.16%。</w:t>
      </w:r>
    </w:p>
    <w:p>
      <w:pPr>
        <w:keepNext w:val="0"/>
        <w:keepLines w:val="0"/>
        <w:pageBreakBefore w:val="0"/>
        <w:widowControl w:val="0"/>
        <w:kinsoku/>
        <w:wordWrap/>
        <w:overflowPunct/>
        <w:topLinePunct w:val="0"/>
        <w:autoSpaceDE w:val="0"/>
        <w:autoSpaceDN w:val="0"/>
        <w:bidi w:val="0"/>
        <w:adjustRightInd/>
        <w:spacing w:line="560" w:lineRule="exact"/>
        <w:ind w:firstLineChars="200" w:firstLine="632"/>
        <w:jc w:val="both"/>
        <w:textAlignment w:val="baseline"/>
        <w:rPr>
          <w:rFonts w:ascii="仿宋_GB2312" w:eastAsia="仿宋_GB2312" w:cs="仿宋_GB2312" w:hint="eastAsia"/>
          <w:color w:val="auto"/>
          <w:sz w:val="32"/>
          <w:szCs w:val="32"/>
          <w:lang w:val="en-US" w:eastAsia="zh-CN"/>
          <w:highlight w:val="auto"/>
        </w:rPr>
      </w:pPr>
      <w:r>
        <w:rPr>
          <w:rFonts w:ascii="仿宋_GB2312" w:eastAsia="仿宋_GB2312" w:cs="仿宋_GB2312" w:hint="eastAsia"/>
          <w:b/>
          <w:bCs/>
          <w:i w:val="0"/>
          <w:color w:val="000000"/>
          <w:sz w:val="32"/>
          <w:szCs w:val="32"/>
          <w:lang w:val="en-US" w:eastAsia="zh-CN"/>
        </w:rPr>
        <w:t>3.财政重点监控。</w:t>
      </w:r>
      <w:r>
        <w:rPr>
          <w:rFonts w:ascii="仿宋_GB2312" w:eastAsia="仿宋_GB2312" w:cs="仿宋_GB2312" w:hint="eastAsia"/>
          <w:color w:val="auto"/>
          <w:sz w:val="32"/>
          <w:szCs w:val="32"/>
          <w:lang w:val="en-US" w:eastAsia="zh-CN"/>
        </w:rPr>
        <w:t>9月底，财政监督与绩效</w:t>
      </w:r>
      <w:r>
        <w:rPr>
          <w:rFonts w:ascii="仿宋_GB2312" w:cs="仿宋_GB2312" w:hint="eastAsia"/>
          <w:color w:val="auto"/>
          <w:sz w:val="32"/>
          <w:szCs w:val="32"/>
          <w:lang w:val="en-US" w:eastAsia="zh-CN"/>
        </w:rPr>
        <w:t>管理</w:t>
      </w:r>
      <w:r>
        <w:rPr>
          <w:rFonts w:ascii="仿宋_GB2312" w:eastAsia="仿宋_GB2312" w:cs="仿宋_GB2312" w:hint="eastAsia"/>
          <w:color w:val="auto"/>
          <w:sz w:val="32"/>
          <w:szCs w:val="32"/>
          <w:lang w:val="en-US" w:eastAsia="zh-CN"/>
        </w:rPr>
        <w:t>股</w:t>
      </w:r>
      <w:r>
        <w:rPr>
          <w:rFonts w:ascii="仿宋_GB2312" w:eastAsia="仿宋_GB2312" w:cs="仿宋_GB2312" w:hint="eastAsia"/>
          <w:color w:val="auto"/>
          <w:sz w:val="32"/>
          <w:szCs w:val="32"/>
        </w:rPr>
        <w:t>抽</w:t>
      </w:r>
      <w:r>
        <w:rPr>
          <w:rFonts w:ascii="仿宋_GB2312" w:eastAsia="仿宋_GB2312" w:cs="仿宋_GB2312" w:hint="eastAsia"/>
          <w:color w:val="auto"/>
          <w:sz w:val="32"/>
          <w:szCs w:val="32"/>
          <w:lang w:eastAsia="zh-CN"/>
        </w:rPr>
        <w:t>取</w:t>
      </w:r>
      <w:r>
        <w:rPr>
          <w:rFonts w:ascii="仿宋_GB2312" w:eastAsia="仿宋_GB2312" w:cs="仿宋_GB2312" w:hint="eastAsia"/>
          <w:color w:val="auto"/>
          <w:sz w:val="32"/>
          <w:szCs w:val="32"/>
          <w:lang w:val="en-US" w:eastAsia="zh-CN"/>
        </w:rPr>
        <w:t>50个部门项目采取线上与线下相结合的方式开展重点绩效监控，</w:t>
      </w:r>
      <w:r>
        <w:rPr>
          <w:rFonts w:ascii="仿宋_GB2312" w:eastAsia="仿宋_GB2312" w:cs="仿宋_GB2312" w:hint="eastAsia"/>
          <w:color w:val="auto"/>
          <w:sz w:val="32"/>
          <w:szCs w:val="32"/>
          <w:lang w:eastAsia="zh-CN"/>
        </w:rPr>
        <w:t>涉及</w:t>
      </w:r>
      <w:r>
        <w:rPr>
          <w:rFonts w:ascii="仿宋_GB2312" w:eastAsia="仿宋_GB2312" w:cs="仿宋_GB2312" w:hint="eastAsia"/>
          <w:color w:val="auto"/>
          <w:sz w:val="32"/>
          <w:szCs w:val="32"/>
        </w:rPr>
        <w:t>预算</w:t>
      </w:r>
      <w:r>
        <w:rPr>
          <w:rFonts w:ascii="仿宋_GB2312" w:eastAsia="仿宋_GB2312" w:cs="仿宋_GB2312" w:hint="eastAsia"/>
          <w:color w:val="auto"/>
          <w:sz w:val="32"/>
          <w:szCs w:val="32"/>
          <w:lang w:val="en-US" w:eastAsia="zh-CN"/>
        </w:rPr>
        <w:t>资金总额27，649.2万元</w:t>
      </w:r>
      <w:r>
        <w:rPr>
          <w:rFonts w:ascii="仿宋_GB2312" w:eastAsia="仿宋_GB2312" w:cs="仿宋_GB2312" w:hint="eastAsia"/>
          <w:color w:val="auto"/>
          <w:sz w:val="32"/>
          <w:szCs w:val="32"/>
          <w:lang w:val="en-US" w:eastAsia="zh-CN"/>
          <w:highlight w:val="auto"/>
        </w:rPr>
        <w:t>，</w:t>
      </w:r>
      <w:r>
        <w:rPr>
          <w:rFonts w:ascii="仿宋_GB2312" w:eastAsia="仿宋_GB2312" w:cs="仿宋_GB2312" w:hint="eastAsia"/>
          <w:color w:val="auto"/>
          <w:sz w:val="32"/>
          <w:szCs w:val="32"/>
          <w:lang w:val="en-US" w:eastAsia="zh-CN"/>
        </w:rPr>
        <w:t>项目资金</w:t>
      </w:r>
      <w:r>
        <w:rPr>
          <w:rFonts w:ascii="仿宋_GB2312" w:eastAsia="仿宋_GB2312" w:cs="仿宋_GB2312" w:hint="eastAsia"/>
          <w:color w:val="auto"/>
          <w:sz w:val="32"/>
          <w:szCs w:val="32"/>
          <w:lang w:val="en-US" w:eastAsia="zh-CN"/>
          <w:highlight w:val="auto"/>
        </w:rPr>
        <w:t>1-9月</w:t>
      </w:r>
      <w:r>
        <w:rPr>
          <w:rFonts w:ascii="仿宋_GB2312" w:eastAsia="仿宋_GB2312" w:cs="仿宋_GB2312" w:hint="eastAsia"/>
          <w:color w:val="auto"/>
          <w:sz w:val="32"/>
          <w:szCs w:val="32"/>
          <w:lang w:val="en-US" w:eastAsia="zh-CN"/>
        </w:rPr>
        <w:t>执行数为4160.60万元，</w:t>
      </w:r>
      <w:r>
        <w:rPr>
          <w:rFonts w:ascii="仿宋_GB2312" w:eastAsia="仿宋_GB2312" w:cs="仿宋_GB2312" w:hint="eastAsia"/>
          <w:color w:val="auto"/>
          <w:sz w:val="32"/>
          <w:szCs w:val="32"/>
        </w:rPr>
        <w:t>执行率</w:t>
      </w:r>
      <w:r>
        <w:rPr>
          <w:rFonts w:ascii="仿宋_GB2312" w:eastAsia="仿宋_GB2312" w:cs="仿宋_GB2312" w:hint="eastAsia"/>
          <w:color w:val="auto"/>
          <w:sz w:val="32"/>
          <w:szCs w:val="32"/>
          <w:lang w:val="en-US" w:eastAsia="zh-CN"/>
        </w:rPr>
        <w:t>32.92</w:t>
      </w:r>
      <w:r>
        <w:rPr>
          <w:rFonts w:ascii="仿宋_GB2312" w:eastAsia="仿宋_GB2312" w:cs="仿宋_GB2312" w:hint="eastAsia"/>
          <w:color w:val="auto"/>
          <w:sz w:val="32"/>
          <w:szCs w:val="32"/>
          <w:highlight w:val="auto"/>
        </w:rPr>
        <w:t>%</w:t>
      </w:r>
      <w:r>
        <w:rPr>
          <w:rFonts w:ascii="仿宋_GB2312" w:eastAsia="仿宋_GB2312" w:cs="仿宋_GB2312" w:hint="eastAsia"/>
          <w:color w:val="auto"/>
          <w:sz w:val="32"/>
          <w:szCs w:val="32"/>
          <w:lang w:eastAsia="zh-CN"/>
          <w:highlight w:val="auto"/>
        </w:rPr>
        <w:t>。</w:t>
      </w:r>
      <w:r>
        <w:rPr>
          <w:rFonts w:ascii="仿宋_GB2312" w:eastAsia="仿宋_GB2312" w:cs="仿宋_GB2312" w:hint="eastAsia"/>
          <w:color w:val="auto"/>
          <w:sz w:val="32"/>
          <w:szCs w:val="32"/>
          <w:lang w:val="en-US" w:eastAsia="zh-CN"/>
          <w:highlight w:val="auto"/>
        </w:rPr>
        <w:t>42个项目确定能完成绩效目标，4个项目有可能完成绩效目标，4个项目完全不可能完成绩效目标。</w:t>
      </w:r>
    </w:p>
    <w:p>
      <w:pPr>
        <w:pStyle w:val="21"/>
        <w:keepNext w:val="0"/>
        <w:keepLines w:val="0"/>
        <w:pageBreakBefore w:val="0"/>
        <w:widowControl w:val="0"/>
        <w:kinsoku/>
        <w:wordWrap/>
        <w:overflowPunct/>
        <w:topLinePunct w:val="0"/>
        <w:bidi w:val="0"/>
        <w:adjustRightInd/>
        <w:spacing w:line="560" w:lineRule="exact"/>
        <w:ind w:left="0" w:firstLineChars="200" w:firstLine="632"/>
        <w:rPr>
          <w:rFonts w:ascii="仿宋_GB2312" w:eastAsia="仿宋_GB2312" w:cs="仿宋_GB2312" w:hint="eastAsia"/>
          <w:b/>
          <w:bCs/>
          <w:color w:val="auto"/>
          <w:sz w:val="32"/>
          <w:szCs w:val="32"/>
          <w:lang w:val="en-US" w:eastAsia="zh-CN"/>
          <w:highlight w:val="auto"/>
        </w:rPr>
      </w:pPr>
      <w:r>
        <w:rPr>
          <w:rFonts w:ascii="仿宋_GB2312" w:cs="仿宋_GB2312" w:hint="eastAsia"/>
          <w:b/>
          <w:bCs/>
          <w:color w:val="auto"/>
          <w:sz w:val="32"/>
          <w:szCs w:val="32"/>
          <w:lang w:val="en-US" w:eastAsia="zh-CN"/>
          <w:highlight w:val="auto"/>
        </w:rPr>
        <w:t>4</w:t>
      </w:r>
      <w:r>
        <w:rPr>
          <w:rFonts w:ascii="仿宋_GB2312" w:eastAsia="仿宋_GB2312" w:cs="仿宋_GB2312" w:hint="eastAsia"/>
          <w:b/>
          <w:bCs/>
          <w:color w:val="auto"/>
          <w:sz w:val="32"/>
          <w:szCs w:val="32"/>
          <w:lang w:val="en-US" w:eastAsia="zh-CN"/>
          <w:highlight w:val="auto"/>
        </w:rPr>
        <w:t>.财政处置情况。</w:t>
      </w:r>
    </w:p>
    <w:p>
      <w:pPr>
        <w:pStyle w:val="21"/>
        <w:keepNext w:val="0"/>
        <w:keepLines w:val="0"/>
        <w:pageBreakBefore w:val="0"/>
        <w:widowControl w:val="0"/>
        <w:kinsoku/>
        <w:wordWrap/>
        <w:overflowPunct/>
        <w:topLinePunct w:val="0"/>
        <w:bidi w:val="0"/>
        <w:adjustRightInd/>
        <w:spacing w:line="560" w:lineRule="exact"/>
        <w:ind w:left="0" w:firstLineChars="200" w:firstLine="632"/>
        <w:rPr>
          <w:rFonts w:ascii="仿宋_GB2312" w:eastAsia="仿宋_GB2312" w:cs="仿宋_GB2312" w:hint="eastAsia"/>
          <w:sz w:val="32"/>
          <w:szCs w:val="32"/>
          <w:lang w:val="en-US" w:eastAsia="zh-CN"/>
        </w:rPr>
      </w:pPr>
      <w:r>
        <w:rPr>
          <w:rFonts w:ascii="仿宋_GB2312" w:eastAsia="仿宋_GB2312" w:cs="仿宋_GB2312" w:hint="eastAsia"/>
          <w:color w:val="auto"/>
          <w:sz w:val="32"/>
          <w:szCs w:val="32"/>
          <w:lang w:val="en-US" w:eastAsia="zh-CN"/>
          <w:highlight w:val="auto"/>
        </w:rPr>
        <w:t>结合部门自行监控和财政重点监控，下达处置通知12个，调整预算及绩效目标1269.11万元，取消和暂停项目实施17.44万元，实施预算调剂2.98万元。</w:t>
      </w:r>
    </w:p>
    <w:p>
      <w:pPr>
        <w:pStyle w:val="22"/>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Chars="200" w:left="632" w:right="0"/>
        <w:jc w:val="both"/>
        <w:textAlignment w:val="auto"/>
        <w:rPr>
          <w:rFonts w:ascii="楷体_GB2312" w:eastAsia="楷体_GB2312" w:cs="楷体_GB2312" w:hint="eastAsia"/>
          <w:kern w:val="2"/>
          <w:sz w:val="32"/>
          <w:szCs w:val="32"/>
          <w:lang w:val="en-US" w:eastAsia="zh-CN" w:bidi="ar-SA"/>
        </w:rPr>
      </w:pPr>
      <w:r>
        <w:rPr>
          <w:rFonts w:ascii="楷体_GB2312" w:eastAsia="楷体_GB2312" w:cs="楷体_GB2312" w:hint="eastAsia"/>
          <w:b/>
          <w:bCs/>
          <w:color w:val="000000"/>
          <w:kern w:val="2"/>
          <w:sz w:val="32"/>
          <w:szCs w:val="32"/>
          <w:lang w:val="en-US" w:eastAsia="zh-CN" w:bidi="ar-SA"/>
        </w:rPr>
        <w:t>（四）预算绩效评价。</w:t>
      </w:r>
    </w:p>
    <w:p>
      <w:pPr>
        <w:pStyle w:val="22"/>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Chars="0" w:left="0" w:right="0" w:firstLineChars="200" w:firstLine="632"/>
        <w:jc w:val="both"/>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b/>
          <w:bCs/>
          <w:kern w:val="2"/>
          <w:sz w:val="32"/>
          <w:szCs w:val="32"/>
          <w:lang w:val="en-US" w:eastAsia="zh-CN" w:bidi="ar-SA"/>
        </w:rPr>
        <w:t>1.配合开展</w:t>
      </w:r>
      <w:r>
        <w:rPr>
          <w:rFonts w:ascii="仿宋_GB2312" w:eastAsia="仿宋_GB2312" w:cs="仿宋_GB2312" w:hint="eastAsia"/>
          <w:b/>
          <w:bCs/>
          <w:color w:val="000000"/>
          <w:kern w:val="2"/>
          <w:sz w:val="32"/>
          <w:szCs w:val="32"/>
          <w:lang w:val="en-US" w:eastAsia="zh-CN" w:bidi="ar-SA"/>
        </w:rPr>
        <w:t>省级重点绩效评价工作。</w:t>
      </w:r>
      <w:r>
        <w:rPr>
          <w:rFonts w:ascii="仿宋_GB2312" w:eastAsia="仿宋_GB2312" w:cs="仿宋_GB2312" w:hint="eastAsia"/>
          <w:color w:val="000000"/>
          <w:kern w:val="2"/>
          <w:sz w:val="32"/>
          <w:szCs w:val="32"/>
          <w:lang w:val="en-US" w:eastAsia="zh-CN" w:bidi="ar-SA"/>
        </w:rPr>
        <w:t>按照《四川省财政厅关于开展2024年财政重点绩效评价工作的通知》（川财绩〔2024〕8号）和《四川省财政厅关于收集2024年财政重点绩效评价基础资料的函》（川财绩函〔2024〕9号）要求，配合省绩效评价组开展了预算内基本建设资金、民族地区转移支付（省级财政扶持民族地区教育发展专项资金）和省级城乡建设专项资金（省级百强中心镇）3个现场选点项目评价工作，涉及8个项3849万元。</w:t>
      </w:r>
    </w:p>
    <w:p>
      <w:pPr>
        <w:keepNext w:val="0"/>
        <w:keepLines w:val="0"/>
        <w:pageBreakBefore w:val="0"/>
        <w:widowControl w:val="0"/>
        <w:kinsoku/>
        <w:wordWrap/>
        <w:overflowPunct/>
        <w:topLinePunct w:val="0"/>
        <w:autoSpaceDE/>
        <w:autoSpaceDN/>
        <w:bidi w:val="0"/>
        <w:adjustRightInd/>
        <w:spacing w:line="560" w:lineRule="exact"/>
        <w:ind w:firstLineChars="200" w:firstLine="632"/>
        <w:jc w:val="both"/>
        <w:textAlignment w:val="auto"/>
        <w:rPr>
          <w:rFonts w:ascii="仿宋_GB2312" w:eastAsia="仿宋_GB2312" w:cs="仿宋_GB2312" w:hint="eastAsia"/>
          <w:color w:val="000000"/>
          <w:kern w:val="2"/>
          <w:sz w:val="32"/>
          <w:szCs w:val="32"/>
          <w:lang w:val="en-US" w:eastAsia="zh-CN" w:bidi="ar-SA"/>
        </w:rPr>
      </w:pPr>
      <w:r>
        <w:rPr>
          <w:rFonts w:ascii="仿宋_GB2312" w:eastAsia="仿宋_GB2312" w:cs="仿宋_GB2312" w:hint="eastAsia"/>
          <w:b/>
          <w:bCs/>
          <w:kern w:val="2"/>
          <w:sz w:val="32"/>
          <w:szCs w:val="32"/>
          <w:lang w:val="en-US" w:eastAsia="zh-CN" w:bidi="ar-SA"/>
        </w:rPr>
        <w:t>2.配合开展州级重</w:t>
      </w:r>
      <w:r>
        <w:rPr>
          <w:rFonts w:ascii="仿宋_GB2312" w:eastAsia="仿宋_GB2312" w:cs="仿宋_GB2312" w:hint="eastAsia"/>
          <w:b/>
          <w:bCs/>
          <w:color w:val="000000"/>
          <w:kern w:val="2"/>
          <w:sz w:val="32"/>
          <w:szCs w:val="32"/>
          <w:lang w:val="en-US" w:eastAsia="zh-CN" w:bidi="ar-SA"/>
        </w:rPr>
        <w:t>点绩效评价工作</w:t>
      </w:r>
      <w:r>
        <w:rPr>
          <w:rFonts w:ascii="仿宋_GB2312" w:eastAsia="仿宋_GB2312" w:cs="仿宋_GB2312" w:hint="eastAsia"/>
          <w:color w:val="000000"/>
          <w:kern w:val="2"/>
          <w:sz w:val="32"/>
          <w:szCs w:val="32"/>
          <w:lang w:val="en-US" w:eastAsia="zh-CN" w:bidi="ar-SA"/>
        </w:rPr>
        <w:t>。按照《阿坝州财政局关于开展2024年财政重点绩效评价工作的通知》（</w:t>
      </w:r>
      <w:r>
        <w:rPr>
          <w:rFonts w:ascii="仿宋_GB2312" w:eastAsia="仿宋_GB2312" w:cs="仿宋_GB2312" w:hint="eastAsia"/>
          <w:kern w:val="2"/>
          <w:sz w:val="32"/>
          <w:szCs w:val="32"/>
          <w:u w:val="none"/>
          <w:lang w:bidi="ar-SA"/>
        </w:rPr>
        <w:t>阿州财监绩〔202</w:t>
      </w:r>
      <w:r>
        <w:rPr>
          <w:rFonts w:ascii="仿宋_GB2312" w:eastAsia="仿宋_GB2312" w:cs="仿宋_GB2312" w:hint="eastAsia"/>
          <w:kern w:val="2"/>
          <w:sz w:val="32"/>
          <w:szCs w:val="32"/>
          <w:u w:val="none"/>
          <w:lang w:val="en-US" w:eastAsia="zh-CN" w:bidi="ar-SA"/>
        </w:rPr>
        <w:t>4</w:t>
      </w:r>
      <w:r>
        <w:rPr>
          <w:rFonts w:ascii="仿宋_GB2312" w:eastAsia="仿宋_GB2312" w:cs="仿宋_GB2312" w:hint="eastAsia"/>
          <w:kern w:val="2"/>
          <w:sz w:val="32"/>
          <w:szCs w:val="32"/>
          <w:u w:val="none"/>
          <w:lang w:bidi="ar-SA"/>
        </w:rPr>
        <w:t>〕</w:t>
      </w:r>
      <w:r>
        <w:rPr>
          <w:rFonts w:ascii="仿宋_GB2312" w:eastAsia="仿宋_GB2312" w:cs="仿宋_GB2312" w:hint="eastAsia"/>
          <w:kern w:val="2"/>
          <w:sz w:val="32"/>
          <w:szCs w:val="32"/>
          <w:u w:val="none"/>
          <w:lang w:val="en-US" w:eastAsia="zh-CN" w:bidi="ar-SA"/>
        </w:rPr>
        <w:t>24</w:t>
      </w:r>
      <w:r>
        <w:rPr>
          <w:rFonts w:ascii="仿宋_GB2312" w:eastAsia="仿宋_GB2312" w:cs="仿宋_GB2312" w:hint="eastAsia"/>
          <w:kern w:val="2"/>
          <w:sz w:val="32"/>
          <w:szCs w:val="32"/>
          <w:u w:val="none"/>
          <w:lang w:bidi="ar-SA"/>
        </w:rPr>
        <w:t>号</w:t>
      </w:r>
      <w:r>
        <w:rPr>
          <w:rFonts w:ascii="仿宋_GB2312" w:eastAsia="仿宋_GB2312" w:cs="仿宋_GB2312" w:hint="eastAsia"/>
          <w:color w:val="000000"/>
          <w:kern w:val="2"/>
          <w:sz w:val="32"/>
          <w:szCs w:val="32"/>
          <w:lang w:val="en-US" w:eastAsia="zh-CN" w:bidi="ar-SA"/>
        </w:rPr>
        <w:t>）要求，配合州绩效评价组开展了困难群众救助补助资金、优抚对象抚恤和生活补助、衔接资金等17个财政政策绩效评价，涉及资金18，639.556万元；体育彩票公益金地方分成资金、民族地区开发、农村客运补贴和城市交通发展奖励资金等10个项目支出绩效评价，涉及资金1737.76万元。</w:t>
      </w:r>
    </w:p>
    <w:p>
      <w:pPr>
        <w:keepNext w:val="0"/>
        <w:keepLines w:val="0"/>
        <w:pageBreakBefore w:val="0"/>
        <w:widowControl w:val="0"/>
        <w:kinsoku/>
        <w:wordWrap/>
        <w:overflowPunct/>
        <w:topLinePunct w:val="0"/>
        <w:autoSpaceDE/>
        <w:autoSpaceDN/>
        <w:bidi w:val="0"/>
        <w:adjustRightInd/>
        <w:spacing w:line="560" w:lineRule="exact"/>
        <w:ind w:firstLineChars="200" w:firstLine="632"/>
        <w:jc w:val="both"/>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b/>
          <w:bCs/>
          <w:kern w:val="2"/>
          <w:sz w:val="32"/>
          <w:szCs w:val="32"/>
          <w:lang w:val="en-US" w:eastAsia="zh-CN" w:bidi="ar-SA"/>
        </w:rPr>
        <w:t>3.组织预算单位开展绩效自评工作。</w:t>
      </w:r>
      <w:r>
        <w:rPr>
          <w:rFonts w:ascii="仿宋_GB2312" w:eastAsia="仿宋_GB2312" w:cs="仿宋_GB2312" w:hint="eastAsia"/>
          <w:kern w:val="2"/>
          <w:sz w:val="32"/>
          <w:szCs w:val="32"/>
          <w:lang w:val="en-US" w:eastAsia="zh-CN" w:bidi="ar-SA"/>
        </w:rPr>
        <w:t>根据</w:t>
      </w:r>
      <w:r>
        <w:rPr>
          <w:rFonts w:ascii="仿宋_GB2312" w:eastAsia="仿宋_GB2312" w:cs="仿宋_GB2312" w:hint="eastAsia"/>
          <w:color w:val="000000"/>
          <w:sz w:val="32"/>
          <w:szCs w:val="32"/>
          <w:lang w:eastAsia="zh-CN"/>
        </w:rPr>
        <w:t>《阿坝州财政局关于</w:t>
      </w:r>
      <w:r>
        <w:rPr>
          <w:rFonts w:ascii="仿宋_GB2312" w:eastAsia="仿宋_GB2312" w:cs="仿宋_GB2312" w:hint="eastAsia"/>
          <w:color w:val="000000"/>
          <w:sz w:val="32"/>
          <w:szCs w:val="32"/>
        </w:rPr>
        <w:t>开展2024年</w:t>
      </w:r>
      <w:r>
        <w:rPr>
          <w:rFonts w:ascii="仿宋_GB2312" w:eastAsia="仿宋_GB2312" w:cs="仿宋_GB2312" w:hint="eastAsia"/>
          <w:color w:val="000000"/>
          <w:sz w:val="32"/>
          <w:szCs w:val="32"/>
          <w:lang w:eastAsia="zh-CN"/>
        </w:rPr>
        <w:t>州</w:t>
      </w:r>
      <w:r>
        <w:rPr>
          <w:rFonts w:ascii="仿宋_GB2312" w:eastAsia="仿宋_GB2312" w:cs="仿宋_GB2312" w:hint="eastAsia"/>
          <w:color w:val="000000"/>
          <w:sz w:val="32"/>
          <w:szCs w:val="32"/>
        </w:rPr>
        <w:t>级部门绩效自评工作的通知》</w:t>
      </w:r>
      <w:r>
        <w:rPr>
          <w:rFonts w:ascii="仿宋_GB2312" w:eastAsia="仿宋_GB2312" w:cs="仿宋_GB2312" w:hint="eastAsia"/>
          <w:color w:val="000000"/>
          <w:sz w:val="32"/>
          <w:szCs w:val="32"/>
          <w:lang w:eastAsia="zh-CN"/>
        </w:rPr>
        <w:t>（</w:t>
      </w:r>
      <w:r>
        <w:rPr>
          <w:rFonts w:ascii="仿宋_GB2312" w:eastAsia="仿宋_GB2312" w:cs="仿宋_GB2312" w:hint="eastAsia"/>
          <w:color w:val="000000"/>
          <w:sz w:val="32"/>
          <w:szCs w:val="32"/>
        </w:rPr>
        <w:t>阿州财监绩〔2024〕</w:t>
      </w:r>
      <w:r>
        <w:rPr>
          <w:rFonts w:ascii="仿宋_GB2312" w:eastAsia="仿宋_GB2312" w:cs="仿宋_GB2312" w:hint="eastAsia"/>
          <w:color w:val="000000"/>
          <w:sz w:val="32"/>
          <w:szCs w:val="32"/>
          <w:lang w:val="en-US" w:eastAsia="zh-CN"/>
        </w:rPr>
        <w:t>19</w:t>
      </w:r>
      <w:r>
        <w:rPr>
          <w:rFonts w:ascii="仿宋_GB2312" w:eastAsia="仿宋_GB2312" w:cs="仿宋_GB2312" w:hint="eastAsia"/>
          <w:color w:val="000000"/>
          <w:sz w:val="32"/>
          <w:szCs w:val="32"/>
        </w:rPr>
        <w:t>号）要求</w:t>
      </w:r>
      <w:r>
        <w:rPr>
          <w:rFonts w:ascii="仿宋_GB2312" w:eastAsia="仿宋_GB2312" w:cs="仿宋_GB2312" w:hint="eastAsia"/>
          <w:color w:val="000000"/>
          <w:sz w:val="32"/>
          <w:szCs w:val="32"/>
          <w:lang w:eastAsia="zh-CN"/>
        </w:rPr>
        <w:t>，结合我县实际，印发了《金川县财政局关于2024年县级部门绩效自评工作的通知》（</w:t>
      </w:r>
      <w:r>
        <w:rPr>
          <w:rFonts w:ascii="仿宋_GB2312" w:eastAsia="仿宋_GB2312" w:cs="仿宋_GB2312" w:hint="eastAsia"/>
          <w:sz w:val="32"/>
          <w:lang w:val="en-US" w:eastAsia="zh-CN"/>
        </w:rPr>
        <w:t>金财监绩</w:t>
      </w:r>
      <w:r>
        <w:rPr>
          <w:rFonts w:ascii="仿宋_GB2312" w:eastAsia="仿宋_GB2312" w:cs="仿宋_GB2312" w:hint="eastAsia"/>
          <w:sz w:val="32"/>
          <w:szCs w:val="32"/>
          <w:lang w:bidi="ar-SA"/>
        </w:rPr>
        <w:t>〔202</w:t>
      </w:r>
      <w:r>
        <w:rPr>
          <w:rFonts w:ascii="仿宋_GB2312" w:eastAsia="仿宋_GB2312" w:cs="仿宋_GB2312" w:hint="eastAsia"/>
          <w:sz w:val="32"/>
          <w:szCs w:val="32"/>
          <w:lang w:val="en-US" w:eastAsia="zh-CN" w:bidi="ar-SA"/>
        </w:rPr>
        <w:t>4</w:t>
      </w: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35</w:t>
      </w:r>
      <w:r>
        <w:rPr>
          <w:rFonts w:ascii="仿宋_GB2312" w:eastAsia="仿宋_GB2312" w:cs="仿宋_GB2312" w:hint="eastAsia"/>
          <w:sz w:val="32"/>
          <w:szCs w:val="32"/>
          <w:lang w:bidi="ar-SA"/>
        </w:rPr>
        <w:t>号</w:t>
      </w:r>
      <w:r>
        <w:rPr>
          <w:rFonts w:ascii="仿宋_GB2312" w:eastAsia="仿宋_GB2312" w:cs="仿宋_GB2312" w:hint="eastAsia"/>
          <w:color w:val="000000"/>
          <w:sz w:val="32"/>
          <w:szCs w:val="32"/>
          <w:lang w:eastAsia="zh-CN"/>
        </w:rPr>
        <w:t>），明确了</w:t>
      </w:r>
      <w:r>
        <w:rPr>
          <w:rFonts w:ascii="仿宋_GB2312" w:eastAsia="仿宋_GB2312" w:cs="仿宋_GB2312" w:hint="eastAsia"/>
          <w:color w:val="000000"/>
          <w:sz w:val="32"/>
          <w:szCs w:val="32"/>
        </w:rPr>
        <w:t>自评范围</w:t>
      </w:r>
      <w:r>
        <w:rPr>
          <w:rFonts w:ascii="仿宋_GB2312" w:eastAsia="仿宋_GB2312" w:cs="仿宋_GB2312" w:hint="eastAsia"/>
          <w:color w:val="000000"/>
          <w:sz w:val="32"/>
          <w:szCs w:val="32"/>
          <w:lang w:eastAsia="zh-CN"/>
        </w:rPr>
        <w:t>、程序、工作要求。并对</w:t>
      </w:r>
      <w:r>
        <w:rPr>
          <w:rFonts w:ascii="仿宋_GB2312" w:eastAsia="仿宋_GB2312" w:cs="仿宋_GB2312" w:hint="eastAsia"/>
          <w:color w:val="000000"/>
          <w:sz w:val="32"/>
          <w:szCs w:val="32"/>
        </w:rPr>
        <w:t>部门预算、专项预算项目绩效评价指标体系和自评报告范本进行了调整完善</w:t>
      </w:r>
      <w:r>
        <w:rPr>
          <w:rFonts w:ascii="仿宋_GB2312" w:eastAsia="仿宋_GB2312" w:cs="仿宋_GB2312" w:hint="eastAsia"/>
          <w:color w:val="000000"/>
          <w:sz w:val="32"/>
          <w:szCs w:val="32"/>
          <w:lang w:eastAsia="zh-CN"/>
        </w:rPr>
        <w:t>。各预算单位首次将自评报告及评价体系上传至“预算管理一体化系统，完成</w:t>
      </w:r>
      <w:r>
        <w:rPr>
          <w:rFonts w:ascii="仿宋_GB2312" w:eastAsia="仿宋_GB2312" w:cs="仿宋_GB2312" w:hint="eastAsia"/>
          <w:color w:val="000000"/>
          <w:sz w:val="32"/>
          <w:szCs w:val="32"/>
          <w:lang w:val="en-US" w:eastAsia="zh-CN"/>
        </w:rPr>
        <w:t>部门整体自评86个，专项预算项目自评560个，政府基金预算项目自评14个，社保基金预算自评5个。</w:t>
      </w:r>
    </w:p>
    <w:p>
      <w:pPr>
        <w:keepNext w:val="0"/>
        <w:keepLines w:val="0"/>
        <w:pageBreakBefore w:val="0"/>
        <w:widowControl w:val="0"/>
        <w:kinsoku/>
        <w:wordWrap/>
        <w:overflowPunct/>
        <w:topLinePunct w:val="0"/>
        <w:autoSpaceDE/>
        <w:autoSpaceDN/>
        <w:bidi w:val="0"/>
        <w:adjustRightInd/>
        <w:spacing w:line="560" w:lineRule="exact"/>
        <w:ind w:firstLineChars="200" w:firstLine="632"/>
        <w:jc w:val="both"/>
        <w:textAlignment w:val="auto"/>
        <w:rPr>
          <w:rFonts w:ascii="仿宋_GB2312" w:eastAsia="仿宋_GB2312" w:cs="仿宋_GB2312" w:hint="eastAsia"/>
          <w:kern w:val="2"/>
          <w:sz w:val="32"/>
          <w:szCs w:val="32"/>
          <w:lang w:val="en-US" w:eastAsia="zh-CN" w:bidi="ar-SA"/>
        </w:rPr>
      </w:pPr>
      <w:r>
        <w:rPr>
          <w:rFonts w:ascii="仿宋_GB2312" w:eastAsia="仿宋_GB2312" w:cs="仿宋_GB2312" w:hint="eastAsia"/>
          <w:b/>
          <w:bCs/>
          <w:kern w:val="2"/>
          <w:sz w:val="32"/>
          <w:szCs w:val="32"/>
          <w:lang w:val="en-US" w:eastAsia="zh-CN" w:bidi="ar-SA"/>
        </w:rPr>
        <w:t>4.组织开展县级</w:t>
      </w:r>
      <w:r>
        <w:rPr>
          <w:rFonts w:ascii="仿宋_GB2312" w:cs="仿宋_GB2312" w:hint="eastAsia"/>
          <w:b/>
          <w:bCs/>
          <w:kern w:val="2"/>
          <w:sz w:val="32"/>
          <w:szCs w:val="32"/>
          <w:lang w:val="en-US" w:eastAsia="zh-CN" w:bidi="ar-SA"/>
        </w:rPr>
        <w:t>重点</w:t>
      </w:r>
      <w:r>
        <w:rPr>
          <w:rFonts w:ascii="仿宋_GB2312" w:eastAsia="仿宋_GB2312" w:cs="仿宋_GB2312" w:hint="eastAsia"/>
          <w:b/>
          <w:bCs/>
          <w:kern w:val="2"/>
          <w:sz w:val="32"/>
          <w:szCs w:val="32"/>
          <w:lang w:val="en-US" w:eastAsia="zh-CN" w:bidi="ar-SA"/>
        </w:rPr>
        <w:t>绩效评价工作。一是</w:t>
      </w:r>
      <w:r>
        <w:rPr>
          <w:rFonts w:ascii="仿宋_GB2312" w:eastAsia="仿宋_GB2312" w:cs="仿宋_GB2312" w:hint="eastAsia"/>
          <w:kern w:val="2"/>
          <w:sz w:val="32"/>
          <w:szCs w:val="32"/>
          <w:lang w:val="en-US" w:eastAsia="zh-CN" w:bidi="ar-SA"/>
        </w:rPr>
        <w:t>结合省州财政抽评项目，联系工作实际，印发了《金川县财政局关于开展</w:t>
      </w:r>
      <w:r>
        <w:rPr>
          <w:rFonts w:ascii="仿宋_GB2312" w:eastAsia="仿宋_GB2312" w:cs="仿宋_GB2312" w:hint="eastAsia"/>
          <w:snapToGrid/>
          <w:spacing w:val="0"/>
          <w:w w:val="100"/>
          <w:kern w:val="2"/>
          <w:position w:val="0"/>
          <w:sz w:val="32"/>
          <w:szCs w:val="32"/>
          <w:u w:val="none"/>
          <w:vertAlign w:val="baseline"/>
          <w:lang w:val="en-US" w:eastAsia="zh-CN" w:bidi="ar-SA"/>
        </w:rPr>
        <w:t>2024</w:t>
      </w:r>
      <w:r>
        <w:rPr>
          <w:rFonts w:ascii="仿宋_GB2312" w:eastAsia="仿宋_GB2312" w:cs="仿宋_GB2312" w:hint="eastAsia"/>
          <w:kern w:val="2"/>
          <w:sz w:val="32"/>
          <w:szCs w:val="32"/>
          <w:lang w:val="en-US" w:eastAsia="zh-CN" w:bidi="ar-SA"/>
        </w:rPr>
        <w:t>年财政重点绩效评价工作的通知》（金财监绩〔</w:t>
      </w:r>
      <w:r>
        <w:rPr>
          <w:rFonts w:ascii="仿宋_GB2312" w:eastAsia="仿宋_GB2312" w:cs="仿宋_GB2312" w:hint="eastAsia"/>
          <w:snapToGrid/>
          <w:spacing w:val="0"/>
          <w:w w:val="100"/>
          <w:kern w:val="2"/>
          <w:position w:val="0"/>
          <w:sz w:val="32"/>
          <w:szCs w:val="32"/>
          <w:u w:val="none"/>
          <w:vertAlign w:val="baseline"/>
          <w:lang w:val="en-US" w:eastAsia="zh-CN" w:bidi="ar-SA"/>
        </w:rPr>
        <w:t>2024</w:t>
      </w:r>
      <w:r>
        <w:rPr>
          <w:rFonts w:ascii="仿宋_GB2312" w:eastAsia="仿宋_GB2312" w:cs="仿宋_GB2312" w:hint="eastAsia"/>
          <w:kern w:val="2"/>
          <w:sz w:val="32"/>
          <w:szCs w:val="32"/>
          <w:lang w:val="en-US" w:eastAsia="zh-CN" w:bidi="ar-SA"/>
        </w:rPr>
        <w:t>〕</w:t>
      </w:r>
      <w:r>
        <w:rPr>
          <w:rFonts w:ascii="仿宋_GB2312" w:eastAsia="仿宋_GB2312" w:cs="仿宋_GB2312" w:hint="eastAsia"/>
          <w:snapToGrid/>
          <w:spacing w:val="0"/>
          <w:w w:val="100"/>
          <w:kern w:val="2"/>
          <w:position w:val="0"/>
          <w:sz w:val="32"/>
          <w:szCs w:val="32"/>
          <w:u w:val="none"/>
          <w:vertAlign w:val="baseline"/>
          <w:lang w:val="en-US" w:eastAsia="zh-CN" w:bidi="ar-SA"/>
        </w:rPr>
        <w:t>39</w:t>
      </w:r>
      <w:r>
        <w:rPr>
          <w:rFonts w:ascii="仿宋_GB2312" w:eastAsia="仿宋_GB2312" w:cs="仿宋_GB2312" w:hint="eastAsia"/>
          <w:kern w:val="2"/>
          <w:sz w:val="32"/>
          <w:szCs w:val="32"/>
          <w:lang w:val="en-US" w:eastAsia="zh-CN" w:bidi="ar-SA"/>
        </w:rPr>
        <w:t>号），明确了绩效评价的范围、对象、方式、步骤和工作要求。</w:t>
      </w:r>
      <w:r>
        <w:rPr>
          <w:rFonts w:ascii="仿宋_GB2312" w:eastAsia="仿宋_GB2312" w:cs="仿宋_GB2312" w:hint="eastAsia"/>
          <w:b/>
          <w:bCs/>
          <w:kern w:val="2"/>
          <w:sz w:val="32"/>
          <w:szCs w:val="32"/>
          <w:lang w:val="en-US" w:eastAsia="zh-CN" w:bidi="ar-SA"/>
        </w:rPr>
        <w:t>二是</w:t>
      </w:r>
      <w:r>
        <w:rPr>
          <w:rFonts w:ascii="仿宋_GB2312" w:eastAsia="仿宋_GB2312" w:cs="仿宋_GB2312" w:hint="eastAsia"/>
          <w:u w:val="none"/>
          <w:lang w:eastAsia="zh-CN"/>
        </w:rPr>
        <w:t>选取了</w:t>
      </w:r>
      <w:r>
        <w:rPr>
          <w:rFonts w:ascii="仿宋_GB2312" w:eastAsia="仿宋_GB2312" w:cs="仿宋_GB2312" w:hint="eastAsia"/>
          <w:u w:val="none"/>
          <w:lang w:val="en-US" w:eastAsia="zh-CN"/>
        </w:rPr>
        <w:t>金川县烈士陵园维修改造项目、中央支持地方公共文化服务体系建设补助资金、2023年提前批新增一般债券资金、大渡河右岸金川县沙耳段堤防工程、医疗服务能力提升</w:t>
      </w:r>
      <w:r>
        <w:rPr>
          <w:rFonts w:ascii="仿宋_GB2312" w:eastAsia="仿宋_GB2312" w:cs="仿宋_GB2312" w:hint="eastAsia"/>
          <w:u w:val="none"/>
          <w:lang w:eastAsia="zh-CN"/>
        </w:rPr>
        <w:t>等</w:t>
      </w:r>
      <w:r>
        <w:rPr>
          <w:rFonts w:ascii="仿宋_GB2312" w:eastAsia="仿宋_GB2312" w:cs="仿宋_GB2312" w:hint="eastAsia"/>
          <w:u w:val="none"/>
          <w:lang w:val="en-US" w:eastAsia="zh-CN"/>
        </w:rPr>
        <w:t>76</w:t>
      </w:r>
      <w:r>
        <w:rPr>
          <w:rFonts w:ascii="仿宋_GB2312" w:eastAsia="仿宋_GB2312" w:cs="仿宋_GB2312" w:hint="eastAsia"/>
          <w:u w:val="none"/>
          <w:lang w:eastAsia="zh-CN"/>
        </w:rPr>
        <w:t>个项目</w:t>
      </w:r>
      <w:r>
        <w:rPr>
          <w:rFonts w:ascii="仿宋_GB2312" w:eastAsia="仿宋_GB2312" w:cs="仿宋_GB2312" w:hint="eastAsia"/>
          <w:color w:val="000000"/>
          <w:sz w:val="32"/>
          <w:szCs w:val="32"/>
          <w:lang w:val="en-US" w:eastAsia="zh-CN"/>
        </w:rPr>
        <w:t>22，462.07万元</w:t>
      </w:r>
      <w:r>
        <w:rPr>
          <w:rFonts w:ascii="仿宋_GB2312" w:eastAsia="仿宋_GB2312" w:cs="仿宋_GB2312" w:hint="eastAsia"/>
          <w:u w:val="none"/>
          <w:lang w:eastAsia="zh-CN"/>
        </w:rPr>
        <w:t>，开展项目绩效评价。</w:t>
      </w:r>
      <w:r>
        <w:rPr>
          <w:rFonts w:ascii="仿宋_GB2312" w:eastAsia="仿宋_GB2312" w:cs="仿宋_GB2312" w:hint="eastAsia"/>
          <w:b/>
          <w:bCs/>
          <w:u w:val="none"/>
          <w:lang w:eastAsia="zh-CN"/>
        </w:rPr>
        <w:t>三是</w:t>
      </w:r>
      <w:r>
        <w:rPr>
          <w:rFonts w:ascii="仿宋_GB2312" w:eastAsia="仿宋_GB2312" w:cs="仿宋_GB2312" w:hint="eastAsia"/>
          <w:u w:val="none"/>
          <w:lang w:eastAsia="zh-CN"/>
        </w:rPr>
        <w:t>选取了支持学前教育发展资金、2022年自然灾害救灾资金（冬春临时生活困难补助）、2023年中央财政农业资源及生态保护补助资金、2023年在中央财政林业生态保护恢复资金、重大公共卫生等</w:t>
      </w:r>
      <w:r>
        <w:rPr>
          <w:rFonts w:ascii="仿宋_GB2312" w:eastAsia="仿宋_GB2312" w:cs="仿宋_GB2312" w:hint="eastAsia"/>
          <w:u w:val="none"/>
          <w:lang w:val="en-US" w:eastAsia="zh-CN"/>
        </w:rPr>
        <w:t>24</w:t>
      </w:r>
      <w:r>
        <w:rPr>
          <w:rFonts w:ascii="仿宋_GB2312" w:cs="仿宋_GB2312" w:hint="eastAsia"/>
          <w:u w:val="none"/>
          <w:lang w:eastAsia="zh-CN"/>
        </w:rPr>
        <w:t>个</w:t>
      </w:r>
      <w:r>
        <w:rPr>
          <w:rFonts w:ascii="仿宋_GB2312" w:eastAsia="仿宋_GB2312" w:cs="仿宋_GB2312" w:hint="eastAsia"/>
          <w:u w:val="none"/>
          <w:lang w:eastAsia="zh-CN"/>
        </w:rPr>
        <w:t>政策</w:t>
      </w:r>
      <w:r>
        <w:rPr>
          <w:rFonts w:ascii="仿宋_GB2312" w:eastAsia="仿宋_GB2312" w:cs="仿宋_GB2312" w:hint="eastAsia"/>
          <w:snapToGrid/>
          <w:spacing w:val="0"/>
          <w:w w:val="100"/>
          <w:kern w:val="2"/>
          <w:position w:val="0"/>
          <w:sz w:val="32"/>
          <w:szCs w:val="32"/>
          <w:u w:val="none"/>
          <w:vertAlign w:val="baseline"/>
          <w:lang w:val="en-US" w:eastAsia="zh-CN" w:bidi="ar-SA"/>
        </w:rPr>
        <w:t>9965.41</w:t>
      </w:r>
      <w:r>
        <w:rPr>
          <w:rFonts w:ascii="仿宋_GB2312" w:eastAsia="仿宋_GB2312" w:cs="仿宋_GB2312" w:hint="eastAsia"/>
          <w:color w:val="000000"/>
          <w:sz w:val="32"/>
          <w:szCs w:val="32"/>
          <w:lang w:val="en-US" w:eastAsia="zh-CN"/>
        </w:rPr>
        <w:t>万元，开展财政政策重点绩效评价。政策（项目）绩效评价包含政府性基金或社保基金项目</w:t>
      </w:r>
      <w:r>
        <w:rPr>
          <w:rFonts w:ascii="仿宋_GB2312" w:eastAsia="仿宋_GB2312" w:cs="仿宋_GB2312" w:hint="eastAsia"/>
          <w:snapToGrid/>
          <w:spacing w:val="0"/>
          <w:w w:val="100"/>
          <w:kern w:val="2"/>
          <w:position w:val="0"/>
          <w:sz w:val="32"/>
          <w:szCs w:val="32"/>
          <w:u w:val="none"/>
          <w:vertAlign w:val="baseline"/>
          <w:lang w:val="en-US" w:eastAsia="zh-CN" w:bidi="ar-SA"/>
        </w:rPr>
        <w:t>6</w:t>
      </w:r>
      <w:r>
        <w:rPr>
          <w:rFonts w:ascii="仿宋_GB2312" w:eastAsia="仿宋_GB2312" w:cs="仿宋_GB2312" w:hint="eastAsia"/>
          <w:color w:val="000000"/>
          <w:sz w:val="32"/>
          <w:szCs w:val="32"/>
          <w:lang w:val="en-US" w:eastAsia="zh-CN"/>
        </w:rPr>
        <w:t>个</w:t>
      </w:r>
      <w:r>
        <w:rPr>
          <w:rFonts w:ascii="仿宋_GB2312" w:eastAsia="仿宋_GB2312" w:cs="仿宋_GB2312" w:hint="eastAsia"/>
          <w:snapToGrid/>
          <w:spacing w:val="0"/>
          <w:w w:val="100"/>
          <w:kern w:val="2"/>
          <w:position w:val="0"/>
          <w:sz w:val="32"/>
          <w:szCs w:val="32"/>
          <w:u w:val="none"/>
          <w:vertAlign w:val="baseline"/>
          <w:lang w:val="en-US" w:eastAsia="zh-CN" w:bidi="ar-SA"/>
        </w:rPr>
        <w:t>1600.64</w:t>
      </w:r>
      <w:r>
        <w:rPr>
          <w:rFonts w:ascii="仿宋_GB2312" w:eastAsia="仿宋_GB2312" w:cs="仿宋_GB2312" w:hint="eastAsia"/>
          <w:color w:val="000000"/>
          <w:sz w:val="32"/>
          <w:szCs w:val="32"/>
          <w:lang w:val="en-US" w:eastAsia="zh-CN"/>
        </w:rPr>
        <w:t>万元、政府债券项目1个875万元，采购项目</w:t>
      </w:r>
      <w:r>
        <w:rPr>
          <w:rFonts w:ascii="仿宋_GB2312" w:eastAsia="仿宋_GB2312" w:cs="仿宋_GB2312" w:hint="eastAsia"/>
          <w:snapToGrid/>
          <w:spacing w:val="0"/>
          <w:w w:val="100"/>
          <w:kern w:val="2"/>
          <w:position w:val="0"/>
          <w:sz w:val="32"/>
          <w:szCs w:val="32"/>
          <w:u w:val="none"/>
          <w:vertAlign w:val="baseline"/>
          <w:lang w:val="en-US" w:eastAsia="zh-CN" w:bidi="ar-SA"/>
        </w:rPr>
        <w:t>9</w:t>
      </w:r>
      <w:r>
        <w:rPr>
          <w:rFonts w:ascii="仿宋_GB2312" w:eastAsia="仿宋_GB2312" w:cs="仿宋_GB2312" w:hint="eastAsia"/>
          <w:color w:val="000000"/>
          <w:sz w:val="32"/>
          <w:szCs w:val="32"/>
          <w:lang w:val="en-US" w:eastAsia="zh-CN"/>
        </w:rPr>
        <w:t>个</w:t>
      </w:r>
      <w:r>
        <w:rPr>
          <w:rFonts w:ascii="仿宋_GB2312" w:eastAsia="仿宋_GB2312" w:cs="仿宋_GB2312" w:hint="eastAsia"/>
          <w:snapToGrid/>
          <w:spacing w:val="0"/>
          <w:w w:val="100"/>
          <w:kern w:val="2"/>
          <w:position w:val="0"/>
          <w:sz w:val="32"/>
          <w:szCs w:val="32"/>
          <w:u w:val="none"/>
          <w:vertAlign w:val="baseline"/>
          <w:lang w:val="en-US" w:eastAsia="zh-CN" w:bidi="ar-SA"/>
        </w:rPr>
        <w:t>1664.83</w:t>
      </w:r>
      <w:r>
        <w:rPr>
          <w:rFonts w:ascii="仿宋_GB2312" w:eastAsia="仿宋_GB2312" w:cs="仿宋_GB2312" w:hint="eastAsia"/>
          <w:color w:val="000000"/>
          <w:sz w:val="32"/>
          <w:szCs w:val="32"/>
          <w:lang w:val="en-US" w:eastAsia="zh-CN"/>
        </w:rPr>
        <w:t>万元。</w:t>
      </w:r>
      <w:r>
        <w:rPr>
          <w:rFonts w:ascii="仿宋_GB2312" w:eastAsia="仿宋_GB2312" w:cs="仿宋_GB2312" w:hint="eastAsia"/>
          <w:b/>
          <w:bCs/>
          <w:kern w:val="2"/>
          <w:sz w:val="32"/>
          <w:szCs w:val="32"/>
          <w:lang w:val="en-US" w:eastAsia="zh-CN" w:bidi="ar-SA"/>
        </w:rPr>
        <w:t>四是</w:t>
      </w:r>
      <w:r>
        <w:rPr>
          <w:rFonts w:ascii="仿宋_GB2312" w:eastAsia="仿宋_GB2312" w:cs="仿宋_GB2312" w:hint="eastAsia"/>
          <w:kern w:val="2"/>
          <w:sz w:val="32"/>
          <w:szCs w:val="32"/>
          <w:lang w:val="en-US" w:eastAsia="zh-CN" w:bidi="ar-SA"/>
        </w:rPr>
        <w:t>抽取了</w:t>
      </w:r>
      <w:r>
        <w:rPr>
          <w:rFonts w:ascii="仿宋_GB2312" w:eastAsia="仿宋_GB2312" w:cs="仿宋_GB2312" w:hint="eastAsia"/>
          <w:u w:val="none"/>
          <w:lang w:eastAsia="zh-CN"/>
        </w:rPr>
        <w:t>县纪委、县档案馆、县委统战部、县妇联、县工商联等</w:t>
      </w:r>
      <w:r>
        <w:rPr>
          <w:rFonts w:ascii="仿宋_GB2312" w:eastAsia="仿宋_GB2312" w:cs="仿宋_GB2312" w:hint="eastAsia"/>
          <w:u w:val="none"/>
          <w:lang w:val="en-US" w:eastAsia="zh-CN"/>
        </w:rPr>
        <w:t>22</w:t>
      </w:r>
      <w:r>
        <w:rPr>
          <w:rFonts w:ascii="仿宋_GB2312" w:eastAsia="仿宋_GB2312" w:cs="仿宋_GB2312" w:hint="eastAsia"/>
          <w:u w:val="none"/>
          <w:lang w:eastAsia="zh-CN"/>
        </w:rPr>
        <w:t>个县级部门（乡镇）</w:t>
      </w:r>
      <w:r>
        <w:rPr>
          <w:rFonts w:ascii="仿宋_GB2312" w:eastAsia="仿宋_GB2312" w:cs="仿宋_GB2312" w:hint="eastAsia"/>
          <w:snapToGrid/>
          <w:spacing w:val="0"/>
          <w:w w:val="100"/>
          <w:kern w:val="2"/>
          <w:position w:val="0"/>
          <w:sz w:val="32"/>
          <w:szCs w:val="32"/>
          <w:u w:val="none"/>
          <w:vertAlign w:val="baseline"/>
          <w:lang w:val="en-US" w:eastAsia="zh-CN" w:bidi="ar-SA"/>
        </w:rPr>
        <w:t>37655.36万元</w:t>
      </w:r>
      <w:r>
        <w:rPr>
          <w:rFonts w:ascii="仿宋_GB2312" w:eastAsia="仿宋_GB2312" w:cs="仿宋_GB2312" w:hint="eastAsia"/>
          <w:u w:val="none"/>
          <w:lang w:eastAsia="zh-CN"/>
        </w:rPr>
        <w:t>，开展部门整体绩效评价，</w:t>
      </w:r>
      <w:r>
        <w:rPr>
          <w:rFonts w:ascii="仿宋_GB2312" w:eastAsia="仿宋_GB2312" w:cs="仿宋_GB2312" w:hint="eastAsia"/>
          <w:color w:val="000000"/>
          <w:sz w:val="32"/>
          <w:szCs w:val="32"/>
          <w:lang w:val="en-US" w:eastAsia="zh-CN"/>
        </w:rPr>
        <w:t>同时抽取金川县党史研究和地方志编纂中心和审计局等2个部门，开展了国有资产管理评价。</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楷体_GB2312" w:eastAsia="楷体_GB2312" w:cs="楷体_GB2312" w:hint="eastAsia"/>
          <w:b/>
          <w:bCs/>
          <w:color w:val="000000"/>
          <w:kern w:val="2"/>
          <w:sz w:val="32"/>
          <w:szCs w:val="32"/>
          <w:lang w:val="en-US" w:eastAsia="zh-CN" w:bidi="ar-SA"/>
        </w:rPr>
      </w:pPr>
      <w:r>
        <w:rPr>
          <w:rFonts w:ascii="楷体_GB2312" w:eastAsia="楷体_GB2312" w:cs="楷体_GB2312" w:hint="eastAsia"/>
          <w:b/>
          <w:bCs/>
          <w:color w:val="000000"/>
          <w:kern w:val="2"/>
          <w:sz w:val="32"/>
          <w:szCs w:val="32"/>
          <w:lang w:val="en-US" w:eastAsia="zh-CN" w:bidi="ar-SA"/>
        </w:rPr>
        <w:t>（五）绩效结果应用。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仿宋_GB2312" w:eastAsia="仿宋_GB2312" w:cs="仿宋_GB2312" w:hint="eastAsia"/>
          <w:i w:val="0"/>
          <w:iCs w:val="0"/>
          <w:caps w:val="0"/>
          <w:smallCaps w:val="0"/>
          <w:color w:val="000000"/>
          <w:spacing w:val="0"/>
          <w:sz w:val="32"/>
          <w:szCs w:val="32"/>
          <w:shd w:val="clear" w:color="auto" w:fill="FFFFFF"/>
          <w:lang w:eastAsia="zh-CN"/>
        </w:rPr>
      </w:pPr>
      <w:r>
        <w:rPr>
          <w:rFonts w:ascii="仿宋_GB2312" w:eastAsia="仿宋_GB2312" w:cs="仿宋_GB2312" w:hint="eastAsia"/>
          <w:b/>
          <w:bCs/>
          <w:sz w:val="32"/>
          <w:szCs w:val="32"/>
          <w:lang w:val="en-US" w:eastAsia="zh-CN" w:bidi="ar-SA"/>
        </w:rPr>
        <w:t>1.</w:t>
      </w:r>
      <w:r>
        <w:rPr>
          <w:rFonts w:ascii="仿宋_GB2312" w:eastAsia="仿宋_GB2312" w:cs="仿宋_GB2312" w:hint="eastAsia"/>
          <w:b/>
          <w:bCs/>
          <w:sz w:val="32"/>
          <w:szCs w:val="32"/>
          <w:lang w:eastAsia="zh-CN" w:bidi="ar-SA"/>
        </w:rPr>
        <w:t>确保问题整改到位。</w:t>
      </w:r>
      <w:r>
        <w:rPr>
          <w:rFonts w:ascii="仿宋_GB2312" w:eastAsia="仿宋_GB2312" w:cs="仿宋_GB2312" w:hint="eastAsia"/>
          <w:b w:val="0"/>
          <w:bCs w:val="0"/>
          <w:sz w:val="32"/>
          <w:szCs w:val="32"/>
          <w:lang w:eastAsia="zh-CN" w:bidi="ar-SA"/>
        </w:rPr>
        <w:t>督促预算单位完成了</w:t>
      </w:r>
      <w:r>
        <w:rPr>
          <w:rFonts w:ascii="仿宋_GB2312" w:eastAsia="仿宋_GB2312" w:cs="仿宋_GB2312" w:hint="eastAsia"/>
          <w:b w:val="0"/>
          <w:bCs w:val="0"/>
          <w:sz w:val="32"/>
          <w:szCs w:val="32"/>
          <w:lang w:val="en-US" w:eastAsia="zh-CN" w:bidi="ar-SA"/>
        </w:rPr>
        <w:t>2023年省级和州级财政重点绩效评价反馈问题整改工作。督促预算单位完成</w:t>
      </w:r>
      <w:r>
        <w:rPr>
          <w:rFonts w:ascii="仿宋_GB2312" w:eastAsia="仿宋_GB2312" w:cs="仿宋_GB2312" w:hint="eastAsia"/>
          <w:i w:val="0"/>
          <w:iCs w:val="0"/>
          <w:caps w:val="0"/>
          <w:smallCaps w:val="0"/>
          <w:color w:val="000000"/>
          <w:spacing w:val="0"/>
          <w:sz w:val="32"/>
          <w:szCs w:val="32"/>
          <w:shd w:val="clear" w:color="auto" w:fill="FFFFFF"/>
        </w:rPr>
        <w:t>预算绩效评估、绩效目标管理、绩效运行监控和</w:t>
      </w:r>
      <w:r>
        <w:rPr>
          <w:rFonts w:ascii="仿宋_GB2312" w:eastAsia="仿宋_GB2312" w:cs="仿宋_GB2312" w:hint="eastAsia"/>
          <w:i w:val="0"/>
          <w:iCs w:val="0"/>
          <w:caps w:val="0"/>
          <w:smallCaps w:val="0"/>
          <w:color w:val="000000"/>
          <w:spacing w:val="0"/>
          <w:sz w:val="32"/>
          <w:szCs w:val="32"/>
          <w:shd w:val="clear" w:color="auto" w:fill="FFFFFF"/>
          <w:lang w:val="en-US" w:eastAsia="zh-CN"/>
        </w:rPr>
        <w:t>2023年县级重点绩效</w:t>
      </w:r>
      <w:r>
        <w:rPr>
          <w:rFonts w:ascii="仿宋_GB2312" w:eastAsia="仿宋_GB2312" w:cs="仿宋_GB2312" w:hint="eastAsia"/>
          <w:i w:val="0"/>
          <w:iCs w:val="0"/>
          <w:caps w:val="0"/>
          <w:smallCaps w:val="0"/>
          <w:color w:val="000000"/>
          <w:spacing w:val="0"/>
          <w:sz w:val="32"/>
          <w:szCs w:val="32"/>
          <w:shd w:val="clear" w:color="auto" w:fill="FFFFFF"/>
          <w:lang w:eastAsia="zh-CN"/>
        </w:rPr>
        <w:t>评价等各环节发现的问题整改</w:t>
      </w:r>
      <w:r>
        <w:rPr>
          <w:rFonts w:ascii="仿宋_GB2312" w:cs="仿宋_GB2312" w:hint="eastAsia"/>
          <w:i w:val="0"/>
          <w:iCs w:val="0"/>
          <w:caps w:val="0"/>
          <w:smallCaps w:val="0"/>
          <w:color w:val="000000"/>
          <w:spacing w:val="0"/>
          <w:sz w:val="32"/>
          <w:szCs w:val="32"/>
          <w:shd w:val="clear" w:color="auto" w:fill="FFFFFF"/>
          <w:lang w:eastAsia="zh-CN"/>
        </w:rPr>
        <w:t>工作</w:t>
      </w:r>
      <w:r>
        <w:rPr>
          <w:rFonts w:ascii="仿宋_GB2312" w:eastAsia="仿宋_GB2312" w:cs="仿宋_GB2312" w:hint="eastAsia"/>
          <w:i w:val="0"/>
          <w:iCs w:val="0"/>
          <w:caps w:val="0"/>
          <w:smallCaps w:val="0"/>
          <w:color w:val="000000"/>
          <w:spacing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仿宋_GB2312" w:eastAsia="仿宋_GB2312" w:cs="仿宋_GB2312" w:hint="eastAsia"/>
          <w:i w:val="0"/>
          <w:iCs w:val="0"/>
          <w:caps w:val="0"/>
          <w:smallCaps w:val="0"/>
          <w:color w:val="000000"/>
          <w:spacing w:val="0"/>
          <w:sz w:val="32"/>
          <w:szCs w:val="32"/>
          <w:shd w:val="clear" w:color="auto" w:fill="FFFFFF"/>
        </w:rPr>
      </w:pPr>
      <w:r>
        <w:rPr>
          <w:rFonts w:ascii="仿宋_GB2312" w:eastAsia="仿宋_GB2312" w:cs="仿宋_GB2312" w:hint="eastAsia"/>
          <w:b/>
          <w:bCs/>
          <w:sz w:val="32"/>
          <w:szCs w:val="32"/>
          <w:lang w:val="en-US" w:eastAsia="zh-CN" w:bidi="ar-SA"/>
        </w:rPr>
        <w:t>2.严格执行通报考核。</w:t>
      </w:r>
      <w:r>
        <w:rPr>
          <w:rFonts w:ascii="仿宋_GB2312" w:eastAsia="仿宋_GB2312" w:cs="仿宋_GB2312" w:hint="eastAsia"/>
          <w:i w:val="0"/>
          <w:iCs w:val="0"/>
          <w:caps w:val="0"/>
          <w:smallCaps w:val="0"/>
          <w:color w:val="000000"/>
          <w:spacing w:val="0"/>
          <w:sz w:val="32"/>
          <w:szCs w:val="32"/>
          <w:shd w:val="clear" w:color="auto" w:fill="FFFFFF"/>
        </w:rPr>
        <w:t>预算绩效综合结果纳入县委、县政府对县级主管部门（预算单位）绩效考核体系。</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bidi="ar-SA"/>
        </w:rPr>
        <w:t>3.认真落实公开公示。</w:t>
      </w:r>
      <w:r>
        <w:rPr>
          <w:rFonts w:ascii="仿宋_GB2312" w:eastAsia="仿宋_GB2312" w:cs="仿宋_GB2312" w:hint="eastAsia"/>
          <w:i w:val="0"/>
          <w:iCs w:val="0"/>
          <w:caps w:val="0"/>
          <w:smallCaps w:val="0"/>
          <w:color w:val="000000"/>
          <w:spacing w:val="0"/>
          <w:sz w:val="32"/>
          <w:szCs w:val="32"/>
          <w:shd w:val="clear" w:color="auto" w:fill="FFFFFF"/>
        </w:rPr>
        <w:t>按照绩效信息公开要求，将项目绩效目标随同预算向社会公开，部门整体支出绩效自评及项目支出绩效自评结果等随同决算向社会公开。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firstLineChars="200" w:firstLine="632"/>
        <w:jc w:val="left"/>
        <w:textAlignment w:val="auto"/>
        <w:outlineLvl w:val="9"/>
        <w:rPr>
          <w:rFonts w:ascii="黑体" w:eastAsia="黑体" w:cs="黑体" w:hint="eastAsia"/>
          <w:sz w:val="32"/>
          <w:szCs w:val="32"/>
          <w:lang w:val="en-US" w:eastAsia="zh-CN"/>
        </w:rPr>
      </w:pPr>
      <w:r>
        <w:rPr>
          <w:rFonts w:ascii="黑体" w:eastAsia="黑体" w:cs="黑体" w:hint="eastAsia"/>
          <w:sz w:val="32"/>
          <w:szCs w:val="32"/>
          <w:lang w:val="en-US" w:eastAsia="zh-CN"/>
        </w:rPr>
        <w:t>存在的问题</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32"/>
        <w:textAlignment w:val="auto"/>
        <w:rPr>
          <w:rFonts w:ascii="仿宋_GB2312" w:eastAsia="仿宋_GB2312" w:cs="仿宋_GB2312" w:hint="eastAsia"/>
          <w:kern w:val="2"/>
          <w:sz w:val="32"/>
          <w:szCs w:val="24"/>
          <w:lang w:val="en-US" w:eastAsia="zh-CN" w:bidi="ar-SA"/>
          <w:highlight w:val="auto"/>
        </w:rPr>
      </w:pPr>
      <w:r>
        <w:rPr>
          <w:rFonts w:ascii="楷体_GB2312" w:eastAsia="楷体_GB2312" w:cs="楷体_GB2312" w:hint="eastAsia"/>
          <w:b/>
          <w:bCs/>
          <w:color w:val="333333"/>
          <w:sz w:val="32"/>
          <w:szCs w:val="32"/>
          <w:lang w:val="en-US" w:eastAsia="zh-CN"/>
        </w:rPr>
        <w:t>（一）</w:t>
      </w:r>
      <w:r>
        <w:rPr>
          <w:rFonts w:ascii="楷体_GB2312" w:eastAsia="楷体_GB2312" w:cs="楷体_GB2312" w:hint="eastAsia"/>
          <w:b/>
          <w:bCs/>
        </w:rPr>
        <w:t>部分预算单位绩效管理意识仍需提高</w:t>
      </w:r>
      <w:r>
        <w:rPr>
          <w:rFonts w:ascii="楷体_GB2312" w:eastAsia="楷体_GB2312" w:cs="楷体_GB2312" w:hint="eastAsia"/>
          <w:b/>
          <w:bCs/>
          <w:kern w:val="2"/>
          <w:sz w:val="32"/>
          <w:szCs w:val="24"/>
          <w:lang w:val="en-US" w:eastAsia="zh-CN" w:bidi="ar-SA"/>
        </w:rPr>
        <w:t>。</w:t>
      </w:r>
      <w:r>
        <w:rPr>
          <w:rFonts w:ascii="仿宋_GB2312" w:eastAsia="仿宋_GB2312" w:cs="仿宋_GB2312" w:hint="eastAsia"/>
          <w:kern w:val="2"/>
          <w:sz w:val="32"/>
          <w:szCs w:val="24"/>
          <w:lang w:val="en-US" w:eastAsia="zh-CN" w:bidi="ar-SA"/>
        </w:rPr>
        <w:t>相当一部分预算单位对这一项制度的认知不是十分到位。主要存在三种倾向。</w:t>
      </w:r>
      <w:r>
        <w:rPr>
          <w:rFonts w:ascii="仿宋_GB2312" w:eastAsia="仿宋_GB2312" w:cs="仿宋_GB2312" w:hint="eastAsia"/>
          <w:b/>
          <w:bCs/>
          <w:kern w:val="2"/>
          <w:sz w:val="32"/>
          <w:szCs w:val="24"/>
          <w:lang w:val="en-US" w:eastAsia="zh-CN" w:bidi="ar-SA"/>
        </w:rPr>
        <w:t>一是</w:t>
      </w:r>
      <w:r>
        <w:rPr>
          <w:rFonts w:ascii="仿宋_GB2312" w:eastAsia="仿宋_GB2312" w:cs="仿宋_GB2312" w:hint="eastAsia"/>
          <w:b/>
          <w:bCs/>
          <w:lang w:eastAsia="zh-CN"/>
        </w:rPr>
        <w:t>思想认识不到位</w:t>
      </w:r>
      <w:r>
        <w:rPr>
          <w:rFonts w:ascii="仿宋_GB2312" w:eastAsia="仿宋_GB2312" w:cs="仿宋_GB2312" w:hint="eastAsia"/>
          <w:b/>
          <w:bCs/>
          <w:kern w:val="2"/>
          <w:sz w:val="32"/>
          <w:szCs w:val="24"/>
          <w:lang w:val="en-US" w:eastAsia="zh-CN" w:bidi="ar-SA"/>
        </w:rPr>
        <w:t>。</w:t>
      </w:r>
      <w:r>
        <w:rPr>
          <w:rFonts w:ascii="仿宋_GB2312" w:eastAsia="仿宋_GB2312" w:cs="仿宋_GB2312" w:hint="eastAsia"/>
          <w:b w:val="0"/>
          <w:bCs w:val="0"/>
          <w:kern w:val="2"/>
          <w:sz w:val="32"/>
          <w:szCs w:val="24"/>
          <w:lang w:val="en-US" w:eastAsia="zh-CN" w:bidi="ar-SA"/>
        </w:rPr>
        <w:t>实施预算绩效管理是</w:t>
      </w:r>
      <w:r>
        <w:rPr>
          <w:rFonts w:ascii="仿宋_GB2312" w:eastAsia="仿宋_GB2312" w:cs="仿宋_GB2312" w:hint="eastAsia"/>
          <w:sz w:val="32"/>
          <w:szCs w:val="32"/>
        </w:rPr>
        <w:t>贯彻落实党中央、国务院和省委、省政府关于全面实施预算绩效管理的决策部署</w:t>
      </w:r>
      <w:r>
        <w:rPr>
          <w:rFonts w:ascii="仿宋_GB2312" w:eastAsia="仿宋_GB2312" w:cs="仿宋_GB2312" w:hint="eastAsia"/>
          <w:kern w:val="2"/>
          <w:sz w:val="32"/>
          <w:szCs w:val="24"/>
          <w:lang w:val="en-US" w:eastAsia="zh-CN" w:bidi="ar-SA"/>
        </w:rPr>
        <w:t>。</w:t>
      </w:r>
      <w:r>
        <w:rPr>
          <w:rFonts w:ascii="仿宋_GB2312" w:eastAsia="仿宋_GB2312" w:cs="仿宋_GB2312" w:hint="eastAsia"/>
          <w:b/>
          <w:bCs/>
          <w:kern w:val="2"/>
          <w:sz w:val="32"/>
          <w:szCs w:val="24"/>
          <w:lang w:val="en-US" w:eastAsia="zh-CN" w:bidi="ar-SA"/>
        </w:rPr>
        <w:t>二是“两轻两重”惯性思维。</w:t>
      </w:r>
      <w:r>
        <w:rPr>
          <w:rFonts w:ascii="仿宋_GB2312" w:eastAsia="仿宋_GB2312" w:cs="仿宋_GB2312" w:hint="eastAsia"/>
          <w:kern w:val="2"/>
          <w:sz w:val="32"/>
          <w:szCs w:val="24"/>
          <w:lang w:val="en-US" w:eastAsia="zh-CN" w:bidi="ar-SA"/>
        </w:rPr>
        <w:t>部分单位“重分配、轻管理、重支出、轻绩效”的思想还没有从根本转变；认为预算申报的项目能落实到位和预算安排的资金能用出去就不会有大的问题，没有站在全局高度考虑是不是达到了效益最大化。</w:t>
      </w:r>
      <w:r>
        <w:rPr>
          <w:rFonts w:ascii="仿宋_GB2312" w:eastAsia="仿宋_GB2312" w:cs="仿宋_GB2312" w:hint="eastAsia"/>
          <w:b/>
          <w:bCs/>
          <w:kern w:val="2"/>
          <w:sz w:val="32"/>
          <w:szCs w:val="24"/>
          <w:lang w:val="en-US" w:eastAsia="zh-CN" w:bidi="ar-SA"/>
        </w:rPr>
        <w:t>三是消极应付只求过关。</w:t>
      </w:r>
      <w:r>
        <w:rPr>
          <w:rFonts w:ascii="仿宋_GB2312" w:eastAsia="仿宋_GB2312" w:cs="仿宋_GB2312" w:hint="eastAsia"/>
        </w:rPr>
        <w:t>部分预算单位对绩效管理工作重视程度不够，存在应付了事的现象，在绩效目标编制、监控和评价等环节不够认真细致，影响了绩效管理工作的整体质量。</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32"/>
        <w:textAlignment w:val="auto"/>
        <w:rPr>
          <w:rFonts w:ascii="仿宋_GB2312" w:eastAsia="仿宋_GB2312" w:cs="仿宋_GB2312" w:hint="eastAsia"/>
          <w:kern w:val="2"/>
          <w:sz w:val="32"/>
          <w:szCs w:val="24"/>
          <w:lang w:val="en-US" w:eastAsia="zh-CN" w:bidi="ar-SA"/>
          <w:highlight w:val="auto"/>
        </w:rPr>
      </w:pPr>
      <w:r>
        <w:rPr>
          <w:rFonts w:ascii="楷体_GB2312" w:eastAsia="楷体_GB2312" w:cs="楷体_GB2312" w:hint="eastAsia"/>
          <w:b/>
          <w:bCs/>
          <w:color w:val="auto"/>
          <w:sz w:val="32"/>
          <w:szCs w:val="32"/>
          <w:lang w:val="en-US" w:eastAsia="zh-CN"/>
        </w:rPr>
        <w:t>（二）部分预算单位内部预算绩效职责不清。</w:t>
      </w:r>
      <w:r>
        <w:rPr>
          <w:rFonts w:ascii="仿宋_GB2312" w:eastAsia="仿宋_GB2312" w:cs="仿宋_GB2312" w:hint="eastAsia"/>
          <w:kern w:val="2"/>
          <w:sz w:val="32"/>
          <w:szCs w:val="24"/>
          <w:lang w:val="en-US" w:eastAsia="zh-CN" w:bidi="ar-SA"/>
          <w:highlight w:val="auto"/>
        </w:rPr>
        <w:t>预算绩效管理工作力量安排不到位，很多部门都是财务科室独立完成项目的绩效申报、自评工作。缺少业务科室的协调配合，把本该</w:t>
      </w:r>
      <w:r>
        <w:rPr>
          <w:rFonts w:ascii="仿宋_GB2312" w:cs="仿宋_GB2312" w:hint="eastAsia"/>
          <w:kern w:val="2"/>
          <w:sz w:val="32"/>
          <w:szCs w:val="24"/>
          <w:lang w:val="en-US" w:eastAsia="zh-CN" w:bidi="ar-SA"/>
          <w:highlight w:val="auto"/>
        </w:rPr>
        <w:t>由</w:t>
      </w:r>
      <w:r>
        <w:rPr>
          <w:rFonts w:ascii="仿宋_GB2312" w:eastAsia="仿宋_GB2312" w:cs="仿宋_GB2312" w:hint="eastAsia"/>
          <w:kern w:val="2"/>
          <w:sz w:val="32"/>
          <w:szCs w:val="24"/>
          <w:lang w:val="en-US" w:eastAsia="zh-CN" w:bidi="ar-SA"/>
          <w:highlight w:val="auto"/>
        </w:rPr>
        <w:t>业务科室承担的预算绩效管理工作扛了过来，简单地将绩效目标制定、跟踪监控等专业性工作归口于财务人员，没有专人承担绩效管理职责，业务管理与绩效管理脱节，弱化了实施预算绩效管理的最基本环节。</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textAlignment w:val="auto"/>
        <w:rPr>
          <w:rFonts w:ascii="仿宋_GB2312" w:eastAsia="仿宋_GB2312" w:cs="仿宋_GB2312" w:hint="eastAsia"/>
          <w:b w:val="0"/>
          <w:bCs w:val="0"/>
          <w:color w:val="auto"/>
          <w:sz w:val="32"/>
          <w:szCs w:val="32"/>
          <w:lang w:val="en-US" w:eastAsia="zh-CN"/>
        </w:rPr>
      </w:pPr>
      <w:r>
        <w:rPr>
          <w:rFonts w:ascii="仿宋_GB2312" w:eastAsia="仿宋_GB2312" w:cs="仿宋_GB2312" w:hint="eastAsia"/>
          <w:b/>
          <w:bCs/>
          <w:color w:val="auto"/>
          <w:sz w:val="32"/>
          <w:szCs w:val="32"/>
          <w:lang w:val="en-US" w:eastAsia="zh-CN"/>
        </w:rPr>
        <w:t>（三）绩效管理专业人才短缺。</w:t>
      </w:r>
      <w:r>
        <w:rPr>
          <w:rFonts w:ascii="仿宋_GB2312" w:eastAsia="仿宋_GB2312" w:cs="仿宋_GB2312" w:hint="eastAsia"/>
          <w:b w:val="0"/>
          <w:bCs w:val="0"/>
          <w:color w:val="auto"/>
          <w:sz w:val="32"/>
          <w:szCs w:val="32"/>
          <w:lang w:val="en-US" w:eastAsia="zh-CN"/>
        </w:rPr>
        <w:t>无论是财政部门还是预算单位，都面临绩效管理专业人才不足的问题。在绩效评估、评价过程中，对一些复杂项目的分析和评价能力有限，难以满足工作需要。</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32"/>
        <w:jc w:val="left"/>
        <w:textAlignment w:val="auto"/>
        <w:outlineLvl w:val="9"/>
        <w:rPr>
          <w:rFonts w:ascii="黑体" w:eastAsia="黑体" w:cs="黑体" w:hint="eastAsia"/>
          <w:sz w:val="32"/>
          <w:szCs w:val="32"/>
          <w:lang w:val="en-US" w:eastAsia="zh-CN"/>
        </w:rPr>
      </w:pPr>
      <w:r>
        <w:rPr>
          <w:rFonts w:ascii="黑体" w:eastAsia="黑体" w:cs="黑体" w:hint="eastAsia"/>
          <w:sz w:val="32"/>
          <w:szCs w:val="32"/>
          <w:lang w:val="en-US" w:eastAsia="zh-CN"/>
        </w:rPr>
        <w:t>三、下一步工作打算</w:t>
      </w:r>
    </w:p>
    <w:p>
      <w:pPr>
        <w:spacing w:line="560" w:lineRule="exact"/>
        <w:ind w:firstLineChars="200" w:firstLine="632"/>
        <w:rPr>
          <w:rFonts w:ascii="仿宋_GB2312" w:eastAsia="仿宋_GB2312" w:cs="仿宋_GB2312" w:hint="eastAsia"/>
          <w:b w:val="0"/>
          <w:bCs w:val="0"/>
          <w:color w:val="333333"/>
          <w:sz w:val="32"/>
          <w:szCs w:val="32"/>
          <w:lang w:val="en-US" w:eastAsia="zh-CN"/>
        </w:rPr>
      </w:pPr>
      <w:r>
        <w:rPr>
          <w:rFonts w:ascii="楷体_GB2312" w:eastAsia="楷体_GB2312" w:cs="楷体_GB2312" w:hint="eastAsia"/>
          <w:b/>
          <w:bCs/>
          <w:color w:val="333333"/>
          <w:sz w:val="32"/>
          <w:szCs w:val="32"/>
          <w:lang w:val="en-US" w:eastAsia="zh-CN"/>
        </w:rPr>
        <w:t>(一）</w:t>
      </w:r>
      <w:r>
        <w:rPr>
          <w:rFonts w:ascii="Times New Roman" w:eastAsia="楷体" w:cs="Times New Roman" w:hAnsi="Times New Roman"/>
          <w:b/>
          <w:bCs/>
          <w:color w:val="333333"/>
          <w:sz w:val="32"/>
          <w:szCs w:val="32"/>
          <w:lang w:val="en-US" w:eastAsia="zh-CN"/>
        </w:rPr>
        <w:t>加大宣传，强化预算绩效管理理念。</w:t>
      </w:r>
      <w:r>
        <w:rPr>
          <w:rFonts w:ascii="仿宋_GB2312" w:eastAsia="仿宋_GB2312" w:cs="仿宋_GB2312" w:hint="eastAsia"/>
          <w:b w:val="0"/>
          <w:bCs w:val="0"/>
          <w:color w:val="333333"/>
          <w:sz w:val="32"/>
          <w:szCs w:val="32"/>
          <w:lang w:val="en-US" w:eastAsia="zh-CN"/>
        </w:rPr>
        <w:t>加大财政预算绩效管理宣传力度，通过多种渠道向预算单位和社会公众宣传绩效管理的重要意义和作用，</w:t>
      </w:r>
      <w:r>
        <w:t>提高各单位对绩效管理工作的认识和理解</w:t>
      </w:r>
      <w:r>
        <w:rPr>
          <w:rFonts w:ascii="仿宋_GB2312" w:eastAsia="仿宋_GB2312" w:cs="仿宋_GB2312" w:hint="eastAsia"/>
          <w:b w:val="0"/>
          <w:bCs w:val="0"/>
          <w:color w:val="333333"/>
          <w:sz w:val="32"/>
          <w:szCs w:val="32"/>
          <w:lang w:val="en-US" w:eastAsia="zh-CN"/>
        </w:rPr>
        <w:t>。同时，进一步加强绩效管理业务培训，针对不同层次的人员开展有针对性的培训课程，提高相关人员的业务水平。</w:t>
      </w:r>
    </w:p>
    <w:p>
      <w:pPr>
        <w:pStyle w:val="15"/>
        <w:keepNext w:val="0"/>
        <w:keepLines w:val="0"/>
        <w:pageBreakBefore w:val="0"/>
        <w:widowControl w:val="0"/>
        <w:tabs>
          <w:tab w:val="center" w:pos="4153"/>
          <w:tab w:val="right" w:pos="8306"/>
        </w:tabs>
        <w:kinsoku/>
        <w:wordWrap/>
        <w:overflowPunct/>
        <w:topLinePunct w:val="0"/>
        <w:autoSpaceDE/>
        <w:autoSpaceDN/>
        <w:adjustRightInd/>
        <w:snapToGrid w:val="0"/>
        <w:spacing w:line="560" w:lineRule="exact"/>
        <w:ind w:firstLineChars="200" w:firstLine="632"/>
        <w:rPr>
          <w:rFonts w:ascii="仿宋_GB2312" w:cs="仿宋_GB2312" w:hint="eastAsia"/>
          <w:bCs/>
          <w:color w:val="000000"/>
          <w:sz w:val="32"/>
          <w:szCs w:val="32"/>
        </w:rPr>
      </w:pPr>
      <w:r>
        <w:rPr>
          <w:rFonts w:ascii="楷体_GB2312" w:eastAsia="楷体_GB2312" w:cs="楷体_GB2312" w:hint="eastAsia"/>
          <w:b/>
          <w:bCs/>
          <w:color w:val="333333"/>
          <w:sz w:val="32"/>
          <w:szCs w:val="32"/>
          <w:lang w:val="en-US" w:eastAsia="zh-CN"/>
        </w:rPr>
        <w:t>（二）</w:t>
      </w:r>
      <w:r>
        <w:rPr>
          <w:rFonts w:ascii="Times New Roman" w:eastAsia="楷体" w:cs="Times New Roman" w:hAnsi="Times New Roman"/>
          <w:b/>
          <w:bCs/>
          <w:color w:val="333333"/>
          <w:sz w:val="32"/>
          <w:szCs w:val="32"/>
          <w:lang w:val="en-US" w:eastAsia="zh-CN"/>
        </w:rPr>
        <w:t>加强队伍建设，提高管理水平。</w:t>
      </w:r>
      <w:r>
        <w:rPr>
          <w:rFonts w:ascii="Times New Roman" w:eastAsia="仿宋_GB2312" w:cs="Times New Roman" w:hAnsi="Times New Roman"/>
          <w:b w:val="0"/>
          <w:bCs w:val="0"/>
          <w:kern w:val="2"/>
          <w:sz w:val="32"/>
          <w:szCs w:val="24"/>
          <w:lang w:val="en-US" w:eastAsia="zh-CN" w:bidi="ar-SA"/>
        </w:rPr>
        <w:t>针</w:t>
      </w:r>
      <w:r>
        <w:rPr>
          <w:rFonts w:ascii="Times New Roman" w:eastAsia="仿宋_GB2312" w:cs="Times New Roman" w:hAnsi="Times New Roman"/>
          <w:kern w:val="2"/>
          <w:sz w:val="32"/>
          <w:szCs w:val="24"/>
          <w:lang w:val="en-US" w:eastAsia="zh-CN" w:bidi="ar-SA"/>
        </w:rPr>
        <w:t>对预算绩效管理专业人才匮乏和管理人员专业性不强的现状，引入三方参与进来、集中业务骨干充实财政预算绩效管理队伍，</w:t>
      </w:r>
      <w:r>
        <w:rPr>
          <w:rFonts w:ascii="Times New Roman" w:cs="Times New Roman" w:hAnsi="Times New Roman" w:hint="eastAsia"/>
          <w:kern w:val="2"/>
          <w:sz w:val="32"/>
          <w:szCs w:val="24"/>
          <w:lang w:val="en-US" w:eastAsia="zh-CN" w:bidi="ar-SA"/>
        </w:rPr>
        <w:t>采取</w:t>
      </w:r>
      <w:r>
        <w:rPr>
          <w:rFonts w:ascii="Times New Roman" w:eastAsia="仿宋_GB2312" w:cs="Times New Roman" w:hAnsi="Times New Roman"/>
          <w:kern w:val="2"/>
          <w:sz w:val="32"/>
          <w:szCs w:val="24"/>
          <w:lang w:val="en-US" w:eastAsia="zh-CN" w:bidi="ar-SA"/>
        </w:rPr>
        <w:t>专业培训、业务交流等措施，帮助和促进现有人员提高政策理论水平、实际工作能力。</w:t>
      </w:r>
      <w:bookmarkStart w:id="0" w:name="_GoBack"/>
      <w:bookmarkEnd w:id="0"/>
    </w:p>
    <w:sectPr>
      <w:footerReference w:type="default" r:id="rId2"/>
      <w:pgSz w:w="11906" w:h="16838"/>
      <w:pgMar w:top="2098" w:right="1474" w:bottom="1984" w:left="1587" w:header="851" w:footer="992" w:gutter="0"/>
      <w:pgNumType w:fmt="numberInDash" w:start="2"/>
      <w:rtlGutter/>
      <w:docGrid w:type="linesAndChars" w:linePitch="579" w:charSpace="-842"/>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楷体">
    <w:altName w:val="楷体_GB2312"/>
    <w:panose1 w:val="02010609060101010101"/>
    <w:charset w:val="86"/>
    <w:family w:val="auto"/>
    <w:pitch w:val="variable"/>
    <w:sig w:usb0="800002BF" w:usb1="38CF7CFA" w:usb2="00000016" w:usb3="00000000" w:csb0="00040001" w:csb1="00000000"/>
  </w:font>
  <w:font w:name="Calibri">
    <w:altName w:val="宋体"/>
    <w:panose1 w:val="020F0502020204030204"/>
    <w:charset w:val="86"/>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4.999996pt;height:18.130003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ECF9A29"/>
    <w:multiLevelType w:val="singleLevel"/>
    <w:tmpl w:val="FECF9A29"/>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zQ3NDA5YzJiMGRmN2ZlM2I4MDA4MDE3NjdhMzRm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仿宋_GB2312" w:cs="Times New Roman" w:hAnsi="Times New Roman"/>
      <w:kern w:val="2"/>
      <w:sz w:val="32"/>
      <w:szCs w:val="30"/>
      <w:lang w:val="en-US" w:eastAsia="zh-CN" w:bidi="ar-SA"/>
    </w:rPr>
  </w:style>
  <w:style w:type="paragraph" w:styleId="1">
    <w:name w:val="heading 1"/>
    <w:basedOn w:val="0"/>
    <w:next w:val="0"/>
    <w:pPr>
      <w:keepNext/>
      <w:keepLines/>
      <w:widowControl w:val="0"/>
      <w:spacing w:beforeAutospacing="0" w:afterAutospacing="0" w:line="560" w:lineRule="exact"/>
      <w:jc w:val="center"/>
      <w:outlineLvl w:val="0"/>
    </w:pPr>
    <w:rPr>
      <w:rFonts w:ascii="Calibri" w:eastAsia="方正小标宋简体" w:hAnsi="Calibri"/>
      <w:kern w:val="44"/>
      <w:sz w:val="44"/>
    </w:rPr>
  </w:style>
  <w:style w:type="paragraph" w:styleId="2">
    <w:name w:val="heading 2"/>
    <w:basedOn w:val="0"/>
    <w:next w:val="0"/>
    <w:pPr>
      <w:keepNext/>
      <w:keepLines/>
      <w:widowControl w:val="0"/>
      <w:spacing w:beforeAutospacing="0" w:afterAutospacing="0" w:line="560" w:lineRule="exact"/>
      <w:ind w:firstLineChars="200" w:firstLine="200"/>
      <w:outlineLvl w:val="1"/>
    </w:pPr>
    <w:rPr>
      <w:rFonts w:ascii="Arial" w:eastAsia="黑体" w:cs="Times New Roman" w:hAnsi="Arial"/>
      <w:sz w:val="32"/>
    </w:rPr>
  </w:style>
  <w:style w:type="paragraph" w:styleId="3">
    <w:name w:val="heading 3"/>
    <w:basedOn w:val="0"/>
    <w:next w:val="0"/>
    <w:pPr>
      <w:keepNext/>
      <w:keepLines/>
      <w:widowControl w:val="0"/>
      <w:spacing w:before="260" w:beforeAutospacing="0" w:after="260" w:afterAutospacing="0" w:line="560" w:lineRule="exact"/>
      <w:ind w:firstLineChars="200" w:firstLine="200"/>
      <w:outlineLvl w:val="2"/>
    </w:pPr>
    <w:rPr>
      <w:rFonts w:ascii="Times New Roman" w:eastAsia="楷体_GB2312" w:cs="Times New Roman" w:hAnsi="Times New Roman"/>
      <w:b/>
      <w:sz w:val="32"/>
    </w:rPr>
  </w:style>
  <w:style w:type="paragraph" w:styleId="4">
    <w:name w:val="heading 4"/>
    <w:basedOn w:val="0"/>
    <w:next w:val="0"/>
    <w:pPr>
      <w:keepNext/>
      <w:keepLines/>
      <w:widowControl w:val="0"/>
      <w:spacing w:before="280" w:beforeAutospacing="0" w:after="290" w:afterAutospacing="0" w:line="560" w:lineRule="exact"/>
      <w:ind w:firstLineChars="200" w:firstLine="200"/>
      <w:outlineLvl w:val="3"/>
    </w:pPr>
    <w:rPr>
      <w:rFonts w:ascii="Arial" w:eastAsia="仿宋_GB2312" w:hAnsi="Arial"/>
      <w:b/>
      <w:sz w:val="32"/>
    </w:rPr>
  </w:style>
  <w:style w:type="character" w:default="1" w:styleId="10">
    <w:name w:val="Default Paragraph Font"/>
  </w:style>
  <w:style w:type="paragraph" w:styleId="15">
    <w:name w:val="header"/>
    <w:basedOn w:val="0"/>
    <w:next w:val="16"/>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6">
    <w:name w:val="footer"/>
    <w:basedOn w:val="0"/>
    <w:pPr>
      <w:tabs>
        <w:tab w:val="center" w:pos="4153"/>
        <w:tab w:val="right" w:pos="8306"/>
      </w:tabs>
      <w:snapToGrid w:val="0"/>
      <w:jc w:val="left"/>
    </w:pPr>
    <w:rPr>
      <w:sz w:val="18"/>
    </w:rPr>
  </w:style>
  <w:style w:type="paragraph" w:styleId="17">
    <w:name w:val="index 5"/>
    <w:basedOn w:val="0"/>
    <w:next w:val="0"/>
    <w:pPr>
      <w:ind w:left="1680"/>
    </w:pPr>
  </w:style>
  <w:style w:type="paragraph" w:styleId="18">
    <w:name w:val="Body Text"/>
    <w:basedOn w:val="0"/>
    <w:pPr>
      <w:spacing w:after="120" w:afterAutospacing="0"/>
    </w:pPr>
  </w:style>
  <w:style w:type="paragraph" w:styleId="19">
    <w:name w:val="Body Text 2"/>
    <w:basedOn w:val="0"/>
    <w:rPr>
      <w:sz w:val="28"/>
    </w:rPr>
  </w:style>
  <w:style w:type="paragraph" w:styleId="20">
    <w:name w:val="Body Text Indent"/>
    <w:basedOn w:val="19"/>
    <w:pPr>
      <w:ind w:firstLineChars="200" w:firstLine="200"/>
    </w:pPr>
    <w:rPr>
      <w:rFonts w:ascii="宋体" w:hAnsi="宋体"/>
    </w:rPr>
  </w:style>
  <w:style w:type="paragraph" w:styleId="21">
    <w:name w:val="Body Text First Indent 2"/>
    <w:basedOn w:val="20"/>
  </w:style>
  <w:style w:type="paragraph" w:styleId="22">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4">
    <w:name w:val="Normal (Web)"/>
    <w:basedOn w:val="0"/>
    <w:next w:val="25"/>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Calibri" w:eastAsia="宋体" w:cs="Times New Roman" w:hAnsi="Calibri"/>
      <w:snapToGrid/>
      <w:color w:val="auto"/>
      <w:spacing w:val="0"/>
      <w:w w:val="100"/>
      <w:kern w:val="0"/>
      <w:position w:val="0"/>
      <w:sz w:val="24"/>
      <w:szCs w:val="24"/>
      <w:u w:val="none" w:color="auto"/>
      <w:vertAlign w:val="baseline"/>
      <w:lang w:val="en-US" w:eastAsia="zh-CN" w:bidi="ar-SA"/>
    </w:rPr>
  </w:style>
  <w:style w:type="paragraph" w:customStyle="1" w:styleId="25">
    <w:name w:val="列出段落"/>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8</Pages>
  <Words>3746</Words>
  <Characters>3997</Characters>
  <Lines>158</Lines>
  <Paragraphs>34</Paragraphs>
  <CharactersWithSpaces>4000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Seven-nine </dc:creator>
  <cp:lastModifiedBy>user</cp:lastModifiedBy>
  <cp:revision>1</cp:revision>
  <cp:lastPrinted>2024-01-12T04:00:00Z</cp:lastPrinted>
  <dcterms:created xsi:type="dcterms:W3CDTF">2022-04-26T08:20:00Z</dcterms:created>
  <dcterms:modified xsi:type="dcterms:W3CDTF">2025-08-25T03:09:36Z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y fmtid="{D5CDD505-2E9C-101B-9397-08002B2CF9AE}" pid="3" name="ICV">
    <vt:lpwstr>AC689CE895334AD3A682C8F6099862A6</vt:lpwstr>
  </property>
</Properties>
</file>