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eastAsia="方正小标宋简体" w:cs="Times New Roman" w:hAnsi="Times New Roman" w:hint="eastAsia"/>
          <w:bCs/>
          <w:color w:val="000000"/>
          <w:sz w:val="44"/>
          <w:szCs w:val="44"/>
          <w:lang w:eastAsia="zh-CN" w:bidi="ar-SA"/>
        </w:rPr>
      </w:pPr>
      <w:r>
        <w:rPr>
          <w:rFonts w:ascii="Times New Roman" w:eastAsia="方正小标宋简体" w:cs="Times New Roman" w:hAnsi="Times New Roman" w:hint="eastAsia"/>
          <w:bCs/>
          <w:color w:val="000000"/>
          <w:sz w:val="44"/>
          <w:szCs w:val="44"/>
          <w:lang w:eastAsia="zh-CN" w:bidi="ar-SA"/>
        </w:rPr>
        <w:t>金川县财政局</w:t>
      </w:r>
    </w:p>
    <w:p>
      <w:pPr>
        <w:keepNext w:val="0"/>
        <w:keepLines w:val="0"/>
        <w:pageBreakBefore w:val="0"/>
        <w:widowControl w:val="0"/>
        <w:kinsoku/>
        <w:wordWrap/>
        <w:overflowPunct/>
        <w:topLinePunct w:val="0"/>
        <w:autoSpaceDE/>
        <w:autoSpaceDN/>
        <w:bidi w:val="0"/>
        <w:adjustRightInd/>
        <w:snapToGrid/>
        <w:spacing w:line="578" w:lineRule="exact"/>
        <w:ind w:left="0" w:right="0"/>
        <w:jc w:val="center"/>
        <w:textAlignment w:val="auto"/>
        <w:outlineLvl w:val="9"/>
        <w:rPr>
          <w:rFonts w:ascii="方正小标宋简体" w:eastAsia="方正小标宋简体" w:cs="方正小标宋简体"/>
          <w:sz w:val="44"/>
          <w:szCs w:val="44"/>
          <w:lang w:eastAsia="zh-CN"/>
          <w:highlight w:val="auto"/>
        </w:rPr>
      </w:pPr>
      <w:r>
        <w:rPr>
          <w:rFonts w:ascii="方正小标宋简体" w:eastAsia="方正小标宋简体" w:cs="方正小标宋简体" w:hint="eastAsia"/>
          <w:sz w:val="44"/>
          <w:szCs w:val="44"/>
          <w:lang w:eastAsia="zh-CN"/>
          <w:highlight w:val="auto"/>
        </w:rPr>
        <w:t>关于202</w:t>
      </w:r>
      <w:r>
        <w:rPr>
          <w:rFonts w:ascii="方正小标宋简体" w:eastAsia="方正小标宋简体" w:cs="方正小标宋简体" w:hint="eastAsia"/>
          <w:sz w:val="44"/>
          <w:szCs w:val="44"/>
          <w:lang w:val="en-US" w:eastAsia="zh-CN"/>
          <w:highlight w:val="auto"/>
        </w:rPr>
        <w:t>4</w:t>
      </w:r>
      <w:r>
        <w:rPr>
          <w:rFonts w:ascii="方正小标宋简体" w:eastAsia="方正小标宋简体" w:cs="方正小标宋简体" w:hint="eastAsia"/>
          <w:sz w:val="44"/>
          <w:szCs w:val="44"/>
          <w:lang w:eastAsia="zh-CN"/>
          <w:highlight w:val="auto"/>
        </w:rPr>
        <w:t>年财政重点绩效评价工作情况</w:t>
      </w:r>
      <w:r>
        <w:rPr>
          <w:rFonts w:ascii="方正小标宋简体" w:eastAsia="方正小标宋简体" w:cs="方正小标宋简体"/>
          <w:sz w:val="44"/>
          <w:szCs w:val="44"/>
          <w:lang w:eastAsia="zh-CN"/>
          <w:highlight w:val="auto"/>
        </w:rPr>
        <w:t>的报告</w:t>
      </w:r>
    </w:p>
    <w:p>
      <w:pPr>
        <w:pStyle w:val="15"/>
        <w:keepNext w:val="0"/>
        <w:keepLines w:val="0"/>
        <w:pageBreakBefore w:val="0"/>
        <w:widowControl w:val="0"/>
        <w:bidi w:val="0"/>
      </w:pP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outlineLvl w:val="9"/>
        <w:rPr>
          <w:rFonts w:ascii="仿宋_GB2312" w:eastAsia="仿宋_GB2312" w:cs="仿宋_GB2312" w:hint="eastAsia"/>
          <w:color w:val="000000"/>
          <w:kern w:val="0"/>
          <w:sz w:val="32"/>
          <w:szCs w:val="32"/>
          <w:lang w:val="en-US" w:eastAsia="zh-CN"/>
        </w:rPr>
      </w:pPr>
      <w:r>
        <w:rPr>
          <w:rFonts w:ascii="仿宋_GB2312" w:eastAsia="仿宋_GB2312" w:cs="仿宋_GB2312" w:hint="eastAsia"/>
          <w:sz w:val="32"/>
          <w:szCs w:val="32"/>
          <w:lang w:val="en-US" w:eastAsia="zh-CN"/>
          <w:highlight w:val="auto"/>
        </w:rPr>
        <w:t>为深入贯彻落实党中央、国务院和省委省政府、州委州政府、县委县政府关于全面实施预算绩效管理的决策部署，进一步强化各级各部门预算绩效管理主体责任和绩效理念，</w:t>
      </w:r>
      <w:r>
        <w:rPr>
          <w:rFonts w:ascii="仿宋_GB2312" w:eastAsia="仿宋_GB2312" w:cs="仿宋_GB2312" w:hint="eastAsia"/>
          <w:sz w:val="32"/>
          <w:szCs w:val="32"/>
          <w:u w:val="none"/>
        </w:rPr>
        <w:t>按照《中共四川省委办公厅</w:t>
      </w:r>
      <w:r>
        <w:rPr>
          <w:rFonts w:ascii="仿宋_GB2312" w:eastAsia="仿宋_GB2312" w:cs="仿宋_GB2312" w:hint="eastAsia"/>
          <w:sz w:val="32"/>
          <w:szCs w:val="32"/>
          <w:u w:val="none"/>
          <w:lang w:val="en-US" w:eastAsia="zh-CN"/>
        </w:rPr>
        <w:t xml:space="preserve"> </w:t>
      </w:r>
      <w:r>
        <w:rPr>
          <w:rFonts w:ascii="仿宋_GB2312" w:eastAsia="仿宋_GB2312" w:cs="仿宋_GB2312" w:hint="eastAsia"/>
          <w:sz w:val="32"/>
          <w:szCs w:val="32"/>
          <w:u w:val="none"/>
        </w:rPr>
        <w:t>四川省人民政府办公厅关于深入实施预算绩效管理的通知》（川委厅〔2022〕5号）</w:t>
      </w:r>
      <w:r>
        <w:rPr>
          <w:rFonts w:ascii="仿宋_GB2312" w:eastAsia="仿宋_GB2312" w:cs="仿宋_GB2312" w:hint="eastAsia"/>
          <w:color w:val="000000"/>
          <w:kern w:val="0"/>
          <w:sz w:val="32"/>
          <w:szCs w:val="32"/>
          <w:lang w:val="en-US" w:eastAsia="zh-CN"/>
        </w:rPr>
        <w:t>和</w:t>
      </w:r>
      <w:r>
        <w:rPr>
          <w:rFonts w:ascii="仿宋_GB2312" w:eastAsia="仿宋_GB2312" w:cs="仿宋_GB2312" w:hint="eastAsia"/>
          <w:sz w:val="32"/>
          <w:szCs w:val="32"/>
          <w:lang w:eastAsia="zh-CN" w:bidi="ar-SA"/>
        </w:rPr>
        <w:t>《阿坝州财政局关于开展20</w:t>
      </w:r>
      <w:r>
        <w:rPr>
          <w:rFonts w:ascii="仿宋_GB2312" w:eastAsia="仿宋_GB2312" w:cs="仿宋_GB2312" w:hint="eastAsia"/>
          <w:sz w:val="32"/>
          <w:szCs w:val="32"/>
          <w:lang w:val="en-US" w:eastAsia="zh-CN" w:bidi="ar-SA"/>
        </w:rPr>
        <w:t>24</w:t>
      </w:r>
      <w:r>
        <w:rPr>
          <w:rFonts w:ascii="仿宋_GB2312" w:eastAsia="仿宋_GB2312" w:cs="仿宋_GB2312" w:hint="eastAsia"/>
          <w:sz w:val="32"/>
          <w:szCs w:val="32"/>
          <w:lang w:eastAsia="zh-CN" w:bidi="ar-SA"/>
        </w:rPr>
        <w:t>年</w:t>
      </w:r>
      <w:r>
        <w:rPr>
          <w:rFonts w:ascii="仿宋_GB2312" w:eastAsia="仿宋_GB2312" w:cs="仿宋_GB2312" w:hint="eastAsia"/>
          <w:color w:val="000000"/>
          <w:kern w:val="0"/>
          <w:sz w:val="32"/>
          <w:szCs w:val="32"/>
          <w:lang w:val="en-US" w:eastAsia="zh-CN"/>
        </w:rPr>
        <w:t>财政重点</w:t>
      </w:r>
      <w:r>
        <w:rPr>
          <w:rFonts w:ascii="仿宋_GB2312" w:eastAsia="仿宋_GB2312" w:cs="仿宋_GB2312" w:hint="eastAsia"/>
          <w:sz w:val="32"/>
          <w:szCs w:val="32"/>
          <w:lang w:eastAsia="zh-CN" w:bidi="ar-SA"/>
        </w:rPr>
        <w:t>绩效评价工作的通知》（</w:t>
      </w:r>
      <w:r>
        <w:rPr>
          <w:rFonts w:ascii="仿宋_GB2312" w:eastAsia="仿宋_GB2312" w:cs="仿宋_GB2312" w:hint="eastAsia"/>
          <w:sz w:val="32"/>
          <w:szCs w:val="32"/>
        </w:rPr>
        <w:t>阿州财监绩〔202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24</w:t>
      </w:r>
      <w:r>
        <w:rPr>
          <w:rFonts w:ascii="仿宋_GB2312" w:eastAsia="仿宋_GB2312" w:cs="仿宋_GB2312" w:hint="eastAsia"/>
          <w:sz w:val="32"/>
          <w:szCs w:val="32"/>
        </w:rPr>
        <w:t>号</w:t>
      </w:r>
      <w:r>
        <w:rPr>
          <w:rFonts w:ascii="仿宋_GB2312" w:eastAsia="仿宋_GB2312" w:cs="仿宋_GB2312" w:hint="eastAsia"/>
          <w:sz w:val="32"/>
          <w:szCs w:val="32"/>
          <w:lang w:eastAsia="zh-CN"/>
        </w:rPr>
        <w:t>）</w:t>
      </w:r>
      <w:r>
        <w:rPr>
          <w:rFonts w:ascii="仿宋_GB2312" w:eastAsia="仿宋_GB2312" w:cs="仿宋_GB2312" w:hint="eastAsia"/>
          <w:sz w:val="32"/>
          <w:szCs w:val="32"/>
          <w:u w:val="none"/>
        </w:rPr>
        <w:t>关于财政重点绩效评价工作要求和有关工作安排，</w:t>
      </w:r>
      <w:r>
        <w:rPr>
          <w:rFonts w:ascii="仿宋_GB2312" w:eastAsia="仿宋_GB2312" w:cs="仿宋_GB2312" w:hint="eastAsia"/>
          <w:color w:val="000000"/>
          <w:sz w:val="32"/>
          <w:szCs w:val="32"/>
        </w:rPr>
        <w:t>切实压实各部门（单位）绩效管理主体责任，立足工作实际，聚焦重点难点，</w:t>
      </w:r>
      <w:r>
        <w:rPr>
          <w:rFonts w:ascii="仿宋_GB2312" w:eastAsia="仿宋_GB2312" w:cs="仿宋_GB2312" w:hint="eastAsia"/>
          <w:color w:val="000000"/>
          <w:sz w:val="32"/>
          <w:szCs w:val="32"/>
          <w:lang w:eastAsia="zh-CN"/>
        </w:rPr>
        <w:t>今年</w:t>
      </w:r>
      <w:r>
        <w:rPr>
          <w:rFonts w:ascii="仿宋_GB2312" w:eastAsia="仿宋_GB2312" w:cs="仿宋_GB2312" w:hint="eastAsia"/>
          <w:color w:val="000000"/>
          <w:kern w:val="0"/>
          <w:sz w:val="32"/>
          <w:szCs w:val="32"/>
          <w:lang w:val="en-US" w:eastAsia="zh-CN"/>
        </w:rPr>
        <w:t>我局</w:t>
      </w:r>
      <w:r>
        <w:rPr>
          <w:rFonts w:ascii="仿宋_GB2312" w:eastAsia="仿宋_GB2312" w:cs="仿宋_GB2312" w:hint="eastAsia"/>
          <w:sz w:val="32"/>
          <w:szCs w:val="32"/>
          <w:lang w:eastAsia="zh-CN"/>
        </w:rPr>
        <w:t>组织</w:t>
      </w:r>
      <w:r>
        <w:rPr>
          <w:rFonts w:ascii="仿宋_GB2312" w:eastAsia="仿宋_GB2312" w:cs="仿宋_GB2312" w:hint="eastAsia"/>
          <w:bCs/>
          <w:sz w:val="32"/>
          <w:szCs w:val="32"/>
          <w:lang w:val="en-US" w:eastAsia="zh-CN" w:bidi="ar-SA"/>
          <w:highlight w:val="auto"/>
        </w:rPr>
        <w:t>对</w:t>
      </w:r>
      <w:r>
        <w:rPr>
          <w:rFonts w:ascii="仿宋_GB2312" w:eastAsia="仿宋_GB2312" w:cs="仿宋_GB2312" w:hint="eastAsia"/>
          <w:color w:val="000000"/>
          <w:kern w:val="0"/>
          <w:sz w:val="32"/>
          <w:szCs w:val="32"/>
          <w:lang w:val="en-US" w:eastAsia="zh-CN"/>
        </w:rPr>
        <w:t>22</w:t>
      </w:r>
      <w:r>
        <w:rPr>
          <w:rFonts w:ascii="仿宋_GB2312" w:eastAsia="仿宋_GB2312" w:cs="仿宋_GB2312" w:hint="eastAsia"/>
          <w:bCs/>
          <w:sz w:val="32"/>
          <w:szCs w:val="32"/>
          <w:lang w:val="en-US" w:eastAsia="zh-CN" w:bidi="ar-SA"/>
          <w:highlight w:val="auto"/>
        </w:rPr>
        <w:t>个部门</w:t>
      </w:r>
      <w:r>
        <w:rPr>
          <w:rFonts w:ascii="仿宋_GB2312" w:eastAsia="仿宋_GB2312" w:cs="仿宋_GB2312" w:hint="eastAsia"/>
          <w:bCs/>
          <w:sz w:val="32"/>
          <w:szCs w:val="32"/>
          <w:u w:val="none"/>
          <w:lang w:val="en-US" w:eastAsia="zh-CN" w:bidi="ar-SA"/>
          <w:highlight w:val="auto"/>
        </w:rPr>
        <w:t>整体支出、2个国有资产管理、</w:t>
      </w:r>
      <w:r>
        <w:rPr>
          <w:rFonts w:ascii="仿宋_GB2312" w:eastAsia="仿宋_GB2312" w:cs="仿宋_GB2312" w:hint="eastAsia"/>
          <w:color w:val="000000"/>
          <w:kern w:val="0"/>
          <w:sz w:val="32"/>
          <w:szCs w:val="32"/>
          <w:lang w:val="en-US" w:eastAsia="zh-CN"/>
        </w:rPr>
        <w:t>24</w:t>
      </w:r>
      <w:r>
        <w:rPr>
          <w:rFonts w:ascii="仿宋_GB2312" w:eastAsia="仿宋_GB2312" w:cs="仿宋_GB2312" w:hint="eastAsia"/>
          <w:bCs/>
          <w:sz w:val="32"/>
          <w:szCs w:val="32"/>
          <w:lang w:val="en-US" w:eastAsia="zh-CN" w:bidi="ar-SA"/>
          <w:highlight w:val="auto"/>
        </w:rPr>
        <w:t>个政策支出</w:t>
      </w:r>
      <w:r>
        <w:rPr>
          <w:rFonts w:ascii="仿宋_GB2312" w:eastAsia="仿宋_GB2312" w:cs="仿宋_GB2312" w:hint="eastAsia"/>
          <w:color w:val="000000"/>
          <w:kern w:val="0"/>
          <w:sz w:val="32"/>
          <w:szCs w:val="32"/>
          <w:lang w:val="en-US" w:eastAsia="zh-CN"/>
        </w:rPr>
        <w:t>76个项目支出情况实施财政重点绩效评价，现将工作开展情况汇报如下。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val="en-US" w:eastAsia="zh-CN"/>
          <w:highlight w:val="auto"/>
        </w:rPr>
      </w:pPr>
      <w:r>
        <w:rPr>
          <w:rFonts w:ascii="Times New Roman" w:eastAsia="黑体" w:cs="Times New Roman" w:hAnsi="Times New Roman"/>
          <w:sz w:val="32"/>
          <w:szCs w:val="32"/>
          <w:lang w:val="en-US" w:eastAsia="zh-CN"/>
          <w:highlight w:val="auto"/>
        </w:rPr>
        <w:t>一、绩效评价的组织管理及评价程序</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Chars="200" w:firstLine="632"/>
        <w:jc w:val="both"/>
        <w:textAlignment w:val="auto"/>
        <w:rPr>
          <w:rFonts w:ascii="Times New Roman" w:cs="Times New Roman" w:hAnsi="Times New Roman"/>
          <w:lang w:val="en-US" w:eastAsia="zh-CN"/>
        </w:rPr>
      </w:pPr>
      <w:r>
        <w:rPr>
          <w:rFonts w:ascii="Times New Roman" w:eastAsia="仿宋_GB2312" w:cs="Times New Roman" w:hAnsi="Times New Roman"/>
          <w:color w:val="000000"/>
          <w:sz w:val="32"/>
          <w:szCs w:val="32"/>
          <w:lang w:val="en-US" w:eastAsia="zh-CN"/>
          <w:highlight w:val="auto"/>
        </w:rPr>
        <w:t>为深入贯彻落实党中央、省和州委州政府关于全面实施预算绩效管理决策部署，认真落实《中共阿坝州委办公室 阿坝州人民政府办公室印发贯彻落实&lt;中共四川省委办公厅 四川省人民政府办公厅关于深入推进实施预算绩效管理的通知&gt;实施方案的通知》（阿委办〔</w:t>
      </w:r>
      <w:r>
        <w:rPr>
          <w:rFonts w:ascii="Times New Roman" w:eastAsia="仿宋_GB2312" w:cs="Times New Roman" w:hAnsi="Times New Roman"/>
          <w:color w:val="000000"/>
          <w:kern w:val="0"/>
          <w:sz w:val="32"/>
          <w:szCs w:val="32"/>
          <w:lang w:val="en-US" w:eastAsia="zh-CN"/>
        </w:rPr>
        <w:t>2022〕84</w:t>
      </w:r>
      <w:r>
        <w:rPr>
          <w:rFonts w:ascii="Times New Roman" w:eastAsia="仿宋_GB2312" w:cs="Times New Roman" w:hAnsi="Times New Roman"/>
          <w:color w:val="000000"/>
          <w:sz w:val="32"/>
          <w:szCs w:val="32"/>
          <w:lang w:val="en-US" w:eastAsia="zh-CN"/>
          <w:highlight w:val="auto"/>
        </w:rPr>
        <w:t>号）精神，全面深入</w:t>
      </w:r>
      <w:r>
        <w:rPr>
          <w:rFonts w:cs="Times New Roman" w:hint="eastAsia"/>
          <w:color w:val="000000"/>
          <w:sz w:val="32"/>
          <w:szCs w:val="32"/>
          <w:lang w:val="en-US" w:eastAsia="zh-CN"/>
          <w:highlight w:val="auto"/>
        </w:rPr>
        <w:t>开展</w:t>
      </w:r>
      <w:r>
        <w:rPr>
          <w:rFonts w:ascii="Times New Roman" w:eastAsia="仿宋_GB2312" w:cs="Times New Roman" w:hAnsi="Times New Roman"/>
          <w:color w:val="000000"/>
          <w:sz w:val="32"/>
          <w:szCs w:val="32"/>
          <w:lang w:val="en-US" w:eastAsia="zh-CN"/>
          <w:highlight w:val="auto"/>
        </w:rPr>
        <w:t>预算绩效管理</w:t>
      </w:r>
      <w:r>
        <w:rPr>
          <w:rFonts w:cs="Times New Roman" w:hint="eastAsia"/>
          <w:color w:val="000000"/>
          <w:sz w:val="32"/>
          <w:szCs w:val="32"/>
          <w:lang w:val="en-US" w:eastAsia="zh-CN"/>
          <w:highlight w:val="auto"/>
        </w:rPr>
        <w:t>工作，7</w:t>
      </w:r>
      <w:r>
        <w:rPr>
          <w:rFonts w:ascii="Times New Roman" w:eastAsia="仿宋_GB2312" w:cs="Times New Roman" w:hAnsi="Times New Roman"/>
          <w:color w:val="000000"/>
          <w:sz w:val="32"/>
          <w:szCs w:val="32"/>
          <w:lang w:val="en-US" w:eastAsia="zh-CN"/>
          <w:highlight w:val="auto"/>
        </w:rPr>
        <w:t>月对预算绩效管理工作领导小组成员进行调整</w:t>
      </w:r>
      <w:r>
        <w:rPr>
          <w:rFonts w:ascii="Times New Roman" w:eastAsia="仿宋_GB2312" w:cs="Times New Roman" w:hAnsi="Times New Roman"/>
          <w:color w:val="000000"/>
          <w:sz w:val="32"/>
          <w:szCs w:val="32"/>
          <w:lang w:eastAsia="zh-CN"/>
          <w:highlight w:val="auto"/>
        </w:rPr>
        <w:t>，细化</w:t>
      </w:r>
      <w:r>
        <w:rPr>
          <w:rFonts w:ascii="Times New Roman" w:cs="Times New Roman" w:hAnsi="Times New Roman"/>
          <w:color w:val="000000"/>
          <w:sz w:val="32"/>
          <w:szCs w:val="32"/>
          <w:lang w:eastAsia="zh-CN"/>
          <w:highlight w:val="auto"/>
        </w:rPr>
        <w:t>了</w:t>
      </w:r>
      <w:r>
        <w:rPr>
          <w:rFonts w:ascii="Times New Roman" w:eastAsia="仿宋_GB2312" w:cs="Times New Roman" w:hAnsi="Times New Roman"/>
          <w:color w:val="000000"/>
          <w:sz w:val="32"/>
          <w:szCs w:val="32"/>
          <w:lang w:eastAsia="zh-CN"/>
          <w:highlight w:val="auto"/>
        </w:rPr>
        <w:t>领导小组主要职责、</w:t>
      </w:r>
      <w:r>
        <w:rPr>
          <w:rFonts w:ascii="Times New Roman" w:eastAsia="仿宋_GB2312" w:cs="Times New Roman" w:hAnsi="Times New Roman"/>
          <w:color w:val="000000"/>
          <w:sz w:val="32"/>
          <w:szCs w:val="32"/>
          <w:lang w:val="en-US" w:eastAsia="zh-CN"/>
          <w:highlight w:val="auto"/>
        </w:rPr>
        <w:t>领导小组办公室主要职责及工作细则。</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Times New Roman" w:eastAsia="仿宋_GB2312" w:cs="Times New Roman" w:hAnsi="Times New Roman"/>
          <w:sz w:val="32"/>
          <w:szCs w:val="32"/>
        </w:rPr>
      </w:pPr>
      <w:r>
        <w:rPr>
          <w:rFonts w:ascii="Times New Roman" w:eastAsia="仿宋_GB2312" w:cs="Times New Roman" w:hAnsi="Times New Roman"/>
          <w:kern w:val="2"/>
          <w:sz w:val="32"/>
          <w:szCs w:val="24"/>
          <w:lang w:val="en-US" w:eastAsia="zh-CN" w:bidi="ar-SA"/>
        </w:rPr>
        <w:t>财政重点绩效评价分为</w:t>
      </w:r>
      <w:r>
        <w:rPr>
          <w:rFonts w:cs="Times New Roman" w:hint="eastAsia"/>
          <w:kern w:val="2"/>
          <w:sz w:val="32"/>
          <w:szCs w:val="24"/>
          <w:lang w:val="en-US" w:eastAsia="zh-CN" w:bidi="ar-SA"/>
        </w:rPr>
        <w:t>四</w:t>
      </w:r>
      <w:r>
        <w:rPr>
          <w:rFonts w:ascii="Times New Roman" w:eastAsia="仿宋_GB2312" w:cs="Times New Roman" w:hAnsi="Times New Roman"/>
          <w:kern w:val="2"/>
          <w:sz w:val="32"/>
          <w:szCs w:val="24"/>
          <w:lang w:val="en-US" w:eastAsia="zh-CN" w:bidi="ar-SA"/>
        </w:rPr>
        <w:t>个阶段，分别是前期准备阶段、绩效评价实施</w:t>
      </w:r>
      <w:r>
        <w:rPr>
          <w:rFonts w:ascii="Times New Roman" w:eastAsia="仿宋_GB2312" w:cs="Times New Roman" w:hAnsi="Times New Roman"/>
          <w:sz w:val="32"/>
          <w:szCs w:val="32"/>
        </w:rPr>
        <w:t>阶段</w:t>
      </w:r>
      <w:r>
        <w:rPr>
          <w:rFonts w:cs="Times New Roman" w:hint="eastAsia"/>
          <w:sz w:val="32"/>
          <w:szCs w:val="32"/>
          <w:lang w:eastAsia="zh-CN"/>
        </w:rPr>
        <w:t>、</w:t>
      </w:r>
      <w:r>
        <w:rPr>
          <w:rFonts w:ascii="Times New Roman" w:eastAsia="仿宋_GB2312" w:cs="Times New Roman" w:hAnsi="Times New Roman"/>
          <w:sz w:val="32"/>
          <w:szCs w:val="32"/>
        </w:rPr>
        <w:t>撰写报告阶段</w:t>
      </w:r>
      <w:r>
        <w:rPr>
          <w:rFonts w:cs="Times New Roman" w:hint="eastAsia"/>
          <w:sz w:val="32"/>
          <w:szCs w:val="32"/>
          <w:lang w:eastAsia="zh-CN"/>
        </w:rPr>
        <w:t>和整改落实阶段</w:t>
      </w:r>
      <w:r>
        <w:rPr>
          <w:rFonts w:ascii="Times New Roman" w:eastAsia="仿宋_GB2312" w:cs="Times New Roman" w:hAnsi="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楷体_GB2312" w:eastAsia="楷体_GB2312" w:cs="楷体_GB2312" w:hint="eastAsia"/>
          <w:b/>
          <w:bCs w:val="0"/>
          <w:sz w:val="32"/>
          <w:szCs w:val="32"/>
          <w:lang w:eastAsia="zh-CN"/>
          <w:highlight w:val="auto"/>
        </w:rPr>
      </w:pPr>
      <w:r>
        <w:rPr>
          <w:rFonts w:ascii="楷体_GB2312" w:eastAsia="楷体_GB2312" w:cs="楷体_GB2312" w:hint="eastAsia"/>
          <w:b/>
          <w:bCs w:val="0"/>
          <w:sz w:val="32"/>
          <w:szCs w:val="32"/>
          <w:lang w:eastAsia="zh-CN"/>
          <w:highlight w:val="auto"/>
        </w:rPr>
        <w:t>（一）</w:t>
      </w:r>
      <w:r>
        <w:rPr>
          <w:rFonts w:ascii="楷体_GB2312" w:eastAsia="楷体_GB2312" w:cs="楷体_GB2312" w:hint="eastAsia"/>
          <w:b/>
          <w:bCs w:val="0"/>
          <w:sz w:val="32"/>
          <w:szCs w:val="32"/>
          <w:lang w:val="en-US" w:eastAsia="zh-CN"/>
          <w:highlight w:val="auto"/>
        </w:rPr>
        <w:t xml:space="preserve">前期准备阶段（7月） </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Chars="200" w:firstLine="632"/>
        <w:jc w:val="left"/>
        <w:textAlignment w:val="auto"/>
        <w:rPr>
          <w:rFonts w:ascii="仿宋_GB2312" w:eastAsia="仿宋_GB2312" w:cs="仿宋_GB2312" w:hint="eastAsia"/>
          <w:color w:val="000000"/>
          <w:sz w:val="32"/>
          <w:szCs w:val="32"/>
          <w:lang w:val="en-US" w:eastAsia="zh-CN"/>
        </w:rPr>
      </w:pPr>
      <w:r>
        <w:rPr>
          <w:rFonts w:ascii="Times New Roman" w:eastAsia="仿宋_GB2312" w:cs="Times New Roman" w:hAnsi="Times New Roman"/>
          <w:color w:val="000000"/>
          <w:sz w:val="32"/>
          <w:szCs w:val="32"/>
          <w:lang w:val="en-US" w:eastAsia="zh-CN"/>
          <w:highlight w:val="auto"/>
        </w:rPr>
        <w:t>预算绩效管理工作领导小组</w:t>
      </w:r>
      <w:r>
        <w:rPr>
          <w:rFonts w:ascii="Times New Roman" w:eastAsia="仿宋_GB2312" w:cs="Times New Roman" w:hAnsi="Times New Roman"/>
          <w:sz w:val="32"/>
          <w:szCs w:val="32"/>
        </w:rPr>
        <w:t>，</w:t>
      </w:r>
      <w:r>
        <w:rPr>
          <w:rFonts w:ascii="Times New Roman" w:eastAsia="仿宋_GB2312" w:cs="Times New Roman" w:hAnsi="Times New Roman"/>
          <w:color w:val="000000"/>
          <w:kern w:val="0"/>
          <w:sz w:val="32"/>
          <w:szCs w:val="32"/>
          <w:lang w:val="en-US" w:eastAsia="zh-CN"/>
        </w:rPr>
        <w:t>制定评价工作方案，</w:t>
      </w:r>
      <w:r>
        <w:rPr>
          <w:rFonts w:ascii="Times New Roman" w:eastAsia="仿宋_GB2312" w:cs="Times New Roman" w:hAnsi="Times New Roman"/>
          <w:sz w:val="32"/>
          <w:szCs w:val="32"/>
        </w:rPr>
        <w:t>完善指标体系，</w:t>
      </w:r>
      <w:r>
        <w:rPr>
          <w:rFonts w:ascii="Times New Roman" w:eastAsia="仿宋_GB2312" w:cs="Times New Roman" w:hAnsi="Times New Roman"/>
          <w:color w:val="000000"/>
          <w:kern w:val="0"/>
          <w:sz w:val="32"/>
          <w:szCs w:val="32"/>
          <w:lang w:val="en-US" w:eastAsia="zh-CN"/>
        </w:rPr>
        <w:t>重点关注乡村振兴、生态环保、产业发展等领域相关项目</w:t>
      </w:r>
      <w:r>
        <w:rPr>
          <w:rFonts w:ascii="Times New Roman" w:eastAsia="仿宋_GB2312" w:cs="Times New Roman" w:hAnsi="Times New Roman"/>
          <w:kern w:val="2"/>
          <w:sz w:val="32"/>
          <w:szCs w:val="32"/>
          <w:lang w:val="en-US" w:eastAsia="zh-CN" w:bidi="ar-SA"/>
        </w:rPr>
        <w:t>，经征求多方意见并反复筛选后，</w:t>
      </w:r>
      <w:r>
        <w:rPr>
          <w:rFonts w:cs="Times New Roman" w:hint="eastAsia"/>
          <w:b/>
          <w:bCs/>
          <w:kern w:val="2"/>
          <w:sz w:val="32"/>
          <w:szCs w:val="32"/>
          <w:lang w:val="en-US" w:eastAsia="zh-CN" w:bidi="ar-SA"/>
        </w:rPr>
        <w:t>一是</w:t>
      </w:r>
      <w:r>
        <w:rPr>
          <w:rFonts w:cs="Times New Roman" w:hint="eastAsia"/>
          <w:kern w:val="2"/>
          <w:sz w:val="32"/>
          <w:szCs w:val="32"/>
          <w:lang w:val="en-US" w:eastAsia="zh-CN" w:bidi="ar-SA"/>
        </w:rPr>
        <w:t>确定</w:t>
      </w:r>
      <w:r>
        <w:rPr>
          <w:rFonts w:ascii="仿宋_GB2312" w:cs="仿宋_GB2312" w:hint="eastAsia"/>
          <w:u w:val="none"/>
          <w:lang w:eastAsia="zh-CN"/>
        </w:rPr>
        <w:t>对</w:t>
      </w:r>
      <w:r>
        <w:rPr>
          <w:rFonts w:ascii="仿宋_GB2312" w:eastAsia="仿宋_GB2312" w:cs="仿宋_GB2312" w:hint="eastAsia"/>
          <w:u w:val="none"/>
          <w:lang w:val="en-US" w:eastAsia="zh-CN"/>
        </w:rPr>
        <w:t>金川县烈士陵园维修改造项目、中央支持地方公共文化服务体系建设补助资金、2023年提前批新增一般债券资金、大渡河右岸金川县沙耳段堤防工程、医疗服务能力提升</w:t>
      </w:r>
      <w:r>
        <w:rPr>
          <w:rFonts w:ascii="仿宋_GB2312" w:eastAsia="仿宋_GB2312" w:cs="仿宋_GB2312" w:hint="eastAsia"/>
          <w:u w:val="none"/>
          <w:lang w:eastAsia="zh-CN"/>
        </w:rPr>
        <w:t>等</w:t>
      </w:r>
      <w:r>
        <w:rPr>
          <w:rFonts w:ascii="仿宋_GB2312" w:eastAsia="仿宋_GB2312" w:cs="仿宋_GB2312" w:hint="eastAsia"/>
          <w:u w:val="none"/>
          <w:lang w:val="en-US" w:eastAsia="zh-CN"/>
        </w:rPr>
        <w:t>76</w:t>
      </w:r>
      <w:r>
        <w:rPr>
          <w:rFonts w:ascii="仿宋_GB2312" w:eastAsia="仿宋_GB2312" w:cs="仿宋_GB2312" w:hint="eastAsia"/>
          <w:u w:val="none"/>
          <w:lang w:eastAsia="zh-CN"/>
        </w:rPr>
        <w:t>个项目，</w:t>
      </w:r>
      <w:r>
        <w:rPr>
          <w:rFonts w:ascii="仿宋_GB2312" w:cs="仿宋_GB2312" w:hint="eastAsia"/>
          <w:u w:val="none"/>
          <w:lang w:eastAsia="zh-CN"/>
        </w:rPr>
        <w:t>开展</w:t>
      </w:r>
      <w:r>
        <w:rPr>
          <w:rFonts w:ascii="仿宋_GB2312" w:eastAsia="仿宋_GB2312" w:cs="仿宋_GB2312" w:hint="eastAsia"/>
          <w:u w:val="none"/>
          <w:lang w:eastAsia="zh-CN"/>
        </w:rPr>
        <w:t>项目绩效评价。</w:t>
      </w:r>
      <w:r>
        <w:rPr>
          <w:rFonts w:ascii="仿宋_GB2312" w:cs="仿宋_GB2312" w:hint="eastAsia"/>
          <w:b/>
          <w:bCs/>
          <w:u w:val="none"/>
          <w:lang w:eastAsia="zh-CN"/>
        </w:rPr>
        <w:t>二是</w:t>
      </w:r>
      <w:r>
        <w:rPr>
          <w:rFonts w:ascii="仿宋_GB2312" w:cs="仿宋_GB2312" w:hint="eastAsia"/>
          <w:b w:val="0"/>
          <w:bCs w:val="0"/>
          <w:u w:val="none"/>
          <w:lang w:eastAsia="zh-CN"/>
        </w:rPr>
        <w:t>确定</w:t>
      </w:r>
      <w:r>
        <w:rPr>
          <w:rFonts w:ascii="仿宋_GB2312" w:cs="仿宋_GB2312" w:hint="eastAsia"/>
          <w:u w:val="none"/>
          <w:lang w:eastAsia="zh-CN"/>
        </w:rPr>
        <w:t>对</w:t>
      </w:r>
      <w:r>
        <w:rPr>
          <w:rFonts w:ascii="仿宋_GB2312" w:eastAsia="仿宋_GB2312" w:cs="仿宋_GB2312" w:hint="eastAsia"/>
          <w:u w:val="none"/>
          <w:lang w:eastAsia="zh-CN"/>
        </w:rPr>
        <w:t>支持学前教育发展资金、2022年自然灾害救灾资金（冬春临时生活困难补助）、2023年中央财政农业资源及生态保护补助资金、2023年在中央财政林业生态保护恢复资金、重大公共卫生等</w:t>
      </w:r>
      <w:r>
        <w:rPr>
          <w:rFonts w:ascii="仿宋_GB2312" w:eastAsia="仿宋_GB2312" w:cs="仿宋_GB2312" w:hint="eastAsia"/>
          <w:u w:val="none"/>
          <w:lang w:val="en-US" w:eastAsia="zh-CN"/>
        </w:rPr>
        <w:t>24</w:t>
      </w:r>
      <w:r>
        <w:rPr>
          <w:rFonts w:ascii="仿宋_GB2312" w:cs="仿宋_GB2312" w:hint="eastAsia"/>
          <w:u w:val="none"/>
          <w:lang w:eastAsia="zh-CN"/>
        </w:rPr>
        <w:t>个财政</w:t>
      </w:r>
      <w:r>
        <w:rPr>
          <w:rFonts w:ascii="仿宋_GB2312" w:eastAsia="仿宋_GB2312" w:cs="仿宋_GB2312" w:hint="eastAsia"/>
          <w:u w:val="none"/>
          <w:lang w:eastAsia="zh-CN"/>
        </w:rPr>
        <w:t>政策</w:t>
      </w:r>
      <w:r>
        <w:rPr>
          <w:rFonts w:ascii="仿宋_GB2312" w:eastAsia="仿宋_GB2312" w:cs="仿宋_GB2312" w:hint="eastAsia"/>
          <w:color w:val="000000"/>
          <w:sz w:val="32"/>
          <w:szCs w:val="32"/>
          <w:lang w:val="en-US" w:eastAsia="zh-CN"/>
        </w:rPr>
        <w:t>，开展财政政策重点绩效评价。</w:t>
      </w:r>
      <w:r>
        <w:rPr>
          <w:rFonts w:ascii="仿宋_GB2312" w:cs="仿宋_GB2312" w:hint="eastAsia"/>
          <w:b/>
          <w:bCs/>
          <w:kern w:val="2"/>
          <w:sz w:val="32"/>
          <w:szCs w:val="32"/>
          <w:lang w:val="en-US" w:eastAsia="zh-CN" w:bidi="ar-SA"/>
        </w:rPr>
        <w:t>三是</w:t>
      </w:r>
      <w:r>
        <w:rPr>
          <w:rFonts w:ascii="仿宋_GB2312" w:cs="仿宋_GB2312" w:hint="eastAsia"/>
          <w:b w:val="0"/>
          <w:bCs w:val="0"/>
          <w:kern w:val="2"/>
          <w:sz w:val="32"/>
          <w:szCs w:val="32"/>
          <w:lang w:val="en-US" w:eastAsia="zh-CN" w:bidi="ar-SA"/>
        </w:rPr>
        <w:t>确定对</w:t>
      </w:r>
      <w:r>
        <w:rPr>
          <w:rFonts w:ascii="仿宋_GB2312" w:eastAsia="仿宋_GB2312" w:cs="仿宋_GB2312" w:hint="eastAsia"/>
          <w:kern w:val="2"/>
          <w:sz w:val="32"/>
          <w:szCs w:val="32"/>
          <w:lang w:val="en-US" w:eastAsia="zh-CN" w:bidi="ar-SA"/>
        </w:rPr>
        <w:t>了</w:t>
      </w:r>
      <w:r>
        <w:rPr>
          <w:rFonts w:ascii="仿宋_GB2312" w:eastAsia="仿宋_GB2312" w:cs="仿宋_GB2312" w:hint="eastAsia"/>
          <w:u w:val="none"/>
          <w:lang w:eastAsia="zh-CN"/>
        </w:rPr>
        <w:t>县纪委、县档案馆、县委统战部、县妇联、县工商联等</w:t>
      </w:r>
      <w:r>
        <w:rPr>
          <w:rFonts w:ascii="仿宋_GB2312" w:eastAsia="仿宋_GB2312" w:cs="仿宋_GB2312" w:hint="eastAsia"/>
          <w:u w:val="none"/>
          <w:lang w:val="en-US" w:eastAsia="zh-CN"/>
        </w:rPr>
        <w:t>22</w:t>
      </w:r>
      <w:r>
        <w:rPr>
          <w:rFonts w:ascii="仿宋_GB2312" w:eastAsia="仿宋_GB2312" w:cs="仿宋_GB2312" w:hint="eastAsia"/>
          <w:u w:val="none"/>
          <w:lang w:eastAsia="zh-CN"/>
        </w:rPr>
        <w:t>个县级部门（乡镇），开展部门整体绩效评价，</w:t>
      </w:r>
      <w:r>
        <w:rPr>
          <w:rFonts w:ascii="仿宋_GB2312" w:cs="仿宋_GB2312" w:hint="eastAsia"/>
          <w:b/>
          <w:bCs/>
          <w:color w:val="000000"/>
          <w:sz w:val="32"/>
          <w:szCs w:val="32"/>
          <w:lang w:val="en-US" w:eastAsia="zh-CN"/>
        </w:rPr>
        <w:t>四是</w:t>
      </w:r>
      <w:r>
        <w:rPr>
          <w:rFonts w:ascii="仿宋_GB2312" w:cs="仿宋_GB2312" w:hint="eastAsia"/>
          <w:color w:val="000000"/>
          <w:sz w:val="32"/>
          <w:szCs w:val="32"/>
          <w:lang w:val="en-US" w:eastAsia="zh-CN"/>
        </w:rPr>
        <w:t>确定对</w:t>
      </w:r>
      <w:r>
        <w:rPr>
          <w:rFonts w:ascii="仿宋_GB2312" w:eastAsia="仿宋_GB2312" w:cs="仿宋_GB2312" w:hint="eastAsia"/>
          <w:color w:val="000000"/>
          <w:sz w:val="32"/>
          <w:szCs w:val="32"/>
          <w:lang w:val="en-US" w:eastAsia="zh-CN"/>
        </w:rPr>
        <w:t>金川县党史研究和地方志编纂中心和审计局等2个部门，开展国有资产管理评价。</w:t>
      </w:r>
      <w:r>
        <w:rPr>
          <w:rFonts w:ascii="仿宋_GB2312" w:cs="仿宋_GB2312" w:hint="eastAsia"/>
          <w:color w:val="000000"/>
          <w:sz w:val="32"/>
          <w:szCs w:val="32"/>
          <w:lang w:val="en-US" w:eastAsia="zh-CN"/>
        </w:rPr>
        <w:t>此次</w:t>
      </w:r>
      <w:r>
        <w:rPr>
          <w:rFonts w:ascii="仿宋_GB2312" w:eastAsia="仿宋_GB2312" w:cs="仿宋_GB2312" w:hint="eastAsia"/>
          <w:color w:val="000000"/>
          <w:sz w:val="32"/>
          <w:szCs w:val="32"/>
          <w:lang w:val="en-US" w:eastAsia="zh-CN"/>
        </w:rPr>
        <w:t>政策（项目）绩效评价包含政府性基金或社保基金项目</w:t>
      </w:r>
      <w:r>
        <w:rPr>
          <w:rFonts w:ascii="仿宋_GB2312" w:eastAsia="仿宋_GB2312" w:cs="仿宋_GB2312" w:hint="eastAsia"/>
          <w:snapToGrid/>
          <w:spacing w:val="0"/>
          <w:w w:val="100"/>
          <w:kern w:val="2"/>
          <w:position w:val="0"/>
          <w:sz w:val="32"/>
          <w:szCs w:val="32"/>
          <w:u w:val="none"/>
          <w:vertAlign w:val="baseline"/>
          <w:lang w:val="en-US" w:eastAsia="zh-CN" w:bidi="ar-SA"/>
        </w:rPr>
        <w:t>6</w:t>
      </w:r>
      <w:r>
        <w:rPr>
          <w:rFonts w:ascii="仿宋_GB2312" w:eastAsia="仿宋_GB2312" w:cs="仿宋_GB2312" w:hint="eastAsia"/>
          <w:color w:val="000000"/>
          <w:sz w:val="32"/>
          <w:szCs w:val="32"/>
          <w:lang w:val="en-US" w:eastAsia="zh-CN"/>
        </w:rPr>
        <w:t>个</w:t>
      </w:r>
      <w:r>
        <w:rPr>
          <w:rFonts w:ascii="仿宋_GB2312" w:eastAsia="仿宋_GB2312" w:cs="仿宋_GB2312" w:hint="eastAsia"/>
          <w:snapToGrid/>
          <w:spacing w:val="0"/>
          <w:w w:val="100"/>
          <w:kern w:val="2"/>
          <w:position w:val="0"/>
          <w:sz w:val="32"/>
          <w:szCs w:val="32"/>
          <w:u w:val="none"/>
          <w:vertAlign w:val="baseline"/>
          <w:lang w:val="en-US" w:eastAsia="zh-CN" w:bidi="ar-SA"/>
        </w:rPr>
        <w:t>1600.64</w:t>
      </w:r>
      <w:r>
        <w:rPr>
          <w:rFonts w:ascii="仿宋_GB2312" w:eastAsia="仿宋_GB2312" w:cs="仿宋_GB2312" w:hint="eastAsia"/>
          <w:color w:val="000000"/>
          <w:sz w:val="32"/>
          <w:szCs w:val="32"/>
          <w:lang w:val="en-US" w:eastAsia="zh-CN"/>
        </w:rPr>
        <w:t>万元、政府债券项目1个875万元，采购项目</w:t>
      </w:r>
      <w:r>
        <w:rPr>
          <w:rFonts w:ascii="仿宋_GB2312" w:eastAsia="仿宋_GB2312" w:cs="仿宋_GB2312" w:hint="eastAsia"/>
          <w:snapToGrid/>
          <w:spacing w:val="0"/>
          <w:w w:val="100"/>
          <w:kern w:val="2"/>
          <w:position w:val="0"/>
          <w:sz w:val="32"/>
          <w:szCs w:val="32"/>
          <w:u w:val="none"/>
          <w:vertAlign w:val="baseline"/>
          <w:lang w:val="en-US" w:eastAsia="zh-CN" w:bidi="ar-SA"/>
        </w:rPr>
        <w:t>9</w:t>
      </w:r>
      <w:r>
        <w:rPr>
          <w:rFonts w:ascii="仿宋_GB2312" w:eastAsia="仿宋_GB2312" w:cs="仿宋_GB2312" w:hint="eastAsia"/>
          <w:color w:val="000000"/>
          <w:sz w:val="32"/>
          <w:szCs w:val="32"/>
          <w:lang w:val="en-US" w:eastAsia="zh-CN"/>
        </w:rPr>
        <w:t>个</w:t>
      </w:r>
      <w:r>
        <w:rPr>
          <w:rFonts w:ascii="仿宋_GB2312" w:eastAsia="仿宋_GB2312" w:cs="仿宋_GB2312" w:hint="eastAsia"/>
          <w:snapToGrid/>
          <w:spacing w:val="0"/>
          <w:w w:val="100"/>
          <w:kern w:val="2"/>
          <w:position w:val="0"/>
          <w:sz w:val="32"/>
          <w:szCs w:val="32"/>
          <w:u w:val="none"/>
          <w:vertAlign w:val="baseline"/>
          <w:lang w:val="en-US" w:eastAsia="zh-CN" w:bidi="ar-SA"/>
        </w:rPr>
        <w:t>1664.83</w:t>
      </w:r>
      <w:r>
        <w:rPr>
          <w:rFonts w:ascii="仿宋_GB2312" w:eastAsia="仿宋_GB2312" w:cs="仿宋_GB2312" w:hint="eastAsia"/>
          <w:color w:val="000000"/>
          <w:sz w:val="32"/>
          <w:szCs w:val="32"/>
          <w:lang w:val="en-US" w:eastAsia="zh-CN"/>
        </w:rPr>
        <w:t>万元。</w:t>
      </w:r>
    </w:p>
    <w:tbl>
      <w:tblPr>
        <w:jc w:val="left"/>
        <w:tblInd w:w="0" w:type="dxa"/>
        <w:tblW w:w="891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080"/>
        <w:gridCol w:w="4546"/>
        <w:gridCol w:w="3284"/>
      </w:tblGrid>
      <w:tr>
        <w:trPr>
          <w:trHeight w:val="495"/>
        </w:trPr>
        <w:tc>
          <w:tcPr>
            <w:tcW w:w="8910"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36"/>
                <w:szCs w:val="36"/>
                <w:u w:val="none"/>
              </w:rPr>
            </w:pPr>
            <w:r>
              <w:rPr>
                <w:rFonts w:ascii="宋体" w:eastAsia="宋体" w:cs="宋体" w:hint="eastAsia"/>
                <w:b/>
                <w:i w:val="0"/>
                <w:color w:val="000000"/>
                <w:kern w:val="0"/>
                <w:sz w:val="36"/>
                <w:szCs w:val="36"/>
                <w:u w:val="none"/>
                <w:lang w:val="en-US" w:eastAsia="zh-CN"/>
              </w:rPr>
              <w:t>2024年县级财政重点绩效评价县级部门选取表</w:t>
            </w:r>
          </w:p>
        </w:tc>
      </w:tr>
      <w:tr>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序号</w:t>
            </w:r>
          </w:p>
        </w:tc>
        <w:tc>
          <w:tcPr>
            <w:tcW w:w="45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22"/>
                <w:szCs w:val="22"/>
                <w:u w:val="none"/>
              </w:rPr>
            </w:pPr>
            <w:r>
              <w:rPr>
                <w:rFonts w:ascii="宋体" w:eastAsia="宋体" w:cs="宋体" w:hint="eastAsia"/>
                <w:b/>
                <w:i w:val="0"/>
                <w:color w:val="000000"/>
                <w:kern w:val="0"/>
                <w:sz w:val="22"/>
                <w:szCs w:val="22"/>
                <w:u w:val="none"/>
                <w:lang w:val="en-US" w:eastAsia="zh-CN"/>
              </w:rPr>
              <w:t>单位名称</w:t>
            </w:r>
          </w:p>
        </w:tc>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22"/>
                <w:szCs w:val="22"/>
                <w:u w:val="none"/>
              </w:rPr>
            </w:pPr>
            <w:r>
              <w:rPr>
                <w:rFonts w:ascii="宋体" w:eastAsia="宋体" w:cs="宋体" w:hint="eastAsia"/>
                <w:b/>
                <w:i w:val="0"/>
                <w:color w:val="000000"/>
                <w:kern w:val="0"/>
                <w:sz w:val="22"/>
                <w:szCs w:val="22"/>
                <w:u w:val="none"/>
                <w:lang w:val="en-US" w:eastAsia="zh-CN"/>
              </w:rPr>
              <w:t>价内容</w:t>
            </w:r>
          </w:p>
        </w:tc>
      </w:tr>
      <w:tr>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8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中共金川县纪委本级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金川县档案馆本级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中共金川县委统一战线工作部本级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金川县妇女联合会本级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金川县工商业联合会本级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金川县人力资源和社会保障局本级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金川县自然资源局本级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金川县人民医院</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金川县交通局</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金川县应急管理局（行政）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金川县统计局（行政）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金川县红十字会（行政）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金川县市政公用业服务中心</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金川县残疾人联合会（行政）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毛日乡人民政府（行政）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二嘎里乡人民政府（行政）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17</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庆宁乡人民政府（行政）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18</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河东乡人民政府（行政）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19</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河西乡人民政府（行政）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独松乡人民政府（行政）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21</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安宁镇人民政府（行政）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22</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卡撒乡人民政府（行政）</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2023年部门整体支出绩效评价</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23</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Arial" w:eastAsia="宋体" w:cs="Arial" w:hAnsi="Arial"/>
                <w:i w:val="0"/>
                <w:color w:val="000000"/>
                <w:sz w:val="20"/>
                <w:szCs w:val="20"/>
                <w:u w:val="none"/>
              </w:rPr>
            </w:pPr>
            <w:r>
              <w:rPr>
                <w:rFonts w:ascii="Arial" w:eastAsia="宋体" w:cs="Arial" w:hAnsi="Arial"/>
                <w:i w:val="0"/>
                <w:color w:val="000000"/>
                <w:kern w:val="0"/>
                <w:sz w:val="20"/>
                <w:szCs w:val="20"/>
                <w:u w:val="none"/>
                <w:lang w:val="en-US" w:eastAsia="zh-CN"/>
              </w:rPr>
              <w:t>金川县党史研究和地方志编纂中心本级</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仿宋_GB2312" w:eastAsia="仿宋_GB2312" w:cs="仿宋_GB2312"/>
                <w:i w:val="0"/>
                <w:color w:val="000000"/>
                <w:sz w:val="24"/>
                <w:szCs w:val="24"/>
                <w:u w:val="single"/>
              </w:rPr>
            </w:pPr>
            <w:r>
              <w:rPr>
                <w:rFonts w:ascii="仿宋_GB2312" w:eastAsia="仿宋_GB2312" w:cs="仿宋_GB2312" w:hint="eastAsia"/>
                <w:i w:val="0"/>
                <w:color w:val="000000"/>
                <w:kern w:val="0"/>
                <w:sz w:val="24"/>
                <w:szCs w:val="24"/>
                <w:u w:val="single"/>
                <w:lang w:val="en-US" w:eastAsia="zh-CN"/>
              </w:rPr>
              <w:t>国有资产</w:t>
            </w:r>
          </w:p>
        </w:tc>
      </w:tr>
      <w:tr>
        <w:trPr>
          <w:trHeight w:val="286"/>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24</w:t>
            </w:r>
          </w:p>
        </w:tc>
        <w:tc>
          <w:tcPr>
            <w:tcW w:w="4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审计局</w:t>
            </w:r>
          </w:p>
        </w:tc>
        <w:tc>
          <w:tcPr>
            <w:tcW w:w="32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仿宋_GB2312" w:eastAsia="仿宋_GB2312" w:cs="仿宋_GB2312" w:hint="eastAsia"/>
                <w:i w:val="0"/>
                <w:color w:val="000000"/>
                <w:sz w:val="24"/>
                <w:szCs w:val="24"/>
                <w:u w:val="single"/>
              </w:rPr>
            </w:pPr>
            <w:r>
              <w:rPr>
                <w:rFonts w:ascii="仿宋_GB2312" w:eastAsia="仿宋_GB2312" w:cs="仿宋_GB2312" w:hint="eastAsia"/>
                <w:i w:val="0"/>
                <w:color w:val="000000"/>
                <w:kern w:val="0"/>
                <w:sz w:val="24"/>
                <w:szCs w:val="24"/>
                <w:u w:val="single"/>
                <w:lang w:val="en-US" w:eastAsia="zh-CN"/>
              </w:rPr>
              <w:t>国有资产</w:t>
            </w:r>
          </w:p>
        </w:tc>
      </w:tr>
    </w:tbl>
    <w:p>
      <w:pPr>
        <w:pStyle w:val="17"/>
        <w:rPr>
          <w:lang w:val="en-US" w:eastAsia="zh-CN"/>
        </w:rPr>
      </w:pPr>
    </w:p>
    <w:p>
      <w:pPr>
        <w:rPr>
          <w:lang w:val="en-US" w:eastAsia="zh-CN"/>
        </w:rPr>
      </w:pPr>
    </w:p>
    <w:tbl>
      <w:tblPr>
        <w:jc w:val="left"/>
        <w:tblInd w:w="0" w:type="dxa"/>
        <w:tblW w:w="9331"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427"/>
        <w:gridCol w:w="2015"/>
        <w:gridCol w:w="2796"/>
        <w:gridCol w:w="1316"/>
        <w:gridCol w:w="1599"/>
        <w:gridCol w:w="1178"/>
      </w:tblGrid>
      <w:tr>
        <w:trPr>
          <w:trHeight w:val="454"/>
        </w:trPr>
        <w:tc>
          <w:tcPr>
            <w:tcW w:w="9331"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36"/>
                <w:szCs w:val="36"/>
                <w:u w:val="none"/>
              </w:rPr>
            </w:pPr>
            <w:r>
              <w:rPr>
                <w:rFonts w:ascii="宋体" w:eastAsia="宋体" w:cs="宋体" w:hint="eastAsia"/>
                <w:b/>
                <w:bCs/>
                <w:i w:val="0"/>
                <w:color w:val="000000"/>
                <w:kern w:val="0"/>
                <w:sz w:val="36"/>
                <w:szCs w:val="36"/>
                <w:u w:val="none"/>
                <w:lang w:val="en-US" w:eastAsia="zh-CN"/>
              </w:rPr>
              <w:t>2024年县级财政重点绩效评价政策（项目）选取表</w:t>
            </w:r>
          </w:p>
        </w:tc>
      </w:tr>
      <w:tr>
        <w:trPr>
          <w:trHeight w:val="454"/>
        </w:trPr>
        <w:tc>
          <w:tcPr>
            <w:tcW w:w="427" w:type="dxa"/>
            <w:tcBorders>
              <w:top w:val="nil"/>
              <w:left w:val="nil"/>
              <w:bottom w:val="nil"/>
              <w:right w:val="nil"/>
            </w:tcBorders>
            <w:shd w:val="clear" w:color="auto" w:fill="auto"/>
            <w:noWrap/>
            <w:vAlign w:val="center"/>
          </w:tcPr>
          <w:p>
            <w:pPr>
              <w:rPr>
                <w:rFonts w:ascii="宋体" w:eastAsia="宋体" w:cs="宋体" w:hint="eastAsia"/>
                <w:i w:val="0"/>
                <w:color w:val="000000"/>
                <w:sz w:val="24"/>
                <w:szCs w:val="24"/>
                <w:u w:val="none"/>
              </w:rPr>
            </w:pPr>
          </w:p>
        </w:tc>
        <w:tc>
          <w:tcPr>
            <w:tcW w:w="2015" w:type="dxa"/>
            <w:tcBorders>
              <w:top w:val="nil"/>
              <w:left w:val="nil"/>
              <w:bottom w:val="nil"/>
              <w:right w:val="nil"/>
            </w:tcBorders>
            <w:shd w:val="clear" w:color="auto" w:fill="auto"/>
            <w:noWrap/>
            <w:vAlign w:val="center"/>
          </w:tcPr>
          <w:p>
            <w:pPr>
              <w:jc w:val="left"/>
              <w:rPr>
                <w:rFonts w:ascii="宋体" w:eastAsia="宋体" w:cs="宋体" w:hint="eastAsia"/>
                <w:i w:val="0"/>
                <w:color w:val="000000"/>
                <w:sz w:val="24"/>
                <w:szCs w:val="24"/>
                <w:u w:val="none"/>
              </w:rPr>
            </w:pPr>
          </w:p>
        </w:tc>
        <w:tc>
          <w:tcPr>
            <w:tcW w:w="2796" w:type="dxa"/>
            <w:tcBorders>
              <w:top w:val="nil"/>
              <w:left w:val="nil"/>
              <w:bottom w:val="nil"/>
              <w:right w:val="nil"/>
            </w:tcBorders>
            <w:shd w:val="clear" w:color="auto" w:fill="auto"/>
            <w:noWrap/>
            <w:vAlign w:val="center"/>
          </w:tcPr>
          <w:p>
            <w:pPr>
              <w:jc w:val="center"/>
              <w:rPr>
                <w:rFonts w:ascii="宋体" w:eastAsia="宋体" w:cs="宋体" w:hint="eastAsia"/>
                <w:i w:val="0"/>
                <w:color w:val="000000"/>
                <w:sz w:val="24"/>
                <w:szCs w:val="24"/>
                <w:u w:val="none"/>
              </w:rPr>
            </w:pPr>
          </w:p>
        </w:tc>
        <w:tc>
          <w:tcPr>
            <w:tcW w:w="1316" w:type="dxa"/>
            <w:tcBorders>
              <w:top w:val="nil"/>
              <w:left w:val="nil"/>
              <w:bottom w:val="nil"/>
              <w:right w:val="nil"/>
            </w:tcBorders>
            <w:shd w:val="clear" w:color="auto" w:fill="auto"/>
            <w:noWrap/>
            <w:vAlign w:val="center"/>
          </w:tcPr>
          <w:p>
            <w:pPr>
              <w:jc w:val="center"/>
              <w:rPr>
                <w:rFonts w:ascii="宋体" w:eastAsia="宋体" w:cs="宋体" w:hint="eastAsia"/>
                <w:i w:val="0"/>
                <w:color w:val="000000"/>
                <w:sz w:val="24"/>
                <w:szCs w:val="24"/>
                <w:u w:val="none"/>
              </w:rPr>
            </w:pPr>
          </w:p>
        </w:tc>
        <w:tc>
          <w:tcPr>
            <w:tcW w:w="1599" w:type="dxa"/>
            <w:tcBorders>
              <w:top w:val="nil"/>
              <w:left w:val="nil"/>
              <w:bottom w:val="nil"/>
              <w:right w:val="nil"/>
            </w:tcBorders>
            <w:shd w:val="clear" w:color="auto" w:fill="auto"/>
            <w:noWrap/>
            <w:vAlign w:val="center"/>
          </w:tcPr>
          <w:p>
            <w:pPr>
              <w:jc w:val="center"/>
              <w:rPr>
                <w:rFonts w:ascii="宋体" w:eastAsia="宋体" w:cs="宋体" w:hint="eastAsia"/>
                <w:i w:val="0"/>
                <w:color w:val="000000"/>
                <w:sz w:val="24"/>
                <w:szCs w:val="24"/>
                <w:u w:val="none"/>
              </w:rPr>
            </w:pPr>
          </w:p>
        </w:tc>
        <w:tc>
          <w:tcPr>
            <w:tcW w:w="1178" w:type="dxa"/>
            <w:tcBorders>
              <w:top w:val="nil"/>
              <w:left w:val="nil"/>
              <w:bottom w:val="nil"/>
              <w:right w:val="nil"/>
            </w:tcBorders>
            <w:shd w:val="clear" w:color="auto" w:fill="auto"/>
            <w:noWrap/>
            <w:vAlign w:val="center"/>
          </w:tcPr>
          <w:p>
            <w:pPr>
              <w:rPr>
                <w:rFonts w:ascii="宋体" w:eastAsia="宋体" w:cs="宋体" w:hint="eastAsia"/>
                <w:i w:val="0"/>
                <w:color w:val="000000"/>
                <w:sz w:val="24"/>
                <w:szCs w:val="24"/>
                <w:u w:val="none"/>
              </w:rPr>
            </w:pPr>
          </w:p>
        </w:tc>
      </w:tr>
      <w:tr>
        <w:trPr>
          <w:trHeight w:val="454"/>
        </w:trPr>
        <w:tc>
          <w:tcPr>
            <w:tcW w:w="42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序号</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主管部门</w:t>
            </w:r>
          </w:p>
        </w:tc>
        <w:tc>
          <w:tcPr>
            <w:tcW w:w="279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项目名称</w:t>
            </w:r>
          </w:p>
        </w:tc>
        <w:tc>
          <w:tcPr>
            <w:tcW w:w="13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资金性质</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评价类别</w:t>
            </w:r>
          </w:p>
        </w:tc>
        <w:tc>
          <w:tcPr>
            <w:tcW w:w="11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金额（万元）</w:t>
            </w:r>
          </w:p>
        </w:tc>
      </w:tr>
      <w:tr>
        <w:trPr>
          <w:trHeight w:val="454"/>
        </w:trPr>
        <w:tc>
          <w:tcPr>
            <w:tcW w:w="4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7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退役军人事务局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金川县烈士陵园维修改造项目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政府性基金预算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住房和城乡建设局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2023年省级财政城镇保障性安居工程补助（老旧小区改造）</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94.00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支持学前教育发展资金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627.84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文化体育和旅游局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中央支持地方公共文化服务体系建设补助资金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91.28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高中助学金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56.00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文化体育和旅游局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中央集中彩票公益金支持体育事业专项资金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政府性基金预算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第四批省级科技计划项目专项资金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金川县交通局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2023年提前批新增一般债券资金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政府债券</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875.00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金川县应急管理局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2022年自然灾害救灾资金（冬春临时生活困难补助）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金川县消防救援大队</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金川县消防基础设施建设项目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680.00 </w:t>
            </w:r>
          </w:p>
        </w:tc>
      </w:tr>
      <w:tr>
        <w:trPr>
          <w:trHeight w:val="66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金川县水务局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金川县崇化水利工程渠系配套</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225.04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金川县交通局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重点领域部分工程款</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1500.00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县文化体育和旅游局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老街旅游基础设施建设项目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884.37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金川县水务局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大渡河右岸沙耳段堤防工程</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1323.00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县住房和城乡建设局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勒乌镇滨河路市政基础设施</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906.50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金川县林业和草原局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2023年中央财政林业改革发展资金预算（非国有生态保护补偿）</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2838.37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勒乌镇人民政</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勒乌镇二甲村线碉沟河堤堡坎灾后恢复项目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沙耳乡人民政府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金川县沙耳乡丹扎木村乡村产业道路建设项目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56.00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沙耳乡人民政府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金川县沙耳乡丹扎木村节能亮化项目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54.00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县畜牧兽医服务中心</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2023年中央财政农业资源及生态保护补助资金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1023.05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县畜牧兽医服务中心</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2023年中央财政农业生产和水利救灾资金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81.00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县畜牧兽医服务中心</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2022年度阿坝州星级现代农业园区州级财政奖补资金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金川县水务局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2023年中央农业防灾减灾和水利救灾资金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94.00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金川县水务局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2023年大中型水库移民直发直补缺口资金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政府性基金预算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110.45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金川县发展改革和经济商务信息化局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2023年以工代赈示范工程专项（第四批）中央基建投资预算资金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2023年中央财政农业生产发展资金（耕地地力保护补贴）</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315.66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2023年中央财政实际种粮农民一次性补贴资金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50.62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2023年中央政农业生态资源保护资金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60.00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2022年度阿坝州实施乡村振兴战略实绩考核分类考评奖补资金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180.00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2023年省级财政乡村振兴共同财政事权转移支付资金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60.00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2023年农业绿色发展专项中央基建投资预算资金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2500.00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2023年县级衔接资金（金川县2023年雨露计划）</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32.00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2023年县级衔接资金（金川县卡撒乡三埂子村道路灾害修复）</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2023年县级衔接资金（金川县“三乡一镇”田园综合体林下种植项目）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121.00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2023年县级衔接资金（金川县俄热乡马尼柯村产业道路建设项目）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96.00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2023年县级衔接资金（金川县河西乡乃当村四班错车坪建设项目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31.00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2023年县级衔接资金（金川县俄热乡科山村产业道路提升改造项目）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金川县医疗保障局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城乡医疗救助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社会保险基金</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39.90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金川县医疗保障局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城乡居民基本医疗保险基金补助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社会保险基金</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122.56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金川县卫生健康局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卫生扶贫基金补充</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金川县卫生健康局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基本药物制度改革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194.98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学前、高中免费教育县级配套</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252.61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寄宿制学生补助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598.06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乡村教师补助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130.68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金川县自然资源局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2023年第三批地灾资金（省级）</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330.80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金川县林业和草原局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2023年在中央财政林业生态保护恢复资金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1223.45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县文化体育和旅游局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老街旅游集散中心建设项目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670.00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金川县基层教育条件提升项目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180.00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河西乡人民政府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河西乡杨家湾低压线路改造项目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金川县教育干部人才“组团式”帮扶智力补助项目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金川县人民医院</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2023年卫生“组团式”帮扶工作</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俄热乡人民政府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俄热乡二楷村堤防治理疏通项目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对口支援项目教学能力提升</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河东乡人民政府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金川县河东乡嘎尖草坪旅游产业发展项目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390.00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中共金川县委组织部</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金川县交流交往交融项目（对口支援项目）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金川县人民医院</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金川县基层医疗条件提升（浙江援建资金）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160.00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庆宁乡人民政府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金川县庆宁乡庆宁村乡村振兴示范村综合提升项目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咯尔乡人民政府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金川县咯尔乡复兴村美丽乡村综合提升项目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450.00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独松乡人民政府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金川县生态治理项目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金川县民族宗教局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金川县交流交往交融项目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世外梨园景区服务中心</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金川县世外梨园景区游客中心露台及步梯改造项目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2023年第二批浙江援建金川县特色养殖业发展项目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130.00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阿科里乡人民政府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金川县阿科里乡安全饮水取水井建设项目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2023年第一批浙江援建金川县特色种植业发展项目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260.00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卡撒乡人民政府</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金川县卡撒乡脚姆塘村河堤加固维修项目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240.00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文化体育和旅游局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金川县老街红军城文化提升项目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400.00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观音桥景区工作中心</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金川县观音桥镇松都村情人滩提升改造项目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金川县卫生健康局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20"/>
                <w:szCs w:val="20"/>
                <w:u w:val="none"/>
                <w:lang w:val="en-US" w:eastAsia="zh-CN"/>
              </w:rPr>
              <w:t>疫情防控</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1499.66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金川县卫生健康局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公共卫生特别服务岗</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205.54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金川县卫生健康局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医疗服务能力提升</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1385.62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残疾人两项补贴</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118.65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新冠疫情社区排查防控社工人员</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375.01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养老服务体系</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购买服务</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126.83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金川县退役军人事务局</w:t>
            </w:r>
          </w:p>
        </w:tc>
        <w:tc>
          <w:tcPr>
            <w:tcW w:w="279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重大节日慰问金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81.81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县公共就业和人才服务中心</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2023年就业创业补助资金</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734.00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城乡居民养老保险事务中心</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财政局对城乡居民养老保险基金的补助</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社会保险基金预算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277.72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金川县卫生健康局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重大公共卫生</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财政政策绩效评价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530.41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文化体育和旅游局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金川县文旅产业提升振兴项目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450.00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79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县文化体育和旅游局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安宁镇数字乡村二期建设项目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金川县河东乡乡村振兴项目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128.00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金川县卡撒乡产业发展项目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二嘎里乡二嘎里村产业试点项目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县总工会</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金川县乡镇乡村振兴技能培训点建设项目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住房和城乡建设局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金川县勒乌镇金马坪村民族村寨旅游房屋功能性提升改造</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120.00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住房和城乡建设局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金川县沙耳乡沙耳尼村民族村寨旅游房屋功能性提升改造</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98.00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住房和城乡建设局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金川县沙耳乡克尔玛村民族村寨旅游房屋功能性提升改造</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56.00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住房和城乡建设局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金川县俄热乡马尼柯村民族村寨旅游房屋功能性提升改造</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金川县马奈镇网围栏建设项目（2023年度）</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80.00 </w:t>
            </w:r>
          </w:p>
        </w:tc>
      </w:tr>
      <w:tr>
        <w:trPr>
          <w:trHeight w:val="667"/>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金川县撒瓦脚乡木赤村产业便道项目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150.00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县科学技术和农业畜牧局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金川县安宁村农旅产业道路改扩建项目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98.00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91</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金川县乡村振兴阵地建设</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92</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勒乌村活动阵地建设项目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55.00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93</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安宁镇八角碉村党群活动中心建设项目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98.00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94</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金川县民政局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金川县二嘎里乡四甲壁村活动阵地提升改造项目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95</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中共金川县委组织部</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金川县基层阵地建设</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20.00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96</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金川县市场监督管理局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乡村振兴食品安全数字化监管系统</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80.00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97</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中共金川县委组织部</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金川县干部人才培训</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40.00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98</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中共金川县委组织部</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金川县干部人才培训</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40.00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99</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金川县教育局</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金川县教师能力培训</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一般公共预算</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40.00 </w:t>
            </w:r>
          </w:p>
        </w:tc>
      </w:tr>
      <w:tr>
        <w:trPr>
          <w:trHeight w:val="45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100</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中共金川县委政法委</w:t>
            </w: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金川县乡村振兴项目</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政府采购</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项目支出绩效评价</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330.00 </w:t>
            </w:r>
          </w:p>
        </w:tc>
      </w:tr>
      <w:tr>
        <w:trPr>
          <w:trHeight w:val="684"/>
        </w:trPr>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合计</w:t>
            </w:r>
          </w:p>
        </w:tc>
        <w:tc>
          <w:tcPr>
            <w:tcW w:w="2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color w:val="000000"/>
                <w:sz w:val="24"/>
                <w:szCs w:val="24"/>
                <w:u w:val="none"/>
              </w:rPr>
            </w:pPr>
          </w:p>
        </w:tc>
        <w:tc>
          <w:tcPr>
            <w:tcW w:w="2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color w:val="000000"/>
                <w:sz w:val="24"/>
                <w:szCs w:val="24"/>
                <w:u w:val="none"/>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color w:val="000000"/>
                <w:sz w:val="24"/>
                <w:szCs w:val="24"/>
                <w:u w:val="none"/>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color w:val="000000"/>
                <w:sz w:val="24"/>
                <w:szCs w:val="24"/>
                <w:u w:val="none"/>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 xml:space="preserve">32,427.48 </w:t>
            </w:r>
          </w:p>
        </w:tc>
      </w:tr>
    </w:tbl>
    <w:p>
      <w:pPr>
        <w:keepNext w:val="0"/>
        <w:keepLines w:val="0"/>
        <w:pageBreakBefore w:val="0"/>
        <w:widowControl w:val="0"/>
        <w:tabs>
          <w:tab w:val="left" w:pos="627"/>
        </w:tabs>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楷体_GB2312" w:cs="Times New Roman" w:hAnsi="Times New Roman"/>
          <w:b/>
          <w:bCs/>
          <w:sz w:val="32"/>
          <w:szCs w:val="32"/>
          <w:lang w:val="en-US" w:eastAsia="zh-CN"/>
        </w:rPr>
      </w:pPr>
      <w:r>
        <w:rPr>
          <w:rFonts w:ascii="楷体_GB2312" w:eastAsia="楷体_GB2312" w:cs="楷体_GB2312" w:hint="eastAsia"/>
          <w:b/>
          <w:bCs/>
          <w:kern w:val="2"/>
          <w:sz w:val="32"/>
          <w:szCs w:val="32"/>
          <w:lang w:val="en-US" w:eastAsia="zh-CN" w:bidi="ar-SA"/>
        </w:rPr>
        <w:t>（二）绩效评价实施</w:t>
      </w:r>
      <w:r>
        <w:rPr>
          <w:rFonts w:ascii="楷体_GB2312" w:eastAsia="楷体_GB2312" w:cs="楷体_GB2312" w:hint="eastAsia"/>
          <w:b/>
          <w:bCs/>
          <w:sz w:val="32"/>
          <w:szCs w:val="32"/>
        </w:rPr>
        <w:t>阶段</w:t>
      </w:r>
      <w:r>
        <w:rPr>
          <w:rFonts w:ascii="楷体_GB2312" w:eastAsia="楷体_GB2312" w:cs="楷体_GB2312" w:hint="eastAsia"/>
          <w:b/>
          <w:bCs/>
          <w:sz w:val="32"/>
          <w:szCs w:val="32"/>
          <w:lang w:val="en-US" w:eastAsia="zh-CN"/>
          <w:highlight w:val="auto"/>
        </w:rPr>
        <w:t>（</w:t>
      </w:r>
      <w:r>
        <w:rPr>
          <w:rFonts w:ascii="楷体_GB2312" w:eastAsia="楷体_GB2312" w:cs="楷体_GB2312" w:hint="eastAsia"/>
          <w:b/>
          <w:bCs/>
          <w:color w:val="000000"/>
          <w:kern w:val="0"/>
          <w:sz w:val="32"/>
          <w:szCs w:val="32"/>
          <w:lang w:val="en-US" w:eastAsia="zh-CN"/>
        </w:rPr>
        <w:t>8</w:t>
      </w:r>
      <w:r>
        <w:rPr>
          <w:rFonts w:ascii="楷体_GB2312" w:eastAsia="楷体_GB2312" w:cs="楷体_GB2312" w:hint="eastAsia"/>
          <w:b/>
          <w:bCs/>
          <w:color w:val="000000"/>
          <w:sz w:val="32"/>
          <w:szCs w:val="32"/>
        </w:rPr>
        <w:t>月-</w:t>
      </w:r>
      <w:r>
        <w:rPr>
          <w:rFonts w:ascii="楷体_GB2312" w:eastAsia="楷体_GB2312" w:cs="楷体_GB2312" w:hint="eastAsia"/>
          <w:b/>
          <w:bCs/>
          <w:color w:val="000000"/>
          <w:sz w:val="32"/>
          <w:szCs w:val="32"/>
          <w:lang w:val="en-US" w:eastAsia="zh-CN"/>
        </w:rPr>
        <w:t>10</w:t>
      </w:r>
      <w:r>
        <w:rPr>
          <w:rFonts w:ascii="楷体_GB2312" w:eastAsia="楷体_GB2312" w:cs="楷体_GB2312" w:hint="eastAsia"/>
          <w:b/>
          <w:bCs/>
          <w:color w:val="000000"/>
          <w:sz w:val="32"/>
          <w:szCs w:val="32"/>
        </w:rPr>
        <w:t>月</w:t>
      </w:r>
      <w:r>
        <w:rPr>
          <w:rFonts w:ascii="楷体_GB2312" w:eastAsia="楷体_GB2312" w:cs="楷体_GB2312" w:hint="eastAsia"/>
          <w:b/>
          <w:bCs/>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textAlignment w:val="auto"/>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1.评价方法。</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textAlignment w:val="auto"/>
        <w:rPr>
          <w:rFonts w:ascii="Times New Roman" w:cs="Times New Roman" w:hAnsi="Times New Roman"/>
          <w:sz w:val="32"/>
          <w:szCs w:val="32"/>
        </w:rPr>
      </w:pPr>
      <w:r>
        <w:rPr>
          <w:rFonts w:ascii="Times New Roman" w:cs="Times New Roman" w:hAnsi="Times New Roman"/>
          <w:sz w:val="32"/>
          <w:szCs w:val="32"/>
        </w:rPr>
        <w:t>本次</w:t>
      </w:r>
      <w:r>
        <w:rPr>
          <w:rFonts w:cs="Times New Roman" w:hint="eastAsia"/>
          <w:color w:val="000000"/>
          <w:kern w:val="0"/>
          <w:sz w:val="32"/>
          <w:szCs w:val="32"/>
          <w:shd w:val="clear" w:color="auto" w:fill="FFFFFF"/>
          <w:lang w:eastAsia="zh-CN"/>
          <w:highlight w:val="auto"/>
        </w:rPr>
        <w:t>部门整体绩效评价</w:t>
      </w:r>
      <w:r>
        <w:rPr>
          <w:rFonts w:ascii="Times New Roman" w:cs="Times New Roman" w:hAnsi="Times New Roman"/>
          <w:sz w:val="32"/>
          <w:szCs w:val="32"/>
        </w:rPr>
        <w:t>工作</w:t>
      </w:r>
      <w:r>
        <w:rPr>
          <w:rFonts w:cs="Times New Roman" w:hint="eastAsia"/>
          <w:sz w:val="32"/>
          <w:szCs w:val="32"/>
          <w:lang w:eastAsia="zh-CN"/>
        </w:rPr>
        <w:t>，</w:t>
      </w:r>
      <w:r>
        <w:rPr>
          <w:rFonts w:ascii="Times New Roman" w:cs="Times New Roman" w:hAnsi="Times New Roman"/>
          <w:sz w:val="32"/>
          <w:szCs w:val="32"/>
        </w:rPr>
        <w:t>紧密围绕</w:t>
      </w:r>
      <w:r>
        <w:rPr>
          <w:rFonts w:ascii="Times New Roman" w:cs="Times New Roman" w:hAnsi="Times New Roman" w:hint="eastAsia"/>
          <w:sz w:val="32"/>
          <w:szCs w:val="32"/>
          <w:lang w:eastAsia="zh-CN"/>
        </w:rPr>
        <w:t>被评价部门（乡镇）</w:t>
      </w:r>
      <w:r>
        <w:rPr>
          <w:rFonts w:ascii="Times New Roman" w:cs="Times New Roman" w:hAnsi="Times New Roman"/>
          <w:sz w:val="32"/>
          <w:szCs w:val="32"/>
        </w:rPr>
        <w:t>主要职责和发展规划，立足多维视角和多元数据，采用比率分值法、分级评价法、是否评分法等评价方法，以预算资金绩效管理为主线，结合部门资产管理与业务活动，对部门</w:t>
      </w:r>
      <w:r>
        <w:rPr>
          <w:rFonts w:ascii="Times New Roman" w:cs="Times New Roman" w:hAnsi="Times New Roman" w:hint="eastAsia"/>
          <w:sz w:val="32"/>
          <w:szCs w:val="32"/>
          <w:lang w:eastAsia="zh-CN"/>
        </w:rPr>
        <w:t>（乡镇）</w:t>
      </w:r>
      <w:r>
        <w:rPr>
          <w:rFonts w:ascii="Times New Roman" w:cs="Times New Roman" w:hAnsi="Times New Roman"/>
          <w:sz w:val="32"/>
          <w:szCs w:val="32"/>
        </w:rPr>
        <w:t>2023年度整体运行成本、管理效率、履职效能、项目绩效管理等进行比较和分析，通过衡量部门年度整体及核心业务实施效果，达到推动部门整体绩效水平持续提高的目的</w:t>
      </w:r>
      <w:r>
        <w:rPr>
          <w:rFonts w:ascii="Times New Roman" w:cs="Times New Roman" w:hAnsi="Times New Roman" w:hint="eastAsia"/>
          <w:sz w:val="32"/>
          <w:szCs w:val="32"/>
          <w:lang w:eastAsia="zh-CN"/>
        </w:rPr>
        <w:t>，进行客观评价</w:t>
      </w:r>
      <w:r>
        <w:rPr>
          <w:rFonts w:ascii="Times New Roman" w:cs="Times New Roman" w:hAnsi="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cs="Times New Roman" w:hint="eastAsia"/>
          <w:color w:val="000000"/>
          <w:kern w:val="0"/>
          <w:sz w:val="32"/>
          <w:szCs w:val="32"/>
          <w:shd w:val="clear" w:color="auto" w:fill="FFFFFF"/>
          <w:lang w:eastAsia="zh-CN"/>
          <w:highlight w:val="auto"/>
        </w:rPr>
        <w:t>本次财政政策（项目）绩效评价工作，</w:t>
      </w:r>
      <w:r>
        <w:rPr>
          <w:rFonts w:ascii="Times New Roman" w:eastAsia="仿宋_GB2312" w:cs="Times New Roman" w:hAnsi="Times New Roman"/>
          <w:color w:val="000000"/>
          <w:kern w:val="0"/>
          <w:sz w:val="32"/>
          <w:szCs w:val="32"/>
          <w:shd w:val="clear" w:color="auto" w:fill="FFFFFF"/>
          <w:lang w:eastAsia="zh-CN"/>
          <w:highlight w:val="auto"/>
        </w:rPr>
        <w:t>主要采用因素法、比较法等评价方法，</w:t>
      </w:r>
      <w:r>
        <w:rPr>
          <w:rFonts w:cs="Times New Roman" w:hint="eastAsia"/>
          <w:color w:val="000000"/>
          <w:kern w:val="0"/>
          <w:sz w:val="32"/>
          <w:szCs w:val="32"/>
          <w:shd w:val="clear" w:color="auto" w:fill="FFFFFF"/>
          <w:lang w:eastAsia="zh-CN"/>
          <w:highlight w:val="auto"/>
        </w:rPr>
        <w:t>联合体针对每个评价项目，详细分析其绩效目标的完成情况，对照指标体系通用指标、专用指标和个性指标值逐项</w:t>
      </w:r>
      <w:r>
        <w:rPr>
          <w:rFonts w:ascii="Times New Roman" w:eastAsia="仿宋_GB2312" w:cs="Times New Roman" w:hAnsi="Times New Roman"/>
          <w:color w:val="000000"/>
          <w:kern w:val="0"/>
          <w:sz w:val="32"/>
          <w:szCs w:val="32"/>
          <w:shd w:val="clear" w:color="auto" w:fill="FFFFFF"/>
          <w:lang w:eastAsia="zh-CN"/>
          <w:highlight w:val="auto"/>
        </w:rPr>
        <w:t>进行客观评价。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仿宋_GB2312" w:eastAsia="仿宋_GB2312" w:cs="仿宋_GB2312" w:hint="eastAsia"/>
          <w:b/>
          <w:bCs/>
          <w:color w:val="000000"/>
          <w:kern w:val="0"/>
          <w:sz w:val="32"/>
          <w:szCs w:val="32"/>
          <w:shd w:val="clear" w:color="auto" w:fill="FFFFFF"/>
          <w:lang w:eastAsia="zh-CN"/>
          <w:highlight w:val="auto"/>
        </w:rPr>
      </w:pPr>
      <w:r>
        <w:rPr>
          <w:rFonts w:ascii="仿宋_GB2312" w:eastAsia="仿宋_GB2312" w:cs="仿宋_GB2312" w:hint="eastAsia"/>
          <w:b/>
          <w:bCs/>
          <w:color w:val="000000"/>
          <w:kern w:val="0"/>
          <w:sz w:val="32"/>
          <w:szCs w:val="32"/>
          <w:shd w:val="clear" w:color="auto" w:fill="FFFFFF"/>
          <w:lang w:val="en-US" w:eastAsia="zh-CN"/>
          <w:highlight w:val="auto"/>
        </w:rPr>
        <w:t>2.评价</w:t>
      </w:r>
      <w:r>
        <w:rPr>
          <w:rFonts w:ascii="仿宋_GB2312" w:eastAsia="仿宋_GB2312" w:cs="仿宋_GB2312" w:hint="eastAsia"/>
          <w:b/>
          <w:bCs/>
          <w:color w:val="000000"/>
          <w:kern w:val="0"/>
          <w:sz w:val="32"/>
          <w:szCs w:val="32"/>
          <w:shd w:val="clear" w:color="auto" w:fill="FFFFFF"/>
          <w:lang w:eastAsia="zh-CN"/>
          <w:highlight w:val="auto"/>
        </w:rPr>
        <w:t>过程。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cs="Times New Roman" w:hint="eastAsia"/>
          <w:color w:val="000000"/>
          <w:kern w:val="0"/>
          <w:sz w:val="32"/>
          <w:szCs w:val="32"/>
          <w:shd w:val="clear" w:color="auto" w:fill="FFFFFF"/>
          <w:lang w:eastAsia="zh-CN"/>
          <w:highlight w:val="auto"/>
        </w:rPr>
        <w:t>（</w:t>
      </w:r>
      <w:r>
        <w:rPr>
          <w:rFonts w:cs="Times New Roman" w:hint="eastAsia"/>
          <w:color w:val="000000"/>
          <w:kern w:val="0"/>
          <w:sz w:val="32"/>
          <w:szCs w:val="32"/>
          <w:shd w:val="clear" w:color="auto" w:fill="FFFFFF"/>
          <w:lang w:val="en-US" w:eastAsia="zh-CN"/>
          <w:highlight w:val="auto"/>
        </w:rPr>
        <w:t>1）</w:t>
      </w:r>
      <w:r>
        <w:rPr>
          <w:rFonts w:ascii="Times New Roman" w:eastAsia="仿宋_GB2312" w:cs="Times New Roman" w:hAnsi="Times New Roman"/>
          <w:color w:val="000000"/>
          <w:kern w:val="0"/>
          <w:sz w:val="32"/>
          <w:szCs w:val="32"/>
          <w:shd w:val="clear" w:color="auto" w:fill="FFFFFF"/>
          <w:lang w:eastAsia="zh-CN"/>
          <w:highlight w:val="auto"/>
        </w:rPr>
        <w:t>结合项目主管及实施单位提供的项目及财务基础资料，听取项目实施情况介绍，了解项目财政专项资金政策、制度机制、专项资金使用的基本情况；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cs="Times New Roman" w:hint="eastAsia"/>
          <w:color w:val="000000"/>
          <w:kern w:val="0"/>
          <w:sz w:val="32"/>
          <w:szCs w:val="32"/>
          <w:shd w:val="clear" w:color="auto" w:fill="FFFFFF"/>
          <w:lang w:eastAsia="zh-CN"/>
          <w:highlight w:val="auto"/>
        </w:rPr>
        <w:t>（</w:t>
      </w:r>
      <w:r>
        <w:rPr>
          <w:rFonts w:cs="Times New Roman" w:hint="eastAsia"/>
          <w:color w:val="000000"/>
          <w:kern w:val="0"/>
          <w:sz w:val="32"/>
          <w:szCs w:val="32"/>
          <w:shd w:val="clear" w:color="auto" w:fill="FFFFFF"/>
          <w:lang w:val="en-US" w:eastAsia="zh-CN"/>
          <w:highlight w:val="auto"/>
        </w:rPr>
        <w:t>2）</w:t>
      </w:r>
      <w:r>
        <w:rPr>
          <w:rFonts w:ascii="Times New Roman" w:eastAsia="仿宋_GB2312" w:cs="Times New Roman" w:hAnsi="Times New Roman"/>
          <w:color w:val="000000"/>
          <w:kern w:val="0"/>
          <w:sz w:val="32"/>
          <w:szCs w:val="32"/>
          <w:shd w:val="clear" w:color="auto" w:fill="FFFFFF"/>
          <w:lang w:eastAsia="zh-CN"/>
          <w:highlight w:val="auto"/>
        </w:rPr>
        <w:t>现场调查取证，收集财政专项资金政策依据、制度机制和项目及财务相关资料，核查项目资金收支账目，检查项目申请及审批、招投标及评审、项目实施、验收及公示公告等相关资料，为项目财政专项资金支出评价提供基础数据及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cs="Times New Roman" w:hint="eastAsia"/>
          <w:color w:val="000000"/>
          <w:kern w:val="0"/>
          <w:sz w:val="32"/>
          <w:szCs w:val="32"/>
          <w:shd w:val="clear" w:color="auto" w:fill="FFFFFF"/>
          <w:lang w:eastAsia="zh-CN"/>
          <w:highlight w:val="auto"/>
        </w:rPr>
        <w:t>（</w:t>
      </w:r>
      <w:r>
        <w:rPr>
          <w:rFonts w:cs="Times New Roman" w:hint="eastAsia"/>
          <w:color w:val="000000"/>
          <w:kern w:val="0"/>
          <w:sz w:val="32"/>
          <w:szCs w:val="32"/>
          <w:shd w:val="clear" w:color="auto" w:fill="FFFFFF"/>
          <w:lang w:val="en-US" w:eastAsia="zh-CN"/>
          <w:highlight w:val="auto"/>
        </w:rPr>
        <w:t>3）</w:t>
      </w:r>
      <w:r>
        <w:rPr>
          <w:rFonts w:ascii="Times New Roman" w:eastAsia="仿宋_GB2312" w:cs="Times New Roman" w:hAnsi="Times New Roman"/>
          <w:color w:val="000000"/>
          <w:kern w:val="0"/>
          <w:sz w:val="32"/>
          <w:szCs w:val="32"/>
          <w:shd w:val="clear" w:color="auto" w:fill="FFFFFF"/>
          <w:lang w:eastAsia="zh-CN"/>
          <w:highlight w:val="auto"/>
        </w:rPr>
        <w:t>现场实地勘查，按照项目特点及实际情况开展抽样选点，进行现场评价；</w:t>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cs="Times New Roman" w:hAnsi="Times New Roman"/>
          <w:color w:val="000000"/>
          <w:kern w:val="0"/>
          <w:sz w:val="32"/>
          <w:szCs w:val="32"/>
          <w:shd w:val="clear" w:color="auto" w:fill="FFFFFF"/>
          <w:lang w:eastAsia="zh-CN"/>
          <w:highlight w:val="auto"/>
        </w:rPr>
      </w:pPr>
      <w:r>
        <w:rPr>
          <w:rFonts w:cs="Times New Roman" w:hint="eastAsia"/>
          <w:color w:val="000000"/>
          <w:kern w:val="0"/>
          <w:sz w:val="32"/>
          <w:szCs w:val="32"/>
          <w:shd w:val="clear" w:color="auto" w:fill="FFFFFF"/>
          <w:lang w:eastAsia="zh-CN"/>
          <w:highlight w:val="auto"/>
        </w:rPr>
        <w:t>（</w:t>
      </w:r>
      <w:r>
        <w:rPr>
          <w:rFonts w:cs="Times New Roman" w:hint="eastAsia"/>
          <w:color w:val="000000"/>
          <w:kern w:val="0"/>
          <w:sz w:val="32"/>
          <w:szCs w:val="32"/>
          <w:shd w:val="clear" w:color="auto" w:fill="FFFFFF"/>
          <w:lang w:val="en-US" w:eastAsia="zh-CN"/>
          <w:highlight w:val="auto"/>
        </w:rPr>
        <w:t>4）</w:t>
      </w:r>
      <w:r>
        <w:rPr>
          <w:rFonts w:ascii="Times New Roman" w:eastAsia="仿宋_GB2312" w:cs="Times New Roman" w:hAnsi="Times New Roman"/>
          <w:color w:val="000000"/>
          <w:kern w:val="0"/>
          <w:sz w:val="32"/>
          <w:szCs w:val="32"/>
          <w:shd w:val="clear" w:color="auto" w:fill="FFFFFF"/>
          <w:lang w:eastAsia="zh-CN"/>
          <w:highlight w:val="auto"/>
        </w:rPr>
        <w:t>开展群众满意度调查；</w:t>
        <w:tab/>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cs="Times New Roman" w:hAnsi="Times New Roman"/>
          <w:color w:val="000000"/>
          <w:kern w:val="0"/>
          <w:sz w:val="32"/>
          <w:szCs w:val="32"/>
          <w:shd w:val="clear" w:color="auto" w:fill="FFFFFF"/>
          <w:lang w:eastAsia="zh-CN"/>
          <w:highlight w:val="auto"/>
        </w:rPr>
      </w:pPr>
      <w:r>
        <w:rPr>
          <w:rFonts w:ascii="楷体_GB2312" w:eastAsia="楷体_GB2312" w:cs="楷体_GB2312" w:hint="eastAsia"/>
          <w:b/>
          <w:bCs/>
          <w:color w:val="000000"/>
          <w:kern w:val="0"/>
          <w:sz w:val="32"/>
          <w:szCs w:val="32"/>
          <w:shd w:val="clear" w:color="auto" w:fill="FFFFFF"/>
          <w:lang w:eastAsia="zh-CN"/>
          <w:highlight w:val="auto"/>
        </w:rPr>
        <w:t>（三）</w:t>
      </w:r>
      <w:r>
        <w:rPr>
          <w:rFonts w:ascii="楷体_GB2312" w:eastAsia="楷体_GB2312" w:cs="楷体_GB2312" w:hint="eastAsia"/>
          <w:b/>
          <w:bCs/>
          <w:sz w:val="32"/>
          <w:szCs w:val="32"/>
        </w:rPr>
        <w:t>撰写报告阶段</w:t>
      </w:r>
      <w:r>
        <w:rPr>
          <w:rFonts w:ascii="楷体_GB2312" w:eastAsia="楷体_GB2312" w:cs="楷体_GB2312" w:hint="eastAsia"/>
          <w:b/>
          <w:bCs/>
          <w:sz w:val="32"/>
          <w:szCs w:val="32"/>
          <w:lang w:eastAsia="zh-CN"/>
        </w:rPr>
        <w:t>（</w:t>
      </w:r>
      <w:r>
        <w:rPr>
          <w:rFonts w:ascii="楷体_GB2312" w:eastAsia="楷体_GB2312" w:cs="楷体_GB2312" w:hint="eastAsia"/>
          <w:b/>
          <w:bCs/>
          <w:sz w:val="32"/>
          <w:szCs w:val="32"/>
          <w:lang w:val="en-US" w:eastAsia="zh-CN"/>
        </w:rPr>
        <w:t>11- 12月15日</w:t>
      </w:r>
      <w:r>
        <w:rPr>
          <w:rFonts w:ascii="楷体_GB2312" w:eastAsia="楷体_GB2312" w:cs="楷体_GB2312" w:hint="eastAsia"/>
          <w:b/>
          <w:bCs/>
          <w:sz w:val="32"/>
          <w:szCs w:val="32"/>
          <w:lang w:eastAsia="zh-CN"/>
        </w:rPr>
        <w:t>）</w:t>
      </w:r>
      <w:r>
        <w:rPr>
          <w:rFonts w:ascii="Times New Roman" w:cs="Times New Roman" w:hAnsi="Times New Roman"/>
          <w:color w:val="000000"/>
          <w:kern w:val="0"/>
          <w:sz w:val="32"/>
          <w:szCs w:val="32"/>
          <w:shd w:val="clear" w:color="auto" w:fill="FFFFFF"/>
          <w:lang w:eastAsia="zh-CN"/>
          <w:highlight w:val="auto"/>
        </w:rPr>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textAlignment w:val="auto"/>
        <w:outlineLvl w:val="0"/>
        <w:rPr>
          <w:rFonts w:ascii="Times New Roman" w:eastAsia="仿宋_GB2312" w:cs="Times New Roman" w:hAnsi="Times New Roman"/>
          <w:sz w:val="32"/>
          <w:szCs w:val="32"/>
          <w:lang w:val="en-US" w:eastAsia="zh-CN"/>
          <w:highlight w:val="auto"/>
        </w:rPr>
      </w:pPr>
      <w:r>
        <w:rPr>
          <w:rFonts w:cs="Times New Roman" w:hint="eastAsia"/>
          <w:color w:val="000000"/>
          <w:kern w:val="0"/>
          <w:sz w:val="32"/>
          <w:szCs w:val="32"/>
          <w:shd w:val="clear" w:color="auto" w:fill="FFFFFF"/>
          <w:lang w:eastAsia="zh-CN"/>
          <w:highlight w:val="auto"/>
        </w:rPr>
        <w:t>联合体</w:t>
      </w:r>
      <w:r>
        <w:rPr>
          <w:rFonts w:cs="Times New Roman" w:hint="eastAsia"/>
          <w:sz w:val="32"/>
          <w:szCs w:val="32"/>
          <w:lang w:val="en-US" w:eastAsia="zh-CN"/>
          <w:highlight w:val="auto"/>
        </w:rPr>
        <w:t>根据现场评价情况</w:t>
      </w:r>
      <w:r>
        <w:rPr>
          <w:rFonts w:ascii="Times New Roman" w:cs="Times New Roman" w:hAnsi="Times New Roman"/>
          <w:sz w:val="32"/>
          <w:szCs w:val="32"/>
          <w:lang w:val="en-US" w:eastAsia="zh-CN"/>
          <w:highlight w:val="auto"/>
        </w:rPr>
        <w:t>，</w:t>
      </w:r>
      <w:r>
        <w:rPr>
          <w:rFonts w:cs="Times New Roman" w:hint="eastAsia"/>
          <w:sz w:val="32"/>
          <w:szCs w:val="32"/>
          <w:lang w:val="en-US" w:eastAsia="zh-CN"/>
          <w:highlight w:val="auto"/>
        </w:rPr>
        <w:t>结合指标体系得分情况和工作底稿，</w:t>
      </w:r>
      <w:r>
        <w:rPr>
          <w:rFonts w:ascii="Times New Roman" w:cs="Times New Roman" w:hAnsi="Times New Roman"/>
          <w:sz w:val="32"/>
          <w:szCs w:val="32"/>
          <w:lang w:val="en-US" w:eastAsia="zh-CN"/>
          <w:highlight w:val="auto"/>
        </w:rPr>
        <w:t>采用</w:t>
      </w:r>
      <w:r>
        <w:rPr>
          <w:rFonts w:ascii="Times New Roman" w:eastAsia="仿宋_GB2312" w:cs="Times New Roman" w:hAnsi="Times New Roman"/>
          <w:sz w:val="32"/>
          <w:szCs w:val="32"/>
          <w:lang w:val="en-US" w:eastAsia="zh-CN"/>
          <w:highlight w:val="auto"/>
        </w:rPr>
        <w:t>定量和定性分析相结合</w:t>
      </w:r>
      <w:r>
        <w:rPr>
          <w:rFonts w:ascii="Times New Roman" w:cs="Times New Roman" w:hAnsi="Times New Roman"/>
          <w:sz w:val="32"/>
          <w:szCs w:val="32"/>
          <w:lang w:val="en-US" w:eastAsia="zh-CN"/>
          <w:highlight w:val="auto"/>
        </w:rPr>
        <w:t>的方式</w:t>
      </w:r>
      <w:r>
        <w:rPr>
          <w:rFonts w:ascii="Times New Roman" w:eastAsia="仿宋_GB2312" w:cs="Times New Roman" w:hAnsi="Times New Roman"/>
          <w:sz w:val="32"/>
          <w:szCs w:val="32"/>
          <w:lang w:val="en-US" w:eastAsia="zh-CN"/>
          <w:highlight w:val="auto"/>
        </w:rPr>
        <w:t>，对</w:t>
      </w:r>
      <w:r>
        <w:rPr>
          <w:rFonts w:ascii="Times New Roman" w:cs="Times New Roman" w:hAnsi="Times New Roman"/>
          <w:sz w:val="32"/>
          <w:szCs w:val="32"/>
          <w:lang w:val="en-US" w:eastAsia="zh-CN"/>
          <w:highlight w:val="auto"/>
        </w:rPr>
        <w:t>部门整体</w:t>
      </w:r>
      <w:r>
        <w:rPr>
          <w:rFonts w:cs="Times New Roman" w:hint="eastAsia"/>
          <w:sz w:val="32"/>
          <w:szCs w:val="32"/>
          <w:lang w:val="en-US" w:eastAsia="zh-CN"/>
          <w:highlight w:val="auto"/>
        </w:rPr>
        <w:t>、（政策）</w:t>
      </w:r>
      <w:r>
        <w:rPr>
          <w:rFonts w:ascii="Times New Roman" w:eastAsia="仿宋_GB2312" w:cs="Times New Roman" w:hAnsi="Times New Roman"/>
          <w:sz w:val="32"/>
          <w:szCs w:val="32"/>
          <w:lang w:val="en-US" w:eastAsia="zh-CN"/>
          <w:highlight w:val="auto"/>
        </w:rPr>
        <w:t>项目资金</w:t>
      </w:r>
      <w:r>
        <w:rPr>
          <w:rFonts w:ascii="Times New Roman" w:cs="Times New Roman" w:hAnsi="Times New Roman"/>
          <w:sz w:val="32"/>
          <w:szCs w:val="32"/>
          <w:lang w:val="en-US" w:eastAsia="zh-CN"/>
          <w:highlight w:val="auto"/>
        </w:rPr>
        <w:t>的</w:t>
      </w:r>
      <w:r>
        <w:rPr>
          <w:rFonts w:ascii="Times New Roman" w:eastAsia="仿宋_GB2312" w:cs="Times New Roman" w:hAnsi="Times New Roman"/>
          <w:sz w:val="32"/>
          <w:szCs w:val="32"/>
          <w:lang w:val="en-US" w:eastAsia="zh-CN"/>
          <w:highlight w:val="auto"/>
        </w:rPr>
        <w:t>使用效益、效果分析</w:t>
      </w:r>
      <w:r>
        <w:rPr>
          <w:rFonts w:ascii="Times New Roman" w:cs="Times New Roman" w:hAnsi="Times New Roman"/>
          <w:sz w:val="32"/>
          <w:szCs w:val="32"/>
          <w:lang w:val="en-US" w:eastAsia="zh-CN"/>
          <w:highlight w:val="auto"/>
        </w:rPr>
        <w:t>进行</w:t>
      </w:r>
      <w:r>
        <w:rPr>
          <w:rFonts w:ascii="Times New Roman" w:eastAsia="仿宋_GB2312" w:cs="Times New Roman" w:hAnsi="Times New Roman"/>
          <w:sz w:val="32"/>
          <w:szCs w:val="32"/>
          <w:lang w:val="en-US" w:eastAsia="zh-CN"/>
          <w:highlight w:val="auto"/>
        </w:rPr>
        <w:t>评</w:t>
      </w:r>
      <w:r>
        <w:rPr>
          <w:rFonts w:ascii="Times New Roman" w:cs="Times New Roman" w:hAnsi="Times New Roman"/>
          <w:sz w:val="32"/>
          <w:szCs w:val="32"/>
          <w:lang w:val="en-US" w:eastAsia="zh-CN"/>
          <w:highlight w:val="auto"/>
        </w:rPr>
        <w:t>价</w:t>
      </w:r>
      <w:r>
        <w:rPr>
          <w:rFonts w:ascii="Times New Roman" w:eastAsia="仿宋_GB2312" w:cs="Times New Roman" w:hAnsi="Times New Roman"/>
          <w:sz w:val="32"/>
          <w:szCs w:val="32"/>
          <w:lang w:val="en-US" w:eastAsia="zh-CN"/>
          <w:highlight w:val="auto"/>
        </w:rPr>
        <w:t>，形成评价</w:t>
      </w:r>
      <w:r>
        <w:rPr>
          <w:rFonts w:cs="Times New Roman" w:hint="eastAsia"/>
          <w:sz w:val="32"/>
          <w:szCs w:val="32"/>
          <w:lang w:val="en-US" w:eastAsia="zh-CN"/>
          <w:highlight w:val="auto"/>
        </w:rPr>
        <w:t>报告（初稿）</w:t>
      </w:r>
      <w:r>
        <w:rPr>
          <w:rFonts w:ascii="Times New Roman" w:eastAsia="仿宋_GB2312" w:cs="Times New Roman" w:hAnsi="Times New Roman"/>
          <w:sz w:val="32"/>
          <w:szCs w:val="32"/>
          <w:lang w:val="en-US" w:eastAsia="zh-CN"/>
          <w:highlight w:val="auto"/>
        </w:rPr>
        <w:t>，经复核和</w:t>
      </w:r>
      <w:r>
        <w:rPr>
          <w:rFonts w:cs="Times New Roman" w:hint="eastAsia"/>
          <w:sz w:val="32"/>
          <w:szCs w:val="32"/>
          <w:lang w:val="en-US" w:eastAsia="zh-CN"/>
          <w:highlight w:val="auto"/>
        </w:rPr>
        <w:t>二次财政意见反馈</w:t>
      </w:r>
      <w:r>
        <w:rPr>
          <w:rFonts w:ascii="Times New Roman" w:eastAsia="仿宋_GB2312" w:cs="Times New Roman" w:hAnsi="Times New Roman"/>
          <w:sz w:val="32"/>
          <w:szCs w:val="32"/>
          <w:lang w:val="en-US" w:eastAsia="zh-CN"/>
          <w:highlight w:val="auto"/>
        </w:rPr>
        <w:t>后，形成绩效评价报告。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800"/>
        <w:textAlignment w:val="auto"/>
        <w:rPr>
          <w:rFonts w:ascii="Times New Roman" w:eastAsia="黑体" w:cs="Times New Roman" w:hAnsi="Times New Roman"/>
          <w:sz w:val="32"/>
          <w:szCs w:val="32"/>
          <w:highlight w:val="auto"/>
        </w:rPr>
      </w:pPr>
      <w:r>
        <w:rPr>
          <w:rFonts w:ascii="Times New Roman" w:eastAsia="仿宋_GB2312" w:cs="Times New Roman" w:hAnsi="Times New Roman"/>
          <w:sz w:val="32"/>
          <w:szCs w:val="32"/>
          <w:lang w:val="en-US" w:eastAsia="zh-CN"/>
        </w:rPr>
        <w:tab/>
      </w:r>
      <w:r>
        <w:rPr>
          <w:rFonts w:ascii="Times New Roman" w:eastAsia="黑体" w:cs="Times New Roman" w:hAnsi="Times New Roman"/>
          <w:sz w:val="32"/>
          <w:szCs w:val="32"/>
          <w:lang w:eastAsia="zh-CN"/>
          <w:highlight w:val="auto"/>
        </w:rPr>
        <w:t>二、</w:t>
      </w:r>
      <w:r>
        <w:rPr>
          <w:rFonts w:ascii="Times New Roman" w:eastAsia="黑体" w:cs="Times New Roman" w:hAnsi="Times New Roman"/>
          <w:sz w:val="32"/>
          <w:szCs w:val="32"/>
          <w:highlight w:val="auto"/>
        </w:rPr>
        <w:t>评价结果</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kern w:val="2"/>
          <w:sz w:val="32"/>
          <w:szCs w:val="32"/>
          <w:lang w:val="en-US" w:eastAsia="zh-CN" w:bidi="ar-SA"/>
          <w:highlight w:val="auto"/>
        </w:rPr>
      </w:pPr>
      <w:r>
        <w:rPr>
          <w:rFonts w:ascii="Times New Roman" w:eastAsia="仿宋_GB2312" w:cs="Times New Roman" w:hAnsi="Times New Roman"/>
          <w:kern w:val="2"/>
          <w:sz w:val="32"/>
          <w:szCs w:val="32"/>
          <w:lang w:val="en-US" w:eastAsia="zh-CN" w:bidi="ar-SA"/>
          <w:highlight w:val="auto"/>
        </w:rPr>
        <w:t>根据得分确定90（含）-100分为优秀、80（含）-90分为良好，70（含）-80分为中等，70分以下为差四个等次。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（一）</w:t>
      </w:r>
      <w:r>
        <w:rPr>
          <w:rFonts w:eastAsia="楷体_GB2312" w:cs="Times New Roman" w:hint="eastAsia"/>
          <w:b/>
          <w:bCs w:val="0"/>
          <w:sz w:val="32"/>
          <w:szCs w:val="32"/>
          <w:lang w:eastAsia="zh-CN"/>
          <w:highlight w:val="auto"/>
        </w:rPr>
        <w:t>项目</w:t>
      </w:r>
      <w:r>
        <w:rPr>
          <w:rFonts w:ascii="Times New Roman" w:eastAsia="楷体_GB2312" w:cs="Times New Roman" w:hAnsi="Times New Roman"/>
          <w:b/>
          <w:bCs w:val="0"/>
          <w:sz w:val="32"/>
          <w:szCs w:val="32"/>
          <w:lang w:eastAsia="zh-CN"/>
          <w:highlight w:val="auto"/>
        </w:rPr>
        <w:t>支出评价结果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val="0"/>
          <w:bCs/>
          <w:sz w:val="32"/>
          <w:szCs w:val="32"/>
          <w:lang w:val="en-US" w:eastAsia="zh-CN"/>
          <w:highlight w:val="auto"/>
        </w:rPr>
      </w:pPr>
      <w:r>
        <w:rPr>
          <w:rFonts w:ascii="Times New Roman" w:eastAsia="仿宋_GB2312" w:cs="Times New Roman" w:hAnsi="Times New Roman"/>
          <w:b w:val="0"/>
          <w:bCs/>
          <w:sz w:val="32"/>
          <w:szCs w:val="32"/>
          <w:lang w:eastAsia="zh-CN"/>
          <w:highlight w:val="auto"/>
        </w:rPr>
        <w:t>本次</w:t>
      </w:r>
      <w:r>
        <w:rPr>
          <w:rFonts w:cs="Times New Roman" w:hint="eastAsia"/>
          <w:b w:val="0"/>
          <w:bCs/>
          <w:sz w:val="32"/>
          <w:szCs w:val="32"/>
          <w:lang w:eastAsia="zh-CN"/>
          <w:highlight w:val="auto"/>
        </w:rPr>
        <w:t>对</w:t>
      </w:r>
      <w:r>
        <w:rPr>
          <w:rFonts w:cs="Times New Roman" w:hint="eastAsia"/>
          <w:b w:val="0"/>
          <w:bCs/>
          <w:sz w:val="32"/>
          <w:szCs w:val="32"/>
          <w:lang w:val="en-US" w:eastAsia="zh-CN"/>
          <w:highlight w:val="auto"/>
        </w:rPr>
        <w:t>76</w:t>
      </w:r>
      <w:r>
        <w:rPr>
          <w:rFonts w:ascii="Times New Roman" w:eastAsia="仿宋_GB2312" w:cs="Times New Roman" w:hAnsi="Times New Roman"/>
          <w:b w:val="0"/>
          <w:bCs/>
          <w:sz w:val="32"/>
          <w:szCs w:val="32"/>
          <w:lang w:val="en-US" w:eastAsia="zh-CN"/>
          <w:highlight w:val="auto"/>
        </w:rPr>
        <w:t>个</w:t>
      </w:r>
      <w:r>
        <w:rPr>
          <w:rFonts w:ascii="Times New Roman" w:eastAsia="仿宋_GB2312" w:cs="Times New Roman" w:hAnsi="Times New Roman"/>
          <w:b w:val="0"/>
          <w:bCs/>
          <w:sz w:val="32"/>
          <w:szCs w:val="32"/>
          <w:lang w:eastAsia="zh-CN"/>
          <w:highlight w:val="auto"/>
        </w:rPr>
        <w:t>项目</w:t>
      </w:r>
      <w:r>
        <w:rPr>
          <w:rFonts w:cs="Times New Roman" w:hint="eastAsia"/>
          <w:b w:val="0"/>
          <w:bCs/>
          <w:sz w:val="32"/>
          <w:szCs w:val="32"/>
          <w:lang w:eastAsia="zh-CN"/>
          <w:highlight w:val="auto"/>
        </w:rPr>
        <w:t>开展项目</w:t>
      </w:r>
      <w:r>
        <w:rPr>
          <w:rFonts w:ascii="Times New Roman" w:eastAsia="仿宋_GB2312" w:cs="Times New Roman" w:hAnsi="Times New Roman"/>
          <w:b w:val="0"/>
          <w:bCs/>
          <w:sz w:val="32"/>
          <w:szCs w:val="32"/>
          <w:lang w:eastAsia="zh-CN"/>
          <w:highlight w:val="auto"/>
        </w:rPr>
        <w:t>支出绩效评价</w:t>
      </w:r>
      <w:r>
        <w:rPr>
          <w:rFonts w:ascii="Times New Roman" w:eastAsia="仿宋_GB2312" w:cs="Times New Roman" w:hAnsi="Times New Roman"/>
          <w:b w:val="0"/>
          <w:bCs/>
          <w:sz w:val="32"/>
          <w:szCs w:val="32"/>
          <w:lang w:val="en-US" w:eastAsia="zh-CN"/>
          <w:highlight w:val="auto"/>
        </w:rPr>
        <w:t>，平均得分</w:t>
      </w:r>
      <w:r>
        <w:rPr>
          <w:rFonts w:cs="Times New Roman" w:hint="eastAsia"/>
          <w:b w:val="0"/>
          <w:bCs/>
          <w:sz w:val="32"/>
          <w:szCs w:val="32"/>
          <w:lang w:val="en-US" w:eastAsia="zh-CN"/>
          <w:highlight w:val="auto"/>
        </w:rPr>
        <w:t>93.5</w:t>
      </w:r>
      <w:r>
        <w:rPr>
          <w:rFonts w:ascii="Times New Roman" w:eastAsia="仿宋_GB2312" w:cs="Times New Roman" w:hAnsi="Times New Roman"/>
          <w:b w:val="0"/>
          <w:bCs/>
          <w:sz w:val="32"/>
          <w:szCs w:val="32"/>
          <w:lang w:val="en-US" w:eastAsia="zh-CN"/>
          <w:highlight w:val="auto"/>
        </w:rPr>
        <w:t>分，其中：河西乡杨家湾低压线路改造项目</w:t>
      </w:r>
      <w:r>
        <w:rPr>
          <w:rFonts w:cs="Times New Roman" w:hint="eastAsia"/>
          <w:b w:val="0"/>
          <w:bCs/>
          <w:sz w:val="32"/>
          <w:szCs w:val="32"/>
          <w:lang w:val="en-US" w:eastAsia="zh-CN"/>
          <w:highlight w:val="auto"/>
        </w:rPr>
        <w:t>、新冠疫情社区排查防控社工人员等3个</w:t>
      </w:r>
      <w:r>
        <w:rPr>
          <w:rFonts w:ascii="Times New Roman" w:eastAsia="仿宋_GB2312" w:cs="Times New Roman" w:hAnsi="Times New Roman"/>
          <w:b w:val="0"/>
          <w:bCs/>
          <w:sz w:val="32"/>
          <w:szCs w:val="32"/>
          <w:lang w:val="en-US" w:eastAsia="zh-CN"/>
          <w:highlight w:val="auto"/>
        </w:rPr>
        <w:t>项目得分最高，为</w:t>
      </w:r>
      <w:r>
        <w:rPr>
          <w:rFonts w:cs="Times New Roman" w:hint="eastAsia"/>
          <w:b w:val="0"/>
          <w:bCs/>
          <w:sz w:val="32"/>
          <w:szCs w:val="32"/>
          <w:lang w:val="en-US" w:eastAsia="zh-CN"/>
          <w:highlight w:val="auto"/>
        </w:rPr>
        <w:t>99</w:t>
      </w:r>
      <w:r>
        <w:rPr>
          <w:rFonts w:ascii="Times New Roman" w:eastAsia="仿宋_GB2312" w:cs="Times New Roman" w:hAnsi="Times New Roman"/>
          <w:b w:val="0"/>
          <w:bCs/>
          <w:sz w:val="32"/>
          <w:szCs w:val="32"/>
          <w:lang w:val="en-US" w:eastAsia="zh-CN"/>
          <w:highlight w:val="auto"/>
        </w:rPr>
        <w:t>分；</w:t>
      </w:r>
      <w:r>
        <w:rPr>
          <w:rFonts w:cs="Times New Roman" w:hint="eastAsia"/>
          <w:b w:val="0"/>
          <w:bCs/>
          <w:sz w:val="32"/>
          <w:szCs w:val="32"/>
          <w:lang w:val="en-US" w:eastAsia="zh-CN"/>
          <w:highlight w:val="auto"/>
        </w:rPr>
        <w:t>金川县教育干部人才“组团式”帮扶智力补助项目</w:t>
      </w:r>
      <w:r>
        <w:rPr>
          <w:rFonts w:ascii="Times New Roman" w:eastAsia="仿宋_GB2312" w:cs="Times New Roman" w:hAnsi="Times New Roman"/>
          <w:b w:val="0"/>
          <w:bCs/>
          <w:sz w:val="32"/>
          <w:szCs w:val="32"/>
          <w:lang w:val="en-US" w:eastAsia="zh-CN"/>
          <w:highlight w:val="auto"/>
        </w:rPr>
        <w:t>得分最低，为</w:t>
      </w:r>
      <w:r>
        <w:rPr>
          <w:rFonts w:cs="Times New Roman" w:hint="eastAsia"/>
          <w:b w:val="0"/>
          <w:bCs/>
          <w:sz w:val="32"/>
          <w:szCs w:val="32"/>
          <w:lang w:val="en-US" w:eastAsia="zh-CN"/>
          <w:highlight w:val="auto"/>
        </w:rPr>
        <w:t>74.66</w:t>
      </w:r>
      <w:r>
        <w:rPr>
          <w:rFonts w:ascii="Times New Roman" w:eastAsia="仿宋_GB2312" w:cs="Times New Roman" w:hAnsi="Times New Roman"/>
          <w:b w:val="0"/>
          <w:bCs/>
          <w:sz w:val="32"/>
          <w:szCs w:val="32"/>
          <w:lang w:val="en-US" w:eastAsia="zh-CN"/>
          <w:highlight w:val="auto"/>
        </w:rPr>
        <w:t>分。等级为优秀的</w:t>
      </w:r>
      <w:r>
        <w:rPr>
          <w:rFonts w:cs="Times New Roman" w:hint="eastAsia"/>
          <w:b w:val="0"/>
          <w:bCs/>
          <w:sz w:val="32"/>
          <w:szCs w:val="32"/>
          <w:lang w:val="en-US" w:eastAsia="zh-CN"/>
          <w:highlight w:val="auto"/>
        </w:rPr>
        <w:t>64</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84.21</w:t>
      </w:r>
      <w:r>
        <w:rPr>
          <w:rFonts w:ascii="Times New Roman" w:eastAsia="仿宋_GB2312" w:cs="Times New Roman" w:hAnsi="Times New Roman"/>
          <w:b w:val="0"/>
          <w:bCs/>
          <w:sz w:val="32"/>
          <w:szCs w:val="32"/>
          <w:lang w:val="en-US" w:eastAsia="zh-CN"/>
          <w:highlight w:val="auto"/>
        </w:rPr>
        <w:t>%；良好的</w:t>
      </w:r>
      <w:r>
        <w:rPr>
          <w:rFonts w:cs="Times New Roman" w:hint="eastAsia"/>
          <w:b w:val="0"/>
          <w:bCs/>
          <w:sz w:val="32"/>
          <w:szCs w:val="32"/>
          <w:lang w:val="en-US" w:eastAsia="zh-CN"/>
          <w:highlight w:val="auto"/>
        </w:rPr>
        <w:t>9</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11.84</w:t>
      </w:r>
      <w:r>
        <w:rPr>
          <w:rFonts w:ascii="Times New Roman" w:eastAsia="仿宋_GB2312" w:cs="Times New Roman" w:hAnsi="Times New Roman"/>
          <w:b w:val="0"/>
          <w:bCs/>
          <w:sz w:val="32"/>
          <w:szCs w:val="32"/>
          <w:lang w:val="en-US" w:eastAsia="zh-CN"/>
          <w:highlight w:val="auto"/>
        </w:rPr>
        <w:t>%；中等的</w:t>
      </w:r>
      <w:r>
        <w:rPr>
          <w:rFonts w:cs="Times New Roman" w:hint="eastAsia"/>
          <w:b w:val="0"/>
          <w:bCs/>
          <w:sz w:val="32"/>
          <w:szCs w:val="32"/>
          <w:lang w:val="en-US" w:eastAsia="zh-CN"/>
          <w:highlight w:val="auto"/>
        </w:rPr>
        <w:t>3</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3.95</w:t>
      </w:r>
      <w:r>
        <w:rPr>
          <w:rFonts w:ascii="Times New Roman" w:eastAsia="仿宋_GB2312" w:cs="Times New Roman" w:hAnsi="Times New Roman"/>
          <w:b w:val="0"/>
          <w:bCs/>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b/>
          <w:sz w:val="32"/>
          <w:szCs w:val="32"/>
          <w:lang w:eastAsia="zh-CN"/>
          <w:highlight w:val="auto"/>
        </w:rPr>
      </w:pPr>
      <w:r>
        <w:rPr>
          <w:rFonts w:ascii="仿宋_GB2312" w:eastAsia="仿宋_GB2312" w:cs="仿宋_GB2312" w:hint="eastAsia"/>
          <w:b/>
          <w:sz w:val="32"/>
          <w:szCs w:val="32"/>
          <w:lang w:val="en-US" w:eastAsia="zh-CN"/>
          <w:highlight w:val="auto"/>
        </w:rPr>
        <w:t>1.</w:t>
      </w:r>
      <w:r>
        <w:rPr>
          <w:rFonts w:ascii="仿宋_GB2312" w:eastAsia="仿宋_GB2312" w:cs="仿宋_GB2312" w:hint="eastAsia"/>
          <w:b/>
          <w:sz w:val="32"/>
          <w:szCs w:val="32"/>
          <w:lang w:eastAsia="zh-CN"/>
          <w:highlight w:val="auto"/>
        </w:rPr>
        <w:t>通用指标得分情况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sz w:val="32"/>
          <w:szCs w:val="32"/>
          <w:lang w:eastAsia="zh-CN"/>
          <w:highlight w:val="red"/>
        </w:rPr>
      </w:pPr>
      <w:r>
        <w:rPr>
          <w:rFonts w:ascii="仿宋_GB2312" w:eastAsia="仿宋_GB2312" w:cs="仿宋_GB2312" w:hint="eastAsia"/>
          <w:b/>
          <w:sz w:val="32"/>
          <w:szCs w:val="32"/>
          <w:lang w:val="en-US" w:eastAsia="zh-CN"/>
          <w:highlight w:val="auto"/>
        </w:rPr>
        <w:t>（1）</w:t>
      </w:r>
      <w:r>
        <w:rPr>
          <w:rFonts w:ascii="仿宋_GB2312" w:eastAsia="仿宋_GB2312" w:cs="仿宋_GB2312" w:hint="eastAsia"/>
          <w:b/>
          <w:sz w:val="32"/>
          <w:szCs w:val="32"/>
          <w:highlight w:val="auto"/>
        </w:rPr>
        <w:t>项目决策</w:t>
      </w:r>
      <w:r>
        <w:rPr>
          <w:rFonts w:ascii="仿宋_GB2312" w:eastAsia="仿宋_GB2312" w:cs="仿宋_GB2312" w:hint="eastAsia"/>
          <w:b/>
          <w:sz w:val="32"/>
          <w:szCs w:val="32"/>
          <w:lang w:eastAsia="zh-CN"/>
          <w:highlight w:val="auto"/>
        </w:rPr>
        <w:t>。</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w:t>
      </w:r>
      <w:r>
        <w:rPr>
          <w:rFonts w:ascii="Times New Roman" w:cs="Times New Roman" w:hAnsi="Times New Roman" w:hint="eastAsia"/>
          <w:color w:val="000000"/>
          <w:kern w:val="0"/>
          <w:sz w:val="32"/>
          <w:szCs w:val="32"/>
          <w:shd w:val="clear" w:color="auto" w:fill="FFFFFF"/>
          <w:lang w:val="en-US" w:eastAsia="zh-CN"/>
          <w:highlight w:val="auto"/>
        </w:rPr>
        <w:t>8</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cs="Times New Roman" w:hint="eastAsia"/>
          <w:color w:val="000000"/>
          <w:kern w:val="0"/>
          <w:sz w:val="32"/>
          <w:szCs w:val="32"/>
          <w:shd w:val="clear" w:color="auto" w:fill="FFFFFF"/>
          <w:lang w:val="en-US" w:eastAsia="zh-CN"/>
          <w:highlight w:val="auto"/>
        </w:rPr>
        <w:t>17.58</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w:t>
      </w:r>
      <w:r>
        <w:rPr>
          <w:rFonts w:ascii="Times New Roman" w:eastAsia="仿宋_GB2312" w:cs="Times New Roman" w:hAnsi="Times New Roman" w:hint="eastAsia"/>
          <w:sz w:val="32"/>
          <w:szCs w:val="32"/>
          <w:lang w:val="en-US" w:eastAsia="zh-CN"/>
          <w:highlight w:val="auto"/>
        </w:rPr>
        <w:t>个别项目存在绩效目标设置不合理、设置不够细化量化、设置不够完善等情况。</w:t>
      </w:r>
    </w:p>
    <w:p>
      <w:pPr>
        <w:pStyle w:val="21"/>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cs="Times New Roman" w:hint="eastAsia"/>
          <w:b/>
          <w:sz w:val="32"/>
          <w:szCs w:val="32"/>
          <w:lang w:val="en-US" w:eastAsia="zh-CN"/>
          <w:highlight w:val="auto"/>
        </w:rPr>
      </w:pPr>
      <w:r>
        <w:rPr>
          <w:rFonts w:cs="Times New Roman" w:hint="eastAsia"/>
          <w:b/>
          <w:sz w:val="32"/>
          <w:szCs w:val="32"/>
          <w:lang w:val="en-US" w:eastAsia="zh-CN"/>
          <w:highlight w:val="auto"/>
        </w:rPr>
        <w:t>项目管理。</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w:t>
      </w:r>
      <w:r>
        <w:rPr>
          <w:rFonts w:ascii="Times New Roman" w:cs="Times New Roman" w:hAnsi="Times New Roman" w:hint="eastAsia"/>
          <w:color w:val="000000"/>
          <w:kern w:val="0"/>
          <w:sz w:val="32"/>
          <w:szCs w:val="32"/>
          <w:shd w:val="clear" w:color="auto" w:fill="FFFFFF"/>
          <w:lang w:val="en-US" w:eastAsia="zh-CN"/>
          <w:highlight w:val="auto"/>
        </w:rPr>
        <w:t>8</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hint="eastAsia"/>
          <w:color w:val="000000"/>
          <w:kern w:val="0"/>
          <w:sz w:val="32"/>
          <w:szCs w:val="32"/>
          <w:shd w:val="clear" w:color="auto" w:fill="FFFFFF"/>
          <w:lang w:val="en-US" w:eastAsia="zh-CN"/>
          <w:highlight w:val="auto"/>
        </w:rPr>
        <w:t>17.74</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w:t>
      </w:r>
      <w:r>
        <w:rPr>
          <w:rFonts w:ascii="Times New Roman" w:cs="Times New Roman" w:hAnsi="Times New Roman" w:hint="eastAsia"/>
          <w:sz w:val="32"/>
          <w:szCs w:val="32"/>
          <w:lang w:eastAsia="zh-CN"/>
          <w:highlight w:val="auto"/>
        </w:rPr>
        <w:t>个别单位项目绩效自评未全覆盖。</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red"/>
        </w:rPr>
      </w:pPr>
      <w:r>
        <w:rPr>
          <w:rFonts w:ascii="Times New Roman" w:cs="Times New Roman" w:hAnsi="Times New Roman" w:hint="eastAsia"/>
          <w:b/>
          <w:sz w:val="32"/>
          <w:szCs w:val="32"/>
          <w:lang w:val="en-US" w:eastAsia="zh-CN"/>
          <w:highlight w:val="auto"/>
        </w:rPr>
        <w:t>（3）</w:t>
      </w:r>
      <w:r>
        <w:rPr>
          <w:rFonts w:ascii="Times New Roman" w:eastAsia="仿宋_GB2312" w:cs="Times New Roman" w:hAnsi="Times New Roman"/>
          <w:b/>
          <w:sz w:val="32"/>
          <w:szCs w:val="32"/>
          <w:lang w:val="en-US" w:eastAsia="zh-CN"/>
          <w:highlight w:val="auto"/>
        </w:rPr>
        <w:t>项目实施</w:t>
      </w:r>
      <w:r>
        <w:rPr>
          <w:rFonts w:ascii="Times New Roman" w:cs="Times New Roman" w:hAnsi="Times New Roman" w:hint="eastAsia"/>
          <w:b/>
          <w:sz w:val="32"/>
          <w:szCs w:val="32"/>
          <w:lang w:val="en-US" w:eastAsia="zh-CN"/>
          <w:highlight w:val="auto"/>
        </w:rPr>
        <w:t>。</w:t>
      </w:r>
      <w:r>
        <w:rPr>
          <w:rFonts w:ascii="Times New Roman" w:eastAsia="仿宋_GB2312" w:cs="Times New Roman" w:hAnsi="Times New Roman"/>
          <w:color w:val="000000"/>
          <w:kern w:val="0"/>
          <w:sz w:val="32"/>
          <w:szCs w:val="32"/>
          <w:shd w:val="clear" w:color="auto" w:fill="FFFFFF"/>
          <w:highlight w:val="auto"/>
        </w:rPr>
        <w:t>该指标权重为</w:t>
      </w:r>
      <w:r>
        <w:rPr>
          <w:rFonts w:cs="Times New Roman" w:hint="eastAsia"/>
          <w:color w:val="000000"/>
          <w:kern w:val="0"/>
          <w:sz w:val="32"/>
          <w:szCs w:val="32"/>
          <w:shd w:val="clear" w:color="auto" w:fill="FFFFFF"/>
          <w:lang w:val="en-US" w:eastAsia="zh-CN"/>
          <w:highlight w:val="auto"/>
        </w:rPr>
        <w:t>9</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cs="Times New Roman" w:hAnsi="Times New Roman" w:hint="eastAsia"/>
          <w:color w:val="000000"/>
          <w:kern w:val="0"/>
          <w:sz w:val="32"/>
          <w:szCs w:val="32"/>
          <w:shd w:val="clear" w:color="auto" w:fill="FFFFFF"/>
          <w:lang w:val="en-US" w:eastAsia="zh-CN"/>
          <w:highlight w:val="auto"/>
        </w:rPr>
        <w:t>6.62</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。扣分原因主要为：</w:t>
      </w:r>
      <w:r>
        <w:rPr>
          <w:rFonts w:ascii="Times New Roman" w:cs="Times New Roman" w:hAnsi="Times New Roman" w:hint="eastAsia"/>
          <w:sz w:val="32"/>
          <w:szCs w:val="32"/>
          <w:lang w:eastAsia="zh-CN"/>
          <w:highlight w:val="auto"/>
        </w:rPr>
        <w:t>一是预算执行未达进度；二是存在未批先付、资料内容矛盾、审签不齐全、提前支付资金、档案资料不规范等情况。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b/>
          <w:sz w:val="32"/>
          <w:szCs w:val="32"/>
          <w:lang w:val="en-US" w:eastAsia="zh-CN"/>
          <w:highlight w:val="auto"/>
        </w:rPr>
        <w:t>（</w:t>
      </w:r>
      <w:r>
        <w:rPr>
          <w:rFonts w:cs="Times New Roman" w:hint="eastAsia"/>
          <w:b/>
          <w:sz w:val="32"/>
          <w:szCs w:val="32"/>
          <w:lang w:val="en-US" w:eastAsia="zh-CN"/>
          <w:highlight w:val="auto"/>
        </w:rPr>
        <w:t>4</w:t>
      </w:r>
      <w:r>
        <w:rPr>
          <w:rFonts w:ascii="Times New Roman" w:eastAsia="仿宋_GB2312" w:cs="Times New Roman" w:hAnsi="Times New Roman"/>
          <w:b/>
          <w:sz w:val="32"/>
          <w:szCs w:val="32"/>
          <w:lang w:val="en-US" w:eastAsia="zh-CN"/>
          <w:highlight w:val="auto"/>
        </w:rPr>
        <w:t>）项目结果</w:t>
      </w:r>
      <w:r>
        <w:rPr>
          <w:rFonts w:cs="Times New Roman" w:hint="eastAsia"/>
          <w:b/>
          <w:sz w:val="32"/>
          <w:szCs w:val="32"/>
          <w:lang w:val="en-US" w:eastAsia="zh-CN"/>
          <w:highlight w:val="auto"/>
        </w:rPr>
        <w:t>。</w:t>
      </w:r>
      <w:r>
        <w:rPr>
          <w:rFonts w:ascii="Times New Roman" w:eastAsia="仿宋_GB2312" w:cs="Times New Roman" w:hAnsi="Times New Roman"/>
          <w:color w:val="000000"/>
          <w:kern w:val="0"/>
          <w:sz w:val="32"/>
          <w:szCs w:val="32"/>
          <w:shd w:val="clear" w:color="auto" w:fill="FFFFFF"/>
          <w:highlight w:val="auto"/>
        </w:rPr>
        <w:t>该指标权重为</w:t>
      </w:r>
      <w:r>
        <w:rPr>
          <w:rFonts w:cs="Times New Roman" w:hint="eastAsia"/>
          <w:color w:val="000000"/>
          <w:kern w:val="0"/>
          <w:sz w:val="32"/>
          <w:szCs w:val="32"/>
          <w:shd w:val="clear" w:color="auto" w:fill="FFFFFF"/>
          <w:lang w:val="en-US" w:eastAsia="zh-CN"/>
          <w:highlight w:val="auto"/>
        </w:rPr>
        <w:t>9</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cs="Times New Roman" w:hint="eastAsia"/>
          <w:color w:val="000000"/>
          <w:kern w:val="0"/>
          <w:sz w:val="32"/>
          <w:szCs w:val="32"/>
          <w:shd w:val="clear" w:color="auto" w:fill="FFFFFF"/>
          <w:lang w:val="en-US" w:eastAsia="zh-CN"/>
          <w:highlight w:val="auto"/>
        </w:rPr>
        <w:t>8.2</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val="en-US" w:eastAsia="zh-CN"/>
          <w:highlight w:val="auto"/>
        </w:rPr>
        <w:t>。</w:t>
      </w:r>
      <w:r>
        <w:rPr>
          <w:rFonts w:ascii="Times New Roman" w:eastAsia="仿宋_GB2312" w:cs="Times New Roman" w:hAnsi="Times New Roman"/>
          <w:sz w:val="32"/>
          <w:szCs w:val="32"/>
          <w:lang w:eastAsia="zh-CN"/>
          <w:highlight w:val="auto"/>
        </w:rPr>
        <w:t>扣分原因主要为：</w:t>
      </w:r>
      <w:r>
        <w:rPr>
          <w:rFonts w:cs="Times New Roman" w:hint="eastAsia"/>
          <w:sz w:val="32"/>
          <w:szCs w:val="32"/>
          <w:lang w:eastAsia="zh-CN"/>
          <w:highlight w:val="auto"/>
        </w:rPr>
        <w:t>未按期完成绩效目标设定值。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sz w:val="32"/>
          <w:szCs w:val="32"/>
          <w:highlight w:val="auto"/>
        </w:rPr>
      </w:pPr>
      <w:r>
        <w:rPr>
          <w:rFonts w:ascii="仿宋_GB2312" w:eastAsia="仿宋_GB2312" w:cs="仿宋_GB2312" w:hint="eastAsia"/>
          <w:b/>
          <w:sz w:val="32"/>
          <w:szCs w:val="32"/>
          <w:lang w:val="en-US" w:eastAsia="zh-CN"/>
          <w:highlight w:val="auto"/>
        </w:rPr>
        <w:t>2.专用指标得分情况。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 w:cs="Times New Roman" w:hAnsi="Times New Roman"/>
          <w:sz w:val="28"/>
          <w:szCs w:val="28"/>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cs="Times New Roman" w:hint="eastAsia"/>
          <w:color w:val="000000"/>
          <w:kern w:val="0"/>
          <w:sz w:val="32"/>
          <w:szCs w:val="32"/>
          <w:shd w:val="clear" w:color="auto" w:fill="FFFFFF"/>
          <w:lang w:val="en-US" w:eastAsia="zh-CN"/>
          <w:highlight w:val="auto"/>
        </w:rPr>
        <w:t>30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cs="Times New Roman" w:hint="eastAsia"/>
          <w:color w:val="000000"/>
          <w:kern w:val="0"/>
          <w:sz w:val="32"/>
          <w:szCs w:val="32"/>
          <w:shd w:val="clear" w:color="auto" w:fill="FFFFFF"/>
          <w:lang w:val="en-US" w:eastAsia="zh-CN"/>
          <w:highlight w:val="auto"/>
        </w:rPr>
        <w:t>28.92</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 w:cs="Times New Roman" w:hAnsi="Times New Roman"/>
          <w:sz w:val="28"/>
          <w:szCs w:val="28"/>
          <w:highlight w:val="auto"/>
        </w:rPr>
        <w:tab/>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产业发展类项目。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cs="Times New Roman" w:hint="eastAsia"/>
          <w:sz w:val="32"/>
          <w:szCs w:val="32"/>
          <w:lang w:val="en-US" w:eastAsia="zh-CN"/>
          <w:highlight w:val="auto"/>
        </w:rPr>
        <w:t>3</w:t>
      </w:r>
      <w:r>
        <w:rPr>
          <w:rFonts w:ascii="Times New Roman" w:eastAsia="仿宋_GB2312" w:cs="Times New Roman" w:hAnsi="Times New Roman"/>
          <w:sz w:val="32"/>
          <w:szCs w:val="32"/>
          <w:lang w:val="en-US" w:eastAsia="zh-CN"/>
          <w:highlight w:val="auto"/>
        </w:rPr>
        <w:t>个，其中</w:t>
      </w:r>
      <w:r>
        <w:rPr>
          <w:rFonts w:cs="Times New Roman" w:hint="eastAsia"/>
          <w:sz w:val="32"/>
          <w:szCs w:val="32"/>
          <w:lang w:val="en-US" w:eastAsia="zh-CN"/>
          <w:highlight w:val="auto"/>
        </w:rPr>
        <w:t>1</w:t>
      </w:r>
      <w:r>
        <w:rPr>
          <w:rFonts w:ascii="Times New Roman" w:eastAsia="仿宋_GB2312" w:cs="Times New Roman" w:hAnsi="Times New Roman"/>
          <w:sz w:val="32"/>
          <w:szCs w:val="32"/>
          <w:lang w:val="en-US" w:eastAsia="zh-CN"/>
          <w:highlight w:val="auto"/>
        </w:rPr>
        <w:t>个项目尚处于计划实施期内，不参与评价。</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b w:val="0"/>
          <w:bCs w:val="0"/>
          <w:sz w:val="32"/>
          <w:szCs w:val="32"/>
          <w:lang w:eastAsia="zh-CN"/>
          <w:highlight w:val="auto"/>
        </w:rPr>
      </w:pPr>
      <w:r>
        <w:rPr>
          <w:rFonts w:ascii="Times New Roman" w:eastAsia="仿宋_GB2312" w:cs="Times New Roman" w:hAnsi="Times New Roman"/>
          <w:b/>
          <w:bCs/>
          <w:sz w:val="32"/>
          <w:szCs w:val="32"/>
          <w:lang w:eastAsia="zh-CN"/>
          <w:highlight w:val="auto"/>
        </w:rPr>
        <w:t>民生保障</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cs="Times New Roman" w:hint="eastAsia"/>
          <w:b/>
          <w:bCs/>
          <w:sz w:val="32"/>
          <w:szCs w:val="32"/>
          <w:lang w:eastAsia="zh-CN"/>
          <w:highlight w:val="auto"/>
        </w:rPr>
        <w:t>。</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cs="Times New Roman" w:hint="eastAsia"/>
          <w:sz w:val="32"/>
          <w:szCs w:val="32"/>
          <w:lang w:val="en-US" w:eastAsia="zh-CN"/>
          <w:highlight w:val="auto"/>
        </w:rPr>
        <w:t>16</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w:t>
      </w:r>
      <w:r>
        <w:rPr>
          <w:rFonts w:cs="Times New Roman" w:hint="eastAsia"/>
          <w:sz w:val="32"/>
          <w:szCs w:val="32"/>
          <w:lang w:val="en-US" w:eastAsia="zh-CN"/>
          <w:highlight w:val="auto"/>
        </w:rPr>
        <w:t>6</w:t>
      </w:r>
      <w:r>
        <w:rPr>
          <w:rFonts w:ascii="Times New Roman" w:eastAsia="仿宋_GB2312" w:cs="Times New Roman" w:hAnsi="Times New Roman"/>
          <w:sz w:val="32"/>
          <w:szCs w:val="32"/>
          <w:lang w:val="en-US" w:eastAsia="zh-CN"/>
          <w:highlight w:val="auto"/>
        </w:rPr>
        <w:t>个项目共扣</w:t>
      </w:r>
      <w:r>
        <w:rPr>
          <w:rFonts w:cs="Times New Roman" w:hint="eastAsia"/>
          <w:sz w:val="32"/>
          <w:szCs w:val="32"/>
          <w:lang w:val="en-US" w:eastAsia="zh-CN"/>
          <w:highlight w:val="auto"/>
        </w:rPr>
        <w:t>12.75</w:t>
      </w:r>
      <w:r>
        <w:rPr>
          <w:rFonts w:ascii="Times New Roman" w:eastAsia="仿宋_GB2312" w:cs="Times New Roman" w:hAnsi="Times New Roman"/>
          <w:sz w:val="32"/>
          <w:szCs w:val="32"/>
          <w:lang w:val="en-US" w:eastAsia="zh-CN"/>
          <w:highlight w:val="auto"/>
        </w:rPr>
        <w:t>分</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sz w:val="32"/>
          <w:szCs w:val="32"/>
          <w:lang w:eastAsia="zh-CN"/>
          <w:highlight w:val="auto"/>
        </w:rPr>
        <w:t>扣分原因主要为：</w:t>
      </w:r>
      <w:r>
        <w:rPr>
          <w:rFonts w:ascii="Times New Roman" w:eastAsia="仿宋_GB2312" w:cs="Times New Roman" w:hAnsi="Times New Roman" w:hint="eastAsia"/>
          <w:b w:val="0"/>
          <w:bCs w:val="0"/>
          <w:color w:val="auto"/>
          <w:kern w:val="0"/>
          <w:position w:val="0"/>
          <w:sz w:val="32"/>
          <w:szCs w:val="32"/>
          <w:u w:val="none"/>
          <w:shd w:val="clear" w:color="auto" w:fill="auto"/>
          <w:lang w:val="en-US" w:eastAsia="zh-CN" w:bidi="zh-CN"/>
          <w:highlight w:val="auto"/>
        </w:rPr>
        <w:t>政策对象不精准</w:t>
      </w:r>
      <w:r>
        <w:rPr>
          <w:rFonts w:ascii="Times New Roman" w:eastAsia="仿宋_GB2312" w:cs="Times New Roman" w:hAnsi="Times New Roman" w:hint="eastAsia"/>
          <w:b/>
          <w:bCs/>
          <w:color w:val="auto"/>
          <w:kern w:val="0"/>
          <w:position w:val="0"/>
          <w:sz w:val="32"/>
          <w:szCs w:val="32"/>
          <w:u w:val="none"/>
          <w:shd w:val="clear" w:color="auto" w:fill="auto"/>
          <w:lang w:val="en-US" w:eastAsia="zh-CN" w:bidi="zh-CN"/>
          <w:highlight w:val="auto"/>
        </w:rPr>
        <w:t>，</w:t>
      </w:r>
      <w:r>
        <w:rPr>
          <w:rFonts w:ascii="Times New Roman" w:eastAsia="仿宋_GB2312" w:cs="Times New Roman" w:hAnsi="Times New Roman" w:hint="eastAsia"/>
          <w:b w:val="0"/>
          <w:bCs w:val="0"/>
          <w:kern w:val="0"/>
          <w:position w:val="0"/>
          <w:sz w:val="32"/>
          <w:szCs w:val="32"/>
          <w:lang w:val="en-US" w:eastAsia="zh-CN"/>
          <w:highlight w:val="auto"/>
        </w:rPr>
        <w:t>个别项目存在公益性岗位聘用不规范、发放对象不精准的情况</w:t>
      </w:r>
      <w:r>
        <w:rPr>
          <w:rFonts w:ascii="Times New Roman" w:cs="Times New Roman" w:hAnsi="Times New Roman" w:hint="eastAsia"/>
          <w:b w:val="0"/>
          <w:bCs w:val="0"/>
          <w:kern w:val="0"/>
          <w:position w:val="0"/>
          <w:sz w:val="32"/>
          <w:szCs w:val="32"/>
          <w:lang w:val="en-US" w:eastAsia="zh-CN"/>
          <w:highlight w:val="auto"/>
        </w:rPr>
        <w:t>，</w:t>
      </w:r>
      <w:r>
        <w:rPr>
          <w:rFonts w:ascii="Times New Roman" w:eastAsia="仿宋_GB2312" w:cs="Times New Roman" w:hAnsi="Times New Roman" w:hint="eastAsia"/>
          <w:b w:val="0"/>
          <w:bCs w:val="0"/>
          <w:color w:val="auto"/>
          <w:kern w:val="0"/>
          <w:position w:val="0"/>
          <w:sz w:val="32"/>
          <w:szCs w:val="32"/>
          <w:u w:val="none"/>
          <w:shd w:val="clear" w:color="auto" w:fill="auto"/>
          <w:lang w:val="en-US" w:eastAsia="zh-CN" w:bidi="zh-CN"/>
          <w:highlight w:val="auto"/>
        </w:rPr>
        <w:t>政策标准存在差异</w:t>
      </w:r>
    </w:p>
    <w:p>
      <w:pPr>
        <w:pStyle w:val="21"/>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eastAsia="zh-CN"/>
          <w:highlight w:val="auto"/>
        </w:rPr>
        <w:t>基础设施（设备购置）</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hint="eastAsia"/>
          <w:sz w:val="32"/>
          <w:szCs w:val="32"/>
          <w:lang w:val="en-US" w:eastAsia="zh-CN"/>
          <w:highlight w:val="auto"/>
        </w:rPr>
        <w:t>56</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w:t>
      </w:r>
      <w:r>
        <w:rPr>
          <w:rFonts w:ascii="Times New Roman" w:cs="Times New Roman" w:hAnsi="Times New Roman" w:hint="eastAsia"/>
          <w:sz w:val="32"/>
          <w:szCs w:val="32"/>
          <w:lang w:val="en-US" w:eastAsia="zh-CN"/>
          <w:highlight w:val="auto"/>
        </w:rPr>
        <w:t>15</w:t>
      </w:r>
      <w:r>
        <w:rPr>
          <w:rFonts w:ascii="Times New Roman" w:eastAsia="仿宋_GB2312" w:cs="Times New Roman" w:hAnsi="Times New Roman"/>
          <w:sz w:val="32"/>
          <w:szCs w:val="32"/>
          <w:lang w:val="en-US" w:eastAsia="zh-CN"/>
          <w:highlight w:val="auto"/>
        </w:rPr>
        <w:t>个项目共扣</w:t>
      </w:r>
      <w:r>
        <w:rPr>
          <w:rFonts w:ascii="Times New Roman" w:cs="Times New Roman" w:hAnsi="Times New Roman" w:hint="eastAsia"/>
          <w:sz w:val="32"/>
          <w:szCs w:val="32"/>
          <w:lang w:val="en-US" w:eastAsia="zh-CN"/>
          <w:highlight w:val="auto"/>
        </w:rPr>
        <w:t>65.91</w:t>
      </w:r>
      <w:r>
        <w:rPr>
          <w:rFonts w:ascii="Times New Roman" w:eastAsia="仿宋_GB2312" w:cs="Times New Roman" w:hAnsi="Times New Roman"/>
          <w:sz w:val="32"/>
          <w:szCs w:val="32"/>
          <w:lang w:val="en-US" w:eastAsia="zh-CN"/>
          <w:highlight w:val="auto"/>
        </w:rPr>
        <w:t>分</w:t>
      </w:r>
      <w:r>
        <w:rPr>
          <w:rFonts w:ascii="Times New Roman" w:cs="Times New Roman" w:hAnsi="Times New Roman"/>
          <w:sz w:val="32"/>
          <w:szCs w:val="32"/>
          <w:lang w:val="en-US" w:eastAsia="zh-CN"/>
          <w:highlight w:val="auto"/>
        </w:rPr>
        <w:t>，</w:t>
      </w:r>
      <w:r>
        <w:rPr>
          <w:rFonts w:ascii="Times New Roman" w:cs="Times New Roman" w:hAnsi="Times New Roman" w:hint="eastAsia"/>
          <w:sz w:val="32"/>
          <w:szCs w:val="32"/>
          <w:lang w:val="en-US" w:eastAsia="zh-CN"/>
          <w:highlight w:val="auto"/>
        </w:rPr>
        <w:t>2</w:t>
      </w:r>
      <w:r>
        <w:rPr>
          <w:rFonts w:ascii="Times New Roman" w:cs="Times New Roman" w:hAnsi="Times New Roman"/>
          <w:sz w:val="32"/>
          <w:szCs w:val="32"/>
          <w:lang w:val="en-US" w:eastAsia="zh-CN"/>
          <w:highlight w:val="auto"/>
        </w:rPr>
        <w:t>个项目未完工不参与评价得分</w:t>
      </w:r>
      <w:r>
        <w:rPr>
          <w:rFonts w:ascii="Times New Roman" w:eastAsia="仿宋_GB2312" w:cs="Times New Roman" w:hAnsi="Times New Roman"/>
          <w:sz w:val="32"/>
          <w:szCs w:val="32"/>
          <w:lang w:val="en-US" w:eastAsia="zh-CN"/>
          <w:highlight w:val="auto"/>
        </w:rPr>
        <w:t>。</w:t>
      </w:r>
      <w:r>
        <w:rPr>
          <w:rFonts w:ascii="Times New Roman" w:eastAsia="仿宋_GB2312" w:cs="Times New Roman" w:hAnsi="Times New Roman"/>
          <w:sz w:val="32"/>
          <w:szCs w:val="32"/>
          <w:lang w:eastAsia="zh-CN"/>
          <w:highlight w:val="auto"/>
        </w:rPr>
        <w:t>扣分原因主要为：</w:t>
      </w:r>
      <w:r>
        <w:rPr>
          <w:rFonts w:ascii="Times New Roman" w:cs="Times New Roman" w:hAnsi="Times New Roman" w:hint="eastAsia"/>
          <w:sz w:val="32"/>
          <w:szCs w:val="32"/>
          <w:lang w:eastAsia="zh-CN"/>
          <w:highlight w:val="auto"/>
        </w:rPr>
        <w:t>项目尚未完工验收、部分功能未实现、后续管护不到位。</w:t>
      </w:r>
    </w:p>
    <w:p>
      <w:pPr>
        <w:pStyle w:val="21"/>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sz w:val="32"/>
          <w:szCs w:val="32"/>
          <w:lang w:val="en-US" w:eastAsia="zh-CN"/>
          <w:highlight w:val="auto"/>
        </w:rPr>
      </w:pPr>
      <w:r>
        <w:rPr>
          <w:rFonts w:ascii="Times New Roman" w:cs="Times New Roman" w:hAnsi="Times New Roman" w:hint="eastAsia"/>
          <w:b/>
          <w:bCs/>
          <w:sz w:val="32"/>
          <w:szCs w:val="32"/>
          <w:lang w:val="en-US" w:eastAsia="zh-CN"/>
          <w:highlight w:val="auto"/>
        </w:rPr>
        <w:t>行政运转项目</w:t>
      </w:r>
      <w:r>
        <w:rPr>
          <w:rFonts w:ascii="Times New Roman" w:cs="Times New Roman" w:hAnsi="Times New Roman" w:hint="eastAsia"/>
          <w:sz w:val="32"/>
          <w:szCs w:val="32"/>
          <w:lang w:val="en-US" w:eastAsia="zh-CN"/>
          <w:highlight w:val="auto"/>
        </w:rPr>
        <w:t>。</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cs="Times New Roman" w:hint="eastAsia"/>
          <w:sz w:val="32"/>
          <w:szCs w:val="32"/>
          <w:lang w:val="en-US" w:eastAsia="zh-CN"/>
          <w:highlight w:val="auto"/>
        </w:rPr>
        <w:t>1</w:t>
      </w:r>
      <w:r>
        <w:rPr>
          <w:rFonts w:ascii="Times New Roman" w:eastAsia="仿宋_GB2312" w:cs="Times New Roman" w:hAnsi="Times New Roman"/>
          <w:sz w:val="32"/>
          <w:szCs w:val="32"/>
          <w:lang w:val="en-US" w:eastAsia="zh-CN"/>
          <w:highlight w:val="auto"/>
        </w:rPr>
        <w:t>个，</w:t>
      </w:r>
      <w:r>
        <w:rPr>
          <w:rFonts w:ascii="Times New Roman" w:cs="Times New Roman" w:hAnsi="Times New Roman" w:hint="eastAsia"/>
          <w:sz w:val="32"/>
          <w:szCs w:val="32"/>
          <w:lang w:val="en-US" w:eastAsia="zh-CN"/>
          <w:highlight w:val="auto"/>
        </w:rPr>
        <w:t>得分30分。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b/>
          <w:bCs/>
          <w:sz w:val="32"/>
          <w:szCs w:val="32"/>
          <w:lang w:eastAsia="zh-CN"/>
          <w:highlight w:val="auto"/>
        </w:rPr>
      </w:pPr>
      <w:r>
        <w:rPr>
          <w:rFonts w:ascii="仿宋_GB2312" w:eastAsia="仿宋_GB2312" w:cs="仿宋_GB2312" w:hint="eastAsia"/>
          <w:b/>
          <w:bCs/>
          <w:color w:val="000000"/>
          <w:kern w:val="0"/>
          <w:sz w:val="32"/>
          <w:szCs w:val="32"/>
          <w:lang w:val="en-US" w:eastAsia="zh-CN"/>
          <w:highlight w:val="auto"/>
        </w:rPr>
        <w:t>3.</w:t>
      </w:r>
      <w:r>
        <w:rPr>
          <w:rFonts w:ascii="仿宋_GB2312" w:eastAsia="仿宋_GB2312" w:cs="仿宋_GB2312" w:hint="eastAsia"/>
          <w:b/>
          <w:bCs/>
          <w:color w:val="000000"/>
          <w:kern w:val="0"/>
          <w:sz w:val="32"/>
          <w:szCs w:val="32"/>
          <w:lang w:eastAsia="zh-CN"/>
          <w:highlight w:val="auto"/>
        </w:rPr>
        <w:t>个性性指标</w:t>
      </w:r>
      <w:r>
        <w:rPr>
          <w:rFonts w:ascii="仿宋_GB2312" w:eastAsia="仿宋_GB2312" w:cs="仿宋_GB2312" w:hint="eastAsia"/>
          <w:b/>
          <w:bCs/>
          <w:sz w:val="32"/>
          <w:szCs w:val="32"/>
          <w:lang w:eastAsia="zh-CN"/>
          <w:highlight w:val="auto"/>
        </w:rPr>
        <w:t>得分情况</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color w:val="000000"/>
          <w:kern w:val="0"/>
          <w:sz w:val="32"/>
          <w:szCs w:val="32"/>
          <w:shd w:val="clear" w:color="auto" w:fill="FFFFFF"/>
          <w:lang w:val="en-US"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hint="eastAsia"/>
          <w:color w:val="000000"/>
          <w:kern w:val="0"/>
          <w:sz w:val="32"/>
          <w:szCs w:val="32"/>
          <w:shd w:val="clear" w:color="auto" w:fill="FFFFFF"/>
          <w:lang w:val="en-US" w:eastAsia="zh-CN"/>
          <w:highlight w:val="auto"/>
        </w:rPr>
        <w:t>16</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hint="eastAsia"/>
          <w:color w:val="000000"/>
          <w:kern w:val="0"/>
          <w:sz w:val="32"/>
          <w:szCs w:val="32"/>
          <w:shd w:val="clear" w:color="auto" w:fill="FFFFFF"/>
          <w:lang w:val="en-US" w:eastAsia="zh-CN"/>
          <w:highlight w:val="auto"/>
        </w:rPr>
        <w:t>14.59</w:t>
      </w:r>
      <w:r>
        <w:rPr>
          <w:rFonts w:ascii="Times New Roman" w:eastAsia="仿宋_GB2312" w:cs="Times New Roman" w:hAnsi="Times New Roman"/>
          <w:color w:val="000000"/>
          <w:kern w:val="0"/>
          <w:sz w:val="32"/>
          <w:szCs w:val="32"/>
          <w:shd w:val="clear" w:color="auto" w:fill="FFFFFF"/>
          <w:lang w:val="en-US" w:eastAsia="zh-CN"/>
          <w:highlight w:val="auto"/>
        </w:rPr>
        <w:t>分。</w:t>
      </w:r>
    </w:p>
    <w:p>
      <w:pPr>
        <w:pStyle w:val="23"/>
        <w:keepNext w:val="0"/>
        <w:keepLines w:val="0"/>
        <w:pageBreakBefore w:val="0"/>
        <w:widowControl w:val="0"/>
        <w:numPr>
          <w:ilvl w:val="0"/>
          <w:numId w:val="3"/>
        </w:numPr>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产业发展类项目。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w:t>
      </w:r>
      <w:r>
        <w:rPr>
          <w:rFonts w:ascii="Times New Roman" w:eastAsia="仿宋_GB2312" w:cs="Times New Roman" w:hAnsi="Times New Roman" w:hint="eastAsia"/>
          <w:sz w:val="32"/>
          <w:szCs w:val="32"/>
          <w:lang w:val="en-US" w:eastAsia="zh-CN"/>
          <w:highlight w:val="auto"/>
        </w:rPr>
        <w:t>3</w:t>
      </w:r>
      <w:r>
        <w:rPr>
          <w:rFonts w:ascii="Times New Roman" w:eastAsia="仿宋_GB2312" w:cs="Times New Roman" w:hAnsi="Times New Roman"/>
          <w:sz w:val="32"/>
          <w:szCs w:val="32"/>
          <w:lang w:val="en-US" w:eastAsia="zh-CN"/>
          <w:highlight w:val="auto"/>
        </w:rPr>
        <w:t>共个，</w:t>
      </w:r>
      <w:r>
        <w:rPr>
          <w:rFonts w:ascii="Times New Roman" w:eastAsia="仿宋_GB2312" w:cs="Times New Roman" w:hAnsi="Times New Roman" w:hint="eastAsia"/>
          <w:sz w:val="32"/>
          <w:szCs w:val="32"/>
          <w:lang w:val="en-US" w:eastAsia="zh-CN"/>
          <w:highlight w:val="auto"/>
        </w:rPr>
        <w:t>2</w:t>
      </w:r>
      <w:r>
        <w:rPr>
          <w:rFonts w:ascii="Times New Roman" w:eastAsia="仿宋_GB2312" w:cs="Times New Roman" w:hAnsi="Times New Roman"/>
          <w:sz w:val="32"/>
          <w:szCs w:val="32"/>
          <w:lang w:val="en-US" w:eastAsia="zh-CN"/>
          <w:highlight w:val="auto"/>
        </w:rPr>
        <w:t>个项目共</w:t>
      </w:r>
      <w:r>
        <w:rPr>
          <w:rFonts w:ascii="Times New Roman" w:eastAsia="仿宋_GB2312" w:cs="Times New Roman" w:hAnsi="Times New Roman"/>
          <w:color w:val="000000"/>
          <w:kern w:val="0"/>
          <w:sz w:val="32"/>
          <w:szCs w:val="32"/>
          <w:shd w:val="clear" w:color="auto" w:fill="FFFFFF"/>
          <w:lang w:eastAsia="zh-CN"/>
          <w:highlight w:val="auto"/>
        </w:rPr>
        <w:t>扣</w:t>
      </w:r>
      <w:r>
        <w:rPr>
          <w:rFonts w:ascii="Times New Roman" w:cs="Times New Roman" w:hAnsi="Times New Roman" w:hint="eastAsia"/>
          <w:color w:val="000000"/>
          <w:kern w:val="0"/>
          <w:sz w:val="32"/>
          <w:szCs w:val="32"/>
          <w:shd w:val="clear" w:color="auto" w:fill="FFFFFF"/>
          <w:lang w:val="en-US" w:eastAsia="zh-CN"/>
          <w:highlight w:val="auto"/>
        </w:rPr>
        <w:t>6.67</w:t>
      </w:r>
      <w:r>
        <w:rPr>
          <w:rFonts w:ascii="Times New Roman" w:eastAsia="仿宋_GB2312" w:cs="Times New Roman" w:hAnsi="Times New Roman"/>
          <w:color w:val="000000"/>
          <w:kern w:val="0"/>
          <w:sz w:val="32"/>
          <w:szCs w:val="32"/>
          <w:shd w:val="clear" w:color="auto" w:fill="FFFFFF"/>
          <w:lang w:eastAsia="zh-CN"/>
          <w:highlight w:val="auto"/>
        </w:rPr>
        <w:t>分</w:t>
      </w:r>
      <w:r>
        <w:rPr>
          <w:rFonts w:ascii="Times New Roman" w:eastAsia="仿宋_GB2312" w:cs="Times New Roman" w:hAnsi="Times New Roman"/>
          <w:sz w:val="32"/>
          <w:szCs w:val="32"/>
          <w:lang w:eastAsia="zh-CN"/>
          <w:highlight w:val="auto"/>
        </w:rPr>
        <w:t>。</w:t>
      </w:r>
      <w:r>
        <w:rPr>
          <w:rFonts w:ascii="Times New Roman" w:eastAsia="仿宋_GB2312" w:cs="Times New Roman" w:hAnsi="Times New Roman"/>
          <w:b w:val="0"/>
          <w:bCs w:val="0"/>
          <w:sz w:val="32"/>
          <w:szCs w:val="32"/>
          <w:lang w:val="en-US" w:eastAsia="zh-CN"/>
          <w:highlight w:val="auto"/>
        </w:rPr>
        <w:t>扣分原因主要为：</w:t>
      </w:r>
      <w:r>
        <w:rPr>
          <w:rFonts w:ascii="Times New Roman" w:eastAsia="仿宋_GB2312" w:cs="Times New Roman" w:hAnsi="Times New Roman" w:hint="eastAsia"/>
          <w:b w:val="0"/>
          <w:bCs w:val="0"/>
          <w:sz w:val="32"/>
          <w:szCs w:val="32"/>
          <w:lang w:val="en-US" w:eastAsia="zh-CN"/>
          <w:highlight w:val="auto"/>
        </w:rPr>
        <w:t>项目</w:t>
      </w:r>
      <w:r>
        <w:rPr>
          <w:rFonts w:ascii="Times New Roman" w:eastAsia="仿宋_GB2312" w:cs="Times New Roman" w:hAnsi="Times New Roman"/>
          <w:b w:val="0"/>
          <w:bCs w:val="0"/>
          <w:sz w:val="32"/>
          <w:szCs w:val="32"/>
          <w:lang w:val="en-US" w:eastAsia="zh-CN"/>
          <w:highlight w:val="auto"/>
        </w:rPr>
        <w:t>执行与实施方案有差距</w:t>
      </w:r>
      <w:r>
        <w:rPr>
          <w:rFonts w:ascii="Times New Roman" w:eastAsia="仿宋_GB2312" w:cs="Times New Roman" w:hAnsi="Times New Roman" w:hint="eastAsia"/>
          <w:b w:val="0"/>
          <w:bCs w:val="0"/>
          <w:sz w:val="32"/>
          <w:szCs w:val="32"/>
          <w:lang w:val="en-US" w:eastAsia="zh-CN"/>
          <w:highlight w:val="auto"/>
        </w:rPr>
        <w:t>。</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eastAsia="zh-CN"/>
          <w:highlight w:val="auto"/>
        </w:rPr>
        <w:t>民生保障</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cs="Times New Roman" w:hint="eastAsia"/>
          <w:b/>
          <w:bCs/>
          <w:sz w:val="32"/>
          <w:szCs w:val="32"/>
          <w:lang w:eastAsia="zh-CN"/>
          <w:highlight w:val="auto"/>
        </w:rPr>
        <w:t>。</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cs="Times New Roman" w:hint="eastAsia"/>
          <w:sz w:val="32"/>
          <w:szCs w:val="32"/>
          <w:lang w:val="en-US" w:eastAsia="zh-CN"/>
          <w:highlight w:val="auto"/>
        </w:rPr>
        <w:t>16</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w:t>
      </w:r>
      <w:r>
        <w:rPr>
          <w:rFonts w:cs="Times New Roman" w:hint="eastAsia"/>
          <w:sz w:val="32"/>
          <w:szCs w:val="32"/>
          <w:lang w:val="en-US" w:eastAsia="zh-CN"/>
          <w:highlight w:val="auto"/>
        </w:rPr>
        <w:t>7</w:t>
      </w:r>
      <w:r>
        <w:rPr>
          <w:rFonts w:ascii="Times New Roman" w:eastAsia="仿宋_GB2312" w:cs="Times New Roman" w:hAnsi="Times New Roman"/>
          <w:sz w:val="32"/>
          <w:szCs w:val="32"/>
          <w:lang w:val="en-US" w:eastAsia="zh-CN"/>
          <w:highlight w:val="auto"/>
        </w:rPr>
        <w:t>个项目共扣</w:t>
      </w:r>
      <w:r>
        <w:rPr>
          <w:rFonts w:cs="Times New Roman" w:hint="eastAsia"/>
          <w:sz w:val="32"/>
          <w:szCs w:val="32"/>
          <w:lang w:val="en-US" w:eastAsia="zh-CN"/>
          <w:highlight w:val="auto"/>
        </w:rPr>
        <w:t>40.21</w:t>
      </w:r>
      <w:r>
        <w:rPr>
          <w:rFonts w:ascii="Times New Roman" w:eastAsia="仿宋_GB2312" w:cs="Times New Roman" w:hAnsi="Times New Roman"/>
          <w:sz w:val="32"/>
          <w:szCs w:val="32"/>
          <w:lang w:val="en-US" w:eastAsia="zh-CN"/>
          <w:highlight w:val="auto"/>
        </w:rPr>
        <w:t>分</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b w:val="0"/>
          <w:bCs w:val="0"/>
          <w:sz w:val="32"/>
          <w:szCs w:val="32"/>
          <w:lang w:val="en-US" w:eastAsia="zh-CN"/>
          <w:highlight w:val="auto"/>
        </w:rPr>
        <w:t>扣分原因主要为：</w:t>
      </w:r>
      <w:r>
        <w:rPr>
          <w:rFonts w:cs="Times New Roman" w:hint="eastAsia"/>
          <w:b w:val="0"/>
          <w:bCs w:val="0"/>
          <w:sz w:val="32"/>
          <w:szCs w:val="32"/>
          <w:lang w:val="en-US" w:eastAsia="zh-CN"/>
          <w:highlight w:val="auto"/>
        </w:rPr>
        <w:t>后续管理不到位，无法充分发挥预期效益。</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b w:val="0"/>
          <w:bCs w:val="0"/>
          <w:sz w:val="32"/>
          <w:szCs w:val="32"/>
          <w:lang w:eastAsia="zh-CN"/>
          <w:highlight w:val="auto"/>
        </w:rPr>
      </w:pPr>
      <w:r>
        <w:rPr>
          <w:rFonts w:ascii="Times New Roman" w:cs="Times New Roman" w:hAnsi="Times New Roman" w:hint="eastAsia"/>
          <w:b/>
          <w:bCs/>
          <w:sz w:val="32"/>
          <w:szCs w:val="32"/>
          <w:lang w:eastAsia="zh-CN"/>
          <w:highlight w:val="auto"/>
        </w:rPr>
        <w:t>（</w:t>
      </w:r>
      <w:r>
        <w:rPr>
          <w:rFonts w:ascii="Times New Roman" w:cs="Times New Roman" w:hAnsi="Times New Roman" w:hint="eastAsia"/>
          <w:b/>
          <w:bCs/>
          <w:sz w:val="32"/>
          <w:szCs w:val="32"/>
          <w:lang w:val="en-US" w:eastAsia="zh-CN"/>
          <w:highlight w:val="auto"/>
        </w:rPr>
        <w:t>3）</w:t>
      </w:r>
      <w:r>
        <w:rPr>
          <w:rFonts w:ascii="Times New Roman" w:eastAsia="仿宋_GB2312" w:cs="Times New Roman" w:hAnsi="Times New Roman"/>
          <w:b/>
          <w:bCs/>
          <w:sz w:val="32"/>
          <w:szCs w:val="32"/>
          <w:lang w:eastAsia="zh-CN"/>
          <w:highlight w:val="auto"/>
        </w:rPr>
        <w:t>基础设施（设备购置）</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hint="eastAsia"/>
          <w:sz w:val="32"/>
          <w:szCs w:val="32"/>
          <w:lang w:val="en-US" w:eastAsia="zh-CN"/>
          <w:highlight w:val="auto"/>
        </w:rPr>
        <w:t>56</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w:t>
      </w:r>
      <w:r>
        <w:rPr>
          <w:rFonts w:ascii="Times New Roman" w:cs="Times New Roman" w:hAnsi="Times New Roman" w:hint="eastAsia"/>
          <w:sz w:val="32"/>
          <w:szCs w:val="32"/>
          <w:lang w:val="en-US" w:eastAsia="zh-CN"/>
          <w:highlight w:val="auto"/>
        </w:rPr>
        <w:t>13</w:t>
      </w:r>
      <w:r>
        <w:rPr>
          <w:rFonts w:ascii="Times New Roman" w:eastAsia="仿宋_GB2312" w:cs="Times New Roman" w:hAnsi="Times New Roman"/>
          <w:sz w:val="32"/>
          <w:szCs w:val="32"/>
          <w:lang w:val="en-US" w:eastAsia="zh-CN"/>
          <w:highlight w:val="auto"/>
        </w:rPr>
        <w:t>个项目共扣</w:t>
      </w:r>
      <w:r>
        <w:rPr>
          <w:rFonts w:ascii="Times New Roman" w:cs="Times New Roman" w:hAnsi="Times New Roman" w:hint="eastAsia"/>
          <w:sz w:val="32"/>
          <w:szCs w:val="32"/>
          <w:lang w:val="en-US" w:eastAsia="zh-CN"/>
          <w:highlight w:val="auto"/>
        </w:rPr>
        <w:t>53.17</w:t>
      </w:r>
      <w:r>
        <w:rPr>
          <w:rFonts w:ascii="Times New Roman" w:eastAsia="仿宋_GB2312" w:cs="Times New Roman" w:hAnsi="Times New Roman"/>
          <w:sz w:val="32"/>
          <w:szCs w:val="32"/>
          <w:lang w:val="en-US" w:eastAsia="zh-CN"/>
          <w:highlight w:val="auto"/>
        </w:rPr>
        <w:t>分。</w:t>
      </w:r>
      <w:r>
        <w:rPr>
          <w:rFonts w:ascii="Times New Roman" w:eastAsia="仿宋_GB2312" w:cs="Times New Roman" w:hAnsi="Times New Roman"/>
          <w:sz w:val="32"/>
          <w:szCs w:val="32"/>
          <w:lang w:eastAsia="zh-CN"/>
          <w:highlight w:val="auto"/>
        </w:rPr>
        <w:t>扣分原因主要为</w:t>
      </w:r>
      <w:r>
        <w:rPr>
          <w:rFonts w:ascii="仿宋_GB2312" w:eastAsia="仿宋_GB2312" w:cs="仿宋_GB2312" w:hint="eastAsia"/>
          <w:b/>
          <w:bCs/>
          <w:sz w:val="32"/>
          <w:szCs w:val="32"/>
          <w:lang w:eastAsia="zh-CN"/>
          <w:highlight w:val="auto"/>
        </w:rPr>
        <w:t>：</w:t>
      </w:r>
      <w:r>
        <w:rPr>
          <w:rFonts w:ascii="仿宋_GB2312" w:eastAsia="仿宋_GB2312" w:cs="仿宋_GB2312" w:hint="eastAsia"/>
          <w:b w:val="0"/>
          <w:bCs w:val="0"/>
          <w:sz w:val="32"/>
          <w:szCs w:val="32"/>
          <w:lang w:val="en-US" w:eastAsia="zh-CN"/>
          <w:highlight w:val="auto"/>
        </w:rPr>
        <w:t>经济效益发挥不佳，使用效果未达预期</w:t>
      </w:r>
      <w:r>
        <w:rPr>
          <w:rFonts w:ascii="仿宋_GB2312" w:cs="仿宋_GB2312" w:hint="eastAsia"/>
          <w:b w:val="0"/>
          <w:bCs w:val="0"/>
          <w:sz w:val="32"/>
          <w:szCs w:val="32"/>
          <w:lang w:val="en-US"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200" w:left="632"/>
        <w:textAlignment w:val="auto"/>
        <w:rPr>
          <w:rFonts w:ascii="Times New Roman" w:cs="Times New Roman" w:hAnsi="Times New Roman"/>
          <w:sz w:val="32"/>
          <w:szCs w:val="32"/>
          <w:lang w:eastAsia="zh-CN"/>
          <w:highlight w:val="red"/>
        </w:rPr>
      </w:pPr>
      <w:r>
        <w:rPr>
          <w:rFonts w:ascii="Times New Roman" w:cs="Times New Roman" w:hAnsi="Times New Roman" w:hint="eastAsia"/>
          <w:b/>
          <w:bCs/>
          <w:sz w:val="32"/>
          <w:szCs w:val="32"/>
          <w:lang w:val="en-US" w:eastAsia="zh-CN"/>
          <w:highlight w:val="auto"/>
        </w:rPr>
        <w:t>（4）行政运转项目。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cs="Times New Roman" w:hint="eastAsia"/>
          <w:sz w:val="32"/>
          <w:szCs w:val="32"/>
          <w:lang w:val="en-US" w:eastAsia="zh-CN"/>
          <w:highlight w:val="auto"/>
        </w:rPr>
        <w:t>1</w:t>
      </w:r>
      <w:r>
        <w:rPr>
          <w:rFonts w:ascii="Times New Roman" w:eastAsia="仿宋_GB2312" w:cs="Times New Roman" w:hAnsi="Times New Roman"/>
          <w:sz w:val="32"/>
          <w:szCs w:val="32"/>
          <w:lang w:val="en-US" w:eastAsia="zh-CN"/>
          <w:highlight w:val="auto"/>
        </w:rPr>
        <w:t>个，</w:t>
      </w:r>
      <w:r>
        <w:rPr>
          <w:rFonts w:ascii="Times New Roman" w:cs="Times New Roman" w:hAnsi="Times New Roman" w:hint="eastAsia"/>
          <w:sz w:val="32"/>
          <w:szCs w:val="32"/>
          <w:lang w:val="en-US" w:eastAsia="zh-CN"/>
          <w:highlight w:val="auto"/>
        </w:rPr>
        <w:t>得分16分。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w:t>
      </w:r>
      <w:r>
        <w:rPr>
          <w:rFonts w:eastAsia="楷体_GB2312" w:cs="Times New Roman" w:hint="eastAsia"/>
          <w:b/>
          <w:bCs w:val="0"/>
          <w:sz w:val="32"/>
          <w:szCs w:val="32"/>
          <w:lang w:eastAsia="zh-CN"/>
          <w:highlight w:val="auto"/>
        </w:rPr>
        <w:t>二</w:t>
      </w:r>
      <w:r>
        <w:rPr>
          <w:rFonts w:ascii="Times New Roman" w:eastAsia="楷体_GB2312" w:cs="Times New Roman" w:hAnsi="Times New Roman"/>
          <w:b/>
          <w:bCs w:val="0"/>
          <w:sz w:val="32"/>
          <w:szCs w:val="32"/>
          <w:lang w:eastAsia="zh-CN"/>
          <w:highlight w:val="auto"/>
        </w:rPr>
        <w:t>）</w:t>
      </w:r>
      <w:r>
        <w:rPr>
          <w:rFonts w:eastAsia="楷体_GB2312" w:cs="Times New Roman" w:hint="eastAsia"/>
          <w:b/>
          <w:bCs w:val="0"/>
          <w:sz w:val="32"/>
          <w:szCs w:val="32"/>
          <w:lang w:eastAsia="zh-CN"/>
          <w:highlight w:val="auto"/>
        </w:rPr>
        <w:t>财政政策</w:t>
      </w:r>
      <w:r>
        <w:rPr>
          <w:rFonts w:ascii="Times New Roman" w:eastAsia="楷体_GB2312" w:cs="Times New Roman" w:hAnsi="Times New Roman"/>
          <w:b/>
          <w:bCs w:val="0"/>
          <w:sz w:val="32"/>
          <w:szCs w:val="32"/>
          <w:lang w:eastAsia="zh-CN"/>
          <w:highlight w:val="auto"/>
        </w:rPr>
        <w:t>支出评价结果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val="0"/>
          <w:bCs/>
          <w:sz w:val="32"/>
          <w:szCs w:val="32"/>
          <w:lang w:val="en-US" w:eastAsia="zh-CN"/>
          <w:highlight w:val="auto"/>
        </w:rPr>
      </w:pPr>
      <w:r>
        <w:rPr>
          <w:rFonts w:ascii="Times New Roman" w:eastAsia="仿宋_GB2312" w:cs="Times New Roman" w:hAnsi="Times New Roman"/>
          <w:b w:val="0"/>
          <w:bCs/>
          <w:sz w:val="32"/>
          <w:szCs w:val="32"/>
          <w:lang w:eastAsia="zh-CN"/>
          <w:highlight w:val="auto"/>
        </w:rPr>
        <w:t>本次</w:t>
      </w:r>
      <w:r>
        <w:rPr>
          <w:rFonts w:cs="Times New Roman" w:hint="eastAsia"/>
          <w:b w:val="0"/>
          <w:bCs/>
          <w:sz w:val="32"/>
          <w:szCs w:val="32"/>
          <w:lang w:eastAsia="zh-CN"/>
          <w:highlight w:val="auto"/>
        </w:rPr>
        <w:t>对</w:t>
      </w:r>
      <w:r>
        <w:rPr>
          <w:rFonts w:cs="Times New Roman" w:hint="eastAsia"/>
          <w:b w:val="0"/>
          <w:bCs/>
          <w:sz w:val="32"/>
          <w:szCs w:val="32"/>
          <w:lang w:val="en-US" w:eastAsia="zh-CN"/>
          <w:highlight w:val="auto"/>
        </w:rPr>
        <w:t>24</w:t>
      </w:r>
      <w:r>
        <w:rPr>
          <w:rFonts w:ascii="Times New Roman" w:eastAsia="仿宋_GB2312" w:cs="Times New Roman" w:hAnsi="Times New Roman"/>
          <w:b w:val="0"/>
          <w:bCs/>
          <w:sz w:val="32"/>
          <w:szCs w:val="32"/>
          <w:lang w:val="en-US" w:eastAsia="zh-CN"/>
          <w:highlight w:val="auto"/>
        </w:rPr>
        <w:t>个</w:t>
      </w:r>
      <w:r>
        <w:rPr>
          <w:rFonts w:ascii="Times New Roman" w:eastAsia="仿宋_GB2312" w:cs="Times New Roman" w:hAnsi="Times New Roman"/>
          <w:b w:val="0"/>
          <w:bCs/>
          <w:sz w:val="32"/>
          <w:szCs w:val="32"/>
          <w:lang w:eastAsia="zh-CN"/>
          <w:highlight w:val="auto"/>
        </w:rPr>
        <w:t>项目</w:t>
      </w:r>
      <w:r>
        <w:rPr>
          <w:rFonts w:cs="Times New Roman" w:hint="eastAsia"/>
          <w:b w:val="0"/>
          <w:bCs/>
          <w:sz w:val="32"/>
          <w:szCs w:val="32"/>
          <w:lang w:eastAsia="zh-CN"/>
          <w:highlight w:val="auto"/>
        </w:rPr>
        <w:t>开展财政政策</w:t>
      </w:r>
      <w:r>
        <w:rPr>
          <w:rFonts w:ascii="Times New Roman" w:eastAsia="仿宋_GB2312" w:cs="Times New Roman" w:hAnsi="Times New Roman"/>
          <w:b w:val="0"/>
          <w:bCs/>
          <w:sz w:val="32"/>
          <w:szCs w:val="32"/>
          <w:lang w:eastAsia="zh-CN"/>
          <w:highlight w:val="auto"/>
        </w:rPr>
        <w:t>支出绩效评价</w:t>
      </w:r>
      <w:r>
        <w:rPr>
          <w:rFonts w:ascii="Times New Roman" w:eastAsia="仿宋_GB2312" w:cs="Times New Roman" w:hAnsi="Times New Roman"/>
          <w:b w:val="0"/>
          <w:bCs/>
          <w:sz w:val="32"/>
          <w:szCs w:val="32"/>
          <w:lang w:val="en-US" w:eastAsia="zh-CN"/>
          <w:highlight w:val="auto"/>
        </w:rPr>
        <w:t>，平均得分</w:t>
      </w:r>
      <w:r>
        <w:rPr>
          <w:rFonts w:cs="Times New Roman" w:hint="eastAsia"/>
          <w:b w:val="0"/>
          <w:bCs/>
          <w:sz w:val="32"/>
          <w:szCs w:val="32"/>
          <w:lang w:val="en-US" w:eastAsia="zh-CN"/>
          <w:highlight w:val="auto"/>
        </w:rPr>
        <w:t>94.28</w:t>
      </w:r>
      <w:r>
        <w:rPr>
          <w:rFonts w:ascii="Times New Roman" w:eastAsia="仿宋_GB2312" w:cs="Times New Roman" w:hAnsi="Times New Roman"/>
          <w:b w:val="0"/>
          <w:bCs/>
          <w:sz w:val="32"/>
          <w:szCs w:val="32"/>
          <w:lang w:val="en-US" w:eastAsia="zh-CN"/>
          <w:highlight w:val="auto"/>
        </w:rPr>
        <w:t>分，其中：城乡医疗救助</w:t>
      </w:r>
      <w:r>
        <w:rPr>
          <w:rFonts w:cs="Times New Roman" w:hint="eastAsia"/>
          <w:b w:val="0"/>
          <w:bCs/>
          <w:sz w:val="32"/>
          <w:szCs w:val="32"/>
          <w:lang w:val="en-US" w:eastAsia="zh-CN"/>
          <w:highlight w:val="auto"/>
        </w:rPr>
        <w:t>和城乡居民养老保险基金的补助2项政策</w:t>
      </w:r>
      <w:r>
        <w:rPr>
          <w:rFonts w:ascii="Times New Roman" w:eastAsia="仿宋_GB2312" w:cs="Times New Roman" w:hAnsi="Times New Roman"/>
          <w:b w:val="0"/>
          <w:bCs/>
          <w:sz w:val="32"/>
          <w:szCs w:val="32"/>
          <w:lang w:val="en-US" w:eastAsia="zh-CN"/>
          <w:highlight w:val="auto"/>
        </w:rPr>
        <w:t>得分最高，为</w:t>
      </w:r>
      <w:r>
        <w:rPr>
          <w:rFonts w:cs="Times New Roman" w:hint="eastAsia"/>
          <w:b w:val="0"/>
          <w:bCs/>
          <w:sz w:val="32"/>
          <w:szCs w:val="32"/>
          <w:lang w:val="en-US" w:eastAsia="zh-CN"/>
          <w:highlight w:val="auto"/>
        </w:rPr>
        <w:t>100</w:t>
      </w:r>
      <w:r>
        <w:rPr>
          <w:rFonts w:ascii="Times New Roman" w:eastAsia="仿宋_GB2312" w:cs="Times New Roman" w:hAnsi="Times New Roman"/>
          <w:b w:val="0"/>
          <w:bCs/>
          <w:sz w:val="32"/>
          <w:szCs w:val="32"/>
          <w:lang w:val="en-US" w:eastAsia="zh-CN"/>
          <w:highlight w:val="auto"/>
        </w:rPr>
        <w:t>分；</w:t>
      </w:r>
      <w:r>
        <w:rPr>
          <w:rFonts w:cs="Times New Roman" w:hint="eastAsia"/>
          <w:b w:val="0"/>
          <w:bCs/>
          <w:sz w:val="32"/>
          <w:szCs w:val="32"/>
          <w:lang w:val="en-US" w:eastAsia="zh-CN"/>
          <w:highlight w:val="auto"/>
        </w:rPr>
        <w:t>乡村教师补助政策</w:t>
      </w:r>
      <w:r>
        <w:rPr>
          <w:rFonts w:ascii="Times New Roman" w:eastAsia="仿宋_GB2312" w:cs="Times New Roman" w:hAnsi="Times New Roman"/>
          <w:b w:val="0"/>
          <w:bCs/>
          <w:sz w:val="32"/>
          <w:szCs w:val="32"/>
          <w:lang w:val="en-US" w:eastAsia="zh-CN"/>
          <w:highlight w:val="auto"/>
        </w:rPr>
        <w:t>得分最低，为</w:t>
      </w:r>
      <w:r>
        <w:rPr>
          <w:rFonts w:cs="Times New Roman" w:hint="eastAsia"/>
          <w:b w:val="0"/>
          <w:bCs/>
          <w:sz w:val="32"/>
          <w:szCs w:val="32"/>
          <w:lang w:val="en-US" w:eastAsia="zh-CN"/>
          <w:highlight w:val="auto"/>
        </w:rPr>
        <w:t>82</w:t>
      </w:r>
      <w:r>
        <w:rPr>
          <w:rFonts w:ascii="Times New Roman" w:eastAsia="仿宋_GB2312" w:cs="Times New Roman" w:hAnsi="Times New Roman"/>
          <w:b w:val="0"/>
          <w:bCs/>
          <w:sz w:val="32"/>
          <w:szCs w:val="32"/>
          <w:lang w:val="en-US" w:eastAsia="zh-CN"/>
          <w:highlight w:val="auto"/>
        </w:rPr>
        <w:t>分。等级为优秀的</w:t>
      </w:r>
      <w:r>
        <w:rPr>
          <w:rFonts w:cs="Times New Roman" w:hint="eastAsia"/>
          <w:b w:val="0"/>
          <w:bCs/>
          <w:sz w:val="32"/>
          <w:szCs w:val="32"/>
          <w:lang w:val="en-US" w:eastAsia="zh-CN"/>
          <w:highlight w:val="auto"/>
        </w:rPr>
        <w:t>22</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91.67</w:t>
      </w:r>
      <w:r>
        <w:rPr>
          <w:rFonts w:ascii="Times New Roman" w:eastAsia="仿宋_GB2312" w:cs="Times New Roman" w:hAnsi="Times New Roman"/>
          <w:b w:val="0"/>
          <w:bCs/>
          <w:sz w:val="32"/>
          <w:szCs w:val="32"/>
          <w:lang w:val="en-US" w:eastAsia="zh-CN"/>
          <w:highlight w:val="auto"/>
        </w:rPr>
        <w:t>%；良好的</w:t>
      </w:r>
      <w:r>
        <w:rPr>
          <w:rFonts w:cs="Times New Roman" w:hint="eastAsia"/>
          <w:b w:val="0"/>
          <w:bCs/>
          <w:sz w:val="32"/>
          <w:szCs w:val="32"/>
          <w:lang w:val="en-US" w:eastAsia="zh-CN"/>
          <w:highlight w:val="auto"/>
        </w:rPr>
        <w:t>2</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8.33</w:t>
      </w:r>
      <w:r>
        <w:rPr>
          <w:rFonts w:ascii="Times New Roman" w:eastAsia="仿宋_GB2312" w:cs="Times New Roman" w:hAnsi="Times New Roman"/>
          <w:b w:val="0"/>
          <w:bCs/>
          <w:sz w:val="32"/>
          <w:szCs w:val="32"/>
          <w:lang w:val="en-US" w:eastAsia="zh-CN"/>
          <w:highlight w:val="auto"/>
        </w:rPr>
        <w:t>%</w:t>
      </w:r>
      <w:r>
        <w:rPr>
          <w:rFonts w:cs="Times New Roman" w:hint="eastAsia"/>
          <w:b w:val="0"/>
          <w:bCs/>
          <w:sz w:val="32"/>
          <w:szCs w:val="32"/>
          <w:lang w:val="en-US"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b/>
          <w:bCs/>
          <w:sz w:val="32"/>
          <w:szCs w:val="32"/>
          <w:lang w:val="en-US" w:eastAsia="zh-CN"/>
          <w:highlight w:val="auto"/>
        </w:rPr>
      </w:pPr>
      <w:r>
        <w:rPr>
          <w:rFonts w:ascii="仿宋_GB2312" w:eastAsia="仿宋_GB2312" w:cs="仿宋_GB2312" w:hint="eastAsia"/>
          <w:b/>
          <w:bCs/>
          <w:sz w:val="32"/>
          <w:szCs w:val="32"/>
          <w:lang w:val="en-US" w:eastAsia="zh-CN"/>
          <w:highlight w:val="auto"/>
        </w:rPr>
        <w:t>1.通用指标。</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cs="Times New Roman" w:hAnsi="Times New Roman" w:hint="eastAsia"/>
          <w:b/>
          <w:bCs/>
          <w:sz w:val="32"/>
          <w:szCs w:val="32"/>
          <w:lang w:val="en-US" w:eastAsia="zh-CN"/>
          <w:highlight w:val="auto"/>
        </w:rPr>
        <w:t>（1）政策制定</w:t>
      </w:r>
      <w:r>
        <w:rPr>
          <w:rFonts w:ascii="Times New Roman" w:cs="Times New Roman" w:hAnsi="Times New Roman" w:hint="eastAsia"/>
          <w:sz w:val="32"/>
          <w:szCs w:val="32"/>
          <w:lang w:val="en-US" w:eastAsia="zh-CN"/>
          <w:highlight w:val="auto"/>
        </w:rPr>
        <w:t>。</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cs="Times New Roman" w:hAnsi="Times New Roman" w:hint="eastAsia"/>
          <w:color w:val="000000"/>
          <w:kern w:val="0"/>
          <w:sz w:val="32"/>
          <w:szCs w:val="32"/>
          <w:shd w:val="clear" w:color="auto" w:fill="FFFFFF"/>
          <w:lang w:val="en-US" w:eastAsia="zh-CN"/>
          <w:highlight w:val="auto"/>
        </w:rPr>
        <w:t>30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hint="eastAsia"/>
          <w:color w:val="000000"/>
          <w:kern w:val="0"/>
          <w:sz w:val="32"/>
          <w:szCs w:val="32"/>
          <w:shd w:val="clear" w:color="auto" w:fill="FFFFFF"/>
          <w:lang w:val="en-US" w:eastAsia="zh-CN"/>
          <w:highlight w:val="auto"/>
        </w:rPr>
        <w:t>28.88</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w:t>
      </w:r>
      <w:r>
        <w:rPr>
          <w:rFonts w:ascii="Times New Roman" w:cs="Times New Roman" w:hAnsi="Times New Roman" w:hint="eastAsia"/>
          <w:sz w:val="32"/>
          <w:szCs w:val="32"/>
          <w:lang w:eastAsia="zh-CN"/>
          <w:highlight w:val="auto"/>
        </w:rPr>
        <w:t>个别补助对象不精准，标准不合理。</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cs="Times New Roman" w:hAnsi="Times New Roman" w:hint="eastAsia"/>
          <w:b/>
          <w:bCs/>
          <w:sz w:val="32"/>
          <w:szCs w:val="32"/>
          <w:lang w:val="en-US" w:eastAsia="zh-CN"/>
          <w:highlight w:val="auto"/>
        </w:rPr>
        <w:t>（2）政策执行。</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cs="Times New Roman" w:hAnsi="Times New Roman" w:hint="eastAsia"/>
          <w:color w:val="000000"/>
          <w:kern w:val="0"/>
          <w:sz w:val="32"/>
          <w:szCs w:val="32"/>
          <w:shd w:val="clear" w:color="auto" w:fill="FFFFFF"/>
          <w:lang w:val="en-US" w:eastAsia="zh-CN"/>
          <w:highlight w:val="auto"/>
        </w:rPr>
        <w:t>24</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hint="eastAsia"/>
          <w:color w:val="000000"/>
          <w:kern w:val="0"/>
          <w:sz w:val="32"/>
          <w:szCs w:val="32"/>
          <w:shd w:val="clear" w:color="auto" w:fill="FFFFFF"/>
          <w:lang w:val="en-US" w:eastAsia="zh-CN"/>
          <w:highlight w:val="auto"/>
        </w:rPr>
        <w:t>19.58</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w:t>
      </w:r>
      <w:r>
        <w:rPr>
          <w:rFonts w:ascii="Times New Roman" w:cs="Times New Roman" w:hAnsi="Times New Roman" w:hint="eastAsia"/>
          <w:sz w:val="32"/>
          <w:szCs w:val="32"/>
          <w:lang w:eastAsia="zh-CN"/>
          <w:highlight w:val="auto"/>
        </w:rPr>
        <w:t>个别政策存在附件要素不齐、归档资料不齐、</w:t>
      </w:r>
      <w:r>
        <w:rPr>
          <w:rFonts w:ascii="Times New Roman" w:eastAsia="仿宋_GB2312" w:cs="Times New Roman" w:hAnsi="Times New Roman"/>
          <w:sz w:val="32"/>
          <w:szCs w:val="32"/>
          <w:lang w:eastAsia="zh-CN"/>
          <w:highlight w:val="auto"/>
        </w:rPr>
        <w:t>审签不齐全</w:t>
      </w:r>
      <w:r>
        <w:rPr>
          <w:rFonts w:ascii="Times New Roman" w:cs="Times New Roman" w:hAnsi="Times New Roman" w:hint="eastAsia"/>
          <w:sz w:val="32"/>
          <w:szCs w:val="32"/>
          <w:lang w:eastAsia="zh-CN"/>
          <w:highlight w:val="auto"/>
        </w:rPr>
        <w:t>等问题。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cs="Times New Roman" w:hAnsi="Times New Roman" w:hint="eastAsia"/>
          <w:b/>
          <w:bCs/>
          <w:sz w:val="32"/>
          <w:szCs w:val="32"/>
          <w:lang w:val="en-US" w:eastAsia="zh-CN"/>
          <w:highlight w:val="auto"/>
        </w:rPr>
        <w:t>（3）政策效果。</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cs="Times New Roman" w:hAnsi="Times New Roman" w:hint="eastAsia"/>
          <w:color w:val="000000"/>
          <w:kern w:val="0"/>
          <w:sz w:val="32"/>
          <w:szCs w:val="32"/>
          <w:shd w:val="clear" w:color="auto" w:fill="FFFFFF"/>
          <w:lang w:val="en-US" w:eastAsia="zh-CN"/>
          <w:highlight w:val="auto"/>
        </w:rPr>
        <w:t>16</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hint="eastAsia"/>
          <w:color w:val="000000"/>
          <w:kern w:val="0"/>
          <w:sz w:val="32"/>
          <w:szCs w:val="32"/>
          <w:shd w:val="clear" w:color="auto" w:fill="FFFFFF"/>
          <w:lang w:val="en-US" w:eastAsia="zh-CN"/>
          <w:highlight w:val="auto"/>
        </w:rPr>
        <w:t>15.92</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为：安宁镇消防站</w:t>
      </w:r>
      <w:r>
        <w:rPr>
          <w:rFonts w:ascii="Times New Roman" w:cs="Times New Roman" w:hAnsi="Times New Roman" w:hint="eastAsia"/>
          <w:sz w:val="32"/>
          <w:szCs w:val="32"/>
          <w:lang w:eastAsia="zh-CN"/>
          <w:highlight w:val="auto"/>
        </w:rPr>
        <w:t>项目建成</w:t>
      </w:r>
      <w:r>
        <w:rPr>
          <w:rFonts w:ascii="Times New Roman" w:eastAsia="仿宋_GB2312" w:cs="Times New Roman" w:hAnsi="Times New Roman"/>
          <w:sz w:val="32"/>
          <w:szCs w:val="32"/>
          <w:lang w:eastAsia="zh-CN"/>
          <w:highlight w:val="auto"/>
        </w:rPr>
        <w:t>，处于闲置状态</w:t>
      </w:r>
      <w:r>
        <w:rPr>
          <w:rFonts w:ascii="Times New Roman" w:cs="Times New Roman" w:hAnsi="Times New Roman" w:hint="eastAsia"/>
          <w:sz w:val="32"/>
          <w:szCs w:val="32"/>
          <w:lang w:eastAsia="zh-CN"/>
          <w:highlight w:val="auto"/>
        </w:rPr>
        <w:t>；城乡居民基本医疗保险绩效目标设置不全。</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b/>
          <w:bCs/>
          <w:sz w:val="32"/>
          <w:szCs w:val="32"/>
          <w:lang w:val="en-US" w:eastAsia="zh-CN"/>
          <w:highlight w:val="auto"/>
        </w:rPr>
      </w:pPr>
      <w:r>
        <w:rPr>
          <w:rFonts w:ascii="仿宋_GB2312" w:eastAsia="仿宋_GB2312" w:cs="仿宋_GB2312" w:hint="eastAsia"/>
          <w:b/>
          <w:bCs/>
          <w:sz w:val="32"/>
          <w:szCs w:val="32"/>
          <w:lang w:val="en-US" w:eastAsia="zh-CN"/>
          <w:highlight w:val="auto"/>
        </w:rPr>
        <w:t>2.个性指标。</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sz w:val="32"/>
          <w:szCs w:val="32"/>
          <w:lang w:val="en-US"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cs="Times New Roman" w:hAnsi="Times New Roman" w:hint="eastAsia"/>
          <w:color w:val="000000"/>
          <w:kern w:val="0"/>
          <w:sz w:val="32"/>
          <w:szCs w:val="32"/>
          <w:shd w:val="clear" w:color="auto" w:fill="FFFFFF"/>
          <w:lang w:val="en-US" w:eastAsia="zh-CN"/>
          <w:highlight w:val="auto"/>
        </w:rPr>
        <w:t>30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hint="eastAsia"/>
          <w:color w:val="000000"/>
          <w:kern w:val="0"/>
          <w:sz w:val="32"/>
          <w:szCs w:val="32"/>
          <w:shd w:val="clear" w:color="auto" w:fill="FFFFFF"/>
          <w:lang w:val="en-US" w:eastAsia="zh-CN"/>
          <w:highlight w:val="auto"/>
        </w:rPr>
        <w:t>29.90</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为：重大公共卫生</w:t>
      </w:r>
      <w:r>
        <w:rPr>
          <w:rFonts w:ascii="Times New Roman" w:cs="Times New Roman" w:hAnsi="Times New Roman" w:hint="eastAsia"/>
          <w:sz w:val="32"/>
          <w:szCs w:val="32"/>
          <w:lang w:eastAsia="zh-CN"/>
          <w:highlight w:val="auto"/>
        </w:rPr>
        <w:t>政策，牵头单位无资金实施方案。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w:t>
      </w:r>
      <w:r>
        <w:rPr>
          <w:rFonts w:eastAsia="楷体_GB2312" w:cs="Times New Roman" w:hint="eastAsia"/>
          <w:b/>
          <w:bCs w:val="0"/>
          <w:sz w:val="32"/>
          <w:szCs w:val="32"/>
          <w:lang w:eastAsia="zh-CN"/>
          <w:highlight w:val="auto"/>
        </w:rPr>
        <w:t>三</w:t>
      </w:r>
      <w:r>
        <w:rPr>
          <w:rFonts w:ascii="Times New Roman" w:eastAsia="楷体_GB2312" w:cs="Times New Roman" w:hAnsi="Times New Roman"/>
          <w:b/>
          <w:bCs w:val="0"/>
          <w:sz w:val="32"/>
          <w:szCs w:val="32"/>
          <w:lang w:eastAsia="zh-CN"/>
          <w:highlight w:val="auto"/>
        </w:rPr>
        <w:t>）</w:t>
      </w:r>
      <w:r>
        <w:rPr>
          <w:rFonts w:eastAsia="楷体_GB2312" w:cs="Times New Roman" w:hint="eastAsia"/>
          <w:b/>
          <w:bCs w:val="0"/>
          <w:sz w:val="32"/>
          <w:szCs w:val="32"/>
          <w:lang w:eastAsia="zh-CN"/>
          <w:highlight w:val="auto"/>
        </w:rPr>
        <w:t>部门</w:t>
      </w:r>
      <w:r>
        <w:rPr>
          <w:rFonts w:ascii="Times New Roman" w:eastAsia="楷体_GB2312" w:cs="Times New Roman" w:hAnsi="Times New Roman"/>
          <w:b/>
          <w:bCs w:val="0"/>
          <w:sz w:val="32"/>
          <w:szCs w:val="32"/>
          <w:lang w:eastAsia="zh-CN"/>
          <w:highlight w:val="auto"/>
        </w:rPr>
        <w:t>整体支出评价结果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cs="Times New Roman" w:hAnsi="Times New Roman"/>
          <w:b w:val="0"/>
          <w:bCs/>
          <w:sz w:val="32"/>
          <w:szCs w:val="32"/>
          <w:lang w:val="en-US" w:eastAsia="zh-CN"/>
          <w:highlight w:val="auto"/>
        </w:rPr>
      </w:pPr>
      <w:r>
        <w:rPr>
          <w:rFonts w:ascii="Times New Roman" w:eastAsia="仿宋_GB2312" w:cs="Times New Roman" w:hAnsi="Times New Roman"/>
          <w:b w:val="0"/>
          <w:bCs/>
          <w:sz w:val="32"/>
          <w:szCs w:val="32"/>
          <w:lang w:eastAsia="zh-CN"/>
          <w:highlight w:val="auto"/>
        </w:rPr>
        <w:t>本次绩效评价</w:t>
      </w:r>
      <w:r>
        <w:rPr>
          <w:rFonts w:cs="Times New Roman" w:hint="eastAsia"/>
          <w:b w:val="0"/>
          <w:bCs/>
          <w:sz w:val="32"/>
          <w:szCs w:val="32"/>
          <w:lang w:val="en-US" w:eastAsia="zh-CN"/>
          <w:highlight w:val="auto"/>
        </w:rPr>
        <w:t>22</w:t>
      </w:r>
      <w:r>
        <w:rPr>
          <w:rFonts w:ascii="Times New Roman" w:eastAsia="仿宋_GB2312" w:cs="Times New Roman" w:hAnsi="Times New Roman"/>
          <w:b w:val="0"/>
          <w:bCs/>
          <w:sz w:val="32"/>
          <w:szCs w:val="32"/>
          <w:lang w:val="en-US" w:eastAsia="zh-CN"/>
          <w:highlight w:val="auto"/>
        </w:rPr>
        <w:t>个单位，平均得分</w:t>
      </w:r>
      <w:r>
        <w:rPr>
          <w:rFonts w:cs="Times New Roman" w:hint="eastAsia"/>
          <w:b w:val="0"/>
          <w:bCs/>
          <w:sz w:val="32"/>
          <w:szCs w:val="32"/>
          <w:lang w:val="en-US" w:eastAsia="zh-CN"/>
          <w:highlight w:val="auto"/>
        </w:rPr>
        <w:t>87.01</w:t>
      </w:r>
      <w:r>
        <w:rPr>
          <w:rFonts w:ascii="Times New Roman" w:eastAsia="仿宋_GB2312" w:cs="Times New Roman" w:hAnsi="Times New Roman"/>
          <w:b w:val="0"/>
          <w:bCs/>
          <w:sz w:val="32"/>
          <w:szCs w:val="32"/>
          <w:lang w:val="en-US" w:eastAsia="zh-CN"/>
          <w:highlight w:val="auto"/>
        </w:rPr>
        <w:t>分，其中：</w:t>
      </w:r>
      <w:r>
        <w:rPr>
          <w:rFonts w:cs="Times New Roman" w:hint="eastAsia"/>
          <w:b w:val="0"/>
          <w:bCs/>
          <w:sz w:val="32"/>
          <w:szCs w:val="32"/>
          <w:lang w:val="en-US" w:eastAsia="zh-CN"/>
          <w:highlight w:val="auto"/>
        </w:rPr>
        <w:t>金川县档案馆</w:t>
      </w:r>
      <w:r>
        <w:rPr>
          <w:rFonts w:ascii="Times New Roman" w:eastAsia="仿宋_GB2312" w:cs="Times New Roman" w:hAnsi="Times New Roman"/>
          <w:b w:val="0"/>
          <w:bCs/>
          <w:sz w:val="32"/>
          <w:szCs w:val="32"/>
          <w:lang w:val="en-US" w:eastAsia="zh-CN"/>
          <w:highlight w:val="auto"/>
        </w:rPr>
        <w:t>得分最高，为</w:t>
      </w:r>
      <w:r>
        <w:rPr>
          <w:rFonts w:ascii="Times New Roman" w:cs="Times New Roman" w:hAnsi="Times New Roman"/>
          <w:b w:val="0"/>
          <w:bCs/>
          <w:sz w:val="32"/>
          <w:szCs w:val="32"/>
          <w:lang w:val="en-US" w:eastAsia="zh-CN"/>
          <w:highlight w:val="auto"/>
        </w:rPr>
        <w:t>94.4</w:t>
      </w:r>
      <w:r>
        <w:rPr>
          <w:rFonts w:cs="Times New Roman" w:hint="eastAsia"/>
          <w:b w:val="0"/>
          <w:bCs/>
          <w:sz w:val="32"/>
          <w:szCs w:val="32"/>
          <w:lang w:val="en-US" w:eastAsia="zh-CN"/>
          <w:highlight w:val="auto"/>
        </w:rPr>
        <w:t>0</w:t>
      </w:r>
      <w:r>
        <w:rPr>
          <w:rFonts w:ascii="Times New Roman" w:eastAsia="仿宋_GB2312" w:cs="Times New Roman" w:hAnsi="Times New Roman"/>
          <w:b w:val="0"/>
          <w:bCs/>
          <w:sz w:val="32"/>
          <w:szCs w:val="32"/>
          <w:lang w:val="en-US" w:eastAsia="zh-CN"/>
          <w:highlight w:val="auto"/>
        </w:rPr>
        <w:t>分；</w:t>
      </w:r>
      <w:r>
        <w:rPr>
          <w:rFonts w:cs="Times New Roman" w:hint="eastAsia"/>
          <w:b w:val="0"/>
          <w:bCs/>
          <w:sz w:val="32"/>
          <w:szCs w:val="32"/>
          <w:lang w:val="en-US" w:eastAsia="zh-CN"/>
          <w:highlight w:val="auto"/>
        </w:rPr>
        <w:t>金川县自然资源局</w:t>
      </w:r>
      <w:r>
        <w:rPr>
          <w:rFonts w:ascii="Times New Roman" w:eastAsia="仿宋_GB2312" w:cs="Times New Roman" w:hAnsi="Times New Roman"/>
          <w:b w:val="0"/>
          <w:bCs/>
          <w:sz w:val="32"/>
          <w:szCs w:val="32"/>
          <w:lang w:val="en-US" w:eastAsia="zh-CN"/>
          <w:highlight w:val="auto"/>
        </w:rPr>
        <w:t>得分最低，为</w:t>
      </w:r>
      <w:r>
        <w:rPr>
          <w:rFonts w:cs="Times New Roman" w:hint="eastAsia"/>
          <w:b w:val="0"/>
          <w:bCs/>
          <w:sz w:val="32"/>
          <w:szCs w:val="32"/>
          <w:lang w:val="en-US" w:eastAsia="zh-CN"/>
          <w:highlight w:val="auto"/>
        </w:rPr>
        <w:t>77.79</w:t>
      </w:r>
      <w:r>
        <w:rPr>
          <w:rFonts w:ascii="Times New Roman" w:eastAsia="仿宋_GB2312" w:cs="Times New Roman" w:hAnsi="Times New Roman"/>
          <w:b w:val="0"/>
          <w:bCs/>
          <w:sz w:val="32"/>
          <w:szCs w:val="32"/>
          <w:lang w:val="en-US" w:eastAsia="zh-CN"/>
          <w:highlight w:val="auto"/>
        </w:rPr>
        <w:t>分。等级为优秀的</w:t>
      </w:r>
      <w:r>
        <w:rPr>
          <w:rFonts w:cs="Times New Roman" w:hint="eastAsia"/>
          <w:b w:val="0"/>
          <w:bCs/>
          <w:sz w:val="32"/>
          <w:szCs w:val="32"/>
          <w:lang w:val="en-US" w:eastAsia="zh-CN"/>
          <w:highlight w:val="auto"/>
        </w:rPr>
        <w:t>7</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31.82</w:t>
      </w:r>
      <w:r>
        <w:rPr>
          <w:rFonts w:ascii="Times New Roman" w:eastAsia="仿宋_GB2312" w:cs="Times New Roman" w:hAnsi="Times New Roman"/>
          <w:b w:val="0"/>
          <w:bCs/>
          <w:sz w:val="32"/>
          <w:szCs w:val="32"/>
          <w:lang w:val="en-US" w:eastAsia="zh-CN"/>
          <w:highlight w:val="auto"/>
        </w:rPr>
        <w:t>%；良好的</w:t>
      </w:r>
      <w:r>
        <w:rPr>
          <w:rFonts w:cs="Times New Roman" w:hint="eastAsia"/>
          <w:b w:val="0"/>
          <w:bCs/>
          <w:sz w:val="32"/>
          <w:szCs w:val="32"/>
          <w:lang w:val="en-US" w:eastAsia="zh-CN"/>
          <w:highlight w:val="auto"/>
        </w:rPr>
        <w:t>14</w:t>
      </w:r>
      <w:r>
        <w:rPr>
          <w:rFonts w:ascii="Times New Roman" w:eastAsia="仿宋_GB2312" w:cs="Times New Roman" w:hAnsi="Times New Roman"/>
          <w:b w:val="0"/>
          <w:bCs/>
          <w:sz w:val="32"/>
          <w:szCs w:val="32"/>
          <w:lang w:val="en-US" w:eastAsia="zh-CN"/>
          <w:highlight w:val="auto"/>
        </w:rPr>
        <w:t>个，占比</w:t>
      </w:r>
      <w:r>
        <w:rPr>
          <w:rFonts w:cs="Times New Roman" w:hint="eastAsia"/>
          <w:b w:val="0"/>
          <w:bCs/>
          <w:sz w:val="32"/>
          <w:szCs w:val="32"/>
          <w:lang w:val="en-US" w:eastAsia="zh-CN"/>
          <w:highlight w:val="auto"/>
        </w:rPr>
        <w:t>63.64</w:t>
      </w:r>
      <w:r>
        <w:rPr>
          <w:rFonts w:ascii="Times New Roman" w:eastAsia="仿宋_GB2312" w:cs="Times New Roman" w:hAnsi="Times New Roman"/>
          <w:b w:val="0"/>
          <w:bCs/>
          <w:sz w:val="32"/>
          <w:szCs w:val="32"/>
          <w:lang w:val="en-US" w:eastAsia="zh-CN"/>
          <w:highlight w:val="auto"/>
        </w:rPr>
        <w:t>%</w:t>
      </w:r>
      <w:r>
        <w:rPr>
          <w:rFonts w:ascii="Times New Roman" w:cs="Times New Roman" w:hAnsi="Times New Roman"/>
          <w:b w:val="0"/>
          <w:bCs/>
          <w:sz w:val="32"/>
          <w:szCs w:val="32"/>
          <w:lang w:val="en-US" w:eastAsia="zh-CN"/>
          <w:highlight w:val="auto"/>
        </w:rPr>
        <w:t>。</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right="0"/>
        <w:textAlignment w:val="auto"/>
        <w:rPr>
          <w:rFonts w:hint="eastAsia"/>
          <w:lang w:val="en-US" w:eastAsia="zh-CN"/>
          <w:highlight w:val="auto"/>
        </w:rPr>
      </w:pPr>
      <w:r>
        <w:rPr>
          <w:rFonts w:ascii="Times New Roman" w:eastAsia="仿宋_GB2312" w:cs="Times New Roman" w:hAnsi="Times New Roman" w:hint="eastAsia"/>
          <w:b/>
          <w:bCs w:val="0"/>
          <w:kern w:val="2"/>
          <w:sz w:val="32"/>
          <w:szCs w:val="32"/>
          <w:lang w:val="en-US" w:eastAsia="zh-CN" w:bidi="ar-SA"/>
          <w:highlight w:val="auto"/>
        </w:rPr>
        <w:t>　　1.</w:t>
      </w:r>
      <w:r>
        <w:rPr>
          <w:rFonts w:ascii="Times New Roman" w:eastAsia="仿宋_GB2312" w:cs="Times New Roman" w:hAnsi="Times New Roman"/>
          <w:b/>
          <w:bCs w:val="0"/>
          <w:kern w:val="2"/>
          <w:sz w:val="32"/>
          <w:szCs w:val="32"/>
          <w:lang w:val="en-US" w:eastAsia="zh-CN" w:bidi="ar-SA"/>
          <w:highlight w:val="auto"/>
        </w:rPr>
        <w:t>总体绩效得分情况</w:t>
      </w:r>
      <w:r>
        <w:rPr>
          <w:rFonts w:hint="eastAsia"/>
          <w:lang w:val="en-US" w:eastAsia="zh-CN"/>
          <w:highlight w:val="auto"/>
        </w:rPr>
        <w:t xml:space="preserve"> 。</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right="0"/>
        <w:textAlignment w:val="auto"/>
        <w:rPr>
          <w:rFonts w:ascii="Times New Roman" w:eastAsia="仿宋_GB2312" w:cs="Times New Roman" w:hAnsi="Times New Roman" w:hint="eastAsia"/>
          <w:b w:val="0"/>
          <w:bCs w:val="0"/>
          <w:sz w:val="32"/>
          <w:szCs w:val="32"/>
          <w:lang w:val="en-US" w:eastAsia="zh-CN"/>
          <w:highlight w:val="auto"/>
        </w:rPr>
      </w:pPr>
      <w:r>
        <w:rPr>
          <w:rFonts w:ascii="Times New Roman" w:eastAsia="仿宋_GB2312" w:cs="Times New Roman" w:hAnsi="Times New Roman" w:hint="eastAsia"/>
          <w:b w:val="0"/>
          <w:bCs w:val="0"/>
          <w:sz w:val="32"/>
          <w:szCs w:val="32"/>
          <w:lang w:val="en-US" w:eastAsia="zh-CN"/>
          <w:highlight w:val="auto"/>
        </w:rPr>
        <w:t>　　</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65</w:t>
      </w:r>
      <w:r>
        <w:rPr>
          <w:rFonts w:ascii="Times New Roman" w:eastAsia="仿宋_GB2312" w:cs="Times New Roman" w:hAnsi="Times New Roman"/>
          <w:b w:val="0"/>
          <w:bCs w:val="0"/>
          <w:sz w:val="32"/>
          <w:szCs w:val="32"/>
          <w:lang w:val="en-US" w:eastAsia="zh-CN"/>
          <w:highlight w:val="auto"/>
        </w:rPr>
        <w:t>分</w:t>
      </w:r>
      <w:r>
        <w:rPr>
          <w:rFonts w:ascii="Times New Roman" w:eastAsia="仿宋_GB2312" w:cs="Times New Roman" w:hAnsi="Times New Roman" w:hint="eastAsia"/>
          <w:b w:val="0"/>
          <w:bCs w:val="0"/>
          <w:sz w:val="32"/>
          <w:szCs w:val="32"/>
          <w:lang w:val="en-US" w:eastAsia="zh-CN"/>
          <w:highlight w:val="auto"/>
        </w:rPr>
        <w:t>，平均得53.64。</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Times New Roman" w:cs="Times New Roman" w:hAnsi="Times New Roman" w:hint="eastAsia"/>
          <w:b w:val="0"/>
          <w:bCs w:val="0"/>
          <w:sz w:val="32"/>
          <w:szCs w:val="32"/>
          <w:lang w:val="en-US" w:eastAsia="zh-CN"/>
          <w:highlight w:val="auto"/>
        </w:rPr>
        <w:t>履职效能</w:t>
      </w:r>
      <w:r>
        <w:rPr>
          <w:rFonts w:cs="Times New Roman" w:hint="eastAsia"/>
          <w:b w:val="0"/>
          <w:bCs w:val="0"/>
          <w:sz w:val="32"/>
          <w:szCs w:val="32"/>
          <w:lang w:val="en-US" w:eastAsia="zh-CN"/>
          <w:highlight w:val="auto"/>
        </w:rPr>
        <w:t>。</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15分，平均得分</w:t>
      </w:r>
      <w:r>
        <w:rPr>
          <w:rFonts w:cs="Times New Roman" w:hint="eastAsia"/>
          <w:b w:val="0"/>
          <w:bCs w:val="0"/>
          <w:sz w:val="32"/>
          <w:szCs w:val="32"/>
          <w:lang w:val="en-US" w:eastAsia="zh-CN"/>
          <w:highlight w:val="auto"/>
        </w:rPr>
        <w:t>14.91</w:t>
      </w:r>
      <w:r>
        <w:rPr>
          <w:rFonts w:ascii="Times New Roman" w:cs="Times New Roman" w:hAnsi="Times New Roman" w:hint="eastAsia"/>
          <w:b w:val="0"/>
          <w:bCs w:val="0"/>
          <w:sz w:val="32"/>
          <w:szCs w:val="32"/>
          <w:lang w:val="en-US" w:eastAsia="zh-CN"/>
          <w:highlight w:val="auto"/>
        </w:rPr>
        <w:t>，扣分原因为：年度履职目标任务未完成。</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Times New Roman" w:cs="Times New Roman" w:hAnsi="Times New Roman" w:hint="eastAsia"/>
          <w:b w:val="0"/>
          <w:bCs w:val="0"/>
          <w:sz w:val="32"/>
          <w:szCs w:val="32"/>
          <w:lang w:val="en-US" w:eastAsia="zh-CN"/>
          <w:highlight w:val="auto"/>
        </w:rPr>
        <w:t>预算管理</w:t>
      </w:r>
      <w:r>
        <w:rPr>
          <w:rFonts w:cs="Times New Roman" w:hint="eastAsia"/>
          <w:b w:val="0"/>
          <w:bCs w:val="0"/>
          <w:sz w:val="32"/>
          <w:szCs w:val="32"/>
          <w:lang w:val="en-US" w:eastAsia="zh-CN"/>
          <w:highlight w:val="auto"/>
        </w:rPr>
        <w:t>。</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25分，平均得分</w:t>
      </w:r>
      <w:r>
        <w:rPr>
          <w:rFonts w:cs="Times New Roman" w:hint="eastAsia"/>
          <w:b w:val="0"/>
          <w:bCs w:val="0"/>
          <w:sz w:val="32"/>
          <w:szCs w:val="32"/>
          <w:lang w:val="en-US" w:eastAsia="zh-CN"/>
          <w:highlight w:val="auto"/>
        </w:rPr>
        <w:t>19.59</w:t>
      </w:r>
      <w:r>
        <w:rPr>
          <w:rFonts w:ascii="Times New Roman" w:cs="Times New Roman" w:hAnsi="Times New Roman" w:hint="eastAsia"/>
          <w:b w:val="0"/>
          <w:bCs w:val="0"/>
          <w:sz w:val="32"/>
          <w:szCs w:val="32"/>
          <w:lang w:val="en-US" w:eastAsia="zh-CN"/>
          <w:highlight w:val="auto"/>
        </w:rPr>
        <w:t>，扣分原因为：一是年初预算编制不科学和准确；二是1至6月、1至10月预算执行未达时序进度；三是一般性支出较上年有所增加，未实现压减。</w:t>
      </w:r>
    </w:p>
    <w:p>
      <w:pPr>
        <w:pStyle w:val="17"/>
        <w:keepNext w:val="0"/>
        <w:keepLines w:val="0"/>
        <w:pageBreakBefore w:val="0"/>
        <w:widowControl w:val="0"/>
        <w:kinsoku/>
        <w:wordWrap/>
        <w:overflowPunct/>
        <w:topLinePunct w:val="0"/>
        <w:autoSpaceDE/>
        <w:autoSpaceDN/>
        <w:bidi w:val="0"/>
        <w:adjustRightInd/>
        <w:snapToGrid/>
        <w:spacing w:after="0" w:line="560" w:lineRule="exact"/>
        <w:ind w:left="0" w:firstLineChars="200" w:firstLine="632"/>
        <w:textAlignment w:val="auto"/>
        <w:rPr>
          <w:rFonts w:eastAsia="仿宋_GB2312" w:hint="eastAsia"/>
          <w:lang w:val="en-US" w:eastAsia="zh-CN"/>
        </w:rPr>
      </w:pPr>
      <w:r>
        <w:rPr>
          <w:rFonts w:ascii="Times New Roman" w:cs="Times New Roman" w:hAnsi="Times New Roman" w:hint="eastAsia"/>
          <w:b w:val="0"/>
          <w:bCs w:val="0"/>
          <w:sz w:val="32"/>
          <w:szCs w:val="32"/>
          <w:lang w:val="en-US" w:eastAsia="zh-CN"/>
          <w:highlight w:val="auto"/>
        </w:rPr>
        <w:t>（3）财务管理</w:t>
      </w:r>
      <w:r>
        <w:rPr>
          <w:rFonts w:cs="Times New Roman" w:hint="eastAsia"/>
          <w:b w:val="0"/>
          <w:bCs w:val="0"/>
          <w:sz w:val="32"/>
          <w:szCs w:val="32"/>
          <w:lang w:val="en-US" w:eastAsia="zh-CN"/>
          <w:highlight w:val="auto"/>
        </w:rPr>
        <w:t>。</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10分，平均得分</w:t>
      </w:r>
      <w:r>
        <w:rPr>
          <w:rFonts w:cs="Times New Roman" w:hint="eastAsia"/>
          <w:b w:val="0"/>
          <w:bCs w:val="0"/>
          <w:sz w:val="32"/>
          <w:szCs w:val="32"/>
          <w:lang w:val="en-US" w:eastAsia="zh-CN"/>
          <w:highlight w:val="auto"/>
        </w:rPr>
        <w:t>8.23</w:t>
      </w:r>
      <w:r>
        <w:rPr>
          <w:rFonts w:ascii="Times New Roman" w:cs="Times New Roman" w:hAnsi="Times New Roman" w:hint="eastAsia"/>
          <w:b w:val="0"/>
          <w:bCs w:val="0"/>
          <w:sz w:val="32"/>
          <w:szCs w:val="32"/>
          <w:lang w:val="en-US" w:eastAsia="zh-CN"/>
          <w:highlight w:val="auto"/>
        </w:rPr>
        <w:t>，扣分主要原因为：一是费用跨期报销；二是费用报销依据不足；三是报销审批滞后；四是的报销发票开具不规范；五是经济科目使用错误。</w:t>
      </w:r>
    </w:p>
    <w:p>
      <w:pPr>
        <w:pStyle w:val="17"/>
        <w:keepNext w:val="0"/>
        <w:keepLines w:val="0"/>
        <w:pageBreakBefore w:val="0"/>
        <w:widowControl w:val="0"/>
        <w:kinsoku/>
        <w:wordWrap/>
        <w:overflowPunct/>
        <w:topLinePunct w:val="0"/>
        <w:autoSpaceDE/>
        <w:autoSpaceDN/>
        <w:bidi w:val="0"/>
        <w:adjustRightInd/>
        <w:snapToGrid/>
        <w:spacing w:after="0"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hint="eastAsia"/>
          <w:lang w:val="en-US" w:eastAsia="zh-CN"/>
        </w:rPr>
        <w:t>（4）资产管理。</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9分，平均得分</w:t>
      </w:r>
      <w:r>
        <w:rPr>
          <w:rFonts w:cs="Times New Roman" w:hint="eastAsia"/>
          <w:b w:val="0"/>
          <w:bCs w:val="0"/>
          <w:sz w:val="32"/>
          <w:szCs w:val="32"/>
          <w:lang w:val="en-US" w:eastAsia="zh-CN"/>
          <w:highlight w:val="auto"/>
        </w:rPr>
        <w:t>5.09</w:t>
      </w:r>
      <w:r>
        <w:rPr>
          <w:rFonts w:ascii="Times New Roman" w:cs="Times New Roman" w:hAnsi="Times New Roman" w:hint="eastAsia"/>
          <w:b w:val="0"/>
          <w:bCs w:val="0"/>
          <w:sz w:val="32"/>
          <w:szCs w:val="32"/>
          <w:lang w:val="en-US" w:eastAsia="zh-CN"/>
          <w:highlight w:val="auto"/>
        </w:rPr>
        <w:t>，扣分主要原因为：一是部门人均资产变化率和</w:t>
      </w:r>
      <w:r>
        <w:rPr>
          <w:rFonts w:cs="Times New Roman" w:hint="eastAsia"/>
          <w:b w:val="0"/>
          <w:bCs w:val="0"/>
          <w:sz w:val="32"/>
          <w:szCs w:val="32"/>
          <w:lang w:val="en-US" w:eastAsia="zh-CN"/>
          <w:highlight w:val="auto"/>
        </w:rPr>
        <w:t>财政收入</w:t>
      </w:r>
      <w:r>
        <w:rPr>
          <w:rFonts w:ascii="Times New Roman" w:cs="Times New Roman" w:hAnsi="Times New Roman" w:hint="eastAsia"/>
          <w:b w:val="0"/>
          <w:bCs w:val="0"/>
          <w:sz w:val="32"/>
          <w:szCs w:val="32"/>
          <w:lang w:val="en-US" w:eastAsia="zh-CN"/>
          <w:highlight w:val="auto"/>
        </w:rPr>
        <w:t>增长率高于省级标准；二是部门资产超最低使用年限资产利用率小于省级标准；三是部门存在闲置一年以上的资产。</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Times New Roman" w:cs="Times New Roman" w:hAnsi="Times New Roman" w:hint="eastAsia"/>
          <w:b w:val="0"/>
          <w:bCs w:val="0"/>
          <w:sz w:val="32"/>
          <w:szCs w:val="32"/>
          <w:lang w:val="en-US" w:eastAsia="zh-CN"/>
          <w:highlight w:val="auto"/>
        </w:rPr>
        <w:t>（5）采购管理</w:t>
      </w:r>
      <w:r>
        <w:rPr>
          <w:rFonts w:cs="Times New Roman" w:hint="eastAsia"/>
          <w:b w:val="0"/>
          <w:bCs w:val="0"/>
          <w:sz w:val="32"/>
          <w:szCs w:val="32"/>
          <w:lang w:val="en-US" w:eastAsia="zh-CN"/>
          <w:highlight w:val="auto"/>
        </w:rPr>
        <w:t>。</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6分，平均得分</w:t>
      </w:r>
      <w:r>
        <w:rPr>
          <w:rFonts w:cs="Times New Roman" w:hint="eastAsia"/>
          <w:b w:val="0"/>
          <w:bCs w:val="0"/>
          <w:sz w:val="32"/>
          <w:szCs w:val="32"/>
          <w:lang w:val="en-US" w:eastAsia="zh-CN"/>
          <w:highlight w:val="auto"/>
        </w:rPr>
        <w:t>5.82</w:t>
      </w:r>
      <w:r>
        <w:rPr>
          <w:rFonts w:ascii="Times New Roman" w:cs="Times New Roman" w:hAnsi="Times New Roman" w:hint="eastAsia"/>
          <w:b w:val="0"/>
          <w:bCs w:val="0"/>
          <w:sz w:val="32"/>
          <w:szCs w:val="32"/>
          <w:lang w:val="en-US" w:eastAsia="zh-CN"/>
          <w:highlight w:val="auto"/>
        </w:rPr>
        <w:t>，扣分主要原因为：当年部门政府采购项目资金支付率低</w:t>
      </w:r>
      <w:r>
        <w:rPr>
          <w:rFonts w:cs="Times New Roman" w:hint="eastAsia"/>
          <w:b w:val="0"/>
          <w:bCs w:val="0"/>
          <w:sz w:val="32"/>
          <w:szCs w:val="32"/>
          <w:lang w:val="en-US" w:eastAsia="zh-CN"/>
          <w:highlight w:val="auto"/>
        </w:rPr>
        <w:t>。</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Chars="200" w:firstLine="632"/>
        <w:textAlignment w:val="auto"/>
        <w:rPr>
          <w:rFonts w:ascii="仿宋_GB2312" w:eastAsia="仿宋_GB2312" w:cs="仿宋_GB2312" w:hint="eastAsia"/>
          <w:b/>
          <w:bCs w:val="0"/>
          <w:kern w:val="2"/>
          <w:sz w:val="32"/>
          <w:szCs w:val="32"/>
          <w:lang w:val="en-US" w:eastAsia="zh-CN" w:bidi="ar-SA"/>
          <w:highlight w:val="auto"/>
        </w:rPr>
      </w:pPr>
      <w:r>
        <w:rPr>
          <w:rFonts w:ascii="仿宋_GB2312" w:eastAsia="仿宋_GB2312" w:cs="仿宋_GB2312" w:hint="eastAsia"/>
          <w:b/>
          <w:bCs w:val="0"/>
          <w:kern w:val="2"/>
          <w:sz w:val="32"/>
          <w:szCs w:val="32"/>
          <w:lang w:val="en-US" w:eastAsia="zh-CN" w:bidi="ar-SA"/>
          <w:highlight w:val="auto"/>
        </w:rPr>
        <w:t>2.项目绩效得分情况</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35</w:t>
      </w:r>
      <w:r>
        <w:rPr>
          <w:rFonts w:ascii="Times New Roman" w:eastAsia="仿宋_GB2312" w:cs="Times New Roman" w:hAnsi="Times New Roman"/>
          <w:b w:val="0"/>
          <w:bCs w:val="0"/>
          <w:sz w:val="32"/>
          <w:szCs w:val="32"/>
          <w:lang w:val="en-US" w:eastAsia="zh-CN"/>
          <w:highlight w:val="auto"/>
        </w:rPr>
        <w:t>分，平均得分</w:t>
      </w:r>
      <w:r>
        <w:rPr>
          <w:rFonts w:ascii="Times New Roman" w:cs="Times New Roman" w:hAnsi="Times New Roman" w:hint="eastAsia"/>
          <w:b w:val="0"/>
          <w:bCs w:val="0"/>
          <w:sz w:val="32"/>
          <w:szCs w:val="32"/>
          <w:lang w:val="en-US" w:eastAsia="zh-CN"/>
          <w:highlight w:val="auto"/>
        </w:rPr>
        <w:t>34.46</w:t>
      </w:r>
      <w:r>
        <w:rPr>
          <w:rFonts w:ascii="Times New Roman" w:eastAsia="仿宋_GB2312" w:cs="Times New Roman" w:hAnsi="Times New Roman"/>
          <w:b w:val="0"/>
          <w:bCs w:val="0"/>
          <w:sz w:val="32"/>
          <w:szCs w:val="32"/>
          <w:lang w:val="en-US" w:eastAsia="zh-CN"/>
          <w:highlight w:val="auto"/>
        </w:rPr>
        <w:t>，</w:t>
      </w:r>
    </w:p>
    <w:p>
      <w:pPr>
        <w:pStyle w:val="21"/>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cs="Times New Roman" w:hAnsi="Times New Roman" w:hint="eastAsia"/>
          <w:b w:val="0"/>
          <w:bCs w:val="0"/>
          <w:sz w:val="32"/>
          <w:szCs w:val="32"/>
          <w:lang w:val="en-US" w:eastAsia="zh-CN"/>
          <w:highlight w:val="auto"/>
        </w:rPr>
        <w:t>项目决策。</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12</w:t>
      </w:r>
      <w:r>
        <w:rPr>
          <w:rFonts w:ascii="Times New Roman" w:eastAsia="仿宋_GB2312" w:cs="Times New Roman" w:hAnsi="Times New Roman"/>
          <w:b w:val="0"/>
          <w:bCs w:val="0"/>
          <w:sz w:val="32"/>
          <w:szCs w:val="32"/>
          <w:lang w:val="en-US" w:eastAsia="zh-CN"/>
          <w:highlight w:val="auto"/>
        </w:rPr>
        <w:t>分，平均得分</w:t>
      </w:r>
      <w:r>
        <w:rPr>
          <w:rFonts w:ascii="Times New Roman" w:cs="Times New Roman" w:hAnsi="Times New Roman" w:hint="eastAsia"/>
          <w:b w:val="0"/>
          <w:bCs w:val="0"/>
          <w:sz w:val="32"/>
          <w:szCs w:val="32"/>
          <w:lang w:val="en-US" w:eastAsia="zh-CN"/>
          <w:highlight w:val="auto"/>
        </w:rPr>
        <w:t>11.95</w:t>
      </w:r>
      <w:r>
        <w:rPr>
          <w:rFonts w:ascii="Times New Roman" w:eastAsia="仿宋_GB2312" w:cs="Times New Roman" w:hAnsi="Times New Roman"/>
          <w:b w:val="0"/>
          <w:bCs w:val="0"/>
          <w:sz w:val="32"/>
          <w:szCs w:val="32"/>
          <w:lang w:val="en-US" w:eastAsia="zh-CN"/>
          <w:highlight w:val="auto"/>
        </w:rPr>
        <w:t>，扣分原因主要为</w:t>
      </w:r>
      <w:r>
        <w:rPr>
          <w:rFonts w:ascii="Times New Roman" w:cs="Times New Roman" w:hAnsi="Times New Roman" w:hint="eastAsia"/>
          <w:b w:val="0"/>
          <w:bCs w:val="0"/>
          <w:sz w:val="32"/>
          <w:szCs w:val="32"/>
          <w:lang w:val="en-US" w:eastAsia="zh-CN"/>
          <w:highlight w:val="auto"/>
        </w:rPr>
        <w:t>:个别</w:t>
      </w:r>
      <w:r>
        <w:rPr>
          <w:rFonts w:ascii="Times New Roman" w:eastAsia="仿宋_GB2312" w:cs="Times New Roman" w:hAnsi="Times New Roman"/>
          <w:sz w:val="32"/>
          <w:szCs w:val="32"/>
          <w:lang w:eastAsia="zh-CN"/>
          <w:highlight w:val="auto"/>
        </w:rPr>
        <w:t>项目评估论证、申报程序</w:t>
      </w:r>
      <w:r>
        <w:rPr>
          <w:rFonts w:ascii="Times New Roman" w:cs="Times New Roman" w:hAnsi="Times New Roman" w:hint="eastAsia"/>
          <w:sz w:val="32"/>
          <w:szCs w:val="32"/>
          <w:lang w:eastAsia="zh-CN"/>
          <w:highlight w:val="auto"/>
        </w:rPr>
        <w:t>资料缺失</w:t>
      </w:r>
      <w:r>
        <w:rPr>
          <w:rFonts w:ascii="Times New Roman" w:eastAsia="仿宋_GB2312" w:cs="Times New Roman" w:hAnsi="Times New Roman"/>
          <w:sz w:val="32"/>
          <w:szCs w:val="32"/>
          <w:lang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Times New Roman" w:cs="Times New Roman" w:hAnsi="Times New Roman" w:hint="eastAsia"/>
          <w:sz w:val="32"/>
          <w:szCs w:val="32"/>
          <w:lang w:val="en-US" w:eastAsia="zh-CN"/>
          <w:highlight w:val="auto"/>
        </w:rPr>
        <w:t>（2）项目执行。</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12</w:t>
      </w:r>
      <w:r>
        <w:rPr>
          <w:rFonts w:ascii="Times New Roman" w:eastAsia="仿宋_GB2312" w:cs="Times New Roman" w:hAnsi="Times New Roman"/>
          <w:b w:val="0"/>
          <w:bCs w:val="0"/>
          <w:sz w:val="32"/>
          <w:szCs w:val="32"/>
          <w:lang w:val="en-US" w:eastAsia="zh-CN"/>
          <w:highlight w:val="auto"/>
        </w:rPr>
        <w:t>分，平均得分</w:t>
      </w:r>
      <w:r>
        <w:rPr>
          <w:rFonts w:ascii="Times New Roman" w:cs="Times New Roman" w:hAnsi="Times New Roman" w:hint="eastAsia"/>
          <w:b w:val="0"/>
          <w:bCs w:val="0"/>
          <w:sz w:val="32"/>
          <w:szCs w:val="32"/>
          <w:lang w:val="en-US" w:eastAsia="zh-CN"/>
          <w:highlight w:val="auto"/>
        </w:rPr>
        <w:t>11.89</w:t>
      </w:r>
      <w:r>
        <w:rPr>
          <w:rFonts w:ascii="Times New Roman" w:eastAsia="仿宋_GB2312" w:cs="Times New Roman" w:hAnsi="Times New Roman"/>
          <w:b w:val="0"/>
          <w:bCs w:val="0"/>
          <w:sz w:val="32"/>
          <w:szCs w:val="32"/>
          <w:lang w:val="en-US" w:eastAsia="zh-CN"/>
          <w:highlight w:val="auto"/>
        </w:rPr>
        <w:t>，扣分原主要为</w:t>
      </w:r>
      <w:r>
        <w:rPr>
          <w:rFonts w:ascii="Times New Roman" w:cs="Times New Roman" w:hAnsi="Times New Roman" w:hint="eastAsia"/>
          <w:b w:val="0"/>
          <w:bCs w:val="0"/>
          <w:sz w:val="32"/>
          <w:szCs w:val="32"/>
          <w:lang w:val="en-US" w:eastAsia="zh-CN"/>
          <w:highlight w:val="auto"/>
        </w:rPr>
        <w:t>：个别项目预算结余率大于。</w:t>
      </w:r>
    </w:p>
    <w:p>
      <w:pPr>
        <w:pStyle w:val="21"/>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val="0"/>
          <w:sz w:val="32"/>
          <w:szCs w:val="32"/>
          <w:lang w:val="en-US" w:eastAsia="zh-CN"/>
          <w:highlight w:val="auto"/>
        </w:rPr>
      </w:pPr>
      <w:r>
        <w:rPr>
          <w:rFonts w:ascii="Times New Roman" w:cs="Times New Roman" w:hAnsi="Times New Roman" w:hint="eastAsia"/>
          <w:b w:val="0"/>
          <w:bCs w:val="0"/>
          <w:sz w:val="32"/>
          <w:szCs w:val="32"/>
          <w:lang w:val="en-US" w:eastAsia="zh-CN"/>
          <w:highlight w:val="auto"/>
        </w:rPr>
        <w:t>目标实现。</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11</w:t>
      </w:r>
      <w:r>
        <w:rPr>
          <w:rFonts w:ascii="Times New Roman" w:eastAsia="仿宋_GB2312" w:cs="Times New Roman" w:hAnsi="Times New Roman"/>
          <w:b w:val="0"/>
          <w:bCs w:val="0"/>
          <w:sz w:val="32"/>
          <w:szCs w:val="32"/>
          <w:lang w:val="en-US" w:eastAsia="zh-CN"/>
          <w:highlight w:val="auto"/>
        </w:rPr>
        <w:t>分，平均得分</w:t>
      </w:r>
      <w:r>
        <w:rPr>
          <w:rFonts w:ascii="Times New Roman" w:cs="Times New Roman" w:hAnsi="Times New Roman" w:hint="eastAsia"/>
          <w:b w:val="0"/>
          <w:bCs w:val="0"/>
          <w:sz w:val="32"/>
          <w:szCs w:val="32"/>
          <w:lang w:val="en-US" w:eastAsia="zh-CN"/>
          <w:highlight w:val="auto"/>
        </w:rPr>
        <w:t>10.62</w:t>
      </w:r>
      <w:r>
        <w:rPr>
          <w:rFonts w:ascii="Times New Roman" w:eastAsia="仿宋_GB2312" w:cs="Times New Roman" w:hAnsi="Times New Roman"/>
          <w:b w:val="0"/>
          <w:bCs w:val="0"/>
          <w:sz w:val="32"/>
          <w:szCs w:val="32"/>
          <w:lang w:val="en-US" w:eastAsia="zh-CN"/>
          <w:highlight w:val="auto"/>
        </w:rPr>
        <w:t>，扣分原因主要为</w:t>
      </w:r>
      <w:r>
        <w:rPr>
          <w:rFonts w:ascii="Times New Roman" w:cs="Times New Roman" w:hAnsi="Times New Roman" w:hint="eastAsia"/>
          <w:b w:val="0"/>
          <w:bCs w:val="0"/>
          <w:sz w:val="32"/>
          <w:szCs w:val="32"/>
          <w:lang w:val="en-US" w:eastAsia="zh-CN"/>
          <w:highlight w:val="auto"/>
        </w:rPr>
        <w:t>：一是个别项目预算结余率大于。二是个别项目未完成设定绩效目标任务。</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cs="仿宋_GB2312" w:hint="eastAsia"/>
          <w:b/>
          <w:bCs w:val="0"/>
          <w:kern w:val="2"/>
          <w:sz w:val="32"/>
          <w:szCs w:val="32"/>
          <w:lang w:val="en-US" w:eastAsia="zh-CN" w:bidi="ar-SA"/>
          <w:highlight w:val="auto"/>
        </w:rPr>
      </w:pPr>
      <w:r>
        <w:rPr>
          <w:rFonts w:ascii="仿宋_GB2312" w:eastAsia="仿宋_GB2312" w:cs="仿宋_GB2312" w:hint="eastAsia"/>
          <w:b/>
          <w:bCs w:val="0"/>
          <w:kern w:val="2"/>
          <w:sz w:val="32"/>
          <w:szCs w:val="32"/>
          <w:lang w:val="en-US" w:eastAsia="zh-CN" w:bidi="ar-SA"/>
          <w:highlight w:val="auto"/>
        </w:rPr>
        <w:t xml:space="preserve">    3.预算绩效存在问题</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textAlignment w:val="auto"/>
        <w:rPr>
          <w:rFonts w:ascii="Times New Roman" w:eastAsia="仿宋_GB2312" w:cs="Times New Roman" w:hAnsi="Times New Roman" w:hint="eastAsia"/>
          <w:b w:val="0"/>
          <w:bCs w:val="0"/>
          <w:sz w:val="32"/>
          <w:szCs w:val="32"/>
          <w:lang w:val="en-US" w:eastAsia="zh-CN"/>
          <w:highlight w:val="auto"/>
        </w:rPr>
      </w:pPr>
      <w:r>
        <w:rPr>
          <w:rFonts w:ascii="Times New Roman" w:eastAsia="仿宋_GB2312" w:cs="Times New Roman" w:hAnsi="Times New Roman"/>
          <w:b w:val="0"/>
          <w:bCs w:val="0"/>
          <w:sz w:val="32"/>
          <w:szCs w:val="32"/>
          <w:lang w:val="en-US" w:eastAsia="zh-CN"/>
          <w:highlight w:val="auto"/>
        </w:rPr>
        <w:t>该指标权重为</w:t>
      </w:r>
      <w:r>
        <w:rPr>
          <w:rFonts w:ascii="Times New Roman" w:eastAsia="仿宋_GB2312" w:cs="Times New Roman" w:hAnsi="Times New Roman" w:hint="eastAsia"/>
          <w:b w:val="0"/>
          <w:bCs w:val="0"/>
          <w:sz w:val="32"/>
          <w:szCs w:val="32"/>
          <w:lang w:val="en-US" w:eastAsia="zh-CN"/>
          <w:highlight w:val="auto"/>
        </w:rPr>
        <w:t>-10</w:t>
      </w:r>
      <w:r>
        <w:rPr>
          <w:rFonts w:ascii="Times New Roman" w:eastAsia="仿宋_GB2312" w:cs="Times New Roman" w:hAnsi="Times New Roman"/>
          <w:b w:val="0"/>
          <w:bCs w:val="0"/>
          <w:sz w:val="32"/>
          <w:szCs w:val="32"/>
          <w:lang w:val="en-US" w:eastAsia="zh-CN"/>
          <w:highlight w:val="auto"/>
        </w:rPr>
        <w:t>分，平均得</w:t>
      </w:r>
      <w:r>
        <w:rPr>
          <w:rFonts w:ascii="Times New Roman" w:eastAsia="仿宋_GB2312" w:cs="Times New Roman" w:hAnsi="Times New Roman" w:hint="eastAsia"/>
          <w:b w:val="0"/>
          <w:bCs w:val="0"/>
          <w:sz w:val="32"/>
          <w:szCs w:val="32"/>
          <w:lang w:val="en-US" w:eastAsia="zh-CN"/>
          <w:highlight w:val="auto"/>
        </w:rPr>
        <w:t>-1</w:t>
      </w:r>
      <w:r>
        <w:rPr>
          <w:rFonts w:ascii="Times New Roman" w:eastAsia="仿宋_GB2312" w:cs="Times New Roman" w:hAnsi="Times New Roman"/>
          <w:b w:val="0"/>
          <w:bCs w:val="0"/>
          <w:sz w:val="32"/>
          <w:szCs w:val="32"/>
          <w:lang w:val="en-US" w:eastAsia="zh-CN"/>
          <w:highlight w:val="auto"/>
        </w:rPr>
        <w:t>分，扣分原因主要为：</w:t>
      </w:r>
      <w:r>
        <w:rPr>
          <w:rFonts w:ascii="Times New Roman" w:eastAsia="仿宋_GB2312" w:cs="Times New Roman" w:hAnsi="Times New Roman" w:hint="eastAsia"/>
          <w:b w:val="0"/>
          <w:bCs w:val="0"/>
          <w:sz w:val="32"/>
          <w:szCs w:val="32"/>
          <w:lang w:val="en-US" w:eastAsia="zh-CN"/>
          <w:highlight w:val="auto"/>
        </w:rPr>
        <w:t>2023年固定资产清理专项审计，发现固定资产存在账实不符的情况，单位未完成整改。</w:t>
      </w:r>
    </w:p>
    <w:p>
      <w:pPr>
        <w:numPr>
          <w:ilvl w:val="0"/>
          <w:numId w:val="6"/>
        </w:numPr>
        <w:ind w:left="631" w:firstLine="0"/>
        <w:rPr>
          <w:rFonts w:ascii="楷体_GB2312" w:eastAsia="楷体_GB2312" w:cs="楷体_GB2312" w:hint="eastAsia"/>
          <w:b/>
          <w:bCs w:val="0"/>
          <w:lang w:val="en-US" w:eastAsia="zh-CN"/>
        </w:rPr>
      </w:pPr>
      <w:r>
        <w:rPr>
          <w:rFonts w:ascii="楷体_GB2312" w:eastAsia="楷体_GB2312" w:cs="楷体_GB2312" w:hint="eastAsia"/>
          <w:b/>
          <w:bCs w:val="0"/>
          <w:sz w:val="32"/>
          <w:szCs w:val="32"/>
          <w:u w:val="none"/>
          <w:lang w:val="en-US" w:eastAsia="zh-CN" w:bidi="ar-SA"/>
          <w:highlight w:val="auto"/>
        </w:rPr>
        <w:t>国有资产管理评价结果。</w:t>
      </w:r>
    </w:p>
    <w:p>
      <w:pPr>
        <w:ind w:left="0" w:firstLineChars="200" w:firstLine="632"/>
        <w:rPr>
          <w:rFonts w:cs="Times New Roman" w:hint="eastAsia"/>
          <w:b w:val="0"/>
          <w:bCs/>
          <w:sz w:val="32"/>
          <w:szCs w:val="32"/>
          <w:lang w:val="en-US" w:eastAsia="zh-CN"/>
          <w:highlight w:val="auto"/>
        </w:rPr>
      </w:pPr>
      <w:r>
        <w:rPr>
          <w:rFonts w:ascii="Times New Roman" w:eastAsia="仿宋_GB2312" w:cs="Times New Roman" w:hAnsi="Times New Roman"/>
          <w:b w:val="0"/>
          <w:bCs/>
          <w:sz w:val="32"/>
          <w:szCs w:val="32"/>
          <w:lang w:eastAsia="zh-CN"/>
          <w:highlight w:val="auto"/>
        </w:rPr>
        <w:t>本次绩效评价</w:t>
      </w:r>
      <w:r>
        <w:rPr>
          <w:rFonts w:cs="Times New Roman" w:hint="eastAsia"/>
          <w:b w:val="0"/>
          <w:bCs/>
          <w:sz w:val="32"/>
          <w:szCs w:val="32"/>
          <w:lang w:val="en-US" w:eastAsia="zh-CN"/>
          <w:highlight w:val="auto"/>
        </w:rPr>
        <w:t>2</w:t>
      </w:r>
      <w:r>
        <w:rPr>
          <w:rFonts w:ascii="Times New Roman" w:eastAsia="仿宋_GB2312" w:cs="Times New Roman" w:hAnsi="Times New Roman"/>
          <w:b w:val="0"/>
          <w:bCs/>
          <w:sz w:val="32"/>
          <w:szCs w:val="32"/>
          <w:lang w:val="en-US" w:eastAsia="zh-CN"/>
          <w:highlight w:val="auto"/>
        </w:rPr>
        <w:t>个单位，平均得分</w:t>
      </w:r>
      <w:r>
        <w:rPr>
          <w:rFonts w:cs="Times New Roman" w:hint="eastAsia"/>
          <w:b w:val="0"/>
          <w:bCs/>
          <w:sz w:val="32"/>
          <w:szCs w:val="32"/>
          <w:lang w:val="en-US" w:eastAsia="zh-CN"/>
          <w:highlight w:val="auto"/>
        </w:rPr>
        <w:t>85.93</w:t>
      </w:r>
      <w:r>
        <w:rPr>
          <w:rFonts w:ascii="Times New Roman" w:eastAsia="仿宋_GB2312" w:cs="Times New Roman" w:hAnsi="Times New Roman"/>
          <w:b w:val="0"/>
          <w:bCs/>
          <w:sz w:val="32"/>
          <w:szCs w:val="32"/>
          <w:lang w:val="en-US" w:eastAsia="zh-CN"/>
          <w:highlight w:val="auto"/>
        </w:rPr>
        <w:t>分，</w:t>
      </w:r>
      <w:r>
        <w:rPr>
          <w:rFonts w:cs="Times New Roman" w:hint="eastAsia"/>
          <w:b w:val="0"/>
          <w:bCs/>
          <w:sz w:val="32"/>
          <w:szCs w:val="32"/>
          <w:lang w:val="en-US" w:eastAsia="zh-CN"/>
          <w:highlight w:val="auto"/>
        </w:rPr>
        <w:t>其中史志中心 85分，审计局86.86分。</w:t>
      </w:r>
    </w:p>
    <w:p>
      <w:pPr>
        <w:pStyle w:val="15"/>
        <w:ind w:left="631"/>
        <w:rPr>
          <w:rFonts w:hint="eastAsia"/>
          <w:lang w:val="en-US" w:eastAsia="zh-CN"/>
        </w:rPr>
      </w:pPr>
      <w:r>
        <w:rPr>
          <w:rFonts w:ascii="仿宋_GB2312" w:eastAsia="仿宋_GB2312" w:cs="仿宋_GB2312" w:hint="eastAsia"/>
          <w:b/>
          <w:bCs/>
          <w:lang w:val="en-US" w:eastAsia="zh-CN"/>
        </w:rPr>
        <w:t>1.定性指标得分情况</w:t>
      </w:r>
      <w:r>
        <w:rPr>
          <w:rFonts w:hint="eastAsia"/>
          <w:lang w:val="en-US" w:eastAsia="zh-CN"/>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lang w:val="en-US" w:eastAsia="zh-CN"/>
        </w:rPr>
      </w:pPr>
      <w:r>
        <w:rPr>
          <w:rFonts w:hint="eastAsia"/>
          <w:lang w:val="en-US" w:eastAsia="zh-CN"/>
        </w:rPr>
        <w:t xml:space="preserve"> </w:t>
      </w: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hint="eastAsia"/>
          <w:b w:val="0"/>
          <w:bCs w:val="0"/>
          <w:sz w:val="32"/>
          <w:szCs w:val="32"/>
          <w:lang w:val="en-US" w:eastAsia="zh-CN"/>
          <w:highlight w:val="auto"/>
        </w:rPr>
        <w:t>40</w:t>
      </w:r>
      <w:r>
        <w:rPr>
          <w:rFonts w:ascii="Times New Roman" w:eastAsia="仿宋_GB2312" w:cs="Times New Roman" w:hAnsi="Times New Roman"/>
          <w:b w:val="0"/>
          <w:bCs w:val="0"/>
          <w:sz w:val="32"/>
          <w:szCs w:val="32"/>
          <w:lang w:val="en-US" w:eastAsia="zh-CN"/>
          <w:highlight w:val="auto"/>
        </w:rPr>
        <w:t>分，平均得分</w:t>
      </w:r>
      <w:r>
        <w:rPr>
          <w:rFonts w:ascii="Times New Roman" w:cs="Times New Roman" w:hAnsi="Times New Roman" w:hint="eastAsia"/>
          <w:b w:val="0"/>
          <w:bCs w:val="0"/>
          <w:sz w:val="32"/>
          <w:szCs w:val="32"/>
          <w:lang w:val="en-US" w:eastAsia="zh-CN"/>
          <w:highlight w:val="auto"/>
        </w:rPr>
        <w:t>36分</w:t>
      </w:r>
      <w:r>
        <w:rPr>
          <w:rFonts w:ascii="Times New Roman" w:eastAsia="仿宋_GB2312" w:cs="Times New Roman" w:hAnsi="Times New Roman"/>
          <w:b w:val="0"/>
          <w:bCs w:val="0"/>
          <w:sz w:val="32"/>
          <w:szCs w:val="32"/>
          <w:lang w:val="en-US" w:eastAsia="zh-CN"/>
          <w:highlight w:val="auto"/>
        </w:rPr>
        <w:t>，</w:t>
      </w:r>
      <w:r>
        <w:rPr>
          <w:rFonts w:ascii="Times New Roman" w:cs="Times New Roman" w:hAnsi="Times New Roman" w:hint="eastAsia"/>
          <w:b w:val="0"/>
          <w:bCs w:val="0"/>
          <w:sz w:val="32"/>
          <w:szCs w:val="32"/>
          <w:lang w:val="en-US" w:eastAsia="zh-CN"/>
          <w:highlight w:val="auto"/>
        </w:rPr>
        <w:t>扣分主要原因为：未建立低值材料易耗品等物资的采购领用内控监督管理制度，报表数据以及报送范围与实际资产不一致。</w:t>
      </w:r>
    </w:p>
    <w:p>
      <w:pPr>
        <w:ind w:left="0" w:firstLineChars="200" w:firstLine="632"/>
        <w:rPr>
          <w:rFonts w:ascii="仿宋_GB2312" w:eastAsia="仿宋_GB2312" w:cs="仿宋_GB2312" w:hint="eastAsia"/>
          <w:b/>
          <w:bCs/>
          <w:kern w:val="2"/>
          <w:sz w:val="32"/>
          <w:szCs w:val="30"/>
          <w:lang w:val="en-US" w:eastAsia="zh-CN" w:bidi="ar-SA"/>
        </w:rPr>
      </w:pPr>
      <w:r>
        <w:rPr>
          <w:rFonts w:ascii="仿宋_GB2312" w:eastAsia="仿宋_GB2312" w:cs="仿宋_GB2312" w:hint="eastAsia"/>
          <w:b/>
          <w:bCs/>
          <w:kern w:val="2"/>
          <w:sz w:val="32"/>
          <w:szCs w:val="30"/>
          <w:lang w:val="en-US" w:eastAsia="zh-CN" w:bidi="ar-SA"/>
        </w:rPr>
        <w:t>2.</w:t>
      </w:r>
      <w:r>
        <w:rPr>
          <w:rFonts w:ascii="仿宋_GB2312" w:eastAsia="仿宋_GB2312" w:cs="仿宋_GB2312"/>
          <w:b/>
          <w:bCs/>
          <w:kern w:val="2"/>
          <w:sz w:val="32"/>
          <w:szCs w:val="30"/>
          <w:lang w:val="en-US" w:eastAsia="zh-CN" w:bidi="ar-SA"/>
        </w:rPr>
        <w:t>定量指标</w:t>
      </w:r>
      <w:r>
        <w:rPr>
          <w:rFonts w:ascii="仿宋_GB2312" w:eastAsia="仿宋_GB2312" w:cs="仿宋_GB2312" w:hint="eastAsia"/>
          <w:b/>
          <w:bCs/>
          <w:kern w:val="2"/>
          <w:sz w:val="32"/>
          <w:szCs w:val="30"/>
          <w:lang w:val="en-US" w:eastAsia="zh-CN" w:bidi="ar-SA"/>
        </w:rPr>
        <w:t>得分情况。</w:t>
      </w:r>
    </w:p>
    <w:p>
      <w:pPr>
        <w:pStyle w:val="15"/>
        <w:rPr>
          <w:lang w:val="en-US" w:eastAsia="zh-CN"/>
        </w:rPr>
      </w:pPr>
      <w:r>
        <w:rPr>
          <w:rFonts w:hint="eastAsia"/>
          <w:lang w:val="en-US" w:eastAsia="zh-CN"/>
        </w:rPr>
        <w:t xml:space="preserve">    </w:t>
      </w:r>
      <w:r>
        <w:rPr>
          <w:rFonts w:ascii="Times New Roman" w:eastAsia="仿宋_GB2312" w:cs="Times New Roman" w:hAnsi="Times New Roman"/>
          <w:b w:val="0"/>
          <w:bCs w:val="0"/>
          <w:sz w:val="32"/>
          <w:szCs w:val="32"/>
          <w:lang w:val="en-US" w:eastAsia="zh-CN"/>
          <w:highlight w:val="auto"/>
        </w:rPr>
        <w:t>该指标权重为</w:t>
      </w:r>
      <w:r>
        <w:rPr>
          <w:rFonts w:cs="Times New Roman" w:hint="eastAsia"/>
          <w:b w:val="0"/>
          <w:bCs w:val="0"/>
          <w:sz w:val="32"/>
          <w:szCs w:val="32"/>
          <w:lang w:val="en-US" w:eastAsia="zh-CN"/>
          <w:highlight w:val="auto"/>
        </w:rPr>
        <w:t>60</w:t>
      </w:r>
      <w:r>
        <w:rPr>
          <w:rFonts w:ascii="Times New Roman" w:eastAsia="仿宋_GB2312" w:cs="Times New Roman" w:hAnsi="Times New Roman"/>
          <w:b w:val="0"/>
          <w:bCs w:val="0"/>
          <w:sz w:val="32"/>
          <w:szCs w:val="32"/>
          <w:lang w:val="en-US" w:eastAsia="zh-CN"/>
          <w:highlight w:val="auto"/>
        </w:rPr>
        <w:t>分，平均得分</w:t>
      </w:r>
      <w:r>
        <w:rPr>
          <w:rFonts w:cs="Times New Roman" w:hint="eastAsia"/>
          <w:b w:val="0"/>
          <w:bCs w:val="0"/>
          <w:sz w:val="32"/>
          <w:szCs w:val="32"/>
          <w:lang w:val="en-US" w:eastAsia="zh-CN"/>
          <w:highlight w:val="auto"/>
        </w:rPr>
        <w:t>49.93</w:t>
      </w:r>
      <w:r>
        <w:rPr>
          <w:rFonts w:ascii="Times New Roman" w:cs="Times New Roman" w:hAnsi="Times New Roman" w:hint="eastAsia"/>
          <w:b w:val="0"/>
          <w:bCs w:val="0"/>
          <w:sz w:val="32"/>
          <w:szCs w:val="32"/>
          <w:lang w:val="en-US" w:eastAsia="zh-CN"/>
          <w:highlight w:val="auto"/>
        </w:rPr>
        <w:t>分</w:t>
      </w:r>
      <w:r>
        <w:rPr>
          <w:rFonts w:cs="Times New Roman" w:hint="eastAsia"/>
          <w:b w:val="0"/>
          <w:bCs w:val="0"/>
          <w:sz w:val="32"/>
          <w:szCs w:val="32"/>
          <w:lang w:val="en-US" w:eastAsia="zh-CN"/>
          <w:highlight w:val="auto"/>
        </w:rPr>
        <w:t>，扣分主要原因：超最低使用年限资产利用率低，信息化应用率低，固定资产增长率大于省行政事业单位固定资产的平均增长率。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textAlignment w:val="auto"/>
        <w:rPr>
          <w:rFonts w:ascii="Times New Roman" w:eastAsia="黑体" w:cs="Times New Roman" w:hAnsi="Times New Roman"/>
          <w:color w:val="000000"/>
          <w:kern w:val="0"/>
          <w:sz w:val="32"/>
          <w:szCs w:val="32"/>
          <w:highlight w:val="auto"/>
        </w:rPr>
      </w:pPr>
      <w:r>
        <w:rPr>
          <w:rFonts w:ascii="Times New Roman" w:eastAsia="黑体" w:cs="Times New Roman" w:hAnsi="Times New Roman"/>
          <w:color w:val="000000"/>
          <w:kern w:val="0"/>
          <w:sz w:val="32"/>
          <w:szCs w:val="32"/>
          <w:highlight w:val="auto"/>
        </w:rPr>
        <w:t>三、</w:t>
      </w:r>
      <w:r>
        <w:rPr>
          <w:rFonts w:ascii="Times New Roman" w:eastAsia="黑体" w:cs="Times New Roman" w:hAnsi="Times New Roman"/>
          <w:color w:val="000000"/>
          <w:kern w:val="0"/>
          <w:sz w:val="32"/>
          <w:szCs w:val="32"/>
          <w:lang w:eastAsia="zh-CN"/>
          <w:highlight w:val="auto"/>
        </w:rPr>
        <w:t>存在</w:t>
      </w:r>
      <w:r>
        <w:rPr>
          <w:rFonts w:ascii="Times New Roman" w:eastAsia="黑体" w:cs="Times New Roman" w:hAnsi="Times New Roman"/>
          <w:color w:val="000000"/>
          <w:kern w:val="0"/>
          <w:sz w:val="32"/>
          <w:szCs w:val="32"/>
          <w:highlight w:val="auto"/>
        </w:rPr>
        <w:t>主要问题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 w:cs="Times New Roman" w:hAnsi="Times New Roman"/>
          <w:b/>
          <w:bCs w:val="0"/>
          <w:sz w:val="32"/>
          <w:szCs w:val="32"/>
          <w:highlight w:val="auto"/>
        </w:rPr>
      </w:pPr>
      <w:r>
        <w:rPr>
          <w:rFonts w:ascii="Times New Roman" w:eastAsia="楷体" w:cs="Times New Roman" w:hAnsi="Times New Roman"/>
          <w:b/>
          <w:bCs w:val="0"/>
          <w:sz w:val="32"/>
          <w:szCs w:val="32"/>
          <w:highlight w:val="auto"/>
        </w:rPr>
        <w:t>（一）</w:t>
      </w:r>
      <w:r>
        <w:rPr>
          <w:rFonts w:ascii="Times New Roman" w:eastAsia="楷体" w:cs="Times New Roman" w:hAnsi="Times New Roman"/>
          <w:b/>
          <w:bCs w:val="0"/>
          <w:kern w:val="2"/>
          <w:sz w:val="32"/>
          <w:szCs w:val="32"/>
          <w:lang w:val="en-US" w:eastAsia="zh-CN" w:bidi="ar-SA"/>
          <w:highlight w:val="auto"/>
        </w:rPr>
        <w:t>共性</w:t>
      </w:r>
      <w:r>
        <w:rPr>
          <w:rFonts w:ascii="Times New Roman" w:eastAsia="楷体" w:cs="Times New Roman" w:hAnsi="Times New Roman"/>
          <w:b/>
          <w:bCs w:val="0"/>
          <w:sz w:val="32"/>
          <w:szCs w:val="32"/>
          <w:highlight w:val="auto"/>
        </w:rPr>
        <w:t>问题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仿宋_GB2312" w:eastAsia="仿宋_GB2312" w:cs="仿宋_GB2312" w:hint="eastAsia"/>
          <w:b/>
          <w:bCs w:val="0"/>
          <w:sz w:val="32"/>
          <w:szCs w:val="32"/>
          <w:lang w:val="en-US" w:eastAsia="zh-CN"/>
          <w:highlight w:val="auto"/>
        </w:rPr>
        <w:t>1.年初预算编制不科学和准确</w:t>
      </w:r>
      <w:r>
        <w:rPr>
          <w:rFonts w:ascii="Times New Roman" w:cs="Times New Roman" w:hAnsi="Times New Roman"/>
          <w:b/>
          <w:bCs w:val="0"/>
          <w:sz w:val="32"/>
          <w:szCs w:val="32"/>
          <w:lang w:val="en-US" w:eastAsia="zh-CN"/>
          <w:highlight w:val="auto"/>
        </w:rPr>
        <w:t>。</w:t>
      </w:r>
      <w:r>
        <w:rPr>
          <w:rFonts w:ascii="Times New Roman" w:cs="Times New Roman" w:hAnsi="Times New Roman" w:hint="eastAsia"/>
          <w:b w:val="0"/>
          <w:bCs/>
          <w:sz w:val="32"/>
          <w:szCs w:val="32"/>
          <w:lang w:val="en-US" w:eastAsia="zh-CN"/>
          <w:highlight w:val="auto"/>
        </w:rPr>
        <w:t>13个预算单位</w:t>
      </w:r>
      <w:r>
        <w:rPr>
          <w:rFonts w:ascii="Times New Roman" w:cs="Times New Roman" w:hAnsi="Times New Roman"/>
          <w:b w:val="0"/>
          <w:bCs/>
          <w:sz w:val="32"/>
          <w:szCs w:val="32"/>
          <w:lang w:val="en-US" w:eastAsia="zh-CN"/>
          <w:highlight w:val="auto"/>
        </w:rPr>
        <w:t>预算执行数</w:t>
      </w:r>
      <w:r>
        <w:rPr>
          <w:rFonts w:ascii="Times New Roman" w:cs="Times New Roman" w:hAnsi="Times New Roman" w:hint="eastAsia"/>
          <w:b w:val="0"/>
          <w:bCs/>
          <w:sz w:val="32"/>
          <w:szCs w:val="32"/>
          <w:lang w:val="en-US" w:eastAsia="zh-CN"/>
          <w:highlight w:val="auto"/>
        </w:rPr>
        <w:t>与年初预算数的偏差率超30%</w:t>
      </w:r>
      <w:r>
        <w:rPr>
          <w:rFonts w:ascii="Times New Roman" w:cs="Times New Roman" w:hAnsi="Times New Roman"/>
          <w:b w:val="0"/>
          <w:bCs/>
          <w:sz w:val="32"/>
          <w:szCs w:val="32"/>
          <w:lang w:val="en-US"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2.一般性支出较上年有所增加。</w:t>
      </w:r>
      <w:r>
        <w:rPr>
          <w:rFonts w:ascii="Times New Roman" w:cs="Times New Roman" w:hAnsi="Times New Roman" w:hint="eastAsia"/>
          <w:b/>
          <w:bCs/>
          <w:sz w:val="32"/>
          <w:szCs w:val="32"/>
          <w:lang w:val="en-US" w:eastAsia="zh-CN"/>
          <w:highlight w:val="auto"/>
        </w:rPr>
        <w:t>7个</w:t>
      </w:r>
      <w:r>
        <w:rPr>
          <w:rFonts w:ascii="Times New Roman" w:cs="Times New Roman" w:hAnsi="Times New Roman" w:hint="eastAsia"/>
          <w:b w:val="0"/>
          <w:bCs w:val="0"/>
          <w:sz w:val="32"/>
          <w:szCs w:val="32"/>
          <w:lang w:val="en-US" w:eastAsia="zh-CN"/>
          <w:highlight w:val="auto"/>
        </w:rPr>
        <w:t>预算单位</w:t>
      </w:r>
      <w:r>
        <w:rPr>
          <w:rFonts w:ascii="Times New Roman" w:cs="Times New Roman" w:hAnsi="Times New Roman"/>
          <w:b w:val="0"/>
          <w:bCs w:val="0"/>
          <w:sz w:val="32"/>
          <w:szCs w:val="32"/>
          <w:lang w:val="en-US" w:eastAsia="zh-CN"/>
          <w:highlight w:val="auto"/>
        </w:rPr>
        <w:t>一般性支出</w:t>
      </w:r>
      <w:r>
        <w:rPr>
          <w:rFonts w:ascii="Times New Roman" w:cs="Times New Roman" w:hAnsi="Times New Roman" w:hint="eastAsia"/>
          <w:b w:val="0"/>
          <w:bCs w:val="0"/>
          <w:sz w:val="32"/>
          <w:szCs w:val="32"/>
          <w:lang w:val="en-US" w:eastAsia="zh-CN"/>
          <w:highlight w:val="auto"/>
        </w:rPr>
        <w:t>较上年有增加。</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sz w:val="32"/>
          <w:szCs w:val="32"/>
          <w:lang w:val="en-US" w:eastAsia="zh-CN"/>
          <w:highlight w:val="auto"/>
        </w:rPr>
      </w:pPr>
      <w:r>
        <w:rPr>
          <w:rFonts w:ascii="仿宋_GB2312" w:cs="仿宋_GB2312" w:hint="eastAsia"/>
          <w:b/>
          <w:bCs/>
          <w:sz w:val="32"/>
          <w:szCs w:val="32"/>
          <w:lang w:val="en-US" w:eastAsia="zh-CN"/>
          <w:highlight w:val="auto"/>
        </w:rPr>
        <w:t>3.</w:t>
      </w:r>
      <w:r>
        <w:rPr>
          <w:rFonts w:ascii="仿宋_GB2312" w:eastAsia="仿宋_GB2312" w:cs="仿宋_GB2312" w:hint="eastAsia"/>
          <w:b/>
          <w:bCs/>
          <w:sz w:val="32"/>
          <w:szCs w:val="32"/>
          <w:lang w:val="en-US" w:eastAsia="zh-CN"/>
          <w:highlight w:val="auto"/>
        </w:rPr>
        <w:t>部门整体预算执行进度不达标</w:t>
      </w:r>
      <w:r>
        <w:rPr>
          <w:rFonts w:ascii="Times New Roman" w:cs="Times New Roman" w:hAnsi="Times New Roman" w:hint="eastAsia"/>
          <w:b w:val="0"/>
          <w:bCs w:val="0"/>
          <w:sz w:val="32"/>
          <w:szCs w:val="32"/>
          <w:lang w:val="en-US" w:eastAsia="zh-CN"/>
          <w:highlight w:val="auto"/>
        </w:rPr>
        <w:t>。8个预算单位1-6月，1-10月部门</w:t>
      </w:r>
      <w:r>
        <w:rPr>
          <w:rFonts w:ascii="Times New Roman" w:cs="Times New Roman" w:hAnsi="Times New Roman"/>
          <w:sz w:val="32"/>
          <w:szCs w:val="32"/>
          <w:lang w:eastAsia="zh-CN"/>
          <w:highlight w:val="auto"/>
        </w:rPr>
        <w:t>预算执行</w:t>
      </w:r>
      <w:r>
        <w:rPr>
          <w:rFonts w:ascii="Times New Roman" w:eastAsia="仿宋_GB2312" w:cs="Times New Roman" w:hAnsi="Times New Roman"/>
          <w:sz w:val="32"/>
          <w:szCs w:val="32"/>
          <w:lang w:eastAsia="zh-CN"/>
          <w:highlight w:val="auto"/>
        </w:rPr>
        <w:t>未达到序时进度</w:t>
      </w:r>
      <w:r>
        <w:rPr>
          <w:rFonts w:ascii="Times New Roman" w:cs="Times New Roman" w:hAnsi="Times New Roman" w:hint="eastAsia"/>
          <w:b w:val="0"/>
          <w:bCs w:val="0"/>
          <w:sz w:val="32"/>
          <w:szCs w:val="32"/>
          <w:lang w:val="en-US"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4.资金使用不规范。</w:t>
      </w:r>
      <w:r>
        <w:rPr>
          <w:rFonts w:ascii="Times New Roman" w:cs="Times New Roman" w:hAnsi="Times New Roman" w:hint="eastAsia"/>
          <w:sz w:val="32"/>
          <w:szCs w:val="32"/>
          <w:lang w:val="en-US" w:eastAsia="zh-CN"/>
          <w:highlight w:val="auto"/>
        </w:rPr>
        <w:t>18个预算单位不同存在</w:t>
      </w:r>
      <w:r>
        <w:rPr>
          <w:rFonts w:ascii="Times New Roman" w:cs="Times New Roman" w:hAnsi="Times New Roman" w:hint="eastAsia"/>
          <w:b w:val="0"/>
          <w:bCs w:val="0"/>
          <w:sz w:val="32"/>
          <w:szCs w:val="32"/>
          <w:lang w:val="en-US" w:eastAsia="zh-CN"/>
          <w:highlight w:val="auto"/>
        </w:rPr>
        <w:t>费用跨期报销、费用报销依据不足、报销审批滞后、四是的报销发票开具不规范、、经济科目使用错误的问题。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5.人均资产变化率和财政收入增长率高于省不均标准</w:t>
      </w:r>
      <w:r>
        <w:rPr>
          <w:rFonts w:ascii="仿宋_GB2312" w:eastAsia="仿宋_GB2312" w:cs="仿宋_GB2312" w:hint="eastAsia"/>
          <w:b w:val="0"/>
          <w:bCs w:val="0"/>
          <w:sz w:val="32"/>
          <w:szCs w:val="32"/>
          <w:lang w:val="en-US" w:eastAsia="zh-CN"/>
          <w:highlight w:val="auto"/>
        </w:rPr>
        <w:t>。</w:t>
      </w:r>
      <w:r>
        <w:rPr>
          <w:rFonts w:ascii="Times New Roman" w:cs="Times New Roman" w:hAnsi="Times New Roman" w:hint="eastAsia"/>
          <w:b w:val="0"/>
          <w:bCs w:val="0"/>
          <w:sz w:val="32"/>
          <w:szCs w:val="32"/>
          <w:lang w:val="en-US" w:eastAsia="zh-CN"/>
          <w:highlight w:val="auto"/>
        </w:rPr>
        <w:t>9个预算单位的人均资产变化率高于省级6.88%，财政收入增长率高于省级12%。</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6.部门资产超最低使用年限资产利用率省级标准</w:t>
      </w:r>
      <w:r>
        <w:rPr>
          <w:rFonts w:ascii="Times New Roman" w:cs="Times New Roman" w:hAnsi="Times New Roman" w:hint="eastAsia"/>
          <w:b/>
          <w:bCs/>
          <w:sz w:val="32"/>
          <w:szCs w:val="32"/>
          <w:lang w:val="en-US" w:eastAsia="zh-CN"/>
          <w:highlight w:val="auto"/>
        </w:rPr>
        <w:t>。</w:t>
      </w:r>
      <w:r>
        <w:rPr>
          <w:rFonts w:ascii="Times New Roman" w:cs="Times New Roman" w:hAnsi="Times New Roman" w:hint="eastAsia"/>
          <w:b w:val="0"/>
          <w:bCs w:val="0"/>
          <w:sz w:val="32"/>
          <w:szCs w:val="32"/>
          <w:lang w:val="en-US" w:eastAsia="zh-CN"/>
          <w:highlight w:val="auto"/>
        </w:rPr>
        <w:t>20个预算单位的办公家具和办公设备超最低使用年限资产利用率低于省平均水平。</w:t>
      </w:r>
    </w:p>
    <w:p>
      <w:pPr>
        <w:pStyle w:val="2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textAlignment w:val="auto"/>
        <w:rPr>
          <w:rFonts w:ascii="Times New Roman" w:cs="Times New Roman" w:hAnsi="Times New Roman" w:hint="eastAsia"/>
          <w:sz w:val="32"/>
          <w:szCs w:val="32"/>
          <w:lang w:val="en-US" w:eastAsia="zh-CN"/>
          <w:highlight w:val="auto"/>
        </w:rPr>
      </w:pPr>
      <w:r>
        <w:rPr>
          <w:rFonts w:ascii="仿宋_GB2312" w:eastAsia="仿宋_GB2312" w:cs="仿宋_GB2312" w:hint="eastAsia"/>
          <w:b/>
          <w:bCs/>
          <w:sz w:val="32"/>
          <w:szCs w:val="32"/>
          <w:lang w:val="en-US" w:eastAsia="zh-CN"/>
          <w:highlight w:val="auto"/>
        </w:rPr>
        <w:t>7.问题整改不及时。</w:t>
      </w:r>
      <w:r>
        <w:rPr>
          <w:rFonts w:ascii="Times New Roman" w:eastAsia="仿宋_GB2312" w:cs="Times New Roman" w:hAnsi="Times New Roman" w:hint="eastAsia"/>
          <w:b w:val="0"/>
          <w:bCs w:val="0"/>
          <w:sz w:val="32"/>
          <w:szCs w:val="32"/>
          <w:lang w:val="en-US" w:eastAsia="zh-CN"/>
          <w:highlight w:val="auto"/>
        </w:rPr>
        <w:t>2023年固定资产清理专项审计，发现固定资产存在账实不符的情况，17个预算单位未完成整改。</w:t>
      </w:r>
    </w:p>
    <w:p>
      <w:pPr>
        <w:keepNext w:val="0"/>
        <w:keepLines w:val="0"/>
        <w:pageBreakBefore w:val="0"/>
        <w:widowControl/>
        <w:kinsoku/>
        <w:wordWrap/>
        <w:overflowPunct/>
        <w:topLinePunct w:val="0"/>
        <w:autoSpaceDE/>
        <w:autoSpaceDN/>
        <w:bidi w:val="0"/>
        <w:adjustRightInd/>
        <w:snapToGrid/>
        <w:spacing w:line="600" w:lineRule="exact"/>
        <w:ind w:left="0" w:right="0" w:firstLineChars="200" w:firstLine="632"/>
        <w:jc w:val="both"/>
        <w:textAlignment w:val="auto"/>
        <w:rPr>
          <w:rFonts w:cs="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8.绩效目标设置不规范</w:t>
      </w:r>
      <w:r>
        <w:rPr>
          <w:rFonts w:ascii="仿宋_GB2312" w:cs="仿宋_GB2312" w:hint="eastAsia"/>
          <w:b/>
          <w:bCs/>
          <w:sz w:val="32"/>
          <w:szCs w:val="32"/>
          <w:lang w:val="en-US" w:eastAsia="zh-CN"/>
          <w:highlight w:val="auto"/>
        </w:rPr>
        <w:t>。</w:t>
      </w:r>
      <w:r>
        <w:rPr>
          <w:rFonts w:ascii="Times New Roman" w:eastAsia="仿宋_GB2312" w:cs="Times New Roman" w:hAnsi="Times New Roman" w:hint="eastAsia"/>
          <w:sz w:val="32"/>
          <w:szCs w:val="32"/>
          <w:lang w:val="en-US" w:eastAsia="zh-CN"/>
          <w:highlight w:val="auto"/>
        </w:rPr>
        <w:t>个别项目存在绩效目标设置不合理、设置不够细化量化、设置不够完善等情况。</w:t>
      </w:r>
      <w:r>
        <w:rPr>
          <w:rFonts w:ascii="Times New Roman" w:eastAsia="仿宋_GB2312" w:cs="Times New Roman" w:hAnsi="Times New Roman" w:hint="eastAsia"/>
          <w:b w:val="0"/>
          <w:bCs w:val="0"/>
          <w:sz w:val="32"/>
          <w:szCs w:val="32"/>
          <w:lang w:val="en-US" w:eastAsia="zh-CN"/>
          <w:highlight w:val="auto"/>
        </w:rPr>
        <w:t>如金川县乡镇乡村振兴技能培训点建设项目，设置了社会成本指标“乡镇乡村振兴技能培训点建设资金标准”≤5万元/个，三级指标与二级指标不匹配，应为经济成本指标；金川县人民医院信息化建设及临床技能培训能力专项预算项目，绩效目标设置不能很好的体现项目应有的产出；2023年县级衔接资金（城乡居民基本医疗保险基金的补助），绩效目标表未设置时效指标</w:t>
      </w:r>
      <w:r>
        <w:rPr>
          <w:rFonts w:cs="Times New Roman" w:hint="eastAsia"/>
          <w:b w:val="0"/>
          <w:bCs w:val="0"/>
          <w:sz w:val="32"/>
          <w:szCs w:val="32"/>
          <w:lang w:val="en-US" w:eastAsia="zh-CN"/>
          <w:highlight w:val="auto"/>
        </w:rPr>
        <w:t>。</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Times New Roman" w:eastAsia="仿宋_GB2312" w:cs="Times New Roman" w:hAnsi="Times New Roman"/>
          <w:b w:val="0"/>
          <w:bCs w:val="0"/>
          <w:sz w:val="32"/>
          <w:szCs w:val="32"/>
          <w:lang w:val="en-US" w:eastAsia="zh-CN"/>
          <w:highlight w:val="auto"/>
        </w:rPr>
      </w:pPr>
      <w:r>
        <w:rPr>
          <w:rFonts w:ascii="仿宋_GB2312" w:cs="仿宋_GB2312" w:hint="eastAsia"/>
          <w:b/>
          <w:bCs/>
          <w:sz w:val="32"/>
          <w:szCs w:val="32"/>
          <w:lang w:val="en-US" w:eastAsia="zh-CN"/>
          <w:highlight w:val="auto"/>
        </w:rPr>
        <w:t>9.</w:t>
      </w:r>
      <w:r>
        <w:rPr>
          <w:rFonts w:ascii="仿宋_GB2312" w:eastAsia="仿宋_GB2312" w:cs="仿宋_GB2312" w:hint="eastAsia"/>
          <w:b/>
          <w:bCs/>
          <w:sz w:val="32"/>
          <w:szCs w:val="32"/>
          <w:lang w:val="en-US" w:eastAsia="zh-CN"/>
          <w:highlight w:val="auto"/>
        </w:rPr>
        <w:t>财务管理不规范</w:t>
      </w:r>
      <w:r>
        <w:rPr>
          <w:rFonts w:ascii="仿宋_GB2312" w:cs="仿宋_GB2312" w:hint="eastAsia"/>
          <w:b/>
          <w:bCs/>
          <w:sz w:val="32"/>
          <w:szCs w:val="32"/>
          <w:lang w:val="en-US" w:eastAsia="zh-CN"/>
          <w:highlight w:val="auto"/>
        </w:rPr>
        <w:t>。</w:t>
      </w:r>
      <w:r>
        <w:rPr>
          <w:rFonts w:ascii="Times New Roman" w:eastAsia="仿宋_GB2312" w:cs="Times New Roman" w:hAnsi="Times New Roman" w:hint="eastAsia"/>
          <w:b w:val="0"/>
          <w:bCs w:val="0"/>
          <w:sz w:val="32"/>
          <w:szCs w:val="32"/>
          <w:lang w:val="en-US" w:eastAsia="zh-CN"/>
          <w:highlight w:val="auto"/>
        </w:rPr>
        <w:t>个别项目存在资金提前支付、未批先付、多支付、未专款专用、支付依据矛盾、未将固定资产入固、发放不合理、支付对象不一致、资金支付不及时、记账不规范、审签不全、附件不齐、未按合同约定付款等情况。</w:t>
      </w:r>
    </w:p>
    <w:p>
      <w:pPr>
        <w:pStyle w:val="17"/>
        <w:keepNext w:val="0"/>
        <w:keepLines w:val="0"/>
        <w:pageBreakBefore w:val="0"/>
        <w:widowControl w:val="0"/>
        <w:tabs>
          <w:tab w:val="left" w:pos="2160"/>
        </w:tabs>
        <w:kinsoku/>
        <w:wordWrap/>
        <w:overflowPunct/>
        <w:topLinePunct w:val="0"/>
        <w:autoSpaceDE w:val="0"/>
        <w:autoSpaceDN w:val="0"/>
        <w:bidi w:val="0"/>
        <w:adjustRightInd/>
        <w:snapToGrid/>
        <w:spacing w:line="600" w:lineRule="exact"/>
        <w:ind w:firstLineChars="200" w:firstLine="632"/>
        <w:jc w:val="left"/>
        <w:textAlignment w:val="auto"/>
        <w:outlineLvl w:val="9"/>
        <w:rPr>
          <w:rFonts w:ascii="Times New Roman" w:eastAsia="仿宋_GB2312"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10.项目管理不规范</w:t>
      </w:r>
      <w:r>
        <w:rPr>
          <w:rFonts w:ascii="仿宋_GB2312" w:cs="仿宋_GB2312" w:hint="eastAsia"/>
          <w:b/>
          <w:bCs/>
          <w:sz w:val="32"/>
          <w:szCs w:val="32"/>
          <w:lang w:val="en-US" w:eastAsia="zh-CN"/>
          <w:highlight w:val="auto"/>
        </w:rPr>
        <w:t>。</w:t>
      </w:r>
      <w:r>
        <w:rPr>
          <w:rFonts w:ascii="Times New Roman" w:eastAsia="仿宋_GB2312" w:cs="Times New Roman" w:hAnsi="Times New Roman" w:hint="eastAsia"/>
          <w:b w:val="0"/>
          <w:bCs w:val="0"/>
          <w:sz w:val="32"/>
          <w:szCs w:val="32"/>
          <w:lang w:val="en-US" w:eastAsia="zh-CN"/>
          <w:highlight w:val="auto"/>
        </w:rPr>
        <w:t>个别项目存在项目磋商评分标准设置不合理、资料内容矛盾，供货商不符合要求、货物规格与要求不一致、时间不合逻辑、未进行公示、救助资金申报周期长、合同签订不规范、施工日志和监理日志填写不规范、验收资料不规范、档案资料不规范等情况。</w:t>
      </w:r>
    </w:p>
    <w:p>
      <w:pPr>
        <w:rPr>
          <w:rFonts w:ascii="楷体_GB2312" w:eastAsia="楷体_GB2312" w:cs="楷体_GB2312" w:hint="eastAsia"/>
          <w:b/>
          <w:bCs/>
          <w:lang w:val="en-US" w:eastAsia="zh-CN"/>
        </w:rPr>
      </w:pPr>
      <w:r>
        <w:rPr>
          <w:rFonts w:ascii="楷体_GB2312" w:eastAsia="楷体_GB2312" w:cs="楷体_GB2312" w:hint="eastAsia"/>
          <w:b/>
          <w:bCs/>
          <w:lang w:val="en-US" w:eastAsia="zh-CN"/>
        </w:rPr>
        <w:t xml:space="preserve">   （二）个性问题。</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Times New Roman" w:eastAsia="仿宋_GB2312" w:cs="Times New Roman" w:hAnsi="Times New Roman"/>
          <w:b w:val="0"/>
          <w:bCs w:val="0"/>
          <w:kern w:val="0"/>
          <w:position w:val="0"/>
          <w:sz w:val="32"/>
          <w:szCs w:val="32"/>
          <w:lang w:val="en-US" w:eastAsia="zh-CN"/>
          <w:highlight w:val="auto"/>
        </w:rPr>
      </w:pPr>
      <w:r>
        <w:rPr>
          <w:rFonts w:ascii="仿宋_GB2312" w:eastAsia="仿宋_GB2312" w:cs="仿宋_GB2312" w:hint="eastAsia"/>
          <w:b/>
          <w:bCs/>
          <w:color w:val="auto"/>
          <w:kern w:val="0"/>
          <w:position w:val="0"/>
          <w:sz w:val="32"/>
          <w:szCs w:val="32"/>
          <w:u w:val="none"/>
          <w:shd w:val="clear" w:color="auto" w:fill="auto"/>
          <w:lang w:val="en-US" w:eastAsia="zh-CN" w:bidi="zh-CN"/>
          <w:highlight w:val="auto"/>
        </w:rPr>
        <w:t>1.政策对象不精准</w:t>
      </w:r>
      <w:r>
        <w:rPr>
          <w:rFonts w:ascii="仿宋_GB2312" w:cs="仿宋_GB2312" w:hint="eastAsia"/>
          <w:b/>
          <w:bCs/>
          <w:color w:val="auto"/>
          <w:kern w:val="0"/>
          <w:position w:val="0"/>
          <w:sz w:val="32"/>
          <w:szCs w:val="32"/>
          <w:u w:val="none"/>
          <w:shd w:val="clear" w:color="auto" w:fill="auto"/>
          <w:lang w:val="en-US" w:eastAsia="zh-CN" w:bidi="zh-CN"/>
          <w:highlight w:val="auto"/>
        </w:rPr>
        <w:t>。</w:t>
      </w:r>
      <w:r>
        <w:rPr>
          <w:rFonts w:ascii="Times New Roman" w:eastAsia="仿宋_GB2312" w:cs="Times New Roman" w:hAnsi="Times New Roman" w:hint="eastAsia"/>
          <w:b w:val="0"/>
          <w:bCs w:val="0"/>
          <w:kern w:val="0"/>
          <w:position w:val="0"/>
          <w:sz w:val="32"/>
          <w:szCs w:val="32"/>
          <w:lang w:val="en-US" w:eastAsia="zh-CN"/>
          <w:highlight w:val="auto"/>
        </w:rPr>
        <w:t>个别项目存在公益性岗位聘用不规范、发放对象不精准的情况。如2023年中央财政林业草原生态保护恢复资金，金川县林业和草原局</w:t>
      </w:r>
      <w:r>
        <w:rPr>
          <w:rFonts w:ascii="Times New Roman" w:eastAsia="仿宋_GB2312" w:cs="Times New Roman" w:hAnsi="Times New Roman" w:hint="eastAsia"/>
          <w:b w:val="0"/>
          <w:bCs w:val="0"/>
          <w:sz w:val="32"/>
          <w:szCs w:val="32"/>
          <w:lang w:val="en-US" w:eastAsia="zh-CN"/>
          <w:highlight w:val="auto"/>
        </w:rPr>
        <w:t>2023年度</w:t>
      </w:r>
      <w:r>
        <w:rPr>
          <w:rFonts w:ascii="Times New Roman" w:eastAsia="仿宋_GB2312" w:cs="Times New Roman" w:hAnsi="Times New Roman" w:hint="eastAsia"/>
          <w:b w:val="0"/>
          <w:bCs w:val="0"/>
          <w:kern w:val="0"/>
          <w:position w:val="0"/>
          <w:sz w:val="32"/>
          <w:szCs w:val="32"/>
          <w:lang w:val="en-US" w:eastAsia="zh-CN"/>
          <w:highlight w:val="auto"/>
        </w:rPr>
        <w:t>聘用的724名护林（护草）员中陈树芳（身份证号：513226197409041625），服务期限2023年1月-2023年12月，负责对碉上到韩成贵门前林区进行管护，报酬为10,000.00元/年，截至目前已</w:t>
      </w:r>
      <w:r>
        <w:rPr>
          <w:rFonts w:ascii="Times New Roman" w:eastAsia="仿宋_GB2312" w:cs="Times New Roman" w:hAnsi="Times New Roman" w:hint="eastAsia"/>
          <w:b w:val="0"/>
          <w:bCs w:val="0"/>
          <w:sz w:val="32"/>
          <w:szCs w:val="32"/>
          <w:lang w:val="en-US" w:eastAsia="zh-CN"/>
          <w:highlight w:val="auto"/>
        </w:rPr>
        <w:t>兑付</w:t>
      </w:r>
      <w:r>
        <w:rPr>
          <w:rFonts w:ascii="Times New Roman" w:eastAsia="仿宋_GB2312" w:cs="Times New Roman" w:hAnsi="Times New Roman" w:hint="eastAsia"/>
          <w:b w:val="0"/>
          <w:bCs w:val="0"/>
          <w:kern w:val="0"/>
          <w:position w:val="0"/>
          <w:sz w:val="32"/>
          <w:szCs w:val="32"/>
          <w:lang w:val="en-US" w:eastAsia="zh-CN"/>
          <w:highlight w:val="auto"/>
        </w:rPr>
        <w:t>10,000.00元。经核实陈树芳在2023年2月7日开办了金川陈树芳小卖部运营至今，并于2023年10月在金川县公共就业和人才服务中心申报领取了2023年就业创业补助资金10,000.00元。</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Times New Roman" w:eastAsia="仿宋_GB2312" w:cs="Times New Roman" w:hAnsi="Times New Roman" w:hint="eastAsia"/>
          <w:b/>
          <w:bCs/>
          <w:sz w:val="32"/>
          <w:szCs w:val="32"/>
          <w:lang w:val="en-US" w:eastAsia="zh-CN"/>
          <w:highlight w:val="auto"/>
        </w:rPr>
      </w:pPr>
      <w:r>
        <w:rPr>
          <w:rFonts w:ascii="仿宋_GB2312" w:eastAsia="仿宋_GB2312" w:cs="仿宋_GB2312" w:hint="eastAsia"/>
          <w:b/>
          <w:bCs/>
          <w:color w:val="auto"/>
          <w:kern w:val="0"/>
          <w:position w:val="0"/>
          <w:sz w:val="32"/>
          <w:szCs w:val="32"/>
          <w:u w:val="none"/>
          <w:shd w:val="clear" w:color="auto" w:fill="auto"/>
          <w:lang w:val="en-US" w:eastAsia="zh-CN" w:bidi="zh-CN"/>
          <w:highlight w:val="auto"/>
        </w:rPr>
        <w:t>2.政策标准存在差异。</w:t>
      </w:r>
      <w:r>
        <w:rPr>
          <w:rFonts w:ascii="Times New Roman" w:eastAsia="仿宋_GB2312" w:cs="Times New Roman" w:hAnsi="Times New Roman" w:hint="eastAsia"/>
          <w:b w:val="0"/>
          <w:bCs w:val="0"/>
          <w:color w:val="auto"/>
          <w:kern w:val="0"/>
          <w:position w:val="0"/>
          <w:sz w:val="32"/>
          <w:szCs w:val="32"/>
          <w:u w:val="none"/>
          <w:shd w:val="clear" w:color="auto" w:fill="auto"/>
          <w:lang w:val="en-US" w:eastAsia="zh-CN" w:bidi="zh-CN"/>
          <w:highlight w:val="auto"/>
        </w:rPr>
        <w:t>如支持学前教育发展资金，“一村一幼”辅导员劳务报酬标准为2,500.00元/月，根据2023年12月临聘辅导员工资发放花名册共计189人，其中王志芬的标准为3,000.00元。</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Times New Roman" w:eastAsia="仿宋_GB2312"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3.项目目标未完成</w:t>
      </w:r>
      <w:r>
        <w:rPr>
          <w:rFonts w:ascii="仿宋_GB2312" w:cs="仿宋_GB2312" w:hint="eastAsia"/>
          <w:b/>
          <w:bCs/>
          <w:sz w:val="32"/>
          <w:szCs w:val="32"/>
          <w:lang w:val="en-US" w:eastAsia="zh-CN"/>
          <w:highlight w:val="auto"/>
        </w:rPr>
        <w:t>。</w:t>
      </w:r>
      <w:r>
        <w:rPr>
          <w:rFonts w:ascii="Times New Roman" w:eastAsia="仿宋_GB2312" w:cs="Times New Roman" w:hAnsi="Times New Roman" w:hint="eastAsia"/>
          <w:b w:val="0"/>
          <w:bCs w:val="0"/>
          <w:sz w:val="32"/>
          <w:szCs w:val="32"/>
          <w:lang w:val="en-US" w:eastAsia="zh-CN"/>
          <w:highlight w:val="auto"/>
        </w:rPr>
        <w:t>如金川县乡村振兴食品安全数字化监管系统项目完工（成）率66.67%；金川县干部人才培训项目（驻村第一书记及工作队队员培训）完工（成）率0%；大渡河右岸金川县沙耳段堤防工程项目完工（成）率66.67%。</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Times New Roman" w:eastAsia="仿宋_GB2312" w:cs="Times New Roman" w:hAnsi="Times New Roman"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4.项目完成不及时。</w:t>
      </w:r>
      <w:r>
        <w:rPr>
          <w:rFonts w:ascii="Times New Roman" w:eastAsia="仿宋_GB2312" w:cs="Times New Roman" w:hAnsi="Times New Roman" w:hint="eastAsia"/>
          <w:b w:val="0"/>
          <w:bCs w:val="0"/>
          <w:sz w:val="32"/>
          <w:szCs w:val="32"/>
          <w:lang w:val="en-US" w:eastAsia="zh-CN"/>
          <w:highlight w:val="auto"/>
        </w:rPr>
        <w:t>如金川县老街旅游基础设施建设项目，计划完成时间2022年8月5日至2023年12月17日，工期总日历天500天，实际完成时间2022年10月17日至2024年10月15日，工期总日历天730天；金川县人民医院“组团式”帮扶工作项目，计划完成时间2023年5月至2023年12月、实际完成时间2023年5月至2024年1月31日。</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仿宋_GB2312" w:eastAsia="仿宋_GB2312" w:cs="仿宋_GB2312"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5.项目验收不合格。</w:t>
      </w:r>
      <w:r>
        <w:rPr>
          <w:rFonts w:ascii="仿宋_GB2312" w:eastAsia="仿宋_GB2312" w:cs="仿宋_GB2312" w:hint="eastAsia"/>
          <w:b w:val="0"/>
          <w:bCs w:val="0"/>
          <w:sz w:val="32"/>
          <w:szCs w:val="32"/>
          <w:lang w:val="en-US" w:eastAsia="zh-CN"/>
          <w:highlight w:val="auto"/>
        </w:rPr>
        <w:t>如金川县老街旅游基础设施建设项目，于2024年10月15日经施工单位、监理单位、设计单位、建设单位验收，验收结论为“项目还需整改，具体整改内容见监理通知单”；金川县勒乌村活动阵地建设项目，于2023年8月25日经金川县勒乌镇人民政府自查验收院坝硬化1406平方米，2023年9月13日经金川县民政局验收提升改造院坝1360平方米。</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仿宋_GB2312" w:eastAsia="仿宋_GB2312" w:cs="仿宋_GB2312"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6.项目功能未实现。</w:t>
      </w:r>
      <w:r>
        <w:rPr>
          <w:rFonts w:ascii="仿宋_GB2312" w:eastAsia="仿宋_GB2312" w:cs="仿宋_GB2312" w:hint="eastAsia"/>
          <w:b w:val="0"/>
          <w:bCs w:val="0"/>
          <w:sz w:val="32"/>
          <w:szCs w:val="32"/>
          <w:lang w:val="en-US" w:eastAsia="zh-CN"/>
          <w:highlight w:val="auto"/>
        </w:rPr>
        <w:t>如马奈镇乡村振兴技能培训点建设项目，采购的户外帐篷存放于库房未使用、1个灯未安装、未见乡村振兴技能培训点标示牌；金川县勒乌村活动阵地建设项目，安装1套健身器材存在闲置且安装位置被垃圾桶占用的情况；金川县消防基础设施建设项目，建设安宁镇消防站尚未购置相关设施设备，截至绩效评价日处于闲置状态。</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Times New Roman" w:eastAsia="仿宋_GB2312" w:cs="Times New Roman" w:hAnsi="Times New Roman"/>
          <w:b/>
          <w:bCs/>
          <w:color w:val="auto"/>
          <w:kern w:val="0"/>
          <w:position w:val="0"/>
          <w:sz w:val="32"/>
          <w:szCs w:val="32"/>
          <w:u w:val="none"/>
          <w:shd w:val="clear" w:color="auto" w:fill="auto"/>
          <w:lang w:val="en-US" w:eastAsia="zh-CN" w:bidi="zh-CN"/>
          <w:highlight w:val="auto"/>
        </w:rPr>
      </w:pPr>
      <w:r>
        <w:rPr>
          <w:rFonts w:ascii="仿宋_GB2312" w:eastAsia="仿宋_GB2312" w:cs="仿宋_GB2312" w:hint="eastAsia"/>
          <w:b/>
          <w:bCs/>
          <w:sz w:val="32"/>
          <w:szCs w:val="32"/>
          <w:lang w:val="en-US" w:eastAsia="zh-CN"/>
          <w:highlight w:val="auto"/>
        </w:rPr>
        <w:t>7.未制定后续管护机制，个别项目后续管护不到位。</w:t>
      </w:r>
      <w:r>
        <w:rPr>
          <w:rFonts w:ascii="Times New Roman" w:eastAsia="仿宋_GB2312" w:cs="Times New Roman" w:hAnsi="Times New Roman" w:hint="eastAsia"/>
          <w:b w:val="0"/>
          <w:bCs w:val="0"/>
          <w:sz w:val="32"/>
          <w:szCs w:val="32"/>
          <w:lang w:val="en-US" w:eastAsia="zh-CN"/>
          <w:highlight w:val="auto"/>
        </w:rPr>
        <w:t>如金川县二嘎里乡二嘎里村产业试点项目，档案资料中无该项目后续管护制度，未明确项目实施完成后雪菊的销售收益归属及后续工作内容；金川县咯尔乡复兴村美丽乡村综合提升项目，周边区域未得到及时管护，周围杂草较多；金川县勒乌镇金马坪村民族村寨旅游房屋功能性提升改造（原大坪村）项目，存在房屋墙面粉刷脱落的情况。</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仿宋_GB2312" w:eastAsia="仿宋_GB2312" w:cs="仿宋_GB2312" w:hint="eastAsia"/>
          <w:b/>
          <w:bCs/>
          <w:sz w:val="32"/>
          <w:szCs w:val="32"/>
          <w:lang w:val="en-US" w:eastAsia="zh-CN"/>
          <w:highlight w:val="auto"/>
        </w:rPr>
      </w:pPr>
      <w:r>
        <w:rPr>
          <w:rFonts w:ascii="仿宋_GB2312" w:eastAsia="仿宋_GB2312" w:cs="仿宋_GB2312" w:hint="eastAsia"/>
          <w:b/>
          <w:bCs/>
          <w:sz w:val="32"/>
          <w:szCs w:val="32"/>
          <w:lang w:val="en-US" w:eastAsia="zh-CN"/>
          <w:highlight w:val="auto"/>
        </w:rPr>
        <w:t>8.资金使用效益未达预期。</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ascii="仿宋_GB2312" w:eastAsia="仿宋_GB2312" w:cs="仿宋_GB2312" w:hint="eastAsia"/>
          <w:b w:val="0"/>
          <w:bCs w:val="0"/>
          <w:sz w:val="32"/>
          <w:szCs w:val="32"/>
          <w:lang w:val="en-US" w:eastAsia="zh-CN"/>
          <w:highlight w:val="auto"/>
        </w:rPr>
      </w:pPr>
      <w:r>
        <w:rPr>
          <w:rFonts w:ascii="仿宋_GB2312" w:eastAsia="仿宋_GB2312" w:cs="仿宋_GB2312" w:hint="eastAsia"/>
          <w:b/>
          <w:bCs/>
          <w:sz w:val="32"/>
          <w:szCs w:val="32"/>
          <w:lang w:val="en-US" w:eastAsia="zh-CN"/>
          <w:highlight w:val="auto"/>
        </w:rPr>
        <w:t>（1）经济效益发挥不佳。</w:t>
      </w:r>
      <w:r>
        <w:rPr>
          <w:rFonts w:ascii="仿宋_GB2312" w:eastAsia="仿宋_GB2312" w:cs="仿宋_GB2312" w:hint="eastAsia"/>
          <w:b w:val="0"/>
          <w:bCs w:val="0"/>
          <w:sz w:val="32"/>
          <w:szCs w:val="32"/>
          <w:lang w:val="en-US" w:eastAsia="zh-CN"/>
          <w:highlight w:val="auto"/>
        </w:rPr>
        <w:t>2023年第二批浙江援建金川县特色养殖业发展项目，截至绩效评价日产业园未出售过胡羊，暂未产生收益，由于目前产业园尚处于发展阶段，无法体现对村民收入的带动作用，无法深入打造绿色湖羊品牌；2023年省级财政乡村振兴共同财政事权转移支付资金项目，红米种植4亩因受大风灾害，颗粒无收，历年试点种植收获的红米用于宣传及留种全部消耗完毕，未产生实际经济收益，因此未进行集体分红，修建的旅游设施目前尚处于寻找经营主体的阶段，未对外开放，因此未产生实际经济收益，未进行集体分红。</w:t>
      </w:r>
    </w:p>
    <w:p>
      <w:pPr>
        <w:keepNext w:val="0"/>
        <w:keepLines w:val="0"/>
        <w:pageBreakBefore w:val="0"/>
        <w:widowControl/>
        <w:kinsoku/>
        <w:wordWrap/>
        <w:overflowPunct/>
        <w:topLinePunct w:val="0"/>
        <w:autoSpaceDE/>
        <w:autoSpaceDN/>
        <w:bidi w:val="0"/>
        <w:adjustRightInd/>
        <w:snapToGrid/>
        <w:spacing w:line="600" w:lineRule="exact"/>
        <w:ind w:right="0" w:firstLineChars="200" w:firstLine="632"/>
        <w:jc w:val="both"/>
        <w:textAlignment w:val="auto"/>
        <w:rPr>
          <w:rFonts w:hint="eastAsia"/>
          <w:lang w:val="en-US" w:eastAsia="zh-CN"/>
        </w:rPr>
      </w:pPr>
      <w:r>
        <w:rPr>
          <w:rFonts w:ascii="仿宋_GB2312" w:eastAsia="仿宋_GB2312" w:cs="仿宋_GB2312" w:hint="eastAsia"/>
          <w:b/>
          <w:bCs/>
          <w:sz w:val="32"/>
          <w:szCs w:val="32"/>
          <w:lang w:val="en-US" w:eastAsia="zh-CN"/>
          <w:highlight w:val="auto"/>
        </w:rPr>
        <w:t>（2）使用效果未达预期。</w:t>
      </w:r>
      <w:r>
        <w:rPr>
          <w:rFonts w:ascii="仿宋_GB2312" w:eastAsia="仿宋_GB2312" w:cs="仿宋_GB2312" w:hint="eastAsia"/>
          <w:b w:val="0"/>
          <w:bCs w:val="0"/>
          <w:sz w:val="32"/>
          <w:szCs w:val="32"/>
          <w:lang w:val="en-US" w:eastAsia="zh-CN"/>
          <w:highlight w:val="auto"/>
        </w:rPr>
        <w:t>如金川县安宁镇数字乡村二期建设项目（2023年），涉及移动侦测枪机6支，其中2支无法正常显示；应急监控球机2支，其中1支无法正常显示；金川县乡村振兴食品安全数字化监管系统项目，共安装80个点位，可实现实时监控覆盖共计80家大中型餐饮服务单位，但现场实地查看时，有65个点位摄像头无法正常运作，导致实际能够传输实时监控画面的点位为15个。</w:t>
      </w:r>
    </w:p>
    <w:p>
      <w:pPr>
        <w:keepNext w:val="0"/>
        <w:keepLines w:val="0"/>
        <w:pageBreakBefore w:val="0"/>
        <w:widowControl w:val="0"/>
        <w:kinsoku/>
        <w:wordWrap/>
        <w:overflowPunct/>
        <w:topLinePunct w:val="0"/>
        <w:autoSpaceDE/>
        <w:autoSpaceDN/>
        <w:bidi w:val="0"/>
        <w:adjustRightInd/>
        <w:snapToGrid/>
        <w:spacing w:line="560" w:lineRule="exact"/>
        <w:ind w:firstLineChars="400" w:firstLine="1264"/>
        <w:jc w:val="both"/>
        <w:textAlignment w:val="auto"/>
        <w:rPr>
          <w:rFonts w:eastAsia="方正仿宋_GBK" w:cs="Times New Roman" w:hint="eastAsia"/>
          <w:bCs/>
          <w:color w:val="000000"/>
          <w:sz w:val="32"/>
          <w:szCs w:val="32"/>
          <w:lang w:val="en-US" w:eastAsia="zh-CN" w:bidi="ar-SA"/>
        </w:rPr>
      </w:pPr>
      <w:r>
        <w:rPr>
          <w:rFonts w:eastAsia="方正仿宋_GBK" w:cs="Times New Roman" w:hint="eastAsia"/>
          <w:bCs/>
          <w:color w:val="000000"/>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Chars="400" w:firstLine="1264"/>
        <w:jc w:val="both"/>
        <w:textAlignment w:val="auto"/>
        <w:rPr>
          <w:rFonts w:eastAsia="方正仿宋_GBK" w:cs="Times New Roman" w:hint="eastAsia"/>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264"/>
        <w:jc w:val="both"/>
        <w:textAlignment w:val="auto"/>
        <w:rPr>
          <w:rFonts w:eastAsia="方正仿宋_GBK" w:cs="Times New Roman" w:hint="eastAsia"/>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264"/>
        <w:jc w:val="both"/>
        <w:textAlignment w:val="auto"/>
        <w:rPr>
          <w:rFonts w:eastAsia="方正仿宋_GBK" w:cs="Times New Roman" w:hint="eastAsia"/>
          <w:bCs/>
          <w:color w:val="000000"/>
          <w:sz w:val="32"/>
          <w:szCs w:val="32"/>
          <w:lang w:val="en-US" w:eastAsia="zh-CN" w:bidi="ar-SA"/>
        </w:rPr>
      </w:pPr>
    </w:p>
    <w:p>
      <w:pPr>
        <w:pStyle w:val="15"/>
        <w:rPr>
          <w:rFonts w:eastAsia="方正仿宋_GBK" w:cs="Times New Roman" w:hint="eastAsia"/>
          <w:bCs/>
          <w:color w:val="000000"/>
          <w:sz w:val="32"/>
          <w:szCs w:val="32"/>
          <w:lang w:val="en-US" w:eastAsia="zh-CN" w:bidi="ar-SA"/>
        </w:rPr>
      </w:pPr>
    </w:p>
    <w:p>
      <w:pPr>
        <w:rPr>
          <w:rFonts w:eastAsia="方正仿宋_GBK" w:cs="Times New Roman" w:hint="eastAsia"/>
          <w:bCs/>
          <w:color w:val="000000"/>
          <w:sz w:val="32"/>
          <w:szCs w:val="32"/>
          <w:lang w:val="en-US" w:eastAsia="zh-CN" w:bidi="ar-SA"/>
        </w:rPr>
      </w:pPr>
    </w:p>
    <w:p>
      <w:pPr>
        <w:pStyle w:val="15"/>
        <w:rPr>
          <w:rFonts w:eastAsia="方正仿宋_GBK" w:cs="Times New Roman" w:hint="eastAsia"/>
          <w:bCs/>
          <w:color w:val="000000"/>
          <w:sz w:val="32"/>
          <w:szCs w:val="32"/>
          <w:lang w:val="en-US" w:eastAsia="zh-CN" w:bidi="ar-SA"/>
        </w:rPr>
      </w:pPr>
    </w:p>
    <w:p>
      <w:pPr>
        <w:rPr>
          <w:rFonts w:eastAsia="方正仿宋_GBK" w:cs="Times New Roman" w:hint="eastAsia"/>
          <w:bCs/>
          <w:color w:val="000000"/>
          <w:sz w:val="32"/>
          <w:szCs w:val="32"/>
          <w:lang w:val="en-US" w:eastAsia="zh-CN" w:bidi="ar-SA"/>
        </w:rPr>
      </w:pPr>
    </w:p>
    <w:p>
      <w:pPr>
        <w:pStyle w:val="15"/>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264"/>
        <w:jc w:val="both"/>
        <w:textAlignment w:val="auto"/>
        <w:rPr>
          <w:rFonts w:ascii="Times New Roman" w:eastAsia="方正仿宋_GBK" w:cs="Times New Roman" w:hAnsi="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264"/>
        <w:jc w:val="both"/>
        <w:textAlignment w:val="auto"/>
        <w:rPr>
          <w:rFonts w:ascii="Times New Roman" w:eastAsia="方正仿宋_GBK" w:cs="Times New Roman" w:hAnsi="Times New Roman"/>
          <w:bCs/>
          <w:color w:val="000000"/>
          <w:sz w:val="32"/>
          <w:szCs w:val="32"/>
          <w:lang w:val="en-US" w:eastAsia="zh-CN" w:bidi="ar-SA"/>
        </w:rPr>
      </w:pPr>
    </w:p>
    <w:p>
      <w:pPr>
        <w:rPr>
          <w:lang w:val="en-US" w:eastAsia="zh-CN"/>
        </w:rPr>
      </w:pPr>
    </w:p>
    <w:sectPr>
      <w:footerReference w:type="default" r:id="rId2"/>
      <w:pgSz w:w="11906" w:h="16838"/>
      <w:pgMar w:top="2098" w:right="1474" w:bottom="1984" w:left="1587" w:header="851" w:footer="992" w:gutter="0"/>
      <w:pgNumType w:fmt="numberInDash" w:start="1"/>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Times New Roman">
    <w:panose1 w:val="02020603050405020304"/>
    <w:charset w:val="BA"/>
    <w:family w:val="auto"/>
    <w:pitch w:val="variable"/>
    <w:sig w:usb0="E0002AFF" w:usb1="C0007841" w:usb2="00000009" w:usb3="00000000" w:csb0="400001FF" w:csb1="FFFF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2"/>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20"/>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2 3" o:spid="_x0000_s3" filled="f" stroked="f" strokeweight="0.5pt" style="position:absolute;margin-left:0.0pt;margin-top:0.0pt;width:34.999985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0"/>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53FD667"/>
    <w:multiLevelType w:val="singleLevel"/>
    <w:tmpl w:val="B53FD667"/>
    <w:lvl w:ilvl="0">
      <w:start w:val="2"/>
      <w:numFmt w:val="decimal"/>
      <w:lvlRestart w:val="0"/>
      <w:suff w:val="nothing"/>
      <w:lvlText w:val="（%1）"/>
      <w:lvlJc w:val="left"/>
      <w:pPr>
        <w:tabs>
          <w:tab w:val="num" w:pos="0"/>
        </w:tabs>
        <w:ind w:left="0" w:hanging="0"/>
      </w:pPr>
    </w:lvl>
  </w:abstractNum>
  <w:abstractNum w:abstractNumId="1">
    <w:nsid w:val="E177A956"/>
    <w:multiLevelType w:val="singleLevel"/>
    <w:tmpl w:val="E177A956"/>
    <w:lvl w:ilvl="0">
      <w:start w:val="1"/>
      <w:numFmt w:val="decimal"/>
      <w:lvlRestart w:val="0"/>
      <w:suff w:val="nothing"/>
      <w:lvlText w:val="（%1）"/>
      <w:lvlJc w:val="left"/>
      <w:pPr>
        <w:tabs>
          <w:tab w:val="num" w:pos="0"/>
        </w:tabs>
        <w:ind w:left="0" w:hanging="0"/>
      </w:pPr>
    </w:lvl>
  </w:abstractNum>
  <w:abstractNum w:abstractNumId="2">
    <w:nsid w:val="EE42EEF4"/>
    <w:multiLevelType w:val="singleLevel"/>
    <w:tmpl w:val="EE42EEF4"/>
    <w:lvl w:ilvl="0">
      <w:start w:val="1"/>
      <w:numFmt w:val="decimal"/>
      <w:lvlRestart w:val="0"/>
      <w:suff w:val="nothing"/>
      <w:lvlText w:val="（%1）"/>
      <w:lvlJc w:val="left"/>
      <w:pPr>
        <w:tabs>
          <w:tab w:val="num" w:pos="0"/>
        </w:tabs>
        <w:ind w:left="0" w:hanging="0"/>
      </w:pPr>
    </w:lvl>
  </w:abstractNum>
  <w:abstractNum w:abstractNumId="3">
    <w:nsid w:val="B0323227"/>
    <w:multiLevelType w:val="singleLevel"/>
    <w:tmpl w:val="B0323227"/>
    <w:lvl w:ilvl="0">
      <w:start w:val="1"/>
      <w:numFmt w:val="decimal"/>
      <w:lvlRestart w:val="0"/>
      <w:suff w:val="nothing"/>
      <w:lvlText w:val="（%1）"/>
      <w:lvlJc w:val="left"/>
      <w:pPr>
        <w:tabs>
          <w:tab w:val="num" w:pos="0"/>
        </w:tabs>
        <w:ind w:left="0" w:hanging="0"/>
      </w:pPr>
    </w:lvl>
  </w:abstractNum>
  <w:abstractNum w:abstractNumId="4">
    <w:nsid w:val="81B85918"/>
    <w:multiLevelType w:val="singleLevel"/>
    <w:tmpl w:val="81B85918"/>
    <w:lvl w:ilvl="0">
      <w:start w:val="1"/>
      <w:numFmt w:val="decimal"/>
      <w:lvlRestart w:val="0"/>
      <w:suff w:val="nothing"/>
      <w:lvlText w:val="（%1）"/>
      <w:lvlJc w:val="left"/>
      <w:pPr>
        <w:tabs>
          <w:tab w:val="num" w:pos="0"/>
        </w:tabs>
        <w:ind w:left="0" w:hanging="0"/>
      </w:pPr>
    </w:lvl>
  </w:abstractNum>
  <w:abstractNum w:abstractNumId="5">
    <w:nsid w:val="9AD9A348"/>
    <w:multiLevelType w:val="singleLevel"/>
    <w:tmpl w:val="9AD9A348"/>
    <w:lvl w:ilvl="0">
      <w:start w:val="4"/>
      <w:numFmt w:val="chineseCounting"/>
      <w:lvlRestart w:val="0"/>
      <w:suff w:val="nothing"/>
      <w:lvlText w:val="（%1）"/>
      <w:lvlJc w:val="left"/>
      <w:pPr>
        <w:tabs>
          <w:tab w:val="num" w:pos="0"/>
        </w:tabs>
        <w:ind w:left="631"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Q3NDA5YzJiMGRmN2ZlM2I4MDA4MDE3NjdhMzRm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_GB2312" w:cs="Times New Roman" w:hAnsi="Times New Roman"/>
      <w:kern w:val="2"/>
      <w:sz w:val="32"/>
      <w:szCs w:val="30"/>
      <w:lang w:val="en-US" w:eastAsia="zh-CN" w:bidi="ar-SA"/>
    </w:rPr>
  </w:style>
  <w:style w:type="paragraph" w:styleId="1">
    <w:name w:val="heading 1"/>
    <w:basedOn w:val="0"/>
    <w:next w:val="0"/>
    <w:pPr>
      <w:keepNext/>
      <w:keepLines/>
      <w:widowControl w:val="0"/>
      <w:spacing w:beforeAutospacing="0" w:afterAutospacing="0" w:line="560" w:lineRule="exact"/>
      <w:jc w:val="center"/>
      <w:outlineLvl w:val="0"/>
    </w:pPr>
    <w:rPr>
      <w:rFonts w:ascii="Calibri" w:eastAsia="方正小标宋简体" w:hAnsi="Calibri"/>
      <w:kern w:val="44"/>
      <w:sz w:val="44"/>
    </w:rPr>
  </w:style>
  <w:style w:type="paragraph" w:styleId="2">
    <w:name w:val="heading 2"/>
    <w:basedOn w:val="0"/>
    <w:next w:val="0"/>
    <w:pPr>
      <w:keepNext/>
      <w:keepLines/>
      <w:widowControl w:val="0"/>
      <w:spacing w:beforeAutospacing="0" w:afterAutospacing="0" w:line="560" w:lineRule="exact"/>
      <w:ind w:firstLineChars="200" w:firstLine="200"/>
      <w:outlineLvl w:val="1"/>
    </w:pPr>
    <w:rPr>
      <w:rFonts w:ascii="Arial" w:eastAsia="黑体" w:cs="Times New Roman" w:hAnsi="Arial"/>
      <w:sz w:val="32"/>
    </w:rPr>
  </w:style>
  <w:style w:type="paragraph" w:styleId="3">
    <w:name w:val="heading 3"/>
    <w:basedOn w:val="0"/>
    <w:next w:val="0"/>
    <w:pPr>
      <w:keepNext/>
      <w:keepLines/>
      <w:widowControl w:val="0"/>
      <w:spacing w:before="260" w:beforeAutospacing="0" w:after="260" w:afterAutospacing="0" w:line="560" w:lineRule="exact"/>
      <w:ind w:firstLineChars="200" w:firstLine="200"/>
      <w:outlineLvl w:val="2"/>
    </w:pPr>
    <w:rPr>
      <w:rFonts w:ascii="Times New Roman" w:eastAsia="楷体_GB2312" w:cs="Times New Roman" w:hAnsi="Times New Roman"/>
      <w:b/>
      <w:sz w:val="32"/>
    </w:rPr>
  </w:style>
  <w:style w:type="paragraph" w:styleId="4">
    <w:name w:val="heading 4"/>
    <w:basedOn w:val="0"/>
    <w:next w:val="0"/>
    <w:pPr>
      <w:keepNext/>
      <w:keepLines/>
      <w:widowControl w:val="0"/>
      <w:spacing w:before="280" w:beforeAutospacing="0" w:after="290" w:afterAutospacing="0" w:line="560" w:lineRule="exact"/>
      <w:ind w:firstLineChars="200" w:firstLine="200"/>
      <w:outlineLvl w:val="3"/>
    </w:pPr>
    <w:rPr>
      <w:rFonts w:ascii="Arial" w:eastAsia="仿宋_GB2312" w:hAnsi="Arial"/>
      <w:b/>
      <w:sz w:val="32"/>
    </w:rPr>
  </w:style>
  <w:style w:type="character" w:default="1" w:styleId="10">
    <w:name w:val="Default Paragraph Font"/>
  </w:style>
  <w:style w:type="paragraph" w:styleId="15">
    <w:name w:val="Salutation"/>
    <w:basedOn w:val="0"/>
    <w:next w:val="0"/>
  </w:style>
  <w:style w:type="paragraph" w:styleId="16">
    <w:name w:val="index 5"/>
    <w:basedOn w:val="0"/>
    <w:next w:val="0"/>
    <w:pPr>
      <w:ind w:left="1680"/>
    </w:pPr>
  </w:style>
  <w:style w:type="paragraph" w:styleId="17">
    <w:name w:val="Body Text"/>
    <w:basedOn w:val="0"/>
    <w:next w:val="0"/>
    <w:pPr>
      <w:spacing w:after="120" w:afterAutospacing="0"/>
    </w:pPr>
  </w:style>
  <w:style w:type="paragraph" w:styleId="18">
    <w:name w:val="Body Text 2"/>
    <w:basedOn w:val="0"/>
    <w:rPr>
      <w:sz w:val="28"/>
    </w:rPr>
  </w:style>
  <w:style w:type="paragraph" w:styleId="19">
    <w:name w:val="Body Text Indent"/>
    <w:basedOn w:val="18"/>
    <w:pPr>
      <w:ind w:firstLineChars="200" w:firstLine="200"/>
    </w:pPr>
    <w:rPr>
      <w:rFonts w:ascii="宋体" w:hAnsi="宋体"/>
    </w:rPr>
  </w:style>
  <w:style w:type="paragraph" w:styleId="20">
    <w:name w:val="footer"/>
    <w:basedOn w:val="0"/>
    <w:pPr>
      <w:tabs>
        <w:tab w:val="center" w:pos="4153"/>
        <w:tab w:val="right" w:pos="8306"/>
      </w:tabs>
      <w:snapToGrid w:val="0"/>
      <w:jc w:val="left"/>
    </w:pPr>
    <w:rPr>
      <w:sz w:val="18"/>
    </w:rPr>
  </w:style>
  <w:style w:type="paragraph" w:styleId="21">
    <w:name w:val="Body Text First Indent 2"/>
    <w:basedOn w:val="19"/>
  </w:style>
  <w:style w:type="paragraph" w:styleId="22">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3">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1</Pages>
  <Words>19</Words>
  <Characters>22</Characters>
  <Lines>1</Lines>
  <Paragraphs>0</Paragraphs>
  <CharactersWithSpaces>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Seven-nine </dc:creator>
  <cp:lastModifiedBy>user</cp:lastModifiedBy>
  <cp:revision>1</cp:revision>
  <cp:lastPrinted>2024-01-08T08:48:00Z</cp:lastPrinted>
  <dcterms:created xsi:type="dcterms:W3CDTF">2022-04-26T08:20:00Z</dcterms:created>
  <dcterms:modified xsi:type="dcterms:W3CDTF">2025-08-25T03:10:10Z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y fmtid="{D5CDD505-2E9C-101B-9397-08002B2CF9AE}" pid="3" name="ICV">
    <vt:lpwstr>CC1DDB50708D418FB33D52F99E3893E3</vt:lpwstr>
  </property>
  <property fmtid="{D5CDD505-2E9C-101B-9397-08002B2CF9AE}" pid="4" name="KSOTemplateDocerSaveRecord">
    <vt:lpwstr>eyJoZGlkIjoiOTE2ZDllODRiODE2ZDJhYjhiNzIxNGU1Mjk2ZDY5YmQiLCJ1c2VySWQiOiI0NDY1MjUyNDgifQ==</vt:lpwstr>
  </property>
</Properties>
</file>