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 w:cs="方正小标宋简体"/>
          <w:sz w:val="44"/>
          <w:szCs w:val="44"/>
          <w:lang w:val="en-US" w:eastAsia="zh-CN"/>
        </w:rPr>
        <w:t>金川县财政局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 w:cs="方正小标宋简体"/>
          <w:sz w:val="44"/>
          <w:szCs w:val="44"/>
          <w:lang w:val="en-US" w:eastAsia="zh-CN"/>
        </w:rPr>
        <w:t>关于金川县2025年政府预算重大政策和重点项目绩效目标的情况说明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为深入贯彻落实党中央、国务院和省委、省政府关于全面实施预算绩效管理的决策部署，强化预算约束和绩效管理，切实加强预算绩效管理全过程跟踪问效，提高财政资金配置、使用效率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根据《中共四川省委办公厅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>四川省人民政府办公厅关于深入推进实施预算绩效管理的通知》(川委厅〔202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仿宋_GB2312" w:cs="Times New Roman"/>
          <w:sz w:val="32"/>
          <w:szCs w:val="32"/>
        </w:rPr>
        <w:t>〕5号)，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将</w:t>
      </w:r>
      <w:r>
        <w:rPr>
          <w:rFonts w:ascii="Times New Roman" w:hAnsi="Times New Roman" w:eastAsia="仿宋_GB2312" w:cs="Times New Roman"/>
          <w:bCs/>
          <w:color w:val="000000"/>
          <w:spacing w:val="0"/>
          <w:kern w:val="2"/>
          <w:sz w:val="32"/>
          <w:szCs w:val="32"/>
          <w:highlight w:val="none"/>
          <w:lang w:val="en-US" w:eastAsia="zh-CN" w:bidi="ar-SA"/>
        </w:rPr>
        <w:t>绩效目标作为预算安排的前置条件，加强绩效目标审核，并将绩效目标与预算同步上会、同步批复、同步公开，主动接受社会监督，切实做到</w:t>
      </w:r>
      <w:r>
        <w:rPr>
          <w:rFonts w:ascii="Times New Roman" w:hAnsi="Times New Roman" w:eastAsia="仿宋_GB2312" w:cs="Times New Roman"/>
          <w:color w:val="000000"/>
          <w:sz w:val="32"/>
          <w:szCs w:val="32"/>
          <w:highlight w:val="none"/>
          <w:lang w:eastAsia="zh-CN" w:bidi="ar-SA"/>
        </w:rPr>
        <w:t>“花钱必问效、无效必追责”。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现将202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仿宋_GB2312" w:cs="Times New Roman"/>
          <w:sz w:val="32"/>
          <w:szCs w:val="32"/>
          <w:lang w:val="en-US" w:eastAsia="zh-CN"/>
        </w:rPr>
        <w:t>年预算编审阶段，预算绩效目标管理工作开展情况说明如下：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 w:ascii="黑体" w:eastAsia="黑体" w:cs="黑体"/>
          <w:b/>
          <w:bCs/>
          <w:sz w:val="32"/>
          <w:szCs w:val="32"/>
        </w:rPr>
      </w:pPr>
      <w:r>
        <w:rPr>
          <w:rFonts w:hint="eastAsia" w:ascii="黑体" w:eastAsia="黑体" w:cs="黑体"/>
          <w:b/>
          <w:bCs/>
          <w:sz w:val="32"/>
          <w:szCs w:val="32"/>
          <w:lang w:eastAsia="zh-CN"/>
        </w:rPr>
        <w:t>切实做好</w:t>
      </w:r>
      <w:r>
        <w:rPr>
          <w:rFonts w:hint="eastAsia" w:ascii="黑体" w:eastAsia="黑体" w:cs="黑体"/>
          <w:b/>
          <w:bCs/>
          <w:sz w:val="32"/>
          <w:szCs w:val="32"/>
        </w:rPr>
        <w:t>事前绩效评估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/>
          <w:lang w:val="en-US"/>
        </w:rPr>
      </w:pPr>
      <w:r>
        <w:rPr>
          <w:rFonts w:hint="eastAsia" w:ascii="仿宋_GB2312" w:eastAsia="仿宋_GB2312" w:cs="仿宋_GB2312"/>
          <w:sz w:val="32"/>
          <w:szCs w:val="32"/>
        </w:rPr>
        <w:t>将绩效关口前移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，对于纳入年初预算的</w:t>
      </w:r>
      <w:r>
        <w:rPr>
          <w:rFonts w:hint="eastAsia" w:ascii="Times New Roman" w:hAnsi="Times New Roman" w:eastAsia="方正仿宋_GBK" w:cs="Times New Roman"/>
          <w:bCs/>
          <w:color w:val="000000"/>
          <w:sz w:val="32"/>
          <w:szCs w:val="32"/>
          <w:lang w:val="en-US" w:eastAsia="zh-CN" w:bidi="ar-SA"/>
        </w:rPr>
        <w:t>167个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部门（单位）特定目标项目，部门（单位）针对</w:t>
      </w:r>
      <w:r>
        <w:rPr>
          <w:rFonts w:hint="eastAsia" w:ascii="仿宋_GB2312" w:eastAsia="仿宋_GB2312" w:cs="仿宋_GB2312"/>
          <w:sz w:val="32"/>
          <w:szCs w:val="32"/>
        </w:rPr>
        <w:t>项目立项必要性、投入经济性、目标合理性、实施可行性、筹资合规性等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开展了事前绩效评估工作，并将评估报告上传至“预算管理一体化系统”，经业务科室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-监督与绩效管理股-预算股审核通过。县级财政部门按《金川县县级预算事前绩效评估管理暂行办法》要求，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重点抽取了干部人事档案数字化建设、基层党建活动经费、网格化服务管理保障经费、高中生均公用经费、2025年义务教育生均公用经费、尊师重教激励金、福利中心运行经费、金川县政府专职队伙食费、金川县城镇环卫作业等服务采购项目等9个项目，委托三方机构开展预算项目事前绩效评估，项目涉及资金2,449.54万元，其中基层党建活动经费260万元和金川县城镇环卫作业等服务采购项目615.98万元2个项目，因必要性不充分，可行性不足，未编制详细工作实施方案和项目计划，无成本测算详细过程及测算依据，不予支持；尊师重教激励金和2025年网格员经费2个项目成本测算依据不够充分，压减276.90万元。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黑体" w:eastAsia="黑体" w:cs="黑体"/>
          <w:sz w:val="32"/>
          <w:szCs w:val="32"/>
        </w:rPr>
      </w:pPr>
      <w:r>
        <w:rPr>
          <w:rFonts w:hint="eastAsia" w:ascii="黑体" w:eastAsia="黑体" w:cs="黑体"/>
          <w:sz w:val="32"/>
          <w:szCs w:val="32"/>
        </w:rPr>
        <w:t>切实提升绩效目标编制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/>
        <w:jc w:val="left"/>
        <w:textAlignment w:val="auto"/>
        <w:outlineLvl w:val="9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eastAsia="zh-CN"/>
        </w:rPr>
        <w:t>绩效目标编制</w:t>
      </w:r>
      <w:r>
        <w:rPr>
          <w:rFonts w:hint="eastAsia" w:ascii="仿宋_GB2312" w:eastAsia="仿宋_GB2312" w:cs="仿宋_GB2312"/>
          <w:sz w:val="32"/>
          <w:szCs w:val="32"/>
        </w:rPr>
        <w:t>认真贯彻落实省委、省政府决策部署和州委、州政府工作要求，全面设置重大政策、转移支付绩效目标，不断完善整体绩效目标、项目绩效</w:t>
      </w:r>
      <w:bookmarkStart w:id="0" w:name="_GoBack"/>
      <w:bookmarkEnd w:id="0"/>
      <w:r>
        <w:rPr>
          <w:rFonts w:hint="eastAsia" w:ascii="仿宋_GB2312" w:eastAsia="仿宋_GB2312" w:cs="仿宋_GB2312"/>
          <w:sz w:val="32"/>
          <w:szCs w:val="32"/>
        </w:rPr>
        <w:t>目标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  <w:r>
        <w:rPr>
          <w:rFonts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02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5</w:t>
      </w:r>
      <w:r>
        <w:rPr>
          <w:rFonts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年我县本级</w:t>
      </w:r>
      <w:r>
        <w:rPr>
          <w:rFonts w:ascii="Times New Roman" w:hAnsi="Times New Roman" w:eastAsia="仿宋_GB2312" w:cs="Times New Roman"/>
          <w:bCs/>
          <w:color w:val="000000"/>
          <w:sz w:val="32"/>
          <w:szCs w:val="32"/>
          <w:lang w:bidi="ar-SA"/>
        </w:rPr>
        <w:t>一般公共预算支出为105,342.05</w:t>
      </w:r>
      <w:r>
        <w:rPr>
          <w:rFonts w:ascii="Times New Roman" w:hAnsi="Times New Roman" w:eastAsia="仿宋_GB2312" w:cs="Times New Roman"/>
          <w:bCs/>
          <w:color w:val="000000"/>
          <w:sz w:val="32"/>
          <w:szCs w:val="32"/>
          <w:highlight w:val="none"/>
          <w:lang w:bidi="ar-SA"/>
        </w:rPr>
        <w:t>万</w:t>
      </w:r>
      <w:r>
        <w:rPr>
          <w:rFonts w:ascii="Times New Roman" w:hAnsi="Times New Roman" w:eastAsia="仿宋_GB2312" w:cs="Times New Roman"/>
          <w:bCs/>
          <w:color w:val="000000"/>
          <w:sz w:val="32"/>
          <w:szCs w:val="32"/>
          <w:lang w:bidi="ar-SA"/>
        </w:rPr>
        <w:t>元</w:t>
      </w:r>
      <w:r>
        <w:rPr>
          <w:rFonts w:ascii="Times New Roman" w:hAnsi="Times New Roman" w:eastAsia="仿宋_GB2312" w:cs="Times New Roman"/>
          <w:bCs/>
          <w:color w:val="000000"/>
          <w:sz w:val="32"/>
          <w:szCs w:val="32"/>
          <w:lang w:eastAsia="zh-CN" w:bidi="ar-SA"/>
        </w:rPr>
        <w:t>，共</w:t>
      </w:r>
      <w:r>
        <w:rPr>
          <w:rFonts w:ascii="Times New Roman" w:hAnsi="Times New Roman" w:eastAsia="仿宋_GB2312" w:cs="Times New Roman"/>
          <w:bCs/>
          <w:color w:val="000000"/>
          <w:sz w:val="32"/>
          <w:szCs w:val="32"/>
          <w:lang w:val="en-US" w:eastAsia="zh-CN" w:bidi="ar-SA"/>
        </w:rPr>
        <w:t>89个部门（</w:t>
      </w:r>
      <w:r>
        <w:rPr>
          <w:rFonts w:hint="eastAsia" w:ascii="Times New Roman" w:hAnsi="Times New Roman" w:eastAsia="仿宋_GB2312" w:cs="Times New Roman"/>
          <w:bCs/>
          <w:color w:val="000000"/>
          <w:sz w:val="32"/>
          <w:szCs w:val="32"/>
          <w:lang w:val="en-US" w:eastAsia="zh-CN" w:bidi="ar-SA"/>
        </w:rPr>
        <w:t>乡镇</w:t>
      </w:r>
      <w:r>
        <w:rPr>
          <w:rFonts w:ascii="Times New Roman" w:hAnsi="Times New Roman" w:eastAsia="仿宋_GB2312" w:cs="Times New Roman"/>
          <w:bCs/>
          <w:color w:val="000000"/>
          <w:sz w:val="32"/>
          <w:szCs w:val="32"/>
          <w:lang w:val="en-US" w:eastAsia="zh-CN" w:bidi="ar-SA"/>
        </w:rPr>
        <w:t>），</w:t>
      </w:r>
      <w:r>
        <w:rPr>
          <w:rFonts w:ascii="Times New Roman" w:hAnsi="Times New Roman" w:eastAsia="仿宋_GB2312" w:cs="Times New Roman"/>
          <w:bCs/>
          <w:color w:val="000000"/>
          <w:sz w:val="32"/>
          <w:szCs w:val="32"/>
          <w:lang w:eastAsia="zh-CN" w:bidi="ar-SA"/>
        </w:rPr>
        <w:t>其中特定目标类项目</w:t>
      </w:r>
      <w:r>
        <w:rPr>
          <w:rFonts w:hint="eastAsia" w:ascii="Times New Roman" w:hAnsi="Times New Roman" w:eastAsia="仿宋_GB2312" w:cs="Times New Roman"/>
          <w:bCs/>
          <w:color w:val="000000"/>
          <w:sz w:val="32"/>
          <w:szCs w:val="32"/>
          <w:lang w:val="en-US" w:eastAsia="zh-CN" w:bidi="ar-SA"/>
        </w:rPr>
        <w:t>167</w:t>
      </w:r>
      <w:r>
        <w:rPr>
          <w:rFonts w:ascii="Times New Roman" w:hAnsi="Times New Roman" w:eastAsia="仿宋_GB2312" w:cs="Times New Roman"/>
          <w:bCs/>
          <w:color w:val="000000"/>
          <w:sz w:val="32"/>
          <w:szCs w:val="32"/>
          <w:lang w:val="en-US" w:eastAsia="zh-CN" w:bidi="ar-SA"/>
        </w:rPr>
        <w:t>个，涉及</w:t>
      </w:r>
      <w:r>
        <w:rPr>
          <w:rFonts w:hint="eastAsia" w:ascii="Times New Roman" w:hAnsi="Times New Roman" w:eastAsia="仿宋_GB2312" w:cs="Times New Roman"/>
          <w:bCs/>
          <w:color w:val="000000"/>
          <w:sz w:val="32"/>
          <w:szCs w:val="32"/>
          <w:lang w:val="en-US" w:eastAsia="zh-CN" w:bidi="ar-SA"/>
        </w:rPr>
        <w:t>50</w:t>
      </w:r>
      <w:r>
        <w:rPr>
          <w:rFonts w:ascii="Times New Roman" w:hAnsi="Times New Roman" w:eastAsia="仿宋_GB2312" w:cs="Times New Roman"/>
          <w:bCs/>
          <w:color w:val="000000"/>
          <w:sz w:val="32"/>
          <w:szCs w:val="32"/>
          <w:lang w:val="en-US" w:eastAsia="zh-CN" w:bidi="ar-SA"/>
        </w:rPr>
        <w:t>个部门（</w:t>
      </w:r>
      <w:r>
        <w:rPr>
          <w:rFonts w:hint="eastAsia" w:ascii="Times New Roman" w:hAnsi="Times New Roman" w:eastAsia="仿宋_GB2312" w:cs="Times New Roman"/>
          <w:bCs/>
          <w:color w:val="000000"/>
          <w:sz w:val="32"/>
          <w:szCs w:val="32"/>
          <w:lang w:val="en-US" w:eastAsia="zh-CN" w:bidi="ar-SA"/>
        </w:rPr>
        <w:t>乡镇</w:t>
      </w:r>
      <w:r>
        <w:rPr>
          <w:rFonts w:ascii="Times New Roman" w:hAnsi="Times New Roman" w:eastAsia="仿宋_GB2312" w:cs="Times New Roman"/>
          <w:bCs/>
          <w:color w:val="000000"/>
          <w:sz w:val="32"/>
          <w:szCs w:val="32"/>
          <w:lang w:val="en-US" w:eastAsia="zh-CN" w:bidi="ar-SA"/>
        </w:rPr>
        <w:t>）预算资金11,204.67万元。</w:t>
      </w:r>
      <w:r>
        <w:rPr>
          <w:rFonts w:hint="eastAsia" w:ascii="仿宋_GB2312" w:eastAsia="仿宋_GB2312" w:cs="仿宋_GB2312"/>
          <w:bCs/>
          <w:color w:val="000000"/>
          <w:sz w:val="32"/>
          <w:szCs w:val="32"/>
          <w:lang w:eastAsia="zh-CN" w:bidi="ar-SA"/>
        </w:rPr>
        <w:t>各单位在“预算管理一体化系统”内按照“二上二下”的原则和绩效管理相关要求，根据项目实际情况编制项目绩效总体目标和绩效指标，</w:t>
      </w:r>
      <w:r>
        <w:rPr>
          <w:rFonts w:hint="eastAsia" w:ascii="仿宋_GB2312" w:eastAsia="仿宋_GB2312" w:cs="仿宋_GB2312"/>
          <w:bCs/>
          <w:color w:val="000000"/>
          <w:sz w:val="32"/>
          <w:szCs w:val="32"/>
          <w:lang w:val="en-US" w:eastAsia="zh-CN" w:bidi="ar-SA"/>
        </w:rPr>
        <w:t>财政局各相关业务股室、财政监督绩效管理股和预算股按流程审核</w:t>
      </w:r>
      <w:r>
        <w:rPr>
          <w:rFonts w:hint="eastAsia" w:ascii="Times New Roman" w:hAnsi="Times New Roman" w:eastAsia="仿宋_GB2312" w:cs="Times New Roman"/>
          <w:bCs/>
          <w:color w:val="000000"/>
          <w:sz w:val="32"/>
          <w:szCs w:val="32"/>
          <w:lang w:val="en-US" w:eastAsia="zh-CN" w:bidi="ar-SA"/>
        </w:rPr>
        <w:t>，再通过</w:t>
      </w:r>
      <w:r>
        <w:rPr>
          <w:rFonts w:hint="eastAsia" w:ascii="仿宋_GB2312" w:eastAsia="仿宋_GB2312" w:cs="仿宋_GB2312"/>
          <w:bCs/>
          <w:color w:val="000000"/>
          <w:sz w:val="32"/>
          <w:szCs w:val="32"/>
          <w:lang w:val="en-US" w:eastAsia="zh-CN" w:bidi="ar-SA"/>
        </w:rPr>
        <w:t>集中会审后与《金川县</w:t>
      </w:r>
      <w:r>
        <w:rPr>
          <w:rFonts w:ascii="Times New Roman" w:hAnsi="Times New Roman" w:eastAsia="仿宋_GB2312" w:cs="Times New Roman"/>
          <w:bCs/>
          <w:color w:val="000000"/>
          <w:sz w:val="32"/>
          <w:szCs w:val="32"/>
          <w:lang w:val="en-US" w:eastAsia="zh-CN" w:bidi="ar-SA"/>
        </w:rPr>
        <w:t>202</w:t>
      </w:r>
      <w:r>
        <w:rPr>
          <w:rFonts w:hint="eastAsia" w:ascii="Times New Roman" w:hAnsi="Times New Roman" w:eastAsia="仿宋_GB2312" w:cs="Times New Roman"/>
          <w:bCs/>
          <w:color w:val="000000"/>
          <w:sz w:val="32"/>
          <w:szCs w:val="32"/>
          <w:lang w:val="en-US" w:eastAsia="zh-CN" w:bidi="ar-SA"/>
        </w:rPr>
        <w:t>4</w:t>
      </w:r>
      <w:r>
        <w:rPr>
          <w:rFonts w:hint="eastAsia" w:ascii="仿宋_GB2312" w:eastAsia="仿宋_GB2312" w:cs="仿宋_GB2312"/>
          <w:bCs/>
          <w:color w:val="000000"/>
          <w:sz w:val="32"/>
          <w:szCs w:val="32"/>
          <w:lang w:val="en-US" w:eastAsia="zh-CN" w:bidi="ar-SA"/>
        </w:rPr>
        <w:t>年财政预算执行情况和</w:t>
      </w:r>
      <w:r>
        <w:rPr>
          <w:rFonts w:ascii="Times New Roman" w:hAnsi="Times New Roman" w:eastAsia="仿宋_GB2312" w:cs="Times New Roman"/>
          <w:bCs/>
          <w:color w:val="000000"/>
          <w:sz w:val="32"/>
          <w:szCs w:val="32"/>
          <w:lang w:val="en-US" w:eastAsia="zh-CN" w:bidi="ar-SA"/>
        </w:rPr>
        <w:t>202</w:t>
      </w:r>
      <w:r>
        <w:rPr>
          <w:rFonts w:hint="eastAsia" w:ascii="Times New Roman" w:hAnsi="Times New Roman" w:eastAsia="仿宋_GB2312" w:cs="Times New Roman"/>
          <w:bCs/>
          <w:color w:val="000000"/>
          <w:sz w:val="32"/>
          <w:szCs w:val="32"/>
          <w:lang w:val="en-US" w:eastAsia="zh-CN" w:bidi="ar-SA"/>
        </w:rPr>
        <w:t>5</w:t>
      </w:r>
      <w:r>
        <w:rPr>
          <w:rFonts w:hint="eastAsia" w:ascii="仿宋_GB2312" w:eastAsia="仿宋_GB2312" w:cs="仿宋_GB2312"/>
          <w:bCs/>
          <w:color w:val="000000"/>
          <w:sz w:val="32"/>
          <w:szCs w:val="32"/>
          <w:lang w:val="en-US" w:eastAsia="zh-CN" w:bidi="ar-SA"/>
        </w:rPr>
        <w:t>年财政预算草案的报告》一并报县人民政府，再由县人民政府报县人大审定。财政在人大下达批复后，将绩效目标与部门年初预算一并批复部门（单位），作为部门（单位）年度目标执行和绩效评价的考核标准。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   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下一步工作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  <w:t>一）做实绩效运行监控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。要求各部（乡镇）对预算执行进行和绩效目标实现情况进行“靶向”监控，及时发现问题，督促纠偏整改。在预算执行中按照“谁支出，谁绩效”的原则，依托预算管理一体化系统绩效运行监控模块，开展监控对象全覆盖、监控频率全时段部门自行监控，对于预算管理一体化系统的预警提示，部门内部财务机构会同业务机构开展自查自纠，核实反馈了，认定为问题的立即整改并及时核实处理，确保绩效目标如期保质保量实现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left"/>
        <w:textAlignment w:val="auto"/>
        <w:outlineLvl w:val="9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  <w:t>（二）提高绩效自评质量。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组织各部门（乡镇）做深做透绩效自评工作，让自评成不发现问题的“显微镜”和“放大镜”确保 评而有效，评而有用。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  <w:t>（三）认真开展重点财政支出绩效评价工作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。配合省州开展好省州财政重点绩效评价工作，组织开展好县级财政重点绩效评价工作。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 w:cs="仿宋_GB2312"/>
          <w:b/>
          <w:bCs/>
          <w:sz w:val="32"/>
          <w:szCs w:val="32"/>
          <w:lang w:val="en-US" w:eastAsia="zh-CN"/>
        </w:rPr>
        <w:t>（四）扎实推进问题整改。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强化绩效问题整改落实，加力推动预算绩效管理提质增效。对评价发现问题深入剖析、举一反三，督促单位完成整改，定期对整改情况进行核查，确保整改工作取得实效。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sectPr>
      <w:footerReference r:id="rId5" w:type="first"/>
      <w:footerReference r:id="rId3" w:type="default"/>
      <w:footerReference r:id="rId4" w:type="even"/>
      <w:pgSz w:w="11906" w:h="16838"/>
      <w:pgMar w:top="2098" w:right="1474" w:bottom="1984" w:left="1587" w:header="851" w:footer="1587" w:gutter="0"/>
      <w:titlePg/>
      <w:rtlGutter w:val="1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3665" distR="113665" simplePos="0" relativeHeight="102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150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50" cy="131559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3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0.35pt;width:4.5pt;mso-position-horizontal:center;mso-position-horizontal-relative:margin;mso-wrap-style:none;z-index:1024;mso-width-relative:page;mso-height-relative:page;" filled="f" stroked="f" coordsize="21600,21600" o:gfxdata="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jKmL89UAAAAC&#10;AQAADwAAAAAAAAABACAAAAAiAAAAZHJzL2Rvd25yZXYueG1sUEsBAhQAFAAAAAgAh07iQGR1G43m&#10;AQAApQMAAA4AAAAAAAAAAQAgAAAAJAEAAGRycy9lMm9Eb2MueG1sUEsFBgAAAAAGAAYAWQEAAHwF&#10;AAAAAA==&#10;">
              <v:fill on="f" focussize="0,0"/>
              <v:stroke on="f" weight="0.5pt" joinstyle="round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3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3665" distR="113665" simplePos="0" relativeHeight="102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150" cy="131445"/>
              <wp:effectExtent l="0" t="0" r="0" b="0"/>
              <wp:wrapNone/>
              <wp:docPr id="4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50" cy="131559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top:0pt;height:10.35pt;width:4.5pt;mso-position-horizontal:center;mso-position-horizontal-relative:margin;mso-wrap-style:none;z-index:1024;mso-width-relative:page;mso-height-relative:page;" filled="f" stroked="f" coordsize="21600,21600" o:gfxdata="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jKmL89UAAAAC&#10;AQAADwAAAAAAAAABACAAAAAiAAAAZHJzL2Rvd25yZXYueG1sUEsBAhQAFAAAAAgAh07iQIW+BMXm&#10;AQAApQMAAA4AAAAAAAAAAQAgAAAAJAEAAGRycy9lMm9Eb2MueG1sUEsFBgAAAAAGAAYAWQEAAHwF&#10;AAAAAA==&#10;">
              <v:fill on="f" focussize="0,0"/>
              <v:stroke on="f" weight="0.5pt" joinstyle="round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3665" distR="113665" simplePos="0" relativeHeight="102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150" cy="131445"/>
              <wp:effectExtent l="0" t="0" r="0" b="0"/>
              <wp:wrapNone/>
              <wp:docPr id="7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50" cy="131559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3" o:spid="_x0000_s1026" o:spt="1" style="position:absolute;left:0pt;margin-top:0pt;height:10.35pt;width:4.5pt;mso-position-horizontal:center;mso-position-horizontal-relative:margin;mso-wrap-style:none;z-index:1024;mso-width-relative:page;mso-height-relative:page;" filled="f" stroked="f" coordsize="21600,21600" o:gfxdata="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Iypi/PVAAAA&#10;AgEAAA8AAAAAAAAAAQAgAAAAIgAAAGRycy9kb3ducmV2LnhtbFBLAQIUABQAAAAIAIdO4kDaBw79&#10;5wEAAKUDAAAOAAAAAAAAAAEAIAAAACQBAABkcnMvZTJvRG9jLnhtbFBLBQYAAAAABgAGAFkBAAB9&#10;BQAAAAA=&#10;">
              <v:fill on="f" focussize="0,0"/>
              <v:stroke on="f" weight="0.5pt" joinstyle="round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1E5DE1D"/>
    <w:multiLevelType w:val="singleLevel"/>
    <w:tmpl w:val="E1E5DE1D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0"/>
  <w:bordersDoNotSurroundFooter w:val="0"/>
  <w:documentProtection w:edit="readOnly"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rsids>
    <w:rsidRoot w:val="00000000"/>
    <w:rsid w:val="4D8F7C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sz w:val="32"/>
    </w:rPr>
  </w:style>
  <w:style w:type="paragraph" w:styleId="5">
    <w:name w:val="heading 3"/>
    <w:basedOn w:val="1"/>
    <w:next w:val="1"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9">
    <w:name w:val="Default Paragraph Font"/>
    <w:qFormat/>
    <w:uiPriority w:val="0"/>
  </w:style>
  <w:style w:type="table" w:default="1" w:styleId="10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able of figures"/>
    <w:basedOn w:val="1"/>
    <w:next w:val="1"/>
    <w:qFormat/>
    <w:uiPriority w:val="0"/>
    <w:pPr>
      <w:ind w:left="400" w:leftChars="200" w:hanging="200" w:hangingChars="200"/>
    </w:pPr>
  </w:style>
  <w:style w:type="paragraph" w:styleId="8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Kingsoft</Company>
  <Pages>2</Pages>
  <Words>986</Words>
  <Characters>1032</Characters>
  <Lines>41</Lines>
  <Paragraphs>7</Paragraphs>
  <TotalTime>70</TotalTime>
  <ScaleCrop>false</ScaleCrop>
  <LinksUpToDate>false</LinksUpToDate>
  <CharactersWithSpaces>1038</CharactersWithSpaces>
  <Application>WPS Office_11.1.0.7832_F1E327BC-269C-435d-A152-05C5408002CA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zhaoxinlei</dc:creator>
  <cp:lastModifiedBy>Administrator</cp:lastModifiedBy>
  <dcterms:modified xsi:type="dcterms:W3CDTF">2025-02-18T02:27:43Z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2052-11.1.0.7832</vt:lpwstr>
  </property>
</Properties>
</file>