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pStyle w:val="20"/>
        <w:keepNext w:val="0"/>
        <w:keepLines w:val="0"/>
        <w:pageBreakBefore w:val="0"/>
        <w:widowControl w:val="0"/>
        <w:tabs>
          <w:tab w:val="center" w:pos="4153"/>
          <w:tab w:val="right" w:pos="8306"/>
        </w:tabs>
        <w:kinsoku/>
        <w:wordWrap/>
        <w:overflowPunct/>
        <w:topLinePunct w:val="0"/>
        <w:autoSpaceDE/>
        <w:autoSpaceDN/>
        <w:bidi w:val="0"/>
        <w:spacing w:line="578" w:lineRule="exact"/>
        <w:textAlignment w:val="auto"/>
        <w:rPr>
          <w:rFonts w:hint="eastAsia"/>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ascii="Times New Roman" w:eastAsia="方正小标宋简体" w:cs="Times New Roman" w:hAnsi="Times New Roman" w:hint="eastAsia"/>
          <w:bCs/>
          <w:color w:val="000000"/>
          <w:sz w:val="44"/>
          <w:szCs w:val="44"/>
          <w:lang w:eastAsia="zh-CN" w:bidi="ar-SA"/>
        </w:rPr>
      </w:pPr>
      <w:r>
        <w:rPr>
          <w:rFonts w:ascii="Times New Roman" w:eastAsia="方正小标宋简体" w:cs="Times New Roman" w:hAnsi="Times New Roman" w:hint="eastAsia"/>
          <w:bCs/>
          <w:color w:val="000000"/>
          <w:sz w:val="44"/>
          <w:szCs w:val="44"/>
          <w:lang w:eastAsia="zh-CN" w:bidi="ar-SA"/>
        </w:rPr>
        <w:t>金川县财政局</w:t>
      </w:r>
    </w:p>
    <w:p>
      <w:pPr>
        <w:keepNext w:val="0"/>
        <w:keepLines w:val="0"/>
        <w:pageBreakBefore w:val="0"/>
        <w:widowControl w:val="0"/>
        <w:kinsoku/>
        <w:wordWrap/>
        <w:overflowPunct/>
        <w:topLinePunct w:val="0"/>
        <w:autoSpaceDE/>
        <w:autoSpaceDN/>
        <w:bidi w:val="0"/>
        <w:adjustRightInd/>
        <w:snapToGrid/>
        <w:spacing w:line="578" w:lineRule="exact"/>
        <w:ind w:left="0" w:right="0"/>
        <w:jc w:val="center"/>
        <w:textAlignment w:val="auto"/>
        <w:outlineLvl w:val="9"/>
        <w:rPr>
          <w:rFonts w:ascii="仿宋_GB2312" w:eastAsia="仿宋_GB2312" w:cs="仿宋_GB2312" w:hint="eastAsia"/>
          <w:sz w:val="32"/>
          <w:szCs w:val="32"/>
          <w:lang w:eastAsia="zh-CN"/>
          <w:highlight w:val="auto"/>
        </w:rPr>
      </w:pPr>
      <w:bookmarkStart w:id="0" w:name="_GoBack"/>
      <w:r>
        <w:rPr>
          <w:rFonts w:ascii="方正小标宋简体" w:eastAsia="方正小标宋简体" w:cs="方正小标宋简体" w:hint="eastAsia"/>
          <w:sz w:val="44"/>
          <w:szCs w:val="44"/>
          <w:lang w:eastAsia="zh-CN"/>
          <w:highlight w:val="auto"/>
        </w:rPr>
        <w:t>关于202</w:t>
      </w:r>
      <w:r>
        <w:rPr>
          <w:rFonts w:ascii="方正小标宋简体" w:eastAsia="方正小标宋简体" w:cs="方正小标宋简体" w:hint="eastAsia"/>
          <w:sz w:val="44"/>
          <w:szCs w:val="44"/>
          <w:lang w:val="en-US" w:eastAsia="zh-CN"/>
          <w:highlight w:val="auto"/>
        </w:rPr>
        <w:t>3</w:t>
      </w:r>
      <w:r>
        <w:rPr>
          <w:rFonts w:ascii="方正小标宋简体" w:eastAsia="方正小标宋简体" w:cs="方正小标宋简体" w:hint="eastAsia"/>
          <w:sz w:val="44"/>
          <w:szCs w:val="44"/>
          <w:lang w:eastAsia="zh-CN"/>
          <w:highlight w:val="auto"/>
        </w:rPr>
        <w:t>年部门、政策和项目支出财政重点绩效评价工作</w:t>
      </w:r>
      <w:r>
        <w:rPr>
          <w:rFonts w:ascii="方正小标宋简体" w:eastAsia="方正小标宋简体" w:cs="方正小标宋简体"/>
          <w:sz w:val="44"/>
          <w:szCs w:val="44"/>
          <w:lang w:eastAsia="zh-CN"/>
          <w:highlight w:val="auto"/>
        </w:rPr>
        <w:t>的报告</w:t>
      </w:r>
    </w:p>
    <w:p>
      <w:pPr>
        <w:pStyle w:val="15"/>
        <w:keepNext w:val="0"/>
        <w:keepLines w:val="0"/>
        <w:pageBreakBefore w:val="0"/>
        <w:widowControl w:val="0"/>
        <w:suppressLineNumbers w:val="0"/>
        <w:suppressAutoHyphens/>
        <w:kinsoku/>
        <w:wordWrap/>
        <w:overflowPunct/>
        <w:topLinePunct w:val="0"/>
        <w:autoSpaceDE/>
        <w:autoSpaceDN/>
        <w:bidi w:val="0"/>
        <w:adjustRightInd/>
        <w:snapToGrid/>
        <w:spacing w:beforeAutospacing="0" w:afterAutospacing="0" w:line="560" w:lineRule="exact"/>
        <w:ind w:leftChars="0" w:left="0" w:firstLineChars="200" w:firstLine="632"/>
        <w:textAlignment w:val="auto"/>
        <w:outlineLvl w:val="9"/>
        <w:rPr>
          <w:rFonts w:ascii="Times New Roman" w:eastAsia="仿宋_GB2312" w:cs="Times New Roman" w:hAnsi="Times New Roman"/>
          <w:color w:val="000000"/>
          <w:kern w:val="0"/>
          <w:sz w:val="32"/>
          <w:szCs w:val="32"/>
          <w:lang w:val="en-US" w:eastAsia="zh-CN"/>
        </w:rPr>
      </w:pPr>
      <w:bookmarkEnd w:id="0"/>
      <w:r>
        <w:rPr>
          <w:rFonts w:ascii="Times New Roman" w:eastAsia="仿宋_GB2312" w:cs="Times New Roman" w:hAnsi="Times New Roman"/>
          <w:color w:val="000000"/>
          <w:sz w:val="32"/>
          <w:szCs w:val="32"/>
        </w:rPr>
        <w:t>为深入贯彻落实党中央国务院和省委省政府关于全面实施预算绩效管理决策部署，按照《中共四川省委办公厅 四川省人民政府办公厅关于深入实施预算绩效管理的通知》（川委厅〔</w:t>
      </w:r>
      <w:r>
        <w:rPr>
          <w:rFonts w:ascii="Times New Roman" w:eastAsia="仿宋_GB2312" w:cs="Times New Roman" w:hAnsi="Times New Roman"/>
          <w:color w:val="000000"/>
          <w:kern w:val="0"/>
          <w:sz w:val="32"/>
          <w:szCs w:val="32"/>
          <w:lang w:val="en-US" w:eastAsia="zh-CN"/>
        </w:rPr>
        <w:t>2022</w:t>
      </w:r>
      <w:r>
        <w:rPr>
          <w:rFonts w:ascii="Times New Roman" w:eastAsia="仿宋_GB2312" w:cs="Times New Roman" w:hAnsi="Times New Roman"/>
          <w:color w:val="000000"/>
          <w:sz w:val="32"/>
          <w:szCs w:val="32"/>
        </w:rPr>
        <w:t>〕</w:t>
      </w:r>
      <w:r>
        <w:rPr>
          <w:rFonts w:ascii="Times New Roman" w:eastAsia="仿宋_GB2312" w:cs="Times New Roman" w:hAnsi="Times New Roman"/>
          <w:color w:val="000000"/>
          <w:kern w:val="0"/>
          <w:sz w:val="32"/>
          <w:szCs w:val="32"/>
          <w:lang w:val="en-US" w:eastAsia="zh-CN"/>
        </w:rPr>
        <w:t>5</w:t>
      </w:r>
      <w:r>
        <w:rPr>
          <w:rFonts w:ascii="Times New Roman" w:eastAsia="仿宋_GB2312" w:cs="Times New Roman" w:hAnsi="Times New Roman"/>
          <w:color w:val="000000"/>
          <w:sz w:val="32"/>
          <w:szCs w:val="32"/>
        </w:rPr>
        <w:t>号）、《四川省省级财政预算管理办法》（省政府令第</w:t>
      </w:r>
      <w:r>
        <w:rPr>
          <w:rFonts w:ascii="Times New Roman" w:eastAsia="仿宋_GB2312" w:cs="Times New Roman" w:hAnsi="Times New Roman"/>
          <w:color w:val="000000"/>
          <w:kern w:val="0"/>
          <w:sz w:val="32"/>
          <w:szCs w:val="32"/>
          <w:lang w:val="en-US" w:eastAsia="zh-CN"/>
        </w:rPr>
        <w:t>356</w:t>
      </w:r>
      <w:r>
        <w:rPr>
          <w:rFonts w:ascii="Times New Roman" w:eastAsia="仿宋_GB2312" w:cs="Times New Roman" w:hAnsi="Times New Roman"/>
          <w:color w:val="000000"/>
          <w:sz w:val="32"/>
          <w:szCs w:val="32"/>
        </w:rPr>
        <w:t>号）、四川省财政厅《关于开展</w:t>
      </w:r>
      <w:r>
        <w:rPr>
          <w:rFonts w:ascii="Times New Roman" w:eastAsia="仿宋_GB2312" w:cs="Times New Roman" w:hAnsi="Times New Roman"/>
          <w:color w:val="000000"/>
          <w:kern w:val="0"/>
          <w:sz w:val="32"/>
          <w:szCs w:val="32"/>
          <w:lang w:val="en-US" w:eastAsia="zh-CN"/>
        </w:rPr>
        <w:t>2023</w:t>
      </w:r>
      <w:r>
        <w:rPr>
          <w:rFonts w:ascii="Times New Roman" w:eastAsia="仿宋_GB2312" w:cs="Times New Roman" w:hAnsi="Times New Roman"/>
          <w:color w:val="000000"/>
          <w:sz w:val="32"/>
          <w:szCs w:val="32"/>
        </w:rPr>
        <w:t>年财政重点绩效评价工作的通知》（川财绩〔</w:t>
      </w:r>
      <w:r>
        <w:rPr>
          <w:rFonts w:ascii="Times New Roman" w:eastAsia="仿宋_GB2312" w:cs="Times New Roman" w:hAnsi="Times New Roman"/>
          <w:color w:val="000000"/>
          <w:kern w:val="0"/>
          <w:sz w:val="32"/>
          <w:szCs w:val="32"/>
          <w:lang w:val="en-US" w:eastAsia="zh-CN"/>
        </w:rPr>
        <w:t>2023</w:t>
      </w:r>
      <w:r>
        <w:rPr>
          <w:rFonts w:ascii="Times New Roman" w:eastAsia="仿宋_GB2312" w:cs="Times New Roman" w:hAnsi="Times New Roman"/>
          <w:color w:val="000000"/>
          <w:sz w:val="32"/>
          <w:szCs w:val="32"/>
        </w:rPr>
        <w:t>〕</w:t>
      </w:r>
      <w:r>
        <w:rPr>
          <w:rFonts w:ascii="Times New Roman" w:eastAsia="仿宋_GB2312" w:cs="Times New Roman" w:hAnsi="Times New Roman"/>
          <w:color w:val="000000"/>
          <w:kern w:val="0"/>
          <w:sz w:val="32"/>
          <w:szCs w:val="32"/>
          <w:lang w:val="en-US" w:eastAsia="zh-CN"/>
        </w:rPr>
        <w:t>9</w:t>
      </w:r>
      <w:r>
        <w:rPr>
          <w:rFonts w:ascii="Times New Roman" w:eastAsia="仿宋_GB2312" w:cs="Times New Roman" w:hAnsi="Times New Roman"/>
          <w:color w:val="000000"/>
          <w:sz w:val="32"/>
          <w:szCs w:val="32"/>
        </w:rPr>
        <w:t>号）</w:t>
      </w:r>
      <w:r>
        <w:rPr>
          <w:rFonts w:ascii="Times New Roman" w:eastAsia="仿宋_GB2312" w:cs="Times New Roman" w:hAnsi="Times New Roman"/>
          <w:color w:val="000000"/>
          <w:kern w:val="0"/>
          <w:sz w:val="32"/>
          <w:szCs w:val="32"/>
          <w:lang w:val="en-US" w:eastAsia="zh-CN"/>
        </w:rPr>
        <w:t>和</w:t>
      </w:r>
      <w:r>
        <w:rPr>
          <w:rFonts w:ascii="Times New Roman" w:eastAsia="仿宋_GB2312" w:cs="Times New Roman" w:hAnsi="Times New Roman"/>
          <w:sz w:val="32"/>
          <w:szCs w:val="32"/>
          <w:lang w:eastAsia="zh-CN" w:bidi="ar-SA"/>
        </w:rPr>
        <w:t>《阿坝州财政局关于开展20</w:t>
      </w:r>
      <w:r>
        <w:rPr>
          <w:rFonts w:ascii="Times New Roman" w:eastAsia="仿宋_GB2312" w:cs="Times New Roman" w:hAnsi="Times New Roman"/>
          <w:sz w:val="32"/>
          <w:szCs w:val="32"/>
          <w:lang w:val="en-US" w:eastAsia="zh-CN" w:bidi="ar-SA"/>
        </w:rPr>
        <w:t>23</w:t>
      </w:r>
      <w:r>
        <w:rPr>
          <w:rFonts w:ascii="Times New Roman" w:eastAsia="仿宋_GB2312" w:cs="Times New Roman" w:hAnsi="Times New Roman"/>
          <w:sz w:val="32"/>
          <w:szCs w:val="32"/>
          <w:lang w:eastAsia="zh-CN" w:bidi="ar-SA"/>
        </w:rPr>
        <w:t>年</w:t>
      </w:r>
      <w:r>
        <w:rPr>
          <w:rFonts w:ascii="Times New Roman" w:eastAsia="仿宋_GB2312" w:cs="Times New Roman" w:hAnsi="Times New Roman"/>
          <w:color w:val="000000"/>
          <w:kern w:val="0"/>
          <w:sz w:val="32"/>
          <w:szCs w:val="32"/>
          <w:lang w:val="en-US" w:eastAsia="zh-CN"/>
        </w:rPr>
        <w:t>财政重点</w:t>
      </w:r>
      <w:r>
        <w:rPr>
          <w:rFonts w:ascii="Times New Roman" w:eastAsia="仿宋_GB2312" w:cs="Times New Roman" w:hAnsi="Times New Roman"/>
          <w:sz w:val="32"/>
          <w:szCs w:val="32"/>
          <w:lang w:eastAsia="zh-CN" w:bidi="ar-SA"/>
        </w:rPr>
        <w:t>绩效评价工作的通知》（</w:t>
      </w:r>
      <w:r>
        <w:rPr>
          <w:rFonts w:ascii="Times New Roman" w:eastAsia="仿宋_GB2312" w:cs="Times New Roman" w:hAnsi="Times New Roman"/>
          <w:sz w:val="32"/>
          <w:szCs w:val="32"/>
        </w:rPr>
        <w:t>阿州财监绩〔202</w:t>
      </w:r>
      <w:r>
        <w:rPr>
          <w:rFonts w:ascii="Times New Roman" w:eastAsia="仿宋_GB2312" w:cs="Times New Roman" w:hAnsi="Times New Roman"/>
          <w:sz w:val="32"/>
          <w:szCs w:val="32"/>
          <w:lang w:val="en-US" w:eastAsia="zh-CN"/>
        </w:rPr>
        <w:t>3</w:t>
      </w:r>
      <w:r>
        <w:rPr>
          <w:rFonts w:ascii="Times New Roman" w:eastAsia="仿宋_GB2312" w:cs="Times New Roman" w:hAnsi="Times New Roman"/>
          <w:sz w:val="32"/>
          <w:szCs w:val="32"/>
        </w:rPr>
        <w:t>〕1</w:t>
      </w:r>
      <w:r>
        <w:rPr>
          <w:rFonts w:ascii="Times New Roman" w:eastAsia="仿宋_GB2312" w:cs="Times New Roman" w:hAnsi="Times New Roman"/>
          <w:sz w:val="32"/>
          <w:szCs w:val="32"/>
          <w:lang w:val="en-US" w:eastAsia="zh-CN"/>
        </w:rPr>
        <w:t>7</w:t>
      </w:r>
      <w:r>
        <w:rPr>
          <w:rFonts w:ascii="Times New Roman" w:eastAsia="仿宋_GB2312" w:cs="Times New Roman" w:hAnsi="Times New Roman"/>
          <w:sz w:val="32"/>
          <w:szCs w:val="32"/>
        </w:rPr>
        <w:t>号</w:t>
      </w:r>
      <w:r>
        <w:rPr>
          <w:rFonts w:ascii="Times New Roman" w:eastAsia="仿宋_GB2312" w:cs="Times New Roman" w:hAnsi="Times New Roman"/>
          <w:sz w:val="32"/>
          <w:szCs w:val="32"/>
          <w:lang w:eastAsia="zh-CN"/>
        </w:rPr>
        <w:t>）</w:t>
      </w:r>
      <w:r>
        <w:rPr>
          <w:rFonts w:ascii="Times New Roman" w:eastAsia="仿宋_GB2312" w:cs="Times New Roman" w:hAnsi="Times New Roman"/>
          <w:color w:val="000000"/>
          <w:sz w:val="32"/>
          <w:szCs w:val="32"/>
        </w:rPr>
        <w:t>工作要求，着力提升财政资源配置效率和使用效益，切实压实各部门（单位）绩效管理主体责任，立足工作实际，聚焦重点难点，</w:t>
      </w:r>
      <w:r>
        <w:rPr>
          <w:rFonts w:ascii="Times New Roman" w:eastAsia="仿宋_GB2312" w:cs="Times New Roman" w:hAnsi="Times New Roman"/>
          <w:color w:val="000000"/>
          <w:sz w:val="32"/>
          <w:szCs w:val="32"/>
          <w:lang w:eastAsia="zh-CN"/>
        </w:rPr>
        <w:t>今年</w:t>
      </w:r>
      <w:r>
        <w:rPr>
          <w:rFonts w:ascii="Times New Roman" w:eastAsia="仿宋_GB2312" w:cs="Times New Roman" w:hAnsi="Times New Roman"/>
          <w:color w:val="000000"/>
          <w:kern w:val="0"/>
          <w:sz w:val="32"/>
          <w:szCs w:val="32"/>
          <w:lang w:val="en-US" w:eastAsia="zh-CN"/>
        </w:rPr>
        <w:t>我</w:t>
      </w:r>
      <w:r>
        <w:rPr>
          <w:rFonts w:ascii="Times New Roman" w:eastAsia="仿宋_GB2312" w:cs="Times New Roman" w:hAnsi="Times New Roman" w:hint="eastAsia"/>
          <w:color w:val="000000"/>
          <w:kern w:val="0"/>
          <w:sz w:val="32"/>
          <w:szCs w:val="32"/>
          <w:lang w:val="en-US" w:eastAsia="zh-CN"/>
        </w:rPr>
        <w:t>县</w:t>
      </w:r>
      <w:r>
        <w:rPr>
          <w:rFonts w:ascii="Times New Roman" w:eastAsia="仿宋_GB2312" w:cs="Times New Roman" w:hAnsi="Times New Roman"/>
          <w:sz w:val="32"/>
          <w:szCs w:val="32"/>
          <w:lang w:eastAsia="zh-CN"/>
        </w:rPr>
        <w:t>组织</w:t>
      </w:r>
      <w:r>
        <w:rPr>
          <w:rFonts w:ascii="Times New Roman" w:eastAsia="仿宋_GB2312" w:cs="Times New Roman" w:hAnsi="Times New Roman"/>
          <w:bCs/>
          <w:sz w:val="32"/>
          <w:szCs w:val="32"/>
          <w:lang w:val="en-US" w:eastAsia="zh-CN" w:bidi="ar-SA"/>
          <w:highlight w:val="auto"/>
        </w:rPr>
        <w:t>对</w:t>
      </w:r>
      <w:r>
        <w:rPr>
          <w:rFonts w:ascii="Times New Roman" w:eastAsia="仿宋_GB2312" w:cs="Times New Roman" w:hAnsi="Times New Roman"/>
          <w:color w:val="000000"/>
          <w:kern w:val="0"/>
          <w:sz w:val="32"/>
          <w:szCs w:val="32"/>
          <w:lang w:val="en-US" w:eastAsia="zh-CN"/>
        </w:rPr>
        <w:t>2</w:t>
      </w:r>
      <w:r>
        <w:rPr>
          <w:rFonts w:ascii="Times New Roman" w:cs="Times New Roman" w:hAnsi="Times New Roman"/>
          <w:color w:val="000000"/>
          <w:kern w:val="0"/>
          <w:sz w:val="32"/>
          <w:szCs w:val="32"/>
          <w:lang w:val="en-US" w:eastAsia="zh-CN"/>
        </w:rPr>
        <w:t>8</w:t>
      </w:r>
      <w:r>
        <w:rPr>
          <w:rFonts w:ascii="Times New Roman" w:eastAsia="仿宋_GB2312" w:cs="Times New Roman" w:hAnsi="Times New Roman"/>
          <w:bCs/>
          <w:sz w:val="32"/>
          <w:szCs w:val="32"/>
          <w:lang w:val="en-US" w:eastAsia="zh-CN" w:bidi="ar-SA"/>
          <w:highlight w:val="auto"/>
        </w:rPr>
        <w:t>个部门</w:t>
      </w:r>
      <w:r>
        <w:rPr>
          <w:rFonts w:ascii="Times New Roman" w:eastAsia="仿宋_GB2312" w:cs="Times New Roman" w:hAnsi="Times New Roman"/>
          <w:bCs/>
          <w:sz w:val="32"/>
          <w:szCs w:val="32"/>
          <w:u w:val="none"/>
          <w:lang w:val="en-US" w:eastAsia="zh-CN" w:bidi="ar-SA"/>
          <w:highlight w:val="auto"/>
        </w:rPr>
        <w:t>整体支出</w:t>
      </w:r>
      <w:r>
        <w:rPr>
          <w:rFonts w:ascii="Times New Roman" w:cs="Times New Roman" w:hAnsi="Times New Roman"/>
          <w:bCs/>
          <w:sz w:val="32"/>
          <w:szCs w:val="32"/>
          <w:u w:val="none"/>
          <w:lang w:val="en-US" w:eastAsia="zh-CN" w:bidi="ar-SA"/>
          <w:highlight w:val="auto"/>
        </w:rPr>
        <w:t>、</w:t>
      </w:r>
      <w:r>
        <w:rPr>
          <w:rFonts w:ascii="Times New Roman" w:eastAsia="仿宋_GB2312" w:cs="Times New Roman" w:hAnsi="Times New Roman"/>
          <w:color w:val="000000"/>
          <w:kern w:val="0"/>
          <w:sz w:val="32"/>
          <w:szCs w:val="32"/>
          <w:lang w:val="en-US" w:eastAsia="zh-CN"/>
        </w:rPr>
        <w:t>9</w:t>
      </w:r>
      <w:r>
        <w:rPr>
          <w:rFonts w:ascii="Times New Roman" w:cs="Times New Roman" w:hAnsi="Times New Roman"/>
          <w:bCs/>
          <w:sz w:val="32"/>
          <w:szCs w:val="32"/>
          <w:lang w:val="en-US" w:eastAsia="zh-CN" w:bidi="ar-SA"/>
          <w:highlight w:val="auto"/>
        </w:rPr>
        <w:t>个</w:t>
      </w:r>
      <w:r>
        <w:rPr>
          <w:rFonts w:ascii="Times New Roman" w:eastAsia="仿宋_GB2312" w:cs="Times New Roman" w:hAnsi="Times New Roman"/>
          <w:bCs/>
          <w:sz w:val="32"/>
          <w:szCs w:val="32"/>
          <w:lang w:val="en-US" w:eastAsia="zh-CN" w:bidi="ar-SA"/>
          <w:highlight w:val="auto"/>
        </w:rPr>
        <w:t>政策支</w:t>
      </w:r>
      <w:r>
        <w:rPr>
          <w:rFonts w:ascii="Times New Roman" w:cs="Times New Roman" w:hAnsi="Times New Roman"/>
          <w:bCs/>
          <w:sz w:val="32"/>
          <w:szCs w:val="32"/>
          <w:lang w:val="en-US" w:eastAsia="zh-CN" w:bidi="ar-SA"/>
          <w:highlight w:val="auto"/>
        </w:rPr>
        <w:t>出和</w:t>
      </w:r>
      <w:r>
        <w:rPr>
          <w:rFonts w:ascii="Times New Roman" w:eastAsia="仿宋_GB2312" w:cs="Times New Roman" w:hAnsi="Times New Roman"/>
          <w:color w:val="000000"/>
          <w:kern w:val="0"/>
          <w:sz w:val="32"/>
          <w:szCs w:val="32"/>
          <w:lang w:val="en-US" w:eastAsia="zh-CN"/>
        </w:rPr>
        <w:t>81个项目支出情况实施财政重点绩效评价，现将工作开展情况</w:t>
      </w:r>
      <w:r>
        <w:rPr>
          <w:rFonts w:ascii="Times New Roman" w:eastAsia="仿宋_GB2312" w:cs="Times New Roman" w:hAnsi="Times New Roman" w:hint="eastAsia"/>
          <w:color w:val="000000"/>
          <w:kern w:val="0"/>
          <w:sz w:val="32"/>
          <w:szCs w:val="32"/>
          <w:lang w:val="en-US" w:eastAsia="zh-CN"/>
        </w:rPr>
        <w:t>公示</w:t>
      </w:r>
      <w:r>
        <w:rPr>
          <w:rFonts w:ascii="Times New Roman" w:eastAsia="仿宋_GB2312" w:cs="Times New Roman" w:hAnsi="Times New Roman"/>
          <w:color w:val="000000"/>
          <w:kern w:val="0"/>
          <w:sz w:val="32"/>
          <w:szCs w:val="32"/>
          <w:lang w:val="en-US" w:eastAsia="zh-CN"/>
        </w:rPr>
        <w:t>如下。</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Chars="200" w:firstLine="632"/>
        <w:textAlignment w:val="auto"/>
        <w:rPr>
          <w:rFonts w:ascii="Times New Roman" w:eastAsia="仿宋_GB2312" w:cs="Times New Roman" w:hAnsi="Times New Roman"/>
          <w:sz w:val="32"/>
          <w:szCs w:val="32"/>
          <w:lang w:val="en-US" w:eastAsia="zh-CN"/>
          <w:highlight w:val="auto"/>
        </w:rPr>
      </w:pPr>
      <w:r>
        <w:rPr>
          <w:rFonts w:ascii="Times New Roman" w:eastAsia="黑体" w:cs="Times New Roman" w:hAnsi="Times New Roman"/>
          <w:sz w:val="32"/>
          <w:szCs w:val="32"/>
          <w:lang w:val="en-US" w:eastAsia="zh-CN"/>
          <w:highlight w:val="auto"/>
        </w:rPr>
        <w:t>一、绩效评价的组织管理及评价程序</w:t>
      </w:r>
    </w:p>
    <w:p>
      <w:pPr>
        <w:pStyle w:val="17"/>
        <w:keepNext w:val="0"/>
        <w:keepLines w:val="0"/>
        <w:pageBreakBefore w:val="0"/>
        <w:widowControl w:val="0"/>
        <w:kinsoku/>
        <w:wordWrap/>
        <w:overflowPunct/>
        <w:topLinePunct w:val="0"/>
        <w:autoSpaceDE/>
        <w:autoSpaceDN/>
        <w:bidi w:val="0"/>
        <w:adjustRightInd/>
        <w:snapToGrid/>
        <w:spacing w:after="0" w:line="560" w:lineRule="exact"/>
        <w:ind w:firstLineChars="200" w:firstLine="632"/>
        <w:jc w:val="both"/>
        <w:textAlignment w:val="auto"/>
        <w:rPr>
          <w:rFonts w:ascii="Times New Roman" w:cs="Times New Roman" w:hAnsi="Times New Roman"/>
          <w:lang w:val="en-US" w:eastAsia="zh-CN"/>
        </w:rPr>
      </w:pPr>
      <w:r>
        <w:rPr>
          <w:rFonts w:ascii="Times New Roman" w:eastAsia="仿宋_GB2312" w:cs="Times New Roman" w:hAnsi="Times New Roman"/>
          <w:color w:val="000000"/>
          <w:sz w:val="32"/>
          <w:szCs w:val="32"/>
          <w:lang w:val="en-US" w:eastAsia="zh-CN"/>
          <w:highlight w:val="auto"/>
        </w:rPr>
        <w:t>为深入贯彻落实党中央、省和州委州政府关于全面实施预算绩效管理决策部署，认真落实《中共阿坝州委办公室 阿坝州人民政府办公室印发贯彻落实&lt;中共四川省委办公厅 四川省人民政府办公厅关于深入推进实施预算绩效管理的通知&gt;实施方案的通知》（阿委办〔</w:t>
      </w:r>
      <w:r>
        <w:rPr>
          <w:rFonts w:ascii="Times New Roman" w:eastAsia="仿宋_GB2312" w:cs="Times New Roman" w:hAnsi="Times New Roman"/>
          <w:color w:val="000000"/>
          <w:kern w:val="0"/>
          <w:sz w:val="32"/>
          <w:szCs w:val="32"/>
          <w:lang w:val="en-US" w:eastAsia="zh-CN"/>
        </w:rPr>
        <w:t>2022〕84</w:t>
      </w:r>
      <w:r>
        <w:rPr>
          <w:rFonts w:ascii="Times New Roman" w:eastAsia="仿宋_GB2312" w:cs="Times New Roman" w:hAnsi="Times New Roman"/>
          <w:color w:val="000000"/>
          <w:sz w:val="32"/>
          <w:szCs w:val="32"/>
          <w:lang w:val="en-US" w:eastAsia="zh-CN"/>
          <w:highlight w:val="auto"/>
        </w:rPr>
        <w:t>号）精神，全面深入推进预算绩效管理改革，加快实现我县</w:t>
      </w:r>
      <w:r>
        <w:rPr>
          <w:rFonts w:ascii="Times New Roman" w:eastAsia="仿宋_GB2312" w:cs="Times New Roman" w:hAnsi="Times New Roman"/>
          <w:color w:val="000000"/>
          <w:kern w:val="0"/>
          <w:sz w:val="32"/>
          <w:szCs w:val="32"/>
          <w:lang w:val="en-US" w:eastAsia="zh-CN"/>
        </w:rPr>
        <w:t>预算</w:t>
      </w:r>
      <w:r>
        <w:rPr>
          <w:rFonts w:ascii="Times New Roman" w:eastAsia="仿宋_GB2312" w:cs="Times New Roman" w:hAnsi="Times New Roman"/>
          <w:color w:val="000000"/>
          <w:sz w:val="32"/>
          <w:szCs w:val="32"/>
          <w:lang w:val="en-US" w:eastAsia="zh-CN"/>
          <w:highlight w:val="auto"/>
        </w:rPr>
        <w:t>绩效“全方位、全过程、全覆盖”机制建设。3月对预算绩效管理工作领导小组成员进行调整</w:t>
      </w:r>
      <w:r>
        <w:rPr>
          <w:rFonts w:ascii="Times New Roman" w:eastAsia="仿宋_GB2312" w:cs="Times New Roman" w:hAnsi="Times New Roman"/>
          <w:color w:val="000000"/>
          <w:sz w:val="32"/>
          <w:szCs w:val="32"/>
          <w:lang w:eastAsia="zh-CN"/>
          <w:highlight w:val="auto"/>
        </w:rPr>
        <w:t>，细化</w:t>
      </w:r>
      <w:r>
        <w:rPr>
          <w:rFonts w:ascii="Times New Roman" w:cs="Times New Roman" w:hAnsi="Times New Roman"/>
          <w:color w:val="000000"/>
          <w:sz w:val="32"/>
          <w:szCs w:val="32"/>
          <w:lang w:eastAsia="zh-CN"/>
          <w:highlight w:val="auto"/>
        </w:rPr>
        <w:t>了</w:t>
      </w:r>
      <w:r>
        <w:rPr>
          <w:rFonts w:ascii="Times New Roman" w:eastAsia="仿宋_GB2312" w:cs="Times New Roman" w:hAnsi="Times New Roman"/>
          <w:color w:val="000000"/>
          <w:sz w:val="32"/>
          <w:szCs w:val="32"/>
          <w:lang w:eastAsia="zh-CN"/>
          <w:highlight w:val="auto"/>
        </w:rPr>
        <w:t>领导小组主要职责、</w:t>
      </w:r>
      <w:r>
        <w:rPr>
          <w:rFonts w:ascii="Times New Roman" w:eastAsia="仿宋_GB2312" w:cs="Times New Roman" w:hAnsi="Times New Roman"/>
          <w:color w:val="000000"/>
          <w:sz w:val="32"/>
          <w:szCs w:val="32"/>
          <w:lang w:val="en-US" w:eastAsia="zh-CN"/>
          <w:highlight w:val="auto"/>
        </w:rPr>
        <w:t>领导小组办公室主要职责及工作细则。</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32"/>
        <w:jc w:val="both"/>
        <w:textAlignment w:val="auto"/>
        <w:rPr>
          <w:rFonts w:ascii="Times New Roman" w:eastAsia="仿宋_GB2312" w:cs="Times New Roman" w:hAnsi="Times New Roman"/>
          <w:sz w:val="32"/>
          <w:szCs w:val="32"/>
        </w:rPr>
      </w:pPr>
      <w:r>
        <w:rPr>
          <w:rFonts w:ascii="Times New Roman" w:eastAsia="仿宋_GB2312" w:cs="Times New Roman" w:hAnsi="Times New Roman"/>
          <w:kern w:val="2"/>
          <w:sz w:val="32"/>
          <w:szCs w:val="24"/>
          <w:lang w:val="en-US" w:eastAsia="zh-CN" w:bidi="ar-SA"/>
        </w:rPr>
        <w:t>财政重点绩效评价分为</w:t>
      </w:r>
      <w:r>
        <w:rPr>
          <w:rFonts w:ascii="Times New Roman" w:cs="Times New Roman" w:hAnsi="Times New Roman"/>
          <w:kern w:val="2"/>
          <w:sz w:val="32"/>
          <w:szCs w:val="24"/>
          <w:lang w:val="en-US" w:eastAsia="zh-CN" w:bidi="ar-SA"/>
        </w:rPr>
        <w:t>三</w:t>
      </w:r>
      <w:r>
        <w:rPr>
          <w:rFonts w:ascii="Times New Roman" w:eastAsia="仿宋_GB2312" w:cs="Times New Roman" w:hAnsi="Times New Roman"/>
          <w:kern w:val="2"/>
          <w:sz w:val="32"/>
          <w:szCs w:val="24"/>
          <w:lang w:val="en-US" w:eastAsia="zh-CN" w:bidi="ar-SA"/>
        </w:rPr>
        <w:t>个阶段，分别是前期准备阶段、绩效评价实施</w:t>
      </w:r>
      <w:r>
        <w:rPr>
          <w:rFonts w:ascii="Times New Roman" w:eastAsia="仿宋_GB2312" w:cs="Times New Roman" w:hAnsi="Times New Roman"/>
          <w:sz w:val="32"/>
          <w:szCs w:val="32"/>
        </w:rPr>
        <w:t>阶段和撰写报告阶段。</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Chars="200" w:firstLine="632"/>
        <w:textAlignment w:val="auto"/>
        <w:rPr>
          <w:rFonts w:ascii="Times New Roman" w:eastAsia="楷体_GB2312" w:cs="Times New Roman" w:hAnsi="Times New Roman"/>
          <w:b/>
          <w:bCs w:val="0"/>
          <w:sz w:val="32"/>
          <w:szCs w:val="32"/>
          <w:lang w:eastAsia="zh-CN"/>
          <w:highlight w:val="auto"/>
        </w:rPr>
      </w:pPr>
      <w:r>
        <w:rPr>
          <w:rFonts w:ascii="Times New Roman" w:eastAsia="楷体_GB2312" w:cs="Times New Roman" w:hAnsi="Times New Roman"/>
          <w:b/>
          <w:bCs w:val="0"/>
          <w:sz w:val="32"/>
          <w:szCs w:val="32"/>
          <w:lang w:eastAsia="zh-CN"/>
          <w:highlight w:val="auto"/>
        </w:rPr>
        <w:t>（一）</w:t>
      </w:r>
      <w:r>
        <w:rPr>
          <w:rFonts w:ascii="Times New Roman" w:eastAsia="楷体_GB2312" w:cs="Times New Roman" w:hAnsi="Times New Roman"/>
          <w:b/>
          <w:bCs w:val="0"/>
          <w:sz w:val="32"/>
          <w:szCs w:val="32"/>
          <w:lang w:val="en-US" w:eastAsia="zh-CN"/>
          <w:highlight w:val="auto"/>
        </w:rPr>
        <w:t xml:space="preserve">前期准备阶段（5月-6月） </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Chars="200" w:firstLine="632"/>
        <w:jc w:val="left"/>
        <w:textAlignment w:val="auto"/>
        <w:rPr>
          <w:rFonts w:ascii="Times New Roman" w:eastAsia="仿宋_GB2312" w:cs="Times New Roman" w:hAnsi="Times New Roman"/>
          <w:kern w:val="2"/>
          <w:sz w:val="32"/>
          <w:szCs w:val="32"/>
          <w:lang w:val="en-US" w:eastAsia="zh-CN" w:bidi="ar-SA"/>
        </w:rPr>
      </w:pPr>
      <w:r>
        <w:rPr>
          <w:rFonts w:ascii="Times New Roman" w:eastAsia="仿宋_GB2312" w:cs="Times New Roman" w:hAnsi="Times New Roman"/>
          <w:color w:val="000000"/>
          <w:sz w:val="32"/>
          <w:szCs w:val="32"/>
          <w:lang w:val="en-US" w:eastAsia="zh-CN"/>
          <w:highlight w:val="auto"/>
        </w:rPr>
        <w:t>预算绩效管理工作领导小组</w:t>
      </w:r>
      <w:r>
        <w:rPr>
          <w:rFonts w:ascii="Times New Roman" w:eastAsia="仿宋_GB2312" w:cs="Times New Roman" w:hAnsi="Times New Roman"/>
          <w:sz w:val="32"/>
          <w:szCs w:val="32"/>
        </w:rPr>
        <w:t>，</w:t>
      </w:r>
      <w:r>
        <w:rPr>
          <w:rFonts w:ascii="Times New Roman" w:eastAsia="仿宋_GB2312" w:cs="Times New Roman" w:hAnsi="Times New Roman"/>
          <w:color w:val="000000"/>
          <w:kern w:val="0"/>
          <w:sz w:val="32"/>
          <w:szCs w:val="32"/>
          <w:lang w:val="en-US" w:eastAsia="zh-CN"/>
        </w:rPr>
        <w:t>制定评价工作方案，</w:t>
      </w:r>
      <w:r>
        <w:rPr>
          <w:rFonts w:ascii="Times New Roman" w:eastAsia="仿宋_GB2312" w:cs="Times New Roman" w:hAnsi="Times New Roman"/>
          <w:sz w:val="32"/>
          <w:szCs w:val="32"/>
        </w:rPr>
        <w:t>完善指标体系，</w:t>
      </w:r>
      <w:r>
        <w:rPr>
          <w:rFonts w:ascii="Times New Roman" w:eastAsia="仿宋_GB2312" w:cs="Times New Roman" w:hAnsi="Times New Roman"/>
          <w:color w:val="000000"/>
          <w:kern w:val="0"/>
          <w:sz w:val="32"/>
          <w:szCs w:val="32"/>
          <w:lang w:val="en-US" w:eastAsia="zh-CN"/>
        </w:rPr>
        <w:t>重点关注乡村振兴、生态环保、产业发展等领域相关项目</w:t>
      </w:r>
      <w:r>
        <w:rPr>
          <w:rFonts w:ascii="Times New Roman" w:eastAsia="仿宋_GB2312" w:cs="Times New Roman" w:hAnsi="Times New Roman"/>
          <w:kern w:val="2"/>
          <w:sz w:val="32"/>
          <w:szCs w:val="32"/>
          <w:lang w:val="en-US" w:eastAsia="zh-CN" w:bidi="ar-SA"/>
        </w:rPr>
        <w:t>，经征求多方意见并反复筛选后，</w:t>
      </w:r>
      <w:r>
        <w:rPr>
          <w:rFonts w:ascii="Times New Roman" w:eastAsia="仿宋_GB2312" w:cs="Times New Roman" w:hAnsi="Times New Roman"/>
          <w:color w:val="000000"/>
          <w:kern w:val="0"/>
          <w:sz w:val="32"/>
          <w:szCs w:val="32"/>
          <w:lang w:val="en-US" w:eastAsia="zh-CN"/>
        </w:rPr>
        <w:t>选取</w:t>
      </w:r>
      <w:r>
        <w:rPr>
          <w:rFonts w:ascii="Times New Roman" w:eastAsia="仿宋_GB2312" w:cs="Times New Roman" w:hAnsi="Times New Roman"/>
          <w:kern w:val="2"/>
          <w:sz w:val="32"/>
          <w:szCs w:val="32"/>
          <w:lang w:val="en-US" w:eastAsia="zh-CN" w:bidi="ar-SA"/>
        </w:rPr>
        <w:t>了</w:t>
      </w:r>
      <w:r>
        <w:rPr>
          <w:rFonts w:ascii="Times New Roman" w:eastAsia="仿宋_GB2312" w:cs="Times New Roman" w:hAnsi="Times New Roman"/>
          <w:color w:val="000000"/>
          <w:kern w:val="0"/>
          <w:sz w:val="32"/>
          <w:szCs w:val="32"/>
          <w:lang w:val="en-US" w:eastAsia="zh-CN"/>
        </w:rPr>
        <w:t>90</w:t>
      </w:r>
      <w:r>
        <w:rPr>
          <w:rFonts w:ascii="Times New Roman" w:eastAsia="仿宋_GB2312" w:cs="Times New Roman" w:hAnsi="Times New Roman"/>
          <w:kern w:val="2"/>
          <w:sz w:val="32"/>
          <w:szCs w:val="32"/>
          <w:lang w:val="en-US" w:eastAsia="zh-CN" w:bidi="ar-SA"/>
        </w:rPr>
        <w:t>个</w:t>
      </w:r>
      <w:r>
        <w:rPr>
          <w:rFonts w:ascii="Times New Roman" w:cs="Times New Roman" w:hAnsi="Times New Roman"/>
          <w:kern w:val="2"/>
          <w:sz w:val="32"/>
          <w:szCs w:val="32"/>
          <w:lang w:val="en-US" w:eastAsia="zh-CN" w:bidi="ar-SA"/>
        </w:rPr>
        <w:t>政策（</w:t>
      </w:r>
      <w:r>
        <w:rPr>
          <w:rFonts w:ascii="Times New Roman" w:eastAsia="仿宋_GB2312" w:cs="Times New Roman" w:hAnsi="Times New Roman"/>
          <w:kern w:val="2"/>
          <w:sz w:val="32"/>
          <w:szCs w:val="32"/>
          <w:lang w:val="en-US" w:eastAsia="zh-CN" w:bidi="ar-SA"/>
        </w:rPr>
        <w:t>项目</w:t>
      </w:r>
      <w:r>
        <w:rPr>
          <w:rFonts w:ascii="Times New Roman" w:cs="Times New Roman" w:hAnsi="Times New Roman"/>
          <w:kern w:val="2"/>
          <w:sz w:val="32"/>
          <w:szCs w:val="32"/>
          <w:lang w:val="en-US" w:eastAsia="zh-CN" w:bidi="ar-SA"/>
        </w:rPr>
        <w:t>）</w:t>
      </w:r>
      <w:r>
        <w:rPr>
          <w:rFonts w:ascii="Times New Roman" w:eastAsia="仿宋_GB2312" w:cs="Times New Roman" w:hAnsi="Times New Roman"/>
          <w:kern w:val="2"/>
          <w:sz w:val="32"/>
          <w:szCs w:val="32"/>
          <w:lang w:val="en-US" w:eastAsia="zh-CN" w:bidi="ar-SA"/>
        </w:rPr>
        <w:t>开展绩效评价，涉及资金</w:t>
      </w:r>
      <w:r>
        <w:rPr>
          <w:rFonts w:ascii="Times New Roman" w:eastAsia="仿宋_GB2312" w:cs="Times New Roman" w:hAnsi="Times New Roman"/>
          <w:color w:val="000000"/>
          <w:kern w:val="0"/>
          <w:sz w:val="32"/>
          <w:szCs w:val="32"/>
          <w:lang w:val="en-US" w:eastAsia="zh-CN"/>
        </w:rPr>
        <w:t>29,174.19</w:t>
      </w:r>
      <w:r>
        <w:rPr>
          <w:rFonts w:ascii="Times New Roman" w:eastAsia="仿宋_GB2312" w:cs="Times New Roman" w:hAnsi="Times New Roman"/>
          <w:kern w:val="2"/>
          <w:sz w:val="32"/>
          <w:szCs w:val="32"/>
          <w:lang w:val="en-US" w:eastAsia="zh-CN" w:bidi="ar-SA"/>
        </w:rPr>
        <w:t>万元，其中涉及政府性基金或社保基金</w:t>
      </w:r>
      <w:r>
        <w:rPr>
          <w:rFonts w:ascii="Times New Roman" w:cs="Times New Roman" w:hAnsi="Times New Roman"/>
          <w:kern w:val="2"/>
          <w:sz w:val="32"/>
          <w:szCs w:val="32"/>
          <w:lang w:val="en-US" w:eastAsia="zh-CN" w:bidi="ar-SA"/>
        </w:rPr>
        <w:t>3</w:t>
      </w:r>
      <w:r>
        <w:rPr>
          <w:rFonts w:ascii="Times New Roman" w:eastAsia="仿宋_GB2312" w:cs="Times New Roman" w:hAnsi="Times New Roman"/>
          <w:kern w:val="2"/>
          <w:sz w:val="32"/>
          <w:szCs w:val="32"/>
          <w:lang w:val="en-US" w:eastAsia="zh-CN" w:bidi="ar-SA"/>
        </w:rPr>
        <w:t>个项目</w:t>
      </w:r>
      <w:r>
        <w:rPr>
          <w:rFonts w:ascii="Times New Roman" w:cs="Times New Roman" w:hAnsi="Times New Roman"/>
          <w:kern w:val="2"/>
          <w:sz w:val="32"/>
          <w:szCs w:val="32"/>
          <w:lang w:val="en-US" w:eastAsia="zh-CN" w:bidi="ar-SA"/>
        </w:rPr>
        <w:t>784.3</w:t>
      </w:r>
      <w:r>
        <w:rPr>
          <w:rFonts w:ascii="Times New Roman" w:eastAsia="仿宋_GB2312" w:cs="Times New Roman" w:hAnsi="Times New Roman"/>
          <w:kern w:val="2"/>
          <w:sz w:val="32"/>
          <w:szCs w:val="32"/>
          <w:lang w:val="en-US" w:eastAsia="zh-CN" w:bidi="ar-SA"/>
        </w:rPr>
        <w:t>万元 、采购项目</w:t>
      </w:r>
      <w:r>
        <w:rPr>
          <w:rFonts w:ascii="Times New Roman" w:cs="Times New Roman" w:hAnsi="Times New Roman"/>
          <w:kern w:val="2"/>
          <w:sz w:val="32"/>
          <w:szCs w:val="32"/>
          <w:lang w:val="en-US" w:eastAsia="zh-CN" w:bidi="ar-SA"/>
        </w:rPr>
        <w:t>6</w:t>
      </w:r>
      <w:r>
        <w:rPr>
          <w:rFonts w:ascii="Times New Roman" w:eastAsia="仿宋_GB2312" w:cs="Times New Roman" w:hAnsi="Times New Roman"/>
          <w:kern w:val="2"/>
          <w:sz w:val="32"/>
          <w:szCs w:val="32"/>
          <w:lang w:val="en-US" w:eastAsia="zh-CN" w:bidi="ar-SA"/>
        </w:rPr>
        <w:t>个</w:t>
      </w:r>
      <w:r>
        <w:rPr>
          <w:rFonts w:ascii="Times New Roman" w:cs="Times New Roman" w:hAnsi="Times New Roman"/>
          <w:kern w:val="2"/>
          <w:sz w:val="32"/>
          <w:szCs w:val="32"/>
          <w:lang w:val="en-US" w:eastAsia="zh-CN" w:bidi="ar-SA"/>
        </w:rPr>
        <w:t>1248.71</w:t>
      </w:r>
      <w:r>
        <w:rPr>
          <w:rFonts w:ascii="Times New Roman" w:eastAsia="仿宋_GB2312" w:cs="Times New Roman" w:hAnsi="Times New Roman"/>
          <w:kern w:val="2"/>
          <w:sz w:val="32"/>
          <w:szCs w:val="32"/>
          <w:lang w:val="en-US" w:eastAsia="zh-CN" w:bidi="ar-SA"/>
        </w:rPr>
        <w:t>万元 、政策类</w:t>
      </w:r>
      <w:r>
        <w:rPr>
          <w:rFonts w:ascii="Times New Roman" w:cs="Times New Roman" w:hAnsi="Times New Roman"/>
          <w:kern w:val="2"/>
          <w:sz w:val="32"/>
          <w:szCs w:val="32"/>
          <w:lang w:val="en-US" w:eastAsia="zh-CN" w:bidi="ar-SA"/>
        </w:rPr>
        <w:t>9</w:t>
      </w:r>
      <w:r>
        <w:rPr>
          <w:rFonts w:ascii="Times New Roman" w:eastAsia="仿宋_GB2312" w:cs="Times New Roman" w:hAnsi="Times New Roman"/>
          <w:kern w:val="2"/>
          <w:sz w:val="32"/>
          <w:szCs w:val="32"/>
          <w:lang w:val="en-US" w:eastAsia="zh-CN" w:bidi="ar-SA"/>
        </w:rPr>
        <w:t>个项目</w:t>
      </w:r>
      <w:r>
        <w:rPr>
          <w:rFonts w:ascii="Times New Roman" w:cs="Times New Roman" w:hAnsi="Times New Roman"/>
          <w:kern w:val="2"/>
          <w:sz w:val="32"/>
          <w:szCs w:val="32"/>
          <w:lang w:val="en-US" w:eastAsia="zh-CN" w:bidi="ar-SA"/>
        </w:rPr>
        <w:t>6046.98</w:t>
      </w:r>
      <w:r>
        <w:rPr>
          <w:rFonts w:ascii="Times New Roman" w:eastAsia="仿宋_GB2312" w:cs="Times New Roman" w:hAnsi="Times New Roman"/>
          <w:kern w:val="2"/>
          <w:sz w:val="32"/>
          <w:szCs w:val="32"/>
          <w:lang w:val="en-US" w:eastAsia="zh-CN" w:bidi="ar-SA"/>
        </w:rPr>
        <w:t>万元 ；选取</w:t>
      </w:r>
      <w:r>
        <w:rPr>
          <w:rFonts w:ascii="Times New Roman" w:cs="Times New Roman" w:hAnsi="Times New Roman"/>
          <w:kern w:val="2"/>
          <w:sz w:val="32"/>
          <w:szCs w:val="32"/>
          <w:lang w:val="en-US" w:eastAsia="zh-CN" w:bidi="ar-SA"/>
        </w:rPr>
        <w:t>28</w:t>
      </w:r>
      <w:r>
        <w:rPr>
          <w:rFonts w:ascii="Times New Roman" w:eastAsia="仿宋_GB2312" w:cs="Times New Roman" w:hAnsi="Times New Roman"/>
          <w:kern w:val="2"/>
          <w:sz w:val="32"/>
          <w:szCs w:val="32"/>
          <w:lang w:val="en-US" w:eastAsia="zh-CN" w:bidi="ar-SA"/>
        </w:rPr>
        <w:t>个部门开展整体支出绩效评价工作</w:t>
      </w:r>
      <w:r>
        <w:rPr>
          <w:rFonts w:cs="Times New Roman" w:hint="eastAsia"/>
          <w:kern w:val="2"/>
          <w:sz w:val="32"/>
          <w:szCs w:val="32"/>
          <w:lang w:val="en-US" w:eastAsia="zh-CN" w:bidi="ar-SA"/>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Chars="200" w:firstLine="632"/>
        <w:jc w:val="both"/>
        <w:textAlignment w:val="auto"/>
        <w:rPr>
          <w:rFonts w:ascii="Times New Roman" w:eastAsia="仿宋_GB2312" w:cs="Times New Roman" w:hAnsi="Times New Roman"/>
          <w:b/>
          <w:bCs/>
          <w:kern w:val="2"/>
          <w:sz w:val="32"/>
          <w:szCs w:val="32"/>
          <w:lang w:val="en-US" w:eastAsia="zh-CN" w:bidi="ar-SA"/>
        </w:rPr>
      </w:pPr>
      <w:r>
        <w:rPr>
          <w:rFonts w:ascii="Times New Roman" w:eastAsia="仿宋_GB2312" w:cs="Times New Roman" w:hAnsi="Times New Roman"/>
          <w:color w:val="000000"/>
          <w:kern w:val="0"/>
          <w:sz w:val="32"/>
          <w:szCs w:val="32"/>
          <w:lang w:val="en-US" w:eastAsia="zh-CN"/>
        </w:rPr>
        <w:t>6</w:t>
      </w:r>
      <w:r>
        <w:rPr>
          <w:rFonts w:ascii="Times New Roman" w:eastAsia="仿宋_GB2312" w:cs="Times New Roman" w:hAnsi="Times New Roman"/>
          <w:color w:val="000000"/>
          <w:kern w:val="0"/>
          <w:sz w:val="32"/>
          <w:szCs w:val="32"/>
          <w:lang w:val="en-US" w:eastAsia="zh-CN"/>
          <w:highlight w:val="auto"/>
        </w:rPr>
        <w:t>月</w:t>
      </w:r>
      <w:r>
        <w:rPr>
          <w:rFonts w:ascii="Times New Roman" w:eastAsia="仿宋_GB2312" w:cs="Times New Roman" w:hAnsi="Times New Roman"/>
          <w:color w:val="000000"/>
          <w:kern w:val="0"/>
          <w:sz w:val="32"/>
          <w:szCs w:val="32"/>
          <w:lang w:val="en-US" w:eastAsia="zh-CN"/>
        </w:rPr>
        <w:t>5</w:t>
      </w:r>
      <w:r>
        <w:rPr>
          <w:rFonts w:ascii="Times New Roman" w:eastAsia="仿宋_GB2312" w:cs="Times New Roman" w:hAnsi="Times New Roman"/>
          <w:color w:val="000000"/>
          <w:kern w:val="0"/>
          <w:sz w:val="32"/>
          <w:szCs w:val="32"/>
          <w:lang w:val="en-US" w:eastAsia="zh-CN"/>
          <w:highlight w:val="auto"/>
        </w:rPr>
        <w:t>日至</w:t>
      </w:r>
      <w:r>
        <w:rPr>
          <w:rFonts w:ascii="Times New Roman" w:eastAsia="仿宋_GB2312" w:cs="Times New Roman" w:hAnsi="Times New Roman"/>
          <w:color w:val="000000"/>
          <w:kern w:val="0"/>
          <w:sz w:val="32"/>
          <w:szCs w:val="32"/>
          <w:lang w:val="en-US" w:eastAsia="zh-CN"/>
        </w:rPr>
        <w:t>6</w:t>
      </w:r>
      <w:r>
        <w:rPr>
          <w:rFonts w:ascii="Times New Roman" w:eastAsia="仿宋_GB2312" w:cs="Times New Roman" w:hAnsi="Times New Roman"/>
          <w:color w:val="000000"/>
          <w:kern w:val="0"/>
          <w:sz w:val="32"/>
          <w:szCs w:val="32"/>
          <w:lang w:val="en-US" w:eastAsia="zh-CN"/>
          <w:highlight w:val="auto"/>
        </w:rPr>
        <w:t>月</w:t>
      </w:r>
      <w:r>
        <w:rPr>
          <w:rFonts w:ascii="Times New Roman" w:eastAsia="仿宋_GB2312" w:cs="Times New Roman" w:hAnsi="Times New Roman"/>
          <w:color w:val="000000"/>
          <w:kern w:val="0"/>
          <w:sz w:val="32"/>
          <w:szCs w:val="32"/>
          <w:lang w:val="en-US" w:eastAsia="zh-CN"/>
        </w:rPr>
        <w:t>30，县级各部门根据《金川县财政局关于开展2023年部门、政策和项目支出绩效评价工作的通知》</w:t>
      </w:r>
      <w:r>
        <w:rPr>
          <w:rFonts w:ascii="Times New Roman" w:cs="Times New Roman" w:hAnsi="Times New Roman"/>
          <w:color w:val="000000"/>
          <w:kern w:val="0"/>
          <w:sz w:val="32"/>
          <w:szCs w:val="32"/>
          <w:lang w:val="en-US" w:eastAsia="zh-CN"/>
        </w:rPr>
        <w:t>（</w:t>
      </w:r>
      <w:r>
        <w:rPr>
          <w:rFonts w:ascii="Times New Roman" w:eastAsia="仿宋_GB2312" w:cs="Times New Roman" w:hAnsi="Times New Roman"/>
          <w:sz w:val="32"/>
          <w:lang w:val="en-US" w:eastAsia="zh-CN"/>
        </w:rPr>
        <w:t>金财监绩</w:t>
      </w:r>
      <w:r>
        <w:rPr>
          <w:rFonts w:ascii="Times New Roman" w:eastAsia="仿宋_GB2312" w:cs="Times New Roman" w:hAnsi="Times New Roman"/>
          <w:sz w:val="32"/>
          <w:szCs w:val="32"/>
          <w:lang w:bidi="ar-SA"/>
        </w:rPr>
        <w:t>〔202</w:t>
      </w:r>
      <w:r>
        <w:rPr>
          <w:rFonts w:ascii="Times New Roman" w:eastAsia="仿宋_GB2312" w:cs="Times New Roman" w:hAnsi="Times New Roman"/>
          <w:sz w:val="32"/>
          <w:szCs w:val="32"/>
          <w:lang w:val="en-US" w:eastAsia="zh-CN" w:bidi="ar-SA"/>
        </w:rPr>
        <w:t>3</w:t>
      </w:r>
      <w:r>
        <w:rPr>
          <w:rFonts w:ascii="Times New Roman" w:eastAsia="仿宋_GB2312" w:cs="Times New Roman" w:hAnsi="Times New Roman"/>
          <w:sz w:val="32"/>
          <w:szCs w:val="32"/>
          <w:lang w:bidi="ar-SA"/>
        </w:rPr>
        <w:t>〕</w:t>
      </w:r>
      <w:r>
        <w:rPr>
          <w:rFonts w:ascii="Times New Roman" w:eastAsia="仿宋_GB2312" w:cs="Times New Roman" w:hAnsi="Times New Roman"/>
          <w:sz w:val="32"/>
          <w:szCs w:val="32"/>
          <w:lang w:val="en-US" w:eastAsia="zh-CN" w:bidi="ar-SA"/>
        </w:rPr>
        <w:t>32</w:t>
      </w:r>
      <w:r>
        <w:rPr>
          <w:rFonts w:ascii="Times New Roman" w:eastAsia="仿宋_GB2312" w:cs="Times New Roman" w:hAnsi="Times New Roman"/>
          <w:sz w:val="32"/>
          <w:szCs w:val="32"/>
          <w:lang w:bidi="ar-SA"/>
        </w:rPr>
        <w:t>号</w:t>
      </w:r>
      <w:r>
        <w:rPr>
          <w:rFonts w:ascii="Times New Roman" w:cs="Times New Roman" w:hAnsi="Times New Roman"/>
          <w:sz w:val="32"/>
          <w:szCs w:val="32"/>
          <w:lang w:eastAsia="zh-CN" w:bidi="ar-SA"/>
        </w:rPr>
        <w:t>）</w:t>
      </w:r>
      <w:r>
        <w:rPr>
          <w:rFonts w:ascii="Times New Roman" w:eastAsia="仿宋_GB2312" w:cs="Times New Roman" w:hAnsi="Times New Roman"/>
          <w:color w:val="000000"/>
          <w:kern w:val="0"/>
          <w:sz w:val="32"/>
          <w:szCs w:val="32"/>
          <w:lang w:val="en-US" w:eastAsia="zh-CN"/>
        </w:rPr>
        <w:t>开展绩效自评，</w:t>
      </w:r>
      <w:r>
        <w:rPr>
          <w:rFonts w:ascii="Times New Roman" w:eastAsia="仿宋_GB2312" w:cs="Times New Roman" w:hAnsi="Times New Roman"/>
          <w:color w:val="000000"/>
          <w:sz w:val="32"/>
          <w:szCs w:val="32"/>
        </w:rPr>
        <w:t>收集整理评价资料</w:t>
      </w:r>
      <w:r>
        <w:rPr>
          <w:rFonts w:ascii="Times New Roman" w:eastAsia="仿宋_GB2312" w:cs="Times New Roman" w:hAnsi="Times New Roman"/>
          <w:color w:val="000000"/>
          <w:sz w:val="32"/>
          <w:szCs w:val="32"/>
          <w:lang w:eastAsia="zh-CN"/>
        </w:rPr>
        <w:t>。县</w:t>
      </w:r>
      <w:r>
        <w:rPr>
          <w:rFonts w:ascii="Times New Roman" w:eastAsia="仿宋_GB2312" w:cs="Times New Roman" w:hAnsi="Times New Roman"/>
          <w:color w:val="000000"/>
          <w:sz w:val="32"/>
          <w:szCs w:val="32"/>
        </w:rPr>
        <w:t>财政局组织评价组收集政策和项目资料，组织开展专题培训。</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Chars="200" w:firstLine="632"/>
        <w:jc w:val="both"/>
        <w:textAlignment w:val="auto"/>
        <w:rPr>
          <w:rFonts w:ascii="Times New Roman" w:eastAsia="楷体_GB2312" w:cs="Times New Roman" w:hAnsi="Times New Roman"/>
          <w:b/>
          <w:bCs/>
          <w:sz w:val="32"/>
          <w:szCs w:val="32"/>
          <w:lang w:val="en-US" w:eastAsia="zh-CN"/>
        </w:rPr>
      </w:pPr>
      <w:r>
        <w:rPr>
          <w:rFonts w:ascii="Times New Roman" w:eastAsia="楷体_GB2312" w:cs="Times New Roman" w:hAnsi="Times New Roman"/>
          <w:b/>
          <w:bCs/>
          <w:kern w:val="2"/>
          <w:sz w:val="32"/>
          <w:szCs w:val="32"/>
          <w:lang w:val="en-US" w:eastAsia="zh-CN" w:bidi="ar-SA"/>
        </w:rPr>
        <w:t>（二）绩效评价实施</w:t>
      </w:r>
      <w:r>
        <w:rPr>
          <w:rFonts w:ascii="Times New Roman" w:eastAsia="楷体_GB2312" w:cs="Times New Roman" w:hAnsi="Times New Roman"/>
          <w:b/>
          <w:bCs/>
          <w:sz w:val="32"/>
          <w:szCs w:val="32"/>
        </w:rPr>
        <w:t>阶段</w:t>
      </w:r>
      <w:r>
        <w:rPr>
          <w:rFonts w:ascii="Times New Roman" w:eastAsia="楷体_GB2312" w:cs="Times New Roman" w:hAnsi="Times New Roman"/>
          <w:b/>
          <w:bCs/>
          <w:sz w:val="32"/>
          <w:szCs w:val="32"/>
          <w:lang w:val="en-US" w:eastAsia="zh-CN"/>
          <w:highlight w:val="auto"/>
        </w:rPr>
        <w:t>（</w:t>
      </w:r>
      <w:r>
        <w:rPr>
          <w:rFonts w:ascii="Times New Roman" w:eastAsia="楷体_GB2312" w:cs="Times New Roman" w:hAnsi="Times New Roman"/>
          <w:b/>
          <w:bCs/>
          <w:color w:val="000000"/>
          <w:kern w:val="0"/>
          <w:sz w:val="32"/>
          <w:szCs w:val="32"/>
          <w:lang w:val="en-US" w:eastAsia="zh-CN"/>
        </w:rPr>
        <w:t>7</w:t>
      </w:r>
      <w:r>
        <w:rPr>
          <w:rFonts w:ascii="Times New Roman" w:eastAsia="楷体_GB2312" w:cs="Times New Roman" w:hAnsi="Times New Roman"/>
          <w:b/>
          <w:bCs/>
          <w:color w:val="000000"/>
          <w:sz w:val="32"/>
          <w:szCs w:val="32"/>
        </w:rPr>
        <w:t>月</w:t>
      </w:r>
      <w:r>
        <w:rPr>
          <w:rFonts w:eastAsia="楷体_GB2312" w:cs="Times New Roman" w:hint="eastAsia"/>
          <w:b/>
          <w:bCs/>
          <w:color w:val="000000"/>
          <w:sz w:val="32"/>
          <w:szCs w:val="32"/>
          <w:lang w:val="en-US" w:eastAsia="zh-CN"/>
        </w:rPr>
        <w:t>-</w:t>
      </w:r>
      <w:r>
        <w:rPr>
          <w:rFonts w:ascii="Times New Roman" w:eastAsia="楷体_GB2312" w:cs="Times New Roman" w:hAnsi="Times New Roman"/>
          <w:b/>
          <w:bCs/>
          <w:color w:val="000000"/>
          <w:sz w:val="32"/>
          <w:szCs w:val="32"/>
          <w:lang w:val="en-US" w:eastAsia="zh-CN"/>
        </w:rPr>
        <w:t>9</w:t>
      </w:r>
      <w:r>
        <w:rPr>
          <w:rFonts w:ascii="Times New Roman" w:eastAsia="楷体_GB2312" w:cs="Times New Roman" w:hAnsi="Times New Roman"/>
          <w:b/>
          <w:bCs/>
          <w:color w:val="000000"/>
          <w:sz w:val="32"/>
          <w:szCs w:val="32"/>
        </w:rPr>
        <w:t>月</w:t>
      </w:r>
      <w:r>
        <w:rPr>
          <w:rFonts w:ascii="Times New Roman" w:eastAsia="楷体_GB2312" w:cs="Times New Roman" w:hAnsi="Times New Roman"/>
          <w:b/>
          <w:bCs/>
          <w:sz w:val="32"/>
          <w:szCs w:val="32"/>
          <w:lang w:val="en-US" w:eastAsia="zh-CN"/>
          <w:highlight w:val="auto"/>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Chars="200" w:firstLine="632"/>
        <w:jc w:val="both"/>
        <w:textAlignment w:val="auto"/>
        <w:rPr>
          <w:rFonts w:ascii="Times New Roman" w:eastAsia="仿宋_GB2312" w:cs="Times New Roman" w:hAnsi="Times New Roman"/>
          <w:color w:val="000000"/>
          <w:kern w:val="0"/>
          <w:sz w:val="32"/>
          <w:szCs w:val="32"/>
          <w:shd w:val="clear" w:color="auto" w:fill="FFFFFF"/>
          <w:lang w:eastAsia="zh-CN"/>
          <w:highlight w:val="auto"/>
        </w:rPr>
      </w:pPr>
      <w:r>
        <w:rPr>
          <w:rFonts w:ascii="Times New Roman" w:eastAsia="仿宋_GB2312" w:cs="Times New Roman" w:hAnsi="Times New Roman"/>
          <w:color w:val="000000"/>
          <w:kern w:val="0"/>
          <w:sz w:val="32"/>
          <w:szCs w:val="32"/>
          <w:shd w:val="clear" w:color="auto" w:fill="FFFFFF"/>
          <w:lang w:eastAsia="zh-CN"/>
          <w:highlight w:val="auto"/>
        </w:rPr>
        <w:t>第三方机构主要采用指标法、因素法、比较法、成本效益法、最低成本法和公众评判法等，根据评价对象的具体情况，综合选用多种评价方法，对</w:t>
      </w:r>
      <w:r>
        <w:rPr>
          <w:rFonts w:ascii="Times New Roman" w:eastAsia="仿宋_GB2312" w:cs="Times New Roman" w:hAnsi="Times New Roman"/>
          <w:kern w:val="2"/>
          <w:sz w:val="32"/>
          <w:szCs w:val="32"/>
          <w:lang w:val="en-US" w:eastAsia="zh-CN" w:bidi="ar-SA"/>
        </w:rPr>
        <w:t>28个部门整体和90个政策（项目）</w:t>
      </w:r>
      <w:r>
        <w:rPr>
          <w:rFonts w:ascii="Times New Roman" w:eastAsia="仿宋_GB2312" w:cs="Times New Roman" w:hAnsi="Times New Roman"/>
          <w:color w:val="000000"/>
          <w:kern w:val="0"/>
          <w:sz w:val="32"/>
          <w:szCs w:val="32"/>
          <w:shd w:val="clear" w:color="auto" w:fill="FFFFFF"/>
          <w:lang w:eastAsia="zh-CN"/>
          <w:highlight w:val="auto"/>
        </w:rPr>
        <w:t>进行客观评价。主要评价过程如下：</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Chars="200" w:firstLine="632"/>
        <w:jc w:val="both"/>
        <w:textAlignment w:val="auto"/>
        <w:rPr>
          <w:rFonts w:ascii="Times New Roman" w:eastAsia="仿宋_GB2312" w:cs="Times New Roman" w:hAnsi="Times New Roman"/>
          <w:color w:val="000000"/>
          <w:kern w:val="0"/>
          <w:sz w:val="32"/>
          <w:szCs w:val="32"/>
          <w:shd w:val="clear" w:color="auto" w:fill="FFFFFF"/>
          <w:lang w:eastAsia="zh-CN"/>
          <w:highlight w:val="auto"/>
        </w:rPr>
      </w:pPr>
      <w:r>
        <w:rPr>
          <w:rFonts w:ascii="Times New Roman" w:eastAsia="仿宋_GB2312" w:cs="Times New Roman" w:hAnsi="Times New Roman"/>
          <w:color w:val="000000"/>
          <w:kern w:val="0"/>
          <w:sz w:val="32"/>
          <w:szCs w:val="32"/>
          <w:shd w:val="clear" w:color="auto" w:fill="FFFFFF"/>
          <w:lang w:eastAsia="zh-CN"/>
          <w:highlight w:val="auto"/>
        </w:rPr>
        <w:t>1.结合项目主管及实施单位提供的项目及财务基础资料，听取项目实施情况介绍，了解项目财政专项资金政策、制度机制、专项资金使用的基本情况；</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Chars="200" w:firstLine="632"/>
        <w:jc w:val="both"/>
        <w:textAlignment w:val="auto"/>
        <w:rPr>
          <w:rFonts w:ascii="Times New Roman" w:eastAsia="仿宋_GB2312" w:cs="Times New Roman" w:hAnsi="Times New Roman"/>
          <w:color w:val="000000"/>
          <w:kern w:val="0"/>
          <w:sz w:val="32"/>
          <w:szCs w:val="32"/>
          <w:shd w:val="clear" w:color="auto" w:fill="FFFFFF"/>
          <w:lang w:eastAsia="zh-CN"/>
          <w:highlight w:val="auto"/>
        </w:rPr>
      </w:pPr>
      <w:r>
        <w:rPr>
          <w:rFonts w:ascii="Times New Roman" w:eastAsia="仿宋_GB2312" w:cs="Times New Roman" w:hAnsi="Times New Roman"/>
          <w:color w:val="000000"/>
          <w:kern w:val="0"/>
          <w:sz w:val="32"/>
          <w:szCs w:val="32"/>
          <w:shd w:val="clear" w:color="auto" w:fill="FFFFFF"/>
          <w:lang w:eastAsia="zh-CN"/>
          <w:highlight w:val="auto"/>
        </w:rPr>
        <w:t>2.现场调查取证，收集财政专项资金政策依据、制度机制和项目及财务相关资料，核查项目资金收支账目，检查项目申请及审批、招投标及评审、项目实施、验收及公示公告等相关资料，为项目财政专项资金支出评价提供基础数据及依据；</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Chars="200" w:firstLine="632"/>
        <w:jc w:val="both"/>
        <w:textAlignment w:val="auto"/>
        <w:rPr>
          <w:rFonts w:ascii="Times New Roman" w:eastAsia="仿宋_GB2312" w:cs="Times New Roman" w:hAnsi="Times New Roman"/>
          <w:color w:val="000000"/>
          <w:kern w:val="0"/>
          <w:sz w:val="32"/>
          <w:szCs w:val="32"/>
          <w:shd w:val="clear" w:color="auto" w:fill="FFFFFF"/>
          <w:lang w:eastAsia="zh-CN"/>
          <w:highlight w:val="auto"/>
        </w:rPr>
      </w:pPr>
      <w:r>
        <w:rPr>
          <w:rFonts w:ascii="Times New Roman" w:eastAsia="仿宋_GB2312" w:cs="Times New Roman" w:hAnsi="Times New Roman"/>
          <w:color w:val="000000"/>
          <w:kern w:val="0"/>
          <w:sz w:val="32"/>
          <w:szCs w:val="32"/>
          <w:shd w:val="clear" w:color="auto" w:fill="FFFFFF"/>
          <w:lang w:eastAsia="zh-CN"/>
          <w:highlight w:val="auto"/>
        </w:rPr>
        <w:t>3.现场实地勘查，按照项目特点及实际情况开展抽样选点，进行现场评价；</w:t>
        <w:tab/>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Chars="200" w:firstLine="632"/>
        <w:jc w:val="both"/>
        <w:textAlignment w:val="auto"/>
        <w:rPr>
          <w:rFonts w:ascii="Times New Roman" w:cs="Times New Roman" w:hAnsi="Times New Roman"/>
          <w:color w:val="000000"/>
          <w:kern w:val="0"/>
          <w:sz w:val="32"/>
          <w:szCs w:val="32"/>
          <w:shd w:val="clear" w:color="auto" w:fill="FFFFFF"/>
          <w:lang w:eastAsia="zh-CN"/>
          <w:highlight w:val="auto"/>
        </w:rPr>
      </w:pPr>
      <w:r>
        <w:rPr>
          <w:rFonts w:ascii="Times New Roman" w:eastAsia="仿宋_GB2312" w:cs="Times New Roman" w:hAnsi="Times New Roman"/>
          <w:color w:val="000000"/>
          <w:kern w:val="0"/>
          <w:sz w:val="32"/>
          <w:szCs w:val="32"/>
          <w:shd w:val="clear" w:color="auto" w:fill="FFFFFF"/>
          <w:lang w:eastAsia="zh-CN"/>
          <w:highlight w:val="auto"/>
        </w:rPr>
        <w:t>4.开展群众满意度调查；</w:t>
        <w:tab/>
        <w:tab/>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Chars="200" w:firstLine="632"/>
        <w:jc w:val="both"/>
        <w:textAlignment w:val="auto"/>
        <w:rPr>
          <w:rFonts w:ascii="Times New Roman" w:cs="Times New Roman" w:hAnsi="Times New Roman"/>
          <w:color w:val="000000"/>
          <w:kern w:val="0"/>
          <w:sz w:val="32"/>
          <w:szCs w:val="32"/>
          <w:shd w:val="clear" w:color="auto" w:fill="FFFFFF"/>
          <w:lang w:eastAsia="zh-CN"/>
          <w:highlight w:val="auto"/>
        </w:rPr>
      </w:pPr>
      <w:r>
        <w:rPr>
          <w:rFonts w:ascii="Times New Roman" w:eastAsia="楷体_GB2312" w:cs="Times New Roman" w:hAnsi="Times New Roman"/>
          <w:b/>
          <w:bCs/>
          <w:color w:val="000000"/>
          <w:kern w:val="0"/>
          <w:sz w:val="32"/>
          <w:szCs w:val="32"/>
          <w:shd w:val="clear" w:color="auto" w:fill="FFFFFF"/>
          <w:lang w:eastAsia="zh-CN"/>
          <w:highlight w:val="auto"/>
        </w:rPr>
        <w:t>（三）</w:t>
      </w:r>
      <w:r>
        <w:rPr>
          <w:rFonts w:ascii="Times New Roman" w:eastAsia="楷体_GB2312" w:cs="Times New Roman" w:hAnsi="Times New Roman"/>
          <w:b/>
          <w:bCs/>
          <w:sz w:val="32"/>
          <w:szCs w:val="32"/>
        </w:rPr>
        <w:t>撰写报告阶段</w:t>
      </w:r>
      <w:r>
        <w:rPr>
          <w:rFonts w:ascii="Times New Roman" w:eastAsia="楷体_GB2312" w:cs="Times New Roman" w:hAnsi="Times New Roman"/>
          <w:b/>
          <w:bCs/>
          <w:sz w:val="32"/>
          <w:szCs w:val="32"/>
          <w:lang w:eastAsia="zh-CN"/>
        </w:rPr>
        <w:t>（</w:t>
      </w:r>
      <w:r>
        <w:rPr>
          <w:rFonts w:ascii="Times New Roman" w:eastAsia="楷体_GB2312" w:cs="Times New Roman" w:hAnsi="Times New Roman"/>
          <w:b/>
          <w:bCs/>
          <w:sz w:val="32"/>
          <w:szCs w:val="32"/>
          <w:lang w:val="en-US" w:eastAsia="zh-CN"/>
        </w:rPr>
        <w:t>10月</w:t>
      </w:r>
      <w:r>
        <w:rPr>
          <w:rFonts w:ascii="Times New Roman" w:eastAsia="楷体_GB2312" w:cs="Times New Roman" w:hAnsi="Times New Roman"/>
          <w:b/>
          <w:bCs/>
          <w:sz w:val="32"/>
          <w:szCs w:val="32"/>
          <w:lang w:eastAsia="zh-CN"/>
        </w:rPr>
        <w:t>）</w:t>
      </w:r>
      <w:r>
        <w:rPr>
          <w:rFonts w:ascii="Times New Roman" w:cs="Times New Roman" w:hAnsi="Times New Roman"/>
          <w:color w:val="000000"/>
          <w:kern w:val="0"/>
          <w:sz w:val="32"/>
          <w:szCs w:val="32"/>
          <w:shd w:val="clear" w:color="auto" w:fill="FFFFFF"/>
          <w:lang w:eastAsia="zh-CN"/>
          <w:highlight w:val="auto"/>
        </w:rPr>
        <w:tab/>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textAlignment w:val="auto"/>
        <w:outlineLvl w:val="0"/>
        <w:rPr>
          <w:rFonts w:ascii="Times New Roman" w:eastAsia="仿宋_GB2312" w:cs="Times New Roman" w:hAnsi="Times New Roman"/>
          <w:sz w:val="32"/>
          <w:szCs w:val="32"/>
          <w:lang w:val="en-US" w:eastAsia="zh-CN"/>
        </w:rPr>
      </w:pPr>
      <w:r>
        <w:rPr>
          <w:rFonts w:ascii="Times New Roman" w:eastAsia="仿宋_GB2312" w:cs="Times New Roman" w:hAnsi="Times New Roman"/>
          <w:sz w:val="32"/>
          <w:szCs w:val="32"/>
          <w:lang w:val="en-US" w:eastAsia="zh-CN"/>
        </w:rPr>
        <w:t>根据指标体系</w:t>
      </w:r>
      <w:r>
        <w:rPr>
          <w:rFonts w:ascii="Times New Roman" w:cs="Times New Roman" w:hAnsi="Times New Roman"/>
          <w:sz w:val="32"/>
          <w:szCs w:val="32"/>
          <w:lang w:val="en-US" w:eastAsia="zh-CN"/>
        </w:rPr>
        <w:t>，采用</w:t>
      </w:r>
      <w:r>
        <w:rPr>
          <w:rFonts w:ascii="Times New Roman" w:eastAsia="仿宋_GB2312" w:cs="Times New Roman" w:hAnsi="Times New Roman"/>
          <w:sz w:val="32"/>
          <w:szCs w:val="32"/>
          <w:lang w:val="en-US" w:eastAsia="zh-CN"/>
        </w:rPr>
        <w:t>定量和定性分析相结合</w:t>
      </w:r>
      <w:r>
        <w:rPr>
          <w:rFonts w:ascii="Times New Roman" w:cs="Times New Roman" w:hAnsi="Times New Roman"/>
          <w:sz w:val="32"/>
          <w:szCs w:val="32"/>
          <w:lang w:val="en-US" w:eastAsia="zh-CN"/>
        </w:rPr>
        <w:t>的方式</w:t>
      </w:r>
      <w:r>
        <w:rPr>
          <w:rFonts w:ascii="Times New Roman" w:eastAsia="仿宋_GB2312" w:cs="Times New Roman" w:hAnsi="Times New Roman"/>
          <w:sz w:val="32"/>
          <w:szCs w:val="32"/>
          <w:lang w:val="en-US" w:eastAsia="zh-CN"/>
        </w:rPr>
        <w:t>，对</w:t>
      </w:r>
      <w:r>
        <w:rPr>
          <w:rFonts w:ascii="Times New Roman" w:cs="Times New Roman" w:hAnsi="Times New Roman"/>
          <w:sz w:val="32"/>
          <w:szCs w:val="32"/>
          <w:lang w:val="en-US" w:eastAsia="zh-CN"/>
        </w:rPr>
        <w:t>部门整体或</w:t>
      </w:r>
      <w:r>
        <w:rPr>
          <w:rFonts w:ascii="Times New Roman" w:eastAsia="仿宋_GB2312" w:cs="Times New Roman" w:hAnsi="Times New Roman"/>
          <w:sz w:val="32"/>
          <w:szCs w:val="32"/>
          <w:lang w:val="en-US" w:eastAsia="zh-CN"/>
        </w:rPr>
        <w:t>项目资金</w:t>
      </w:r>
      <w:r>
        <w:rPr>
          <w:rFonts w:ascii="Times New Roman" w:cs="Times New Roman" w:hAnsi="Times New Roman"/>
          <w:sz w:val="32"/>
          <w:szCs w:val="32"/>
          <w:lang w:val="en-US" w:eastAsia="zh-CN"/>
        </w:rPr>
        <w:t>的</w:t>
      </w:r>
      <w:r>
        <w:rPr>
          <w:rFonts w:ascii="Times New Roman" w:eastAsia="仿宋_GB2312" w:cs="Times New Roman" w:hAnsi="Times New Roman"/>
          <w:sz w:val="32"/>
          <w:szCs w:val="32"/>
          <w:lang w:val="en-US" w:eastAsia="zh-CN"/>
        </w:rPr>
        <w:t>使用效益、效果分析</w:t>
      </w:r>
      <w:r>
        <w:rPr>
          <w:rFonts w:ascii="Times New Roman" w:cs="Times New Roman" w:hAnsi="Times New Roman"/>
          <w:sz w:val="32"/>
          <w:szCs w:val="32"/>
          <w:lang w:val="en-US" w:eastAsia="zh-CN"/>
        </w:rPr>
        <w:t>进行</w:t>
      </w:r>
      <w:r>
        <w:rPr>
          <w:rFonts w:ascii="Times New Roman" w:eastAsia="仿宋_GB2312" w:cs="Times New Roman" w:hAnsi="Times New Roman"/>
          <w:sz w:val="32"/>
          <w:szCs w:val="32"/>
          <w:lang w:val="en-US" w:eastAsia="zh-CN"/>
        </w:rPr>
        <w:t>评</w:t>
      </w:r>
      <w:r>
        <w:rPr>
          <w:rFonts w:ascii="Times New Roman" w:cs="Times New Roman" w:hAnsi="Times New Roman"/>
          <w:sz w:val="32"/>
          <w:szCs w:val="32"/>
          <w:lang w:val="en-US" w:eastAsia="zh-CN"/>
        </w:rPr>
        <w:t>价</w:t>
      </w:r>
      <w:r>
        <w:rPr>
          <w:rFonts w:ascii="Times New Roman" w:eastAsia="仿宋_GB2312" w:cs="Times New Roman" w:hAnsi="Times New Roman"/>
          <w:sz w:val="32"/>
          <w:szCs w:val="32"/>
          <w:lang w:val="en-US" w:eastAsia="zh-CN"/>
        </w:rPr>
        <w:t>，评价</w:t>
      </w:r>
      <w:r>
        <w:rPr>
          <w:rFonts w:ascii="Times New Roman" w:cs="Times New Roman" w:hAnsi="Times New Roman"/>
          <w:sz w:val="32"/>
          <w:szCs w:val="32"/>
          <w:lang w:val="en-US" w:eastAsia="zh-CN"/>
        </w:rPr>
        <w:t>部门整体或</w:t>
      </w:r>
      <w:r>
        <w:rPr>
          <w:rFonts w:ascii="Times New Roman" w:eastAsia="仿宋_GB2312" w:cs="Times New Roman" w:hAnsi="Times New Roman"/>
          <w:sz w:val="32"/>
          <w:szCs w:val="32"/>
          <w:lang w:val="en-US" w:eastAsia="zh-CN"/>
        </w:rPr>
        <w:t>项目支出制定及执行、使用是否实现绩效目标</w:t>
      </w:r>
      <w:r>
        <w:rPr>
          <w:rFonts w:ascii="Times New Roman" w:cs="Times New Roman" w:hAnsi="Times New Roman"/>
          <w:sz w:val="32"/>
          <w:szCs w:val="32"/>
          <w:lang w:val="en-US" w:eastAsia="zh-CN"/>
        </w:rPr>
        <w:t>，</w:t>
      </w:r>
      <w:r>
        <w:rPr>
          <w:rFonts w:ascii="Times New Roman" w:eastAsia="仿宋_GB2312" w:cs="Times New Roman" w:hAnsi="Times New Roman"/>
          <w:sz w:val="32"/>
          <w:szCs w:val="32"/>
          <w:lang w:val="en-US" w:eastAsia="zh-CN"/>
        </w:rPr>
        <w:t>形成评价结论，经复核和交换意见后，形成绩效评价报告。</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800"/>
        <w:textAlignment w:val="auto"/>
        <w:rPr>
          <w:rFonts w:ascii="Times New Roman" w:eastAsia="黑体" w:cs="Times New Roman" w:hAnsi="Times New Roman"/>
          <w:sz w:val="32"/>
          <w:szCs w:val="32"/>
          <w:highlight w:val="auto"/>
        </w:rPr>
      </w:pPr>
      <w:r>
        <w:rPr>
          <w:rFonts w:ascii="Times New Roman" w:eastAsia="仿宋_GB2312" w:cs="Times New Roman" w:hAnsi="Times New Roman"/>
          <w:sz w:val="32"/>
          <w:szCs w:val="32"/>
          <w:lang w:val="en-US" w:eastAsia="zh-CN"/>
        </w:rPr>
        <w:tab/>
      </w:r>
      <w:r>
        <w:rPr>
          <w:rFonts w:ascii="Times New Roman" w:eastAsia="黑体" w:cs="Times New Roman" w:hAnsi="Times New Roman"/>
          <w:sz w:val="32"/>
          <w:szCs w:val="32"/>
          <w:lang w:eastAsia="zh-CN"/>
          <w:highlight w:val="auto"/>
        </w:rPr>
        <w:t>二、</w:t>
      </w:r>
      <w:r>
        <w:rPr>
          <w:rFonts w:ascii="Times New Roman" w:eastAsia="黑体" w:cs="Times New Roman" w:hAnsi="Times New Roman"/>
          <w:sz w:val="32"/>
          <w:szCs w:val="32"/>
          <w:highlight w:val="auto"/>
        </w:rPr>
        <w:t>评价结果</w:t>
      </w:r>
    </w:p>
    <w:p>
      <w:pPr>
        <w:pStyle w:val="15"/>
        <w:keepNext w:val="0"/>
        <w:keepLines w:val="0"/>
        <w:pageBreakBefore w:val="0"/>
        <w:widowControl w:val="0"/>
        <w:suppressLineNumbers w:val="0"/>
        <w:suppressAutoHyphens/>
        <w:kinsoku/>
        <w:wordWrap/>
        <w:overflowPunct/>
        <w:topLinePunct w:val="0"/>
        <w:autoSpaceDE/>
        <w:autoSpaceDN/>
        <w:bidi w:val="0"/>
        <w:adjustRightInd/>
        <w:snapToGrid/>
        <w:spacing w:beforeAutospacing="0" w:afterAutospacing="0" w:line="560" w:lineRule="exact"/>
        <w:ind w:leftChars="0" w:left="0" w:firstLineChars="200" w:firstLine="632"/>
        <w:textAlignment w:val="auto"/>
        <w:rPr>
          <w:rFonts w:ascii="Times New Roman" w:eastAsia="仿宋_GB2312" w:cs="Times New Roman" w:hAnsi="Times New Roman"/>
          <w:kern w:val="2"/>
          <w:sz w:val="32"/>
          <w:szCs w:val="32"/>
          <w:lang w:val="en-US" w:eastAsia="zh-CN" w:bidi="ar-SA"/>
        </w:rPr>
      </w:pPr>
      <w:r>
        <w:rPr>
          <w:rFonts w:ascii="Times New Roman" w:eastAsia="仿宋_GB2312" w:cs="Times New Roman" w:hAnsi="Times New Roman"/>
          <w:kern w:val="2"/>
          <w:sz w:val="32"/>
          <w:szCs w:val="32"/>
          <w:lang w:val="en-US" w:eastAsia="zh-CN" w:bidi="ar-SA"/>
        </w:rPr>
        <w:t>根据得分确定90（含）-100分为优秀、80（含）-90分为良好，70（含）-80分为中等，70分以下为差四个等次。</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Chars="200" w:firstLine="632"/>
        <w:textAlignment w:val="auto"/>
        <w:rPr>
          <w:rFonts w:ascii="Times New Roman" w:eastAsia="楷体_GB2312" w:cs="Times New Roman" w:hAnsi="Times New Roman"/>
          <w:b/>
          <w:bCs w:val="0"/>
          <w:sz w:val="32"/>
          <w:szCs w:val="32"/>
          <w:lang w:eastAsia="zh-CN"/>
          <w:highlight w:val="auto"/>
        </w:rPr>
      </w:pPr>
      <w:r>
        <w:rPr>
          <w:rFonts w:ascii="Times New Roman" w:eastAsia="楷体_GB2312" w:cs="Times New Roman" w:hAnsi="Times New Roman"/>
          <w:b/>
          <w:bCs w:val="0"/>
          <w:sz w:val="32"/>
          <w:szCs w:val="32"/>
          <w:lang w:eastAsia="zh-CN"/>
          <w:highlight w:val="auto"/>
        </w:rPr>
        <w:t>（一）政策（项目）支出评价结果</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Chars="200" w:firstLine="632"/>
        <w:textAlignment w:val="auto"/>
        <w:rPr>
          <w:rFonts w:ascii="Times New Roman" w:eastAsia="仿宋_GB2312" w:cs="Times New Roman" w:hAnsi="Times New Roman"/>
          <w:b w:val="0"/>
          <w:bCs/>
          <w:sz w:val="32"/>
          <w:szCs w:val="32"/>
          <w:lang w:val="en-US" w:eastAsia="zh-CN"/>
          <w:highlight w:val="auto"/>
        </w:rPr>
      </w:pPr>
      <w:r>
        <w:rPr>
          <w:rFonts w:ascii="Times New Roman" w:eastAsia="仿宋_GB2312" w:cs="Times New Roman" w:hAnsi="Times New Roman"/>
          <w:b w:val="0"/>
          <w:bCs/>
          <w:sz w:val="32"/>
          <w:szCs w:val="32"/>
          <w:lang w:eastAsia="zh-CN"/>
          <w:highlight w:val="auto"/>
        </w:rPr>
        <w:t>本次政策（项目）支出绩效评价</w:t>
      </w:r>
      <w:r>
        <w:rPr>
          <w:rFonts w:ascii="Times New Roman" w:cs="Times New Roman" w:hAnsi="Times New Roman"/>
          <w:b w:val="0"/>
          <w:bCs/>
          <w:sz w:val="32"/>
          <w:szCs w:val="32"/>
          <w:lang w:val="en-US" w:eastAsia="zh-CN"/>
          <w:highlight w:val="auto"/>
        </w:rPr>
        <w:t>90</w:t>
      </w:r>
      <w:r>
        <w:rPr>
          <w:rFonts w:ascii="Times New Roman" w:eastAsia="仿宋_GB2312" w:cs="Times New Roman" w:hAnsi="Times New Roman"/>
          <w:b w:val="0"/>
          <w:bCs/>
          <w:sz w:val="32"/>
          <w:szCs w:val="32"/>
          <w:lang w:val="en-US" w:eastAsia="zh-CN"/>
          <w:highlight w:val="auto"/>
        </w:rPr>
        <w:t>个，平均得分</w:t>
      </w:r>
      <w:r>
        <w:rPr>
          <w:rFonts w:ascii="Times New Roman" w:cs="Times New Roman" w:hAnsi="Times New Roman"/>
          <w:b w:val="0"/>
          <w:bCs/>
          <w:sz w:val="32"/>
          <w:szCs w:val="32"/>
          <w:lang w:val="en-US" w:eastAsia="zh-CN"/>
          <w:highlight w:val="auto"/>
        </w:rPr>
        <w:t>91.68</w:t>
      </w:r>
      <w:r>
        <w:rPr>
          <w:rFonts w:ascii="Times New Roman" w:eastAsia="仿宋_GB2312" w:cs="Times New Roman" w:hAnsi="Times New Roman"/>
          <w:b w:val="0"/>
          <w:bCs/>
          <w:sz w:val="32"/>
          <w:szCs w:val="32"/>
          <w:lang w:val="en-US" w:eastAsia="zh-CN"/>
          <w:highlight w:val="auto"/>
        </w:rPr>
        <w:t>分，其中：县应急管理局2020年因洪涝灾害倒塌和严重损毁民房恢复重建项目得分最高，为</w:t>
      </w:r>
      <w:r>
        <w:rPr>
          <w:rFonts w:ascii="Times New Roman" w:cs="Times New Roman" w:hAnsi="Times New Roman"/>
          <w:b w:val="0"/>
          <w:bCs/>
          <w:sz w:val="32"/>
          <w:szCs w:val="32"/>
          <w:lang w:val="en-US" w:eastAsia="zh-CN"/>
          <w:highlight w:val="auto"/>
        </w:rPr>
        <w:t>97.4</w:t>
      </w:r>
      <w:r>
        <w:rPr>
          <w:rFonts w:ascii="Times New Roman" w:eastAsia="仿宋_GB2312" w:cs="Times New Roman" w:hAnsi="Times New Roman"/>
          <w:b w:val="0"/>
          <w:bCs/>
          <w:sz w:val="32"/>
          <w:szCs w:val="32"/>
          <w:lang w:val="en-US" w:eastAsia="zh-CN"/>
          <w:highlight w:val="auto"/>
        </w:rPr>
        <w:t>分；</w:t>
      </w:r>
      <w:r>
        <w:rPr>
          <w:rFonts w:ascii="Times New Roman" w:cs="Times New Roman" w:hAnsi="Times New Roman"/>
          <w:b w:val="0"/>
          <w:bCs/>
          <w:sz w:val="32"/>
          <w:szCs w:val="32"/>
          <w:lang w:val="en-US" w:eastAsia="zh-CN"/>
          <w:highlight w:val="auto"/>
        </w:rPr>
        <w:t>县科农畜局</w:t>
      </w:r>
      <w:r>
        <w:rPr>
          <w:rFonts w:ascii="Times New Roman" w:eastAsia="仿宋_GB2312" w:cs="Times New Roman" w:hAnsi="Times New Roman"/>
          <w:b w:val="0"/>
          <w:bCs/>
          <w:sz w:val="32"/>
          <w:szCs w:val="32"/>
          <w:lang w:val="en-US" w:eastAsia="zh-CN"/>
          <w:highlight w:val="auto"/>
        </w:rPr>
        <w:t>2022年省级财政现代农业发展工程共同财政事权转移支付资金（“6.10”地震灾后恢复重建项目）项目得分最低，为</w:t>
      </w:r>
      <w:r>
        <w:rPr>
          <w:rFonts w:ascii="Times New Roman" w:cs="Times New Roman" w:hAnsi="Times New Roman"/>
          <w:b w:val="0"/>
          <w:bCs/>
          <w:sz w:val="32"/>
          <w:szCs w:val="32"/>
          <w:lang w:val="en-US" w:eastAsia="zh-CN"/>
          <w:highlight w:val="auto"/>
        </w:rPr>
        <w:t>73.44</w:t>
      </w:r>
      <w:r>
        <w:rPr>
          <w:rFonts w:ascii="Times New Roman" w:eastAsia="仿宋_GB2312" w:cs="Times New Roman" w:hAnsi="Times New Roman"/>
          <w:b w:val="0"/>
          <w:bCs/>
          <w:sz w:val="32"/>
          <w:szCs w:val="32"/>
          <w:lang w:val="en-US" w:eastAsia="zh-CN"/>
          <w:highlight w:val="auto"/>
        </w:rPr>
        <w:t>分。等级为优秀的</w:t>
      </w:r>
      <w:r>
        <w:rPr>
          <w:rFonts w:ascii="Times New Roman" w:cs="Times New Roman" w:hAnsi="Times New Roman"/>
          <w:b w:val="0"/>
          <w:bCs/>
          <w:sz w:val="32"/>
          <w:szCs w:val="32"/>
          <w:lang w:val="en-US" w:eastAsia="zh-CN"/>
          <w:highlight w:val="auto"/>
        </w:rPr>
        <w:t>76</w:t>
      </w:r>
      <w:r>
        <w:rPr>
          <w:rFonts w:ascii="Times New Roman" w:eastAsia="仿宋_GB2312" w:cs="Times New Roman" w:hAnsi="Times New Roman"/>
          <w:b w:val="0"/>
          <w:bCs/>
          <w:sz w:val="32"/>
          <w:szCs w:val="32"/>
          <w:lang w:val="en-US" w:eastAsia="zh-CN"/>
          <w:highlight w:val="auto"/>
        </w:rPr>
        <w:t>个，占比</w:t>
      </w:r>
      <w:r>
        <w:rPr>
          <w:rFonts w:ascii="Times New Roman" w:cs="Times New Roman" w:hAnsi="Times New Roman"/>
          <w:b w:val="0"/>
          <w:bCs/>
          <w:sz w:val="32"/>
          <w:szCs w:val="32"/>
          <w:lang w:val="en-US" w:eastAsia="zh-CN"/>
          <w:highlight w:val="auto"/>
        </w:rPr>
        <w:t>84.45</w:t>
      </w:r>
      <w:r>
        <w:rPr>
          <w:rFonts w:ascii="Times New Roman" w:eastAsia="仿宋_GB2312" w:cs="Times New Roman" w:hAnsi="Times New Roman"/>
          <w:b w:val="0"/>
          <w:bCs/>
          <w:sz w:val="32"/>
          <w:szCs w:val="32"/>
          <w:lang w:val="en-US" w:eastAsia="zh-CN"/>
          <w:highlight w:val="auto"/>
        </w:rPr>
        <w:t>%；良好的1</w:t>
      </w:r>
      <w:r>
        <w:rPr>
          <w:rFonts w:ascii="Times New Roman" w:cs="Times New Roman" w:hAnsi="Times New Roman"/>
          <w:b w:val="0"/>
          <w:bCs/>
          <w:sz w:val="32"/>
          <w:szCs w:val="32"/>
          <w:lang w:val="en-US" w:eastAsia="zh-CN"/>
          <w:highlight w:val="auto"/>
        </w:rPr>
        <w:t>3</w:t>
      </w:r>
      <w:r>
        <w:rPr>
          <w:rFonts w:ascii="Times New Roman" w:eastAsia="仿宋_GB2312" w:cs="Times New Roman" w:hAnsi="Times New Roman"/>
          <w:b w:val="0"/>
          <w:bCs/>
          <w:sz w:val="32"/>
          <w:szCs w:val="32"/>
          <w:lang w:val="en-US" w:eastAsia="zh-CN"/>
          <w:highlight w:val="auto"/>
        </w:rPr>
        <w:t>个，占比</w:t>
      </w:r>
      <w:r>
        <w:rPr>
          <w:rFonts w:ascii="Times New Roman" w:cs="Times New Roman" w:hAnsi="Times New Roman"/>
          <w:b w:val="0"/>
          <w:bCs/>
          <w:sz w:val="32"/>
          <w:szCs w:val="32"/>
          <w:lang w:val="en-US" w:eastAsia="zh-CN"/>
          <w:highlight w:val="auto"/>
        </w:rPr>
        <w:t>14.44</w:t>
      </w:r>
      <w:r>
        <w:rPr>
          <w:rFonts w:ascii="Times New Roman" w:eastAsia="仿宋_GB2312" w:cs="Times New Roman" w:hAnsi="Times New Roman"/>
          <w:b w:val="0"/>
          <w:bCs/>
          <w:sz w:val="32"/>
          <w:szCs w:val="32"/>
          <w:lang w:val="en-US" w:eastAsia="zh-CN"/>
          <w:highlight w:val="auto"/>
        </w:rPr>
        <w:t>%；中等的</w:t>
      </w:r>
      <w:r>
        <w:rPr>
          <w:rFonts w:ascii="Times New Roman" w:cs="Times New Roman" w:hAnsi="Times New Roman"/>
          <w:b w:val="0"/>
          <w:bCs/>
          <w:sz w:val="32"/>
          <w:szCs w:val="32"/>
          <w:lang w:val="en-US" w:eastAsia="zh-CN"/>
          <w:highlight w:val="auto"/>
        </w:rPr>
        <w:t>1</w:t>
      </w:r>
      <w:r>
        <w:rPr>
          <w:rFonts w:ascii="Times New Roman" w:eastAsia="仿宋_GB2312" w:cs="Times New Roman" w:hAnsi="Times New Roman"/>
          <w:b w:val="0"/>
          <w:bCs/>
          <w:sz w:val="32"/>
          <w:szCs w:val="32"/>
          <w:lang w:val="en-US" w:eastAsia="zh-CN"/>
          <w:highlight w:val="auto"/>
        </w:rPr>
        <w:t>个，占比</w:t>
      </w:r>
      <w:r>
        <w:rPr>
          <w:rFonts w:ascii="Times New Roman" w:cs="Times New Roman" w:hAnsi="Times New Roman"/>
          <w:b w:val="0"/>
          <w:bCs/>
          <w:sz w:val="32"/>
          <w:szCs w:val="32"/>
          <w:lang w:val="en-US" w:eastAsia="zh-CN"/>
          <w:highlight w:val="auto"/>
        </w:rPr>
        <w:t>1.11</w:t>
      </w:r>
      <w:r>
        <w:rPr>
          <w:rFonts w:ascii="Times New Roman" w:eastAsia="仿宋_GB2312" w:cs="Times New Roman" w:hAnsi="Times New Roman"/>
          <w:b w:val="0"/>
          <w:bCs/>
          <w:sz w:val="32"/>
          <w:szCs w:val="32"/>
          <w:lang w:val="en-US" w:eastAsia="zh-CN"/>
          <w:highlight w:val="auto"/>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Chars="200" w:firstLine="632"/>
        <w:textAlignment w:val="auto"/>
        <w:rPr>
          <w:rFonts w:ascii="Times New Roman" w:eastAsia="仿宋_GB2312" w:cs="Times New Roman" w:hAnsi="Times New Roman"/>
          <w:b/>
          <w:sz w:val="32"/>
          <w:szCs w:val="32"/>
          <w:lang w:eastAsia="zh-CN"/>
          <w:highlight w:val="auto"/>
        </w:rPr>
      </w:pPr>
      <w:r>
        <w:rPr>
          <w:rFonts w:ascii="Times New Roman" w:cs="Times New Roman" w:hAnsi="Times New Roman"/>
          <w:b/>
          <w:sz w:val="32"/>
          <w:szCs w:val="32"/>
          <w:lang w:val="en-US" w:eastAsia="zh-CN"/>
          <w:highlight w:val="auto"/>
        </w:rPr>
        <w:t>1.</w:t>
      </w:r>
      <w:r>
        <w:rPr>
          <w:rFonts w:ascii="Times New Roman" w:eastAsia="仿宋_GB2312" w:cs="Times New Roman" w:hAnsi="Times New Roman"/>
          <w:b/>
          <w:sz w:val="32"/>
          <w:szCs w:val="32"/>
          <w:lang w:eastAsia="zh-CN"/>
          <w:highlight w:val="auto"/>
        </w:rPr>
        <w:t>通用指标得分情况</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Chars="200" w:firstLine="632"/>
        <w:textAlignment w:val="auto"/>
        <w:rPr>
          <w:rFonts w:ascii="Times New Roman" w:eastAsia="仿宋_GB2312" w:cs="Times New Roman" w:hAnsi="Times New Roman"/>
          <w:b/>
          <w:sz w:val="32"/>
          <w:szCs w:val="32"/>
          <w:highlight w:val="auto"/>
        </w:rPr>
      </w:pPr>
      <w:r>
        <w:rPr>
          <w:rFonts w:ascii="Times New Roman" w:eastAsia="仿宋_GB2312" w:cs="Times New Roman" w:hAnsi="Times New Roman"/>
          <w:b/>
          <w:sz w:val="32"/>
          <w:szCs w:val="32"/>
          <w:lang w:val="en-US" w:eastAsia="zh-CN"/>
          <w:highlight w:val="auto"/>
        </w:rPr>
        <w:t>（1）</w:t>
      </w:r>
      <w:r>
        <w:rPr>
          <w:rFonts w:ascii="Times New Roman" w:eastAsia="仿宋_GB2312" w:cs="Times New Roman" w:hAnsi="Times New Roman"/>
          <w:b/>
          <w:sz w:val="32"/>
          <w:szCs w:val="32"/>
          <w:highlight w:val="auto"/>
        </w:rPr>
        <w:t>项目决策</w:t>
      </w:r>
    </w:p>
    <w:p>
      <w:pPr>
        <w:pStyle w:val="21"/>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Chars="200" w:firstLine="632"/>
        <w:textAlignment w:val="auto"/>
        <w:rPr>
          <w:rFonts w:ascii="Times New Roman" w:cs="Times New Roman" w:hAnsi="Times New Roman"/>
          <w:sz w:val="32"/>
          <w:szCs w:val="32"/>
          <w:lang w:eastAsia="zh-CN"/>
          <w:highlight w:val="auto"/>
        </w:rPr>
      </w:pPr>
      <w:r>
        <w:rPr>
          <w:rFonts w:ascii="Times New Roman" w:eastAsia="仿宋_GB2312" w:cs="Times New Roman" w:hAnsi="Times New Roman"/>
          <w:color w:val="000000"/>
          <w:kern w:val="0"/>
          <w:sz w:val="32"/>
          <w:szCs w:val="32"/>
          <w:shd w:val="clear" w:color="auto" w:fill="FFFFFF"/>
          <w:highlight w:val="auto"/>
        </w:rPr>
        <w:t>该指标权重为</w:t>
      </w:r>
      <w:r>
        <w:rPr>
          <w:rFonts w:ascii="Times New Roman" w:eastAsia="仿宋_GB2312" w:cs="Times New Roman" w:hAnsi="Times New Roman"/>
          <w:color w:val="000000"/>
          <w:kern w:val="0"/>
          <w:sz w:val="32"/>
          <w:szCs w:val="32"/>
          <w:shd w:val="clear" w:color="auto" w:fill="FFFFFF"/>
          <w:lang w:val="en-US" w:eastAsia="zh-CN"/>
          <w:highlight w:val="auto"/>
        </w:rPr>
        <w:t>12</w:t>
      </w:r>
      <w:r>
        <w:rPr>
          <w:rFonts w:ascii="Times New Roman" w:eastAsia="仿宋_GB2312" w:cs="Times New Roman" w:hAnsi="Times New Roman"/>
          <w:color w:val="000000"/>
          <w:kern w:val="0"/>
          <w:sz w:val="32"/>
          <w:szCs w:val="32"/>
          <w:shd w:val="clear" w:color="auto" w:fill="FFFFFF"/>
          <w:highlight w:val="auto"/>
        </w:rPr>
        <w:t>分</w:t>
      </w:r>
      <w:r>
        <w:rPr>
          <w:rFonts w:ascii="Times New Roman" w:eastAsia="仿宋_GB2312" w:cs="Times New Roman" w:hAnsi="Times New Roman"/>
          <w:color w:val="000000"/>
          <w:kern w:val="0"/>
          <w:sz w:val="32"/>
          <w:szCs w:val="32"/>
          <w:shd w:val="clear" w:color="auto" w:fill="FFFFFF"/>
          <w:lang w:eastAsia="zh-CN"/>
          <w:highlight w:val="auto"/>
        </w:rPr>
        <w:t>，平均得</w:t>
      </w:r>
      <w:r>
        <w:rPr>
          <w:rFonts w:ascii="Times New Roman" w:eastAsia="仿宋_GB2312" w:cs="Times New Roman" w:hAnsi="Times New Roman"/>
          <w:color w:val="000000"/>
          <w:kern w:val="0"/>
          <w:sz w:val="32"/>
          <w:szCs w:val="32"/>
          <w:shd w:val="clear" w:color="auto" w:fill="FFFFFF"/>
          <w:lang w:val="en-US" w:eastAsia="zh-CN"/>
          <w:highlight w:val="auto"/>
        </w:rPr>
        <w:t>分</w:t>
      </w:r>
      <w:r>
        <w:rPr>
          <w:rFonts w:ascii="Times New Roman" w:cs="Times New Roman" w:hAnsi="Times New Roman"/>
          <w:color w:val="000000"/>
          <w:kern w:val="0"/>
          <w:sz w:val="32"/>
          <w:szCs w:val="32"/>
          <w:shd w:val="clear" w:color="auto" w:fill="FFFFFF"/>
          <w:lang w:val="en-US" w:eastAsia="zh-CN"/>
          <w:highlight w:val="auto"/>
        </w:rPr>
        <w:t>11.68</w:t>
      </w:r>
      <w:r>
        <w:rPr>
          <w:rFonts w:ascii="Times New Roman" w:eastAsia="仿宋_GB2312" w:cs="Times New Roman" w:hAnsi="Times New Roman"/>
          <w:color w:val="000000"/>
          <w:kern w:val="0"/>
          <w:sz w:val="32"/>
          <w:szCs w:val="32"/>
          <w:shd w:val="clear" w:color="auto" w:fill="FFFFFF"/>
          <w:lang w:val="en-US" w:eastAsia="zh-CN"/>
          <w:highlight w:val="auto"/>
        </w:rPr>
        <w:t>分</w:t>
      </w:r>
      <w:r>
        <w:rPr>
          <w:rFonts w:ascii="Times New Roman" w:eastAsia="仿宋_GB2312" w:cs="Times New Roman" w:hAnsi="Times New Roman"/>
          <w:sz w:val="32"/>
          <w:szCs w:val="32"/>
          <w:lang w:eastAsia="zh-CN"/>
          <w:highlight w:val="auto"/>
        </w:rPr>
        <w:t>。扣分原因</w:t>
      </w:r>
      <w:r>
        <w:rPr>
          <w:rFonts w:ascii="Times New Roman" w:eastAsia="仿宋_GB2312" w:cs="Times New Roman" w:hAnsi="Times New Roman"/>
          <w:sz w:val="32"/>
          <w:szCs w:val="32"/>
          <w:highlight w:val="auto"/>
        </w:rPr>
        <w:t>主要</w:t>
      </w:r>
      <w:r>
        <w:rPr>
          <w:rFonts w:ascii="Times New Roman" w:eastAsia="仿宋_GB2312" w:cs="Times New Roman" w:hAnsi="Times New Roman"/>
          <w:sz w:val="32"/>
          <w:szCs w:val="32"/>
          <w:lang w:eastAsia="zh-CN"/>
          <w:highlight w:val="auto"/>
        </w:rPr>
        <w:t>为：</w:t>
      </w:r>
      <w:r>
        <w:rPr>
          <w:rFonts w:ascii="Times New Roman" w:cs="Times New Roman" w:hAnsi="Times New Roman"/>
          <w:sz w:val="32"/>
          <w:szCs w:val="32"/>
          <w:lang w:val="en-US" w:eastAsia="zh-CN"/>
          <w:highlight w:val="auto"/>
        </w:rPr>
        <w:t>2个项目</w:t>
      </w:r>
      <w:r>
        <w:rPr>
          <w:rFonts w:ascii="Times New Roman" w:eastAsia="仿宋_GB2312" w:cs="Times New Roman" w:hAnsi="Times New Roman"/>
          <w:sz w:val="32"/>
          <w:szCs w:val="32"/>
          <w:lang w:val="en-US" w:eastAsia="zh-CN"/>
          <w:highlight w:val="auto"/>
        </w:rPr>
        <w:t>绩效目标申报</w:t>
      </w:r>
      <w:r>
        <w:rPr>
          <w:rFonts w:ascii="Times New Roman" w:cs="Times New Roman" w:hAnsi="Times New Roman"/>
          <w:sz w:val="32"/>
          <w:szCs w:val="32"/>
          <w:lang w:val="en-US" w:eastAsia="zh-CN"/>
          <w:highlight w:val="auto"/>
        </w:rPr>
        <w:t>不准确；14个</w:t>
      </w:r>
      <w:r>
        <w:rPr>
          <w:rFonts w:ascii="Times New Roman" w:cs="Times New Roman" w:hAnsi="Times New Roman"/>
          <w:sz w:val="32"/>
          <w:szCs w:val="32"/>
          <w:lang w:eastAsia="zh-CN"/>
          <w:highlight w:val="auto"/>
        </w:rPr>
        <w:t>项目</w:t>
      </w:r>
      <w:r>
        <w:rPr>
          <w:rFonts w:ascii="Times New Roman" w:eastAsia="仿宋_GB2312" w:cs="Times New Roman" w:hAnsi="Times New Roman"/>
          <w:sz w:val="32"/>
          <w:szCs w:val="32"/>
          <w:lang w:eastAsia="zh-CN"/>
          <w:highlight w:val="auto"/>
        </w:rPr>
        <w:t>未建立指导意见、管理办法、申报指南、实施细则等管理制度</w:t>
      </w:r>
      <w:r>
        <w:rPr>
          <w:rFonts w:ascii="Times New Roman" w:cs="Times New Roman" w:hAnsi="Times New Roman"/>
          <w:sz w:val="32"/>
          <w:szCs w:val="32"/>
          <w:lang w:eastAsia="zh-CN"/>
          <w:highlight w:val="auto"/>
        </w:rPr>
        <w:t>或相关管理制度机制不健全，还需进一步完善</w:t>
      </w:r>
      <w:r>
        <w:rPr>
          <w:rFonts w:ascii="Times New Roman" w:cs="Times New Roman" w:hAnsi="Times New Roman"/>
          <w:sz w:val="32"/>
          <w:szCs w:val="32"/>
          <w:lang w:val="en-US" w:eastAsia="zh-CN"/>
          <w:highlight w:val="auto"/>
        </w:rPr>
        <w:t>；5个</w:t>
      </w:r>
      <w:r>
        <w:rPr>
          <w:rFonts w:ascii="Times New Roman" w:eastAsia="仿宋_GB2312" w:cs="Times New Roman" w:hAnsi="Times New Roman"/>
          <w:sz w:val="32"/>
          <w:szCs w:val="32"/>
          <w:lang w:eastAsia="zh-CN"/>
          <w:highlight w:val="auto"/>
        </w:rPr>
        <w:t>项目前期规划</w:t>
      </w:r>
      <w:r>
        <w:rPr>
          <w:rFonts w:ascii="Times New Roman" w:cs="Times New Roman" w:hAnsi="Times New Roman"/>
          <w:sz w:val="32"/>
          <w:szCs w:val="32"/>
          <w:lang w:eastAsia="zh-CN"/>
          <w:highlight w:val="auto"/>
        </w:rPr>
        <w:t>安排和执行</w:t>
      </w:r>
      <w:r>
        <w:rPr>
          <w:rFonts w:ascii="Times New Roman" w:eastAsia="仿宋_GB2312" w:cs="Times New Roman" w:hAnsi="Times New Roman"/>
          <w:sz w:val="32"/>
          <w:szCs w:val="32"/>
          <w:lang w:eastAsia="zh-CN"/>
          <w:highlight w:val="auto"/>
        </w:rPr>
        <w:t>不</w:t>
      </w:r>
      <w:r>
        <w:rPr>
          <w:rFonts w:ascii="Times New Roman" w:cs="Times New Roman" w:hAnsi="Times New Roman"/>
          <w:sz w:val="32"/>
          <w:szCs w:val="32"/>
          <w:lang w:eastAsia="zh-CN"/>
          <w:highlight w:val="auto"/>
        </w:rPr>
        <w:t>够</w:t>
      </w:r>
      <w:r>
        <w:rPr>
          <w:rFonts w:ascii="Times New Roman" w:eastAsia="仿宋_GB2312" w:cs="Times New Roman" w:hAnsi="Times New Roman"/>
          <w:sz w:val="32"/>
          <w:szCs w:val="32"/>
          <w:lang w:eastAsia="zh-CN"/>
          <w:highlight w:val="auto"/>
        </w:rPr>
        <w:t>合理</w:t>
      </w:r>
      <w:r>
        <w:rPr>
          <w:rFonts w:ascii="Times New Roman" w:cs="Times New Roman" w:hAnsi="Times New Roman"/>
          <w:sz w:val="32"/>
          <w:szCs w:val="32"/>
          <w:lang w:eastAsia="zh-CN"/>
          <w:highlight w:val="auto"/>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Chars="200" w:firstLine="632"/>
        <w:textAlignment w:val="auto"/>
        <w:rPr>
          <w:rFonts w:ascii="Times New Roman" w:eastAsia="仿宋_GB2312" w:cs="Times New Roman" w:hAnsi="Times New Roman"/>
          <w:b/>
          <w:sz w:val="32"/>
          <w:szCs w:val="32"/>
          <w:lang w:val="en-US" w:eastAsia="zh-CN"/>
          <w:highlight w:val="auto"/>
        </w:rPr>
      </w:pPr>
      <w:r>
        <w:rPr>
          <w:rFonts w:ascii="Times New Roman" w:eastAsia="仿宋_GB2312" w:cs="Times New Roman" w:hAnsi="Times New Roman"/>
          <w:b/>
          <w:sz w:val="32"/>
          <w:szCs w:val="32"/>
          <w:lang w:val="en-US" w:eastAsia="zh-CN"/>
          <w:highlight w:val="auto"/>
        </w:rPr>
        <w:t>（2）项目实施</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60"/>
        <w:textAlignment w:val="auto"/>
        <w:rPr>
          <w:rFonts w:ascii="Times New Roman" w:eastAsia="仿宋_GB2312" w:cs="Times New Roman" w:hAnsi="Times New Roman"/>
          <w:sz w:val="32"/>
          <w:szCs w:val="32"/>
          <w:lang w:eastAsia="zh-CN"/>
          <w:highlight w:val="auto"/>
        </w:rPr>
      </w:pPr>
      <w:r>
        <w:rPr>
          <w:rFonts w:ascii="Times New Roman" w:eastAsia="仿宋_GB2312" w:cs="Times New Roman" w:hAnsi="Times New Roman"/>
          <w:color w:val="000000"/>
          <w:kern w:val="0"/>
          <w:sz w:val="32"/>
          <w:szCs w:val="32"/>
          <w:shd w:val="clear" w:color="auto" w:fill="FFFFFF"/>
          <w:highlight w:val="auto"/>
        </w:rPr>
        <w:t>该指标权重为</w:t>
      </w:r>
      <w:r>
        <w:rPr>
          <w:rFonts w:ascii="Times New Roman" w:eastAsia="仿宋_GB2312" w:cs="Times New Roman" w:hAnsi="Times New Roman"/>
          <w:color w:val="000000"/>
          <w:kern w:val="0"/>
          <w:sz w:val="32"/>
          <w:szCs w:val="32"/>
          <w:shd w:val="clear" w:color="auto" w:fill="FFFFFF"/>
          <w:lang w:val="en-US" w:eastAsia="zh-CN"/>
          <w:highlight w:val="auto"/>
        </w:rPr>
        <w:t>1</w:t>
      </w:r>
      <w:r>
        <w:rPr>
          <w:rFonts w:ascii="Times New Roman" w:cs="Times New Roman" w:hAnsi="Times New Roman"/>
          <w:color w:val="000000"/>
          <w:kern w:val="0"/>
          <w:sz w:val="32"/>
          <w:szCs w:val="32"/>
          <w:shd w:val="clear" w:color="auto" w:fill="FFFFFF"/>
          <w:lang w:val="en-US" w:eastAsia="zh-CN"/>
          <w:highlight w:val="auto"/>
        </w:rPr>
        <w:t>2</w:t>
      </w:r>
      <w:r>
        <w:rPr>
          <w:rFonts w:ascii="Times New Roman" w:eastAsia="仿宋_GB2312" w:cs="Times New Roman" w:hAnsi="Times New Roman"/>
          <w:color w:val="000000"/>
          <w:kern w:val="0"/>
          <w:sz w:val="32"/>
          <w:szCs w:val="32"/>
          <w:shd w:val="clear" w:color="auto" w:fill="FFFFFF"/>
          <w:highlight w:val="auto"/>
        </w:rPr>
        <w:t>分</w:t>
      </w:r>
      <w:r>
        <w:rPr>
          <w:rFonts w:ascii="Times New Roman" w:eastAsia="仿宋_GB2312" w:cs="Times New Roman" w:hAnsi="Times New Roman"/>
          <w:color w:val="000000"/>
          <w:kern w:val="0"/>
          <w:sz w:val="32"/>
          <w:szCs w:val="32"/>
          <w:shd w:val="clear" w:color="auto" w:fill="FFFFFF"/>
          <w:lang w:eastAsia="zh-CN"/>
          <w:highlight w:val="auto"/>
        </w:rPr>
        <w:t>，平均得</w:t>
      </w:r>
      <w:r>
        <w:rPr>
          <w:rFonts w:ascii="Times New Roman" w:eastAsia="仿宋_GB2312" w:cs="Times New Roman" w:hAnsi="Times New Roman"/>
          <w:color w:val="000000"/>
          <w:kern w:val="0"/>
          <w:sz w:val="32"/>
          <w:szCs w:val="32"/>
          <w:shd w:val="clear" w:color="auto" w:fill="FFFFFF"/>
          <w:lang w:val="en-US" w:eastAsia="zh-CN"/>
          <w:highlight w:val="auto"/>
        </w:rPr>
        <w:t>分</w:t>
      </w:r>
      <w:r>
        <w:rPr>
          <w:rFonts w:ascii="Times New Roman" w:cs="Times New Roman" w:hAnsi="Times New Roman"/>
          <w:color w:val="000000"/>
          <w:kern w:val="0"/>
          <w:sz w:val="32"/>
          <w:szCs w:val="32"/>
          <w:shd w:val="clear" w:color="auto" w:fill="FFFFFF"/>
          <w:lang w:val="en-US" w:eastAsia="zh-CN"/>
          <w:highlight w:val="auto"/>
        </w:rPr>
        <w:t>10.92</w:t>
      </w:r>
      <w:r>
        <w:rPr>
          <w:rFonts w:ascii="Times New Roman" w:eastAsia="仿宋_GB2312" w:cs="Times New Roman" w:hAnsi="Times New Roman"/>
          <w:color w:val="000000"/>
          <w:kern w:val="0"/>
          <w:sz w:val="32"/>
          <w:szCs w:val="32"/>
          <w:shd w:val="clear" w:color="auto" w:fill="FFFFFF"/>
          <w:lang w:val="en-US" w:eastAsia="zh-CN"/>
          <w:highlight w:val="auto"/>
        </w:rPr>
        <w:t>分</w:t>
      </w:r>
      <w:r>
        <w:rPr>
          <w:rFonts w:ascii="Times New Roman" w:eastAsia="仿宋_GB2312" w:cs="Times New Roman" w:hAnsi="Times New Roman"/>
          <w:sz w:val="32"/>
          <w:szCs w:val="32"/>
          <w:lang w:eastAsia="zh-CN"/>
          <w:highlight w:val="auto"/>
        </w:rPr>
        <w:t>。扣分原因主要为：项目合同、验收报告</w:t>
      </w:r>
      <w:r>
        <w:rPr>
          <w:rFonts w:ascii="Times New Roman" w:cs="Times New Roman" w:hAnsi="Times New Roman"/>
          <w:sz w:val="32"/>
          <w:szCs w:val="32"/>
          <w:lang w:eastAsia="zh-CN"/>
          <w:highlight w:val="auto"/>
        </w:rPr>
        <w:t>等要素不齐全，项目验收不及时、不规范，项目资料保管不规范；</w:t>
      </w:r>
      <w:r>
        <w:rPr>
          <w:rFonts w:ascii="Times New Roman" w:eastAsia="仿宋_GB2312" w:cs="Times New Roman" w:hAnsi="Times New Roman"/>
          <w:sz w:val="32"/>
          <w:szCs w:val="32"/>
          <w:lang w:eastAsia="zh-CN"/>
          <w:highlight w:val="auto"/>
        </w:rPr>
        <w:t>项目未严格按照实施方案要求执行</w:t>
      </w:r>
      <w:r>
        <w:rPr>
          <w:rFonts w:ascii="Times New Roman" w:cs="Times New Roman" w:hAnsi="Times New Roman"/>
          <w:sz w:val="32"/>
          <w:szCs w:val="32"/>
          <w:lang w:eastAsia="zh-CN"/>
          <w:highlight w:val="auto"/>
        </w:rPr>
        <w:t>，项目工期滞后、项目资金支付不及时；</w:t>
      </w:r>
      <w:r>
        <w:rPr>
          <w:rFonts w:ascii="Times New Roman" w:eastAsia="仿宋_GB2312" w:cs="Times New Roman" w:hAnsi="Times New Roman"/>
          <w:sz w:val="32"/>
          <w:szCs w:val="32"/>
          <w:lang w:eastAsia="zh-CN"/>
          <w:highlight w:val="auto"/>
        </w:rPr>
        <w:t>大额支出无会议纪要</w:t>
      </w:r>
      <w:r>
        <w:rPr>
          <w:rFonts w:ascii="Times New Roman" w:cs="Times New Roman" w:hAnsi="Times New Roman"/>
          <w:sz w:val="32"/>
          <w:szCs w:val="32"/>
          <w:lang w:eastAsia="zh-CN"/>
          <w:highlight w:val="auto"/>
        </w:rPr>
        <w:t>；未组织项目竣工结算审计、项目竣工决算审计</w:t>
      </w:r>
      <w:r>
        <w:rPr>
          <w:rFonts w:ascii="Times New Roman" w:eastAsia="仿宋_GB2312" w:cs="Times New Roman" w:hAnsi="Times New Roman"/>
          <w:sz w:val="32"/>
          <w:szCs w:val="32"/>
          <w:lang w:eastAsia="zh-CN"/>
          <w:highlight w:val="auto"/>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Chars="200" w:firstLine="632"/>
        <w:textAlignment w:val="auto"/>
        <w:rPr>
          <w:rFonts w:ascii="Times New Roman" w:eastAsia="仿宋_GB2312" w:cs="Times New Roman" w:hAnsi="Times New Roman"/>
          <w:b/>
          <w:sz w:val="32"/>
          <w:szCs w:val="32"/>
          <w:lang w:val="en-US" w:eastAsia="zh-CN"/>
          <w:highlight w:val="auto"/>
        </w:rPr>
      </w:pPr>
      <w:r>
        <w:rPr>
          <w:rFonts w:ascii="Times New Roman" w:eastAsia="仿宋_GB2312" w:cs="Times New Roman" w:hAnsi="Times New Roman"/>
          <w:b/>
          <w:sz w:val="32"/>
          <w:szCs w:val="32"/>
          <w:lang w:val="en-US" w:eastAsia="zh-CN"/>
          <w:highlight w:val="auto"/>
        </w:rPr>
        <w:t>（3）完成结果</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60"/>
        <w:textAlignment w:val="auto"/>
        <w:rPr>
          <w:rFonts w:ascii="Times New Roman" w:eastAsia="仿宋_GB2312" w:cs="Times New Roman" w:hAnsi="Times New Roman"/>
          <w:sz w:val="32"/>
          <w:szCs w:val="32"/>
          <w:lang w:eastAsia="zh-CN"/>
          <w:highlight w:val="auto"/>
        </w:rPr>
      </w:pPr>
      <w:r>
        <w:rPr>
          <w:rFonts w:ascii="Times New Roman" w:eastAsia="仿宋_GB2312" w:cs="Times New Roman" w:hAnsi="Times New Roman"/>
          <w:color w:val="000000"/>
          <w:kern w:val="0"/>
          <w:sz w:val="32"/>
          <w:szCs w:val="32"/>
          <w:shd w:val="clear" w:color="auto" w:fill="FFFFFF"/>
          <w:highlight w:val="auto"/>
        </w:rPr>
        <w:t>该指标权重为</w:t>
      </w:r>
      <w:r>
        <w:rPr>
          <w:rFonts w:ascii="Times New Roman" w:cs="Times New Roman" w:hAnsi="Times New Roman"/>
          <w:color w:val="000000"/>
          <w:kern w:val="0"/>
          <w:sz w:val="32"/>
          <w:szCs w:val="32"/>
          <w:shd w:val="clear" w:color="auto" w:fill="FFFFFF"/>
          <w:lang w:val="en-US" w:eastAsia="zh-CN"/>
          <w:highlight w:val="auto"/>
        </w:rPr>
        <w:t>16</w:t>
      </w:r>
      <w:r>
        <w:rPr>
          <w:rFonts w:ascii="Times New Roman" w:eastAsia="仿宋_GB2312" w:cs="Times New Roman" w:hAnsi="Times New Roman"/>
          <w:color w:val="000000"/>
          <w:kern w:val="0"/>
          <w:sz w:val="32"/>
          <w:szCs w:val="32"/>
          <w:shd w:val="clear" w:color="auto" w:fill="FFFFFF"/>
          <w:highlight w:val="auto"/>
        </w:rPr>
        <w:t>分</w:t>
      </w:r>
      <w:r>
        <w:rPr>
          <w:rFonts w:ascii="Times New Roman" w:eastAsia="仿宋_GB2312" w:cs="Times New Roman" w:hAnsi="Times New Roman"/>
          <w:color w:val="000000"/>
          <w:kern w:val="0"/>
          <w:sz w:val="32"/>
          <w:szCs w:val="32"/>
          <w:shd w:val="clear" w:color="auto" w:fill="FFFFFF"/>
          <w:lang w:eastAsia="zh-CN"/>
          <w:highlight w:val="auto"/>
        </w:rPr>
        <w:t>，平均得</w:t>
      </w:r>
      <w:r>
        <w:rPr>
          <w:rFonts w:ascii="Times New Roman" w:eastAsia="仿宋_GB2312" w:cs="Times New Roman" w:hAnsi="Times New Roman"/>
          <w:color w:val="000000"/>
          <w:kern w:val="0"/>
          <w:sz w:val="32"/>
          <w:szCs w:val="32"/>
          <w:shd w:val="clear" w:color="auto" w:fill="FFFFFF"/>
          <w:lang w:val="en-US" w:eastAsia="zh-CN"/>
          <w:highlight w:val="auto"/>
        </w:rPr>
        <w:t>分</w:t>
      </w:r>
      <w:r>
        <w:rPr>
          <w:rFonts w:ascii="Times New Roman" w:cs="Times New Roman" w:hAnsi="Times New Roman"/>
          <w:color w:val="000000"/>
          <w:kern w:val="0"/>
          <w:sz w:val="32"/>
          <w:szCs w:val="32"/>
          <w:shd w:val="clear" w:color="auto" w:fill="FFFFFF"/>
          <w:lang w:val="en-US" w:eastAsia="zh-CN"/>
          <w:highlight w:val="auto"/>
        </w:rPr>
        <w:t>12.58</w:t>
      </w:r>
      <w:r>
        <w:rPr>
          <w:rFonts w:ascii="Times New Roman" w:eastAsia="仿宋_GB2312" w:cs="Times New Roman" w:hAnsi="Times New Roman"/>
          <w:color w:val="000000"/>
          <w:kern w:val="0"/>
          <w:sz w:val="32"/>
          <w:szCs w:val="32"/>
          <w:shd w:val="clear" w:color="auto" w:fill="FFFFFF"/>
          <w:lang w:val="en-US" w:eastAsia="zh-CN"/>
          <w:highlight w:val="auto"/>
        </w:rPr>
        <w:t>分</w:t>
      </w:r>
      <w:r>
        <w:rPr>
          <w:rFonts w:ascii="Times New Roman" w:eastAsia="仿宋_GB2312" w:cs="Times New Roman" w:hAnsi="Times New Roman"/>
          <w:sz w:val="32"/>
          <w:szCs w:val="32"/>
          <w:lang w:val="en-US" w:eastAsia="zh-CN"/>
          <w:highlight w:val="auto"/>
        </w:rPr>
        <w:t>。</w:t>
      </w:r>
      <w:r>
        <w:rPr>
          <w:rFonts w:ascii="Times New Roman" w:eastAsia="仿宋_GB2312" w:cs="Times New Roman" w:hAnsi="Times New Roman"/>
          <w:sz w:val="32"/>
          <w:szCs w:val="32"/>
          <w:lang w:eastAsia="zh-CN"/>
          <w:highlight w:val="auto"/>
        </w:rPr>
        <w:t>扣分原因主要为：项目启动缓慢，推进慢，项目未按计划完成，完成不及时，资金使用率低。</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Chars="200" w:firstLine="632"/>
        <w:textAlignment w:val="auto"/>
        <w:rPr>
          <w:rFonts w:ascii="Times New Roman" w:eastAsia="仿宋" w:cs="Times New Roman" w:hAnsi="Times New Roman"/>
          <w:sz w:val="28"/>
          <w:szCs w:val="28"/>
          <w:highlight w:val="auto"/>
        </w:rPr>
      </w:pPr>
      <w:r>
        <w:rPr>
          <w:rFonts w:ascii="Times New Roman" w:cs="Times New Roman" w:hAnsi="Times New Roman"/>
          <w:b/>
          <w:sz w:val="32"/>
          <w:szCs w:val="32"/>
          <w:lang w:val="en-US" w:eastAsia="zh-CN"/>
          <w:highlight w:val="auto"/>
        </w:rPr>
        <w:t>2.</w:t>
      </w:r>
      <w:r>
        <w:rPr>
          <w:rFonts w:ascii="Times New Roman" w:eastAsia="仿宋_GB2312" w:cs="Times New Roman" w:hAnsi="Times New Roman"/>
          <w:b/>
          <w:sz w:val="32"/>
          <w:szCs w:val="32"/>
          <w:lang w:val="en-US" w:eastAsia="zh-CN"/>
          <w:highlight w:val="auto"/>
        </w:rPr>
        <w:t>共性指标得分情况（项目效果）</w:t>
      </w:r>
      <w:r>
        <w:rPr>
          <w:rFonts w:ascii="Times New Roman" w:eastAsia="仿宋" w:cs="Times New Roman" w:hAnsi="Times New Roman"/>
          <w:sz w:val="28"/>
          <w:szCs w:val="28"/>
          <w:highlight w:val="auto"/>
        </w:rPr>
        <w:tab/>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Chars="200" w:firstLine="632"/>
        <w:textAlignment w:val="auto"/>
        <w:rPr>
          <w:rFonts w:ascii="Times New Roman" w:eastAsia="仿宋" w:cs="Times New Roman" w:hAnsi="Times New Roman"/>
          <w:sz w:val="28"/>
          <w:szCs w:val="28"/>
          <w:highlight w:val="auto"/>
        </w:rPr>
      </w:pPr>
      <w:r>
        <w:rPr>
          <w:rFonts w:ascii="Times New Roman" w:eastAsia="仿宋_GB2312" w:cs="Times New Roman" w:hAnsi="Times New Roman"/>
          <w:color w:val="000000"/>
          <w:kern w:val="0"/>
          <w:sz w:val="32"/>
          <w:szCs w:val="32"/>
          <w:shd w:val="clear" w:color="auto" w:fill="FFFFFF"/>
          <w:highlight w:val="auto"/>
        </w:rPr>
        <w:t>该指标权重为</w:t>
      </w:r>
      <w:r>
        <w:rPr>
          <w:rFonts w:ascii="Times New Roman" w:eastAsia="仿宋_GB2312" w:cs="Times New Roman" w:hAnsi="Times New Roman"/>
          <w:color w:val="000000"/>
          <w:kern w:val="0"/>
          <w:sz w:val="32"/>
          <w:szCs w:val="32"/>
          <w:shd w:val="clear" w:color="auto" w:fill="FFFFFF"/>
          <w:lang w:val="en-US" w:eastAsia="zh-CN"/>
          <w:highlight w:val="auto"/>
        </w:rPr>
        <w:t>20</w:t>
      </w:r>
      <w:r>
        <w:rPr>
          <w:rFonts w:ascii="Times New Roman" w:eastAsia="仿宋_GB2312" w:cs="Times New Roman" w:hAnsi="Times New Roman"/>
          <w:color w:val="000000"/>
          <w:kern w:val="0"/>
          <w:sz w:val="32"/>
          <w:szCs w:val="32"/>
          <w:shd w:val="clear" w:color="auto" w:fill="FFFFFF"/>
          <w:highlight w:val="auto"/>
        </w:rPr>
        <w:t>分</w:t>
      </w:r>
      <w:r>
        <w:rPr>
          <w:rFonts w:ascii="Times New Roman" w:eastAsia="仿宋_GB2312" w:cs="Times New Roman" w:hAnsi="Times New Roman"/>
          <w:color w:val="000000"/>
          <w:kern w:val="0"/>
          <w:sz w:val="32"/>
          <w:szCs w:val="32"/>
          <w:shd w:val="clear" w:color="auto" w:fill="FFFFFF"/>
          <w:lang w:eastAsia="zh-CN"/>
          <w:highlight w:val="auto"/>
        </w:rPr>
        <w:t>，平均得</w:t>
      </w:r>
      <w:r>
        <w:rPr>
          <w:rFonts w:ascii="Times New Roman" w:eastAsia="仿宋_GB2312" w:cs="Times New Roman" w:hAnsi="Times New Roman"/>
          <w:color w:val="000000"/>
          <w:kern w:val="0"/>
          <w:sz w:val="32"/>
          <w:szCs w:val="32"/>
          <w:shd w:val="clear" w:color="auto" w:fill="FFFFFF"/>
          <w:lang w:val="en-US" w:eastAsia="zh-CN"/>
          <w:highlight w:val="auto"/>
        </w:rPr>
        <w:t>分</w:t>
      </w:r>
      <w:r>
        <w:rPr>
          <w:rFonts w:ascii="Times New Roman" w:cs="Times New Roman" w:hAnsi="Times New Roman"/>
          <w:color w:val="000000"/>
          <w:kern w:val="0"/>
          <w:sz w:val="32"/>
          <w:szCs w:val="32"/>
          <w:shd w:val="clear" w:color="auto" w:fill="FFFFFF"/>
          <w:lang w:val="en-US" w:eastAsia="zh-CN"/>
          <w:highlight w:val="auto"/>
        </w:rPr>
        <w:t>18.41</w:t>
      </w:r>
      <w:r>
        <w:rPr>
          <w:rFonts w:ascii="Times New Roman" w:eastAsia="仿宋_GB2312" w:cs="Times New Roman" w:hAnsi="Times New Roman"/>
          <w:color w:val="000000"/>
          <w:kern w:val="0"/>
          <w:sz w:val="32"/>
          <w:szCs w:val="32"/>
          <w:shd w:val="clear" w:color="auto" w:fill="FFFFFF"/>
          <w:lang w:val="en-US" w:eastAsia="zh-CN"/>
          <w:highlight w:val="auto"/>
        </w:rPr>
        <w:t>分。</w:t>
      </w:r>
      <w:r>
        <w:rPr>
          <w:rFonts w:ascii="Times New Roman" w:eastAsia="仿宋" w:cs="Times New Roman" w:hAnsi="Times New Roman"/>
          <w:sz w:val="28"/>
          <w:szCs w:val="28"/>
          <w:highlight w:val="auto"/>
        </w:rPr>
        <w:tab/>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Chars="200" w:firstLine="632"/>
        <w:textAlignment w:val="auto"/>
        <w:rPr>
          <w:rFonts w:ascii="Times New Roman" w:eastAsia="仿宋_GB2312" w:cs="Times New Roman" w:hAnsi="Times New Roman"/>
          <w:sz w:val="32"/>
          <w:szCs w:val="32"/>
          <w:lang w:eastAsia="zh-CN"/>
          <w:highlight w:val="auto"/>
        </w:rPr>
      </w:pPr>
      <w:r>
        <w:rPr>
          <w:rFonts w:ascii="Times New Roman" w:eastAsia="仿宋_GB2312" w:cs="Times New Roman" w:hAnsi="Times New Roman"/>
          <w:b/>
          <w:bCs/>
          <w:sz w:val="32"/>
          <w:szCs w:val="32"/>
          <w:lang w:val="en-US" w:eastAsia="zh-CN"/>
          <w:highlight w:val="auto"/>
        </w:rPr>
        <w:t>（1）产业发展类项目。</w:t>
      </w:r>
      <w:r>
        <w:rPr>
          <w:rFonts w:ascii="Times New Roman" w:eastAsia="仿宋_GB2312" w:cs="Times New Roman" w:hAnsi="Times New Roman"/>
          <w:b w:val="0"/>
          <w:bCs w:val="0"/>
          <w:sz w:val="32"/>
          <w:szCs w:val="32"/>
          <w:lang w:val="en-US" w:eastAsia="zh-CN"/>
          <w:highlight w:val="auto"/>
        </w:rPr>
        <w:t>该类</w:t>
      </w:r>
      <w:r>
        <w:rPr>
          <w:rFonts w:ascii="Times New Roman" w:eastAsia="仿宋_GB2312" w:cs="Times New Roman" w:hAnsi="Times New Roman"/>
          <w:sz w:val="32"/>
          <w:szCs w:val="32"/>
          <w:lang w:val="en-US" w:eastAsia="zh-CN"/>
          <w:highlight w:val="auto"/>
        </w:rPr>
        <w:t>项目共</w:t>
      </w:r>
      <w:r>
        <w:rPr>
          <w:rFonts w:ascii="Times New Roman" w:cs="Times New Roman" w:hAnsi="Times New Roman"/>
          <w:sz w:val="32"/>
          <w:szCs w:val="32"/>
          <w:lang w:val="en-US" w:eastAsia="zh-CN"/>
          <w:highlight w:val="auto"/>
        </w:rPr>
        <w:t>10</w:t>
      </w:r>
      <w:r>
        <w:rPr>
          <w:rFonts w:ascii="Times New Roman" w:eastAsia="仿宋_GB2312" w:cs="Times New Roman" w:hAnsi="Times New Roman"/>
          <w:sz w:val="32"/>
          <w:szCs w:val="32"/>
          <w:lang w:val="en-US" w:eastAsia="zh-CN"/>
          <w:highlight w:val="auto"/>
        </w:rPr>
        <w:t>个，其中</w:t>
      </w:r>
      <w:r>
        <w:rPr>
          <w:rFonts w:ascii="Times New Roman" w:cs="Times New Roman" w:hAnsi="Times New Roman"/>
          <w:sz w:val="32"/>
          <w:szCs w:val="32"/>
          <w:lang w:val="en-US" w:eastAsia="zh-CN"/>
          <w:highlight w:val="auto"/>
        </w:rPr>
        <w:t>4</w:t>
      </w:r>
      <w:r>
        <w:rPr>
          <w:rFonts w:ascii="Times New Roman" w:eastAsia="仿宋_GB2312" w:cs="Times New Roman" w:hAnsi="Times New Roman"/>
          <w:sz w:val="32"/>
          <w:szCs w:val="32"/>
          <w:lang w:val="en-US" w:eastAsia="zh-CN"/>
          <w:highlight w:val="auto"/>
        </w:rPr>
        <w:t>个项目共</w:t>
      </w:r>
      <w:r>
        <w:rPr>
          <w:rFonts w:ascii="Times New Roman" w:eastAsia="仿宋_GB2312" w:cs="Times New Roman" w:hAnsi="Times New Roman"/>
          <w:color w:val="000000"/>
          <w:kern w:val="0"/>
          <w:sz w:val="32"/>
          <w:szCs w:val="32"/>
          <w:shd w:val="clear" w:color="auto" w:fill="FFFFFF"/>
          <w:lang w:eastAsia="zh-CN"/>
          <w:highlight w:val="auto"/>
        </w:rPr>
        <w:t>扣</w:t>
      </w:r>
      <w:r>
        <w:rPr>
          <w:rFonts w:ascii="Times New Roman" w:cs="Times New Roman" w:hAnsi="Times New Roman"/>
          <w:color w:val="000000"/>
          <w:kern w:val="0"/>
          <w:sz w:val="32"/>
          <w:szCs w:val="32"/>
          <w:shd w:val="clear" w:color="auto" w:fill="FFFFFF"/>
          <w:lang w:val="en-US" w:eastAsia="zh-CN"/>
          <w:highlight w:val="auto"/>
        </w:rPr>
        <w:t>12</w:t>
      </w:r>
      <w:r>
        <w:rPr>
          <w:rFonts w:ascii="Times New Roman" w:eastAsia="仿宋_GB2312" w:cs="Times New Roman" w:hAnsi="Times New Roman"/>
          <w:color w:val="000000"/>
          <w:kern w:val="0"/>
          <w:sz w:val="32"/>
          <w:szCs w:val="32"/>
          <w:shd w:val="clear" w:color="auto" w:fill="FFFFFF"/>
          <w:lang w:eastAsia="zh-CN"/>
          <w:highlight w:val="auto"/>
        </w:rPr>
        <w:t>分</w:t>
      </w:r>
      <w:r>
        <w:rPr>
          <w:rFonts w:ascii="Times New Roman" w:eastAsia="仿宋_GB2312" w:cs="Times New Roman" w:hAnsi="Times New Roman"/>
          <w:sz w:val="32"/>
          <w:szCs w:val="32"/>
          <w:lang w:eastAsia="zh-CN"/>
          <w:highlight w:val="auto"/>
        </w:rPr>
        <w:t>。扣分原因主要为：</w:t>
      </w:r>
      <w:r>
        <w:rPr>
          <w:rFonts w:ascii="Times New Roman" w:cs="Times New Roman" w:hAnsi="Times New Roman"/>
          <w:sz w:val="32"/>
          <w:szCs w:val="32"/>
          <w:lang w:val="en-US" w:eastAsia="zh-CN"/>
          <w:highlight w:val="auto"/>
        </w:rPr>
        <w:t>2个</w:t>
      </w:r>
      <w:r>
        <w:rPr>
          <w:rFonts w:ascii="Times New Roman" w:cs="Times New Roman" w:hAnsi="Times New Roman"/>
          <w:sz w:val="32"/>
          <w:szCs w:val="32"/>
          <w:lang w:eastAsia="zh-CN"/>
          <w:highlight w:val="auto"/>
        </w:rPr>
        <w:t>项目完成的数量与</w:t>
      </w:r>
      <w:r>
        <w:rPr>
          <w:rFonts w:ascii="Times New Roman" w:eastAsia="仿宋_GB2312" w:cs="Times New Roman" w:hAnsi="Times New Roman"/>
          <w:sz w:val="32"/>
          <w:szCs w:val="32"/>
          <w:lang w:eastAsia="zh-CN"/>
          <w:highlight w:val="auto"/>
        </w:rPr>
        <w:t>申报目标量不符</w:t>
      </w:r>
      <w:r>
        <w:rPr>
          <w:rFonts w:ascii="Times New Roman" w:cs="Times New Roman" w:hAnsi="Times New Roman"/>
          <w:sz w:val="32"/>
          <w:szCs w:val="32"/>
          <w:lang w:eastAsia="zh-CN"/>
          <w:highlight w:val="auto"/>
        </w:rPr>
        <w:t>；</w:t>
      </w:r>
      <w:r>
        <w:rPr>
          <w:rFonts w:ascii="Times New Roman" w:cs="Times New Roman" w:hAnsi="Times New Roman"/>
          <w:sz w:val="32"/>
          <w:szCs w:val="32"/>
          <w:lang w:val="en-US" w:eastAsia="zh-CN"/>
          <w:highlight w:val="auto"/>
        </w:rPr>
        <w:t>1个</w:t>
      </w:r>
      <w:r>
        <w:rPr>
          <w:rFonts w:ascii="Times New Roman" w:cs="Times New Roman" w:hAnsi="Times New Roman"/>
          <w:sz w:val="32"/>
          <w:szCs w:val="32"/>
          <w:lang w:eastAsia="zh-CN"/>
          <w:highlight w:val="auto"/>
        </w:rPr>
        <w:t>项目实施环节与合同约定不相符；</w:t>
      </w:r>
      <w:r>
        <w:rPr>
          <w:rFonts w:ascii="Times New Roman" w:cs="Times New Roman" w:hAnsi="Times New Roman"/>
          <w:sz w:val="32"/>
          <w:szCs w:val="32"/>
          <w:lang w:val="en-US" w:eastAsia="zh-CN"/>
          <w:highlight w:val="auto"/>
        </w:rPr>
        <w:t>1个项目</w:t>
      </w:r>
      <w:r>
        <w:rPr>
          <w:rFonts w:ascii="Times New Roman" w:cs="Times New Roman" w:hAnsi="Times New Roman"/>
          <w:sz w:val="32"/>
          <w:szCs w:val="32"/>
          <w:lang w:eastAsia="zh-CN"/>
          <w:highlight w:val="auto"/>
        </w:rPr>
        <w:t>实施内容的成长性一般</w:t>
      </w:r>
      <w:r>
        <w:rPr>
          <w:rFonts w:ascii="Times New Roman" w:eastAsia="仿宋_GB2312" w:cs="Times New Roman" w:hAnsi="Times New Roman"/>
          <w:sz w:val="32"/>
          <w:szCs w:val="32"/>
          <w:lang w:eastAsia="zh-CN"/>
          <w:highlight w:val="auto"/>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ascii="Times New Roman" w:eastAsia="仿宋_GB2312" w:cs="Times New Roman" w:hAnsi="Times New Roman"/>
          <w:sz w:val="32"/>
          <w:szCs w:val="32"/>
          <w:lang w:eastAsia="zh-CN"/>
          <w:highlight w:val="auto"/>
        </w:rPr>
      </w:pPr>
      <w:r>
        <w:rPr>
          <w:rFonts w:ascii="Times New Roman" w:eastAsia="仿宋_GB2312" w:cs="Times New Roman" w:hAnsi="Times New Roman"/>
          <w:b/>
          <w:bCs/>
          <w:sz w:val="32"/>
          <w:szCs w:val="32"/>
          <w:lang w:val="en-US" w:eastAsia="zh-CN"/>
          <w:highlight w:val="auto"/>
        </w:rPr>
        <w:t xml:space="preserve">    （2）</w:t>
      </w:r>
      <w:r>
        <w:rPr>
          <w:rFonts w:ascii="Times New Roman" w:eastAsia="仿宋_GB2312" w:cs="Times New Roman" w:hAnsi="Times New Roman"/>
          <w:b/>
          <w:bCs/>
          <w:sz w:val="32"/>
          <w:szCs w:val="32"/>
          <w:lang w:eastAsia="zh-CN"/>
          <w:highlight w:val="auto"/>
        </w:rPr>
        <w:t>民生保障</w:t>
      </w:r>
      <w:r>
        <w:rPr>
          <w:rFonts w:ascii="Times New Roman" w:eastAsia="仿宋_GB2312" w:cs="Times New Roman" w:hAnsi="Times New Roman"/>
          <w:b/>
          <w:bCs/>
          <w:sz w:val="32"/>
          <w:szCs w:val="32"/>
          <w:lang w:val="en-US" w:eastAsia="zh-CN"/>
          <w:highlight w:val="auto"/>
        </w:rPr>
        <w:t>类</w:t>
      </w:r>
      <w:r>
        <w:rPr>
          <w:rFonts w:ascii="Times New Roman" w:eastAsia="仿宋_GB2312" w:cs="Times New Roman" w:hAnsi="Times New Roman"/>
          <w:b/>
          <w:bCs/>
          <w:sz w:val="32"/>
          <w:szCs w:val="32"/>
          <w:lang w:eastAsia="zh-CN"/>
          <w:highlight w:val="auto"/>
        </w:rPr>
        <w:t>项目。</w:t>
      </w:r>
      <w:r>
        <w:rPr>
          <w:rFonts w:ascii="Times New Roman" w:eastAsia="仿宋_GB2312" w:cs="Times New Roman" w:hAnsi="Times New Roman"/>
          <w:b w:val="0"/>
          <w:bCs w:val="0"/>
          <w:sz w:val="32"/>
          <w:szCs w:val="32"/>
          <w:lang w:val="en-US" w:eastAsia="zh-CN"/>
          <w:highlight w:val="auto"/>
        </w:rPr>
        <w:t>该类</w:t>
      </w:r>
      <w:r>
        <w:rPr>
          <w:rFonts w:ascii="Times New Roman" w:eastAsia="仿宋_GB2312" w:cs="Times New Roman" w:hAnsi="Times New Roman"/>
          <w:sz w:val="32"/>
          <w:szCs w:val="32"/>
          <w:lang w:val="en-US" w:eastAsia="zh-CN"/>
          <w:highlight w:val="auto"/>
        </w:rPr>
        <w:t>项目共</w:t>
      </w:r>
      <w:r>
        <w:rPr>
          <w:rFonts w:ascii="Times New Roman" w:cs="Times New Roman" w:hAnsi="Times New Roman"/>
          <w:sz w:val="32"/>
          <w:szCs w:val="32"/>
          <w:lang w:val="en-US" w:eastAsia="zh-CN"/>
          <w:highlight w:val="auto"/>
        </w:rPr>
        <w:t>32</w:t>
      </w:r>
      <w:r>
        <w:rPr>
          <w:rFonts w:ascii="Times New Roman" w:eastAsia="仿宋_GB2312" w:cs="Times New Roman" w:hAnsi="Times New Roman"/>
          <w:sz w:val="32"/>
          <w:szCs w:val="32"/>
          <w:lang w:val="en-US" w:eastAsia="zh-CN"/>
          <w:highlight w:val="auto"/>
        </w:rPr>
        <w:t>个，</w:t>
      </w:r>
      <w:r>
        <w:rPr>
          <w:rFonts w:ascii="Times New Roman" w:cs="Times New Roman" w:hAnsi="Times New Roman"/>
          <w:sz w:val="32"/>
          <w:szCs w:val="32"/>
          <w:lang w:val="en-US" w:eastAsia="zh-CN"/>
          <w:highlight w:val="auto"/>
        </w:rPr>
        <w:t>其中16</w:t>
      </w:r>
      <w:r>
        <w:rPr>
          <w:rFonts w:ascii="Times New Roman" w:eastAsia="仿宋_GB2312" w:cs="Times New Roman" w:hAnsi="Times New Roman"/>
          <w:sz w:val="32"/>
          <w:szCs w:val="32"/>
          <w:lang w:val="en-US" w:eastAsia="zh-CN"/>
          <w:highlight w:val="auto"/>
        </w:rPr>
        <w:t>个项目共扣</w:t>
      </w:r>
      <w:r>
        <w:rPr>
          <w:rFonts w:ascii="Times New Roman" w:cs="Times New Roman" w:hAnsi="Times New Roman"/>
          <w:sz w:val="32"/>
          <w:szCs w:val="32"/>
          <w:lang w:val="en-US" w:eastAsia="zh-CN"/>
          <w:highlight w:val="auto"/>
        </w:rPr>
        <w:t>31.9</w:t>
      </w:r>
      <w:r>
        <w:rPr>
          <w:rFonts w:ascii="Times New Roman" w:eastAsia="仿宋_GB2312" w:cs="Times New Roman" w:hAnsi="Times New Roman"/>
          <w:sz w:val="32"/>
          <w:szCs w:val="32"/>
          <w:lang w:val="en-US" w:eastAsia="zh-CN"/>
          <w:highlight w:val="auto"/>
        </w:rPr>
        <w:t>分</w:t>
      </w:r>
      <w:r>
        <w:rPr>
          <w:rFonts w:ascii="Times New Roman" w:eastAsia="仿宋_GB2312" w:cs="Times New Roman" w:hAnsi="Times New Roman"/>
          <w:color w:val="000000"/>
          <w:kern w:val="0"/>
          <w:sz w:val="32"/>
          <w:szCs w:val="32"/>
          <w:shd w:val="clear" w:color="auto" w:fill="FFFFFF"/>
          <w:lang w:val="en-US" w:eastAsia="zh-CN"/>
          <w:highlight w:val="auto"/>
        </w:rPr>
        <w:t>。</w:t>
      </w:r>
      <w:r>
        <w:rPr>
          <w:rFonts w:ascii="Times New Roman" w:eastAsia="仿宋_GB2312" w:cs="Times New Roman" w:hAnsi="Times New Roman"/>
          <w:sz w:val="32"/>
          <w:szCs w:val="32"/>
          <w:lang w:eastAsia="zh-CN"/>
          <w:highlight w:val="auto"/>
        </w:rPr>
        <w:t>扣分原因主要为：</w:t>
      </w:r>
      <w:r>
        <w:rPr>
          <w:rFonts w:ascii="Times New Roman" w:cs="Times New Roman" w:hAnsi="Times New Roman"/>
          <w:sz w:val="32"/>
          <w:szCs w:val="32"/>
          <w:lang w:val="en-US" w:eastAsia="zh-CN"/>
          <w:highlight w:val="auto"/>
        </w:rPr>
        <w:t>8个项目</w:t>
      </w:r>
      <w:r>
        <w:rPr>
          <w:rFonts w:ascii="Times New Roman" w:cs="Times New Roman" w:hAnsi="Times New Roman"/>
          <w:sz w:val="32"/>
          <w:szCs w:val="32"/>
          <w:lang w:eastAsia="zh-CN"/>
          <w:highlight w:val="auto"/>
        </w:rPr>
        <w:t>资金支持范围、标准、程序上公平公正性表现一般；</w:t>
      </w:r>
      <w:r>
        <w:rPr>
          <w:rFonts w:ascii="Times New Roman" w:cs="Times New Roman" w:hAnsi="Times New Roman"/>
          <w:sz w:val="32"/>
          <w:szCs w:val="32"/>
          <w:lang w:val="en-US" w:eastAsia="zh-CN"/>
          <w:highlight w:val="auto"/>
        </w:rPr>
        <w:t>3个项目</w:t>
      </w:r>
      <w:r>
        <w:rPr>
          <w:rFonts w:ascii="Times New Roman" w:cs="Times New Roman" w:hAnsi="Times New Roman"/>
          <w:sz w:val="32"/>
          <w:szCs w:val="32"/>
          <w:lang w:eastAsia="zh-CN"/>
          <w:highlight w:val="auto"/>
        </w:rPr>
        <w:t>区域均衡性方面实施区域分布一般。</w:t>
      </w:r>
    </w:p>
    <w:p>
      <w:pPr>
        <w:pStyle w:val="21"/>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ascii="Times New Roman" w:eastAsia="仿宋_GB2312" w:cs="Times New Roman" w:hAnsi="Times New Roman"/>
          <w:sz w:val="32"/>
          <w:szCs w:val="32"/>
          <w:lang w:val="en-US" w:eastAsia="zh-CN"/>
          <w:highlight w:val="auto"/>
        </w:rPr>
      </w:pPr>
      <w:r>
        <w:rPr>
          <w:rFonts w:ascii="Times New Roman" w:eastAsia="仿宋_GB2312" w:cs="Times New Roman" w:hAnsi="Times New Roman"/>
          <w:b/>
          <w:bCs/>
          <w:sz w:val="32"/>
          <w:szCs w:val="32"/>
          <w:lang w:eastAsia="zh-CN"/>
          <w:highlight w:val="auto"/>
        </w:rPr>
        <w:t>（</w:t>
      </w:r>
      <w:r>
        <w:rPr>
          <w:rFonts w:ascii="Times New Roman" w:eastAsia="仿宋_GB2312" w:cs="Times New Roman" w:hAnsi="Times New Roman"/>
          <w:b/>
          <w:bCs/>
          <w:sz w:val="32"/>
          <w:szCs w:val="32"/>
          <w:lang w:val="en-US" w:eastAsia="zh-CN"/>
          <w:highlight w:val="auto"/>
        </w:rPr>
        <w:t>3）</w:t>
      </w:r>
      <w:r>
        <w:rPr>
          <w:rFonts w:ascii="Times New Roman" w:eastAsia="仿宋_GB2312" w:cs="Times New Roman" w:hAnsi="Times New Roman"/>
          <w:b/>
          <w:bCs/>
          <w:sz w:val="32"/>
          <w:szCs w:val="32"/>
          <w:lang w:eastAsia="zh-CN"/>
          <w:highlight w:val="auto"/>
        </w:rPr>
        <w:t>基础设施（设备购置）</w:t>
      </w:r>
      <w:r>
        <w:rPr>
          <w:rFonts w:ascii="Times New Roman" w:eastAsia="仿宋_GB2312" w:cs="Times New Roman" w:hAnsi="Times New Roman"/>
          <w:b/>
          <w:bCs/>
          <w:sz w:val="32"/>
          <w:szCs w:val="32"/>
          <w:lang w:val="en-US" w:eastAsia="zh-CN"/>
          <w:highlight w:val="auto"/>
        </w:rPr>
        <w:t>类</w:t>
      </w:r>
      <w:r>
        <w:rPr>
          <w:rFonts w:ascii="Times New Roman" w:eastAsia="仿宋_GB2312" w:cs="Times New Roman" w:hAnsi="Times New Roman"/>
          <w:b/>
          <w:bCs/>
          <w:sz w:val="32"/>
          <w:szCs w:val="32"/>
          <w:lang w:eastAsia="zh-CN"/>
          <w:highlight w:val="auto"/>
        </w:rPr>
        <w:t>项目。</w:t>
      </w:r>
      <w:r>
        <w:rPr>
          <w:rFonts w:ascii="Times New Roman" w:eastAsia="仿宋_GB2312" w:cs="Times New Roman" w:hAnsi="Times New Roman"/>
          <w:b w:val="0"/>
          <w:bCs w:val="0"/>
          <w:sz w:val="32"/>
          <w:szCs w:val="32"/>
          <w:lang w:val="en-US" w:eastAsia="zh-CN"/>
          <w:highlight w:val="auto"/>
        </w:rPr>
        <w:t>该类</w:t>
      </w:r>
      <w:r>
        <w:rPr>
          <w:rFonts w:ascii="Times New Roman" w:eastAsia="仿宋_GB2312" w:cs="Times New Roman" w:hAnsi="Times New Roman"/>
          <w:sz w:val="32"/>
          <w:szCs w:val="32"/>
          <w:lang w:val="en-US" w:eastAsia="zh-CN"/>
          <w:highlight w:val="auto"/>
        </w:rPr>
        <w:t>项目共</w:t>
      </w:r>
      <w:r>
        <w:rPr>
          <w:rFonts w:ascii="Times New Roman" w:cs="Times New Roman" w:hAnsi="Times New Roman"/>
          <w:sz w:val="32"/>
          <w:szCs w:val="32"/>
          <w:lang w:val="en-US" w:eastAsia="zh-CN"/>
          <w:highlight w:val="auto"/>
        </w:rPr>
        <w:t>48</w:t>
      </w:r>
      <w:r>
        <w:rPr>
          <w:rFonts w:ascii="Times New Roman" w:eastAsia="仿宋_GB2312" w:cs="Times New Roman" w:hAnsi="Times New Roman"/>
          <w:sz w:val="32"/>
          <w:szCs w:val="32"/>
          <w:lang w:val="en-US" w:eastAsia="zh-CN"/>
          <w:highlight w:val="auto"/>
        </w:rPr>
        <w:t>个，</w:t>
      </w:r>
      <w:r>
        <w:rPr>
          <w:rFonts w:ascii="Times New Roman" w:cs="Times New Roman" w:hAnsi="Times New Roman"/>
          <w:sz w:val="32"/>
          <w:szCs w:val="32"/>
          <w:lang w:val="en-US" w:eastAsia="zh-CN"/>
          <w:highlight w:val="auto"/>
        </w:rPr>
        <w:t>其中7</w:t>
      </w:r>
      <w:r>
        <w:rPr>
          <w:rFonts w:ascii="Times New Roman" w:eastAsia="仿宋_GB2312" w:cs="Times New Roman" w:hAnsi="Times New Roman"/>
          <w:sz w:val="32"/>
          <w:szCs w:val="32"/>
          <w:lang w:val="en-US" w:eastAsia="zh-CN"/>
          <w:highlight w:val="auto"/>
        </w:rPr>
        <w:t>个项目共扣</w:t>
      </w:r>
      <w:r>
        <w:rPr>
          <w:rFonts w:ascii="Times New Roman" w:cs="Times New Roman" w:hAnsi="Times New Roman"/>
          <w:sz w:val="32"/>
          <w:szCs w:val="32"/>
          <w:lang w:val="en-US" w:eastAsia="zh-CN"/>
          <w:highlight w:val="auto"/>
        </w:rPr>
        <w:t>18</w:t>
      </w:r>
      <w:r>
        <w:rPr>
          <w:rFonts w:ascii="Times New Roman" w:eastAsia="仿宋_GB2312" w:cs="Times New Roman" w:hAnsi="Times New Roman"/>
          <w:sz w:val="32"/>
          <w:szCs w:val="32"/>
          <w:lang w:val="en-US" w:eastAsia="zh-CN"/>
          <w:highlight w:val="auto"/>
        </w:rPr>
        <w:t>分</w:t>
      </w:r>
      <w:r>
        <w:rPr>
          <w:rFonts w:ascii="Times New Roman" w:cs="Times New Roman" w:hAnsi="Times New Roman"/>
          <w:sz w:val="32"/>
          <w:szCs w:val="32"/>
          <w:lang w:val="en-US" w:eastAsia="zh-CN"/>
          <w:highlight w:val="auto"/>
        </w:rPr>
        <w:t>，4个项目未完工和1个项目解决前期项目应付未付遗留问题，不参与评价得分</w:t>
      </w:r>
      <w:r>
        <w:rPr>
          <w:rFonts w:ascii="Times New Roman" w:eastAsia="仿宋_GB2312" w:cs="Times New Roman" w:hAnsi="Times New Roman"/>
          <w:sz w:val="32"/>
          <w:szCs w:val="32"/>
          <w:lang w:val="en-US" w:eastAsia="zh-CN"/>
          <w:highlight w:val="auto"/>
        </w:rPr>
        <w:t>。</w:t>
      </w:r>
      <w:r>
        <w:rPr>
          <w:rFonts w:ascii="Times New Roman" w:eastAsia="仿宋_GB2312" w:cs="Times New Roman" w:hAnsi="Times New Roman"/>
          <w:sz w:val="32"/>
          <w:szCs w:val="32"/>
          <w:lang w:eastAsia="zh-CN"/>
          <w:highlight w:val="auto"/>
        </w:rPr>
        <w:t>扣分原因主要为：</w:t>
      </w:r>
      <w:r>
        <w:rPr>
          <w:rFonts w:ascii="Times New Roman" w:cs="Times New Roman" w:hAnsi="Times New Roman"/>
          <w:sz w:val="32"/>
          <w:szCs w:val="32"/>
          <w:lang w:val="en-US" w:eastAsia="zh-CN"/>
          <w:highlight w:val="auto"/>
        </w:rPr>
        <w:t>1个项目未实现实施方案预期功能，项目在良好运行方面比较欠缺，表现在只注重建而未搞好后期管理；1个</w:t>
      </w:r>
      <w:r>
        <w:rPr>
          <w:rFonts w:ascii="Times New Roman" w:eastAsia="仿宋_GB2312" w:cs="Times New Roman" w:hAnsi="Times New Roman"/>
          <w:sz w:val="32"/>
          <w:szCs w:val="32"/>
          <w:lang w:eastAsia="zh-CN"/>
          <w:highlight w:val="auto"/>
        </w:rPr>
        <w:t>项目资金规划相符性一般</w:t>
      </w:r>
      <w:r>
        <w:rPr>
          <w:rFonts w:ascii="Times New Roman" w:cs="Times New Roman" w:hAnsi="Times New Roman"/>
          <w:sz w:val="32"/>
          <w:szCs w:val="32"/>
          <w:lang w:eastAsia="zh-CN"/>
          <w:highlight w:val="auto"/>
        </w:rPr>
        <w:t>，</w:t>
      </w:r>
      <w:r>
        <w:rPr>
          <w:rFonts w:ascii="Times New Roman" w:eastAsia="仿宋_GB2312" w:cs="Times New Roman" w:hAnsi="Times New Roman"/>
          <w:sz w:val="32"/>
          <w:szCs w:val="32"/>
          <w:lang w:eastAsia="zh-CN"/>
          <w:highlight w:val="auto"/>
        </w:rPr>
        <w:t>项目未按计划完成</w:t>
      </w:r>
      <w:r>
        <w:rPr>
          <w:rFonts w:ascii="Times New Roman" w:cs="Times New Roman" w:hAnsi="Times New Roman"/>
          <w:sz w:val="32"/>
          <w:szCs w:val="32"/>
          <w:lang w:eastAsia="zh-CN"/>
          <w:highlight w:val="auto"/>
        </w:rPr>
        <w:t>，</w:t>
      </w:r>
      <w:r>
        <w:rPr>
          <w:rFonts w:ascii="Times New Roman" w:eastAsia="仿宋_GB2312" w:cs="Times New Roman" w:hAnsi="Times New Roman"/>
          <w:sz w:val="32"/>
          <w:szCs w:val="32"/>
          <w:lang w:eastAsia="zh-CN"/>
          <w:highlight w:val="auto"/>
        </w:rPr>
        <w:t>整体效益未显现</w:t>
      </w:r>
      <w:r>
        <w:rPr>
          <w:rFonts w:ascii="Times New Roman" w:cs="Times New Roman" w:hAnsi="Times New Roman"/>
          <w:sz w:val="32"/>
          <w:szCs w:val="32"/>
          <w:lang w:eastAsia="zh-CN"/>
          <w:highlight w:val="auto"/>
        </w:rPr>
        <w:t>；</w:t>
      </w:r>
      <w:r>
        <w:rPr>
          <w:rFonts w:ascii="Times New Roman" w:cs="Times New Roman" w:hAnsi="Times New Roman"/>
          <w:sz w:val="32"/>
          <w:szCs w:val="32"/>
          <w:lang w:val="en-US" w:eastAsia="zh-CN"/>
          <w:highlight w:val="auto"/>
        </w:rPr>
        <w:t>2个项目的配套设施较为欠缺，无相关警示牌，横幅等提醒标识。</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Chars="200" w:firstLine="632"/>
        <w:textAlignment w:val="auto"/>
        <w:rPr>
          <w:rFonts w:ascii="Times New Roman" w:eastAsia="仿宋_GB2312" w:cs="Times New Roman" w:hAnsi="Times New Roman"/>
          <w:b/>
          <w:bCs/>
          <w:sz w:val="32"/>
          <w:szCs w:val="32"/>
          <w:lang w:eastAsia="zh-CN"/>
          <w:highlight w:val="auto"/>
        </w:rPr>
      </w:pPr>
      <w:r>
        <w:rPr>
          <w:rFonts w:ascii="Times New Roman" w:eastAsia="仿宋_GB2312" w:cs="Times New Roman" w:hAnsi="Times New Roman"/>
          <w:b/>
          <w:bCs/>
          <w:color w:val="000000"/>
          <w:kern w:val="0"/>
          <w:sz w:val="32"/>
          <w:szCs w:val="32"/>
          <w:lang w:val="en-US" w:eastAsia="zh-CN"/>
          <w:highlight w:val="auto"/>
        </w:rPr>
        <w:t>3.</w:t>
      </w:r>
      <w:r>
        <w:rPr>
          <w:rFonts w:ascii="Times New Roman" w:eastAsia="仿宋_GB2312" w:cs="Times New Roman" w:hAnsi="Times New Roman"/>
          <w:b/>
          <w:bCs/>
          <w:color w:val="000000"/>
          <w:kern w:val="0"/>
          <w:sz w:val="32"/>
          <w:szCs w:val="32"/>
          <w:lang w:eastAsia="zh-CN"/>
          <w:highlight w:val="auto"/>
        </w:rPr>
        <w:t>特性指标</w:t>
      </w:r>
      <w:r>
        <w:rPr>
          <w:rFonts w:ascii="Times New Roman" w:eastAsia="仿宋_GB2312" w:cs="Times New Roman" w:hAnsi="Times New Roman"/>
          <w:b/>
          <w:bCs/>
          <w:sz w:val="32"/>
          <w:szCs w:val="32"/>
          <w:lang w:eastAsia="zh-CN"/>
          <w:highlight w:val="auto"/>
        </w:rPr>
        <w:t>得分情况</w:t>
      </w:r>
    </w:p>
    <w:p>
      <w:pPr>
        <w:pStyle w:val="15"/>
        <w:keepNext w:val="0"/>
        <w:keepLines w:val="0"/>
        <w:pageBreakBefore w:val="0"/>
        <w:widowControl w:val="0"/>
        <w:suppressLineNumbers w:val="0"/>
        <w:suppressAutoHyphens/>
        <w:kinsoku/>
        <w:wordWrap/>
        <w:overflowPunct/>
        <w:topLinePunct w:val="0"/>
        <w:autoSpaceDE/>
        <w:autoSpaceDN/>
        <w:bidi w:val="0"/>
        <w:adjustRightInd/>
        <w:snapToGrid/>
        <w:spacing w:beforeAutospacing="0" w:afterAutospacing="0" w:line="560" w:lineRule="exact"/>
        <w:ind w:leftChars="0" w:left="0" w:firstLineChars="200" w:firstLine="632"/>
        <w:textAlignment w:val="auto"/>
        <w:rPr>
          <w:rFonts w:ascii="Times New Roman" w:eastAsia="仿宋_GB2312" w:cs="Times New Roman" w:hAnsi="Times New Roman"/>
          <w:color w:val="000000"/>
          <w:kern w:val="0"/>
          <w:sz w:val="32"/>
          <w:szCs w:val="32"/>
          <w:shd w:val="clear" w:color="auto" w:fill="FFFFFF"/>
          <w:lang w:val="en-US" w:eastAsia="zh-CN"/>
          <w:highlight w:val="auto"/>
        </w:rPr>
      </w:pPr>
      <w:r>
        <w:rPr>
          <w:rFonts w:ascii="Times New Roman" w:eastAsia="仿宋_GB2312" w:cs="Times New Roman" w:hAnsi="Times New Roman"/>
          <w:color w:val="000000"/>
          <w:kern w:val="0"/>
          <w:sz w:val="32"/>
          <w:szCs w:val="32"/>
          <w:shd w:val="clear" w:color="auto" w:fill="FFFFFF"/>
          <w:highlight w:val="auto"/>
        </w:rPr>
        <w:t>该指标权重为</w:t>
      </w:r>
      <w:r>
        <w:rPr>
          <w:rFonts w:ascii="Times New Roman" w:eastAsia="仿宋_GB2312" w:cs="Times New Roman" w:hAnsi="Times New Roman"/>
          <w:color w:val="000000"/>
          <w:kern w:val="0"/>
          <w:sz w:val="32"/>
          <w:szCs w:val="32"/>
          <w:shd w:val="clear" w:color="auto" w:fill="FFFFFF"/>
          <w:lang w:val="en-US" w:eastAsia="zh-CN"/>
          <w:highlight w:val="auto"/>
        </w:rPr>
        <w:t>30</w:t>
      </w:r>
      <w:r>
        <w:rPr>
          <w:rFonts w:ascii="Times New Roman" w:eastAsia="仿宋_GB2312" w:cs="Times New Roman" w:hAnsi="Times New Roman"/>
          <w:color w:val="000000"/>
          <w:kern w:val="0"/>
          <w:sz w:val="32"/>
          <w:szCs w:val="32"/>
          <w:shd w:val="clear" w:color="auto" w:fill="FFFFFF"/>
          <w:highlight w:val="auto"/>
        </w:rPr>
        <w:t>分</w:t>
      </w:r>
      <w:r>
        <w:rPr>
          <w:rFonts w:ascii="Times New Roman" w:eastAsia="仿宋_GB2312" w:cs="Times New Roman" w:hAnsi="Times New Roman"/>
          <w:color w:val="000000"/>
          <w:kern w:val="0"/>
          <w:sz w:val="32"/>
          <w:szCs w:val="32"/>
          <w:shd w:val="clear" w:color="auto" w:fill="FFFFFF"/>
          <w:lang w:eastAsia="zh-CN"/>
          <w:highlight w:val="auto"/>
        </w:rPr>
        <w:t>，平均得</w:t>
      </w:r>
      <w:r>
        <w:rPr>
          <w:rFonts w:ascii="Times New Roman" w:eastAsia="仿宋_GB2312" w:cs="Times New Roman" w:hAnsi="Times New Roman"/>
          <w:color w:val="000000"/>
          <w:kern w:val="0"/>
          <w:sz w:val="32"/>
          <w:szCs w:val="32"/>
          <w:shd w:val="clear" w:color="auto" w:fill="FFFFFF"/>
          <w:lang w:val="en-US" w:eastAsia="zh-CN"/>
          <w:highlight w:val="auto"/>
        </w:rPr>
        <w:t>分25.85分。</w:t>
      </w:r>
    </w:p>
    <w:p>
      <w:pPr>
        <w:pStyle w:val="15"/>
        <w:keepNext w:val="0"/>
        <w:keepLines w:val="0"/>
        <w:pageBreakBefore w:val="0"/>
        <w:widowControl w:val="0"/>
        <w:numPr>
          <w:ilvl w:val="0"/>
          <w:numId w:val="1"/>
        </w:numPr>
        <w:suppressLineNumbers w:val="0"/>
        <w:suppressAutoHyphens/>
        <w:kinsoku/>
        <w:wordWrap/>
        <w:overflowPunct/>
        <w:topLinePunct w:val="0"/>
        <w:autoSpaceDE/>
        <w:autoSpaceDN/>
        <w:bidi w:val="0"/>
        <w:adjustRightInd/>
        <w:snapToGrid/>
        <w:spacing w:beforeAutospacing="0" w:afterAutospacing="0" w:line="560" w:lineRule="exact"/>
        <w:ind w:leftChars="0" w:left="0" w:firstLineChars="200" w:firstLine="632"/>
        <w:textAlignment w:val="auto"/>
        <w:rPr>
          <w:rFonts w:ascii="Times New Roman" w:eastAsia="仿宋_GB2312" w:cs="Times New Roman" w:hAnsi="Times New Roman"/>
          <w:b w:val="0"/>
          <w:bCs w:val="0"/>
          <w:sz w:val="32"/>
          <w:szCs w:val="32"/>
          <w:lang w:val="en-US" w:eastAsia="zh-CN"/>
          <w:highlight w:val="auto"/>
        </w:rPr>
      </w:pPr>
      <w:r>
        <w:rPr>
          <w:rFonts w:ascii="Times New Roman" w:eastAsia="仿宋_GB2312" w:cs="Times New Roman" w:hAnsi="Times New Roman"/>
          <w:b/>
          <w:bCs/>
          <w:sz w:val="32"/>
          <w:szCs w:val="32"/>
          <w:lang w:val="en-US" w:eastAsia="zh-CN"/>
          <w:highlight w:val="auto"/>
        </w:rPr>
        <w:t>产业发展类项目。</w:t>
      </w:r>
      <w:r>
        <w:rPr>
          <w:rFonts w:ascii="Times New Roman" w:eastAsia="仿宋_GB2312" w:cs="Times New Roman" w:hAnsi="Times New Roman"/>
          <w:b w:val="0"/>
          <w:bCs w:val="0"/>
          <w:sz w:val="32"/>
          <w:szCs w:val="32"/>
          <w:lang w:val="en-US" w:eastAsia="zh-CN"/>
          <w:highlight w:val="auto"/>
        </w:rPr>
        <w:t>该类</w:t>
      </w:r>
      <w:r>
        <w:rPr>
          <w:rFonts w:ascii="Times New Roman" w:eastAsia="仿宋_GB2312" w:cs="Times New Roman" w:hAnsi="Times New Roman"/>
          <w:sz w:val="32"/>
          <w:szCs w:val="32"/>
          <w:lang w:val="en-US" w:eastAsia="zh-CN"/>
          <w:highlight w:val="auto"/>
        </w:rPr>
        <w:t>项目共</w:t>
      </w:r>
      <w:r>
        <w:rPr>
          <w:rFonts w:ascii="Times New Roman" w:cs="Times New Roman" w:hAnsi="Times New Roman"/>
          <w:sz w:val="32"/>
          <w:szCs w:val="32"/>
          <w:lang w:val="en-US" w:eastAsia="zh-CN"/>
          <w:highlight w:val="auto"/>
        </w:rPr>
        <w:t>10</w:t>
      </w:r>
      <w:r>
        <w:rPr>
          <w:rFonts w:ascii="Times New Roman" w:eastAsia="仿宋_GB2312" w:cs="Times New Roman" w:hAnsi="Times New Roman"/>
          <w:sz w:val="32"/>
          <w:szCs w:val="32"/>
          <w:lang w:val="en-US" w:eastAsia="zh-CN"/>
          <w:highlight w:val="auto"/>
        </w:rPr>
        <w:t>个，其中</w:t>
      </w:r>
      <w:r>
        <w:rPr>
          <w:rFonts w:ascii="Times New Roman" w:cs="Times New Roman" w:hAnsi="Times New Roman"/>
          <w:sz w:val="32"/>
          <w:szCs w:val="32"/>
          <w:lang w:val="en-US" w:eastAsia="zh-CN"/>
          <w:highlight w:val="auto"/>
        </w:rPr>
        <w:t>10</w:t>
      </w:r>
      <w:r>
        <w:rPr>
          <w:rFonts w:ascii="Times New Roman" w:eastAsia="仿宋_GB2312" w:cs="Times New Roman" w:hAnsi="Times New Roman"/>
          <w:sz w:val="32"/>
          <w:szCs w:val="32"/>
          <w:lang w:val="en-US" w:eastAsia="zh-CN"/>
          <w:highlight w:val="auto"/>
        </w:rPr>
        <w:t>个项目共</w:t>
      </w:r>
      <w:r>
        <w:rPr>
          <w:rFonts w:ascii="Times New Roman" w:eastAsia="仿宋_GB2312" w:cs="Times New Roman" w:hAnsi="Times New Roman"/>
          <w:color w:val="000000"/>
          <w:kern w:val="0"/>
          <w:sz w:val="32"/>
          <w:szCs w:val="32"/>
          <w:shd w:val="clear" w:color="auto" w:fill="FFFFFF"/>
          <w:lang w:eastAsia="zh-CN"/>
          <w:highlight w:val="auto"/>
        </w:rPr>
        <w:t>扣</w:t>
      </w:r>
      <w:r>
        <w:rPr>
          <w:rFonts w:ascii="Times New Roman" w:cs="Times New Roman" w:hAnsi="Times New Roman"/>
          <w:color w:val="000000"/>
          <w:kern w:val="0"/>
          <w:sz w:val="32"/>
          <w:szCs w:val="32"/>
          <w:shd w:val="clear" w:color="auto" w:fill="FFFFFF"/>
          <w:lang w:val="en-US" w:eastAsia="zh-CN"/>
          <w:highlight w:val="auto"/>
        </w:rPr>
        <w:t>25</w:t>
      </w:r>
      <w:r>
        <w:rPr>
          <w:rFonts w:ascii="Times New Roman" w:eastAsia="仿宋_GB2312" w:cs="Times New Roman" w:hAnsi="Times New Roman"/>
          <w:color w:val="000000"/>
          <w:kern w:val="0"/>
          <w:sz w:val="32"/>
          <w:szCs w:val="32"/>
          <w:shd w:val="clear" w:color="auto" w:fill="FFFFFF"/>
          <w:lang w:eastAsia="zh-CN"/>
          <w:highlight w:val="auto"/>
        </w:rPr>
        <w:t>分</w:t>
      </w:r>
      <w:r>
        <w:rPr>
          <w:rFonts w:ascii="Times New Roman" w:eastAsia="仿宋_GB2312" w:cs="Times New Roman" w:hAnsi="Times New Roman"/>
          <w:sz w:val="32"/>
          <w:szCs w:val="32"/>
          <w:lang w:eastAsia="zh-CN"/>
          <w:highlight w:val="auto"/>
        </w:rPr>
        <w:t>。</w:t>
      </w:r>
      <w:r>
        <w:rPr>
          <w:rFonts w:ascii="Times New Roman" w:eastAsia="仿宋_GB2312" w:cs="Times New Roman" w:hAnsi="Times New Roman"/>
          <w:b w:val="0"/>
          <w:bCs w:val="0"/>
          <w:sz w:val="32"/>
          <w:szCs w:val="32"/>
          <w:lang w:val="en-US" w:eastAsia="zh-CN"/>
          <w:highlight w:val="auto"/>
        </w:rPr>
        <w:t>扣分原因主要为：8个项目的社会效益和经济效益不明显；1个项目实际宣传中未完全按照实施方案既定的宣传方式进行宣传，宣传力度一般。</w:t>
      </w:r>
    </w:p>
    <w:p>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560" w:lineRule="exact"/>
        <w:ind w:left="0" w:firstLineChars="200" w:firstLine="632"/>
        <w:textAlignment w:val="auto"/>
        <w:rPr>
          <w:rFonts w:ascii="Times New Roman" w:cs="Times New Roman" w:hAnsi="Times New Roman"/>
          <w:b w:val="0"/>
          <w:bCs w:val="0"/>
          <w:sz w:val="32"/>
          <w:szCs w:val="32"/>
          <w:lang w:val="en-US" w:eastAsia="zh-CN"/>
          <w:highlight w:val="auto"/>
        </w:rPr>
      </w:pPr>
      <w:r>
        <w:rPr>
          <w:rFonts w:ascii="Times New Roman" w:eastAsia="仿宋_GB2312" w:cs="Times New Roman" w:hAnsi="Times New Roman"/>
          <w:b/>
          <w:bCs/>
          <w:sz w:val="32"/>
          <w:szCs w:val="32"/>
          <w:lang w:eastAsia="zh-CN"/>
          <w:highlight w:val="auto"/>
        </w:rPr>
        <w:t>民生保障</w:t>
      </w:r>
      <w:r>
        <w:rPr>
          <w:rFonts w:ascii="Times New Roman" w:eastAsia="仿宋_GB2312" w:cs="Times New Roman" w:hAnsi="Times New Roman"/>
          <w:b/>
          <w:bCs/>
          <w:sz w:val="32"/>
          <w:szCs w:val="32"/>
          <w:lang w:val="en-US" w:eastAsia="zh-CN"/>
          <w:highlight w:val="auto"/>
        </w:rPr>
        <w:t>类</w:t>
      </w:r>
      <w:r>
        <w:rPr>
          <w:rFonts w:ascii="Times New Roman" w:eastAsia="仿宋_GB2312" w:cs="Times New Roman" w:hAnsi="Times New Roman"/>
          <w:b/>
          <w:bCs/>
          <w:sz w:val="32"/>
          <w:szCs w:val="32"/>
          <w:lang w:eastAsia="zh-CN"/>
          <w:highlight w:val="auto"/>
        </w:rPr>
        <w:t>项目</w:t>
      </w:r>
      <w:r>
        <w:rPr>
          <w:rFonts w:ascii="Times New Roman" w:cs="Times New Roman" w:hAnsi="Times New Roman"/>
          <w:b/>
          <w:bCs/>
          <w:sz w:val="32"/>
          <w:szCs w:val="32"/>
          <w:lang w:eastAsia="zh-CN"/>
          <w:highlight w:val="auto"/>
        </w:rPr>
        <w:t>。</w:t>
      </w:r>
      <w:r>
        <w:rPr>
          <w:rFonts w:ascii="Times New Roman" w:eastAsia="仿宋_GB2312" w:cs="Times New Roman" w:hAnsi="Times New Roman"/>
          <w:b w:val="0"/>
          <w:bCs w:val="0"/>
          <w:sz w:val="32"/>
          <w:szCs w:val="32"/>
          <w:lang w:val="en-US" w:eastAsia="zh-CN"/>
          <w:highlight w:val="auto"/>
        </w:rPr>
        <w:t>该类</w:t>
      </w:r>
      <w:r>
        <w:rPr>
          <w:rFonts w:ascii="Times New Roman" w:eastAsia="仿宋_GB2312" w:cs="Times New Roman" w:hAnsi="Times New Roman"/>
          <w:sz w:val="32"/>
          <w:szCs w:val="32"/>
          <w:lang w:val="en-US" w:eastAsia="zh-CN"/>
          <w:highlight w:val="auto"/>
        </w:rPr>
        <w:t>项目共</w:t>
      </w:r>
      <w:r>
        <w:rPr>
          <w:rFonts w:ascii="Times New Roman" w:cs="Times New Roman" w:hAnsi="Times New Roman"/>
          <w:sz w:val="32"/>
          <w:szCs w:val="32"/>
          <w:lang w:val="en-US" w:eastAsia="zh-CN"/>
          <w:highlight w:val="auto"/>
        </w:rPr>
        <w:t>32</w:t>
      </w:r>
      <w:r>
        <w:rPr>
          <w:rFonts w:ascii="Times New Roman" w:eastAsia="仿宋_GB2312" w:cs="Times New Roman" w:hAnsi="Times New Roman"/>
          <w:sz w:val="32"/>
          <w:szCs w:val="32"/>
          <w:lang w:val="en-US" w:eastAsia="zh-CN"/>
          <w:highlight w:val="auto"/>
        </w:rPr>
        <w:t>个，</w:t>
      </w:r>
      <w:r>
        <w:rPr>
          <w:rFonts w:ascii="Times New Roman" w:cs="Times New Roman" w:hAnsi="Times New Roman"/>
          <w:sz w:val="32"/>
          <w:szCs w:val="32"/>
          <w:lang w:val="en-US" w:eastAsia="zh-CN"/>
          <w:highlight w:val="auto"/>
        </w:rPr>
        <w:t>其中28</w:t>
      </w:r>
      <w:r>
        <w:rPr>
          <w:rFonts w:ascii="Times New Roman" w:eastAsia="仿宋_GB2312" w:cs="Times New Roman" w:hAnsi="Times New Roman"/>
          <w:sz w:val="32"/>
          <w:szCs w:val="32"/>
          <w:lang w:val="en-US" w:eastAsia="zh-CN"/>
          <w:highlight w:val="auto"/>
        </w:rPr>
        <w:t>个项目共扣</w:t>
      </w:r>
      <w:r>
        <w:rPr>
          <w:rFonts w:ascii="Times New Roman" w:cs="Times New Roman" w:hAnsi="Times New Roman"/>
          <w:sz w:val="32"/>
          <w:szCs w:val="32"/>
          <w:lang w:val="en-US" w:eastAsia="zh-CN"/>
          <w:highlight w:val="auto"/>
        </w:rPr>
        <w:t>77.89</w:t>
      </w:r>
      <w:r>
        <w:rPr>
          <w:rFonts w:ascii="Times New Roman" w:eastAsia="仿宋_GB2312" w:cs="Times New Roman" w:hAnsi="Times New Roman"/>
          <w:sz w:val="32"/>
          <w:szCs w:val="32"/>
          <w:lang w:val="en-US" w:eastAsia="zh-CN"/>
          <w:highlight w:val="auto"/>
        </w:rPr>
        <w:t>分</w:t>
      </w:r>
      <w:r>
        <w:rPr>
          <w:rFonts w:ascii="Times New Roman" w:eastAsia="仿宋_GB2312" w:cs="Times New Roman" w:hAnsi="Times New Roman"/>
          <w:color w:val="000000"/>
          <w:kern w:val="0"/>
          <w:sz w:val="32"/>
          <w:szCs w:val="32"/>
          <w:shd w:val="clear" w:color="auto" w:fill="FFFFFF"/>
          <w:lang w:val="en-US" w:eastAsia="zh-CN"/>
          <w:highlight w:val="auto"/>
        </w:rPr>
        <w:t>。</w:t>
      </w:r>
      <w:r>
        <w:rPr>
          <w:rFonts w:ascii="Times New Roman" w:eastAsia="仿宋_GB2312" w:cs="Times New Roman" w:hAnsi="Times New Roman"/>
          <w:b w:val="0"/>
          <w:bCs w:val="0"/>
          <w:sz w:val="32"/>
          <w:szCs w:val="32"/>
          <w:lang w:val="en-US" w:eastAsia="zh-CN"/>
          <w:highlight w:val="auto"/>
        </w:rPr>
        <w:t>扣分原因主要为：</w:t>
      </w:r>
      <w:r>
        <w:rPr>
          <w:rFonts w:ascii="Times New Roman" w:cs="Times New Roman" w:hAnsi="Times New Roman"/>
          <w:b w:val="0"/>
          <w:bCs w:val="0"/>
          <w:sz w:val="32"/>
          <w:szCs w:val="32"/>
          <w:lang w:val="en-US" w:eastAsia="zh-CN"/>
          <w:highlight w:val="auto"/>
        </w:rPr>
        <w:t>2个项目</w:t>
      </w:r>
      <w:r>
        <w:rPr>
          <w:rFonts w:ascii="Times New Roman" w:eastAsia="仿宋_GB2312" w:cs="Times New Roman" w:hAnsi="Times New Roman"/>
          <w:b w:val="0"/>
          <w:bCs w:val="0"/>
          <w:sz w:val="32"/>
          <w:szCs w:val="32"/>
          <w:lang w:val="en-US" w:eastAsia="zh-CN"/>
          <w:highlight w:val="auto"/>
        </w:rPr>
        <w:t>从业带动能力存在一定的局限性</w:t>
      </w:r>
      <w:r>
        <w:rPr>
          <w:rFonts w:ascii="Times New Roman" w:cs="Times New Roman" w:hAnsi="Times New Roman"/>
          <w:b w:val="0"/>
          <w:bCs w:val="0"/>
          <w:sz w:val="32"/>
          <w:szCs w:val="32"/>
          <w:lang w:val="en-US" w:eastAsia="zh-CN"/>
          <w:highlight w:val="auto"/>
        </w:rPr>
        <w:t>；2个项目公示公开执行一般；7个项目会计基础不够扎实，审核把关不严；各乡镇卫生院的基本公共卫生项目，卫健局对具体使用情况监督力度不够，尚未建立专账管理；7个项目达到了良好的社会效益，同时需要在持续实施中进一步加强，为人民群众创造更大的社会效益、经济效益。</w:t>
      </w:r>
    </w:p>
    <w:p>
      <w:pPr>
        <w:pStyle w:val="21"/>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560" w:lineRule="exact"/>
        <w:ind w:left="0" w:firstLineChars="200" w:firstLine="632"/>
        <w:textAlignment w:val="auto"/>
        <w:rPr>
          <w:rFonts w:ascii="Times New Roman" w:cs="Times New Roman" w:hAnsi="Times New Roman"/>
          <w:sz w:val="32"/>
          <w:szCs w:val="32"/>
          <w:lang w:eastAsia="zh-CN"/>
          <w:highlight w:val="auto"/>
        </w:rPr>
      </w:pPr>
      <w:r>
        <w:rPr>
          <w:rFonts w:ascii="Times New Roman" w:eastAsia="仿宋_GB2312" w:cs="Times New Roman" w:hAnsi="Times New Roman"/>
          <w:b/>
          <w:bCs/>
          <w:sz w:val="32"/>
          <w:szCs w:val="32"/>
          <w:lang w:eastAsia="zh-CN"/>
          <w:highlight w:val="auto"/>
        </w:rPr>
        <w:t>基础设施（设备购置）</w:t>
      </w:r>
      <w:r>
        <w:rPr>
          <w:rFonts w:ascii="Times New Roman" w:eastAsia="仿宋_GB2312" w:cs="Times New Roman" w:hAnsi="Times New Roman"/>
          <w:b/>
          <w:bCs/>
          <w:sz w:val="32"/>
          <w:szCs w:val="32"/>
          <w:lang w:val="en-US" w:eastAsia="zh-CN"/>
          <w:highlight w:val="auto"/>
        </w:rPr>
        <w:t>类</w:t>
      </w:r>
      <w:r>
        <w:rPr>
          <w:rFonts w:ascii="Times New Roman" w:eastAsia="仿宋_GB2312" w:cs="Times New Roman" w:hAnsi="Times New Roman"/>
          <w:b/>
          <w:bCs/>
          <w:sz w:val="32"/>
          <w:szCs w:val="32"/>
          <w:lang w:eastAsia="zh-CN"/>
          <w:highlight w:val="auto"/>
        </w:rPr>
        <w:t>项目。</w:t>
      </w:r>
      <w:r>
        <w:rPr>
          <w:rFonts w:ascii="Times New Roman" w:eastAsia="仿宋_GB2312" w:cs="Times New Roman" w:hAnsi="Times New Roman"/>
          <w:b w:val="0"/>
          <w:bCs w:val="0"/>
          <w:sz w:val="32"/>
          <w:szCs w:val="32"/>
          <w:lang w:val="en-US" w:eastAsia="zh-CN"/>
          <w:highlight w:val="auto"/>
        </w:rPr>
        <w:t>该类</w:t>
      </w:r>
      <w:r>
        <w:rPr>
          <w:rFonts w:ascii="Times New Roman" w:eastAsia="仿宋_GB2312" w:cs="Times New Roman" w:hAnsi="Times New Roman"/>
          <w:sz w:val="32"/>
          <w:szCs w:val="32"/>
          <w:lang w:val="en-US" w:eastAsia="zh-CN"/>
          <w:highlight w:val="auto"/>
        </w:rPr>
        <w:t>项目共</w:t>
      </w:r>
      <w:r>
        <w:rPr>
          <w:rFonts w:ascii="Times New Roman" w:cs="Times New Roman" w:hAnsi="Times New Roman"/>
          <w:sz w:val="32"/>
          <w:szCs w:val="32"/>
          <w:lang w:val="en-US" w:eastAsia="zh-CN"/>
          <w:highlight w:val="auto"/>
        </w:rPr>
        <w:t>48</w:t>
      </w:r>
      <w:r>
        <w:rPr>
          <w:rFonts w:ascii="Times New Roman" w:eastAsia="仿宋_GB2312" w:cs="Times New Roman" w:hAnsi="Times New Roman"/>
          <w:sz w:val="32"/>
          <w:szCs w:val="32"/>
          <w:lang w:val="en-US" w:eastAsia="zh-CN"/>
          <w:highlight w:val="auto"/>
        </w:rPr>
        <w:t>个，</w:t>
      </w:r>
      <w:r>
        <w:rPr>
          <w:rFonts w:ascii="Times New Roman" w:cs="Times New Roman" w:hAnsi="Times New Roman"/>
          <w:sz w:val="32"/>
          <w:szCs w:val="32"/>
          <w:lang w:val="en-US" w:eastAsia="zh-CN"/>
          <w:highlight w:val="auto"/>
        </w:rPr>
        <w:t>其中38</w:t>
      </w:r>
      <w:r>
        <w:rPr>
          <w:rFonts w:ascii="Times New Roman" w:eastAsia="仿宋_GB2312" w:cs="Times New Roman" w:hAnsi="Times New Roman"/>
          <w:sz w:val="32"/>
          <w:szCs w:val="32"/>
          <w:lang w:val="en-US" w:eastAsia="zh-CN"/>
          <w:highlight w:val="auto"/>
        </w:rPr>
        <w:t>个项目共扣</w:t>
      </w:r>
      <w:r>
        <w:rPr>
          <w:rFonts w:ascii="Times New Roman" w:cs="Times New Roman" w:hAnsi="Times New Roman"/>
          <w:sz w:val="32"/>
          <w:szCs w:val="32"/>
          <w:lang w:val="en-US" w:eastAsia="zh-CN"/>
          <w:highlight w:val="auto"/>
        </w:rPr>
        <w:t>198</w:t>
      </w:r>
      <w:r>
        <w:rPr>
          <w:rFonts w:ascii="Times New Roman" w:eastAsia="仿宋_GB2312" w:cs="Times New Roman" w:hAnsi="Times New Roman"/>
          <w:sz w:val="32"/>
          <w:szCs w:val="32"/>
          <w:lang w:val="en-US" w:eastAsia="zh-CN"/>
          <w:highlight w:val="auto"/>
        </w:rPr>
        <w:t>分。</w:t>
      </w:r>
      <w:r>
        <w:rPr>
          <w:rFonts w:ascii="Times New Roman" w:eastAsia="仿宋_GB2312" w:cs="Times New Roman" w:hAnsi="Times New Roman"/>
          <w:sz w:val="32"/>
          <w:szCs w:val="32"/>
          <w:lang w:eastAsia="zh-CN"/>
          <w:highlight w:val="auto"/>
        </w:rPr>
        <w:t>扣分原因主要为：</w:t>
      </w:r>
      <w:r>
        <w:rPr>
          <w:rFonts w:ascii="Times New Roman" w:cs="Times New Roman" w:hAnsi="Times New Roman"/>
          <w:sz w:val="32"/>
          <w:szCs w:val="32"/>
          <w:lang w:val="en-US" w:eastAsia="zh-CN"/>
          <w:highlight w:val="auto"/>
        </w:rPr>
        <w:t>20个</w:t>
      </w:r>
      <w:r>
        <w:rPr>
          <w:rFonts w:ascii="Times New Roman" w:eastAsia="仿宋_GB2312" w:cs="Times New Roman" w:hAnsi="Times New Roman"/>
          <w:sz w:val="32"/>
          <w:szCs w:val="32"/>
          <w:lang w:eastAsia="zh-CN"/>
          <w:highlight w:val="auto"/>
        </w:rPr>
        <w:t>项目完成后未制订相关后期管护措施，未明确后期管理责任人</w:t>
      </w:r>
      <w:r>
        <w:rPr>
          <w:rFonts w:ascii="Times New Roman" w:cs="Times New Roman" w:hAnsi="Times New Roman"/>
          <w:sz w:val="32"/>
          <w:szCs w:val="32"/>
          <w:lang w:eastAsia="zh-CN"/>
          <w:highlight w:val="auto"/>
        </w:rPr>
        <w:t>；</w:t>
      </w:r>
      <w:r>
        <w:rPr>
          <w:rFonts w:ascii="Times New Roman" w:cs="Times New Roman" w:hAnsi="Times New Roman"/>
          <w:sz w:val="32"/>
          <w:szCs w:val="32"/>
          <w:lang w:val="en-US" w:eastAsia="zh-CN"/>
          <w:highlight w:val="auto"/>
        </w:rPr>
        <w:t>4个</w:t>
      </w:r>
      <w:r>
        <w:rPr>
          <w:rFonts w:ascii="Times New Roman" w:eastAsia="仿宋_GB2312" w:cs="Times New Roman" w:hAnsi="Times New Roman"/>
          <w:sz w:val="32"/>
          <w:szCs w:val="32"/>
          <w:lang w:eastAsia="zh-CN"/>
          <w:highlight w:val="auto"/>
        </w:rPr>
        <w:t>项目验收内容与发改立项、竣工结算资料不一致。</w:t>
      </w:r>
      <w:r>
        <w:rPr>
          <w:rFonts w:ascii="Times New Roman" w:cs="Times New Roman" w:hAnsi="Times New Roman"/>
          <w:sz w:val="32"/>
          <w:szCs w:val="32"/>
          <w:lang w:val="en-US" w:eastAsia="zh-CN"/>
          <w:highlight w:val="auto"/>
        </w:rPr>
        <w:t>10个</w:t>
      </w:r>
      <w:r>
        <w:rPr>
          <w:rFonts w:ascii="Times New Roman" w:cs="Times New Roman" w:hAnsi="Times New Roman"/>
          <w:sz w:val="32"/>
          <w:szCs w:val="32"/>
          <w:lang w:eastAsia="zh-CN"/>
          <w:highlight w:val="auto"/>
        </w:rPr>
        <w:t>项目竣工验收采用自制的验收卡，未采用《四川省房屋建筑工程和市政基础设施工程竣工验收报告》；</w:t>
      </w:r>
      <w:r>
        <w:rPr>
          <w:rFonts w:ascii="Times New Roman" w:cs="Times New Roman" w:hAnsi="Times New Roman"/>
          <w:sz w:val="32"/>
          <w:szCs w:val="32"/>
          <w:lang w:val="en-US" w:eastAsia="zh-CN"/>
          <w:highlight w:val="auto"/>
        </w:rPr>
        <w:t>12个项目</w:t>
      </w:r>
      <w:r>
        <w:rPr>
          <w:rFonts w:ascii="Times New Roman" w:cs="Times New Roman" w:hAnsi="Times New Roman"/>
          <w:sz w:val="32"/>
          <w:szCs w:val="32"/>
          <w:lang w:eastAsia="zh-CN"/>
          <w:highlight w:val="auto"/>
        </w:rPr>
        <w:t>未及时进行竣工财务决算审计，未及时确认形成国有资产。</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Chars="200" w:firstLine="632"/>
        <w:textAlignment w:val="auto"/>
        <w:rPr>
          <w:rFonts w:ascii="Times New Roman" w:eastAsia="仿宋_GB2312" w:cs="Times New Roman" w:hAnsi="Times New Roman"/>
          <w:b/>
          <w:bCs/>
          <w:color w:val="000000"/>
          <w:kern w:val="0"/>
          <w:sz w:val="32"/>
          <w:szCs w:val="32"/>
          <w:lang w:val="en-US" w:eastAsia="zh-CN"/>
          <w:highlight w:val="auto"/>
        </w:rPr>
      </w:pPr>
      <w:r>
        <w:rPr>
          <w:rFonts w:ascii="Times New Roman" w:eastAsia="仿宋_GB2312" w:cs="Times New Roman" w:hAnsi="Times New Roman"/>
          <w:b/>
          <w:bCs/>
          <w:color w:val="000000"/>
          <w:kern w:val="0"/>
          <w:sz w:val="32"/>
          <w:szCs w:val="32"/>
          <w:lang w:val="en-US" w:eastAsia="zh-CN"/>
          <w:highlight w:val="auto"/>
        </w:rPr>
        <w:t>4.个性指标得分情况</w:t>
      </w:r>
    </w:p>
    <w:p>
      <w:pPr>
        <w:pStyle w:val="15"/>
        <w:keepNext w:val="0"/>
        <w:keepLines w:val="0"/>
        <w:pageBreakBefore w:val="0"/>
        <w:widowControl w:val="0"/>
        <w:suppressLineNumbers w:val="0"/>
        <w:suppressAutoHyphens/>
        <w:kinsoku/>
        <w:wordWrap/>
        <w:overflowPunct/>
        <w:topLinePunct w:val="0"/>
        <w:autoSpaceDE/>
        <w:autoSpaceDN/>
        <w:bidi w:val="0"/>
        <w:adjustRightInd/>
        <w:snapToGrid/>
        <w:spacing w:beforeAutospacing="0" w:afterAutospacing="0" w:line="560" w:lineRule="exact"/>
        <w:ind w:leftChars="0" w:left="0" w:firstLineChars="200" w:firstLine="632"/>
        <w:textAlignment w:val="auto"/>
        <w:rPr>
          <w:rFonts w:ascii="Times New Roman" w:eastAsia="仿宋_GB2312" w:cs="Times New Roman" w:hAnsi="Times New Roman"/>
          <w:sz w:val="32"/>
          <w:szCs w:val="32"/>
          <w:lang w:eastAsia="zh-CN"/>
          <w:highlight w:val="auto"/>
        </w:rPr>
      </w:pPr>
      <w:r>
        <w:rPr>
          <w:rFonts w:ascii="Times New Roman" w:eastAsia="仿宋_GB2312" w:cs="Times New Roman" w:hAnsi="Times New Roman"/>
          <w:color w:val="000000"/>
          <w:kern w:val="0"/>
          <w:sz w:val="32"/>
          <w:szCs w:val="32"/>
          <w:shd w:val="clear" w:color="auto" w:fill="FFFFFF"/>
          <w:highlight w:val="auto"/>
        </w:rPr>
        <w:t>该指标权重为</w:t>
      </w:r>
      <w:r>
        <w:rPr>
          <w:rFonts w:ascii="Times New Roman" w:eastAsia="仿宋_GB2312" w:cs="Times New Roman" w:hAnsi="Times New Roman"/>
          <w:color w:val="000000"/>
          <w:kern w:val="0"/>
          <w:sz w:val="32"/>
          <w:szCs w:val="32"/>
          <w:shd w:val="clear" w:color="auto" w:fill="FFFFFF"/>
          <w:lang w:val="en-US" w:eastAsia="zh-CN"/>
          <w:highlight w:val="auto"/>
        </w:rPr>
        <w:t>10</w:t>
      </w:r>
      <w:r>
        <w:rPr>
          <w:rFonts w:ascii="Times New Roman" w:eastAsia="仿宋_GB2312" w:cs="Times New Roman" w:hAnsi="Times New Roman"/>
          <w:color w:val="000000"/>
          <w:kern w:val="0"/>
          <w:sz w:val="32"/>
          <w:szCs w:val="32"/>
          <w:shd w:val="clear" w:color="auto" w:fill="FFFFFF"/>
          <w:highlight w:val="auto"/>
        </w:rPr>
        <w:t>分</w:t>
      </w:r>
      <w:r>
        <w:rPr>
          <w:rFonts w:ascii="Times New Roman" w:eastAsia="仿宋_GB2312" w:cs="Times New Roman" w:hAnsi="Times New Roman"/>
          <w:color w:val="000000"/>
          <w:kern w:val="0"/>
          <w:sz w:val="32"/>
          <w:szCs w:val="32"/>
          <w:shd w:val="clear" w:color="auto" w:fill="FFFFFF"/>
          <w:lang w:eastAsia="zh-CN"/>
          <w:highlight w:val="auto"/>
        </w:rPr>
        <w:t>，平均得</w:t>
      </w:r>
      <w:r>
        <w:rPr>
          <w:rFonts w:ascii="Times New Roman" w:eastAsia="仿宋_GB2312" w:cs="Times New Roman" w:hAnsi="Times New Roman"/>
          <w:color w:val="000000"/>
          <w:kern w:val="0"/>
          <w:sz w:val="32"/>
          <w:szCs w:val="32"/>
          <w:shd w:val="clear" w:color="auto" w:fill="FFFFFF"/>
          <w:lang w:val="en-US" w:eastAsia="zh-CN"/>
          <w:highlight w:val="auto"/>
        </w:rPr>
        <w:t>分8.48分。</w:t>
      </w:r>
      <w:r>
        <w:rPr>
          <w:rFonts w:ascii="Times New Roman" w:eastAsia="仿宋_GB2312" w:cs="Times New Roman" w:hAnsi="Times New Roman"/>
          <w:b w:val="0"/>
          <w:bCs w:val="0"/>
          <w:sz w:val="32"/>
          <w:szCs w:val="32"/>
          <w:lang w:val="en-US" w:eastAsia="zh-CN"/>
          <w:highlight w:val="auto"/>
        </w:rPr>
        <w:t>扣分原因主要为：58个</w:t>
      </w:r>
      <w:r>
        <w:rPr>
          <w:rFonts w:ascii="Times New Roman" w:eastAsia="仿宋_GB2312" w:cs="Times New Roman" w:hAnsi="Times New Roman"/>
          <w:sz w:val="32"/>
          <w:szCs w:val="32"/>
          <w:lang w:eastAsia="zh-CN"/>
          <w:highlight w:val="auto"/>
        </w:rPr>
        <w:t>项目可持续发展方面还存在不足</w:t>
      </w:r>
      <w:r>
        <w:rPr>
          <w:rFonts w:ascii="Times New Roman" w:cs="Times New Roman" w:hAnsi="Times New Roman"/>
          <w:sz w:val="32"/>
          <w:szCs w:val="32"/>
          <w:lang w:eastAsia="zh-CN"/>
          <w:highlight w:val="auto"/>
        </w:rPr>
        <w:t>；</w:t>
      </w:r>
      <w:r>
        <w:rPr>
          <w:rFonts w:ascii="Times New Roman" w:cs="Times New Roman" w:hAnsi="Times New Roman"/>
          <w:sz w:val="32"/>
          <w:szCs w:val="32"/>
          <w:lang w:val="en-US" w:eastAsia="zh-CN"/>
          <w:highlight w:val="auto"/>
        </w:rPr>
        <w:t>14</w:t>
      </w:r>
      <w:r>
        <w:rPr>
          <w:rFonts w:ascii="Times New Roman" w:eastAsia="仿宋_GB2312" w:cs="Times New Roman" w:hAnsi="Times New Roman"/>
          <w:sz w:val="32"/>
          <w:szCs w:val="32"/>
          <w:lang w:val="en-US" w:eastAsia="zh-CN"/>
          <w:highlight w:val="auto"/>
        </w:rPr>
        <w:t>个项目</w:t>
      </w:r>
      <w:r>
        <w:rPr>
          <w:rFonts w:ascii="Times New Roman" w:eastAsia="仿宋_GB2312" w:cs="Times New Roman" w:hAnsi="Times New Roman"/>
          <w:sz w:val="32"/>
          <w:szCs w:val="32"/>
          <w:lang w:eastAsia="zh-CN"/>
          <w:highlight w:val="auto"/>
        </w:rPr>
        <w:t>政策宣传力度有待进一步加强。</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Chars="200" w:firstLine="632"/>
        <w:textAlignment w:val="auto"/>
        <w:rPr>
          <w:rFonts w:ascii="Times New Roman" w:eastAsia="楷体_GB2312" w:cs="Times New Roman" w:hAnsi="Times New Roman"/>
          <w:b/>
          <w:bCs w:val="0"/>
          <w:sz w:val="32"/>
          <w:szCs w:val="32"/>
          <w:lang w:eastAsia="zh-CN"/>
          <w:highlight w:val="auto"/>
        </w:rPr>
      </w:pPr>
      <w:r>
        <w:rPr>
          <w:rFonts w:ascii="Times New Roman" w:eastAsia="楷体_GB2312" w:cs="Times New Roman" w:hAnsi="Times New Roman"/>
          <w:b/>
          <w:bCs w:val="0"/>
          <w:sz w:val="32"/>
          <w:szCs w:val="32"/>
          <w:lang w:eastAsia="zh-CN"/>
          <w:highlight w:val="auto"/>
        </w:rPr>
        <w:t>（二）整体支出评价结果</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Chars="200" w:firstLine="632"/>
        <w:textAlignment w:val="auto"/>
        <w:rPr>
          <w:rFonts w:ascii="Times New Roman" w:cs="Times New Roman" w:hAnsi="Times New Roman"/>
          <w:b w:val="0"/>
          <w:bCs/>
          <w:sz w:val="32"/>
          <w:szCs w:val="32"/>
          <w:lang w:val="en-US" w:eastAsia="zh-CN"/>
          <w:highlight w:val="auto"/>
        </w:rPr>
      </w:pPr>
      <w:r>
        <w:rPr>
          <w:rFonts w:ascii="Times New Roman" w:eastAsia="仿宋_GB2312" w:cs="Times New Roman" w:hAnsi="Times New Roman"/>
          <w:b w:val="0"/>
          <w:bCs/>
          <w:sz w:val="32"/>
          <w:szCs w:val="32"/>
          <w:lang w:eastAsia="zh-CN"/>
          <w:highlight w:val="auto"/>
        </w:rPr>
        <w:t>本次绩效评价</w:t>
      </w:r>
      <w:r>
        <w:rPr>
          <w:rFonts w:ascii="Times New Roman" w:cs="Times New Roman" w:hAnsi="Times New Roman"/>
          <w:b w:val="0"/>
          <w:bCs/>
          <w:sz w:val="32"/>
          <w:szCs w:val="32"/>
          <w:lang w:val="en-US" w:eastAsia="zh-CN"/>
          <w:highlight w:val="auto"/>
        </w:rPr>
        <w:t>28</w:t>
      </w:r>
      <w:r>
        <w:rPr>
          <w:rFonts w:ascii="Times New Roman" w:eastAsia="仿宋_GB2312" w:cs="Times New Roman" w:hAnsi="Times New Roman"/>
          <w:b w:val="0"/>
          <w:bCs/>
          <w:sz w:val="32"/>
          <w:szCs w:val="32"/>
          <w:lang w:val="en-US" w:eastAsia="zh-CN"/>
          <w:highlight w:val="auto"/>
        </w:rPr>
        <w:t>个单位，平均得分</w:t>
      </w:r>
      <w:r>
        <w:rPr>
          <w:rFonts w:ascii="Times New Roman" w:cs="Times New Roman" w:hAnsi="Times New Roman"/>
          <w:b w:val="0"/>
          <w:bCs/>
          <w:sz w:val="32"/>
          <w:szCs w:val="32"/>
          <w:lang w:val="en-US" w:eastAsia="zh-CN"/>
          <w:highlight w:val="auto"/>
        </w:rPr>
        <w:t>89.08</w:t>
      </w:r>
      <w:r>
        <w:rPr>
          <w:rFonts w:ascii="Times New Roman" w:eastAsia="仿宋_GB2312" w:cs="Times New Roman" w:hAnsi="Times New Roman"/>
          <w:b w:val="0"/>
          <w:bCs/>
          <w:sz w:val="32"/>
          <w:szCs w:val="32"/>
          <w:lang w:val="en-US" w:eastAsia="zh-CN"/>
          <w:highlight w:val="auto"/>
        </w:rPr>
        <w:t>分，其中：</w:t>
      </w:r>
      <w:r>
        <w:rPr>
          <w:rFonts w:ascii="Times New Roman" w:cs="Times New Roman" w:hAnsi="Times New Roman"/>
          <w:b w:val="0"/>
          <w:bCs/>
          <w:sz w:val="32"/>
          <w:szCs w:val="32"/>
          <w:lang w:val="en-US" w:eastAsia="zh-CN"/>
          <w:highlight w:val="auto"/>
        </w:rPr>
        <w:t>县科协</w:t>
      </w:r>
      <w:r>
        <w:rPr>
          <w:rFonts w:ascii="Times New Roman" w:eastAsia="仿宋_GB2312" w:cs="Times New Roman" w:hAnsi="Times New Roman"/>
          <w:b w:val="0"/>
          <w:bCs/>
          <w:sz w:val="32"/>
          <w:szCs w:val="32"/>
          <w:lang w:val="en-US" w:eastAsia="zh-CN"/>
          <w:highlight w:val="auto"/>
        </w:rPr>
        <w:t>得分最高，为</w:t>
      </w:r>
      <w:r>
        <w:rPr>
          <w:rFonts w:ascii="Times New Roman" w:cs="Times New Roman" w:hAnsi="Times New Roman"/>
          <w:b w:val="0"/>
          <w:bCs/>
          <w:sz w:val="32"/>
          <w:szCs w:val="32"/>
          <w:lang w:val="en-US" w:eastAsia="zh-CN"/>
          <w:highlight w:val="auto"/>
        </w:rPr>
        <w:t>94.47</w:t>
      </w:r>
      <w:r>
        <w:rPr>
          <w:rFonts w:ascii="Times New Roman" w:eastAsia="仿宋_GB2312" w:cs="Times New Roman" w:hAnsi="Times New Roman"/>
          <w:b w:val="0"/>
          <w:bCs/>
          <w:sz w:val="32"/>
          <w:szCs w:val="32"/>
          <w:lang w:val="en-US" w:eastAsia="zh-CN"/>
          <w:highlight w:val="auto"/>
        </w:rPr>
        <w:t>分；</w:t>
      </w:r>
      <w:r>
        <w:rPr>
          <w:rFonts w:ascii="Times New Roman" w:cs="Times New Roman" w:hAnsi="Times New Roman"/>
          <w:b w:val="0"/>
          <w:bCs/>
          <w:sz w:val="32"/>
          <w:szCs w:val="32"/>
          <w:lang w:val="en-US" w:eastAsia="zh-CN"/>
          <w:highlight w:val="auto"/>
        </w:rPr>
        <w:t>县林草局</w:t>
      </w:r>
      <w:r>
        <w:rPr>
          <w:rFonts w:ascii="Times New Roman" w:eastAsia="仿宋_GB2312" w:cs="Times New Roman" w:hAnsi="Times New Roman"/>
          <w:b w:val="0"/>
          <w:bCs/>
          <w:sz w:val="32"/>
          <w:szCs w:val="32"/>
          <w:lang w:val="en-US" w:eastAsia="zh-CN"/>
          <w:highlight w:val="auto"/>
        </w:rPr>
        <w:t>得分最低，为</w:t>
      </w:r>
      <w:r>
        <w:rPr>
          <w:rFonts w:ascii="Times New Roman" w:cs="Times New Roman" w:hAnsi="Times New Roman"/>
          <w:b w:val="0"/>
          <w:bCs/>
          <w:sz w:val="32"/>
          <w:szCs w:val="32"/>
          <w:lang w:val="en-US" w:eastAsia="zh-CN"/>
          <w:highlight w:val="auto"/>
        </w:rPr>
        <w:t>83.86</w:t>
      </w:r>
      <w:r>
        <w:rPr>
          <w:rFonts w:ascii="Times New Roman" w:eastAsia="仿宋_GB2312" w:cs="Times New Roman" w:hAnsi="Times New Roman"/>
          <w:b w:val="0"/>
          <w:bCs/>
          <w:sz w:val="32"/>
          <w:szCs w:val="32"/>
          <w:lang w:val="en-US" w:eastAsia="zh-CN"/>
          <w:highlight w:val="auto"/>
        </w:rPr>
        <w:t>分。等级为优秀的</w:t>
      </w:r>
      <w:r>
        <w:rPr>
          <w:rFonts w:ascii="Times New Roman" w:cs="Times New Roman" w:hAnsi="Times New Roman"/>
          <w:b w:val="0"/>
          <w:bCs/>
          <w:sz w:val="32"/>
          <w:szCs w:val="32"/>
          <w:lang w:val="en-US" w:eastAsia="zh-CN"/>
          <w:highlight w:val="auto"/>
        </w:rPr>
        <w:t>11</w:t>
      </w:r>
      <w:r>
        <w:rPr>
          <w:rFonts w:ascii="Times New Roman" w:eastAsia="仿宋_GB2312" w:cs="Times New Roman" w:hAnsi="Times New Roman"/>
          <w:b w:val="0"/>
          <w:bCs/>
          <w:sz w:val="32"/>
          <w:szCs w:val="32"/>
          <w:lang w:val="en-US" w:eastAsia="zh-CN"/>
          <w:highlight w:val="auto"/>
        </w:rPr>
        <w:t>个，占比</w:t>
      </w:r>
      <w:r>
        <w:rPr>
          <w:rFonts w:ascii="Times New Roman" w:cs="Times New Roman" w:hAnsi="Times New Roman"/>
          <w:b w:val="0"/>
          <w:bCs/>
          <w:sz w:val="32"/>
          <w:szCs w:val="32"/>
          <w:lang w:val="en-US" w:eastAsia="zh-CN"/>
          <w:highlight w:val="auto"/>
        </w:rPr>
        <w:t>39.29</w:t>
      </w:r>
      <w:r>
        <w:rPr>
          <w:rFonts w:ascii="Times New Roman" w:eastAsia="仿宋_GB2312" w:cs="Times New Roman" w:hAnsi="Times New Roman"/>
          <w:b w:val="0"/>
          <w:bCs/>
          <w:sz w:val="32"/>
          <w:szCs w:val="32"/>
          <w:lang w:val="en-US" w:eastAsia="zh-CN"/>
          <w:highlight w:val="auto"/>
        </w:rPr>
        <w:t>%；良好的</w:t>
      </w:r>
      <w:r>
        <w:rPr>
          <w:rFonts w:ascii="Times New Roman" w:cs="Times New Roman" w:hAnsi="Times New Roman"/>
          <w:b w:val="0"/>
          <w:bCs/>
          <w:sz w:val="32"/>
          <w:szCs w:val="32"/>
          <w:lang w:val="en-US" w:eastAsia="zh-CN"/>
          <w:highlight w:val="auto"/>
        </w:rPr>
        <w:t>17</w:t>
      </w:r>
      <w:r>
        <w:rPr>
          <w:rFonts w:ascii="Times New Roman" w:eastAsia="仿宋_GB2312" w:cs="Times New Roman" w:hAnsi="Times New Roman"/>
          <w:b w:val="0"/>
          <w:bCs/>
          <w:sz w:val="32"/>
          <w:szCs w:val="32"/>
          <w:lang w:val="en-US" w:eastAsia="zh-CN"/>
          <w:highlight w:val="auto"/>
        </w:rPr>
        <w:t>个，占比</w:t>
      </w:r>
      <w:r>
        <w:rPr>
          <w:rFonts w:ascii="Times New Roman" w:cs="Times New Roman" w:hAnsi="Times New Roman"/>
          <w:b w:val="0"/>
          <w:bCs/>
          <w:sz w:val="32"/>
          <w:szCs w:val="32"/>
          <w:lang w:val="en-US" w:eastAsia="zh-CN"/>
          <w:highlight w:val="auto"/>
        </w:rPr>
        <w:t>60.71</w:t>
      </w:r>
      <w:r>
        <w:rPr>
          <w:rFonts w:ascii="Times New Roman" w:eastAsia="仿宋_GB2312" w:cs="Times New Roman" w:hAnsi="Times New Roman"/>
          <w:b w:val="0"/>
          <w:bCs/>
          <w:sz w:val="32"/>
          <w:szCs w:val="32"/>
          <w:lang w:val="en-US" w:eastAsia="zh-CN"/>
          <w:highlight w:val="auto"/>
        </w:rPr>
        <w:t>%</w:t>
      </w:r>
      <w:r>
        <w:rPr>
          <w:rFonts w:ascii="Times New Roman" w:cs="Times New Roman" w:hAnsi="Times New Roman"/>
          <w:b w:val="0"/>
          <w:bCs/>
          <w:sz w:val="32"/>
          <w:szCs w:val="32"/>
          <w:lang w:val="en-US" w:eastAsia="zh-CN"/>
          <w:highlight w:val="auto"/>
        </w:rPr>
        <w:t>。</w:t>
      </w:r>
    </w:p>
    <w:p>
      <w:pPr>
        <w:pStyle w:val="15"/>
        <w:keepNext w:val="0"/>
        <w:keepLines w:val="0"/>
        <w:pageBreakBefore w:val="0"/>
        <w:widowControl w:val="0"/>
        <w:suppressLineNumbers w:val="0"/>
        <w:suppressAutoHyphens/>
        <w:kinsoku/>
        <w:wordWrap/>
        <w:overflowPunct/>
        <w:topLinePunct w:val="0"/>
        <w:autoSpaceDE/>
        <w:autoSpaceDN/>
        <w:bidi w:val="0"/>
        <w:adjustRightInd/>
        <w:snapToGrid/>
        <w:spacing w:beforeAutospacing="0" w:afterAutospacing="0" w:line="560" w:lineRule="exact"/>
        <w:ind w:leftChars="0" w:left="0" w:right="0" w:firstLineChars="200" w:firstLine="632"/>
        <w:textAlignment w:val="auto"/>
        <w:rPr>
          <w:rFonts w:ascii="Times New Roman" w:eastAsia="仿宋_GB2312" w:cs="Times New Roman" w:hAnsi="Times New Roman"/>
          <w:sz w:val="32"/>
          <w:szCs w:val="32"/>
          <w:lang w:eastAsia="zh-CN"/>
          <w:highlight w:val="auto"/>
        </w:rPr>
      </w:pPr>
      <w:r>
        <w:rPr>
          <w:rFonts w:ascii="Times New Roman" w:eastAsia="仿宋_GB2312" w:cs="Times New Roman" w:hAnsi="Times New Roman"/>
          <w:b/>
          <w:bCs w:val="0"/>
          <w:kern w:val="2"/>
          <w:sz w:val="32"/>
          <w:szCs w:val="32"/>
          <w:lang w:val="en-US" w:eastAsia="zh-CN" w:bidi="ar-SA"/>
          <w:highlight w:val="auto"/>
        </w:rPr>
        <w:t>1.部门预算管理得分情况</w:t>
      </w:r>
    </w:p>
    <w:p>
      <w:pPr>
        <w:pStyle w:val="15"/>
        <w:keepNext w:val="0"/>
        <w:keepLines w:val="0"/>
        <w:pageBreakBefore w:val="0"/>
        <w:widowControl w:val="0"/>
        <w:suppressLineNumbers w:val="0"/>
        <w:suppressAutoHyphens/>
        <w:kinsoku/>
        <w:wordWrap/>
        <w:overflowPunct/>
        <w:topLinePunct w:val="0"/>
        <w:autoSpaceDE/>
        <w:autoSpaceDN/>
        <w:bidi w:val="0"/>
        <w:adjustRightInd/>
        <w:snapToGrid/>
        <w:spacing w:beforeAutospacing="0" w:afterAutospacing="0" w:line="560" w:lineRule="exact"/>
        <w:ind w:leftChars="0" w:left="0" w:right="0" w:firstLineChars="200" w:firstLine="632"/>
        <w:textAlignment w:val="auto"/>
        <w:rPr>
          <w:rFonts w:ascii="Times New Roman" w:eastAsia="仿宋_GB2312" w:cs="Times New Roman" w:hAnsi="Times New Roman"/>
          <w:sz w:val="32"/>
          <w:szCs w:val="32"/>
          <w:lang w:eastAsia="zh-CN"/>
          <w:highlight w:val="auto"/>
        </w:rPr>
      </w:pPr>
      <w:r>
        <w:rPr>
          <w:rFonts w:ascii="Times New Roman" w:eastAsia="仿宋_GB2312" w:cs="Times New Roman" w:hAnsi="Times New Roman"/>
          <w:b/>
          <w:bCs w:val="0"/>
          <w:kern w:val="2"/>
          <w:sz w:val="32"/>
          <w:szCs w:val="32"/>
          <w:lang w:val="en-US" w:eastAsia="zh-CN" w:bidi="ar-SA"/>
          <w:highlight w:val="auto"/>
        </w:rPr>
        <w:t>（1）无专项预算的部门。</w:t>
      </w:r>
      <w:r>
        <w:rPr>
          <w:rFonts w:ascii="Times New Roman" w:eastAsia="仿宋_GB2312" w:cs="Times New Roman" w:hAnsi="Times New Roman"/>
          <w:b w:val="0"/>
          <w:bCs w:val="0"/>
          <w:sz w:val="32"/>
          <w:szCs w:val="32"/>
          <w:lang w:val="en-US" w:eastAsia="zh-CN"/>
          <w:highlight w:val="auto"/>
        </w:rPr>
        <w:t>该类单位共1个，该指标权重为80分，平均得68.8分，</w:t>
      </w:r>
      <w:r>
        <w:rPr>
          <w:rFonts w:ascii="Times New Roman" w:eastAsia="仿宋_GB2312" w:cs="Times New Roman" w:hAnsi="Times New Roman"/>
          <w:sz w:val="32"/>
          <w:szCs w:val="32"/>
          <w:lang w:eastAsia="zh-CN"/>
          <w:highlight w:val="auto"/>
        </w:rPr>
        <w:t>扣分原因主要为：未将部门绩效目标制定的集体决策形成会议记录。</w:t>
      </w:r>
    </w:p>
    <w:p>
      <w:pPr>
        <w:pStyle w:val="15"/>
        <w:keepNext w:val="0"/>
        <w:keepLines w:val="0"/>
        <w:pageBreakBefore w:val="0"/>
        <w:widowControl w:val="0"/>
        <w:suppressLineNumbers w:val="0"/>
        <w:suppressAutoHyphens/>
        <w:kinsoku/>
        <w:wordWrap/>
        <w:overflowPunct/>
        <w:topLinePunct w:val="0"/>
        <w:autoSpaceDE/>
        <w:autoSpaceDN/>
        <w:bidi w:val="0"/>
        <w:adjustRightInd/>
        <w:snapToGrid/>
        <w:spacing w:beforeAutospacing="0" w:afterAutospacing="0" w:line="560" w:lineRule="exact"/>
        <w:ind w:leftChars="0" w:left="0" w:right="0" w:firstLineChars="200" w:firstLine="632"/>
        <w:textAlignment w:val="auto"/>
        <w:rPr>
          <w:rFonts w:ascii="Times New Roman" w:eastAsia="仿宋_GB2312" w:cs="Times New Roman" w:hAnsi="Times New Roman"/>
          <w:sz w:val="32"/>
          <w:szCs w:val="32"/>
          <w:lang w:eastAsia="zh-CN"/>
          <w:highlight w:val="auto"/>
        </w:rPr>
      </w:pPr>
      <w:r>
        <w:rPr>
          <w:rFonts w:ascii="Times New Roman" w:eastAsia="仿宋_GB2312" w:cs="Times New Roman" w:hAnsi="Times New Roman"/>
          <w:b/>
          <w:bCs w:val="0"/>
          <w:kern w:val="2"/>
          <w:sz w:val="32"/>
          <w:szCs w:val="32"/>
          <w:lang w:val="en-US" w:eastAsia="zh-CN" w:bidi="ar-SA"/>
          <w:highlight w:val="auto"/>
        </w:rPr>
        <w:t>（2）有专项预算的部门。</w:t>
      </w:r>
      <w:r>
        <w:rPr>
          <w:rFonts w:ascii="Times New Roman" w:eastAsia="仿宋_GB2312" w:cs="Times New Roman" w:hAnsi="Times New Roman"/>
          <w:b w:val="0"/>
          <w:bCs w:val="0"/>
          <w:sz w:val="32"/>
          <w:szCs w:val="32"/>
          <w:lang w:val="en-US" w:eastAsia="zh-CN"/>
          <w:highlight w:val="auto"/>
        </w:rPr>
        <w:t>该类单位共27个，该指标权重为80分，平均得66.74分，</w:t>
      </w:r>
      <w:r>
        <w:rPr>
          <w:rFonts w:ascii="Times New Roman" w:eastAsia="仿宋_GB2312" w:cs="Times New Roman" w:hAnsi="Times New Roman"/>
          <w:sz w:val="32"/>
          <w:szCs w:val="32"/>
          <w:lang w:eastAsia="zh-CN"/>
          <w:highlight w:val="auto"/>
        </w:rPr>
        <w:t>扣分原因主要为：未将部门绩效目标制定的集体决策形成会议记录；基本支出完成值与预算值的偏离度较大；部门在6、9、11月未达到序时进度。</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Chars="200" w:firstLine="632"/>
        <w:textAlignment w:val="auto"/>
        <w:rPr>
          <w:rFonts w:ascii="Times New Roman" w:eastAsia="仿宋_GB2312" w:cs="Times New Roman" w:hAnsi="Times New Roman"/>
          <w:b/>
          <w:bCs w:val="0"/>
          <w:kern w:val="2"/>
          <w:sz w:val="32"/>
          <w:szCs w:val="32"/>
          <w:lang w:val="en-US" w:eastAsia="zh-CN" w:bidi="ar-SA"/>
          <w:highlight w:val="auto"/>
        </w:rPr>
      </w:pPr>
      <w:r>
        <w:rPr>
          <w:rFonts w:ascii="Times New Roman" w:eastAsia="仿宋_GB2312" w:cs="Times New Roman" w:hAnsi="Times New Roman"/>
          <w:b/>
          <w:bCs w:val="0"/>
          <w:kern w:val="2"/>
          <w:sz w:val="32"/>
          <w:szCs w:val="32"/>
          <w:lang w:val="en-US" w:eastAsia="zh-CN" w:bidi="ar-SA"/>
          <w:highlight w:val="auto"/>
        </w:rPr>
        <w:t>2.绩效结果运用得分情况</w:t>
      </w:r>
    </w:p>
    <w:p>
      <w:pPr>
        <w:pStyle w:val="21"/>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ascii="Times New Roman" w:cs="Times New Roman" w:hAnsi="Times New Roman"/>
          <w:sz w:val="32"/>
          <w:szCs w:val="32"/>
          <w:lang w:eastAsia="zh-CN"/>
          <w:highlight w:val="auto"/>
        </w:rPr>
      </w:pPr>
      <w:r>
        <w:rPr>
          <w:rFonts w:ascii="Times New Roman" w:eastAsia="仿宋_GB2312" w:cs="Times New Roman" w:hAnsi="Times New Roman"/>
          <w:b w:val="0"/>
          <w:bCs w:val="0"/>
          <w:sz w:val="32"/>
          <w:szCs w:val="32"/>
          <w:lang w:val="en-US" w:eastAsia="zh-CN"/>
          <w:highlight w:val="auto"/>
        </w:rPr>
        <w:t>该指标权重为</w:t>
      </w:r>
      <w:r>
        <w:rPr>
          <w:rFonts w:ascii="Times New Roman" w:cs="Times New Roman" w:hAnsi="Times New Roman"/>
          <w:b w:val="0"/>
          <w:bCs w:val="0"/>
          <w:sz w:val="32"/>
          <w:szCs w:val="32"/>
          <w:lang w:val="en-US" w:eastAsia="zh-CN"/>
          <w:highlight w:val="auto"/>
        </w:rPr>
        <w:t>14</w:t>
      </w:r>
      <w:r>
        <w:rPr>
          <w:rFonts w:ascii="Times New Roman" w:eastAsia="仿宋_GB2312" w:cs="Times New Roman" w:hAnsi="Times New Roman"/>
          <w:b w:val="0"/>
          <w:bCs w:val="0"/>
          <w:sz w:val="32"/>
          <w:szCs w:val="32"/>
          <w:lang w:val="en-US" w:eastAsia="zh-CN"/>
          <w:highlight w:val="auto"/>
        </w:rPr>
        <w:t>分，平均得</w:t>
      </w:r>
      <w:r>
        <w:rPr>
          <w:rFonts w:ascii="Times New Roman" w:cs="Times New Roman" w:hAnsi="Times New Roman"/>
          <w:b w:val="0"/>
          <w:bCs w:val="0"/>
          <w:sz w:val="32"/>
          <w:szCs w:val="32"/>
          <w:lang w:val="en-US" w:eastAsia="zh-CN"/>
          <w:highlight w:val="auto"/>
        </w:rPr>
        <w:t>7.86</w:t>
      </w:r>
      <w:r>
        <w:rPr>
          <w:rFonts w:ascii="Times New Roman" w:eastAsia="仿宋_GB2312" w:cs="Times New Roman" w:hAnsi="Times New Roman"/>
          <w:b w:val="0"/>
          <w:bCs w:val="0"/>
          <w:sz w:val="32"/>
          <w:szCs w:val="32"/>
          <w:lang w:val="en-US" w:eastAsia="zh-CN"/>
          <w:highlight w:val="auto"/>
        </w:rPr>
        <w:t>分，</w:t>
      </w:r>
      <w:r>
        <w:rPr>
          <w:rFonts w:ascii="Times New Roman" w:eastAsia="仿宋_GB2312" w:cs="Times New Roman" w:hAnsi="Times New Roman"/>
          <w:sz w:val="32"/>
          <w:szCs w:val="32"/>
          <w:lang w:eastAsia="zh-CN"/>
          <w:highlight w:val="auto"/>
        </w:rPr>
        <w:t>扣分原因主要为：暂未建立对内设机构预算绩效挂钩机制</w:t>
      </w:r>
      <w:r>
        <w:rPr>
          <w:rFonts w:ascii="Times New Roman" w:cs="Times New Roman" w:hAnsi="Times New Roman"/>
          <w:sz w:val="32"/>
          <w:szCs w:val="32"/>
          <w:lang w:eastAsia="zh-CN"/>
          <w:highlight w:val="auto"/>
        </w:rPr>
        <w:t>。</w:t>
      </w:r>
    </w:p>
    <w:p>
      <w:pPr>
        <w:pStyle w:val="15"/>
        <w:keepNext w:val="0"/>
        <w:keepLines w:val="0"/>
        <w:pageBreakBefore w:val="0"/>
        <w:widowControl w:val="0"/>
        <w:suppressLineNumbers w:val="0"/>
        <w:suppressAutoHyphens/>
        <w:kinsoku/>
        <w:wordWrap/>
        <w:overflowPunct/>
        <w:topLinePunct w:val="0"/>
        <w:autoSpaceDE/>
        <w:autoSpaceDN/>
        <w:bidi w:val="0"/>
        <w:adjustRightInd/>
        <w:snapToGrid/>
        <w:spacing w:beforeAutospacing="0" w:afterAutospacing="0" w:line="560" w:lineRule="exact"/>
        <w:textAlignment w:val="auto"/>
        <w:rPr>
          <w:rFonts w:ascii="Times New Roman" w:eastAsia="仿宋_GB2312" w:cs="Times New Roman" w:hAnsi="Times New Roman"/>
          <w:b/>
          <w:bCs w:val="0"/>
          <w:kern w:val="2"/>
          <w:sz w:val="32"/>
          <w:szCs w:val="32"/>
          <w:lang w:val="en-US" w:eastAsia="zh-CN" w:bidi="ar-SA"/>
          <w:highlight w:val="auto"/>
        </w:rPr>
      </w:pPr>
      <w:r>
        <w:rPr>
          <w:rFonts w:ascii="Times New Roman" w:eastAsia="仿宋_GB2312" w:cs="Times New Roman" w:hAnsi="Times New Roman"/>
          <w:b/>
          <w:bCs w:val="0"/>
          <w:kern w:val="2"/>
          <w:sz w:val="32"/>
          <w:szCs w:val="32"/>
          <w:lang w:val="en-US" w:eastAsia="zh-CN" w:bidi="ar-SA"/>
          <w:highlight w:val="auto"/>
        </w:rPr>
        <w:t xml:space="preserve">    3.自评质量得分情况</w:t>
      </w:r>
    </w:p>
    <w:p>
      <w:pPr>
        <w:pStyle w:val="15"/>
        <w:keepNext w:val="0"/>
        <w:keepLines w:val="0"/>
        <w:pageBreakBefore w:val="0"/>
        <w:widowControl w:val="0"/>
        <w:suppressLineNumbers w:val="0"/>
        <w:suppressAutoHyphens/>
        <w:kinsoku/>
        <w:wordWrap/>
        <w:overflowPunct/>
        <w:topLinePunct w:val="0"/>
        <w:autoSpaceDE/>
        <w:autoSpaceDN/>
        <w:bidi w:val="0"/>
        <w:adjustRightInd/>
        <w:snapToGrid/>
        <w:spacing w:beforeAutospacing="0" w:afterAutospacing="0" w:line="560" w:lineRule="exact"/>
        <w:textAlignment w:val="auto"/>
        <w:rPr>
          <w:rFonts w:ascii="Times New Roman" w:eastAsia="仿宋_GB2312" w:cs="Times New Roman" w:hAnsi="Times New Roman"/>
          <w:b w:val="0"/>
          <w:bCs w:val="0"/>
          <w:sz w:val="32"/>
          <w:szCs w:val="32"/>
          <w:lang w:val="en-US" w:eastAsia="zh-CN"/>
          <w:highlight w:val="auto"/>
        </w:rPr>
      </w:pPr>
      <w:r>
        <w:rPr>
          <w:rFonts w:ascii="Times New Roman" w:eastAsia="仿宋_GB2312" w:cs="Times New Roman" w:hAnsi="Times New Roman"/>
          <w:b w:val="0"/>
          <w:bCs w:val="0"/>
          <w:sz w:val="32"/>
          <w:szCs w:val="32"/>
          <w:lang w:val="en-US" w:eastAsia="zh-CN"/>
          <w:highlight w:val="auto"/>
        </w:rPr>
        <w:t>该指标权重为6分，平均得5.71分，扣分原因主要为：部门整体支出自评得分与评价组抽查得分差异超过10%。</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640"/>
        <w:textAlignment w:val="auto"/>
        <w:rPr>
          <w:rFonts w:ascii="Times New Roman" w:eastAsia="黑体" w:cs="Times New Roman" w:hAnsi="Times New Roman"/>
          <w:color w:val="000000"/>
          <w:kern w:val="0"/>
          <w:sz w:val="32"/>
          <w:szCs w:val="32"/>
          <w:highlight w:val="auto"/>
        </w:rPr>
      </w:pPr>
      <w:r>
        <w:rPr>
          <w:rFonts w:ascii="Times New Roman" w:eastAsia="黑体" w:cs="Times New Roman" w:hAnsi="Times New Roman"/>
          <w:color w:val="000000"/>
          <w:kern w:val="0"/>
          <w:sz w:val="32"/>
          <w:szCs w:val="32"/>
          <w:highlight w:val="auto"/>
        </w:rPr>
        <w:t>三、</w:t>
      </w:r>
      <w:r>
        <w:rPr>
          <w:rFonts w:ascii="Times New Roman" w:eastAsia="黑体" w:cs="Times New Roman" w:hAnsi="Times New Roman"/>
          <w:color w:val="000000"/>
          <w:kern w:val="0"/>
          <w:sz w:val="32"/>
          <w:szCs w:val="32"/>
          <w:lang w:eastAsia="zh-CN"/>
          <w:highlight w:val="auto"/>
        </w:rPr>
        <w:t>存在</w:t>
      </w:r>
      <w:r>
        <w:rPr>
          <w:rFonts w:ascii="Times New Roman" w:eastAsia="黑体" w:cs="Times New Roman" w:hAnsi="Times New Roman"/>
          <w:color w:val="000000"/>
          <w:kern w:val="0"/>
          <w:sz w:val="32"/>
          <w:szCs w:val="32"/>
          <w:highlight w:val="auto"/>
        </w:rPr>
        <w:t>主要问题</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Chars="200" w:firstLine="632"/>
        <w:textAlignment w:val="auto"/>
        <w:rPr>
          <w:rFonts w:ascii="Times New Roman" w:eastAsia="楷体" w:cs="Times New Roman" w:hAnsi="Times New Roman"/>
          <w:b/>
          <w:bCs w:val="0"/>
          <w:sz w:val="32"/>
          <w:szCs w:val="32"/>
          <w:highlight w:val="auto"/>
        </w:rPr>
      </w:pPr>
      <w:r>
        <w:rPr>
          <w:rFonts w:ascii="Times New Roman" w:eastAsia="楷体" w:cs="Times New Roman" w:hAnsi="Times New Roman"/>
          <w:b/>
          <w:bCs w:val="0"/>
          <w:sz w:val="32"/>
          <w:szCs w:val="32"/>
          <w:highlight w:val="auto"/>
        </w:rPr>
        <w:t>（一）</w:t>
      </w:r>
      <w:r>
        <w:rPr>
          <w:rFonts w:ascii="Times New Roman" w:eastAsia="楷体" w:cs="Times New Roman" w:hAnsi="Times New Roman"/>
          <w:b/>
          <w:bCs w:val="0"/>
          <w:kern w:val="2"/>
          <w:sz w:val="32"/>
          <w:szCs w:val="32"/>
          <w:lang w:val="en-US" w:eastAsia="zh-CN" w:bidi="ar-SA"/>
          <w:highlight w:val="auto"/>
        </w:rPr>
        <w:t>共性</w:t>
      </w:r>
      <w:r>
        <w:rPr>
          <w:rFonts w:ascii="Times New Roman" w:eastAsia="楷体" w:cs="Times New Roman" w:hAnsi="Times New Roman"/>
          <w:b/>
          <w:bCs w:val="0"/>
          <w:sz w:val="32"/>
          <w:szCs w:val="32"/>
          <w:highlight w:val="auto"/>
        </w:rPr>
        <w:t>问题</w:t>
      </w:r>
    </w:p>
    <w:p>
      <w:pPr>
        <w:pStyle w:val="21"/>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ascii="Times New Roman" w:cs="Times New Roman" w:hAnsi="Times New Roman"/>
          <w:b w:val="0"/>
          <w:bCs/>
          <w:sz w:val="32"/>
          <w:szCs w:val="32"/>
          <w:lang w:val="en-US" w:eastAsia="zh-CN"/>
          <w:highlight w:val="auto"/>
        </w:rPr>
      </w:pPr>
      <w:r>
        <w:rPr>
          <w:rFonts w:ascii="Times New Roman" w:cs="Times New Roman" w:hAnsi="Times New Roman"/>
          <w:b/>
          <w:bCs w:val="0"/>
          <w:sz w:val="32"/>
          <w:szCs w:val="32"/>
          <w:lang w:val="en-US" w:eastAsia="zh-CN"/>
          <w:highlight w:val="auto"/>
        </w:rPr>
        <w:t>1.部门绩效目标制定未纳入本部门集体决策范围。</w:t>
      </w:r>
      <w:r>
        <w:rPr>
          <w:rFonts w:ascii="Times New Roman" w:cs="Times New Roman" w:hAnsi="Times New Roman"/>
          <w:b w:val="0"/>
          <w:bCs/>
          <w:sz w:val="32"/>
          <w:szCs w:val="32"/>
          <w:lang w:val="en-US" w:eastAsia="zh-CN"/>
          <w:highlight w:val="auto"/>
        </w:rPr>
        <w:t>评价部门</w:t>
      </w:r>
      <w:r>
        <w:rPr>
          <w:rFonts w:ascii="Times New Roman" w:cs="Times New Roman" w:hAnsi="Times New Roman"/>
          <w:sz w:val="32"/>
          <w:szCs w:val="32"/>
          <w:lang w:eastAsia="zh-CN"/>
          <w:highlight w:val="auto"/>
        </w:rPr>
        <w:t>（单位）</w:t>
      </w:r>
      <w:r>
        <w:rPr>
          <w:rFonts w:ascii="Times New Roman" w:cs="Times New Roman" w:hAnsi="Times New Roman"/>
          <w:b w:val="0"/>
          <w:bCs/>
          <w:sz w:val="32"/>
          <w:szCs w:val="32"/>
          <w:lang w:val="en-US" w:eastAsia="zh-CN"/>
          <w:highlight w:val="auto"/>
        </w:rPr>
        <w:t>目标制定有所欠缺，未将部门绩效目标制定的集体决策形成会议记录。</w:t>
      </w:r>
    </w:p>
    <w:p>
      <w:pPr>
        <w:pStyle w:val="21"/>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ascii="Times New Roman" w:eastAsia="仿宋" w:cs="Times New Roman" w:hAnsi="Times New Roman"/>
          <w:b w:val="0"/>
          <w:bCs w:val="0"/>
          <w:sz w:val="32"/>
          <w:szCs w:val="32"/>
          <w:lang w:val="en-US" w:eastAsia="zh-CN"/>
          <w:highlight w:val="auto"/>
        </w:rPr>
      </w:pPr>
      <w:r>
        <w:rPr>
          <w:rFonts w:ascii="Times New Roman" w:cs="Times New Roman" w:hAnsi="Times New Roman"/>
          <w:b/>
          <w:bCs/>
          <w:sz w:val="32"/>
          <w:szCs w:val="32"/>
          <w:lang w:val="en-US" w:eastAsia="zh-CN"/>
          <w:highlight w:val="auto"/>
        </w:rPr>
        <w:t>2</w:t>
      </w:r>
      <w:r>
        <w:rPr>
          <w:rFonts w:ascii="Times New Roman" w:eastAsia="仿宋_GB2312" w:cs="Times New Roman" w:hAnsi="Times New Roman"/>
          <w:b/>
          <w:bCs/>
          <w:sz w:val="32"/>
          <w:szCs w:val="32"/>
          <w:lang w:val="en-US" w:eastAsia="zh-CN"/>
          <w:highlight w:val="auto"/>
        </w:rPr>
        <w:t>.</w:t>
      </w:r>
      <w:r>
        <w:rPr>
          <w:rFonts w:ascii="Times New Roman" w:cs="Times New Roman" w:hAnsi="Times New Roman"/>
          <w:b/>
          <w:bCs/>
          <w:sz w:val="32"/>
          <w:szCs w:val="32"/>
          <w:lang w:val="en-US" w:eastAsia="zh-CN"/>
          <w:highlight w:val="auto"/>
        </w:rPr>
        <w:t>未建立预算绩效挂钩机制</w:t>
      </w:r>
      <w:r>
        <w:rPr>
          <w:rFonts w:ascii="Times New Roman" w:eastAsia="仿宋_GB2312" w:cs="Times New Roman" w:hAnsi="Times New Roman"/>
          <w:b/>
          <w:bCs/>
          <w:sz w:val="32"/>
          <w:szCs w:val="32"/>
          <w:lang w:val="en-US" w:eastAsia="zh-CN"/>
          <w:highlight w:val="auto"/>
        </w:rPr>
        <w:t>。</w:t>
      </w:r>
      <w:r>
        <w:rPr>
          <w:rFonts w:ascii="Times New Roman" w:cs="Times New Roman" w:hAnsi="Times New Roman"/>
          <w:b w:val="0"/>
          <w:bCs w:val="0"/>
          <w:sz w:val="32"/>
          <w:szCs w:val="32"/>
          <w:lang w:val="en-US" w:eastAsia="zh-CN"/>
          <w:highlight w:val="auto"/>
        </w:rPr>
        <w:t>部分部门</w:t>
      </w:r>
      <w:r>
        <w:rPr>
          <w:rFonts w:ascii="Times New Roman" w:cs="Times New Roman" w:hAnsi="Times New Roman"/>
          <w:sz w:val="32"/>
          <w:szCs w:val="32"/>
          <w:lang w:eastAsia="zh-CN"/>
          <w:highlight w:val="auto"/>
        </w:rPr>
        <w:t>（单位）</w:t>
      </w:r>
      <w:r>
        <w:rPr>
          <w:rFonts w:ascii="Times New Roman" w:cs="Times New Roman" w:hAnsi="Times New Roman"/>
          <w:b w:val="0"/>
          <w:bCs w:val="0"/>
          <w:sz w:val="32"/>
          <w:szCs w:val="32"/>
          <w:lang w:val="en-US" w:eastAsia="zh-CN"/>
          <w:highlight w:val="auto"/>
        </w:rPr>
        <w:t>暂未建立对内设机构预算绩效挂钩机制，内部绩效结果运用不强。</w:t>
      </w:r>
    </w:p>
    <w:p>
      <w:pPr>
        <w:pStyle w:val="21"/>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Chars="200" w:firstLine="632"/>
        <w:textAlignment w:val="auto"/>
        <w:rPr>
          <w:rFonts w:ascii="Times New Roman" w:eastAsia="仿宋_GB2312" w:cs="Times New Roman" w:hAnsi="Times New Roman"/>
          <w:sz w:val="32"/>
          <w:szCs w:val="32"/>
          <w:lang w:val="en-US" w:eastAsia="zh-CN"/>
          <w:highlight w:val="auto"/>
        </w:rPr>
      </w:pPr>
      <w:r>
        <w:rPr>
          <w:rFonts w:ascii="Times New Roman" w:cs="Times New Roman" w:hAnsi="Times New Roman"/>
          <w:b/>
          <w:bCs w:val="0"/>
          <w:sz w:val="32"/>
          <w:szCs w:val="32"/>
          <w:lang w:val="en-US" w:eastAsia="zh-CN"/>
          <w:highlight w:val="auto"/>
        </w:rPr>
        <w:t>3</w:t>
      </w:r>
      <w:r>
        <w:rPr>
          <w:rFonts w:ascii="Times New Roman" w:eastAsia="仿宋_GB2312" w:cs="Times New Roman" w:hAnsi="Times New Roman"/>
          <w:b/>
          <w:bCs w:val="0"/>
          <w:sz w:val="32"/>
          <w:szCs w:val="32"/>
          <w:lang w:val="en-US" w:eastAsia="zh-CN"/>
          <w:highlight w:val="auto"/>
        </w:rPr>
        <w:t>.项目的相关管理制度机制</w:t>
      </w:r>
      <w:r>
        <w:rPr>
          <w:rFonts w:ascii="Times New Roman" w:cs="Times New Roman" w:hAnsi="Times New Roman"/>
          <w:b/>
          <w:bCs w:val="0"/>
          <w:sz w:val="32"/>
          <w:szCs w:val="32"/>
          <w:lang w:val="en-US" w:eastAsia="zh-CN"/>
          <w:highlight w:val="auto"/>
        </w:rPr>
        <w:t>不够</w:t>
      </w:r>
      <w:r>
        <w:rPr>
          <w:rFonts w:ascii="Times New Roman" w:eastAsia="仿宋_GB2312" w:cs="Times New Roman" w:hAnsi="Times New Roman"/>
          <w:b/>
          <w:bCs w:val="0"/>
          <w:sz w:val="32"/>
          <w:szCs w:val="32"/>
          <w:lang w:val="en-US" w:eastAsia="zh-CN"/>
          <w:highlight w:val="auto"/>
        </w:rPr>
        <w:t>健全完善</w:t>
      </w:r>
      <w:r>
        <w:rPr>
          <w:rFonts w:ascii="Times New Roman" w:cs="Times New Roman" w:hAnsi="Times New Roman"/>
          <w:b/>
          <w:bCs w:val="0"/>
          <w:sz w:val="32"/>
          <w:szCs w:val="32"/>
          <w:lang w:val="en-US" w:eastAsia="zh-CN"/>
          <w:highlight w:val="auto"/>
        </w:rPr>
        <w:t>。</w:t>
      </w:r>
      <w:r>
        <w:rPr>
          <w:rFonts w:ascii="Times New Roman" w:eastAsia="仿宋_GB2312" w:cs="Times New Roman" w:hAnsi="Times New Roman"/>
          <w:sz w:val="32"/>
          <w:szCs w:val="32"/>
          <w:lang w:val="en-US" w:eastAsia="zh-CN"/>
          <w:highlight w:val="auto"/>
        </w:rPr>
        <w:t>部分部门</w:t>
      </w:r>
      <w:r>
        <w:rPr>
          <w:rFonts w:ascii="Times New Roman" w:cs="Times New Roman" w:hAnsi="Times New Roman"/>
          <w:sz w:val="32"/>
          <w:szCs w:val="32"/>
          <w:lang w:eastAsia="zh-CN"/>
          <w:highlight w:val="auto"/>
        </w:rPr>
        <w:t>（单位）</w:t>
      </w:r>
      <w:r>
        <w:rPr>
          <w:rFonts w:ascii="Times New Roman" w:eastAsia="仿宋_GB2312" w:cs="Times New Roman" w:hAnsi="Times New Roman"/>
          <w:sz w:val="32"/>
          <w:szCs w:val="32"/>
          <w:lang w:eastAsia="zh-CN"/>
          <w:highlight w:val="auto"/>
        </w:rPr>
        <w:t>未建立项目指导意见、管理办法、申报指南、实施细则等管理制度</w:t>
      </w:r>
      <w:r>
        <w:rPr>
          <w:rFonts w:ascii="Times New Roman" w:eastAsia="仿宋_GB2312" w:cs="Times New Roman" w:hAnsi="Times New Roman"/>
          <w:sz w:val="32"/>
          <w:szCs w:val="32"/>
          <w:lang w:val="en-US" w:eastAsia="zh-CN"/>
          <w:highlight w:val="auto"/>
        </w:rPr>
        <w:t>。</w:t>
      </w:r>
    </w:p>
    <w:p>
      <w:pPr>
        <w:pStyle w:val="21"/>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ascii="Times New Roman" w:cs="Times New Roman" w:hAnsi="Times New Roman"/>
          <w:sz w:val="32"/>
          <w:szCs w:val="32"/>
          <w:lang w:eastAsia="zh-CN"/>
          <w:highlight w:val="auto"/>
        </w:rPr>
      </w:pPr>
      <w:r>
        <w:rPr>
          <w:rFonts w:ascii="Times New Roman" w:cs="Times New Roman" w:hAnsi="Times New Roman"/>
          <w:b/>
          <w:bCs/>
          <w:sz w:val="32"/>
          <w:szCs w:val="32"/>
          <w:lang w:val="en-US" w:eastAsia="zh-CN"/>
          <w:highlight w:val="auto"/>
        </w:rPr>
        <w:t>4</w:t>
      </w:r>
      <w:r>
        <w:rPr>
          <w:rFonts w:ascii="Times New Roman" w:eastAsia="仿宋_GB2312" w:cs="Times New Roman" w:hAnsi="Times New Roman"/>
          <w:b/>
          <w:bCs/>
          <w:sz w:val="32"/>
          <w:szCs w:val="32"/>
          <w:lang w:val="en-US" w:eastAsia="zh-CN"/>
          <w:highlight w:val="auto"/>
        </w:rPr>
        <w:t>.</w:t>
      </w:r>
      <w:r>
        <w:rPr>
          <w:rFonts w:ascii="Times New Roman" w:cs="Times New Roman" w:hAnsi="Times New Roman"/>
          <w:b/>
          <w:bCs/>
          <w:sz w:val="32"/>
          <w:szCs w:val="32"/>
          <w:lang w:val="en-US" w:eastAsia="zh-CN"/>
          <w:highlight w:val="auto"/>
        </w:rPr>
        <w:t>部门整体</w:t>
      </w:r>
      <w:r>
        <w:rPr>
          <w:rFonts w:ascii="Times New Roman" w:eastAsia="仿宋_GB2312" w:cs="Times New Roman" w:hAnsi="Times New Roman"/>
          <w:b/>
          <w:bCs/>
          <w:sz w:val="32"/>
          <w:szCs w:val="32"/>
          <w:lang w:val="en-US" w:eastAsia="zh-CN"/>
          <w:highlight w:val="auto"/>
        </w:rPr>
        <w:t>执行进度不达标</w:t>
      </w:r>
      <w:r>
        <w:rPr>
          <w:rFonts w:ascii="Times New Roman" w:cs="Times New Roman" w:hAnsi="Times New Roman"/>
          <w:b/>
          <w:bCs/>
          <w:sz w:val="32"/>
          <w:szCs w:val="32"/>
          <w:lang w:val="en-US" w:eastAsia="zh-CN"/>
          <w:highlight w:val="auto"/>
        </w:rPr>
        <w:t>。</w:t>
      </w:r>
      <w:r>
        <w:rPr>
          <w:rFonts w:ascii="Times New Roman" w:cs="Times New Roman" w:hAnsi="Times New Roman"/>
          <w:b w:val="0"/>
          <w:bCs w:val="0"/>
          <w:sz w:val="32"/>
          <w:szCs w:val="32"/>
          <w:lang w:val="en-US" w:eastAsia="zh-CN"/>
          <w:highlight w:val="auto"/>
        </w:rPr>
        <w:t>部分</w:t>
      </w:r>
      <w:r>
        <w:rPr>
          <w:rFonts w:ascii="Times New Roman" w:eastAsia="仿宋_GB2312" w:cs="Times New Roman" w:hAnsi="Times New Roman"/>
          <w:sz w:val="32"/>
          <w:szCs w:val="32"/>
          <w:lang w:eastAsia="zh-CN"/>
          <w:highlight w:val="auto"/>
        </w:rPr>
        <w:t>部门</w:t>
      </w:r>
      <w:r>
        <w:rPr>
          <w:rFonts w:ascii="Times New Roman" w:cs="Times New Roman" w:hAnsi="Times New Roman"/>
          <w:sz w:val="32"/>
          <w:szCs w:val="32"/>
          <w:lang w:eastAsia="zh-CN"/>
          <w:highlight w:val="auto"/>
        </w:rPr>
        <w:t>（单位）</w:t>
      </w:r>
      <w:r>
        <w:rPr>
          <w:rFonts w:ascii="Times New Roman" w:eastAsia="仿宋_GB2312" w:cs="Times New Roman" w:hAnsi="Times New Roman"/>
          <w:sz w:val="32"/>
          <w:szCs w:val="32"/>
          <w:lang w:eastAsia="zh-CN"/>
          <w:highlight w:val="auto"/>
        </w:rPr>
        <w:t>在6、9、11月</w:t>
      </w:r>
      <w:r>
        <w:rPr>
          <w:rFonts w:ascii="Times New Roman" w:cs="Times New Roman" w:hAnsi="Times New Roman"/>
          <w:sz w:val="32"/>
          <w:szCs w:val="32"/>
          <w:lang w:eastAsia="zh-CN"/>
          <w:highlight w:val="auto"/>
        </w:rPr>
        <w:t>预算执行</w:t>
      </w:r>
      <w:r>
        <w:rPr>
          <w:rFonts w:ascii="Times New Roman" w:eastAsia="仿宋_GB2312" w:cs="Times New Roman" w:hAnsi="Times New Roman"/>
          <w:sz w:val="32"/>
          <w:szCs w:val="32"/>
          <w:lang w:eastAsia="zh-CN"/>
          <w:highlight w:val="auto"/>
        </w:rPr>
        <w:t>未达到序时进度</w:t>
      </w:r>
      <w:r>
        <w:rPr>
          <w:rFonts w:ascii="Times New Roman" w:cs="Times New Roman" w:hAnsi="Times New Roman"/>
          <w:sz w:val="32"/>
          <w:szCs w:val="32"/>
          <w:lang w:eastAsia="zh-CN"/>
          <w:highlight w:val="auto"/>
        </w:rPr>
        <w:t>。</w:t>
      </w:r>
    </w:p>
    <w:p>
      <w:pPr>
        <w:pStyle w:val="21"/>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Chars="200" w:firstLine="632"/>
        <w:textAlignment w:val="auto"/>
        <w:rPr>
          <w:rFonts w:ascii="Times New Roman" w:cs="Times New Roman" w:hAnsi="Times New Roman"/>
          <w:sz w:val="32"/>
          <w:szCs w:val="32"/>
          <w:lang w:eastAsia="zh-CN"/>
          <w:highlight w:val="auto"/>
        </w:rPr>
      </w:pPr>
      <w:r>
        <w:rPr>
          <w:rFonts w:ascii="Times New Roman" w:cs="Times New Roman" w:hAnsi="Times New Roman"/>
          <w:sz w:val="32"/>
          <w:szCs w:val="32"/>
          <w:lang w:val="en-US" w:eastAsia="zh-CN"/>
          <w:highlight w:val="auto"/>
        </w:rPr>
        <w:t>5.</w:t>
      </w:r>
      <w:r>
        <w:rPr>
          <w:rFonts w:ascii="Times New Roman" w:eastAsia="仿宋_GB2312" w:cs="Times New Roman" w:hAnsi="Times New Roman"/>
          <w:b/>
          <w:bCs w:val="0"/>
          <w:kern w:val="2"/>
          <w:sz w:val="32"/>
          <w:szCs w:val="32"/>
          <w:lang w:val="en-US" w:eastAsia="zh-CN" w:bidi="ar-SA"/>
          <w:highlight w:val="auto"/>
        </w:rPr>
        <w:t>项目实施进度有待加快。</w:t>
      </w:r>
      <w:r>
        <w:rPr>
          <w:rFonts w:ascii="Times New Roman" w:eastAsia="仿宋_GB2312" w:cs="Times New Roman" w:hAnsi="Times New Roman"/>
          <w:sz w:val="32"/>
          <w:szCs w:val="32"/>
          <w:lang w:val="en-US" w:eastAsia="zh-CN"/>
          <w:highlight w:val="auto"/>
        </w:rPr>
        <w:t>部分</w:t>
      </w:r>
      <w:r>
        <w:rPr>
          <w:rFonts w:ascii="Times New Roman" w:eastAsia="仿宋_GB2312" w:cs="Times New Roman" w:hAnsi="Times New Roman"/>
          <w:sz w:val="32"/>
          <w:szCs w:val="32"/>
          <w:lang w:eastAsia="zh-CN"/>
          <w:highlight w:val="auto"/>
        </w:rPr>
        <w:t>项目启动缓慢，推进慢，项目未按计划完成，完成不及时，资金使用率低，绩效目标未完全实现。</w:t>
      </w:r>
    </w:p>
    <w:p>
      <w:pPr>
        <w:pStyle w:val="21"/>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Chars="200" w:firstLine="632"/>
        <w:textAlignment w:val="auto"/>
        <w:rPr>
          <w:rFonts w:ascii="Times New Roman" w:eastAsia="仿宋_GB2312" w:cs="Times New Roman" w:hAnsi="Times New Roman"/>
          <w:b w:val="0"/>
          <w:bCs/>
          <w:kern w:val="2"/>
          <w:sz w:val="32"/>
          <w:szCs w:val="32"/>
          <w:lang w:val="en-US" w:eastAsia="zh-CN" w:bidi="ar-SA"/>
          <w:highlight w:val="auto"/>
        </w:rPr>
      </w:pPr>
      <w:r>
        <w:rPr>
          <w:rFonts w:ascii="Times New Roman" w:cs="Times New Roman" w:hAnsi="Times New Roman"/>
          <w:b/>
          <w:bCs w:val="0"/>
          <w:kern w:val="2"/>
          <w:sz w:val="32"/>
          <w:szCs w:val="32"/>
          <w:lang w:val="en-US" w:eastAsia="zh-CN" w:bidi="ar-SA"/>
          <w:highlight w:val="auto"/>
        </w:rPr>
        <w:t>6</w:t>
      </w:r>
      <w:r>
        <w:rPr>
          <w:rFonts w:ascii="Times New Roman" w:eastAsia="仿宋_GB2312" w:cs="Times New Roman" w:hAnsi="Times New Roman"/>
          <w:b/>
          <w:bCs w:val="0"/>
          <w:kern w:val="2"/>
          <w:sz w:val="32"/>
          <w:szCs w:val="32"/>
          <w:lang w:val="en-US" w:eastAsia="zh-CN" w:bidi="ar-SA"/>
          <w:highlight w:val="auto"/>
        </w:rPr>
        <w:t>.项目合同要素不齐。</w:t>
      </w:r>
      <w:r>
        <w:rPr>
          <w:rFonts w:ascii="Times New Roman" w:cs="Times New Roman" w:hAnsi="Times New Roman"/>
          <w:b w:val="0"/>
          <w:bCs/>
          <w:kern w:val="2"/>
          <w:sz w:val="32"/>
          <w:szCs w:val="32"/>
          <w:lang w:val="en-US" w:eastAsia="zh-CN" w:bidi="ar-SA"/>
          <w:highlight w:val="auto"/>
        </w:rPr>
        <w:t>部分项目存在合同要素不齐全，未在合同中加盖单位公章或签字，合同付款事项的约定未考虑质保期预留质保金或履约保证金。</w:t>
      </w:r>
    </w:p>
    <w:p>
      <w:pPr>
        <w:pStyle w:val="21"/>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Chars="200" w:firstLine="632"/>
        <w:textAlignment w:val="auto"/>
        <w:rPr>
          <w:rFonts w:ascii="Times New Roman" w:eastAsia="仿宋_GB2312" w:cs="Times New Roman" w:hAnsi="Times New Roman"/>
          <w:sz w:val="32"/>
          <w:szCs w:val="32"/>
          <w:lang w:eastAsia="zh-CN"/>
          <w:highlight w:val="auto"/>
        </w:rPr>
      </w:pPr>
      <w:r>
        <w:rPr>
          <w:rFonts w:ascii="Times New Roman" w:cs="Times New Roman" w:hAnsi="Times New Roman"/>
          <w:b/>
          <w:bCs/>
          <w:sz w:val="32"/>
          <w:szCs w:val="32"/>
          <w:lang w:val="en-US" w:eastAsia="zh-CN"/>
          <w:highlight w:val="auto"/>
        </w:rPr>
        <w:t>7</w:t>
      </w:r>
      <w:r>
        <w:rPr>
          <w:rFonts w:ascii="Times New Roman" w:eastAsia="仿宋_GB2312" w:cs="Times New Roman" w:hAnsi="Times New Roman"/>
          <w:b/>
          <w:bCs/>
          <w:sz w:val="32"/>
          <w:szCs w:val="32"/>
          <w:lang w:val="en-US" w:eastAsia="zh-CN"/>
          <w:highlight w:val="auto"/>
        </w:rPr>
        <w:t>.</w:t>
      </w:r>
      <w:r>
        <w:rPr>
          <w:rFonts w:ascii="Times New Roman" w:eastAsia="仿宋_GB2312" w:cs="Times New Roman" w:hAnsi="Times New Roman"/>
          <w:b/>
          <w:bCs/>
          <w:sz w:val="32"/>
          <w:szCs w:val="32"/>
        </w:rPr>
        <w:t>项目完工后验收</w:t>
      </w:r>
      <w:r>
        <w:rPr>
          <w:rFonts w:ascii="Times New Roman" w:eastAsia="仿宋_GB2312" w:cs="Times New Roman" w:hAnsi="Times New Roman"/>
          <w:b/>
          <w:bCs/>
          <w:sz w:val="32"/>
          <w:szCs w:val="32"/>
          <w:lang w:eastAsia="zh-CN"/>
        </w:rPr>
        <w:t>不及时、不规范</w:t>
      </w:r>
      <w:r>
        <w:rPr>
          <w:rFonts w:ascii="Times New Roman" w:eastAsia="仿宋" w:cs="Times New Roman" w:hAnsi="Times New Roman"/>
          <w:sz w:val="28"/>
          <w:szCs w:val="28"/>
          <w:lang w:eastAsia="zh-CN"/>
        </w:rPr>
        <w:t>。</w:t>
      </w:r>
      <w:r>
        <w:rPr>
          <w:rFonts w:ascii="Times New Roman" w:eastAsia="仿宋_GB2312" w:cs="Times New Roman" w:hAnsi="Times New Roman"/>
          <w:sz w:val="32"/>
          <w:szCs w:val="32"/>
          <w:lang w:eastAsia="zh-CN"/>
        </w:rPr>
        <w:t>部分项目完工后未及时进行</w:t>
      </w:r>
      <w:r>
        <w:rPr>
          <w:rFonts w:ascii="Times New Roman" w:eastAsia="仿宋_GB2312" w:cs="Times New Roman" w:hAnsi="Times New Roman"/>
          <w:sz w:val="32"/>
          <w:szCs w:val="32"/>
        </w:rPr>
        <w:t>竣工验收</w:t>
      </w:r>
      <w:r>
        <w:rPr>
          <w:rFonts w:ascii="Times New Roman" w:eastAsia="仿宋_GB2312" w:cs="Times New Roman" w:hAnsi="Times New Roman"/>
          <w:sz w:val="32"/>
          <w:szCs w:val="32"/>
          <w:lang w:eastAsia="zh-CN"/>
        </w:rPr>
        <w:t>，未</w:t>
      </w:r>
      <w:r>
        <w:rPr>
          <w:rFonts w:ascii="Times New Roman" w:eastAsia="仿宋_GB2312" w:cs="Times New Roman" w:hAnsi="Times New Roman"/>
          <w:sz w:val="32"/>
          <w:szCs w:val="32"/>
        </w:rPr>
        <w:t>及时进行竣工结算审计，</w:t>
      </w:r>
      <w:r>
        <w:rPr>
          <w:rFonts w:ascii="Times New Roman" w:eastAsia="仿宋_GB2312" w:cs="Times New Roman" w:hAnsi="Times New Roman"/>
          <w:sz w:val="32"/>
          <w:szCs w:val="32"/>
          <w:lang w:eastAsia="zh-CN"/>
        </w:rPr>
        <w:t>未</w:t>
      </w:r>
      <w:r>
        <w:rPr>
          <w:rFonts w:ascii="Times New Roman" w:eastAsia="仿宋_GB2312" w:cs="Times New Roman" w:hAnsi="Times New Roman"/>
          <w:sz w:val="32"/>
          <w:szCs w:val="32"/>
        </w:rPr>
        <w:t>及时进行竣工财务决算审计</w:t>
      </w:r>
      <w:r>
        <w:rPr>
          <w:rFonts w:ascii="Times New Roman" w:eastAsia="仿宋_GB2312" w:cs="Times New Roman" w:hAnsi="Times New Roman"/>
          <w:sz w:val="32"/>
          <w:szCs w:val="32"/>
          <w:lang w:eastAsia="zh-CN"/>
        </w:rPr>
        <w:t>，</w:t>
      </w:r>
      <w:r>
        <w:rPr>
          <w:rFonts w:ascii="Times New Roman" w:eastAsia="仿宋_GB2312" w:cs="Times New Roman" w:hAnsi="Times New Roman"/>
          <w:sz w:val="32"/>
          <w:szCs w:val="32"/>
          <w:lang w:eastAsia="zh-CN"/>
          <w:highlight w:val="auto"/>
        </w:rPr>
        <w:t>未及时确认形成国有资产</w:t>
      </w:r>
      <w:r>
        <w:rPr>
          <w:rFonts w:ascii="Times New Roman" w:cs="Times New Roman" w:hAnsi="Times New Roman"/>
          <w:sz w:val="32"/>
          <w:szCs w:val="32"/>
          <w:lang w:eastAsia="zh-CN"/>
          <w:highlight w:val="auto"/>
        </w:rPr>
        <w:t>；部分项目的</w:t>
      </w:r>
      <w:r>
        <w:rPr>
          <w:rFonts w:ascii="Times New Roman" w:cs="Times New Roman" w:hAnsi="Times New Roman"/>
          <w:b w:val="0"/>
          <w:bCs/>
          <w:sz w:val="32"/>
          <w:szCs w:val="32"/>
          <w:lang w:val="en-US" w:eastAsia="zh-CN"/>
          <w:highlight w:val="auto"/>
        </w:rPr>
        <w:t>监理单位、</w:t>
      </w:r>
      <w:r>
        <w:rPr>
          <w:rFonts w:ascii="Times New Roman" w:cs="Times New Roman" w:hAnsi="Times New Roman"/>
          <w:sz w:val="32"/>
          <w:szCs w:val="32"/>
          <w:lang w:eastAsia="zh-CN"/>
          <w:highlight w:val="auto"/>
        </w:rPr>
        <w:t>设计单位未参与验收，部分项目验收采用自制的验收卡，未采用《四川省房屋建筑工程和市政基础设施工程竣工验收报告》。</w:t>
      </w:r>
    </w:p>
    <w:p>
      <w:pPr>
        <w:pStyle w:val="21"/>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Chars="200" w:firstLine="632"/>
        <w:textAlignment w:val="auto"/>
        <w:rPr>
          <w:rFonts w:ascii="Times New Roman" w:cs="Times New Roman" w:hAnsi="Times New Roman"/>
          <w:b w:val="0"/>
          <w:bCs w:val="0"/>
          <w:sz w:val="32"/>
          <w:szCs w:val="32"/>
          <w:lang w:eastAsia="zh-CN"/>
        </w:rPr>
      </w:pPr>
      <w:r>
        <w:rPr>
          <w:rFonts w:ascii="Times New Roman" w:cs="Times New Roman" w:hAnsi="Times New Roman"/>
          <w:b/>
          <w:bCs/>
          <w:sz w:val="32"/>
          <w:szCs w:val="32"/>
          <w:lang w:val="en-US" w:eastAsia="zh-CN"/>
          <w:highlight w:val="auto"/>
        </w:rPr>
        <w:t>8</w:t>
      </w:r>
      <w:r>
        <w:rPr>
          <w:rFonts w:ascii="Times New Roman" w:eastAsia="仿宋_GB2312" w:cs="Times New Roman" w:hAnsi="Times New Roman"/>
          <w:b/>
          <w:bCs/>
          <w:sz w:val="32"/>
          <w:szCs w:val="32"/>
          <w:lang w:val="en-US" w:eastAsia="zh-CN"/>
          <w:highlight w:val="auto"/>
        </w:rPr>
        <w:t>.</w:t>
      </w:r>
      <w:r>
        <w:rPr>
          <w:rFonts w:ascii="Times New Roman" w:eastAsia="仿宋_GB2312" w:cs="Times New Roman" w:hAnsi="Times New Roman"/>
          <w:b/>
          <w:bCs/>
          <w:sz w:val="32"/>
          <w:szCs w:val="32"/>
        </w:rPr>
        <w:t>项目后期管护</w:t>
      </w:r>
      <w:r>
        <w:rPr>
          <w:rFonts w:ascii="Times New Roman" w:eastAsia="仿宋_GB2312" w:cs="Times New Roman" w:hAnsi="Times New Roman"/>
          <w:b/>
          <w:bCs/>
          <w:sz w:val="32"/>
          <w:szCs w:val="32"/>
          <w:lang w:eastAsia="zh-CN"/>
        </w:rPr>
        <w:t>有待加强。</w:t>
      </w:r>
      <w:r>
        <w:rPr>
          <w:rFonts w:ascii="Times New Roman" w:eastAsia="仿宋_GB2312" w:cs="Times New Roman" w:hAnsi="Times New Roman"/>
          <w:b w:val="0"/>
          <w:bCs w:val="0"/>
          <w:sz w:val="32"/>
          <w:szCs w:val="32"/>
          <w:lang w:eastAsia="zh-CN"/>
        </w:rPr>
        <w:t>项目完成后无相关后期管护措施，未明确相关责任单位</w:t>
      </w:r>
      <w:r>
        <w:rPr>
          <w:rFonts w:ascii="Times New Roman" w:cs="Times New Roman" w:hAnsi="Times New Roman"/>
          <w:b w:val="0"/>
          <w:bCs w:val="0"/>
          <w:sz w:val="32"/>
          <w:szCs w:val="32"/>
          <w:lang w:eastAsia="zh-CN"/>
        </w:rPr>
        <w:t>，未切实制定并提高项目实施后的社会效益。</w:t>
      </w:r>
    </w:p>
    <w:p>
      <w:pPr>
        <w:pStyle w:val="21"/>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Chars="200" w:firstLine="632"/>
        <w:textAlignment w:val="auto"/>
        <w:outlineLvl w:val="9"/>
        <w:rPr>
          <w:rFonts w:ascii="Times New Roman" w:eastAsia="仿宋_GB2312" w:cs="Times New Roman" w:hAnsi="Times New Roman"/>
          <w:sz w:val="32"/>
          <w:szCs w:val="32"/>
          <w:lang w:val="en-US" w:eastAsia="zh-CN"/>
          <w:highlight w:val="auto"/>
        </w:rPr>
      </w:pPr>
      <w:r>
        <w:rPr>
          <w:rFonts w:ascii="Times New Roman" w:cs="Times New Roman" w:hAnsi="Times New Roman"/>
          <w:b/>
          <w:bCs w:val="0"/>
          <w:kern w:val="2"/>
          <w:sz w:val="32"/>
          <w:szCs w:val="32"/>
          <w:lang w:val="en-US" w:eastAsia="zh-CN" w:bidi="ar-SA"/>
          <w:highlight w:val="auto"/>
        </w:rPr>
        <w:t>9</w:t>
      </w:r>
      <w:r>
        <w:rPr>
          <w:rFonts w:ascii="Times New Roman" w:eastAsia="仿宋_GB2312" w:cs="Times New Roman" w:hAnsi="Times New Roman"/>
          <w:b/>
          <w:bCs w:val="0"/>
          <w:kern w:val="2"/>
          <w:sz w:val="32"/>
          <w:szCs w:val="32"/>
          <w:lang w:val="en-US" w:eastAsia="zh-CN" w:bidi="ar-SA"/>
          <w:highlight w:val="auto"/>
        </w:rPr>
        <w:t>.项目档案管理有待完善</w:t>
      </w:r>
      <w:r>
        <w:rPr>
          <w:rFonts w:ascii="Times New Roman" w:eastAsia="仿宋_GB2312" w:cs="Times New Roman" w:hAnsi="Times New Roman"/>
          <w:b/>
          <w:bCs/>
          <w:sz w:val="32"/>
          <w:szCs w:val="32"/>
          <w:lang w:val="en-US" w:eastAsia="zh-CN"/>
          <w:highlight w:val="auto"/>
        </w:rPr>
        <w:t>。</w:t>
      </w:r>
      <w:r>
        <w:rPr>
          <w:rFonts w:ascii="Times New Roman" w:eastAsia="仿宋_GB2312" w:cs="Times New Roman" w:hAnsi="Times New Roman"/>
          <w:sz w:val="32"/>
          <w:szCs w:val="32"/>
          <w:lang w:val="en-US" w:eastAsia="zh-CN"/>
          <w:highlight w:val="auto"/>
        </w:rPr>
        <w:t xml:space="preserve">第三方评价组在现场查看相关项目资料时，发现部分项目资料的归档较零乱，不便于查找相关资料。   </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Chars="200" w:firstLine="632"/>
        <w:textAlignment w:val="auto"/>
        <w:outlineLvl w:val="9"/>
        <w:rPr>
          <w:rFonts w:ascii="Times New Roman" w:eastAsia="楷体" w:cs="Times New Roman" w:hAnsi="Times New Roman"/>
          <w:b/>
          <w:bCs w:val="0"/>
          <w:sz w:val="32"/>
          <w:szCs w:val="32"/>
          <w:lang w:eastAsia="zh-CN"/>
          <w:highlight w:val="auto"/>
        </w:rPr>
      </w:pPr>
      <w:r>
        <w:rPr>
          <w:rFonts w:ascii="Times New Roman" w:eastAsia="楷体" w:cs="Times New Roman" w:hAnsi="Times New Roman"/>
          <w:b/>
          <w:bCs w:val="0"/>
          <w:sz w:val="32"/>
          <w:szCs w:val="32"/>
          <w:lang w:val="en-US" w:eastAsia="zh-CN"/>
          <w:highlight w:val="auto"/>
        </w:rPr>
        <w:t>（二）</w:t>
      </w:r>
      <w:r>
        <w:rPr>
          <w:rFonts w:ascii="Times New Roman" w:eastAsia="楷体" w:cs="Times New Roman" w:hAnsi="Times New Roman"/>
          <w:b/>
          <w:bCs w:val="0"/>
          <w:sz w:val="32"/>
          <w:szCs w:val="32"/>
          <w:lang w:eastAsia="zh-CN"/>
          <w:highlight w:val="auto"/>
        </w:rPr>
        <w:t>个性问题</w:t>
      </w:r>
    </w:p>
    <w:p>
      <w:pPr>
        <w:pStyle w:val="21"/>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outlineLvl w:val="9"/>
        <w:rPr>
          <w:rFonts w:ascii="Times New Roman" w:cs="Times New Roman" w:hAnsi="Times New Roman"/>
          <w:b w:val="0"/>
          <w:bCs/>
          <w:sz w:val="32"/>
          <w:szCs w:val="32"/>
          <w:lang w:val="en-US" w:eastAsia="zh-CN"/>
          <w:highlight w:val="auto"/>
        </w:rPr>
      </w:pPr>
      <w:r>
        <w:rPr>
          <w:rFonts w:ascii="Times New Roman" w:eastAsia="仿宋_GB2312" w:cs="Times New Roman" w:hAnsi="Times New Roman"/>
          <w:b/>
          <w:bCs w:val="0"/>
          <w:sz w:val="32"/>
          <w:szCs w:val="32"/>
          <w:lang w:val="en-US" w:eastAsia="zh-CN"/>
          <w:highlight w:val="auto"/>
        </w:rPr>
        <w:t>1.日本冈山砂梨引种示范园（金江）项目：一是</w:t>
      </w:r>
      <w:r>
        <w:rPr>
          <w:rFonts w:ascii="Times New Roman" w:eastAsia="仿宋_GB2312" w:cs="Times New Roman" w:hAnsi="Times New Roman"/>
          <w:b w:val="0"/>
          <w:bCs/>
          <w:sz w:val="32"/>
          <w:szCs w:val="32"/>
          <w:lang w:val="en-US" w:eastAsia="zh-CN"/>
          <w:highlight w:val="auto"/>
        </w:rPr>
        <w:t>项目前期合作模式(咯尔乡人民政府采取投资入股收益分成方式)与项目后期实际实施方式(咯尔乡人民政府采取委托金川御果苑果业开发有限责任公司进行园区建设)不一致</w:t>
      </w:r>
      <w:r>
        <w:rPr>
          <w:rFonts w:ascii="Times New Roman" w:cs="Times New Roman" w:hAnsi="Times New Roman"/>
          <w:b w:val="0"/>
          <w:bCs/>
          <w:sz w:val="32"/>
          <w:szCs w:val="32"/>
          <w:lang w:val="en-US" w:eastAsia="zh-CN"/>
          <w:highlight w:val="auto"/>
        </w:rPr>
        <w:t>，金川御果苑果业开发有限责任公司开具的发票与经济内容不一致。</w:t>
      </w:r>
      <w:r>
        <w:rPr>
          <w:rFonts w:ascii="Times New Roman" w:cs="Times New Roman" w:hAnsi="Times New Roman"/>
          <w:b/>
          <w:bCs w:val="0"/>
          <w:sz w:val="32"/>
          <w:szCs w:val="32"/>
          <w:lang w:val="en-US" w:eastAsia="zh-CN"/>
          <w:highlight w:val="auto"/>
        </w:rPr>
        <w:t>二是</w:t>
      </w:r>
      <w:r>
        <w:rPr>
          <w:rFonts w:ascii="Times New Roman" w:cs="Times New Roman" w:hAnsi="Times New Roman"/>
          <w:b w:val="0"/>
          <w:bCs/>
          <w:sz w:val="32"/>
          <w:szCs w:val="32"/>
          <w:lang w:val="en-US" w:eastAsia="zh-CN"/>
          <w:highlight w:val="auto"/>
        </w:rPr>
        <w:t>验收内容与竣工结算资料不一致。根据被评价项目竣工结算资料，被评价项目分部分项及单项措施项目主要为土地改良、土地整理、园区作业水泥路智能水肥一体化等。根据被评价项目《乡村自查验收表》，验收内容为智能水肥一体化、电力电缆等。</w:t>
      </w:r>
    </w:p>
    <w:p>
      <w:pPr>
        <w:pStyle w:val="21"/>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ascii="Times New Roman" w:cs="Times New Roman" w:hAnsi="Times New Roman"/>
          <w:b w:val="0"/>
          <w:bCs/>
          <w:sz w:val="32"/>
          <w:szCs w:val="32"/>
          <w:lang w:val="en-US" w:eastAsia="zh-CN"/>
          <w:highlight w:val="auto"/>
        </w:rPr>
      </w:pPr>
      <w:r>
        <w:rPr>
          <w:rFonts w:ascii="Times New Roman" w:cs="Times New Roman" w:hAnsi="Times New Roman"/>
          <w:b/>
          <w:bCs w:val="0"/>
          <w:sz w:val="32"/>
          <w:szCs w:val="32"/>
          <w:lang w:val="en-US" w:eastAsia="zh-CN"/>
          <w:highlight w:val="auto"/>
        </w:rPr>
        <w:t>2.金川县基层教育条件提升项目：一是</w:t>
      </w:r>
      <w:r>
        <w:rPr>
          <w:rFonts w:ascii="Times New Roman" w:cs="Times New Roman" w:hAnsi="Times New Roman"/>
          <w:b w:val="0"/>
          <w:bCs/>
          <w:sz w:val="32"/>
          <w:szCs w:val="32"/>
          <w:lang w:val="en-US" w:eastAsia="zh-CN"/>
          <w:highlight w:val="auto"/>
        </w:rPr>
        <w:t>县教育局利用被评价项目资金支付金川县东方红小学学生食堂、学生宿舍及附属用房建设项目缺口资金20.00万元，金川县二中浙川援建改造提升工程项目缺口资金13.01万元，不符合《金川县对口支援工作领导小组办公室关于印发&lt;金川县2022年对口支援第一批项目实施计划表&gt;的通知》(金受授办〔2022〕1号)“二、强化资金使用”：“未列入对口支援2022年度目标计划的建设内容，不得从对口支援项目资金中安排使用”。</w:t>
      </w:r>
      <w:r>
        <w:rPr>
          <w:rFonts w:ascii="Times New Roman" w:cs="Times New Roman" w:hAnsi="Times New Roman"/>
          <w:b/>
          <w:bCs w:val="0"/>
          <w:sz w:val="32"/>
          <w:szCs w:val="32"/>
          <w:lang w:val="en-US" w:eastAsia="zh-CN"/>
          <w:highlight w:val="auto"/>
        </w:rPr>
        <w:t>二是</w:t>
      </w:r>
      <w:r>
        <w:rPr>
          <w:rFonts w:ascii="Times New Roman" w:cs="Times New Roman" w:hAnsi="Times New Roman"/>
          <w:b w:val="0"/>
          <w:bCs/>
          <w:sz w:val="32"/>
          <w:szCs w:val="32"/>
          <w:lang w:val="en-US" w:eastAsia="zh-CN"/>
          <w:highlight w:val="auto"/>
        </w:rPr>
        <w:t>金川县俄热乡二楷小学幼儿园及教育宿舍改扩建项目施工合同签订时间，不符合《中选通知书》要求。</w:t>
      </w:r>
      <w:r>
        <w:rPr>
          <w:rFonts w:ascii="Times New Roman" w:cs="Times New Roman" w:hAnsi="Times New Roman"/>
          <w:b/>
          <w:bCs w:val="0"/>
          <w:sz w:val="32"/>
          <w:szCs w:val="32"/>
          <w:lang w:val="en-US" w:eastAsia="zh-CN"/>
          <w:highlight w:val="auto"/>
        </w:rPr>
        <w:t>三是</w:t>
      </w:r>
      <w:r>
        <w:rPr>
          <w:rFonts w:ascii="Times New Roman" w:cs="Times New Roman" w:hAnsi="Times New Roman"/>
          <w:b w:val="0"/>
          <w:bCs/>
          <w:sz w:val="32"/>
          <w:szCs w:val="32"/>
          <w:lang w:val="en-US" w:eastAsia="zh-CN"/>
          <w:highlight w:val="auto"/>
        </w:rPr>
        <w:t>东方红小学校舍改造项目目标完成与发改立项不一致。根据金川县发展改革和经济商务信息化局《关于金川县东方红小学校舍改造项目实施方案的批复》(金发改经信行审&gt;〔2022〕175号)建设内容及规模为“教学用房维修改造2000平方米(其中食堂300平方米、厕所120平方米、辅助用房1580平方米)”。根据该项目《教育系统零星维修工程竣工验收报告》，验收内容为教学辅助用房维修改造教学用房500平方米和甲方提供的项目内容。</w:t>
      </w:r>
    </w:p>
    <w:p>
      <w:pPr>
        <w:pStyle w:val="21"/>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ascii="Times New Roman" w:cs="Times New Roman" w:hAnsi="Times New Roman"/>
          <w:b w:val="0"/>
          <w:bCs/>
          <w:sz w:val="32"/>
          <w:szCs w:val="32"/>
          <w:lang w:val="en-US" w:eastAsia="zh-CN"/>
          <w:highlight w:val="auto"/>
        </w:rPr>
      </w:pPr>
      <w:r>
        <w:rPr>
          <w:rFonts w:ascii="Times New Roman" w:cs="Times New Roman" w:hAnsi="Times New Roman"/>
          <w:b/>
          <w:bCs w:val="0"/>
          <w:sz w:val="32"/>
          <w:szCs w:val="32"/>
          <w:lang w:val="en-US" w:eastAsia="zh-CN"/>
          <w:highlight w:val="auto"/>
        </w:rPr>
        <w:t>3.金川县观音桥唐卡传习所配套设施建设项目：一是</w:t>
      </w:r>
      <w:r>
        <w:rPr>
          <w:rFonts w:ascii="Times New Roman" w:cs="Times New Roman" w:hAnsi="Times New Roman"/>
          <w:b w:val="0"/>
          <w:bCs/>
          <w:sz w:val="32"/>
          <w:szCs w:val="32"/>
          <w:lang w:val="en-US" w:eastAsia="zh-CN"/>
          <w:highlight w:val="auto"/>
        </w:rPr>
        <w:t>项目实施过程中未见县文旅局落实监督责任，项目招投标、验收等均未见县文旅局派出相关人员落实监督。</w:t>
      </w:r>
      <w:r>
        <w:rPr>
          <w:rFonts w:ascii="Times New Roman" w:cs="Times New Roman" w:hAnsi="Times New Roman"/>
          <w:b/>
          <w:bCs w:val="0"/>
          <w:sz w:val="32"/>
          <w:szCs w:val="32"/>
          <w:lang w:val="en-US" w:eastAsia="zh-CN"/>
          <w:highlight w:val="auto"/>
        </w:rPr>
        <w:t>二是</w:t>
      </w:r>
      <w:r>
        <w:rPr>
          <w:rFonts w:ascii="Times New Roman" w:cs="Times New Roman" w:hAnsi="Times New Roman"/>
          <w:b w:val="0"/>
          <w:bCs/>
          <w:sz w:val="32"/>
          <w:szCs w:val="32"/>
          <w:lang w:val="en-US" w:eastAsia="zh-CN"/>
          <w:highlight w:val="auto"/>
        </w:rPr>
        <w:t>采用货物采购流程与项目实施内容不符。根据《金川县财政局&lt;关于下达2022年第二批对口支援项目资金的通知&gt;》(金财库〔2022〕7号)下达被评价项目年度建设内容为“传习所室外场地平整及绿化100平米、传习所室内布展、和楼梯扶手更换”；根据金川县观音桥景区工作中心与四川天顺绘制广告传媒有限公司签订《观音桥景区唐卡传习所提升改造项目(包二)采购合同》，采购内容为“本项目拟升级改造观音桥景区唐卡传习所，需提供定制330平方米的阳光房及相应配套的耗材、工具及辅材”，被评价项目为工程类项目。</w:t>
      </w:r>
      <w:r>
        <w:rPr>
          <w:rFonts w:ascii="Times New Roman" w:cs="Times New Roman" w:hAnsi="Times New Roman"/>
          <w:b/>
          <w:bCs w:val="0"/>
          <w:sz w:val="32"/>
          <w:szCs w:val="32"/>
          <w:lang w:val="en-US" w:eastAsia="zh-CN"/>
          <w:highlight w:val="auto"/>
        </w:rPr>
        <w:t>三是</w:t>
      </w:r>
      <w:r>
        <w:rPr>
          <w:rFonts w:ascii="Times New Roman" w:cs="Times New Roman" w:hAnsi="Times New Roman"/>
          <w:b w:val="0"/>
          <w:bCs/>
          <w:sz w:val="32"/>
          <w:szCs w:val="32"/>
          <w:lang w:val="en-US" w:eastAsia="zh-CN"/>
          <w:highlight w:val="auto"/>
        </w:rPr>
        <w:t>未达到项目预期计划建设内容。根据《金川县财政局&lt;关于下达2022年第二批对口支援项目资金的通知&gt;》(金财库〔2022〕7号)下达被评价项目年度建设内容为“传习所室外场地平整及绿化100平米、传习所室内布展、和楼梯扶手更换”。项目竣工验收中，未见“传习所室外场地平整及绿化100平米”实施及验收情况。</w:t>
      </w:r>
      <w:r>
        <w:rPr>
          <w:rFonts w:ascii="Times New Roman" w:cs="Times New Roman" w:hAnsi="Times New Roman"/>
          <w:b/>
          <w:bCs w:val="0"/>
          <w:sz w:val="32"/>
          <w:szCs w:val="32"/>
          <w:lang w:val="en-US" w:eastAsia="zh-CN"/>
          <w:highlight w:val="auto"/>
        </w:rPr>
        <w:t>四是</w:t>
      </w:r>
      <w:r>
        <w:rPr>
          <w:rFonts w:ascii="Times New Roman" w:cs="Times New Roman" w:hAnsi="Times New Roman"/>
          <w:b w:val="0"/>
          <w:bCs/>
          <w:sz w:val="32"/>
          <w:szCs w:val="32"/>
          <w:lang w:val="en-US" w:eastAsia="zh-CN"/>
          <w:highlight w:val="auto"/>
        </w:rPr>
        <w:t>未进行竣工结算审计、项目竣工决算审计，已按合同约定金额全额支付款项。</w:t>
      </w:r>
    </w:p>
    <w:p>
      <w:pPr>
        <w:pStyle w:val="21"/>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ascii="Times New Roman" w:cs="Times New Roman" w:hAnsi="Times New Roman"/>
          <w:b w:val="0"/>
          <w:bCs/>
          <w:sz w:val="32"/>
          <w:szCs w:val="32"/>
          <w:lang w:val="en-US" w:eastAsia="zh-CN"/>
          <w:highlight w:val="auto"/>
        </w:rPr>
      </w:pPr>
      <w:r>
        <w:rPr>
          <w:rFonts w:ascii="Times New Roman" w:cs="Times New Roman" w:hAnsi="Times New Roman"/>
          <w:b/>
          <w:bCs w:val="0"/>
          <w:sz w:val="32"/>
          <w:szCs w:val="32"/>
          <w:lang w:val="en-US" w:eastAsia="zh-CN"/>
          <w:highlight w:val="auto"/>
        </w:rPr>
        <w:t>4.金川县沙耳乡沙耳尼村集体经济建设项目：一是</w:t>
      </w:r>
      <w:r>
        <w:rPr>
          <w:rFonts w:ascii="Times New Roman" w:cs="Times New Roman" w:hAnsi="Times New Roman"/>
          <w:b w:val="0"/>
          <w:bCs/>
          <w:sz w:val="32"/>
          <w:szCs w:val="32"/>
          <w:lang w:val="en-US" w:eastAsia="zh-CN"/>
          <w:highlight w:val="auto"/>
        </w:rPr>
        <w:t>被评价项目资金中109，863.00元暂存于金川县沙耳乡沙耳尼村民委员会账户，至绩效评价日未对外支付。</w:t>
      </w:r>
      <w:r>
        <w:rPr>
          <w:rFonts w:ascii="Times New Roman" w:cs="Times New Roman" w:hAnsi="Times New Roman"/>
          <w:b/>
          <w:bCs w:val="0"/>
          <w:sz w:val="32"/>
          <w:szCs w:val="32"/>
          <w:lang w:val="en-US" w:eastAsia="zh-CN"/>
          <w:highlight w:val="auto"/>
        </w:rPr>
        <w:t>二是</w:t>
      </w:r>
      <w:r>
        <w:rPr>
          <w:rFonts w:ascii="Times New Roman" w:cs="Times New Roman" w:hAnsi="Times New Roman"/>
          <w:b w:val="0"/>
          <w:bCs/>
          <w:sz w:val="32"/>
          <w:szCs w:val="32"/>
          <w:lang w:val="en-US" w:eastAsia="zh-CN"/>
          <w:highlight w:val="auto"/>
        </w:rPr>
        <w:t>被评价项目土地流转合同签订时间早于项目实施公示，被评价项目采购询价公示中，仅公示材料、机械、劳务成交商，未公示农药成交供应商。</w:t>
      </w:r>
    </w:p>
    <w:p>
      <w:pPr>
        <w:pStyle w:val="21"/>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ascii="Times New Roman" w:cs="Times New Roman" w:hAnsi="Times New Roman"/>
          <w:b w:val="0"/>
          <w:bCs/>
          <w:sz w:val="32"/>
          <w:szCs w:val="32"/>
          <w:lang w:val="en-US" w:eastAsia="zh-CN"/>
          <w:highlight w:val="auto"/>
        </w:rPr>
      </w:pPr>
      <w:r>
        <w:rPr>
          <w:rFonts w:ascii="Times New Roman" w:cs="Times New Roman" w:hAnsi="Times New Roman"/>
          <w:b/>
          <w:bCs w:val="0"/>
          <w:sz w:val="32"/>
          <w:szCs w:val="32"/>
          <w:lang w:val="en-US" w:eastAsia="zh-CN"/>
          <w:highlight w:val="auto"/>
        </w:rPr>
        <w:t>5.金川县河东乡结木村噶尖草坪旅游接待民宿及其配套设施建设项目：一是</w:t>
      </w:r>
      <w:r>
        <w:rPr>
          <w:rFonts w:ascii="Times New Roman" w:cs="Times New Roman" w:hAnsi="Times New Roman"/>
          <w:b w:val="0"/>
          <w:bCs/>
          <w:sz w:val="32"/>
          <w:szCs w:val="32"/>
          <w:lang w:val="en-US" w:eastAsia="zh-CN"/>
          <w:highlight w:val="auto"/>
        </w:rPr>
        <w:t>工程开工令未由项目监理单位发出。2022年3月26日，河东乡人民政府向四川创新博建筑工程有限公司金川分公司发出《工程开工令》，未由监理单位四川创越工程管理有限公司发出。项目开工时间早于阿坝州林草局发出准予征用行政许可书时间。《工程开工令》发出时间为2022年3月26日，阿坝州林草局发出准予征用行政许可书时间为2022年4月29日。</w:t>
      </w:r>
      <w:r>
        <w:rPr>
          <w:rFonts w:ascii="Times New Roman" w:cs="Times New Roman" w:hAnsi="Times New Roman"/>
          <w:b/>
          <w:bCs w:val="0"/>
          <w:sz w:val="32"/>
          <w:szCs w:val="32"/>
          <w:lang w:val="en-US" w:eastAsia="zh-CN"/>
          <w:highlight w:val="auto"/>
        </w:rPr>
        <w:t>二是</w:t>
      </w:r>
      <w:r>
        <w:rPr>
          <w:rFonts w:ascii="Times New Roman" w:cs="Times New Roman" w:hAnsi="Times New Roman"/>
          <w:b w:val="0"/>
          <w:bCs/>
          <w:sz w:val="32"/>
          <w:szCs w:val="32"/>
          <w:lang w:val="en-US" w:eastAsia="zh-CN"/>
          <w:highlight w:val="auto"/>
        </w:rPr>
        <w:t>设计单位未参与项目验收。2022年7月20日，河东乡人民政府组织结木村村两委、施工单位四川创新博建筑工程有限公司金川分公司、监理单位四川创越工程管理有限公司等组成验收小组，对被评价项目进行了竣工验收，验收组人员中无设计单位相关人员。</w:t>
      </w:r>
      <w:r>
        <w:rPr>
          <w:rFonts w:ascii="Times New Roman" w:cs="Times New Roman" w:hAnsi="Times New Roman"/>
          <w:b/>
          <w:bCs w:val="0"/>
          <w:sz w:val="32"/>
          <w:szCs w:val="32"/>
          <w:lang w:val="en-US" w:eastAsia="zh-CN"/>
          <w:highlight w:val="auto"/>
        </w:rPr>
        <w:t>三是</w:t>
      </w:r>
      <w:r>
        <w:rPr>
          <w:rFonts w:ascii="Times New Roman" w:cs="Times New Roman" w:hAnsi="Times New Roman"/>
          <w:b w:val="0"/>
          <w:bCs/>
          <w:sz w:val="32"/>
          <w:szCs w:val="32"/>
          <w:lang w:val="en-US" w:eastAsia="zh-CN"/>
          <w:highlight w:val="auto"/>
        </w:rPr>
        <w:t>项目验收内容与发改立项、竣工结算资料不一致。项目验收内容中未见“天空之境”相关项目验收。</w:t>
      </w:r>
    </w:p>
    <w:p>
      <w:pPr>
        <w:pStyle w:val="21"/>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ascii="Times New Roman" w:cs="Times New Roman" w:hAnsi="Times New Roman"/>
          <w:b w:val="0"/>
          <w:bCs/>
          <w:sz w:val="32"/>
          <w:szCs w:val="32"/>
          <w:lang w:val="en-US" w:eastAsia="zh-CN"/>
          <w:highlight w:val="auto"/>
        </w:rPr>
      </w:pPr>
      <w:r>
        <w:rPr>
          <w:rFonts w:ascii="Times New Roman" w:cs="Times New Roman" w:hAnsi="Times New Roman"/>
          <w:b/>
          <w:bCs w:val="0"/>
          <w:sz w:val="32"/>
          <w:szCs w:val="32"/>
          <w:lang w:val="en-US" w:eastAsia="zh-CN"/>
          <w:highlight w:val="auto"/>
        </w:rPr>
        <w:t>6.金川县双柏树新区全民健身中心室外改造项目：一是</w:t>
      </w:r>
      <w:r>
        <w:rPr>
          <w:rFonts w:ascii="Times New Roman" w:cs="Times New Roman" w:hAnsi="Times New Roman"/>
          <w:b w:val="0"/>
          <w:bCs/>
          <w:sz w:val="32"/>
          <w:szCs w:val="32"/>
          <w:lang w:val="en-US" w:eastAsia="zh-CN"/>
          <w:highlight w:val="auto"/>
        </w:rPr>
        <w:t>被评价项目合同约定价为976,190.67元，实际支付976,200.59元，多支付项目款9.92元，存在虚列支出的情况。</w:t>
      </w:r>
      <w:r>
        <w:rPr>
          <w:rFonts w:ascii="Times New Roman" w:cs="Times New Roman" w:hAnsi="Times New Roman"/>
          <w:b/>
          <w:bCs w:val="0"/>
          <w:sz w:val="32"/>
          <w:szCs w:val="32"/>
          <w:lang w:val="en-US" w:eastAsia="zh-CN"/>
          <w:highlight w:val="auto"/>
        </w:rPr>
        <w:t>二是</w:t>
      </w:r>
      <w:r>
        <w:rPr>
          <w:rFonts w:ascii="Times New Roman" w:cs="Times New Roman" w:hAnsi="Times New Roman"/>
          <w:b w:val="0"/>
          <w:bCs/>
          <w:sz w:val="32"/>
          <w:szCs w:val="32"/>
          <w:lang w:val="en-US" w:eastAsia="zh-CN"/>
          <w:highlight w:val="auto"/>
        </w:rPr>
        <w:t>合同付款事项的约定未考虑质保期预留质保金或履约保证金，县文旅局与四川冠全建筑工程有限公司签订的被评价项目《建设工程施工合同》第九条“工程预付款及竣工结算，合同签订后，甲方预付签约合同价的30%作为乙方购买材料资金；项目完成一半后，需缴纳合同总金额5%质保金至甲方指定账户，完成完工验收合格后，支付合同总金额的70%；工程竣工验收合格后，甲方一次性将履约保证金退还乙方。</w:t>
      </w:r>
      <w:r>
        <w:rPr>
          <w:rFonts w:ascii="Times New Roman" w:cs="Times New Roman" w:hAnsi="Times New Roman"/>
          <w:b/>
          <w:bCs w:val="0"/>
          <w:sz w:val="32"/>
          <w:szCs w:val="32"/>
          <w:lang w:val="en-US" w:eastAsia="zh-CN"/>
          <w:highlight w:val="auto"/>
        </w:rPr>
        <w:t>三是</w:t>
      </w:r>
      <w:r>
        <w:rPr>
          <w:rFonts w:ascii="Times New Roman" w:cs="Times New Roman" w:hAnsi="Times New Roman"/>
          <w:b w:val="0"/>
          <w:bCs/>
          <w:sz w:val="32"/>
          <w:szCs w:val="32"/>
          <w:lang w:val="en-US" w:eastAsia="zh-CN"/>
          <w:highlight w:val="auto"/>
        </w:rPr>
        <w:t>项目验收组成员均为建设单位文旅局职工，未能体现三方参与验收的流程。</w:t>
      </w:r>
    </w:p>
    <w:p>
      <w:pPr>
        <w:pStyle w:val="21"/>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ascii="Times New Roman" w:cs="Times New Roman" w:hAnsi="Times New Roman"/>
          <w:b w:val="0"/>
          <w:bCs/>
          <w:sz w:val="32"/>
          <w:szCs w:val="32"/>
          <w:lang w:val="en-US" w:eastAsia="zh-CN"/>
          <w:highlight w:val="auto"/>
        </w:rPr>
      </w:pPr>
      <w:r>
        <w:rPr>
          <w:rFonts w:ascii="Times New Roman" w:cs="Times New Roman" w:hAnsi="Times New Roman"/>
          <w:b w:val="0"/>
          <w:bCs/>
          <w:sz w:val="32"/>
          <w:szCs w:val="32"/>
          <w:lang w:val="en-US" w:eastAsia="zh-CN"/>
          <w:highlight w:val="auto"/>
        </w:rPr>
        <w:t>7.</w:t>
      </w:r>
      <w:r>
        <w:rPr>
          <w:rFonts w:ascii="Times New Roman" w:cs="Times New Roman" w:hAnsi="Times New Roman"/>
          <w:b/>
          <w:bCs w:val="0"/>
          <w:sz w:val="32"/>
          <w:szCs w:val="32"/>
          <w:lang w:val="en-US" w:eastAsia="zh-CN"/>
          <w:highlight w:val="auto"/>
        </w:rPr>
        <w:t>安宁镇数字乡村建设项目</w:t>
      </w:r>
      <w:r>
        <w:rPr>
          <w:rFonts w:ascii="Times New Roman" w:cs="Times New Roman" w:hAnsi="Times New Roman"/>
          <w:b w:val="0"/>
          <w:bCs/>
          <w:sz w:val="32"/>
          <w:szCs w:val="32"/>
          <w:lang w:val="en-US" w:eastAsia="zh-CN"/>
          <w:highlight w:val="auto"/>
        </w:rPr>
        <w:t>：</w:t>
      </w:r>
      <w:r>
        <w:rPr>
          <w:rFonts w:ascii="Times New Roman" w:cs="Times New Roman" w:hAnsi="Times New Roman"/>
          <w:b/>
          <w:bCs w:val="0"/>
          <w:sz w:val="32"/>
          <w:szCs w:val="32"/>
          <w:lang w:val="en-US" w:eastAsia="zh-CN"/>
          <w:highlight w:val="auto"/>
        </w:rPr>
        <w:t>一是</w:t>
      </w:r>
      <w:r>
        <w:rPr>
          <w:rFonts w:ascii="Times New Roman" w:cs="Times New Roman" w:hAnsi="Times New Roman"/>
          <w:b w:val="0"/>
          <w:bCs/>
          <w:sz w:val="32"/>
          <w:szCs w:val="32"/>
          <w:lang w:val="en-US" w:eastAsia="zh-CN"/>
          <w:highlight w:val="auto"/>
        </w:rPr>
        <w:t>被评价项目合同签订时间晚于项目终验时间。2022年10月11日，采购单位金川县安宁镇人民政府、施工单位联通(四川)产业互联网有限公司对被评价项目进行了项目终验；2022年10月13日，金川县安宁镇人民政府与联通(四川)产业互联网有限公司签订了《安宁镇数字乡村建设项目合同》。</w:t>
      </w:r>
      <w:r>
        <w:rPr>
          <w:rFonts w:ascii="Times New Roman" w:cs="Times New Roman" w:hAnsi="Times New Roman"/>
          <w:b/>
          <w:bCs w:val="0"/>
          <w:sz w:val="32"/>
          <w:szCs w:val="32"/>
          <w:lang w:val="en-US" w:eastAsia="zh-CN"/>
          <w:highlight w:val="auto"/>
        </w:rPr>
        <w:t>二是</w:t>
      </w:r>
      <w:r>
        <w:rPr>
          <w:rFonts w:ascii="Times New Roman" w:cs="Times New Roman" w:hAnsi="Times New Roman"/>
          <w:b w:val="0"/>
          <w:bCs/>
          <w:sz w:val="32"/>
          <w:szCs w:val="32"/>
          <w:lang w:val="en-US" w:eastAsia="zh-CN"/>
          <w:highlight w:val="auto"/>
        </w:rPr>
        <w:t>被评价项目主管单位县委宣传部未参与竣工终验验收。</w:t>
      </w:r>
    </w:p>
    <w:p>
      <w:pPr>
        <w:pStyle w:val="21"/>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ascii="Times New Roman" w:eastAsia="仿宋_GB2312" w:cs="Times New Roman" w:hAnsi="Times New Roman"/>
          <w:sz w:val="32"/>
          <w:szCs w:val="32"/>
          <w:lang w:val="en-US" w:eastAsia="zh-CN"/>
          <w:highlight w:val="auto"/>
        </w:rPr>
      </w:pPr>
      <w:r>
        <w:rPr>
          <w:rFonts w:ascii="Times New Roman" w:cs="Times New Roman" w:hAnsi="Times New Roman"/>
          <w:b/>
          <w:bCs w:val="0"/>
          <w:sz w:val="32"/>
          <w:szCs w:val="32"/>
          <w:lang w:val="en-US" w:eastAsia="zh-CN"/>
          <w:highlight w:val="auto"/>
        </w:rPr>
        <w:t>8.金川县文化旅游公共服务基础设施提升建设项目：</w:t>
      </w:r>
      <w:r>
        <w:rPr>
          <w:rFonts w:ascii="Times New Roman" w:cs="Times New Roman" w:hAnsi="Times New Roman"/>
          <w:b w:val="0"/>
          <w:bCs/>
          <w:sz w:val="32"/>
          <w:szCs w:val="32"/>
          <w:lang w:val="en-US" w:eastAsia="zh-CN"/>
          <w:highlight w:val="auto"/>
        </w:rPr>
        <w:t>一是合同付款事项的约定未考虑质保期预留质保金或履约保证金。根据县文旅局与四川冠全建筑工程有限公司签订的被评价项目《建设工程施工合同》第九条“工程预付款及竣工结算，合同签订后，甲方预付签约合同价的30%作为乙方购买材料资金；项目完成一半后，需缴纳合同总金额5%</w:t>
      </w:r>
      <w:r>
        <w:rPr>
          <w:rFonts w:ascii="Times New Roman" w:eastAsia="仿宋_GB2312" w:cs="Times New Roman" w:hAnsi="Times New Roman"/>
          <w:sz w:val="32"/>
          <w:szCs w:val="32"/>
          <w:lang w:val="en-US" w:eastAsia="zh-CN"/>
          <w:highlight w:val="auto"/>
        </w:rPr>
        <w:t>质保金至甲方指定账户，完成完工验收合格后，支付合同总金额的70%；工程竣工验收合格后，甲方一次性将履约保证金退还乙方</w:t>
      </w:r>
      <w:r>
        <w:rPr>
          <w:rFonts w:ascii="Times New Roman" w:cs="Times New Roman" w:hAnsi="Times New Roman"/>
          <w:sz w:val="32"/>
          <w:szCs w:val="32"/>
          <w:lang w:val="en-US" w:eastAsia="zh-CN"/>
          <w:highlight w:val="auto"/>
        </w:rPr>
        <w:t>。</w:t>
      </w:r>
      <w:r>
        <w:rPr>
          <w:rFonts w:ascii="Times New Roman" w:eastAsia="仿宋_GB2312" w:cs="Times New Roman" w:hAnsi="Times New Roman"/>
          <w:b/>
          <w:bCs/>
          <w:sz w:val="32"/>
          <w:szCs w:val="32"/>
          <w:lang w:val="en-US" w:eastAsia="zh-CN"/>
          <w:highlight w:val="auto"/>
        </w:rPr>
        <w:t>二是</w:t>
      </w:r>
      <w:r>
        <w:rPr>
          <w:rFonts w:ascii="Times New Roman" w:eastAsia="仿宋_GB2312" w:cs="Times New Roman" w:hAnsi="Times New Roman"/>
          <w:sz w:val="32"/>
          <w:szCs w:val="32"/>
          <w:lang w:val="en-US" w:eastAsia="zh-CN"/>
          <w:highlight w:val="auto"/>
        </w:rPr>
        <w:t>项目验收组成员均为建设单位文旅局职工，未能体现三方参与验收的流程。</w:t>
      </w:r>
      <w:r>
        <w:rPr>
          <w:rFonts w:ascii="Times New Roman" w:eastAsia="仿宋_GB2312" w:cs="Times New Roman" w:hAnsi="Times New Roman"/>
          <w:b/>
          <w:bCs/>
          <w:sz w:val="32"/>
          <w:szCs w:val="32"/>
          <w:lang w:val="en-US" w:eastAsia="zh-CN"/>
          <w:highlight w:val="auto"/>
        </w:rPr>
        <w:t>三是</w:t>
      </w:r>
      <w:r>
        <w:rPr>
          <w:rFonts w:ascii="Times New Roman" w:eastAsia="仿宋_GB2312" w:cs="Times New Roman" w:hAnsi="Times New Roman"/>
          <w:sz w:val="32"/>
          <w:szCs w:val="32"/>
          <w:lang w:val="en-US" w:eastAsia="zh-CN"/>
          <w:highlight w:val="auto"/>
        </w:rPr>
        <w:t>工程整改验收不符合逻辑。2022年7月29日，县文旅局组织对被评价项目进行了验收并提出了整改意见</w:t>
      </w:r>
      <w:r>
        <w:rPr>
          <w:rFonts w:ascii="Times New Roman" w:cs="Times New Roman" w:hAnsi="Times New Roman"/>
          <w:sz w:val="32"/>
          <w:szCs w:val="32"/>
          <w:lang w:val="en-US" w:eastAsia="zh-CN"/>
          <w:highlight w:val="auto"/>
        </w:rPr>
        <w:t>，</w:t>
      </w:r>
      <w:r>
        <w:rPr>
          <w:rFonts w:ascii="Times New Roman" w:eastAsia="仿宋_GB2312" w:cs="Times New Roman" w:hAnsi="Times New Roman"/>
          <w:sz w:val="32"/>
          <w:szCs w:val="32"/>
          <w:lang w:val="en-US" w:eastAsia="zh-CN"/>
          <w:highlight w:val="auto"/>
        </w:rPr>
        <w:t>当日施工单位进行了整改</w:t>
      </w:r>
      <w:r>
        <w:rPr>
          <w:rFonts w:ascii="Times New Roman" w:cs="Times New Roman" w:hAnsi="Times New Roman"/>
          <w:sz w:val="32"/>
          <w:szCs w:val="32"/>
          <w:lang w:val="en-US" w:eastAsia="zh-CN"/>
          <w:highlight w:val="auto"/>
        </w:rPr>
        <w:t>，</w:t>
      </w:r>
      <w:r>
        <w:rPr>
          <w:rFonts w:ascii="Times New Roman" w:eastAsia="仿宋_GB2312" w:cs="Times New Roman" w:hAnsi="Times New Roman"/>
          <w:sz w:val="32"/>
          <w:szCs w:val="32"/>
          <w:lang w:val="en-US" w:eastAsia="zh-CN"/>
          <w:highlight w:val="auto"/>
        </w:rPr>
        <w:t>当日县文旅局组织对被评价项目进行了整改验收</w:t>
      </w:r>
      <w:r>
        <w:rPr>
          <w:rFonts w:ascii="Times New Roman" w:cs="Times New Roman" w:hAnsi="Times New Roman"/>
          <w:sz w:val="32"/>
          <w:szCs w:val="32"/>
          <w:lang w:val="en-US" w:eastAsia="zh-CN"/>
          <w:highlight w:val="auto"/>
        </w:rPr>
        <w:t>。</w:t>
      </w:r>
      <w:r>
        <w:rPr>
          <w:rFonts w:ascii="Times New Roman" w:cs="Times New Roman" w:hAnsi="Times New Roman"/>
          <w:b/>
          <w:bCs/>
          <w:sz w:val="32"/>
          <w:szCs w:val="32"/>
          <w:lang w:val="en-US" w:eastAsia="zh-CN"/>
          <w:highlight w:val="auto"/>
        </w:rPr>
        <w:t>四是</w:t>
      </w:r>
      <w:r>
        <w:rPr>
          <w:rFonts w:ascii="Times New Roman" w:cs="Times New Roman" w:hAnsi="Times New Roman"/>
          <w:sz w:val="32"/>
          <w:szCs w:val="32"/>
          <w:lang w:val="en-US" w:eastAsia="zh-CN"/>
          <w:highlight w:val="auto"/>
        </w:rPr>
        <w:t>被评价项目结算表中，含大量课桌、课椅、休闲椅、茶杯等家具、用品等不是发改立项范围内的货物。</w:t>
      </w:r>
    </w:p>
    <w:p>
      <w:pPr>
        <w:pStyle w:val="21"/>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ascii="Times New Roman" w:cs="Times New Roman" w:hAnsi="Times New Roman"/>
          <w:b w:val="0"/>
          <w:bCs/>
          <w:sz w:val="32"/>
          <w:szCs w:val="32"/>
          <w:lang w:val="en-US" w:eastAsia="zh-CN"/>
          <w:highlight w:val="auto"/>
        </w:rPr>
      </w:pPr>
      <w:r>
        <w:rPr>
          <w:rFonts w:ascii="Times New Roman" w:cs="Times New Roman" w:hAnsi="Times New Roman"/>
          <w:b/>
          <w:bCs w:val="0"/>
          <w:sz w:val="32"/>
          <w:szCs w:val="32"/>
          <w:lang w:val="en-US" w:eastAsia="zh-CN"/>
          <w:highlight w:val="auto"/>
        </w:rPr>
        <w:t>9.勒乌村人畜饮水建设项目：一是</w:t>
      </w:r>
      <w:r>
        <w:rPr>
          <w:rFonts w:ascii="Times New Roman" w:cs="Times New Roman" w:hAnsi="Times New Roman"/>
          <w:b w:val="0"/>
          <w:bCs/>
          <w:sz w:val="32"/>
          <w:szCs w:val="32"/>
          <w:lang w:val="en-US" w:eastAsia="zh-CN"/>
          <w:highlight w:val="auto"/>
        </w:rPr>
        <w:t>设计单位未参与项目竣工验收工作。2022年11月23日，金川县水务局、施工单位、勒乌镇人民政府、村民委员会、村质量监督小组、群众代表共同对被评价项目组织了验收，设计单位中叙设计集团有限公司未参与项目竣工验收工作。</w:t>
      </w:r>
      <w:r>
        <w:rPr>
          <w:rFonts w:ascii="Times New Roman" w:cs="Times New Roman" w:hAnsi="Times New Roman"/>
          <w:b/>
          <w:bCs w:val="0"/>
          <w:sz w:val="32"/>
          <w:szCs w:val="32"/>
          <w:lang w:val="en-US" w:eastAsia="zh-CN"/>
          <w:highlight w:val="auto"/>
        </w:rPr>
        <w:t>二是</w:t>
      </w:r>
      <w:r>
        <w:rPr>
          <w:rFonts w:ascii="Times New Roman" w:cs="Times New Roman" w:hAnsi="Times New Roman"/>
          <w:b w:val="0"/>
          <w:bCs/>
          <w:sz w:val="32"/>
          <w:szCs w:val="32"/>
          <w:lang w:val="en-US" w:eastAsia="zh-CN"/>
          <w:highlight w:val="auto"/>
        </w:rPr>
        <w:t>项目资料前后逻辑不恰当。被评价项目《工程开工令》时间为2022年7月14日；《勒乌镇工程建设项目验收表》开工时间为2022年8月20日，完工时间为2022年11月12日；《县级验收意见书》开工时间为2022年9月16日，完工时间为2022年11月18日。</w:t>
      </w:r>
    </w:p>
    <w:p>
      <w:pPr>
        <w:pStyle w:val="21"/>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ascii="Times New Roman" w:cs="Times New Roman" w:hAnsi="Times New Roman"/>
          <w:b w:val="0"/>
          <w:bCs/>
          <w:sz w:val="32"/>
          <w:szCs w:val="32"/>
          <w:lang w:val="en-US" w:eastAsia="zh-CN"/>
          <w:highlight w:val="auto"/>
        </w:rPr>
      </w:pPr>
      <w:r>
        <w:rPr>
          <w:rFonts w:ascii="Times New Roman" w:cs="Times New Roman" w:hAnsi="Times New Roman"/>
          <w:b/>
          <w:bCs w:val="0"/>
          <w:sz w:val="32"/>
          <w:szCs w:val="32"/>
          <w:lang w:val="en-US" w:eastAsia="zh-CN"/>
          <w:highlight w:val="auto"/>
        </w:rPr>
        <w:t>10.2022年群专结合监测项目：一是</w:t>
      </w:r>
      <w:r>
        <w:rPr>
          <w:rFonts w:ascii="Times New Roman" w:cs="Times New Roman" w:hAnsi="Times New Roman"/>
          <w:b w:val="0"/>
          <w:bCs/>
          <w:sz w:val="32"/>
          <w:szCs w:val="32"/>
          <w:lang w:val="en-US" w:eastAsia="zh-CN"/>
          <w:highlight w:val="auto"/>
        </w:rPr>
        <w:t>在专家组论证结论出具前提交采购方式报告。2022年1月12日，县自然资源局向金川县人民政府填报《采购计划备案表》，请示以竞争性磋商方式对被评价项目进行采购，预算金额386.06万元。2022年1月14日，经专家组论证，被评价项目“建议采用竞争性磋商方式采购，综合评分法”。</w:t>
      </w:r>
      <w:r>
        <w:rPr>
          <w:rFonts w:ascii="Times New Roman" w:cs="Times New Roman" w:hAnsi="Times New Roman"/>
          <w:b/>
          <w:bCs w:val="0"/>
          <w:sz w:val="32"/>
          <w:szCs w:val="32"/>
          <w:lang w:val="en-US" w:eastAsia="zh-CN"/>
          <w:highlight w:val="auto"/>
        </w:rPr>
        <w:t>二是</w:t>
      </w:r>
      <w:r>
        <w:rPr>
          <w:rFonts w:ascii="Times New Roman" w:cs="Times New Roman" w:hAnsi="Times New Roman"/>
          <w:b w:val="0"/>
          <w:bCs/>
          <w:sz w:val="32"/>
          <w:szCs w:val="32"/>
          <w:lang w:val="en-US" w:eastAsia="zh-CN"/>
          <w:highlight w:val="auto"/>
        </w:rPr>
        <w:t>在合同签订之前已进行建设。被评价项目于2022年2月22日开工，县自然资源局与中冶成都勘察研究总院有限公司于2022年3月6日签订《金川县2022年地质灾害普适型监测预警项目合同文件》。</w:t>
      </w:r>
      <w:r>
        <w:rPr>
          <w:rFonts w:ascii="Times New Roman" w:cs="Times New Roman" w:hAnsi="Times New Roman"/>
          <w:b/>
          <w:bCs w:val="0"/>
          <w:sz w:val="32"/>
          <w:szCs w:val="32"/>
          <w:lang w:val="en-US" w:eastAsia="zh-CN"/>
          <w:highlight w:val="auto"/>
        </w:rPr>
        <w:t>三是</w:t>
      </w:r>
      <w:r>
        <w:rPr>
          <w:rFonts w:ascii="Times New Roman" w:cs="Times New Roman" w:hAnsi="Times New Roman"/>
          <w:b w:val="0"/>
          <w:bCs/>
          <w:sz w:val="32"/>
          <w:szCs w:val="32"/>
          <w:lang w:val="en-US" w:eastAsia="zh-CN"/>
          <w:highlight w:val="auto"/>
        </w:rPr>
        <w:t>根据被评价项目《四川省地质灾害专业监测项目竣工验收报告表(终验)》，“对金川县65处地灾隐患点共计225套设备安装工作”，项目资料中未见“开展地质灾害工程治理4处”、“地质灾害隐患点培训/演练覆盖率”、“核销地质灾害隐患数量4处”等的资料。</w:t>
      </w:r>
      <w:r>
        <w:rPr>
          <w:rFonts w:ascii="Times New Roman" w:cs="Times New Roman" w:hAnsi="Times New Roman"/>
          <w:b/>
          <w:bCs w:val="0"/>
          <w:sz w:val="32"/>
          <w:szCs w:val="32"/>
          <w:lang w:val="en-US" w:eastAsia="zh-CN"/>
          <w:highlight w:val="auto"/>
        </w:rPr>
        <w:t>四是</w:t>
      </w:r>
      <w:r>
        <w:rPr>
          <w:rFonts w:ascii="Times New Roman" w:cs="Times New Roman" w:hAnsi="Times New Roman"/>
          <w:b w:val="0"/>
          <w:bCs/>
          <w:sz w:val="32"/>
          <w:szCs w:val="32"/>
          <w:lang w:val="en-US" w:eastAsia="zh-CN"/>
          <w:highlight w:val="auto"/>
        </w:rPr>
        <w:t>被评价项目无相关巡视检查、监测资料、综合分析季报、年度总结报告等。</w:t>
      </w:r>
    </w:p>
    <w:p>
      <w:pPr>
        <w:pStyle w:val="21"/>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Chars="200" w:firstLine="632"/>
        <w:textAlignment w:val="auto"/>
        <w:rPr>
          <w:rFonts w:ascii="Times New Roman" w:cs="Times New Roman" w:hAnsi="Times New Roman"/>
          <w:b w:val="0"/>
          <w:bCs/>
          <w:sz w:val="32"/>
          <w:szCs w:val="32"/>
          <w:lang w:val="en-US" w:eastAsia="zh-CN"/>
          <w:highlight w:val="auto"/>
        </w:rPr>
      </w:pPr>
      <w:r>
        <w:rPr>
          <w:rFonts w:ascii="Times New Roman" w:cs="Times New Roman" w:hAnsi="Times New Roman"/>
          <w:b/>
          <w:bCs w:val="0"/>
          <w:sz w:val="32"/>
          <w:szCs w:val="32"/>
          <w:lang w:val="en-US" w:eastAsia="zh-CN"/>
          <w:highlight w:val="auto"/>
        </w:rPr>
        <w:t>11.金川县2022年度农村生活污水治理“千村示范”工程：一是</w:t>
      </w:r>
      <w:r>
        <w:rPr>
          <w:rFonts w:ascii="Times New Roman" w:cs="Times New Roman" w:hAnsi="Times New Roman"/>
          <w:b w:val="0"/>
          <w:bCs/>
          <w:sz w:val="32"/>
          <w:szCs w:val="32"/>
          <w:lang w:val="en-US" w:eastAsia="zh-CN"/>
          <w:highlight w:val="auto"/>
        </w:rPr>
        <w:t>招标控制价编制不规范。庆宁乡新沙村的项目招标控制价的编制仅有招标人盖了章，造价咨询人及其法定代表人、复核人均未盖章签字，存在招标控制价编制不规范的情况。</w:t>
      </w:r>
      <w:r>
        <w:rPr>
          <w:rFonts w:ascii="Times New Roman" w:cs="Times New Roman" w:hAnsi="Times New Roman"/>
          <w:b/>
          <w:bCs w:val="0"/>
          <w:sz w:val="32"/>
          <w:szCs w:val="32"/>
          <w:lang w:val="en-US" w:eastAsia="zh-CN"/>
          <w:highlight w:val="auto"/>
        </w:rPr>
        <w:t>二是</w:t>
      </w:r>
      <w:r>
        <w:rPr>
          <w:rFonts w:ascii="Times New Roman" w:cs="Times New Roman" w:hAnsi="Times New Roman"/>
          <w:b w:val="0"/>
          <w:bCs/>
          <w:sz w:val="32"/>
          <w:szCs w:val="32"/>
          <w:lang w:val="en-US" w:eastAsia="zh-CN"/>
          <w:highlight w:val="auto"/>
        </w:rPr>
        <w:t>部分子项目未完全按照立项批复中的建设内容实施，部分建设内容未完成。如沙耳乡山埂子村实施方案中建设内容为“建设8立方米人工湿地7座，安装管道1347米”，实际实施内容为“新建7m3人工湿地10座、配套排污管网1200米”。</w:t>
      </w:r>
    </w:p>
    <w:p>
      <w:pPr>
        <w:pStyle w:val="21"/>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ascii="Times New Roman" w:cs="Times New Roman" w:hAnsi="Times New Roman"/>
          <w:b w:val="0"/>
          <w:bCs/>
          <w:sz w:val="32"/>
          <w:szCs w:val="32"/>
          <w:lang w:val="en-US" w:eastAsia="zh-CN"/>
          <w:highlight w:val="auto"/>
        </w:rPr>
      </w:pPr>
      <w:r>
        <w:rPr>
          <w:rFonts w:ascii="Times New Roman" w:cs="Times New Roman" w:hAnsi="Times New Roman"/>
          <w:b/>
          <w:bCs w:val="0"/>
          <w:sz w:val="32"/>
          <w:szCs w:val="32"/>
          <w:lang w:val="en-US" w:eastAsia="zh-CN"/>
          <w:highlight w:val="auto"/>
        </w:rPr>
        <w:t>12.2022年中央财政林业草原生态保护恢复资金预算第一批（天保工程社会保险补助）：一是</w:t>
      </w:r>
      <w:r>
        <w:rPr>
          <w:rFonts w:ascii="Times New Roman" w:cs="Times New Roman" w:hAnsi="Times New Roman"/>
          <w:b w:val="0"/>
          <w:bCs/>
          <w:sz w:val="32"/>
          <w:szCs w:val="32"/>
          <w:lang w:val="en-US" w:eastAsia="zh-CN"/>
          <w:highlight w:val="auto"/>
        </w:rPr>
        <w:t>评价项目资金除用于社会保险补助外，还用于管护人员的职业年金补助。根据《金川县财政局关于下达2022年中央财政林业草原生态保护恢复资金预算(第一批)的通知》(金财资环〔2022〕11号)要求，被评价项目资金仅用于社会保险补助。</w:t>
      </w:r>
      <w:r>
        <w:rPr>
          <w:rFonts w:ascii="Times New Roman" w:cs="Times New Roman" w:hAnsi="Times New Roman"/>
          <w:b/>
          <w:bCs w:val="0"/>
          <w:sz w:val="32"/>
          <w:szCs w:val="32"/>
          <w:lang w:val="en-US" w:eastAsia="zh-CN"/>
          <w:highlight w:val="auto"/>
        </w:rPr>
        <w:t>二是</w:t>
      </w:r>
      <w:r>
        <w:rPr>
          <w:rFonts w:ascii="Times New Roman" w:cs="Times New Roman" w:hAnsi="Times New Roman"/>
          <w:b w:val="0"/>
          <w:bCs/>
          <w:sz w:val="32"/>
          <w:szCs w:val="32"/>
          <w:lang w:val="en-US" w:eastAsia="zh-CN"/>
          <w:highlight w:val="auto"/>
        </w:rPr>
        <w:t>县林草局与金川县国有林保护中心签订的《森林管护承包合同》中，签订依据为《中华人民共和国合同法》，签订依据已废止。</w:t>
      </w:r>
      <w:r>
        <w:rPr>
          <w:rFonts w:ascii="Times New Roman" w:cs="Times New Roman" w:hAnsi="Times New Roman"/>
          <w:b/>
          <w:bCs w:val="0"/>
          <w:sz w:val="32"/>
          <w:szCs w:val="32"/>
          <w:lang w:val="en-US" w:eastAsia="zh-CN"/>
          <w:highlight w:val="auto"/>
        </w:rPr>
        <w:t>三是</w:t>
      </w:r>
      <w:r>
        <w:rPr>
          <w:rFonts w:ascii="Times New Roman" w:cs="Times New Roman" w:hAnsi="Times New Roman"/>
          <w:b w:val="0"/>
          <w:bCs/>
          <w:sz w:val="32"/>
          <w:szCs w:val="32"/>
          <w:lang w:val="en-US" w:eastAsia="zh-CN"/>
          <w:highlight w:val="auto"/>
        </w:rPr>
        <w:t>金川县国有林保护中心与管护人员签订《金川县森林管护协议》约定的管护报酬类型与实际支付管护报酬类型不一致。</w:t>
      </w:r>
    </w:p>
    <w:p>
      <w:pPr>
        <w:pStyle w:val="21"/>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Chars="200" w:firstLine="632"/>
        <w:textAlignment w:val="auto"/>
        <w:rPr>
          <w:rFonts w:ascii="Times New Roman" w:cs="Times New Roman" w:hAnsi="Times New Roman"/>
          <w:b w:val="0"/>
          <w:bCs/>
          <w:sz w:val="32"/>
          <w:szCs w:val="32"/>
          <w:lang w:val="en-US" w:eastAsia="zh-CN"/>
          <w:highlight w:val="auto"/>
        </w:rPr>
      </w:pPr>
      <w:r>
        <w:rPr>
          <w:rFonts w:ascii="Times New Roman" w:cs="Times New Roman" w:hAnsi="Times New Roman"/>
          <w:b/>
          <w:bCs w:val="0"/>
          <w:sz w:val="32"/>
          <w:szCs w:val="32"/>
          <w:lang w:val="en-US" w:eastAsia="zh-CN"/>
          <w:highlight w:val="auto"/>
        </w:rPr>
        <w:t>13.金川县梨花红叶核心区绿化项目：一是</w:t>
      </w:r>
      <w:r>
        <w:rPr>
          <w:rFonts w:ascii="Times New Roman" w:cs="Times New Roman" w:hAnsi="Times New Roman"/>
          <w:b w:val="0"/>
          <w:bCs/>
          <w:sz w:val="32"/>
          <w:szCs w:val="32"/>
          <w:lang w:val="en-US" w:eastAsia="zh-CN"/>
          <w:highlight w:val="auto"/>
        </w:rPr>
        <w:t>监理单位开工令发出时间早于建设施工合同签订时间和监理合同签订时间。2022年3月3日，监理单位四川省绿江草业工程监理有限公司发出《工程开工令》；2022年3月8日，县林草局与四川宏佳绿化有限责任公司签订《金川县梨花红叶核心区绿化项目施工合同》，约定合同工期2022年3月8日至2025年3月7日；2022年3月14日，县林草局与四川省绿江草业工程监理有限公司签订《监理委托合同》。</w:t>
      </w:r>
      <w:r>
        <w:rPr>
          <w:rFonts w:ascii="Times New Roman" w:cs="Times New Roman" w:hAnsi="Times New Roman"/>
          <w:b/>
          <w:bCs w:val="0"/>
          <w:sz w:val="32"/>
          <w:szCs w:val="32"/>
          <w:lang w:val="en-US" w:eastAsia="zh-CN"/>
          <w:highlight w:val="auto"/>
        </w:rPr>
        <w:t>二是</w:t>
      </w:r>
      <w:r>
        <w:rPr>
          <w:rFonts w:ascii="Times New Roman" w:cs="Times New Roman" w:hAnsi="Times New Roman"/>
          <w:b w:val="0"/>
          <w:bCs/>
          <w:sz w:val="32"/>
          <w:szCs w:val="32"/>
          <w:lang w:val="en-US" w:eastAsia="zh-CN"/>
          <w:highlight w:val="auto"/>
        </w:rPr>
        <w:t>委托招标代理机构签订合同时间早于政府采购备案时间。</w:t>
      </w:r>
    </w:p>
    <w:p>
      <w:pPr>
        <w:pStyle w:val="21"/>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ascii="Times New Roman" w:cs="Times New Roman" w:hAnsi="Times New Roman"/>
          <w:b w:val="0"/>
          <w:bCs/>
          <w:sz w:val="32"/>
          <w:szCs w:val="32"/>
          <w:lang w:val="en-US" w:eastAsia="zh-CN"/>
          <w:highlight w:val="auto"/>
        </w:rPr>
      </w:pPr>
      <w:r>
        <w:rPr>
          <w:rFonts w:ascii="Times New Roman" w:cs="Times New Roman" w:hAnsi="Times New Roman"/>
          <w:b/>
          <w:bCs w:val="0"/>
          <w:sz w:val="32"/>
          <w:szCs w:val="32"/>
          <w:lang w:val="en-US" w:eastAsia="zh-CN"/>
          <w:highlight w:val="auto"/>
        </w:rPr>
        <w:t>14.2022年农村综合改革转移支付（2022年第三批涉农整合阿科里铁基钢架桥项目）:一是</w:t>
      </w:r>
      <w:r>
        <w:rPr>
          <w:rFonts w:ascii="Times New Roman" w:cs="Times New Roman" w:hAnsi="Times New Roman"/>
          <w:b w:val="0"/>
          <w:bCs/>
          <w:sz w:val="32"/>
          <w:szCs w:val="32"/>
          <w:lang w:val="en-US" w:eastAsia="zh-CN"/>
          <w:highlight w:val="auto"/>
        </w:rPr>
        <w:t>在财评前发布了竞争性公告。</w:t>
      </w:r>
      <w:r>
        <w:rPr>
          <w:rFonts w:ascii="Times New Roman" w:cs="Times New Roman" w:hAnsi="Times New Roman"/>
          <w:b/>
          <w:bCs w:val="0"/>
          <w:sz w:val="32"/>
          <w:szCs w:val="32"/>
          <w:lang w:val="en-US" w:eastAsia="zh-CN"/>
          <w:highlight w:val="auto"/>
        </w:rPr>
        <w:t>二是</w:t>
      </w:r>
      <w:r>
        <w:rPr>
          <w:rFonts w:ascii="Times New Roman" w:cs="Times New Roman" w:hAnsi="Times New Roman"/>
          <w:b w:val="0"/>
          <w:bCs/>
          <w:sz w:val="32"/>
          <w:szCs w:val="32"/>
          <w:lang w:val="en-US" w:eastAsia="zh-CN"/>
          <w:highlight w:val="auto"/>
        </w:rPr>
        <w:t>项目资料中未见监理单位相关工程监理日志，未见监理单位出具开工令。</w:t>
      </w:r>
      <w:r>
        <w:rPr>
          <w:rFonts w:ascii="Times New Roman" w:cs="Times New Roman" w:hAnsi="Times New Roman"/>
          <w:b/>
          <w:bCs w:val="0"/>
          <w:sz w:val="32"/>
          <w:szCs w:val="32"/>
          <w:lang w:val="en-US" w:eastAsia="zh-CN"/>
          <w:highlight w:val="auto"/>
        </w:rPr>
        <w:t>三是</w:t>
      </w:r>
      <w:r>
        <w:rPr>
          <w:rFonts w:ascii="Times New Roman" w:cs="Times New Roman" w:hAnsi="Times New Roman"/>
          <w:b w:val="0"/>
          <w:bCs/>
          <w:sz w:val="32"/>
          <w:szCs w:val="32"/>
          <w:lang w:val="en-US" w:eastAsia="zh-CN"/>
          <w:highlight w:val="auto"/>
        </w:rPr>
        <w:t>验收的项目实施内容中钢架桥长度与项目发改立项批复方案、资金下达建设内容长度均不一致。</w:t>
      </w:r>
    </w:p>
    <w:p>
      <w:pPr>
        <w:pStyle w:val="21"/>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ascii="Times New Roman" w:cs="Times New Roman" w:hAnsi="Times New Roman"/>
          <w:b w:val="0"/>
          <w:bCs/>
          <w:sz w:val="32"/>
          <w:szCs w:val="32"/>
          <w:lang w:val="en-US" w:eastAsia="zh-CN"/>
          <w:highlight w:val="auto"/>
        </w:rPr>
      </w:pPr>
      <w:r>
        <w:rPr>
          <w:rFonts w:ascii="Times New Roman" w:cs="Times New Roman" w:hAnsi="Times New Roman"/>
          <w:b/>
          <w:bCs w:val="0"/>
          <w:sz w:val="32"/>
          <w:szCs w:val="32"/>
          <w:lang w:val="en-US" w:eastAsia="zh-CN"/>
          <w:highlight w:val="auto"/>
        </w:rPr>
        <w:t>15.2022年农村综合改革转移支付（金川县阿科里乡至太阳河乡公路维修改造项目）</w:t>
      </w:r>
      <w:r>
        <w:rPr>
          <w:rFonts w:ascii="Times New Roman" w:cs="Times New Roman" w:hAnsi="Times New Roman"/>
          <w:b w:val="0"/>
          <w:bCs/>
          <w:sz w:val="32"/>
          <w:szCs w:val="32"/>
          <w:lang w:val="en-US" w:eastAsia="zh-CN"/>
          <w:highlight w:val="auto"/>
        </w:rPr>
        <w:t>：</w:t>
      </w:r>
      <w:r>
        <w:rPr>
          <w:rFonts w:ascii="Times New Roman" w:cs="Times New Roman" w:hAnsi="Times New Roman"/>
          <w:b/>
          <w:bCs w:val="0"/>
          <w:sz w:val="32"/>
          <w:szCs w:val="32"/>
          <w:lang w:val="en-US" w:eastAsia="zh-CN"/>
          <w:highlight w:val="auto"/>
        </w:rPr>
        <w:t>一是</w:t>
      </w:r>
      <w:r>
        <w:rPr>
          <w:rFonts w:ascii="Times New Roman" w:cs="Times New Roman" w:hAnsi="Times New Roman"/>
          <w:b w:val="0"/>
          <w:bCs/>
          <w:sz w:val="32"/>
          <w:szCs w:val="32"/>
          <w:lang w:val="en-US" w:eastAsia="zh-CN"/>
          <w:highlight w:val="auto"/>
        </w:rPr>
        <w:t>县交通局与四川同创建设工程管理有限公司签订了《建设工程监理合同》，监理合同中未填写合同签订的具体时间，也未填写监理期限。</w:t>
      </w:r>
      <w:r>
        <w:rPr>
          <w:rFonts w:ascii="Times New Roman" w:cs="Times New Roman" w:hAnsi="Times New Roman"/>
          <w:b/>
          <w:bCs w:val="0"/>
          <w:sz w:val="32"/>
          <w:szCs w:val="32"/>
          <w:lang w:val="en-US" w:eastAsia="zh-CN"/>
          <w:highlight w:val="auto"/>
        </w:rPr>
        <w:t>二是</w:t>
      </w:r>
      <w:r>
        <w:rPr>
          <w:rFonts w:ascii="Times New Roman" w:cs="Times New Roman" w:hAnsi="Times New Roman"/>
          <w:b w:val="0"/>
          <w:bCs/>
          <w:sz w:val="32"/>
          <w:szCs w:val="32"/>
          <w:lang w:val="en-US" w:eastAsia="zh-CN"/>
          <w:highlight w:val="auto"/>
        </w:rPr>
        <w:t>经实地勘查，该项目施工过程中验收把关不严，部分挡墙保护不到位，啃边掉缺，并存在一些蜂窝麻面。</w:t>
      </w:r>
    </w:p>
    <w:p>
      <w:pPr>
        <w:pStyle w:val="21"/>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ascii="Times New Roman" w:cs="Times New Roman" w:hAnsi="Times New Roman"/>
          <w:b w:val="0"/>
          <w:bCs/>
          <w:sz w:val="32"/>
          <w:szCs w:val="32"/>
          <w:lang w:val="en-US" w:eastAsia="zh-CN"/>
          <w:highlight w:val="auto"/>
        </w:rPr>
      </w:pPr>
      <w:r>
        <w:rPr>
          <w:rFonts w:ascii="Times New Roman" w:cs="Times New Roman" w:hAnsi="Times New Roman"/>
          <w:b/>
          <w:bCs w:val="0"/>
          <w:sz w:val="32"/>
          <w:szCs w:val="32"/>
          <w:lang w:val="en-US" w:eastAsia="zh-CN"/>
          <w:highlight w:val="auto"/>
        </w:rPr>
        <w:t>16.2022年农村综合改革转移支付预算（观音镇观音村，二嘎里乡二嘎里村、卡撒乡巴拉塘村）</w:t>
      </w:r>
      <w:r>
        <w:rPr>
          <w:rFonts w:ascii="Times New Roman" w:cs="Times New Roman" w:hAnsi="Times New Roman"/>
          <w:b w:val="0"/>
          <w:bCs/>
          <w:sz w:val="32"/>
          <w:szCs w:val="32"/>
          <w:lang w:val="en-US" w:eastAsia="zh-CN"/>
          <w:highlight w:val="auto"/>
        </w:rPr>
        <w:t>：</w:t>
      </w:r>
      <w:r>
        <w:rPr>
          <w:rFonts w:ascii="Times New Roman" w:cs="Times New Roman" w:hAnsi="Times New Roman"/>
          <w:b/>
          <w:bCs w:val="0"/>
          <w:sz w:val="32"/>
          <w:szCs w:val="32"/>
          <w:lang w:val="en-US" w:eastAsia="zh-CN"/>
          <w:highlight w:val="auto"/>
        </w:rPr>
        <w:t>一是</w:t>
      </w:r>
      <w:r>
        <w:rPr>
          <w:rFonts w:ascii="Times New Roman" w:cs="Times New Roman" w:hAnsi="Times New Roman"/>
          <w:b w:val="0"/>
          <w:bCs/>
          <w:sz w:val="32"/>
          <w:szCs w:val="32"/>
          <w:lang w:val="en-US" w:eastAsia="zh-CN"/>
          <w:highlight w:val="auto"/>
        </w:rPr>
        <w:t>金川县卡撒乡扶持壮大集体经济项目招标文件部分内容编制不符合相关规定，违规要求施工单位垫资建设。</w:t>
      </w:r>
      <w:r>
        <w:rPr>
          <w:rFonts w:ascii="Times New Roman" w:cs="Times New Roman" w:hAnsi="Times New Roman"/>
          <w:b/>
          <w:bCs w:val="0"/>
          <w:sz w:val="32"/>
          <w:szCs w:val="32"/>
          <w:lang w:val="en-US" w:eastAsia="zh-CN"/>
          <w:highlight w:val="auto"/>
        </w:rPr>
        <w:t>二是</w:t>
      </w:r>
      <w:r>
        <w:rPr>
          <w:rFonts w:ascii="Times New Roman" w:cs="Times New Roman" w:hAnsi="Times New Roman"/>
          <w:b w:val="0"/>
          <w:bCs/>
          <w:sz w:val="32"/>
          <w:szCs w:val="32"/>
          <w:lang w:val="en-US" w:eastAsia="zh-CN"/>
          <w:highlight w:val="auto"/>
        </w:rPr>
        <w:t>建设内容变更未重新报金川县发展改革和经济商务信息化局审批。</w:t>
      </w:r>
      <w:r>
        <w:rPr>
          <w:rFonts w:ascii="Times New Roman" w:cs="Times New Roman" w:hAnsi="Times New Roman"/>
          <w:b/>
          <w:bCs w:val="0"/>
          <w:sz w:val="32"/>
          <w:szCs w:val="32"/>
          <w:lang w:val="en-US" w:eastAsia="zh-CN"/>
          <w:highlight w:val="auto"/>
        </w:rPr>
        <w:t>三是</w:t>
      </w:r>
      <w:r>
        <w:rPr>
          <w:rFonts w:ascii="Times New Roman" w:cs="Times New Roman" w:hAnsi="Times New Roman"/>
          <w:b w:val="0"/>
          <w:bCs/>
          <w:sz w:val="32"/>
          <w:szCs w:val="32"/>
          <w:lang w:val="en-US" w:eastAsia="zh-CN"/>
          <w:highlight w:val="auto"/>
        </w:rPr>
        <w:t>建设内容与申报不一致。金川县观音桥镇观音村旅游基础设施提升及产业发展项目工程内容中：美化停车场地面500平方米、装修销售展厅150平方米，实际完成内容未达到合同约定平方米数。</w:t>
      </w:r>
    </w:p>
    <w:p>
      <w:pPr>
        <w:pStyle w:val="21"/>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ascii="Times New Roman" w:cs="Times New Roman" w:hAnsi="Times New Roman"/>
          <w:b w:val="0"/>
          <w:bCs/>
          <w:sz w:val="32"/>
          <w:szCs w:val="32"/>
          <w:lang w:val="en-US" w:eastAsia="zh-CN"/>
          <w:highlight w:val="auto"/>
        </w:rPr>
      </w:pPr>
      <w:r>
        <w:rPr>
          <w:rFonts w:ascii="Times New Roman" w:cs="Times New Roman" w:hAnsi="Times New Roman"/>
          <w:b/>
          <w:bCs w:val="0"/>
          <w:sz w:val="32"/>
          <w:szCs w:val="32"/>
          <w:lang w:val="en-US" w:eastAsia="zh-CN"/>
          <w:highlight w:val="auto"/>
        </w:rPr>
        <w:t>17.2022年省级财政乡村振兴共同财政事权转移支付资金（马奈镇八角塘村乡村振兴示范村）</w:t>
      </w:r>
      <w:r>
        <w:rPr>
          <w:rFonts w:ascii="Times New Roman" w:cs="Times New Roman" w:hAnsi="Times New Roman"/>
          <w:b w:val="0"/>
          <w:bCs/>
          <w:sz w:val="32"/>
          <w:szCs w:val="32"/>
          <w:lang w:val="en-US" w:eastAsia="zh-CN"/>
          <w:highlight w:val="auto"/>
        </w:rPr>
        <w:t>：项目验收表中建设内容与发改立项、实施方案不一致。根据《金川县财政资金验收表(县级)》，项目验收内容“C25路4060m2，挡墙239m2”；根据《关于金川县马奈镇八角塘村省级财政乡村振兴转移支付资金项目实施方案的批复》(金发改经信行审〔2022〕265号)文件，项目建设内容和规模为“新建挡墙300立方米，长1200米，宽2-3米，厚度18公分，路面3300平方米”；根据《金川县马奈镇八角塘村省级财政乡村振兴转移支付资金项目实施方案》，建设内容为“修建产业便道长1500米、宽2.3米-2.5米、厚度0.18米(包含路基浆砌堡坎360立方米、部分路段填方降坡度)。</w:t>
      </w:r>
    </w:p>
    <w:p>
      <w:pPr>
        <w:pStyle w:val="21"/>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ascii="Times New Roman" w:cs="Times New Roman" w:hAnsi="Times New Roman"/>
          <w:b w:val="0"/>
          <w:bCs/>
          <w:sz w:val="32"/>
          <w:szCs w:val="32"/>
          <w:lang w:val="en-US" w:eastAsia="zh-CN"/>
          <w:highlight w:val="auto"/>
        </w:rPr>
      </w:pPr>
      <w:r>
        <w:rPr>
          <w:rFonts w:ascii="Times New Roman" w:cs="Times New Roman" w:hAnsi="Times New Roman"/>
          <w:b/>
          <w:bCs w:val="0"/>
          <w:sz w:val="32"/>
          <w:szCs w:val="32"/>
          <w:lang w:val="en-US" w:eastAsia="zh-CN"/>
          <w:highlight w:val="auto"/>
        </w:rPr>
        <w:t>18.2022年中央财政农业生产发展资金</w:t>
      </w:r>
      <w:r>
        <w:rPr>
          <w:rFonts w:ascii="Times New Roman" w:cs="Times New Roman" w:hAnsi="Times New Roman"/>
          <w:b w:val="0"/>
          <w:bCs/>
          <w:sz w:val="32"/>
          <w:szCs w:val="32"/>
          <w:lang w:val="en-US" w:eastAsia="zh-CN"/>
          <w:highlight w:val="auto"/>
        </w:rPr>
        <w:t>：</w:t>
      </w:r>
      <w:r>
        <w:rPr>
          <w:rFonts w:ascii="Times New Roman" w:cs="Times New Roman" w:hAnsi="Times New Roman"/>
          <w:b/>
          <w:bCs w:val="0"/>
          <w:sz w:val="32"/>
          <w:szCs w:val="32"/>
          <w:lang w:val="en-US" w:eastAsia="zh-CN"/>
          <w:highlight w:val="auto"/>
        </w:rPr>
        <w:t>一是</w:t>
      </w:r>
      <w:r>
        <w:rPr>
          <w:rFonts w:ascii="Times New Roman" w:cs="Times New Roman" w:hAnsi="Times New Roman"/>
          <w:b w:val="0"/>
          <w:bCs/>
          <w:sz w:val="32"/>
          <w:szCs w:val="32"/>
          <w:lang w:val="en-US" w:eastAsia="zh-CN"/>
          <w:highlight w:val="auto"/>
        </w:rPr>
        <w:t>被评价项目部分合作社(金川金实农业作业合作社、金川县沙尔乡洪才生猪养殖专业合作社、金川县海拔四千牲畜养殖合作社)编制的实施方案未经当地村民委员会或政府批复同意。</w:t>
      </w:r>
      <w:r>
        <w:rPr>
          <w:rFonts w:ascii="Times New Roman" w:cs="Times New Roman" w:hAnsi="Times New Roman"/>
          <w:b/>
          <w:bCs w:val="0"/>
          <w:sz w:val="32"/>
          <w:szCs w:val="32"/>
          <w:lang w:val="en-US" w:eastAsia="zh-CN"/>
          <w:highlight w:val="auto"/>
        </w:rPr>
        <w:t>二是</w:t>
      </w:r>
      <w:r>
        <w:rPr>
          <w:rFonts w:ascii="Times New Roman" w:cs="Times New Roman" w:hAnsi="Times New Roman"/>
          <w:b w:val="0"/>
          <w:bCs/>
          <w:sz w:val="32"/>
          <w:szCs w:val="32"/>
          <w:lang w:val="en-US" w:eastAsia="zh-CN"/>
          <w:highlight w:val="auto"/>
        </w:rPr>
        <w:t>部分项目采购程序倒置，各实施单位采购的同一货物中，部分实施单位未进行询价，采取直接采购方式，导致各实施单位中采购的同一货物单价相差较大。</w:t>
      </w:r>
      <w:r>
        <w:rPr>
          <w:rFonts w:ascii="Times New Roman" w:cs="Times New Roman" w:hAnsi="Times New Roman"/>
          <w:b/>
          <w:bCs w:val="0"/>
          <w:sz w:val="32"/>
          <w:szCs w:val="32"/>
          <w:lang w:val="en-US" w:eastAsia="zh-CN"/>
          <w:highlight w:val="auto"/>
        </w:rPr>
        <w:t>三是</w:t>
      </w:r>
      <w:r>
        <w:rPr>
          <w:rFonts w:ascii="Times New Roman" w:cs="Times New Roman" w:hAnsi="Times New Roman"/>
          <w:b w:val="0"/>
          <w:bCs/>
          <w:sz w:val="32"/>
          <w:szCs w:val="32"/>
          <w:lang w:val="en-US" w:eastAsia="zh-CN"/>
          <w:highlight w:val="auto"/>
        </w:rPr>
        <w:t>至绩效评价目补贴牦牛种畜125头尚未实施，与绩效目标不符。</w:t>
      </w:r>
      <w:r>
        <w:rPr>
          <w:rFonts w:ascii="Times New Roman" w:cs="Times New Roman" w:hAnsi="Times New Roman"/>
          <w:b/>
          <w:bCs w:val="0"/>
          <w:sz w:val="32"/>
          <w:szCs w:val="32"/>
          <w:lang w:val="en-US" w:eastAsia="zh-CN"/>
          <w:highlight w:val="auto"/>
        </w:rPr>
        <w:t>四是</w:t>
      </w:r>
      <w:r>
        <w:rPr>
          <w:rFonts w:ascii="Times New Roman" w:cs="Times New Roman" w:hAnsi="Times New Roman"/>
          <w:b w:val="0"/>
          <w:bCs/>
          <w:sz w:val="32"/>
          <w:szCs w:val="32"/>
          <w:lang w:val="en-US" w:eastAsia="zh-CN"/>
          <w:highlight w:val="auto"/>
        </w:rPr>
        <w:t>被评价项目部分子项目内容实施的成长性一般，如培育高素质农民项目，培训的对象中老龄化现象严重，组织培训难度大，学员整体文化程度不高、接受知识能力有限；科技示范主体培育辐射带动作用还不强，有的示范户经过培训后，不能及时的将学到的知识传授给其他农户等。</w:t>
      </w:r>
    </w:p>
    <w:p>
      <w:pPr>
        <w:pStyle w:val="21"/>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ascii="Times New Roman" w:cs="Times New Roman" w:hAnsi="Times New Roman"/>
          <w:b w:val="0"/>
          <w:bCs/>
          <w:sz w:val="32"/>
          <w:szCs w:val="32"/>
          <w:lang w:val="en-US" w:eastAsia="zh-CN"/>
          <w:highlight w:val="auto"/>
        </w:rPr>
      </w:pPr>
      <w:r>
        <w:rPr>
          <w:rFonts w:ascii="Times New Roman" w:cs="Times New Roman" w:hAnsi="Times New Roman"/>
          <w:b/>
          <w:bCs w:val="0"/>
          <w:sz w:val="32"/>
          <w:szCs w:val="32"/>
          <w:lang w:val="en-US" w:eastAsia="zh-CN"/>
          <w:highlight w:val="auto"/>
        </w:rPr>
        <w:t>19.2022年中央财政农业生产和水利救灾资金（水利救灾资金）：一是</w:t>
      </w:r>
      <w:r>
        <w:rPr>
          <w:rFonts w:ascii="Times New Roman" w:cs="Times New Roman" w:hAnsi="Times New Roman"/>
          <w:b w:val="0"/>
          <w:bCs/>
          <w:sz w:val="32"/>
          <w:szCs w:val="32"/>
          <w:lang w:val="en-US" w:eastAsia="zh-CN"/>
          <w:highlight w:val="auto"/>
        </w:rPr>
        <w:t>请示滞后，物资发放提前。2022年9月8日，金川县马奈镇收到县水务局下发物资。《金川县马奈镇人民政府&lt;关于解决马奈镇抗旱管道的请示&gt;》(金马府〔2022〕111号)时间为</w:t>
      </w:r>
      <w:r>
        <w:rPr>
          <w:rFonts w:ascii="Times New Roman" w:eastAsia="仿宋" w:cs="Times New Roman" w:hAnsi="Times New Roman"/>
          <w:sz w:val="28"/>
          <w:szCs w:val="28"/>
          <w:lang w:val="en-US" w:eastAsia="zh-CN"/>
          <w:highlight w:val="auto"/>
        </w:rPr>
        <w:t>2022年11月16日</w:t>
      </w:r>
      <w:r>
        <w:rPr>
          <w:rFonts w:ascii="Times New Roman" w:cs="Times New Roman" w:hAnsi="Times New Roman"/>
          <w:b w:val="0"/>
          <w:bCs/>
          <w:sz w:val="32"/>
          <w:szCs w:val="32"/>
          <w:lang w:val="en-US" w:eastAsia="zh-CN"/>
          <w:highlight w:val="auto"/>
        </w:rPr>
        <w:t>；</w:t>
      </w:r>
      <w:r>
        <w:rPr>
          <w:rFonts w:ascii="Times New Roman" w:cs="Times New Roman" w:hAnsi="Times New Roman"/>
          <w:b/>
          <w:bCs w:val="0"/>
          <w:sz w:val="32"/>
          <w:szCs w:val="32"/>
          <w:lang w:val="en-US" w:eastAsia="zh-CN"/>
          <w:highlight w:val="auto"/>
        </w:rPr>
        <w:t xml:space="preserve"> 二是</w:t>
      </w:r>
      <w:r>
        <w:rPr>
          <w:rFonts w:ascii="Times New Roman" w:cs="Times New Roman" w:hAnsi="Times New Roman"/>
          <w:b w:val="0"/>
          <w:bCs/>
          <w:sz w:val="32"/>
          <w:szCs w:val="32"/>
          <w:lang w:val="en-US" w:eastAsia="zh-CN"/>
          <w:highlight w:val="auto"/>
        </w:rPr>
        <w:t>项目验收不规范。2022年11月15日，金川县阿科里乡定居点集中供水建设项目，验收结论处均未加盖单位公章；</w:t>
      </w:r>
      <w:r>
        <w:rPr>
          <w:rFonts w:ascii="Times New Roman" w:cs="Times New Roman" w:hAnsi="Times New Roman"/>
          <w:b/>
          <w:bCs w:val="0"/>
          <w:sz w:val="32"/>
          <w:szCs w:val="32"/>
          <w:lang w:val="en-US" w:eastAsia="zh-CN"/>
          <w:highlight w:val="auto"/>
        </w:rPr>
        <w:t>三是</w:t>
      </w:r>
      <w:r>
        <w:rPr>
          <w:rFonts w:ascii="Times New Roman" w:cs="Times New Roman" w:hAnsi="Times New Roman"/>
          <w:b w:val="0"/>
          <w:bCs/>
          <w:sz w:val="32"/>
          <w:szCs w:val="32"/>
          <w:lang w:val="en-US" w:eastAsia="zh-CN"/>
          <w:highlight w:val="auto"/>
        </w:rPr>
        <w:t>合同要素不齐全。金川县勒乌镇人民政府与四川金锐安建设工程有限公司签订的《勒乌镇老街路泉水凼2022年农田灌溉应急救灾工程合同》未见具体的签订日期；</w:t>
      </w:r>
      <w:r>
        <w:rPr>
          <w:rFonts w:ascii="Times New Roman" w:cs="Times New Roman" w:hAnsi="Times New Roman"/>
          <w:b/>
          <w:bCs w:val="0"/>
          <w:sz w:val="32"/>
          <w:szCs w:val="32"/>
          <w:lang w:val="en-US" w:eastAsia="zh-CN"/>
          <w:highlight w:val="auto"/>
        </w:rPr>
        <w:t>四是</w:t>
      </w:r>
      <w:r>
        <w:rPr>
          <w:rFonts w:ascii="Times New Roman" w:cs="Times New Roman" w:hAnsi="Times New Roman"/>
          <w:b w:val="0"/>
          <w:bCs/>
          <w:sz w:val="32"/>
          <w:szCs w:val="32"/>
          <w:lang w:val="en-US" w:eastAsia="zh-CN"/>
          <w:highlight w:val="auto"/>
        </w:rPr>
        <w:t>未按时实施项目。《金川县2022年水利救灾资金分配统计表》，要求金川县2022年抗旱设施设备项目(78.00万元)，启动时间2022年10月15日，计划完成时间2022年11月30日；实际该子项目于2023年1月3日签订《金川县2022年抗旱救灾应急物资采购项目政府采购合同文件》，实施时间晚于文件要求。</w:t>
      </w:r>
    </w:p>
    <w:p>
      <w:pPr>
        <w:pStyle w:val="21"/>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ascii="Times New Roman" w:cs="Times New Roman" w:hAnsi="Times New Roman"/>
          <w:b w:val="0"/>
          <w:bCs/>
          <w:sz w:val="32"/>
          <w:szCs w:val="32"/>
          <w:lang w:val="en-US" w:eastAsia="zh-CN"/>
          <w:highlight w:val="auto"/>
        </w:rPr>
      </w:pPr>
      <w:r>
        <w:rPr>
          <w:rFonts w:ascii="Times New Roman" w:cs="Times New Roman" w:hAnsi="Times New Roman"/>
          <w:b/>
          <w:bCs w:val="0"/>
          <w:sz w:val="32"/>
          <w:szCs w:val="32"/>
          <w:lang w:val="en-US" w:eastAsia="zh-CN"/>
          <w:highlight w:val="auto"/>
        </w:rPr>
        <w:t>20.2022年中央和省级水利发展资金：一是</w:t>
      </w:r>
      <w:r>
        <w:rPr>
          <w:rFonts w:ascii="Times New Roman" w:cs="Times New Roman" w:hAnsi="Times New Roman"/>
          <w:b w:val="0"/>
          <w:bCs/>
          <w:sz w:val="32"/>
          <w:szCs w:val="32"/>
          <w:lang w:val="en-US" w:eastAsia="zh-CN"/>
          <w:highlight w:val="auto"/>
        </w:rPr>
        <w:t>金川县卡撒沟卡撒乡脚姆塘段防洪治理工程验收不及时，监理与设计单位未按照批复的采购方式确定；</w:t>
      </w:r>
      <w:r>
        <w:rPr>
          <w:rFonts w:ascii="Times New Roman" w:cs="Times New Roman" w:hAnsi="Times New Roman"/>
          <w:b/>
          <w:bCs w:val="0"/>
          <w:sz w:val="32"/>
          <w:szCs w:val="32"/>
          <w:lang w:val="en-US" w:eastAsia="zh-CN"/>
          <w:highlight w:val="auto"/>
        </w:rPr>
        <w:t>二是</w:t>
      </w:r>
      <w:r>
        <w:rPr>
          <w:rFonts w:ascii="Times New Roman" w:cs="Times New Roman" w:hAnsi="Times New Roman"/>
          <w:b w:val="0"/>
          <w:bCs/>
          <w:sz w:val="32"/>
          <w:szCs w:val="32"/>
          <w:lang w:val="en-US" w:eastAsia="zh-CN"/>
          <w:highlight w:val="auto"/>
        </w:rPr>
        <w:t>2022年山洪灾害非工程措施防治信息化维护服务项目资料保管不完善</w:t>
      </w:r>
      <w:r>
        <w:rPr>
          <w:rFonts w:ascii="Times New Roman" w:cs="Times New Roman" w:hAnsi="Times New Roman"/>
          <w:b/>
          <w:bCs w:val="0"/>
          <w:sz w:val="32"/>
          <w:szCs w:val="32"/>
          <w:lang w:val="en-US" w:eastAsia="zh-CN"/>
          <w:highlight w:val="auto"/>
        </w:rPr>
        <w:t>；三是</w:t>
      </w:r>
      <w:r>
        <w:rPr>
          <w:rFonts w:ascii="Times New Roman" w:cs="Times New Roman" w:hAnsi="Times New Roman"/>
          <w:b w:val="0"/>
          <w:bCs/>
          <w:sz w:val="32"/>
          <w:szCs w:val="32"/>
          <w:lang w:val="en-US" w:eastAsia="zh-CN"/>
          <w:highlight w:val="auto"/>
        </w:rPr>
        <w:t>金川县2022年农村饮水安全维修养护项目,确定设计公司程序倒置，实际开工时间早于合同签订时间；</w:t>
      </w:r>
    </w:p>
    <w:p>
      <w:pPr>
        <w:pStyle w:val="21"/>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ascii="Times New Roman" w:cs="Times New Roman" w:hAnsi="Times New Roman"/>
          <w:b w:val="0"/>
          <w:bCs/>
          <w:sz w:val="32"/>
          <w:szCs w:val="32"/>
          <w:lang w:val="en-US" w:eastAsia="zh-CN"/>
          <w:highlight w:val="auto"/>
        </w:rPr>
      </w:pPr>
      <w:r>
        <w:rPr>
          <w:rFonts w:ascii="Times New Roman" w:cs="Times New Roman" w:hAnsi="Times New Roman"/>
          <w:b/>
          <w:bCs w:val="0"/>
          <w:sz w:val="32"/>
          <w:szCs w:val="32"/>
          <w:lang w:val="en-US" w:eastAsia="zh-CN"/>
          <w:highlight w:val="auto"/>
        </w:rPr>
        <w:t>21.2022年农资储备和价格补贴专项经费：一是</w:t>
      </w:r>
      <w:r>
        <w:rPr>
          <w:rFonts w:ascii="Times New Roman" w:cs="Times New Roman" w:hAnsi="Times New Roman"/>
          <w:b w:val="0"/>
          <w:bCs/>
          <w:sz w:val="32"/>
          <w:szCs w:val="32"/>
          <w:lang w:val="en-US" w:eastAsia="zh-CN"/>
          <w:highlight w:val="auto"/>
        </w:rPr>
        <w:t>县供销社下属网点之一的金川县措娜商店和姓名为周树辉的个体经营者，其农资销售台账中只有购买农户的签字，未盖手印。县供销社下属网点之二的金川县金川镇角木牛村桂兰经营部，其农资销售台账中既没填写所在村组、购买时间，购买农户也没有签字和盖手印。</w:t>
      </w:r>
      <w:r>
        <w:rPr>
          <w:rFonts w:ascii="Times New Roman" w:cs="Times New Roman" w:hAnsi="Times New Roman"/>
          <w:b/>
          <w:bCs w:val="0"/>
          <w:sz w:val="32"/>
          <w:szCs w:val="32"/>
          <w:lang w:val="en-US" w:eastAsia="zh-CN"/>
          <w:highlight w:val="auto"/>
        </w:rPr>
        <w:t>二是</w:t>
      </w:r>
      <w:r>
        <w:rPr>
          <w:rFonts w:ascii="Times New Roman" w:cs="Times New Roman" w:hAnsi="Times New Roman"/>
          <w:b w:val="0"/>
          <w:bCs/>
          <w:sz w:val="32"/>
          <w:szCs w:val="32"/>
          <w:lang w:val="en-US" w:eastAsia="zh-CN"/>
          <w:highlight w:val="auto"/>
        </w:rPr>
        <w:t>被评价项目农资储备补贴支付无必备附件原始单据，按照《阿坝州财政局 阿坝州供销社 关于下达2022年州级财政农资储备和价格补贴专项经费的通知》(阿州财农〔2022〕26号)、《金川县财政局 关于下达2022年州级财政农资储备和价格补贴专项经费的通知》(金财农〔2022〕15号)，“县供销社要按照政府相关储备要求报送储备计划，经政府同意后与承储单位(农资公司)签定目标责任书，明确储备品种、数量和期限。储备周期结束后，将储备品种、数量进行汇总与购货票据(复印件)报县(市)财政局审核后，将补贴款拨付给县(市)供销社”。</w:t>
      </w:r>
    </w:p>
    <w:p>
      <w:pPr>
        <w:pStyle w:val="21"/>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ascii="Times New Roman" w:cs="Times New Roman" w:hAnsi="Times New Roman"/>
          <w:b w:val="0"/>
          <w:bCs/>
          <w:sz w:val="32"/>
          <w:szCs w:val="32"/>
          <w:lang w:val="en-US" w:eastAsia="zh-CN"/>
          <w:highlight w:val="auto"/>
        </w:rPr>
      </w:pPr>
      <w:r>
        <w:rPr>
          <w:rFonts w:ascii="Times New Roman" w:cs="Times New Roman" w:hAnsi="Times New Roman"/>
          <w:b w:val="0"/>
          <w:bCs/>
          <w:sz w:val="32"/>
          <w:szCs w:val="32"/>
          <w:lang w:val="en-US" w:eastAsia="zh-CN"/>
          <w:highlight w:val="auto"/>
        </w:rPr>
        <w:t>22.</w:t>
      </w:r>
      <w:r>
        <w:rPr>
          <w:rFonts w:ascii="Times New Roman" w:cs="Times New Roman" w:hAnsi="Times New Roman"/>
          <w:b/>
          <w:bCs w:val="0"/>
          <w:sz w:val="32"/>
          <w:szCs w:val="32"/>
          <w:lang w:val="en-US" w:eastAsia="zh-CN"/>
          <w:highlight w:val="auto"/>
        </w:rPr>
        <w:t>2022年县级财政衔接推进乡村振兴补助资金（民族村寨旅游沿线农房功能性提升改造（沙耳乡、河东乡、庆宁乡）：一是</w:t>
      </w:r>
      <w:r>
        <w:rPr>
          <w:rFonts w:ascii="Times New Roman" w:cs="Times New Roman" w:hAnsi="Times New Roman"/>
          <w:b w:val="0"/>
          <w:bCs/>
          <w:sz w:val="32"/>
          <w:szCs w:val="32"/>
          <w:lang w:val="en-US" w:eastAsia="zh-CN"/>
          <w:highlight w:val="auto"/>
        </w:rPr>
        <w:t>项目验收不规范。金川县庆宁乡新沙村民族村寨旅游沿线农房功能性提升改造建设项目，其《项目竣工验收表》验收小组结论意见为“房屋功能性提升属实，房屋户数、面积，以乡、村核实为准”，未在验收表中写明具体的验收内容；《金川县统筹整合使用财政涉农资金验收表(县级)》中，项目验收内容为空。</w:t>
      </w:r>
      <w:r>
        <w:rPr>
          <w:rFonts w:ascii="Times New Roman" w:cs="Times New Roman" w:hAnsi="Times New Roman"/>
          <w:b/>
          <w:bCs w:val="0"/>
          <w:sz w:val="32"/>
          <w:szCs w:val="32"/>
          <w:lang w:val="en-US" w:eastAsia="zh-CN"/>
          <w:highlight w:val="auto"/>
        </w:rPr>
        <w:t>二是</w:t>
      </w:r>
      <w:r>
        <w:rPr>
          <w:rFonts w:ascii="Times New Roman" w:cs="Times New Roman" w:hAnsi="Times New Roman"/>
          <w:b w:val="0"/>
          <w:bCs/>
          <w:sz w:val="32"/>
          <w:szCs w:val="32"/>
          <w:lang w:val="en-US" w:eastAsia="zh-CN"/>
          <w:highlight w:val="auto"/>
        </w:rPr>
        <w:t>相关合同要素不全。2022年，金川县庆宁乡新沙村村民委员会与金川县明辉五金机电建材供应站签订的《商品购销合同》未填写具体的合同签订日期。</w:t>
      </w:r>
    </w:p>
    <w:p>
      <w:pPr>
        <w:pStyle w:val="21"/>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Chars="200" w:firstLine="632"/>
        <w:textAlignment w:val="auto"/>
        <w:rPr>
          <w:rFonts w:ascii="Times New Roman" w:cs="Times New Roman" w:hAnsi="Times New Roman"/>
          <w:b w:val="0"/>
          <w:bCs/>
          <w:sz w:val="32"/>
          <w:szCs w:val="32"/>
          <w:lang w:val="en-US" w:eastAsia="zh-CN"/>
          <w:highlight w:val="auto"/>
        </w:rPr>
      </w:pPr>
      <w:r>
        <w:rPr>
          <w:rFonts w:ascii="Times New Roman" w:cs="Times New Roman" w:hAnsi="Times New Roman"/>
          <w:b/>
          <w:bCs w:val="0"/>
          <w:sz w:val="32"/>
          <w:szCs w:val="32"/>
          <w:lang w:val="en-US" w:eastAsia="zh-CN"/>
          <w:highlight w:val="auto"/>
        </w:rPr>
        <w:t>23.金川县牦牛选育场建设项目：一是</w:t>
      </w:r>
      <w:r>
        <w:rPr>
          <w:rFonts w:ascii="Times New Roman" w:cs="Times New Roman" w:hAnsi="Times New Roman"/>
          <w:b w:val="0"/>
          <w:bCs/>
          <w:sz w:val="32"/>
          <w:szCs w:val="32"/>
          <w:lang w:val="en-US" w:eastAsia="zh-CN"/>
          <w:highlight w:val="auto"/>
        </w:rPr>
        <w:t>质量保证金方面，未按照采购文件确定的事项签订合同。招标文件要求为乙方向甲方提供质量保证金(合同金额的3%、保证期限1年)，质量保证金方式：现金或保函形式，而合同签订为剩余尾款5%自动转为质保金。</w:t>
      </w:r>
      <w:r>
        <w:rPr>
          <w:rFonts w:ascii="Times New Roman" w:cs="Times New Roman" w:hAnsi="Times New Roman"/>
          <w:b/>
          <w:bCs w:val="0"/>
          <w:sz w:val="32"/>
          <w:szCs w:val="32"/>
          <w:lang w:val="en-US" w:eastAsia="zh-CN"/>
          <w:highlight w:val="auto"/>
        </w:rPr>
        <w:t>二是</w:t>
      </w:r>
      <w:r>
        <w:rPr>
          <w:rFonts w:ascii="Times New Roman" w:cs="Times New Roman" w:hAnsi="Times New Roman"/>
          <w:b w:val="0"/>
          <w:bCs/>
          <w:sz w:val="32"/>
          <w:szCs w:val="32"/>
          <w:lang w:val="en-US" w:eastAsia="zh-CN"/>
          <w:highlight w:val="auto"/>
        </w:rPr>
        <w:t>牦牛微量元素舔砖验收前支付了预付款。根据《2022年金川牦牛选育场建设项目青干草、舔砖、药物验收意见》，其中“微量元素舔砖”50吨于2022年12月10日验收，而预付款已于2022年11月3日支付，不满足合同约定支付预付款的条件</w:t>
      </w:r>
      <w:r>
        <w:rPr>
          <w:rFonts w:ascii="Times New Roman" w:cs="Times New Roman" w:hAnsi="Times New Roman"/>
          <w:b/>
          <w:bCs w:val="0"/>
          <w:sz w:val="32"/>
          <w:szCs w:val="32"/>
          <w:lang w:val="en-US" w:eastAsia="zh-CN"/>
          <w:highlight w:val="auto"/>
        </w:rPr>
        <w:t>。三是</w:t>
      </w:r>
      <w:r>
        <w:rPr>
          <w:rFonts w:ascii="Times New Roman" w:cs="Times New Roman" w:hAnsi="Times New Roman"/>
          <w:b w:val="0"/>
          <w:bCs/>
          <w:sz w:val="32"/>
          <w:szCs w:val="32"/>
          <w:lang w:val="en-US" w:eastAsia="zh-CN"/>
          <w:highlight w:val="auto"/>
        </w:rPr>
        <w:t>第二笔款项金额与合同约定不符。</w:t>
      </w:r>
    </w:p>
    <w:p>
      <w:pPr>
        <w:pStyle w:val="21"/>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Chars="200" w:firstLine="632"/>
        <w:textAlignment w:val="auto"/>
        <w:rPr>
          <w:rFonts w:ascii="Times New Roman" w:cs="Times New Roman" w:hAnsi="Times New Roman"/>
          <w:b w:val="0"/>
          <w:bCs/>
          <w:sz w:val="32"/>
          <w:szCs w:val="32"/>
          <w:lang w:val="en-US" w:eastAsia="zh-CN"/>
          <w:highlight w:val="auto"/>
        </w:rPr>
      </w:pPr>
      <w:r>
        <w:rPr>
          <w:rFonts w:ascii="Times New Roman" w:cs="Times New Roman" w:hAnsi="Times New Roman"/>
          <w:b/>
          <w:bCs w:val="0"/>
          <w:sz w:val="32"/>
          <w:szCs w:val="32"/>
          <w:lang w:val="en-US" w:eastAsia="zh-CN"/>
          <w:highlight w:val="auto"/>
        </w:rPr>
        <w:t>24.河东乡旦甲木足村马尔脚水毁道路恢复建设项目：一是</w:t>
      </w:r>
      <w:r>
        <w:rPr>
          <w:rFonts w:ascii="Times New Roman" w:cs="Times New Roman" w:hAnsi="Times New Roman"/>
          <w:b w:val="0"/>
          <w:bCs/>
          <w:sz w:val="32"/>
          <w:szCs w:val="32"/>
          <w:lang w:val="en-US" w:eastAsia="zh-CN"/>
          <w:highlight w:val="auto"/>
        </w:rPr>
        <w:t>项目开工时间早于项目设计单位合同签订时间、施工合同签订时间。根据项目资料中《监理日志》，被评价项目于2022年7月20日开工；2022年7月24日，河东乡人民政府与四川桓桑秋建筑设计有限公司签订《建设工程设计合同》；2022年7月24日，河东乡人民政府与四川创兴博建筑工程有限公司金川分公司签订《建设工程施工合同》。</w:t>
      </w:r>
      <w:r>
        <w:rPr>
          <w:rFonts w:ascii="Times New Roman" w:cs="Times New Roman" w:hAnsi="Times New Roman"/>
          <w:b/>
          <w:bCs w:val="0"/>
          <w:sz w:val="32"/>
          <w:szCs w:val="32"/>
          <w:lang w:val="en-US" w:eastAsia="zh-CN"/>
          <w:highlight w:val="auto"/>
        </w:rPr>
        <w:t>二是</w:t>
      </w:r>
      <w:r>
        <w:rPr>
          <w:rFonts w:ascii="Times New Roman" w:cs="Times New Roman" w:hAnsi="Times New Roman"/>
          <w:b w:val="0"/>
          <w:bCs/>
          <w:sz w:val="32"/>
          <w:szCs w:val="32"/>
          <w:lang w:val="en-US" w:eastAsia="zh-CN"/>
          <w:highlight w:val="auto"/>
        </w:rPr>
        <w:t>设计合同无发包人签章。2022年7月24日河东乡人民政府与四川桓桑秋建筑设计有限公司签订的《建设工程设计合同》，签章栏无发包人签章。</w:t>
      </w:r>
      <w:r>
        <w:rPr>
          <w:rFonts w:ascii="Times New Roman" w:cs="Times New Roman" w:hAnsi="Times New Roman"/>
          <w:b/>
          <w:bCs w:val="0"/>
          <w:sz w:val="32"/>
          <w:szCs w:val="32"/>
          <w:lang w:val="en-US" w:eastAsia="zh-CN"/>
          <w:highlight w:val="auto"/>
        </w:rPr>
        <w:t>三是</w:t>
      </w:r>
      <w:r>
        <w:rPr>
          <w:rFonts w:ascii="Times New Roman" w:cs="Times New Roman" w:hAnsi="Times New Roman"/>
          <w:b w:val="0"/>
          <w:bCs/>
          <w:sz w:val="32"/>
          <w:szCs w:val="32"/>
          <w:lang w:val="en-US" w:eastAsia="zh-CN"/>
          <w:highlight w:val="auto"/>
        </w:rPr>
        <w:t>项目结算审核前已支付至结算审核金额的97.00%。根据成都恒沣建设项目管理有限公司2022年11月21日出具的被评价项目《建设工程验收核查报告书》，经核定后金额为926,978.75元；2022年9月23日，通过国库集中支付方式支付工程费899,169.40元。</w:t>
      </w:r>
    </w:p>
    <w:p>
      <w:pPr>
        <w:pStyle w:val="21"/>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Chars="200" w:firstLine="632"/>
        <w:textAlignment w:val="auto"/>
        <w:rPr>
          <w:rFonts w:ascii="Times New Roman" w:cs="Times New Roman" w:hAnsi="Times New Roman"/>
          <w:b w:val="0"/>
          <w:bCs/>
          <w:sz w:val="32"/>
          <w:szCs w:val="32"/>
          <w:lang w:val="en-US" w:eastAsia="zh-CN"/>
          <w:highlight w:val="auto"/>
        </w:rPr>
      </w:pPr>
      <w:r>
        <w:rPr>
          <w:rFonts w:ascii="Times New Roman" w:cs="Times New Roman" w:hAnsi="Times New Roman"/>
          <w:b/>
          <w:bCs w:val="0"/>
          <w:sz w:val="32"/>
          <w:szCs w:val="32"/>
          <w:lang w:val="en-US" w:eastAsia="zh-CN"/>
          <w:highlight w:val="auto"/>
        </w:rPr>
        <w:t>25.烈士纪念设施修缮改造项目：一是</w:t>
      </w:r>
      <w:r>
        <w:rPr>
          <w:rFonts w:ascii="Times New Roman" w:cs="Times New Roman" w:hAnsi="Times New Roman"/>
          <w:b w:val="0"/>
          <w:bCs/>
          <w:sz w:val="32"/>
          <w:szCs w:val="32"/>
          <w:lang w:val="en-US" w:eastAsia="zh-CN"/>
          <w:highlight w:val="auto"/>
        </w:rPr>
        <w:t>被评价项目请示阿坝州退役军人事务局批准建设时间滞后。2022年7月20日向阿坝州退役军人事务局发出请示，被评价项目实际于2022年5月11日取得了县发改局立项批复，2022年5月16日签订了设计合同，请示前已进行了前期工作。</w:t>
      </w:r>
      <w:r>
        <w:rPr>
          <w:rFonts w:ascii="Times New Roman" w:cs="Times New Roman" w:hAnsi="Times New Roman"/>
          <w:b/>
          <w:bCs w:val="0"/>
          <w:sz w:val="32"/>
          <w:szCs w:val="32"/>
          <w:lang w:val="en-US" w:eastAsia="zh-CN"/>
          <w:highlight w:val="auto"/>
        </w:rPr>
        <w:t>二是</w:t>
      </w:r>
      <w:r>
        <w:rPr>
          <w:rFonts w:ascii="Times New Roman" w:cs="Times New Roman" w:hAnsi="Times New Roman"/>
          <w:b w:val="0"/>
          <w:bCs/>
          <w:sz w:val="32"/>
          <w:szCs w:val="32"/>
          <w:lang w:val="en-US" w:eastAsia="zh-CN"/>
          <w:highlight w:val="auto"/>
        </w:rPr>
        <w:t>被评价项目无按照阿坝州文化体育和旅游局批复要求整改的相关整改资料。</w:t>
      </w:r>
    </w:p>
    <w:p>
      <w:pPr>
        <w:pStyle w:val="21"/>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Chars="200" w:firstLine="632"/>
        <w:textAlignment w:val="auto"/>
        <w:rPr>
          <w:rFonts w:ascii="Times New Roman" w:cs="Times New Roman" w:hAnsi="Times New Roman"/>
          <w:b w:val="0"/>
          <w:bCs/>
          <w:sz w:val="32"/>
          <w:szCs w:val="32"/>
          <w:lang w:val="en-US" w:eastAsia="zh-CN"/>
          <w:highlight w:val="auto"/>
        </w:rPr>
      </w:pPr>
      <w:r>
        <w:rPr>
          <w:rFonts w:ascii="Times New Roman" w:cs="Times New Roman" w:hAnsi="Times New Roman"/>
          <w:b/>
          <w:bCs w:val="0"/>
          <w:sz w:val="32"/>
          <w:szCs w:val="32"/>
          <w:lang w:val="en-US" w:eastAsia="zh-CN"/>
          <w:highlight w:val="auto"/>
        </w:rPr>
        <w:t>26.计划生育补助项目：一是</w:t>
      </w:r>
      <w:r>
        <w:rPr>
          <w:rFonts w:ascii="Times New Roman" w:cs="Times New Roman" w:hAnsi="Times New Roman"/>
          <w:b w:val="0"/>
          <w:bCs/>
          <w:sz w:val="32"/>
          <w:szCs w:val="32"/>
          <w:lang w:val="en-US" w:eastAsia="zh-CN"/>
          <w:highlight w:val="auto"/>
        </w:rPr>
        <w:t>项目资金未专款专用。如2022-12-120#凭证，支付办公家具款42,000.00元，将项目资金用于局长办公室及其他办公室的办公家具购置。</w:t>
      </w:r>
      <w:r>
        <w:rPr>
          <w:rFonts w:ascii="Times New Roman" w:cs="Times New Roman" w:hAnsi="Times New Roman"/>
          <w:b/>
          <w:bCs w:val="0"/>
          <w:sz w:val="32"/>
          <w:szCs w:val="32"/>
          <w:lang w:val="en-US" w:eastAsia="zh-CN"/>
          <w:highlight w:val="auto"/>
        </w:rPr>
        <w:t>二是</w:t>
      </w:r>
      <w:r>
        <w:rPr>
          <w:rFonts w:ascii="Times New Roman" w:cs="Times New Roman" w:hAnsi="Times New Roman"/>
          <w:b w:val="0"/>
          <w:bCs/>
          <w:sz w:val="32"/>
          <w:szCs w:val="32"/>
          <w:lang w:val="en-US" w:eastAsia="zh-CN"/>
          <w:highlight w:val="auto"/>
        </w:rPr>
        <w:t>将项目资金用于行政运行事业费用。如2022-11-14#凭证，支付公务用车(川UH0019)保险费4,401.96元，且报销资料中无保险费发票；2022年11-16#凭证，支付支付公务用车油费1,500.00元；2022年11-18#凭证，支付工资软件维护费1,800.00元。</w:t>
      </w:r>
      <w:r>
        <w:rPr>
          <w:rFonts w:ascii="Times New Roman" w:cs="Times New Roman" w:hAnsi="Times New Roman"/>
          <w:b/>
          <w:bCs w:val="0"/>
          <w:sz w:val="32"/>
          <w:szCs w:val="32"/>
          <w:lang w:val="en-US" w:eastAsia="zh-CN"/>
          <w:highlight w:val="auto"/>
        </w:rPr>
        <w:t>三是</w:t>
      </w:r>
      <w:r>
        <w:rPr>
          <w:rFonts w:ascii="Times New Roman" w:cs="Times New Roman" w:hAnsi="Times New Roman"/>
          <w:b w:val="0"/>
          <w:bCs/>
          <w:sz w:val="32"/>
          <w:szCs w:val="32"/>
          <w:lang w:val="en-US" w:eastAsia="zh-CN"/>
          <w:highlight w:val="auto"/>
        </w:rPr>
        <w:t>费用支付未履行事前审批。如2022-12-120#凭证，支付办公家具款42,000.00元，经办人员填写《金川县卫健局经费支出报销审批单》后，由相关承头股室经办人、相关承头股室分管领导、卫健局财务股、分管财务领导、县卫健局局长进行签批，其中局长最后签批时间为2022年12月18日，该款项于2022年12月16日已经由国库集中支付。</w:t>
      </w:r>
    </w:p>
    <w:p>
      <w:pPr>
        <w:pStyle w:val="21"/>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Chars="200" w:firstLine="632"/>
        <w:textAlignment w:val="auto"/>
        <w:rPr>
          <w:rFonts w:ascii="Times New Roman" w:cs="Times New Roman" w:hAnsi="Times New Roman"/>
          <w:b w:val="0"/>
          <w:bCs/>
          <w:sz w:val="32"/>
          <w:szCs w:val="32"/>
          <w:lang w:val="en-US" w:eastAsia="zh-CN"/>
          <w:highlight w:val="auto"/>
        </w:rPr>
      </w:pPr>
      <w:r>
        <w:rPr>
          <w:rFonts w:ascii="Times New Roman" w:cs="Times New Roman" w:hAnsi="Times New Roman"/>
          <w:b/>
          <w:bCs w:val="0"/>
          <w:sz w:val="32"/>
          <w:szCs w:val="32"/>
          <w:lang w:val="en-US" w:eastAsia="zh-CN"/>
          <w:highlight w:val="auto"/>
        </w:rPr>
        <w:t>27.基层医疗卫生机构实施基本药物制度：一是</w:t>
      </w:r>
      <w:r>
        <w:rPr>
          <w:rFonts w:ascii="Times New Roman" w:cs="Times New Roman" w:hAnsi="Times New Roman"/>
          <w:b w:val="0"/>
          <w:bCs/>
          <w:sz w:val="32"/>
          <w:szCs w:val="32"/>
          <w:lang w:val="en-US" w:eastAsia="zh-CN"/>
          <w:highlight w:val="auto"/>
        </w:rPr>
        <w:t>村卫生室实施国家基本药物制度补助资金拨付至乡卫生院，县卫健局未对各乡镇卫生院是否按时将资金拨付至对应村卫生室进行监督。</w:t>
      </w:r>
      <w:r>
        <w:rPr>
          <w:rFonts w:ascii="Times New Roman" w:cs="Times New Roman" w:hAnsi="Times New Roman"/>
          <w:b/>
          <w:bCs w:val="0"/>
          <w:sz w:val="32"/>
          <w:szCs w:val="32"/>
          <w:lang w:val="en-US" w:eastAsia="zh-CN"/>
          <w:highlight w:val="auto"/>
        </w:rPr>
        <w:t>二是</w:t>
      </w:r>
      <w:r>
        <w:rPr>
          <w:rFonts w:ascii="Times New Roman" w:cs="Times New Roman" w:hAnsi="Times New Roman"/>
          <w:b w:val="0"/>
          <w:bCs/>
          <w:sz w:val="32"/>
          <w:szCs w:val="32"/>
          <w:lang w:val="en-US" w:eastAsia="zh-CN"/>
          <w:highlight w:val="auto"/>
        </w:rPr>
        <w:t>拨付至各乡镇卫生院的村卫生室基本药物补助资金，乡镇卫生院未建立专账。</w:t>
      </w:r>
    </w:p>
    <w:p>
      <w:pPr>
        <w:pStyle w:val="21"/>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Chars="200" w:firstLine="632"/>
        <w:textAlignment w:val="auto"/>
        <w:rPr>
          <w:rFonts w:ascii="Times New Roman" w:cs="Times New Roman" w:hAnsi="Times New Roman"/>
          <w:b w:val="0"/>
          <w:bCs/>
          <w:sz w:val="32"/>
          <w:szCs w:val="32"/>
          <w:lang w:val="en-US" w:eastAsia="zh-CN"/>
          <w:highlight w:val="auto"/>
        </w:rPr>
      </w:pPr>
      <w:r>
        <w:rPr>
          <w:rFonts w:ascii="Times New Roman" w:cs="Times New Roman" w:hAnsi="Times New Roman"/>
          <w:b/>
          <w:bCs w:val="0"/>
          <w:sz w:val="32"/>
          <w:szCs w:val="32"/>
          <w:lang w:val="en-US" w:eastAsia="zh-CN"/>
          <w:highlight w:val="auto"/>
        </w:rPr>
        <w:t>28.医疗服务能务提升：一是</w:t>
      </w:r>
      <w:r>
        <w:rPr>
          <w:rFonts w:ascii="Times New Roman" w:cs="Times New Roman" w:hAnsi="Times New Roman"/>
          <w:b w:val="0"/>
          <w:bCs/>
          <w:sz w:val="32"/>
          <w:szCs w:val="32"/>
          <w:lang w:val="en-US" w:eastAsia="zh-CN"/>
          <w:highlight w:val="auto"/>
        </w:rPr>
        <w:t>县中藏医院个别合同要素不齐全，金川县中藏医院与成都英迈机电设备有限公司签订《金川县中藏医院住院部电梯购置项目合同书》未加盖单位公章。</w:t>
      </w:r>
      <w:r>
        <w:rPr>
          <w:rFonts w:ascii="Times New Roman" w:cs="Times New Roman" w:hAnsi="Times New Roman"/>
          <w:b/>
          <w:bCs w:val="0"/>
          <w:sz w:val="32"/>
          <w:szCs w:val="32"/>
          <w:lang w:val="en-US" w:eastAsia="zh-CN"/>
          <w:highlight w:val="auto"/>
        </w:rPr>
        <w:t>二是</w:t>
      </w:r>
      <w:r>
        <w:rPr>
          <w:rFonts w:ascii="Times New Roman" w:cs="Times New Roman" w:hAnsi="Times New Roman"/>
          <w:b w:val="0"/>
          <w:bCs/>
          <w:sz w:val="32"/>
          <w:szCs w:val="32"/>
          <w:lang w:val="en-US" w:eastAsia="zh-CN"/>
          <w:highlight w:val="auto"/>
        </w:rPr>
        <w:t>县人民医院个别子项目验收不规范。县人民医院污物暂存间改造项目《项目验收表》上无验收时间。</w:t>
      </w:r>
    </w:p>
    <w:p>
      <w:pPr>
        <w:pStyle w:val="21"/>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Chars="200" w:firstLine="632"/>
        <w:textAlignment w:val="auto"/>
        <w:rPr>
          <w:rFonts w:ascii="Times New Roman" w:cs="Times New Roman" w:hAnsi="Times New Roman"/>
          <w:b w:val="0"/>
          <w:bCs/>
          <w:sz w:val="32"/>
          <w:szCs w:val="32"/>
          <w:lang w:val="en-US" w:eastAsia="zh-CN"/>
          <w:highlight w:val="auto"/>
        </w:rPr>
      </w:pPr>
      <w:r>
        <w:rPr>
          <w:rFonts w:ascii="Times New Roman" w:cs="Times New Roman" w:hAnsi="Times New Roman"/>
          <w:b/>
          <w:bCs w:val="0"/>
          <w:sz w:val="32"/>
          <w:szCs w:val="32"/>
          <w:lang w:val="en-US" w:eastAsia="zh-CN"/>
          <w:highlight w:val="auto"/>
        </w:rPr>
        <w:t>29.重大公共卫生项目：一是</w:t>
      </w:r>
      <w:r>
        <w:rPr>
          <w:rFonts w:ascii="Times New Roman" w:cs="Times New Roman" w:hAnsi="Times New Roman"/>
          <w:b w:val="0"/>
          <w:bCs/>
          <w:sz w:val="32"/>
          <w:szCs w:val="32"/>
          <w:lang w:val="en-US" w:eastAsia="zh-CN"/>
          <w:highlight w:val="auto"/>
        </w:rPr>
        <w:t>县妇幼中心艾滋病防治存在合同要素不齐全的情况。县妇幼中心与江西飒捷医疗器械有限公司签订的《购销协议》，无协议签署日期，且县妇幼中心未在合同中加盖单位公章。</w:t>
      </w:r>
      <w:r>
        <w:rPr>
          <w:rFonts w:ascii="Times New Roman" w:cs="Times New Roman" w:hAnsi="Times New Roman"/>
          <w:b/>
          <w:bCs w:val="0"/>
          <w:sz w:val="32"/>
          <w:szCs w:val="32"/>
          <w:lang w:val="en-US" w:eastAsia="zh-CN"/>
          <w:highlight w:val="auto"/>
        </w:rPr>
        <w:t>二是</w:t>
      </w:r>
      <w:r>
        <w:rPr>
          <w:rFonts w:ascii="Times New Roman" w:cs="Times New Roman" w:hAnsi="Times New Roman"/>
          <w:b w:val="0"/>
          <w:bCs/>
          <w:sz w:val="32"/>
          <w:szCs w:val="32"/>
          <w:lang w:val="en-US" w:eastAsia="zh-CN"/>
          <w:highlight w:val="auto"/>
        </w:rPr>
        <w:t>疾控中心艾滋、结核、包虫病等重大传染病防控以及免疫规划经费存在验收不规范、支付个人劳务费未代扣代缴个人所得税的情况，重精以奖代补经费存在发放不及时。</w:t>
      </w:r>
    </w:p>
    <w:p>
      <w:pPr>
        <w:pStyle w:val="21"/>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Chars="200" w:firstLine="632"/>
        <w:textAlignment w:val="auto"/>
        <w:rPr>
          <w:rFonts w:ascii="Times New Roman" w:cs="Times New Roman" w:hAnsi="Times New Roman"/>
          <w:b w:val="0"/>
          <w:bCs/>
          <w:sz w:val="32"/>
          <w:szCs w:val="32"/>
          <w:lang w:val="en-US" w:eastAsia="zh-CN"/>
          <w:highlight w:val="auto"/>
        </w:rPr>
      </w:pPr>
      <w:r>
        <w:rPr>
          <w:rFonts w:ascii="Times New Roman" w:cs="Times New Roman" w:hAnsi="Times New Roman"/>
          <w:b/>
          <w:bCs w:val="0"/>
          <w:sz w:val="32"/>
          <w:szCs w:val="32"/>
          <w:lang w:val="en-US" w:eastAsia="zh-CN"/>
          <w:highlight w:val="auto"/>
        </w:rPr>
        <w:t>30.2022年新增一般债券资金：一是</w:t>
      </w:r>
      <w:r>
        <w:rPr>
          <w:rFonts w:ascii="Times New Roman" w:cs="Times New Roman" w:hAnsi="Times New Roman"/>
          <w:b w:val="0"/>
          <w:bCs/>
          <w:sz w:val="32"/>
          <w:szCs w:val="32"/>
          <w:lang w:val="en-US" w:eastAsia="zh-CN"/>
          <w:highlight w:val="auto"/>
        </w:rPr>
        <w:t>被评价项目资金使用计划前期规划安排不够合理。将2022年新增一般债券资金75.00万元用于支付2022年以前发生的3个项目工程设计费。</w:t>
      </w:r>
      <w:r>
        <w:rPr>
          <w:rFonts w:ascii="Times New Roman" w:cs="Times New Roman" w:hAnsi="Times New Roman"/>
          <w:b/>
          <w:bCs w:val="0"/>
          <w:sz w:val="32"/>
          <w:szCs w:val="32"/>
          <w:lang w:val="en-US" w:eastAsia="zh-CN"/>
          <w:highlight w:val="auto"/>
        </w:rPr>
        <w:t>二是</w:t>
      </w:r>
      <w:r>
        <w:rPr>
          <w:rFonts w:ascii="Times New Roman" w:cs="Times New Roman" w:hAnsi="Times New Roman"/>
          <w:b w:val="0"/>
          <w:bCs/>
          <w:sz w:val="32"/>
          <w:szCs w:val="32"/>
          <w:lang w:val="en-US" w:eastAsia="zh-CN"/>
          <w:highlight w:val="auto"/>
        </w:rPr>
        <w:t>实际用于支付金川县勒乌镇龙河村龙王庙沟泥石流治理工程款等四个项目工程设计费，与计划的3个项目不一致。</w:t>
      </w:r>
    </w:p>
    <w:p>
      <w:pPr>
        <w:pStyle w:val="21"/>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Chars="200" w:firstLine="632"/>
        <w:textAlignment w:val="auto"/>
        <w:rPr>
          <w:rFonts w:ascii="Times New Roman" w:cs="Times New Roman" w:hAnsi="Times New Roman"/>
          <w:b w:val="0"/>
          <w:bCs/>
          <w:sz w:val="32"/>
          <w:szCs w:val="32"/>
          <w:lang w:val="en-US" w:eastAsia="zh-CN"/>
          <w:highlight w:val="auto"/>
        </w:rPr>
      </w:pPr>
      <w:r>
        <w:rPr>
          <w:rFonts w:ascii="Times New Roman" w:cs="Times New Roman" w:hAnsi="Times New Roman"/>
          <w:b/>
          <w:bCs w:val="0"/>
          <w:sz w:val="32"/>
          <w:szCs w:val="32"/>
          <w:lang w:val="en-US" w:eastAsia="zh-CN"/>
          <w:highlight w:val="auto"/>
        </w:rPr>
        <w:t>31.金川县城区供水管网改扩建项目</w:t>
      </w:r>
      <w:r>
        <w:rPr>
          <w:rFonts w:ascii="Times New Roman" w:cs="Times New Roman" w:hAnsi="Times New Roman"/>
          <w:b w:val="0"/>
          <w:bCs/>
          <w:sz w:val="32"/>
          <w:szCs w:val="32"/>
          <w:lang w:val="en-US" w:eastAsia="zh-CN"/>
          <w:highlight w:val="auto"/>
        </w:rPr>
        <w:t>：</w:t>
      </w:r>
      <w:r>
        <w:rPr>
          <w:rFonts w:ascii="Times New Roman" w:cs="Times New Roman" w:hAnsi="Times New Roman"/>
          <w:b/>
          <w:bCs w:val="0"/>
          <w:sz w:val="32"/>
          <w:szCs w:val="32"/>
          <w:lang w:val="en-US" w:eastAsia="zh-CN"/>
          <w:highlight w:val="auto"/>
        </w:rPr>
        <w:t>一是</w:t>
      </w:r>
      <w:r>
        <w:rPr>
          <w:rFonts w:ascii="Times New Roman" w:cs="Times New Roman" w:hAnsi="Times New Roman"/>
          <w:b w:val="0"/>
          <w:bCs/>
          <w:sz w:val="32"/>
          <w:szCs w:val="32"/>
          <w:lang w:val="en-US" w:eastAsia="zh-CN"/>
          <w:highlight w:val="auto"/>
        </w:rPr>
        <w:t>被评价项目控制价评审时间晚于项目开工时间。经检查，项目开工日期为2019年8月10日；2020年5月14日，金川县财政局《关于金川县城区供水管网改扩建工程施工总承包(EPC)项目控制价评审批复》(金财建〔2020〕115号)。</w:t>
      </w:r>
      <w:r>
        <w:rPr>
          <w:rFonts w:ascii="Times New Roman" w:cs="Times New Roman" w:hAnsi="Times New Roman"/>
          <w:b/>
          <w:bCs w:val="0"/>
          <w:sz w:val="32"/>
          <w:szCs w:val="32"/>
          <w:lang w:val="en-US" w:eastAsia="zh-CN"/>
          <w:highlight w:val="auto"/>
        </w:rPr>
        <w:t>二是</w:t>
      </w:r>
      <w:r>
        <w:rPr>
          <w:rFonts w:ascii="Times New Roman" w:cs="Times New Roman" w:hAnsi="Times New Roman"/>
          <w:b w:val="0"/>
          <w:bCs/>
          <w:sz w:val="32"/>
          <w:szCs w:val="32"/>
          <w:lang w:val="en-US" w:eastAsia="zh-CN"/>
          <w:highlight w:val="auto"/>
        </w:rPr>
        <w:t>被评价项目存在未及时完工。已超过计划完成时间3年。</w:t>
      </w:r>
    </w:p>
    <w:p>
      <w:pPr>
        <w:pStyle w:val="21"/>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Chars="200" w:firstLine="632"/>
        <w:textAlignment w:val="auto"/>
        <w:rPr>
          <w:rFonts w:ascii="Times New Roman" w:cs="Times New Roman" w:hAnsi="Times New Roman"/>
          <w:b w:val="0"/>
          <w:bCs/>
          <w:sz w:val="32"/>
          <w:szCs w:val="32"/>
          <w:lang w:val="en-US" w:eastAsia="zh-CN"/>
          <w:highlight w:val="auto"/>
        </w:rPr>
      </w:pPr>
      <w:r>
        <w:rPr>
          <w:rFonts w:ascii="Times New Roman" w:cs="Times New Roman" w:hAnsi="Times New Roman"/>
          <w:b/>
          <w:bCs w:val="0"/>
          <w:sz w:val="32"/>
          <w:szCs w:val="32"/>
          <w:lang w:val="en-US" w:eastAsia="zh-CN"/>
          <w:highlight w:val="auto"/>
        </w:rPr>
        <w:t>32.2022年第一批交通专项资金：一是</w:t>
      </w:r>
      <w:r>
        <w:rPr>
          <w:rFonts w:ascii="Times New Roman" w:cs="Times New Roman" w:hAnsi="Times New Roman"/>
          <w:b w:val="0"/>
          <w:bCs/>
          <w:sz w:val="32"/>
          <w:szCs w:val="32"/>
          <w:lang w:val="en-US" w:eastAsia="zh-CN"/>
          <w:highlight w:val="auto"/>
        </w:rPr>
        <w:t>相关合同要素不全。2022年5月，金川县农村公路工作中心与四川宝鑫建设有限公司签订的《合同协议书》，未填写具体的签订日期。</w:t>
      </w:r>
      <w:r>
        <w:rPr>
          <w:rFonts w:ascii="Times New Roman" w:cs="Times New Roman" w:hAnsi="Times New Roman"/>
          <w:b/>
          <w:bCs w:val="0"/>
          <w:sz w:val="32"/>
          <w:szCs w:val="32"/>
          <w:lang w:val="en-US" w:eastAsia="zh-CN"/>
          <w:highlight w:val="auto"/>
        </w:rPr>
        <w:t>二是</w:t>
      </w:r>
      <w:r>
        <w:rPr>
          <w:rFonts w:ascii="Times New Roman" w:cs="Times New Roman" w:hAnsi="Times New Roman"/>
          <w:b w:val="0"/>
          <w:bCs/>
          <w:sz w:val="32"/>
          <w:szCs w:val="32"/>
          <w:lang w:val="en-US" w:eastAsia="zh-CN"/>
          <w:highlight w:val="auto"/>
        </w:rPr>
        <w:t>合同计划开工日期、开工令、结算审核报告开工日期不一致。金川县农村公路工作中心与四川宝鑫建设有限公司签订的《合同协议书》。合同计划开工日期为2022年5月1日(《中标通知书》于2022年5月5日发出)结算审核报告开工日2022年 5月7日；《工程开工令》开工日期为2022年 5月22日。</w:t>
      </w:r>
      <w:r>
        <w:rPr>
          <w:rFonts w:ascii="Times New Roman" w:cs="Times New Roman" w:hAnsi="Times New Roman"/>
          <w:b/>
          <w:bCs w:val="0"/>
          <w:sz w:val="32"/>
          <w:szCs w:val="32"/>
          <w:lang w:val="en-US" w:eastAsia="zh-CN"/>
          <w:highlight w:val="auto"/>
        </w:rPr>
        <w:t>三是</w:t>
      </w:r>
      <w:r>
        <w:rPr>
          <w:rFonts w:ascii="Times New Roman" w:cs="Times New Roman" w:hAnsi="Times New Roman"/>
          <w:b w:val="0"/>
          <w:bCs/>
          <w:sz w:val="32"/>
          <w:szCs w:val="32"/>
          <w:lang w:val="en-US" w:eastAsia="zh-CN"/>
          <w:highlight w:val="auto"/>
        </w:rPr>
        <w:t>被评价项目实际完成数量与发改立项不一致。</w:t>
      </w:r>
    </w:p>
    <w:p>
      <w:pPr>
        <w:pStyle w:val="21"/>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Chars="200" w:firstLine="632"/>
        <w:textAlignment w:val="auto"/>
        <w:rPr>
          <w:rFonts w:ascii="Times New Roman" w:cs="Times New Roman" w:hAnsi="Times New Roman"/>
          <w:b w:val="0"/>
          <w:bCs/>
          <w:sz w:val="32"/>
          <w:szCs w:val="32"/>
          <w:lang w:val="en-US" w:eastAsia="zh-CN"/>
          <w:highlight w:val="auto"/>
        </w:rPr>
      </w:pPr>
      <w:r>
        <w:rPr>
          <w:rFonts w:ascii="Times New Roman" w:cs="Times New Roman" w:hAnsi="Times New Roman"/>
          <w:b/>
          <w:bCs w:val="0"/>
          <w:sz w:val="32"/>
          <w:szCs w:val="32"/>
          <w:lang w:val="en-US" w:eastAsia="zh-CN"/>
          <w:highlight w:val="auto"/>
        </w:rPr>
        <w:t>33.2022年公共图书馆、美术馆、文化馆（站）免费开放中省州专项资金预算项目：一是</w:t>
      </w:r>
      <w:r>
        <w:rPr>
          <w:rFonts w:ascii="Times New Roman" w:cs="Times New Roman" w:hAnsi="Times New Roman"/>
          <w:b w:val="0"/>
          <w:bCs/>
          <w:sz w:val="32"/>
          <w:szCs w:val="32"/>
          <w:lang w:val="en-US" w:eastAsia="zh-CN"/>
          <w:highlight w:val="auto"/>
        </w:rPr>
        <w:t>利用项目资金弥补以前年度未报销费用，利用项目资金支付行政运行经费，项目资金使用的合理性欠缺，用被评价项目资金支付其他项目产生费用。</w:t>
      </w:r>
      <w:r>
        <w:rPr>
          <w:rFonts w:ascii="Times New Roman" w:cs="Times New Roman" w:hAnsi="Times New Roman"/>
          <w:b/>
          <w:bCs w:val="0"/>
          <w:sz w:val="32"/>
          <w:szCs w:val="32"/>
          <w:lang w:val="en-US" w:eastAsia="zh-CN"/>
          <w:highlight w:val="auto"/>
        </w:rPr>
        <w:t>二是</w:t>
      </w:r>
      <w:r>
        <w:rPr>
          <w:rFonts w:ascii="Times New Roman" w:cs="Times New Roman" w:hAnsi="Times New Roman"/>
          <w:b w:val="0"/>
          <w:bCs/>
          <w:sz w:val="32"/>
          <w:szCs w:val="32"/>
          <w:lang w:val="en-US" w:eastAsia="zh-CN"/>
          <w:highlight w:val="auto"/>
        </w:rPr>
        <w:t>县文旅局采用直接指定方式确认供应商。</w:t>
      </w:r>
      <w:r>
        <w:rPr>
          <w:rFonts w:ascii="Times New Roman" w:cs="Times New Roman" w:hAnsi="Times New Roman"/>
          <w:b/>
          <w:bCs w:val="0"/>
          <w:sz w:val="32"/>
          <w:szCs w:val="32"/>
          <w:lang w:val="en-US" w:eastAsia="zh-CN"/>
          <w:highlight w:val="auto"/>
        </w:rPr>
        <w:t>三是</w:t>
      </w:r>
      <w:r>
        <w:rPr>
          <w:rFonts w:ascii="Times New Roman" w:cs="Times New Roman" w:hAnsi="Times New Roman"/>
          <w:b w:val="0"/>
          <w:bCs/>
          <w:sz w:val="32"/>
          <w:szCs w:val="32"/>
          <w:lang w:val="en-US" w:eastAsia="zh-CN"/>
          <w:highlight w:val="auto"/>
        </w:rPr>
        <w:t>县文旅局在支付纸质图书、电子书、图书馆分馆牌采购资金时，审批不到位。县文旅局支付项目资金时仅依据供应商开具的发票进行了项目资金支付。</w:t>
      </w:r>
      <w:r>
        <w:rPr>
          <w:rFonts w:ascii="Times New Roman" w:cs="Times New Roman" w:hAnsi="Times New Roman"/>
          <w:b/>
          <w:bCs w:val="0"/>
          <w:sz w:val="32"/>
          <w:szCs w:val="32"/>
          <w:lang w:val="en-US" w:eastAsia="zh-CN"/>
          <w:highlight w:val="auto"/>
        </w:rPr>
        <w:t>四是</w:t>
      </w:r>
      <w:r>
        <w:rPr>
          <w:rFonts w:ascii="Times New Roman" w:cs="Times New Roman" w:hAnsi="Times New Roman"/>
          <w:b w:val="0"/>
          <w:bCs/>
          <w:sz w:val="32"/>
          <w:szCs w:val="32"/>
          <w:lang w:val="en-US" w:eastAsia="zh-CN"/>
          <w:highlight w:val="auto"/>
        </w:rPr>
        <w:t>金川县“两馆一站”目前尚未建立健全内部监督约束机制，补助资金管理和使用的安全性、有效性、规范性有待提高。</w:t>
      </w:r>
    </w:p>
    <w:p>
      <w:pPr>
        <w:pStyle w:val="21"/>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Chars="200" w:firstLine="632"/>
        <w:textAlignment w:val="auto"/>
        <w:rPr>
          <w:rFonts w:ascii="Times New Roman" w:cs="Times New Roman" w:hAnsi="Times New Roman"/>
          <w:b w:val="0"/>
          <w:bCs/>
          <w:sz w:val="32"/>
          <w:szCs w:val="32"/>
          <w:lang w:val="en-US" w:eastAsia="zh-CN"/>
          <w:highlight w:val="auto"/>
        </w:rPr>
      </w:pPr>
      <w:r>
        <w:rPr>
          <w:rFonts w:ascii="Times New Roman" w:cs="Times New Roman" w:hAnsi="Times New Roman"/>
          <w:b/>
          <w:bCs w:val="0"/>
          <w:sz w:val="32"/>
          <w:szCs w:val="32"/>
          <w:lang w:val="en-US" w:eastAsia="zh-CN"/>
          <w:highlight w:val="auto"/>
        </w:rPr>
        <w:t>34.教育救助基金2022：一是</w:t>
      </w:r>
      <w:r>
        <w:rPr>
          <w:rFonts w:ascii="Times New Roman" w:cs="Times New Roman" w:hAnsi="Times New Roman"/>
          <w:b w:val="0"/>
          <w:bCs/>
          <w:sz w:val="32"/>
          <w:szCs w:val="32"/>
          <w:lang w:val="en-US" w:eastAsia="zh-CN"/>
          <w:highlight w:val="auto"/>
        </w:rPr>
        <w:t>审核把关不严。经检查贫困学生的救助资金申请表，存在部分乡镇在乡镇人民政府意见栏审核人处未签字、部分申请人未提供就读证明、个别申请表上乡镇人民政府意见栏未盖公章的情况，表明项目在审核时未严格按照审核流程来执行。</w:t>
      </w:r>
      <w:r>
        <w:rPr>
          <w:rFonts w:ascii="Times New Roman" w:cs="Times New Roman" w:hAnsi="Times New Roman"/>
          <w:b/>
          <w:bCs w:val="0"/>
          <w:sz w:val="32"/>
          <w:szCs w:val="32"/>
          <w:lang w:val="en-US" w:eastAsia="zh-CN"/>
          <w:highlight w:val="auto"/>
        </w:rPr>
        <w:t>二是</w:t>
      </w:r>
      <w:r>
        <w:rPr>
          <w:rFonts w:ascii="Times New Roman" w:cs="Times New Roman" w:hAnsi="Times New Roman"/>
          <w:b w:val="0"/>
          <w:bCs/>
          <w:sz w:val="32"/>
          <w:szCs w:val="32"/>
          <w:lang w:val="en-US" w:eastAsia="zh-CN"/>
          <w:highlight w:val="auto"/>
        </w:rPr>
        <w:t>实际补助标准与申报的绩效目标不一致。根据被评价项目绩效目标，义务教育阶段补助标准为2,000.00元/2人,实际补助标准为1,000.00元/人。被评价项目实际补助标准符合金川县教育扶贫相关文件，存在绩效目标编制不准确的情况。</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Chars="200" w:firstLine="632"/>
        <w:textAlignment w:val="auto"/>
        <w:rPr>
          <w:rFonts w:ascii="Times New Roman" w:eastAsia="黑体" w:cs="Times New Roman" w:hAnsi="Times New Roman"/>
          <w:sz w:val="32"/>
          <w:szCs w:val="32"/>
          <w:highlight w:val="auto"/>
        </w:rPr>
      </w:pPr>
      <w:r>
        <w:rPr>
          <w:rFonts w:ascii="Times New Roman" w:eastAsia="黑体" w:cs="Times New Roman" w:hAnsi="Times New Roman"/>
          <w:sz w:val="32"/>
          <w:szCs w:val="32"/>
          <w:highlight w:val="auto"/>
        </w:rPr>
        <w:t>四、整改建议</w:t>
      </w:r>
    </w:p>
    <w:p>
      <w:pPr>
        <w:pStyle w:val="1"/>
        <w:jc w:val="left"/>
        <w:rPr>
          <w:rFonts w:ascii="Times New Roman" w:eastAsia="仿宋_GB2312" w:cs="Times New Roman" w:hAnsi="Times New Roman"/>
          <w:b w:val="0"/>
          <w:bCs/>
          <w:sz w:val="32"/>
          <w:szCs w:val="32"/>
          <w:lang w:val="en-US" w:eastAsia="zh-CN"/>
          <w:highlight w:val="auto"/>
        </w:rPr>
      </w:pPr>
      <w:r>
        <w:rPr>
          <w:rFonts w:ascii="Times New Roman" w:eastAsia="楷体_GB2312" w:cs="Times New Roman" w:hAnsi="Times New Roman"/>
          <w:b/>
          <w:bCs w:val="0"/>
          <w:sz w:val="32"/>
          <w:szCs w:val="32"/>
          <w:lang w:val="en-US" w:eastAsia="zh-CN"/>
          <w:highlight w:val="auto"/>
        </w:rPr>
        <w:t xml:space="preserve">   </w:t>
      </w:r>
      <w:r>
        <w:rPr>
          <w:rFonts w:ascii="Times New Roman" w:eastAsia="楷体_GB2312" w:cs="Times New Roman" w:hAnsi="Times New Roman"/>
          <w:b/>
          <w:bCs w:val="0"/>
          <w:sz w:val="32"/>
          <w:szCs w:val="32"/>
          <w:highlight w:val="auto"/>
        </w:rPr>
        <w:t>（一）</w:t>
      </w:r>
      <w:r>
        <w:rPr>
          <w:rFonts w:ascii="Times New Roman" w:eastAsia="楷体_GB2312" w:cs="Times New Roman" w:hAnsi="Times New Roman"/>
          <w:b/>
          <w:bCs w:val="0"/>
          <w:sz w:val="32"/>
          <w:szCs w:val="32"/>
          <w:lang w:eastAsia="zh-CN"/>
          <w:highlight w:val="auto"/>
        </w:rPr>
        <w:t>将部门绩效目标制定纳入本部门集体决策范围。</w:t>
      </w:r>
      <w:r>
        <w:rPr>
          <w:rFonts w:ascii="Times New Roman" w:eastAsia="仿宋_GB2312" w:cs="Times New Roman" w:hAnsi="Times New Roman"/>
          <w:b w:val="0"/>
          <w:bCs/>
          <w:sz w:val="32"/>
          <w:szCs w:val="32"/>
          <w:lang w:eastAsia="zh-CN"/>
          <w:highlight w:val="auto"/>
        </w:rPr>
        <w:t>按照</w:t>
      </w:r>
      <w:r>
        <w:rPr>
          <w:rFonts w:ascii="Times New Roman" w:eastAsia="仿宋_GB2312" w:cs="Times New Roman" w:hAnsi="Times New Roman"/>
          <w:b w:val="0"/>
          <w:bCs/>
          <w:sz w:val="32"/>
          <w:szCs w:val="32"/>
          <w:lang w:val="en-US" w:eastAsia="zh-CN"/>
          <w:highlight w:val="auto"/>
        </w:rPr>
        <w:t>2023年省级部门绩效评价指标体系要求，部门绩效目标制定必须纳入本部门党组(委)会(办公会)集体决策范围，并有相关佐证材料。</w:t>
      </w:r>
    </w:p>
    <w:p>
      <w:pPr>
        <w:pStyle w:val="1"/>
        <w:keepNext/>
        <w:keepLines/>
        <w:pageBreakBefore w:val="0"/>
        <w:widowControl w:val="0"/>
        <w:kinsoku/>
        <w:wordWrap/>
        <w:overflowPunct/>
        <w:topLinePunct w:val="0"/>
        <w:autoSpaceDE/>
        <w:autoSpaceDN/>
        <w:bidi w:val="0"/>
        <w:adjustRightInd/>
        <w:snapToGrid/>
        <w:spacing w:line="560" w:lineRule="exact"/>
        <w:ind w:firstLineChars="200" w:firstLine="632"/>
        <w:jc w:val="left"/>
        <w:textAlignment w:val="auto"/>
        <w:rPr>
          <w:rFonts w:ascii="Times New Roman" w:eastAsia="仿宋_GB2312" w:cs="Times New Roman" w:hAnsi="Times New Roman"/>
          <w:b w:val="0"/>
          <w:bCs/>
          <w:sz w:val="32"/>
          <w:szCs w:val="32"/>
          <w:lang w:val="en-US" w:eastAsia="zh-CN"/>
          <w:highlight w:val="auto"/>
        </w:rPr>
      </w:pPr>
      <w:r>
        <w:rPr>
          <w:rFonts w:ascii="Times New Roman" w:eastAsia="仿宋_GB2312" w:cs="Times New Roman" w:hAnsi="Times New Roman"/>
          <w:b/>
          <w:bCs w:val="0"/>
          <w:sz w:val="32"/>
          <w:szCs w:val="32"/>
          <w:lang w:val="en-US" w:eastAsia="zh-CN"/>
          <w:highlight w:val="auto"/>
        </w:rPr>
        <w:t>（</w:t>
      </w:r>
      <w:r>
        <w:rPr>
          <w:rFonts w:ascii="Times New Roman" w:eastAsia="楷体_GB2312" w:cs="Times New Roman" w:hAnsi="Times New Roman"/>
          <w:b/>
          <w:bCs w:val="0"/>
          <w:sz w:val="32"/>
          <w:szCs w:val="32"/>
          <w:lang w:val="en-US" w:eastAsia="zh-CN"/>
          <w:highlight w:val="auto"/>
        </w:rPr>
        <w:t>二）</w:t>
      </w:r>
      <w:r>
        <w:rPr>
          <w:rFonts w:ascii="Times New Roman" w:eastAsia="楷体_GB2312" w:cs="Times New Roman" w:hAnsi="Times New Roman"/>
          <w:b/>
          <w:bCs w:val="0"/>
          <w:sz w:val="32"/>
          <w:szCs w:val="32"/>
          <w:highlight w:val="auto"/>
        </w:rPr>
        <w:t>建立健全本部门预算绩效结果与预算安排挂钧制度机制</w:t>
      </w:r>
      <w:r>
        <w:rPr>
          <w:rFonts w:ascii="Times New Roman" w:eastAsia="楷体_GB2312" w:cs="Times New Roman" w:hAnsi="Times New Roman"/>
          <w:b/>
          <w:bCs w:val="0"/>
          <w:sz w:val="32"/>
          <w:szCs w:val="32"/>
          <w:lang w:val="en-US" w:eastAsia="zh-CN"/>
          <w:highlight w:val="auto"/>
        </w:rPr>
        <w:t>。</w:t>
      </w:r>
      <w:r>
        <w:rPr>
          <w:rFonts w:ascii="Times New Roman" w:eastAsia="仿宋_GB2312" w:cs="Times New Roman" w:hAnsi="Times New Roman"/>
          <w:b w:val="0"/>
          <w:bCs/>
          <w:sz w:val="32"/>
          <w:szCs w:val="32"/>
          <w:lang w:val="en-US" w:eastAsia="zh-CN"/>
          <w:highlight w:val="auto"/>
        </w:rPr>
        <w:t>将</w:t>
      </w:r>
      <w:r>
        <w:rPr>
          <w:rFonts w:ascii="Times New Roman" w:eastAsia="仿宋_GB2312" w:cs="Times New Roman" w:hAnsi="Times New Roman"/>
          <w:sz w:val="32"/>
          <w:szCs w:val="32"/>
          <w:highlight w:val="auto"/>
        </w:rPr>
        <w:t>预</w:t>
      </w:r>
      <w:r>
        <w:rPr>
          <w:rFonts w:ascii="Times New Roman" w:eastAsia="仿宋_GB2312" w:cs="Times New Roman" w:hAnsi="Times New Roman"/>
          <w:sz w:val="32"/>
          <w:szCs w:val="32"/>
          <w:lang w:eastAsia="zh-CN"/>
          <w:highlight w:val="auto"/>
        </w:rPr>
        <w:t>（政策）项目的事前</w:t>
      </w:r>
      <w:r>
        <w:rPr>
          <w:rFonts w:ascii="Times New Roman" w:eastAsia="仿宋_GB2312" w:cs="Times New Roman" w:hAnsi="Times New Roman"/>
          <w:sz w:val="32"/>
          <w:szCs w:val="32"/>
          <w:highlight w:val="auto"/>
        </w:rPr>
        <w:t>绩效评估结果、绩效运行监控结果</w:t>
      </w:r>
      <w:r>
        <w:rPr>
          <w:rFonts w:ascii="Times New Roman" w:eastAsia="仿宋_GB2312" w:cs="Times New Roman" w:hAnsi="Times New Roman"/>
          <w:sz w:val="32"/>
          <w:szCs w:val="32"/>
          <w:lang w:eastAsia="zh-CN"/>
          <w:highlight w:val="auto"/>
        </w:rPr>
        <w:t>和</w:t>
      </w:r>
      <w:r>
        <w:rPr>
          <w:rFonts w:ascii="Times New Roman" w:eastAsia="仿宋_GB2312" w:cs="Times New Roman" w:hAnsi="Times New Roman"/>
          <w:sz w:val="32"/>
          <w:szCs w:val="32"/>
          <w:highlight w:val="auto"/>
        </w:rPr>
        <w:t>支出绩效评价结果</w:t>
      </w:r>
      <w:r>
        <w:rPr>
          <w:rFonts w:ascii="Times New Roman" w:eastAsia="仿宋_GB2312" w:cs="Times New Roman" w:hAnsi="Times New Roman"/>
          <w:sz w:val="32"/>
          <w:szCs w:val="32"/>
          <w:lang w:eastAsia="zh-CN"/>
          <w:highlight w:val="auto"/>
        </w:rPr>
        <w:t>，</w:t>
      </w:r>
      <w:r>
        <w:rPr>
          <w:rFonts w:ascii="Times New Roman" w:eastAsia="仿宋_GB2312" w:cs="Times New Roman" w:hAnsi="Times New Roman"/>
          <w:sz w:val="32"/>
          <w:szCs w:val="32"/>
          <w:highlight w:val="auto"/>
        </w:rPr>
        <w:t>作为核定次年政策</w:t>
      </w:r>
      <w:r>
        <w:rPr>
          <w:rFonts w:ascii="Times New Roman" w:eastAsia="仿宋_GB2312" w:cs="Times New Roman" w:hAnsi="Times New Roman"/>
          <w:sz w:val="32"/>
          <w:szCs w:val="32"/>
          <w:lang w:eastAsia="zh-CN"/>
          <w:highlight w:val="auto"/>
        </w:rPr>
        <w:t>（项目）</w:t>
      </w:r>
      <w:r>
        <w:rPr>
          <w:rFonts w:ascii="Times New Roman" w:eastAsia="仿宋_GB2312" w:cs="Times New Roman" w:hAnsi="Times New Roman"/>
          <w:sz w:val="32"/>
          <w:szCs w:val="32"/>
          <w:highlight w:val="auto"/>
        </w:rPr>
        <w:t>是否继续实施和项目预算额度的依据予以应用</w:t>
      </w:r>
      <w:r>
        <w:rPr>
          <w:rFonts w:ascii="Times New Roman" w:eastAsia="仿宋_GB2312" w:cs="Times New Roman" w:hAnsi="Times New Roman"/>
          <w:sz w:val="32"/>
          <w:szCs w:val="32"/>
          <w:lang w:eastAsia="zh-CN"/>
          <w:highlight w:val="auto"/>
        </w:rPr>
        <w:t>，按绩效结果应用的相求，结全部门工作实际，建立健全本部门预算绩效结果与预算安排挂钧制度。</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5"/>
        <w:textAlignment w:val="auto"/>
        <w:rPr>
          <w:rFonts w:ascii="Times New Roman" w:eastAsia="仿宋_GB2312" w:cs="Times New Roman" w:hAnsi="Times New Roman"/>
          <w:b w:val="0"/>
          <w:bCs/>
          <w:sz w:val="32"/>
          <w:szCs w:val="32"/>
          <w:lang w:eastAsia="zh-CN"/>
          <w:highlight w:val="auto"/>
        </w:rPr>
      </w:pPr>
      <w:r>
        <w:rPr>
          <w:rFonts w:ascii="Times New Roman" w:eastAsia="楷体_GB2312" w:cs="Times New Roman" w:hAnsi="Times New Roman"/>
          <w:b/>
          <w:bCs w:val="0"/>
          <w:sz w:val="32"/>
          <w:szCs w:val="32"/>
          <w:lang w:eastAsia="zh-CN"/>
          <w:highlight w:val="auto"/>
        </w:rPr>
        <w:t>（三）加强项目资金制度建设，提高资金使用绩效。</w:t>
      </w:r>
      <w:r>
        <w:rPr>
          <w:rFonts w:ascii="Times New Roman" w:eastAsia="仿宋_GB2312" w:cs="Times New Roman" w:hAnsi="Times New Roman"/>
          <w:b w:val="0"/>
          <w:bCs/>
          <w:sz w:val="32"/>
          <w:szCs w:val="32"/>
          <w:lang w:eastAsia="zh-CN"/>
          <w:highlight w:val="auto"/>
        </w:rPr>
        <w:t>各部门（单位）应</w:t>
      </w:r>
      <w:r>
        <w:rPr>
          <w:rFonts w:ascii="Times New Roman" w:eastAsia="仿宋_GB2312" w:cs="Times New Roman" w:hAnsi="Times New Roman"/>
          <w:b w:val="0"/>
          <w:bCs/>
          <w:sz w:val="32"/>
          <w:szCs w:val="32"/>
          <w:highlight w:val="auto"/>
        </w:rPr>
        <w:t>建立健全</w:t>
      </w:r>
      <w:r>
        <w:rPr>
          <w:rFonts w:ascii="Times New Roman" w:eastAsia="仿宋_GB2312" w:cs="Times New Roman" w:hAnsi="Times New Roman"/>
          <w:b w:val="0"/>
          <w:bCs/>
          <w:sz w:val="32"/>
          <w:szCs w:val="32"/>
          <w:lang w:eastAsia="zh-CN"/>
          <w:highlight w:val="auto"/>
        </w:rPr>
        <w:t>本单位</w:t>
      </w:r>
      <w:r>
        <w:rPr>
          <w:rFonts w:ascii="Times New Roman" w:eastAsia="仿宋_GB2312" w:cs="Times New Roman" w:hAnsi="Times New Roman"/>
          <w:b w:val="0"/>
          <w:bCs/>
          <w:sz w:val="32"/>
          <w:szCs w:val="32"/>
          <w:highlight w:val="auto"/>
        </w:rPr>
        <w:t>资金管理制度，制定项目管理办法与专项资金管理办法</w:t>
      </w:r>
      <w:r>
        <w:rPr>
          <w:rFonts w:ascii="Times New Roman" w:eastAsia="仿宋_GB2312" w:cs="Times New Roman" w:hAnsi="Times New Roman"/>
          <w:b w:val="0"/>
          <w:bCs/>
          <w:sz w:val="32"/>
          <w:szCs w:val="32"/>
          <w:lang w:eastAsia="zh-CN"/>
          <w:highlight w:val="auto"/>
        </w:rPr>
        <w:t>，</w:t>
      </w:r>
      <w:r>
        <w:rPr>
          <w:rFonts w:ascii="Times New Roman" w:eastAsia="仿宋_GB2312" w:cs="Times New Roman" w:hAnsi="Times New Roman"/>
          <w:b w:val="0"/>
          <w:bCs/>
          <w:sz w:val="32"/>
          <w:szCs w:val="32"/>
          <w:highlight w:val="auto"/>
        </w:rPr>
        <w:t>规范资金用途，做</w:t>
      </w:r>
      <w:r>
        <w:rPr>
          <w:rFonts w:ascii="Times New Roman" w:eastAsia="仿宋_GB2312" w:cs="Times New Roman" w:hAnsi="Times New Roman"/>
          <w:b w:val="0"/>
          <w:bCs/>
          <w:sz w:val="32"/>
          <w:szCs w:val="32"/>
          <w:lang w:eastAsia="zh-CN"/>
          <w:highlight w:val="auto"/>
        </w:rPr>
        <w:t>到</w:t>
      </w:r>
      <w:r>
        <w:rPr>
          <w:rFonts w:ascii="Times New Roman" w:eastAsia="仿宋_GB2312" w:cs="Times New Roman" w:hAnsi="Times New Roman"/>
          <w:b w:val="0"/>
          <w:bCs/>
          <w:sz w:val="32"/>
          <w:szCs w:val="32"/>
          <w:highlight w:val="auto"/>
        </w:rPr>
        <w:t>专款专用，切实发挥好县级财政资金的最大效益。</w:t>
      </w:r>
      <w:r>
        <w:rPr>
          <w:rFonts w:ascii="Times New Roman" w:eastAsia="仿宋_GB2312" w:cs="Times New Roman" w:hAnsi="Times New Roman"/>
          <w:b w:val="0"/>
          <w:bCs/>
          <w:sz w:val="32"/>
          <w:szCs w:val="32"/>
          <w:lang w:eastAsia="zh-CN"/>
          <w:highlight w:val="auto"/>
        </w:rPr>
        <w:t>完善项目资金使用方案，明确资金使用方向、分配方式，对覆盖对象充分论证研究，做到公平公正。</w:t>
      </w:r>
    </w:p>
    <w:p>
      <w:pPr>
        <w:pageBreakBefore w:val="0"/>
        <w:widowControl w:val="0"/>
        <w:tabs>
          <w:tab w:val="left" w:pos="662"/>
        </w:tabs>
        <w:kinsoku/>
        <w:wordWrap/>
        <w:overflowPunct/>
        <w:topLinePunct w:val="0"/>
        <w:autoSpaceDE/>
        <w:autoSpaceDN/>
        <w:bidi w:val="0"/>
        <w:adjustRightInd/>
        <w:snapToGrid/>
        <w:spacing w:line="560" w:lineRule="exact"/>
        <w:ind w:firstLineChars="200" w:firstLine="632"/>
        <w:jc w:val="left"/>
        <w:textAlignment w:val="auto"/>
        <w:rPr>
          <w:rFonts w:ascii="Times New Roman" w:eastAsia="仿宋_GB2312" w:cs="Times New Roman" w:hAnsi="Times New Roman"/>
          <w:sz w:val="32"/>
          <w:szCs w:val="32"/>
          <w:lang w:val="en-US" w:eastAsia="zh-CN"/>
          <w:highlight w:val="auto"/>
        </w:rPr>
      </w:pPr>
      <w:r>
        <w:rPr>
          <w:rFonts w:ascii="Times New Roman" w:eastAsia="楷体_GB2312" w:cs="Times New Roman" w:hAnsi="Times New Roman"/>
          <w:b/>
          <w:bCs w:val="0"/>
          <w:sz w:val="32"/>
          <w:szCs w:val="32"/>
          <w:lang w:val="en-US" w:eastAsia="zh-CN"/>
          <w:highlight w:val="auto"/>
        </w:rPr>
        <w:t>（四）</w:t>
      </w:r>
      <w:r>
        <w:rPr>
          <w:rFonts w:ascii="Times New Roman" w:eastAsia="楷体_GB2312" w:cs="Times New Roman" w:hAnsi="Times New Roman"/>
          <w:b/>
          <w:bCs w:val="0"/>
          <w:sz w:val="32"/>
          <w:szCs w:val="32"/>
          <w:lang w:eastAsia="zh-CN"/>
          <w:highlight w:val="auto"/>
        </w:rPr>
        <w:t>不断增强监控结果的应用效果。</w:t>
      </w:r>
      <w:r>
        <w:rPr>
          <w:rFonts w:ascii="Times New Roman" w:eastAsia="仿宋_GB2312" w:cs="Times New Roman" w:hAnsi="Times New Roman"/>
          <w:b w:val="0"/>
          <w:bCs/>
          <w:sz w:val="32"/>
          <w:szCs w:val="32"/>
          <w:lang w:eastAsia="zh-CN"/>
          <w:highlight w:val="auto"/>
        </w:rPr>
        <w:t>各部门（单位）</w:t>
      </w:r>
      <w:r>
        <w:rPr>
          <w:rFonts w:ascii="Times New Roman" w:cs="Times New Roman" w:hAnsi="Times New Roman"/>
          <w:b w:val="0"/>
          <w:bCs/>
          <w:sz w:val="32"/>
          <w:szCs w:val="32"/>
          <w:lang w:eastAsia="zh-CN"/>
          <w:highlight w:val="auto"/>
        </w:rPr>
        <w:t>不仅要按要求对</w:t>
      </w:r>
      <w:r>
        <w:rPr>
          <w:rFonts w:ascii="Times New Roman" w:eastAsia="仿宋_GB2312" w:cs="Times New Roman" w:hAnsi="Times New Roman"/>
          <w:b w:val="0"/>
          <w:bCs/>
          <w:sz w:val="32"/>
          <w:szCs w:val="32"/>
          <w:lang w:eastAsia="zh-CN"/>
          <w:highlight w:val="auto"/>
        </w:rPr>
        <w:t>本部门的整体绩效目标、</w:t>
      </w:r>
      <w:r>
        <w:rPr>
          <w:rFonts w:ascii="Times New Roman" w:cs="Times New Roman" w:hAnsi="Times New Roman"/>
          <w:b w:val="0"/>
          <w:bCs/>
          <w:sz w:val="32"/>
          <w:szCs w:val="32"/>
          <w:lang w:eastAsia="zh-CN"/>
          <w:highlight w:val="auto"/>
        </w:rPr>
        <w:t>（</w:t>
      </w:r>
      <w:r>
        <w:rPr>
          <w:rFonts w:ascii="Times New Roman" w:eastAsia="仿宋_GB2312" w:cs="Times New Roman" w:hAnsi="Times New Roman"/>
          <w:b w:val="0"/>
          <w:bCs/>
          <w:sz w:val="32"/>
          <w:szCs w:val="32"/>
          <w:lang w:eastAsia="zh-CN"/>
          <w:highlight w:val="auto"/>
        </w:rPr>
        <w:t>政策</w:t>
      </w:r>
      <w:r>
        <w:rPr>
          <w:rFonts w:ascii="Times New Roman" w:cs="Times New Roman" w:hAnsi="Times New Roman"/>
          <w:b w:val="0"/>
          <w:bCs/>
          <w:sz w:val="32"/>
          <w:szCs w:val="32"/>
          <w:lang w:eastAsia="zh-CN"/>
          <w:highlight w:val="auto"/>
        </w:rPr>
        <w:t>）</w:t>
      </w:r>
      <w:r>
        <w:rPr>
          <w:rFonts w:ascii="Times New Roman" w:eastAsia="仿宋_GB2312" w:cs="Times New Roman" w:hAnsi="Times New Roman"/>
          <w:b w:val="0"/>
          <w:bCs/>
          <w:sz w:val="32"/>
          <w:szCs w:val="32"/>
          <w:lang w:eastAsia="zh-CN"/>
          <w:highlight w:val="auto"/>
        </w:rPr>
        <w:t>项目绩效目标实现程度和预算执行实行“双监控”</w:t>
      </w:r>
      <w:r>
        <w:rPr>
          <w:rFonts w:ascii="Times New Roman" w:cs="Times New Roman" w:hAnsi="Times New Roman"/>
          <w:b w:val="0"/>
          <w:bCs/>
          <w:sz w:val="32"/>
          <w:szCs w:val="32"/>
          <w:lang w:eastAsia="zh-CN"/>
          <w:highlight w:val="auto"/>
        </w:rPr>
        <w:t>，重点是要对监控发现的</w:t>
      </w:r>
      <w:r>
        <w:rPr>
          <w:rFonts w:ascii="Times New Roman" w:eastAsia="仿宋_GB2312" w:cs="Times New Roman" w:hAnsi="Times New Roman"/>
          <w:b w:val="0"/>
          <w:bCs/>
          <w:sz w:val="32"/>
          <w:szCs w:val="32"/>
          <w:lang w:val="en-US" w:eastAsia="zh-CN"/>
          <w:highlight w:val="auto"/>
        </w:rPr>
        <w:t>问题及时分类处置，</w:t>
      </w:r>
      <w:r>
        <w:rPr>
          <w:rFonts w:ascii="Times New Roman" w:eastAsia="仿宋_GB2312" w:cs="Times New Roman" w:hAnsi="Times New Roman"/>
          <w:sz w:val="32"/>
          <w:szCs w:val="32"/>
          <w:lang w:val="en-US" w:eastAsia="zh-CN"/>
          <w:highlight w:val="auto"/>
        </w:rPr>
        <w:t>对各项指标完成情况认真研判，找出自身问题所在</w:t>
      </w:r>
      <w:r>
        <w:rPr>
          <w:rFonts w:ascii="Times New Roman" w:eastAsia="仿宋_GB2312" w:cs="Times New Roman" w:hAnsi="Times New Roman"/>
          <w:b w:val="0"/>
          <w:bCs/>
          <w:sz w:val="32"/>
          <w:szCs w:val="32"/>
          <w:lang w:eastAsia="zh-CN"/>
          <w:highlight w:val="auto"/>
        </w:rPr>
        <w:t>，确保预算执行</w:t>
      </w:r>
      <w:r>
        <w:rPr>
          <w:rFonts w:ascii="Times New Roman" w:cs="Times New Roman" w:hAnsi="Times New Roman"/>
          <w:b w:val="0"/>
          <w:bCs/>
          <w:sz w:val="32"/>
          <w:szCs w:val="32"/>
          <w:lang w:eastAsia="zh-CN"/>
          <w:highlight w:val="auto"/>
        </w:rPr>
        <w:t>进度和</w:t>
      </w:r>
      <w:r>
        <w:rPr>
          <w:rFonts w:ascii="Times New Roman" w:eastAsia="仿宋_GB2312" w:cs="Times New Roman" w:hAnsi="Times New Roman"/>
          <w:b w:val="0"/>
          <w:bCs/>
          <w:sz w:val="32"/>
          <w:szCs w:val="32"/>
          <w:lang w:eastAsia="zh-CN"/>
          <w:highlight w:val="auto"/>
        </w:rPr>
        <w:t>绩效目标如期保质保量实现</w:t>
      </w:r>
      <w:r>
        <w:rPr>
          <w:rFonts w:ascii="Times New Roman" w:cs="Times New Roman" w:hAnsi="Times New Roman"/>
          <w:b w:val="0"/>
          <w:bCs/>
          <w:sz w:val="32"/>
          <w:szCs w:val="32"/>
          <w:lang w:eastAsia="zh-CN"/>
          <w:highlight w:val="auto"/>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textAlignment w:val="auto"/>
        <w:rPr>
          <w:rFonts w:ascii="Times New Roman" w:eastAsia="仿宋_GB2312" w:cs="Times New Roman" w:hAnsi="Times New Roman"/>
          <w:kern w:val="2"/>
          <w:sz w:val="32"/>
          <w:szCs w:val="32"/>
          <w:lang w:val="en-US" w:eastAsia="zh-CN" w:bidi="ar-SA"/>
          <w:highlight w:val="auto"/>
        </w:rPr>
      </w:pPr>
      <w:r>
        <w:rPr>
          <w:rFonts w:ascii="Times New Roman" w:eastAsia="楷体_GB2312" w:cs="Times New Roman" w:hAnsi="Times New Roman"/>
          <w:b/>
          <w:bCs/>
          <w:kern w:val="2"/>
          <w:sz w:val="32"/>
          <w:szCs w:val="32"/>
          <w:lang w:val="en-US" w:eastAsia="zh-CN" w:bidi="ar-SA"/>
          <w:highlight w:val="auto"/>
        </w:rPr>
        <w:t>（五）积极完善经济合同管理。</w:t>
      </w:r>
      <w:r>
        <w:rPr>
          <w:rFonts w:ascii="Times New Roman" w:eastAsia="仿宋_GB2312" w:cs="Times New Roman" w:hAnsi="Times New Roman"/>
          <w:b/>
          <w:bCs/>
          <w:kern w:val="2"/>
          <w:sz w:val="32"/>
          <w:szCs w:val="32"/>
          <w:lang w:val="en-US" w:eastAsia="zh-CN" w:bidi="ar-SA"/>
          <w:highlight w:val="auto"/>
        </w:rPr>
        <w:t>一是</w:t>
      </w:r>
      <w:r>
        <w:rPr>
          <w:rFonts w:ascii="Times New Roman" w:eastAsia="仿宋_GB2312" w:cs="Times New Roman" w:hAnsi="Times New Roman"/>
          <w:kern w:val="2"/>
          <w:sz w:val="32"/>
          <w:szCs w:val="32"/>
          <w:lang w:val="en-US" w:eastAsia="zh-CN" w:bidi="ar-SA"/>
          <w:highlight w:val="auto"/>
        </w:rPr>
        <w:t>对已签定的经济合同进行梳理，完善合同要素，确定需补充事项，明确双方权利、义务、责任，</w:t>
      </w:r>
      <w:r>
        <w:rPr>
          <w:rFonts w:ascii="Times New Roman" w:cs="Times New Roman" w:hAnsi="Times New Roman"/>
          <w:kern w:val="2"/>
          <w:sz w:val="32"/>
          <w:szCs w:val="32"/>
          <w:lang w:val="en-US" w:eastAsia="zh-CN" w:bidi="ar-SA"/>
          <w:highlight w:val="auto"/>
        </w:rPr>
        <w:t>将质保期预留质保金或履约保证金作为合同的必备要素，</w:t>
      </w:r>
      <w:r>
        <w:rPr>
          <w:rFonts w:ascii="Times New Roman" w:eastAsia="仿宋_GB2312" w:cs="Times New Roman" w:hAnsi="Times New Roman"/>
          <w:kern w:val="2"/>
          <w:sz w:val="32"/>
          <w:szCs w:val="32"/>
          <w:lang w:val="en-US" w:eastAsia="zh-CN" w:bidi="ar-SA"/>
          <w:highlight w:val="auto"/>
        </w:rPr>
        <w:t>保证经济合同安全有效，防范合同风险；</w:t>
      </w:r>
      <w:r>
        <w:rPr>
          <w:rFonts w:ascii="Times New Roman" w:cs="Times New Roman" w:hAnsi="Times New Roman"/>
          <w:b/>
          <w:bCs/>
          <w:kern w:val="2"/>
          <w:sz w:val="32"/>
          <w:szCs w:val="32"/>
          <w:lang w:val="en-US" w:eastAsia="zh-CN" w:bidi="ar-SA"/>
          <w:highlight w:val="auto"/>
        </w:rPr>
        <w:t>二</w:t>
      </w:r>
      <w:r>
        <w:rPr>
          <w:rFonts w:ascii="Times New Roman" w:eastAsia="仿宋_GB2312" w:cs="Times New Roman" w:hAnsi="Times New Roman"/>
          <w:b/>
          <w:bCs/>
          <w:kern w:val="2"/>
          <w:sz w:val="32"/>
          <w:szCs w:val="32"/>
          <w:lang w:val="en-US" w:eastAsia="zh-CN" w:bidi="ar-SA"/>
          <w:highlight w:val="auto"/>
        </w:rPr>
        <w:t>是</w:t>
      </w:r>
      <w:r>
        <w:rPr>
          <w:rFonts w:ascii="Times New Roman" w:eastAsia="仿宋_GB2312" w:cs="Times New Roman" w:hAnsi="Times New Roman"/>
          <w:kern w:val="2"/>
          <w:sz w:val="32"/>
          <w:szCs w:val="32"/>
          <w:lang w:val="en-US" w:eastAsia="zh-CN" w:bidi="ar-SA"/>
          <w:highlight w:val="auto"/>
        </w:rPr>
        <w:t>对相关合同管理人员进行培训，增强其业务水平及责任意识。</w:t>
      </w:r>
    </w:p>
    <w:p>
      <w:pPr>
        <w:pStyle w:val="15"/>
        <w:keepNext w:val="0"/>
        <w:keepLines w:val="0"/>
        <w:pageBreakBefore w:val="0"/>
        <w:widowControl w:val="0"/>
        <w:suppressLineNumbers w:val="0"/>
        <w:suppressAutoHyphens/>
        <w:kinsoku/>
        <w:wordWrap/>
        <w:overflowPunct/>
        <w:topLinePunct w:val="0"/>
        <w:autoSpaceDE/>
        <w:autoSpaceDN/>
        <w:bidi w:val="0"/>
        <w:adjustRightInd/>
        <w:snapToGrid/>
        <w:spacing w:beforeAutospacing="0" w:afterAutospacing="0" w:line="560" w:lineRule="exact"/>
        <w:ind w:leftChars="0" w:left="0" w:firstLineChars="200" w:firstLine="632"/>
        <w:jc w:val="left"/>
        <w:textAlignment w:val="auto"/>
        <w:rPr>
          <w:rFonts w:ascii="Times New Roman" w:cs="Times New Roman" w:hAnsi="Times New Roman"/>
          <w:kern w:val="2"/>
          <w:sz w:val="32"/>
          <w:szCs w:val="32"/>
          <w:lang w:val="en-US" w:eastAsia="zh-CN" w:bidi="ar-SA"/>
          <w:highlight w:val="auto"/>
        </w:rPr>
      </w:pPr>
      <w:r>
        <w:rPr>
          <w:rFonts w:ascii="Times New Roman" w:eastAsia="楷体_GB2312" w:cs="Times New Roman" w:hAnsi="Times New Roman"/>
          <w:b/>
          <w:bCs/>
          <w:snapToGrid/>
          <w:spacing w:val="0"/>
          <w:w w:val="100"/>
          <w:kern w:val="2"/>
          <w:position w:val="0"/>
          <w:sz w:val="32"/>
          <w:szCs w:val="32"/>
          <w:u w:val="none"/>
          <w:vertAlign w:val="baseline"/>
          <w:lang w:val="en-US" w:eastAsia="zh-CN" w:bidi="ar-SA"/>
          <w:highlight w:val="auto"/>
        </w:rPr>
        <w:t>（六）规范项目验收。</w:t>
      </w:r>
      <w:r>
        <w:rPr>
          <w:rFonts w:ascii="Times New Roman" w:eastAsia="仿宋_GB2312" w:cs="Times New Roman" w:hAnsi="Times New Roman"/>
          <w:kern w:val="2"/>
          <w:sz w:val="32"/>
          <w:szCs w:val="32"/>
          <w:lang w:val="en-US" w:eastAsia="zh-CN" w:bidi="ar-SA"/>
          <w:highlight w:val="auto"/>
        </w:rPr>
        <w:t>基建项目采用统一的基本建设项目竣工验收报告模板，项目设计单位、监理单位、施工单位均应参加项目验收；及时组织竣工结算审计，财务决算审计，对于符合固定资产条件的资产及时确认形成资产</w:t>
      </w:r>
      <w:r>
        <w:rPr>
          <w:rFonts w:ascii="Times New Roman" w:cs="Times New Roman" w:hAnsi="Times New Roman"/>
          <w:kern w:val="2"/>
          <w:sz w:val="32"/>
          <w:szCs w:val="32"/>
          <w:lang w:val="en-US" w:eastAsia="zh-CN" w:bidi="ar-SA"/>
          <w:highlight w:val="auto"/>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31"/>
        <w:textAlignment w:val="auto"/>
        <w:rPr>
          <w:rFonts w:ascii="Times New Roman" w:cs="Times New Roman" w:hAnsi="Times New Roman"/>
          <w:kern w:val="2"/>
          <w:sz w:val="32"/>
          <w:szCs w:val="32"/>
          <w:lang w:val="en-US" w:eastAsia="zh-CN" w:bidi="ar-SA"/>
          <w:highlight w:val="auto"/>
        </w:rPr>
      </w:pPr>
      <w:r>
        <w:rPr>
          <w:rFonts w:ascii="Times New Roman" w:eastAsia="楷体_GB2312" w:cs="Times New Roman" w:hAnsi="Times New Roman"/>
          <w:b/>
          <w:bCs w:val="0"/>
          <w:sz w:val="32"/>
          <w:szCs w:val="32"/>
          <w:lang w:val="en-US" w:eastAsia="zh-CN"/>
          <w:highlight w:val="auto"/>
        </w:rPr>
        <w:t>（七）加强项目后期管护工作。</w:t>
      </w:r>
      <w:r>
        <w:rPr>
          <w:rFonts w:ascii="Times New Roman" w:cs="Times New Roman" w:hAnsi="Times New Roman"/>
          <w:kern w:val="2"/>
          <w:sz w:val="32"/>
          <w:szCs w:val="32"/>
          <w:lang w:val="en-US" w:eastAsia="zh-CN" w:bidi="ar-SA"/>
          <w:highlight w:val="auto"/>
        </w:rPr>
        <w:t>制定相关后期管护制度，明确项目后期管护责任，切实制定并提高项目实施后的生态效益、社会效益，可持续地服务于人民群众。</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5"/>
        <w:textAlignment w:val="auto"/>
        <w:rPr>
          <w:rFonts w:ascii="Times New Roman" w:eastAsia="仿宋_GB2312" w:cs="Times New Roman" w:hAnsi="Times New Roman"/>
          <w:kern w:val="2"/>
          <w:sz w:val="32"/>
          <w:szCs w:val="32"/>
          <w:lang w:val="en-US" w:eastAsia="zh-CN" w:bidi="ar-SA"/>
          <w:highlight w:val="auto"/>
        </w:rPr>
      </w:pPr>
      <w:r>
        <w:rPr>
          <w:rFonts w:ascii="Times New Roman" w:eastAsia="楷体_GB2312" w:cs="Times New Roman" w:hAnsi="Times New Roman"/>
          <w:b/>
          <w:bCs w:val="0"/>
          <w:sz w:val="32"/>
          <w:szCs w:val="32"/>
          <w:lang w:eastAsia="zh-CN"/>
          <w:highlight w:val="auto"/>
        </w:rPr>
        <w:t>（八）加强项目档案管理。</w:t>
      </w:r>
      <w:r>
        <w:rPr>
          <w:rFonts w:ascii="Times New Roman" w:eastAsia="仿宋_GB2312" w:cs="Times New Roman" w:hAnsi="Times New Roman"/>
          <w:kern w:val="2"/>
          <w:sz w:val="32"/>
          <w:szCs w:val="32"/>
          <w:lang w:val="en-US" w:eastAsia="zh-CN" w:bidi="ar-SA"/>
          <w:highlight w:val="auto"/>
        </w:rPr>
        <w:t>及时对项目资料进行整理归档，确保形成完整准确的档案资料</w:t>
      </w:r>
      <w:r>
        <w:rPr>
          <w:rFonts w:ascii="Times New Roman" w:cs="Times New Roman" w:hAnsi="Times New Roman"/>
          <w:kern w:val="2"/>
          <w:sz w:val="32"/>
          <w:szCs w:val="32"/>
          <w:lang w:val="en-US" w:eastAsia="zh-CN" w:bidi="ar-SA"/>
          <w:highlight w:val="auto"/>
        </w:rPr>
        <w:t>。</w:t>
      </w:r>
    </w:p>
    <w:p>
      <w:pPr>
        <w:pageBreakBefore w:val="0"/>
        <w:widowControl w:val="0"/>
        <w:kinsoku/>
        <w:wordWrap/>
        <w:overflowPunct/>
        <w:topLinePunct w:val="0"/>
        <w:autoSpaceDE/>
        <w:autoSpaceDN/>
        <w:bidi w:val="0"/>
        <w:adjustRightInd/>
        <w:snapToGrid/>
        <w:spacing w:line="560" w:lineRule="exact"/>
        <w:ind w:firstLine="631"/>
        <w:textAlignment w:val="auto"/>
        <w:rPr>
          <w:rFonts w:eastAsia="方正仿宋_GBK" w:cs="Times New Roman" w:hint="eastAsia"/>
          <w:bCs/>
          <w:color w:val="000000"/>
          <w:sz w:val="32"/>
          <w:szCs w:val="32"/>
          <w:lang w:val="en-US" w:eastAsia="zh-CN" w:bidi="ar-SA"/>
        </w:rPr>
      </w:pPr>
      <w:r>
        <w:rPr>
          <w:rFonts w:ascii="Times New Roman" w:eastAsia="楷体_GB2312" w:cs="Times New Roman" w:hAnsi="Times New Roman"/>
          <w:b/>
          <w:bCs w:val="0"/>
          <w:sz w:val="32"/>
          <w:szCs w:val="32"/>
          <w:lang w:val="en-US" w:eastAsia="zh-CN"/>
          <w:highlight w:val="auto"/>
        </w:rPr>
        <w:t>（八）抓好问题整改落实。</w:t>
      </w:r>
      <w:r>
        <w:rPr>
          <w:rFonts w:ascii="Times New Roman" w:eastAsia="仿宋_GB2312" w:cs="Times New Roman" w:hAnsi="Times New Roman"/>
          <w:kern w:val="2"/>
          <w:sz w:val="32"/>
          <w:szCs w:val="32"/>
          <w:lang w:val="en-US" w:eastAsia="zh-CN" w:bidi="ar-SA"/>
          <w:highlight w:val="auto"/>
        </w:rPr>
        <w:t>对发现的问题，项目主管部门要认真整改落实，各部门（单位）要对照绩效评价问题清单，结合绩效评价报告和整改要求，深入查找原因，认真制定整改方案，落实整改责任，逐项抓好整改落实，及时向县财政局报送整改结果。</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eastAsia="方正仿宋_GBK" w:cs="Times New Roman" w:hint="eastAsia"/>
          <w:bCs/>
          <w:color w:val="000000"/>
          <w:sz w:val="32"/>
          <w:szCs w:val="32"/>
          <w:lang w:val="en-US" w:eastAsia="zh-CN" w:bidi="ar-SA"/>
        </w:rPr>
      </w:pPr>
      <w:r>
        <w:rPr>
          <w:rFonts w:eastAsia="方正仿宋_GBK" w:cs="Times New Roman" w:hint="eastAsia"/>
          <w:bCs/>
          <w:color w:val="000000"/>
          <w:sz w:val="32"/>
          <w:szCs w:val="32"/>
          <w:lang w:val="en-US" w:eastAsia="zh-CN" w:bidi="ar-SA"/>
        </w:rPr>
        <w:t xml:space="preserve">  附件：1.2023年县级财政重点绩效评价政策（项目）明细表</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eastAsia="方正仿宋_GBK" w:cs="Times New Roman" w:hint="eastAsia"/>
          <w:bCs/>
          <w:color w:val="000000"/>
          <w:sz w:val="32"/>
          <w:szCs w:val="32"/>
          <w:lang w:val="en-US" w:eastAsia="zh-CN" w:bidi="ar-SA"/>
        </w:rPr>
      </w:pPr>
      <w:r>
        <w:rPr>
          <w:rFonts w:eastAsia="方正仿宋_GBK" w:cs="Times New Roman" w:hint="eastAsia"/>
          <w:bCs/>
          <w:color w:val="000000"/>
          <w:sz w:val="32"/>
          <w:szCs w:val="32"/>
          <w:lang w:val="en-US" w:eastAsia="zh-CN" w:bidi="ar-SA"/>
        </w:rPr>
        <w:t xml:space="preserve">        2. 2023年部门整体支出绩效评价重点抽评单位</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eastAsia="方正仿宋_GBK" w:cs="Times New Roman" w:hint="eastAsia"/>
          <w:bCs/>
          <w:color w:val="000000"/>
          <w:sz w:val="32"/>
          <w:szCs w:val="32"/>
          <w:lang w:val="en-US" w:eastAsia="zh-CN" w:bidi="ar-SA"/>
        </w:rPr>
      </w:pPr>
    </w:p>
    <w:p>
      <w:pPr>
        <w:pStyle w:val="15"/>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ascii="Times New Roman" w:eastAsia="方正仿宋_GBK" w:cs="Times New Roman" w:hAnsi="Times New Roman"/>
          <w:bCs/>
          <w:color w:val="000000"/>
          <w:sz w:val="32"/>
          <w:szCs w:val="32"/>
          <w:lang w:val="en-US" w:eastAsia="zh-CN" w:bidi="ar-SA"/>
        </w:rPr>
      </w:pPr>
      <w:r>
        <w:rPr>
          <w:rFonts w:eastAsia="方正仿宋_GBK" w:cs="Times New Roman" w:hint="eastAsia"/>
          <w:bCs/>
          <w:color w:val="000000"/>
          <w:sz w:val="32"/>
          <w:szCs w:val="32"/>
          <w:lang w:val="en-US" w:eastAsia="zh-CN" w:bidi="ar-SA"/>
        </w:rPr>
        <w:t xml:space="preserve">                        </w:t>
      </w:r>
      <w:r>
        <w:rPr>
          <w:rFonts w:ascii="Times New Roman" w:eastAsia="方正仿宋_GBK" w:cs="Times New Roman" w:hAnsi="Times New Roman"/>
          <w:bCs/>
          <w:color w:val="000000"/>
          <w:sz w:val="32"/>
          <w:szCs w:val="32"/>
          <w:lang w:val="en-US" w:eastAsia="zh-CN" w:bidi="ar-SA"/>
        </w:rPr>
        <w:t>金川县财政局</w:t>
      </w:r>
    </w:p>
    <w:p>
      <w:pPr>
        <w:keepNext w:val="0"/>
        <w:keepLines w:val="0"/>
        <w:pageBreakBefore w:val="0"/>
        <w:widowControl w:val="0"/>
        <w:kinsoku/>
        <w:wordWrap/>
        <w:overflowPunct/>
        <w:topLinePunct w:val="0"/>
        <w:autoSpaceDE/>
        <w:autoSpaceDN/>
        <w:bidi w:val="0"/>
        <w:adjustRightInd/>
        <w:snapToGrid/>
        <w:spacing w:line="560" w:lineRule="exact"/>
        <w:ind w:left="0" w:firstLineChars="1700" w:firstLine="5370"/>
        <w:jc w:val="both"/>
        <w:textAlignment w:val="auto"/>
        <w:rPr>
          <w:rFonts w:eastAsia="方正仿宋_GBK" w:cs="Times New Roman" w:hint="eastAsia"/>
          <w:bCs/>
          <w:color w:val="000000"/>
          <w:sz w:val="32"/>
          <w:szCs w:val="32"/>
          <w:lang w:val="en-US" w:eastAsia="zh-CN" w:bidi="ar-SA"/>
        </w:rPr>
      </w:pPr>
      <w:r>
        <w:rPr>
          <w:rFonts w:ascii="Times New Roman" w:eastAsia="方正仿宋_GBK" w:cs="Times New Roman" w:hAnsi="Times New Roman"/>
          <w:bCs/>
          <w:color w:val="000000"/>
          <w:sz w:val="32"/>
          <w:szCs w:val="32"/>
          <w:lang w:val="en-US" w:eastAsia="zh-CN" w:bidi="ar-SA"/>
        </w:rPr>
        <w:t>202</w:t>
      </w:r>
      <w:r>
        <w:rPr>
          <w:rFonts w:eastAsia="方正仿宋_GBK" w:cs="Times New Roman" w:hint="eastAsia"/>
          <w:bCs/>
          <w:color w:val="000000"/>
          <w:sz w:val="32"/>
          <w:szCs w:val="32"/>
          <w:lang w:val="en-US" w:eastAsia="zh-CN" w:bidi="ar-SA"/>
        </w:rPr>
        <w:t>4</w:t>
      </w:r>
      <w:r>
        <w:rPr>
          <w:rFonts w:ascii="Times New Roman" w:eastAsia="方正仿宋_GBK" w:cs="Times New Roman" w:hAnsi="Times New Roman"/>
          <w:bCs/>
          <w:color w:val="000000"/>
          <w:sz w:val="32"/>
          <w:szCs w:val="32"/>
          <w:lang w:val="en-US" w:eastAsia="zh-CN" w:bidi="ar-SA"/>
        </w:rPr>
        <w:t>年</w:t>
      </w:r>
      <w:r>
        <w:rPr>
          <w:rFonts w:eastAsia="方正仿宋_GBK" w:cs="Times New Roman" w:hint="eastAsia"/>
          <w:bCs/>
          <w:color w:val="000000"/>
          <w:sz w:val="32"/>
          <w:szCs w:val="32"/>
          <w:lang w:val="en-US" w:eastAsia="zh-CN" w:bidi="ar-SA"/>
        </w:rPr>
        <w:t>1</w:t>
      </w:r>
      <w:r>
        <w:rPr>
          <w:rFonts w:ascii="Times New Roman" w:eastAsia="方正仿宋_GBK" w:cs="Times New Roman" w:hAnsi="Times New Roman"/>
          <w:bCs/>
          <w:color w:val="000000"/>
          <w:sz w:val="32"/>
          <w:szCs w:val="32"/>
          <w:lang w:val="en-US" w:eastAsia="zh-CN" w:bidi="ar-SA"/>
        </w:rPr>
        <w:t>月</w:t>
      </w:r>
      <w:r>
        <w:rPr>
          <w:rFonts w:eastAsia="方正仿宋_GBK" w:cs="Times New Roman" w:hint="eastAsia"/>
          <w:bCs/>
          <w:color w:val="000000"/>
          <w:sz w:val="32"/>
          <w:szCs w:val="32"/>
          <w:lang w:val="en-US" w:eastAsia="zh-CN" w:bidi="ar-SA"/>
        </w:rPr>
        <w:t>12</w:t>
      </w:r>
    </w:p>
    <w:p>
      <w:pPr>
        <w:rPr>
          <w:rFonts w:ascii="Times New Roman" w:eastAsia="方正仿宋_GBK" w:cs="Times New Roman" w:hAnsi="Times New Roman"/>
          <w:bCs/>
          <w:color w:val="000000"/>
          <w:kern w:val="2"/>
          <w:sz w:val="32"/>
          <w:szCs w:val="32"/>
          <w:lang w:val="en-US" w:eastAsia="zh-CN" w:bidi="ar-SA"/>
        </w:rPr>
      </w:pPr>
    </w:p>
    <w:p>
      <w:pPr>
        <w:rPr>
          <w:rFonts w:ascii="Times New Roman" w:eastAsia="方正仿宋_GBK" w:cs="Times New Roman" w:hAnsi="Times New Roman"/>
          <w:bCs/>
          <w:color w:val="000000"/>
          <w:kern w:val="2"/>
          <w:sz w:val="32"/>
          <w:szCs w:val="32"/>
          <w:lang w:val="en-US" w:eastAsia="zh-CN" w:bidi="ar-SA"/>
        </w:rPr>
      </w:pPr>
    </w:p>
    <w:p>
      <w:pPr>
        <w:rPr>
          <w:rFonts w:ascii="Times New Roman" w:eastAsia="方正仿宋_GBK" w:cs="Times New Roman" w:hAnsi="Times New Roman"/>
          <w:bCs/>
          <w:color w:val="000000"/>
          <w:kern w:val="2"/>
          <w:sz w:val="32"/>
          <w:szCs w:val="32"/>
          <w:lang w:val="en-US" w:eastAsia="zh-CN" w:bidi="ar-SA"/>
        </w:rPr>
      </w:pPr>
    </w:p>
    <w:p>
      <w:pPr>
        <w:rPr>
          <w:rFonts w:ascii="Times New Roman" w:eastAsia="方正仿宋_GBK" w:cs="Times New Roman" w:hAnsi="Times New Roman"/>
          <w:bCs/>
          <w:color w:val="000000"/>
          <w:kern w:val="2"/>
          <w:sz w:val="32"/>
          <w:szCs w:val="32"/>
          <w:lang w:val="en-US" w:eastAsia="zh-CN" w:bidi="ar-SA"/>
        </w:rPr>
      </w:pPr>
    </w:p>
    <w:p>
      <w:pPr>
        <w:rPr>
          <w:rFonts w:ascii="Times New Roman" w:eastAsia="方正仿宋_GBK" w:cs="Times New Roman" w:hAnsi="Times New Roman"/>
          <w:bCs/>
          <w:color w:val="000000"/>
          <w:kern w:val="2"/>
          <w:sz w:val="32"/>
          <w:szCs w:val="32"/>
          <w:lang w:val="en-US" w:eastAsia="zh-CN" w:bidi="ar-SA"/>
        </w:rPr>
      </w:pPr>
    </w:p>
    <w:p>
      <w:pPr>
        <w:rPr>
          <w:rFonts w:ascii="Times New Roman" w:eastAsia="方正仿宋_GBK" w:cs="Times New Roman" w:hAnsi="Times New Roman"/>
          <w:bCs/>
          <w:color w:val="000000"/>
          <w:kern w:val="2"/>
          <w:sz w:val="32"/>
          <w:szCs w:val="32"/>
          <w:lang w:val="en-US" w:eastAsia="zh-CN" w:bidi="ar-SA"/>
        </w:rPr>
      </w:pPr>
    </w:p>
    <w:p>
      <w:pPr>
        <w:rPr>
          <w:rFonts w:ascii="Times New Roman" w:eastAsia="方正仿宋_GBK" w:cs="Times New Roman" w:hAnsi="Times New Roman"/>
          <w:bCs/>
          <w:color w:val="000000"/>
          <w:kern w:val="2"/>
          <w:sz w:val="32"/>
          <w:szCs w:val="32"/>
          <w:lang w:val="en-US" w:eastAsia="zh-CN" w:bidi="ar-SA"/>
        </w:rPr>
      </w:pPr>
    </w:p>
    <w:p>
      <w:pPr>
        <w:rPr>
          <w:rFonts w:ascii="Times New Roman" w:eastAsia="方正仿宋_GBK" w:cs="Times New Roman" w:hAnsi="Times New Roman"/>
          <w:bCs/>
          <w:color w:val="000000"/>
          <w:kern w:val="2"/>
          <w:sz w:val="32"/>
          <w:szCs w:val="32"/>
          <w:lang w:val="en-US" w:eastAsia="zh-CN" w:bidi="ar-SA"/>
        </w:rPr>
      </w:pPr>
    </w:p>
    <w:p>
      <w:pPr>
        <w:rPr>
          <w:rFonts w:ascii="Times New Roman" w:eastAsia="方正仿宋_GBK" w:cs="Times New Roman" w:hAnsi="Times New Roman"/>
          <w:bCs/>
          <w:color w:val="000000"/>
          <w:kern w:val="2"/>
          <w:sz w:val="32"/>
          <w:szCs w:val="32"/>
          <w:lang w:val="en-US" w:eastAsia="zh-CN" w:bidi="ar-SA"/>
        </w:rPr>
      </w:pPr>
    </w:p>
    <w:p>
      <w:pPr>
        <w:tabs>
          <w:tab w:val="left" w:pos="1426"/>
        </w:tabs>
        <w:jc w:val="left"/>
        <w:rPr>
          <w:rFonts w:eastAsia="方正仿宋_GBK" w:cs="Times New Roman" w:hint="eastAsia"/>
          <w:bCs/>
          <w:color w:val="000000"/>
          <w:kern w:val="2"/>
          <w:sz w:val="32"/>
          <w:szCs w:val="32"/>
          <w:lang w:val="en-US" w:eastAsia="zh-CN" w:bidi="ar-SA"/>
        </w:rPr>
      </w:pPr>
      <w:r>
        <w:rPr>
          <w:rFonts w:eastAsia="方正仿宋_GBK" w:cs="Times New Roman" w:hint="eastAsia"/>
          <w:bCs/>
          <w:color w:val="000000"/>
          <w:kern w:val="2"/>
          <w:sz w:val="32"/>
          <w:szCs w:val="32"/>
          <w:lang w:val="en-US" w:eastAsia="zh-CN" w:bidi="ar-SA"/>
        </w:rPr>
        <w:tab/>
      </w:r>
    </w:p>
    <w:p>
      <w:pPr>
        <w:pStyle w:val="15"/>
        <w:rPr>
          <w:rFonts w:eastAsia="方正仿宋_GBK" w:cs="Times New Roman" w:hint="eastAsia"/>
          <w:bCs/>
          <w:color w:val="000000"/>
          <w:kern w:val="2"/>
          <w:sz w:val="32"/>
          <w:szCs w:val="32"/>
          <w:lang w:val="en-US" w:eastAsia="zh-CN" w:bidi="ar-SA"/>
        </w:rPr>
      </w:pPr>
    </w:p>
    <w:tbl>
      <w:tblPr>
        <w:tblpPr w:leftFromText="180" w:rightFromText="180" w:vertAnchor="text" w:horzAnchor="page" w:tblpX="1522" w:tblpY="395"/>
        <w:tblOverlap w:val="never"/>
        <w:tblW w:w="8980" w:type="dxa"/>
        <w:tblBorders>
          <w:top w:val="none" w:sz="0" w:space="0" w:color="auto"/>
          <w:left w:val="none" w:sz="0" w:space="0" w:color="auto"/>
          <w:bottom w:val="single" w:sz="4" w:space="0" w:color="auto"/>
          <w:right w:val="none" w:sz="0" w:space="0" w:color="auto"/>
          <w:insideH w:val="outset" w:sz="6" w:space="0" w:color="auto"/>
          <w:insideV w:val="outset" w:sz="6" w:space="0" w:color="auto"/>
        </w:tblBorders>
        <w:tblLayout w:type="fixed"/>
        <w:tblCellMar>
          <w:top w:w="0" w:type="dxa"/>
          <w:left w:w="108" w:type="dxa"/>
          <w:bottom w:w="0" w:type="dxa"/>
          <w:right w:w="108" w:type="dxa"/>
        </w:tblCellMar>
      </w:tblPr>
      <w:tblGrid>
        <w:gridCol w:w="8980"/>
      </w:tblGrid>
      <w:tr>
        <w:tc>
          <w:tcPr>
            <w:tcW w:w="8980" w:type="dxa"/>
            <w:tcBorders>
              <w:top w:val="outset" w:sz="6" w:space="0" w:color="auto"/>
              <w:left w:val="nil"/>
              <w:bottom w:val="single" w:sz="4" w:space="0" w:color="auto"/>
              <w:right w:val="nil"/>
            </w:tcBorders>
            <w:noWrap/>
          </w:tcPr>
          <w:p>
            <w:pPr>
              <w:pStyle w:val="15"/>
              <w:keepNext w:val="0"/>
              <w:keepLines w:val="0"/>
              <w:pageBreakBefore w:val="0"/>
              <w:widowControl w:val="0"/>
              <w:suppressLineNumbers w:val="0"/>
              <w:suppressAutoHyphens/>
              <w:kinsoku/>
              <w:wordWrap/>
              <w:overflowPunct/>
              <w:topLinePunct w:val="0"/>
              <w:autoSpaceDE/>
              <w:autoSpaceDN/>
              <w:spacing w:before="0" w:beforeAutospacing="0" w:after="0" w:afterAutospacing="0" w:line="360" w:lineRule="exact"/>
              <w:ind w:leftChars="0" w:left="0" w:right="0" w:firstLineChars="0" w:firstLine="0"/>
              <w:jc w:val="left"/>
              <w:rPr>
                <w:rFonts w:ascii="Times New Roman" w:eastAsia="黑体" w:hAnsi="Times New Roman"/>
                <w:kern w:val="2"/>
                <w:sz w:val="28"/>
                <w:szCs w:val="28"/>
                <w:lang w:val="en-US" w:eastAsia="zh-CN"/>
              </w:rPr>
            </w:pPr>
          </w:p>
        </w:tc>
      </w:tr>
      <w:tr>
        <w:tc>
          <w:tcPr>
            <w:tcW w:w="8980" w:type="dxa"/>
            <w:tcBorders>
              <w:top w:val="single" w:sz="4" w:space="0" w:color="auto"/>
              <w:left w:val="nil"/>
              <w:bottom w:val="single" w:sz="4" w:space="0" w:color="auto"/>
              <w:right w:val="nil"/>
            </w:tcBorders>
            <w:noWrap/>
          </w:tcPr>
          <w:p>
            <w:pPr>
              <w:pStyle w:val="15"/>
              <w:keepNext w:val="0"/>
              <w:keepLines w:val="0"/>
              <w:pageBreakBefore w:val="0"/>
              <w:widowControl w:val="0"/>
              <w:suppressLineNumbers w:val="0"/>
              <w:suppressAutoHyphens/>
              <w:kinsoku/>
              <w:wordWrap/>
              <w:overflowPunct/>
              <w:topLinePunct w:val="0"/>
              <w:autoSpaceDE/>
              <w:autoSpaceDN/>
              <w:spacing w:before="0" w:beforeAutospacing="0" w:after="0" w:afterAutospacing="0" w:line="360" w:lineRule="exact"/>
              <w:ind w:leftChars="0" w:left="0" w:right="0" w:firstLineChars="100" w:firstLine="276"/>
              <w:jc w:val="left"/>
              <w:rPr>
                <w:rFonts w:ascii="仿宋_GB2312" w:eastAsia="仿宋_GB2312" w:hint="eastAsia"/>
                <w:kern w:val="2"/>
                <w:sz w:val="28"/>
                <w:szCs w:val="28"/>
                <w:lang w:eastAsia="zh-CN"/>
              </w:rPr>
            </w:pPr>
            <w:r>
              <w:rPr>
                <w:rFonts w:ascii="仿宋_GB2312" w:eastAsia="仿宋_GB2312" w:hint="eastAsia"/>
                <w:kern w:val="2"/>
                <w:sz w:val="28"/>
                <w:szCs w:val="28"/>
                <w:lang w:eastAsia="zh-CN"/>
              </w:rPr>
              <w:t>金川县财政局</w:t>
            </w:r>
            <w:r>
              <w:rPr>
                <w:rFonts w:ascii="仿宋_GB2312" w:eastAsia="仿宋_GB2312" w:hint="eastAsia"/>
                <w:kern w:val="2"/>
                <w:sz w:val="28"/>
                <w:szCs w:val="28"/>
              </w:rPr>
              <w:t>办公室</w:t>
            </w:r>
            <w:r>
              <w:rPr>
                <w:rFonts w:ascii="Times New Roman" w:eastAsia="仿宋_GB2312" w:hAnsi="Times New Roman"/>
                <w:kern w:val="2"/>
                <w:sz w:val="28"/>
                <w:szCs w:val="28"/>
              </w:rPr>
              <w:t xml:space="preserve">         </w:t>
            </w:r>
            <w:r>
              <w:rPr>
                <w:rFonts w:ascii="Times New Roman" w:eastAsia="仿宋_GB2312" w:hAnsi="Times New Roman" w:hint="eastAsia"/>
                <w:kern w:val="2"/>
                <w:sz w:val="28"/>
                <w:szCs w:val="28"/>
                <w:lang w:val="en-US" w:eastAsia="zh-CN"/>
              </w:rPr>
              <w:t xml:space="preserve">  </w:t>
            </w:r>
            <w:r>
              <w:rPr>
                <w:rFonts w:ascii="Times New Roman" w:eastAsia="仿宋_GB2312" w:hAnsi="Times New Roman"/>
                <w:kern w:val="2"/>
                <w:sz w:val="28"/>
                <w:szCs w:val="28"/>
              </w:rPr>
              <w:t xml:space="preserve">  </w:t>
            </w:r>
            <w:r>
              <w:rPr>
                <w:rFonts w:ascii="Times New Roman" w:eastAsia="仿宋_GB2312" w:hAnsi="Times New Roman" w:hint="eastAsia"/>
                <w:kern w:val="2"/>
                <w:sz w:val="28"/>
                <w:szCs w:val="28"/>
                <w:lang w:val="en-US" w:eastAsia="zh-CN"/>
              </w:rPr>
              <w:t xml:space="preserve">          </w:t>
            </w:r>
            <w:r>
              <w:rPr>
                <w:rFonts w:ascii="Times New Roman" w:eastAsia="仿宋_GB2312" w:hAnsi="Times New Roman"/>
                <w:kern w:val="2"/>
                <w:sz w:val="28"/>
                <w:szCs w:val="28"/>
              </w:rPr>
              <w:t>202</w:t>
            </w:r>
            <w:r>
              <w:rPr>
                <w:rFonts w:ascii="Times New Roman" w:eastAsia="仿宋_GB2312" w:hAnsi="Times New Roman" w:hint="eastAsia"/>
                <w:kern w:val="2"/>
                <w:sz w:val="28"/>
                <w:szCs w:val="28"/>
                <w:lang w:val="en-US" w:eastAsia="zh-CN"/>
              </w:rPr>
              <w:t>4</w:t>
            </w:r>
            <w:r>
              <w:rPr>
                <w:rFonts w:ascii="仿宋_GB2312" w:eastAsia="仿宋_GB2312" w:hint="eastAsia"/>
                <w:kern w:val="2"/>
                <w:sz w:val="28"/>
                <w:szCs w:val="28"/>
              </w:rPr>
              <w:t>年</w:t>
            </w:r>
            <w:r>
              <w:rPr>
                <w:rFonts w:ascii="Times New Roman" w:eastAsia="仿宋_GB2312" w:hAnsi="Times New Roman" w:hint="eastAsia"/>
                <w:kern w:val="2"/>
                <w:sz w:val="28"/>
                <w:szCs w:val="28"/>
                <w:lang w:val="en-US" w:eastAsia="zh-CN"/>
              </w:rPr>
              <w:t>1</w:t>
            </w:r>
            <w:r>
              <w:rPr>
                <w:rFonts w:ascii="仿宋_GB2312" w:eastAsia="仿宋_GB2312" w:hint="eastAsia"/>
                <w:kern w:val="2"/>
                <w:sz w:val="28"/>
                <w:szCs w:val="28"/>
              </w:rPr>
              <w:t>月</w:t>
            </w:r>
            <w:r>
              <w:rPr>
                <w:rFonts w:ascii="Times New Roman" w:eastAsia="仿宋_GB2312" w:hAnsi="Times New Roman" w:hint="eastAsia"/>
                <w:kern w:val="2"/>
                <w:sz w:val="28"/>
                <w:szCs w:val="28"/>
                <w:lang w:val="en-US" w:eastAsia="zh-CN"/>
              </w:rPr>
              <w:t>12</w:t>
            </w:r>
            <w:r>
              <w:rPr>
                <w:rFonts w:ascii="仿宋_GB2312" w:eastAsia="仿宋_GB2312" w:hint="eastAsia"/>
                <w:kern w:val="2"/>
                <w:sz w:val="28"/>
                <w:szCs w:val="28"/>
              </w:rPr>
              <w:t>日印发</w:t>
            </w:r>
          </w:p>
        </w:tc>
      </w:tr>
    </w:tbl>
    <w:p>
      <w:pPr>
        <w:rPr>
          <w:rFonts w:eastAsia="方正仿宋_GBK" w:cs="Times New Roman" w:hint="eastAsia"/>
          <w:bCs/>
          <w:color w:val="000000"/>
          <w:kern w:val="2"/>
          <w:sz w:val="32"/>
          <w:szCs w:val="32"/>
          <w:lang w:val="en-US" w:eastAsia="zh-CN" w:bidi="ar-SA"/>
        </w:rPr>
      </w:pPr>
    </w:p>
    <w:p>
      <w:pPr>
        <w:pStyle w:val="15"/>
        <w:rPr>
          <w:rFonts w:eastAsia="方正仿宋_GBK" w:cs="Times New Roman" w:hint="eastAsia"/>
          <w:bCs/>
          <w:color w:val="000000"/>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both"/>
        <w:textAlignment w:val="auto"/>
        <w:rPr>
          <w:rFonts w:ascii="仿宋_GB2312" w:eastAsia="仿宋_GB2312" w:cs="仿宋_GB2312" w:hint="eastAsia"/>
          <w:i w:val="0"/>
          <w:color w:val="000000"/>
          <w:kern w:val="0"/>
          <w:sz w:val="32"/>
          <w:szCs w:val="32"/>
          <w:u w:val="none"/>
          <w:lang w:val="en-US" w:eastAsia="zh-CN"/>
        </w:rPr>
      </w:pPr>
      <w:r>
        <w:rPr>
          <w:rFonts w:ascii="仿宋_GB2312" w:eastAsia="仿宋_GB2312" w:cs="仿宋_GB2312" w:hint="eastAsia"/>
          <w:i w:val="0"/>
          <w:color w:val="000000"/>
          <w:kern w:val="0"/>
          <w:sz w:val="32"/>
          <w:szCs w:val="32"/>
          <w:u w:val="none"/>
          <w:lang w:val="en-US" w:eastAsia="zh-CN"/>
        </w:rPr>
        <w:t>附件1</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Chars="100" w:firstLine="356"/>
        <w:jc w:val="both"/>
        <w:textAlignment w:val="auto"/>
        <w:rPr>
          <w:rFonts w:ascii="方正小标宋简体" w:eastAsia="方正小标宋简体" w:cs="方正小标宋简体" w:hint="eastAsia"/>
          <w:i w:val="0"/>
          <w:color w:val="000000"/>
          <w:kern w:val="0"/>
          <w:sz w:val="36"/>
          <w:szCs w:val="36"/>
          <w:u w:val="none"/>
          <w:lang w:val="en-US" w:eastAsia="zh-CN"/>
        </w:rPr>
      </w:pPr>
      <w:r>
        <w:rPr>
          <w:rFonts w:ascii="方正小标宋简体" w:eastAsia="方正小标宋简体" w:cs="方正小标宋简体" w:hint="eastAsia"/>
          <w:i w:val="0"/>
          <w:color w:val="000000"/>
          <w:kern w:val="0"/>
          <w:sz w:val="36"/>
          <w:szCs w:val="36"/>
          <w:u w:val="none"/>
          <w:lang w:val="en-US" w:eastAsia="zh-CN"/>
        </w:rPr>
        <w:t>2023年县级财政重点绩效评价政策（项目）明细表</w:t>
      </w:r>
    </w:p>
    <w:tbl>
      <w:tblPr>
        <w:jc w:val="left"/>
        <w:tblInd w:w="0" w:type="dxa"/>
        <w:tblW w:w="8805" w:type="dxa"/>
        <w:tblBorders>
          <w:top w:val="none" w:sz="0" w:space="0" w:color="auto"/>
          <w:left w:val="none" w:sz="0" w:space="0" w:color="auto"/>
          <w:bottom w:val="none" w:sz="0" w:space="0" w:color="auto"/>
          <w:right w:val="none" w:sz="0" w:space="0" w:color="auto"/>
        </w:tblBorders>
        <w:shd w:val="clear" w:color="auto" w:fill="auto"/>
        <w:tblLayout w:type="fixed"/>
        <w:tblCellMar>
          <w:top w:w="15" w:type="dxa"/>
          <w:left w:w="15" w:type="dxa"/>
          <w:bottom w:w="15" w:type="dxa"/>
          <w:right w:w="15" w:type="dxa"/>
        </w:tblCellMar>
      </w:tblPr>
      <w:tblGrid>
        <w:gridCol w:w="441"/>
        <w:gridCol w:w="850"/>
        <w:gridCol w:w="2680"/>
        <w:gridCol w:w="720"/>
        <w:gridCol w:w="822"/>
        <w:gridCol w:w="1064"/>
        <w:gridCol w:w="1064"/>
        <w:gridCol w:w="1164"/>
      </w:tblGrid>
      <w:tr>
        <w:trPr>
          <w:trHeight w:val="598"/>
        </w:trPr>
        <w:tc>
          <w:tcPr>
            <w:tcW w:w="441"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b/>
                <w:bCs/>
                <w:i w:val="0"/>
                <w:color w:val="000000"/>
                <w:sz w:val="21"/>
                <w:szCs w:val="21"/>
                <w:u w:val="none"/>
              </w:rPr>
            </w:pPr>
            <w:r>
              <w:rPr>
                <w:rFonts w:ascii="宋体" w:eastAsia="宋体" w:cs="宋体" w:hint="eastAsia"/>
                <w:b/>
                <w:bCs/>
                <w:i w:val="0"/>
                <w:color w:val="000000"/>
                <w:kern w:val="0"/>
                <w:sz w:val="21"/>
                <w:szCs w:val="21"/>
                <w:u w:val="none"/>
                <w:lang w:val="en-US" w:eastAsia="zh-CN"/>
              </w:rPr>
              <w:t>序号</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b/>
                <w:bCs/>
                <w:i w:val="0"/>
                <w:color w:val="000000"/>
                <w:sz w:val="21"/>
                <w:szCs w:val="21"/>
                <w:u w:val="none"/>
              </w:rPr>
            </w:pPr>
            <w:r>
              <w:rPr>
                <w:rFonts w:ascii="宋体" w:eastAsia="宋体" w:cs="宋体" w:hint="eastAsia"/>
                <w:b/>
                <w:bCs/>
                <w:i w:val="0"/>
                <w:color w:val="000000"/>
                <w:kern w:val="0"/>
                <w:sz w:val="21"/>
                <w:szCs w:val="21"/>
                <w:u w:val="none"/>
                <w:lang w:val="en-US" w:eastAsia="zh-CN"/>
              </w:rPr>
              <w:t>主管部门</w:t>
            </w:r>
          </w:p>
        </w:tc>
        <w:tc>
          <w:tcPr>
            <w:tcW w:w="268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b/>
                <w:bCs/>
                <w:i w:val="0"/>
                <w:color w:val="000000"/>
                <w:sz w:val="21"/>
                <w:szCs w:val="21"/>
                <w:u w:val="none"/>
              </w:rPr>
            </w:pPr>
            <w:r>
              <w:rPr>
                <w:rFonts w:ascii="宋体" w:eastAsia="宋体" w:cs="宋体" w:hint="eastAsia"/>
                <w:b/>
                <w:bCs/>
                <w:i w:val="0"/>
                <w:color w:val="000000"/>
                <w:kern w:val="0"/>
                <w:sz w:val="21"/>
                <w:szCs w:val="21"/>
                <w:u w:val="none"/>
                <w:lang w:val="en-US" w:eastAsia="zh-CN"/>
              </w:rPr>
              <w:t>项目名称</w:t>
            </w:r>
          </w:p>
        </w:tc>
        <w:tc>
          <w:tcPr>
            <w:tcW w:w="4834"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b/>
                <w:bCs/>
                <w:i w:val="0"/>
                <w:color w:val="000000"/>
                <w:sz w:val="21"/>
                <w:szCs w:val="21"/>
                <w:u w:val="none"/>
              </w:rPr>
            </w:pPr>
            <w:r>
              <w:rPr>
                <w:rFonts w:ascii="宋体" w:eastAsia="宋体" w:cs="宋体" w:hint="eastAsia"/>
                <w:b/>
                <w:bCs/>
                <w:i w:val="0"/>
                <w:color w:val="000000"/>
                <w:kern w:val="0"/>
                <w:sz w:val="21"/>
                <w:szCs w:val="21"/>
                <w:u w:val="none"/>
                <w:lang w:val="en-US" w:eastAsia="zh-CN"/>
              </w:rPr>
              <w:t>金额</w:t>
              <w:br/>
              <w:t>（万元）</w:t>
            </w:r>
          </w:p>
        </w:tc>
      </w:tr>
      <w:tr>
        <w:trPr>
          <w:trHeight w:val="286"/>
        </w:trPr>
        <w:tc>
          <w:tcPr>
            <w:tcW w:w="44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268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b/>
                <w:bCs/>
                <w:i w:val="0"/>
                <w:color w:val="000000"/>
                <w:sz w:val="21"/>
                <w:szCs w:val="21"/>
                <w:u w:val="none"/>
              </w:rPr>
            </w:pPr>
            <w:r>
              <w:rPr>
                <w:rFonts w:ascii="宋体" w:eastAsia="宋体" w:cs="宋体" w:hint="eastAsia"/>
                <w:b/>
                <w:bCs/>
                <w:i w:val="0"/>
                <w:color w:val="000000"/>
                <w:kern w:val="0"/>
                <w:sz w:val="21"/>
                <w:szCs w:val="21"/>
                <w:u w:val="none"/>
                <w:lang w:val="en-US" w:eastAsia="zh-CN"/>
              </w:rPr>
              <w:t>小计</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b/>
                <w:bCs/>
                <w:i w:val="0"/>
                <w:color w:val="000000"/>
                <w:sz w:val="21"/>
                <w:szCs w:val="21"/>
                <w:u w:val="none"/>
              </w:rPr>
            </w:pPr>
            <w:r>
              <w:rPr>
                <w:rFonts w:ascii="宋体" w:eastAsia="宋体" w:cs="宋体" w:hint="eastAsia"/>
                <w:b/>
                <w:bCs/>
                <w:i w:val="0"/>
                <w:color w:val="000000"/>
                <w:kern w:val="0"/>
                <w:sz w:val="21"/>
                <w:szCs w:val="21"/>
                <w:u w:val="none"/>
                <w:lang w:val="en-US" w:eastAsia="zh-CN"/>
              </w:rPr>
              <w:t>中央</w:t>
            </w: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b/>
                <w:bCs/>
                <w:i w:val="0"/>
                <w:color w:val="000000"/>
                <w:sz w:val="21"/>
                <w:szCs w:val="21"/>
                <w:u w:val="none"/>
              </w:rPr>
            </w:pPr>
            <w:r>
              <w:rPr>
                <w:rFonts w:ascii="宋体" w:eastAsia="宋体" w:cs="宋体" w:hint="eastAsia"/>
                <w:b/>
                <w:bCs/>
                <w:i w:val="0"/>
                <w:color w:val="000000"/>
                <w:kern w:val="0"/>
                <w:sz w:val="21"/>
                <w:szCs w:val="21"/>
                <w:u w:val="none"/>
                <w:lang w:val="en-US" w:eastAsia="zh-CN"/>
              </w:rPr>
              <w:t>省</w:t>
            </w: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b/>
                <w:bCs/>
                <w:i w:val="0"/>
                <w:color w:val="000000"/>
                <w:sz w:val="21"/>
                <w:szCs w:val="21"/>
                <w:u w:val="none"/>
              </w:rPr>
            </w:pPr>
            <w:r>
              <w:rPr>
                <w:rFonts w:ascii="宋体" w:eastAsia="宋体" w:cs="宋体" w:hint="eastAsia"/>
                <w:b/>
                <w:bCs/>
                <w:i w:val="0"/>
                <w:color w:val="000000"/>
                <w:kern w:val="0"/>
                <w:sz w:val="21"/>
                <w:szCs w:val="21"/>
                <w:u w:val="none"/>
                <w:lang w:val="en-US" w:eastAsia="zh-CN"/>
              </w:rPr>
              <w:t>州</w:t>
            </w: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b/>
                <w:bCs/>
                <w:i w:val="0"/>
                <w:color w:val="000000"/>
                <w:sz w:val="21"/>
                <w:szCs w:val="21"/>
                <w:u w:val="none"/>
              </w:rPr>
            </w:pPr>
            <w:r>
              <w:rPr>
                <w:rFonts w:ascii="宋体" w:eastAsia="宋体" w:cs="宋体" w:hint="eastAsia"/>
                <w:b/>
                <w:bCs/>
                <w:i w:val="0"/>
                <w:color w:val="000000"/>
                <w:kern w:val="0"/>
                <w:sz w:val="21"/>
                <w:szCs w:val="21"/>
                <w:u w:val="none"/>
                <w:lang w:val="en-US" w:eastAsia="zh-CN"/>
              </w:rPr>
              <w:t>县</w:t>
            </w:r>
          </w:p>
        </w:tc>
      </w:tr>
      <w:tr>
        <w:trPr>
          <w:trHeight w:val="286"/>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合计</w:t>
            </w:r>
          </w:p>
        </w:tc>
        <w:tc>
          <w:tcPr>
            <w:tcW w:w="850" w:type="dxa"/>
            <w:tcBorders>
              <w:top w:val="nil"/>
              <w:left w:val="single" w:sz="4" w:space="0" w:color="000000"/>
              <w:bottom w:val="single" w:sz="4" w:space="0" w:color="000000"/>
              <w:right w:val="single" w:sz="4" w:space="0" w:color="000000"/>
            </w:tcBorders>
            <w:shd w:val="clear" w:color="auto" w:fill="auto"/>
            <w:noWrap/>
            <w:vAlign w:val="center"/>
          </w:tcPr>
          <w:p>
            <w:pPr>
              <w:spacing w:line="240" w:lineRule="auto"/>
              <w:jc w:val="center"/>
              <w:rPr>
                <w:rFonts w:ascii="宋体" w:eastAsia="宋体" w:cs="宋体" w:hint="eastAsia"/>
                <w:i w:val="0"/>
                <w:color w:val="000000"/>
                <w:kern w:val="0"/>
                <w:sz w:val="15"/>
                <w:szCs w:val="15"/>
                <w:u w:val="none"/>
                <w:lang w:val="en-US" w:eastAsia="zh-CN"/>
              </w:rPr>
            </w:pPr>
          </w:p>
        </w:tc>
        <w:tc>
          <w:tcPr>
            <w:tcW w:w="2680" w:type="dxa"/>
            <w:tcBorders>
              <w:top w:val="single" w:sz="4" w:space="0" w:color="000000"/>
              <w:left w:val="single" w:sz="4" w:space="0" w:color="000000"/>
              <w:bottom w:val="single" w:sz="4" w:space="0" w:color="000000"/>
              <w:right w:val="nil"/>
            </w:tcBorders>
            <w:shd w:val="clear" w:color="auto" w:fill="auto"/>
            <w:noWrap/>
            <w:vAlign w:val="center"/>
          </w:tcPr>
          <w:p>
            <w:pPr>
              <w:spacing w:line="240" w:lineRule="auto"/>
              <w:jc w:val="center"/>
              <w:rPr>
                <w:rFonts w:ascii="宋体" w:eastAsia="宋体" w:cs="宋体" w:hint="eastAsia"/>
                <w:i w:val="0"/>
                <w:color w:val="000000"/>
                <w:kern w:val="0"/>
                <w:sz w:val="15"/>
                <w:szCs w:val="15"/>
                <w:u w:val="none"/>
                <w:lang w:val="en-US" w:eastAsia="zh-CN"/>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29174.19 </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12848.75 </w:t>
            </w: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5405.66 </w:t>
            </w: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1858.65 </w:t>
            </w: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9061.14 </w:t>
            </w:r>
          </w:p>
        </w:tc>
      </w:tr>
      <w:tr>
        <w:trPr>
          <w:trHeight w:val="550"/>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交通局</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金川县通乡跨河桥梁建设项目</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500.00 </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500.00 </w:t>
            </w: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r>
      <w:tr>
        <w:trPr>
          <w:trHeight w:val="440"/>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咯尔乡</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日本冈山砂梨引种示范园（金江）</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99.00 </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99.00 </w:t>
            </w: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r>
      <w:tr>
        <w:trPr>
          <w:trHeight w:val="410"/>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3</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教育局</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金川县基层教育条件提升项目</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200.00 </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200.00 </w:t>
            </w: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r>
      <w:tr>
        <w:trPr>
          <w:trHeight w:val="319"/>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4</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政法委</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基层社会治理智能化建设项目</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310.00 </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310.00 </w:t>
            </w: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r>
      <w:tr>
        <w:trPr>
          <w:trHeight w:val="530"/>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5</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文体旅游局</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金观音桥唐卡传习所配套设施建设项目</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65.00 </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65.00 </w:t>
            </w: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r>
      <w:tr>
        <w:trPr>
          <w:trHeight w:val="500"/>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6</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沙耳乡</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沙耳乡沙耳尼村集体经济建设项目</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55.00 </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55.00 </w:t>
            </w: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r>
      <w:tr>
        <w:trPr>
          <w:trHeight w:val="500"/>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7</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残联</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金川县残疾人发展种植养殖业项目</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50.00 </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50.00 </w:t>
            </w: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r>
      <w:tr>
        <w:trPr>
          <w:trHeight w:val="1068"/>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8</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河东乡</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河东乡结木村噶尖草坪旅游接待民宿及其配套设施建设项目</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98.00 </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98.00 </w:t>
            </w: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r>
      <w:tr>
        <w:trPr>
          <w:trHeight w:val="439"/>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9</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文体旅游局</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双柏树新区全民健身中心室外改造项目</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98.00 </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98.00 </w:t>
            </w: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r>
      <w:tr>
        <w:trPr>
          <w:trHeight w:val="978"/>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10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宣传部</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安宁镇数字乡村建设项目（安宁莫莫扎村、安宁村、八角碉、碳厂沟）</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280.00 </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280.00 </w:t>
            </w: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r>
      <w:tr>
        <w:trPr>
          <w:trHeight w:val="898"/>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11</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文体旅游局</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文化旅游公共服务基础设施提升建设项目</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99.50 </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99.50 </w:t>
            </w: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r>
      <w:tr>
        <w:trPr>
          <w:trHeight w:val="988"/>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12</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科学技术农业畜牧局</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马奈镇白纳溪村产业便道（一期）建设项目</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95.00 </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95.00</w:t>
            </w: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r>
      <w:tr>
        <w:trPr>
          <w:trHeight w:val="437"/>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13</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水务局</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勒乌村人畜饮水建设项目</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70.00 </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70.00 </w:t>
            </w: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r>
      <w:tr>
        <w:trPr>
          <w:trHeight w:val="90"/>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14</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水务局</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二甲村灌溉水渠灾后恢复建设项目</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80.00 </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80.00 </w:t>
            </w: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r>
      <w:tr>
        <w:trPr>
          <w:trHeight w:val="437"/>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15</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自然资源局</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观音桥镇热山沟泥石流治理工程 </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173.00 </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173.00 </w:t>
            </w: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r>
      <w:tr>
        <w:trPr>
          <w:trHeight w:val="437"/>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16</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自然资源局</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2022年避险搬迁</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32.00 </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32.00 </w:t>
            </w: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r>
      <w:tr>
        <w:trPr>
          <w:trHeight w:val="437"/>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17</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自然资源局</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2022年群专结合监测项目</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390.00 </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390.00 </w:t>
            </w: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r>
      <w:tr>
        <w:trPr>
          <w:trHeight w:val="708"/>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18</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生态环境局</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农村生活污水治理“千村示范”工程</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483.00 </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483.00</w:t>
            </w: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r>
      <w:tr>
        <w:trPr>
          <w:trHeight w:val="319"/>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19</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林草局</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生态公益性岗位补助资金</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126.00 </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126.00 </w:t>
            </w: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r>
      <w:tr>
        <w:trPr>
          <w:trHeight w:val="858"/>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20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林草局</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2022年中央财政林业草原生态保护恢复资金(生态护林员补助)</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334.00 </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334.00 </w:t>
            </w: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r>
      <w:tr>
        <w:trPr>
          <w:trHeight w:val="437"/>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21</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林草局</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2022年中央财政林业草原生态保护恢复资金预算第一批（天保工程社会保险） </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41.46 </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41.46 </w:t>
            </w: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r>
      <w:tr>
        <w:trPr>
          <w:trHeight w:val="437"/>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22</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林草局</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金川县梨花红叶核心区绿化项目</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157.20 </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157.20 </w:t>
            </w:r>
          </w:p>
        </w:tc>
      </w:tr>
      <w:tr>
        <w:trPr>
          <w:trHeight w:val="437"/>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23</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自然资源局</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金川县八角碉沟泥石流治理工程</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100.00</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100.00</w:t>
            </w:r>
          </w:p>
        </w:tc>
      </w:tr>
      <w:tr>
        <w:trPr>
          <w:trHeight w:val="437"/>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24</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自然资源局</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观音桥高原牧旅融合发展片区国土空间总体规划（2020-2035年）</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64.00</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64.00</w:t>
            </w:r>
          </w:p>
        </w:tc>
      </w:tr>
      <w:tr>
        <w:trPr>
          <w:trHeight w:val="437"/>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25</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自然资源局</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勒乌城乡融合发展振兴片区国土空间总体规划（2020-2035年）</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76</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76</w:t>
            </w:r>
          </w:p>
        </w:tc>
      </w:tr>
      <w:tr>
        <w:trPr>
          <w:trHeight w:val="437"/>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26</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自然资源局</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勒乌镇龙河村龙王庙沟泥石流治理工程</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138</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138</w:t>
            </w:r>
          </w:p>
        </w:tc>
      </w:tr>
      <w:tr>
        <w:trPr>
          <w:trHeight w:val="437"/>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27</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林草局</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金川县安宁牧草草原沙化治理工程项目</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283</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283.00</w:t>
            </w:r>
          </w:p>
        </w:tc>
      </w:tr>
      <w:tr>
        <w:trPr>
          <w:trHeight w:val="437"/>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28</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畜牧中心</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2022年省级财政农业公共安全与资源保护利用工程共同财政事权转移支付资金（2022年动物疫病防控经费）</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26.35 </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26.35 </w:t>
            </w: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r>
      <w:tr>
        <w:trPr>
          <w:trHeight w:val="437"/>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29</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畜牧中心</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3"/>
                <w:szCs w:val="13"/>
                <w:u w:val="none"/>
                <w:lang w:val="en-US" w:eastAsia="zh-CN"/>
              </w:rPr>
              <w:t>2022年中央财政农业资源及生态保护补助资金</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1023.05 </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1,023.05 </w:t>
            </w: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r>
      <w:tr>
        <w:trPr>
          <w:trHeight w:val="437"/>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30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科学技术农业畜牧局</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2022年县级财政衔接推进乡村振兴补助资金（高标准农田建设项目）</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2257.21 </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1300.00 </w:t>
            </w: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178.00 </w:t>
            </w: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779.21 </w:t>
            </w:r>
          </w:p>
        </w:tc>
      </w:tr>
      <w:tr>
        <w:trPr>
          <w:trHeight w:val="918"/>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31</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科学技术农业畜牧局</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2022年耕地地力保护补贴</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319.12 </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319.12 </w:t>
            </w: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r>
      <w:tr>
        <w:trPr>
          <w:trHeight w:val="437"/>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32</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科学技术农业畜牧局</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2022年中央财政实际种粮农民一次性补贴资金预算</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204.00 </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204.00 </w:t>
            </w: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r>
      <w:tr>
        <w:trPr>
          <w:trHeight w:val="437"/>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33</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科学技术农业畜牧局</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2022年农村综合改革转移支付（第三批涉农整合阿科里铁基钢架桥项目）</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35.00 </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12.00 </w:t>
            </w: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23.00 </w:t>
            </w:r>
          </w:p>
        </w:tc>
      </w:tr>
      <w:tr>
        <w:trPr>
          <w:trHeight w:val="437"/>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34</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科学技术农业畜牧局</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2022年农村综合改革转移支付（第三批涉农整合雪梨五项管理雪梨收购补贴）</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119.00 </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119.00 </w:t>
            </w: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r>
      <w:tr>
        <w:trPr>
          <w:trHeight w:val="437"/>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35</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交通局</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2022年农村综合改革转移支付（阿科里乡至太阳河乡公路维修改造项目 ）</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61.00 </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61.00 </w:t>
            </w: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r>
      <w:tr>
        <w:trPr>
          <w:trHeight w:val="437"/>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36</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科农业畜牧局</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2022年农村综合改革转移支付预算（观音镇观音村，二嘎里乡二嘎里村、卡撒乡巴拉塘村）</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300.00 </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150</w:t>
            </w: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90.00 </w:t>
            </w: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60.00 </w:t>
            </w:r>
          </w:p>
        </w:tc>
      </w:tr>
      <w:tr>
        <w:trPr>
          <w:trHeight w:val="437"/>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37</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科学技术农业畜牧局</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2022年中央财政土地指标跨省域调剂收入安排的支出预算（农村“厕所革命”示范村建设）</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98.66 </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98.66 </w:t>
            </w: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r>
      <w:tr>
        <w:trPr>
          <w:trHeight w:val="437"/>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38</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科学技术农业畜牧局</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2022年省级财政乡村振兴共同财政事权转移支付资金（马奈镇八角塘村乡村振兴示范村）</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60.00 </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60.00 </w:t>
            </w: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r>
      <w:tr>
        <w:trPr>
          <w:trHeight w:val="437"/>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39</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科学技术农业畜牧局</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2022年中央财政农业生产和水利救灾资金</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28.00 </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28.00 </w:t>
            </w: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r>
      <w:tr>
        <w:trPr>
          <w:trHeight w:val="437"/>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40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科学技术农业畜牧局</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2022年中央财政农业生产发展资金</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250.00 </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250.00 </w:t>
            </w: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r>
      <w:tr>
        <w:trPr>
          <w:trHeight w:val="437"/>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41</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科学技术农业畜牧局</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2022年州级财政农机购置补贴资金</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58.00 </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29.00 </w:t>
            </w: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29.00 </w:t>
            </w: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r>
      <w:tr>
        <w:trPr>
          <w:trHeight w:val="437"/>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42</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科学技术农业畜牧局</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2022年省级财政现代农业发展工程共同财政事权转移支付资金（“6.10”地震灾后恢复重建项目）</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208.00 </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208.00 </w:t>
            </w: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r>
      <w:tr>
        <w:trPr>
          <w:trHeight w:val="437"/>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43</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科学技术农业畜牧局</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2022年中央财政农业生产和水利救灾资金（农业抗旱救灾资金）</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98.00 </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98.00 </w:t>
            </w: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r>
      <w:tr>
        <w:trPr>
          <w:trHeight w:val="437"/>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44</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水务局</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2022年中央财政农业生产和水利救灾资金（水利救灾资金）</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379.00 </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379.00 </w:t>
            </w: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r>
      <w:tr>
        <w:trPr>
          <w:trHeight w:val="437"/>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45</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水务局</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2022年中央和省级水利发展资金</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1515.00 </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1,515.00 </w:t>
            </w: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r>
      <w:tr>
        <w:trPr>
          <w:trHeight w:val="437"/>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46</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水务局</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2022年中央大中型水库移民后期扶持</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427.00 </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427.00 </w:t>
            </w: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r>
      <w:tr>
        <w:trPr>
          <w:trHeight w:val="437"/>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47</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水务局</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2022年省级大中型水库移民后期扶持</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150.00 </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150.00 </w:t>
            </w: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r>
      <w:tr>
        <w:trPr>
          <w:trHeight w:val="437"/>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48</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水务局</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2022年中央和省级水利发展资金（山洪灾害防治、农业水价综合改革）</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121.00 </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121</w:t>
            </w: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r>
      <w:tr>
        <w:trPr>
          <w:trHeight w:val="437"/>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49</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供销社</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2022年农资储备和价格补贴专项经费</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23.00 </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23.00 </w:t>
            </w: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r>
      <w:tr>
        <w:trPr>
          <w:trHeight w:val="437"/>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50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住建局</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2022年县级财政衔接推进乡村振兴补助资金（民族村寨旅游沿线农房功能性提升改造（沙耳乡、河东乡、庆宁乡）</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266.00 </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266.00 </w:t>
            </w:r>
          </w:p>
        </w:tc>
      </w:tr>
      <w:tr>
        <w:trPr>
          <w:trHeight w:val="437"/>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51</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科学技术农业畜牧局</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2022年县级财政衔接推进乡村振兴补助资金（俄热乡依斗村通组路提升维护项目）</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31.00 </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31.00 </w:t>
            </w:r>
          </w:p>
        </w:tc>
      </w:tr>
      <w:tr>
        <w:trPr>
          <w:trHeight w:val="437"/>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52</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科学技术农业畜牧局</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金川县牦牛选育场建设项目</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355.00</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355.00 </w:t>
            </w:r>
          </w:p>
        </w:tc>
      </w:tr>
      <w:tr>
        <w:trPr>
          <w:trHeight w:val="437"/>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53</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林草局</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2022年国家生态功能区转移支付生态扶贫资金（生态管护员）</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1065.00 </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1065.00 </w:t>
            </w: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r>
      <w:tr>
        <w:trPr>
          <w:trHeight w:val="437"/>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54</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勒乌镇</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3"/>
                <w:szCs w:val="13"/>
                <w:u w:val="none"/>
                <w:lang w:val="en-US" w:eastAsia="zh-CN"/>
              </w:rPr>
              <w:t>勒乌镇新开宗村产业便道提升改造建设项目</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98.00 </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98.00 </w:t>
            </w: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r>
      <w:tr>
        <w:trPr>
          <w:trHeight w:val="437"/>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55</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河东乡</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3"/>
                <w:szCs w:val="13"/>
                <w:u w:val="none"/>
                <w:lang w:val="en-US" w:eastAsia="zh-CN"/>
              </w:rPr>
              <w:t>河东乡旦甲木足村马尔脚水毁道路恢复建设项目</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97.00 </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97.00 </w:t>
            </w: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r>
      <w:tr>
        <w:trPr>
          <w:trHeight w:val="437"/>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56</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毛日乡</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毛日乡壳它村村道提升改造建设项目</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45.00 </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45.00 </w:t>
            </w: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r>
      <w:tr>
        <w:trPr>
          <w:trHeight w:val="437"/>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57</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卫健局</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卫生扶贫救助基金2022年</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200.00 </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200.00 </w:t>
            </w: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r>
      <w:tr>
        <w:trPr>
          <w:trHeight w:val="437"/>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58</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退役军人局</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优抚对象抚恤补助</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492.32 </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315.88 </w:t>
            </w: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24.99 </w:t>
            </w: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36.82 </w:t>
            </w: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114.63 </w:t>
            </w:r>
          </w:p>
        </w:tc>
      </w:tr>
      <w:tr>
        <w:trPr>
          <w:trHeight w:val="437"/>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59</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退役军人局</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烈士纪念设施修缮改造项目</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207.30 </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180.00 </w:t>
            </w: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10.00 </w:t>
            </w: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17.30 </w:t>
            </w:r>
          </w:p>
        </w:tc>
      </w:tr>
      <w:tr>
        <w:trPr>
          <w:trHeight w:val="437"/>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60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医保局</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医疗救助补助项目</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368.36 </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183.39 </w:t>
            </w: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36.6100 </w:t>
            </w: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148.36 </w:t>
            </w:r>
          </w:p>
        </w:tc>
      </w:tr>
      <w:tr>
        <w:trPr>
          <w:trHeight w:val="437"/>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61</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医保局</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搞高城乡居民基本医疗保障项目 （财政对失地农民医疗补助2022、县级配套资金2022、全额代缴2022）</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135.99 </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135.99 </w:t>
            </w:r>
          </w:p>
        </w:tc>
      </w:tr>
      <w:tr>
        <w:trPr>
          <w:trHeight w:val="437"/>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62</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卫健局</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计划生育补助项目</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348.07 </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155.00 </w:t>
            </w: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78.31 </w:t>
            </w: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1.07 </w:t>
            </w: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113.69 </w:t>
            </w:r>
          </w:p>
        </w:tc>
      </w:tr>
      <w:tr>
        <w:trPr>
          <w:trHeight w:val="437"/>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63</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卫健局</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基本公共卫生项目</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681.12 </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511.73 </w:t>
            </w: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97.24 </w:t>
            </w: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30.67 </w:t>
            </w: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41.48 </w:t>
            </w:r>
          </w:p>
        </w:tc>
      </w:tr>
      <w:tr>
        <w:trPr>
          <w:trHeight w:val="437"/>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64</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卫健局</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基层医疗卫生机构实施基本药物制度</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111.73 </w:t>
            </w:r>
          </w:p>
        </w:tc>
        <w:tc>
          <w:tcPr>
            <w:tcW w:w="82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77.63</w:t>
            </w:r>
          </w:p>
        </w:tc>
        <w:tc>
          <w:tcPr>
            <w:tcW w:w="1064"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11.6</w:t>
            </w: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22.50 </w:t>
            </w:r>
          </w:p>
        </w:tc>
      </w:tr>
      <w:tr>
        <w:trPr>
          <w:trHeight w:val="437"/>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65</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卫健局</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卫生高海拔项目、村医生活补助、村医临时岗位补助资金</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139.29 </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6.12 </w:t>
            </w: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133.17 </w:t>
            </w:r>
          </w:p>
        </w:tc>
      </w:tr>
      <w:tr>
        <w:trPr>
          <w:trHeight w:val="437"/>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66</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卫健局</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医疗服务能务提升</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618.03 </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618.03 </w:t>
            </w: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r>
      <w:tr>
        <w:trPr>
          <w:trHeight w:val="437"/>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67</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卫健局</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重大公共卫生项目</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240.07 </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191.83 </w:t>
            </w: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18.24 </w:t>
            </w: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30.00 </w:t>
            </w:r>
          </w:p>
        </w:tc>
      </w:tr>
      <w:tr>
        <w:trPr>
          <w:trHeight w:val="437"/>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68</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卫健局</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3"/>
                <w:szCs w:val="13"/>
                <w:u w:val="none"/>
                <w:lang w:val="en-US" w:eastAsia="zh-CN"/>
              </w:rPr>
              <w:t>高海拔项目（2022行政事业单位职工体检费）</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520.06 </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520.06 </w:t>
            </w:r>
          </w:p>
        </w:tc>
      </w:tr>
      <w:tr>
        <w:trPr>
          <w:trHeight w:val="437"/>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69</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卫健局</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疫情防控项目</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517.50 </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517.50 </w:t>
            </w:r>
          </w:p>
        </w:tc>
      </w:tr>
      <w:tr>
        <w:trPr>
          <w:trHeight w:val="437"/>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70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卫健局</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中藏医院改扩建项目缺口资金</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150.00 </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150.00 </w:t>
            </w:r>
          </w:p>
        </w:tc>
      </w:tr>
      <w:tr>
        <w:trPr>
          <w:trHeight w:val="437"/>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71</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卫健局</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3"/>
                <w:szCs w:val="13"/>
                <w:u w:val="none"/>
                <w:lang w:val="en-US" w:eastAsia="zh-CN"/>
              </w:rPr>
              <w:t>公立医院设施设备提升循环基金贷款还贷资金</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183.00 </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183.00 </w:t>
            </w:r>
          </w:p>
        </w:tc>
      </w:tr>
      <w:tr>
        <w:trPr>
          <w:trHeight w:val="437"/>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72</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自然资源局</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2022年新增一般债券资金</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75</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75</w:t>
            </w:r>
          </w:p>
        </w:tc>
      </w:tr>
      <w:tr>
        <w:trPr>
          <w:trHeight w:val="437"/>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73</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住建局</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3"/>
                <w:szCs w:val="13"/>
                <w:u w:val="none"/>
                <w:lang w:val="en-US" w:eastAsia="zh-CN"/>
              </w:rPr>
              <w:t>金川县勒乌镇滨河路市政基础设施项目（一期）</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1800</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1800</w:t>
            </w:r>
          </w:p>
        </w:tc>
      </w:tr>
      <w:tr>
        <w:trPr>
          <w:trHeight w:val="437"/>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74</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住建局</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金川县城区供水管网改扩建项目</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350</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350</w:t>
            </w:r>
          </w:p>
        </w:tc>
      </w:tr>
      <w:tr>
        <w:trPr>
          <w:trHeight w:val="437"/>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75</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住建局</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金川县老旧小区配套基础设施建设项目及城南中环路丁家湾片区老旧小区提升改造建设项目</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450</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450</w:t>
            </w:r>
          </w:p>
        </w:tc>
      </w:tr>
      <w:tr>
        <w:trPr>
          <w:trHeight w:val="437"/>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76</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交通局</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2022年第一批交通专项资金</w:t>
            </w:r>
          </w:p>
        </w:tc>
        <w:tc>
          <w:tcPr>
            <w:tcW w:w="720" w:type="dxa"/>
            <w:tcBorders>
              <w:top w:val="single" w:sz="4" w:space="0" w:color="000000"/>
              <w:left w:val="single" w:sz="4" w:space="0" w:color="000000"/>
              <w:bottom w:val="single" w:sz="4" w:space="0" w:color="000000"/>
              <w:right w:val="single" w:sz="4" w:space="0" w:color="000000"/>
            </w:tcBorders>
            <w:shd w:val="clear" w:color="FFFFFF" w:fill="FFFFFF"/>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576.00</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576.00 </w:t>
            </w: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164" w:type="dxa"/>
            <w:tcBorders>
              <w:top w:val="single" w:sz="4" w:space="0" w:color="000000"/>
              <w:left w:val="single" w:sz="4" w:space="0" w:color="000000"/>
              <w:bottom w:val="single" w:sz="4" w:space="0" w:color="000000"/>
              <w:right w:val="single" w:sz="4" w:space="0" w:color="000000"/>
            </w:tcBorders>
            <w:shd w:val="clear" w:color="FFFFFF" w:fill="FFFFFF"/>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r>
      <w:tr>
        <w:trPr>
          <w:trHeight w:val="437"/>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77</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交通局</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金川至小金（抚边）公路金川县境内段改建工程</w:t>
            </w:r>
          </w:p>
        </w:tc>
        <w:tc>
          <w:tcPr>
            <w:tcW w:w="720" w:type="dxa"/>
            <w:tcBorders>
              <w:top w:val="single" w:sz="4" w:space="0" w:color="000000"/>
              <w:left w:val="single" w:sz="4" w:space="0" w:color="000000"/>
              <w:bottom w:val="single" w:sz="4" w:space="0" w:color="000000"/>
              <w:right w:val="single" w:sz="4" w:space="0" w:color="000000"/>
            </w:tcBorders>
            <w:shd w:val="clear" w:color="FFFFFF" w:fill="FFFFFF"/>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628.98</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628.98 </w:t>
            </w:r>
          </w:p>
        </w:tc>
      </w:tr>
      <w:tr>
        <w:trPr>
          <w:trHeight w:val="437"/>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78</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应急管理局</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金川县防汛减灾物资采购项目</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237.31</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237.31</w:t>
            </w:r>
          </w:p>
        </w:tc>
      </w:tr>
      <w:tr>
        <w:trPr>
          <w:trHeight w:val="437"/>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79</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应急管理局</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金川县2020年因洪涝灾害倒塌和严重损毁民房恢复重建</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710</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710</w:t>
            </w:r>
          </w:p>
        </w:tc>
      </w:tr>
      <w:tr>
        <w:trPr>
          <w:trHeight w:val="437"/>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80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应急管理局</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金川县应急救援装备采购项目</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256.56</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256.56</w:t>
            </w:r>
          </w:p>
        </w:tc>
      </w:tr>
      <w:tr>
        <w:trPr>
          <w:trHeight w:val="437"/>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81</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文体旅游局</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关于下达2022年公共图书馆、美术馆、文化馆（站）免费开放中省州专项资金预算的通知</w:t>
            </w:r>
          </w:p>
        </w:tc>
        <w:tc>
          <w:tcPr>
            <w:tcW w:w="72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136.32 </w:t>
            </w:r>
          </w:p>
        </w:tc>
        <w:tc>
          <w:tcPr>
            <w:tcW w:w="822"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108.00 </w:t>
            </w:r>
          </w:p>
        </w:tc>
        <w:tc>
          <w:tcPr>
            <w:tcW w:w="1064"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12.150 </w:t>
            </w:r>
          </w:p>
        </w:tc>
        <w:tc>
          <w:tcPr>
            <w:tcW w:w="1064"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2.97 </w:t>
            </w:r>
          </w:p>
        </w:tc>
        <w:tc>
          <w:tcPr>
            <w:tcW w:w="1164"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13.20 </w:t>
            </w:r>
          </w:p>
        </w:tc>
      </w:tr>
      <w:tr>
        <w:trPr>
          <w:trHeight w:val="828"/>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82</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科学技术农业畜牧局</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第二批省级科技计划项目专项资金</w:t>
            </w:r>
          </w:p>
        </w:tc>
        <w:tc>
          <w:tcPr>
            <w:tcW w:w="72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104.68 </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104.676 </w:t>
            </w: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r>
      <w:tr>
        <w:trPr>
          <w:trHeight w:val="437"/>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83</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教育局</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2022年城乡义务教育补助</w:t>
            </w:r>
          </w:p>
        </w:tc>
        <w:tc>
          <w:tcPr>
            <w:tcW w:w="72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2223.00 </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1683.00 </w:t>
            </w: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540.00 </w:t>
            </w: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r>
      <w:tr>
        <w:trPr>
          <w:trHeight w:val="437"/>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84</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教育局</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2022年部分学生资助补助</w:t>
            </w:r>
          </w:p>
        </w:tc>
        <w:tc>
          <w:tcPr>
            <w:tcW w:w="72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84.98 </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55.52 </w:t>
            </w: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21.04 </w:t>
            </w: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8.42 </w:t>
            </w: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r>
      <w:tr>
        <w:trPr>
          <w:trHeight w:val="437"/>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85</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文体旅游局</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2022年中央支持地方公共文化服务体系建设（戏曲进乡村）补助资金</w:t>
            </w:r>
          </w:p>
        </w:tc>
        <w:tc>
          <w:tcPr>
            <w:tcW w:w="72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88.50 </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88.50 </w:t>
            </w: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r>
      <w:tr>
        <w:trPr>
          <w:trHeight w:val="437"/>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86</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教育局</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教育救助基金2022</w:t>
            </w:r>
          </w:p>
        </w:tc>
        <w:tc>
          <w:tcPr>
            <w:tcW w:w="72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80.00 </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80.00 </w:t>
            </w:r>
          </w:p>
        </w:tc>
      </w:tr>
      <w:tr>
        <w:trPr>
          <w:trHeight w:val="437"/>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87</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居保中心</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城乡居民基础养老保险补助</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1377.16 </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1,141.59 </w:t>
            </w: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212.99 </w:t>
            </w: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22.58 </w:t>
            </w: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r>
      <w:tr>
        <w:trPr>
          <w:trHeight w:val="437"/>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88</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民政局</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社会救助救济补助资金2022</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91.2419 </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55.2419 </w:t>
            </w: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36.00 </w:t>
            </w: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r>
      <w:tr>
        <w:trPr>
          <w:trHeight w:val="437"/>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89</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人社局</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2022年高校毕业生“三支一扶”中央省财政补助资金</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72.52</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68.64 </w:t>
            </w: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3.88 </w:t>
            </w: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r>
      <w:tr>
        <w:trPr>
          <w:trHeight w:val="437"/>
        </w:trPr>
        <w:tc>
          <w:tcPr>
            <w:tcW w:w="44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center"/>
              <w:textAlignment w:val="center"/>
              <w:rPr>
                <w:rFonts w:ascii="宋体" w:eastAsia="宋体" w:cs="宋体" w:hint="eastAsia"/>
                <w:i w:val="0"/>
                <w:color w:val="000000"/>
                <w:sz w:val="15"/>
                <w:szCs w:val="15"/>
                <w:u w:val="none"/>
              </w:rPr>
            </w:pPr>
            <w:r>
              <w:rPr>
                <w:rFonts w:ascii="宋体" w:eastAsia="宋体" w:cs="宋体" w:hint="eastAsia"/>
                <w:i w:val="0"/>
                <w:color w:val="000000"/>
                <w:kern w:val="0"/>
                <w:sz w:val="15"/>
                <w:szCs w:val="15"/>
                <w:u w:val="none"/>
                <w:lang w:val="en-US" w:eastAsia="zh-CN"/>
              </w:rPr>
              <w:t>90</w:t>
            </w:r>
          </w:p>
        </w:tc>
        <w:tc>
          <w:tcPr>
            <w:tcW w:w="8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民政局</w:t>
            </w:r>
          </w:p>
        </w:tc>
        <w:tc>
          <w:tcPr>
            <w:tcW w:w="26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2022年困难群众救助补助资金</w:t>
            </w: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704.56 </w:t>
            </w:r>
          </w:p>
        </w:tc>
        <w:tc>
          <w:tcPr>
            <w:tcW w:w="8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646.36 </w:t>
            </w: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53.20 </w:t>
            </w:r>
          </w:p>
        </w:tc>
        <w:tc>
          <w:tcPr>
            <w:tcW w:w="10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r>
              <w:rPr>
                <w:rFonts w:ascii="宋体" w:eastAsia="宋体" w:cs="宋体" w:hint="eastAsia"/>
                <w:i w:val="0"/>
                <w:color w:val="000000"/>
                <w:kern w:val="0"/>
                <w:sz w:val="15"/>
                <w:szCs w:val="15"/>
                <w:u w:val="none"/>
                <w:lang w:val="en-US" w:eastAsia="zh-CN"/>
              </w:rPr>
              <w:t xml:space="preserve">5.00 </w:t>
            </w:r>
          </w:p>
        </w:tc>
        <w:tc>
          <w:tcPr>
            <w:tcW w:w="116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spacing w:line="240" w:lineRule="auto"/>
              <w:jc w:val="left"/>
              <w:textAlignment w:val="center"/>
              <w:rPr>
                <w:rFonts w:ascii="宋体" w:eastAsia="宋体" w:cs="宋体" w:hint="eastAsia"/>
                <w:i w:val="0"/>
                <w:color w:val="000000"/>
                <w:kern w:val="0"/>
                <w:sz w:val="15"/>
                <w:szCs w:val="15"/>
                <w:u w:val="none"/>
                <w:lang w:val="en-US" w:eastAsia="zh-CN"/>
              </w:rPr>
            </w:pPr>
          </w:p>
        </w:tc>
      </w:tr>
    </w:tbl>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both"/>
        <w:textAlignment w:val="auto"/>
        <w:rPr>
          <w:rFonts w:eastAsia="方正仿宋_GBK" w:cs="Times New Roman" w:hint="eastAsia"/>
          <w:bCs/>
          <w:color w:val="000000"/>
          <w:sz w:val="32"/>
          <w:szCs w:val="32"/>
          <w:lang w:val="en-US" w:eastAsia="zh-CN" w:bidi="ar-SA"/>
        </w:rPr>
      </w:pPr>
      <w:r>
        <w:rPr>
          <w:rFonts w:eastAsia="方正仿宋_GBK" w:cs="Times New Roman" w:hint="eastAsia"/>
          <w:bCs/>
          <w:color w:val="000000"/>
          <w:sz w:val="32"/>
          <w:szCs w:val="32"/>
          <w:lang w:val="en-US" w:eastAsia="zh-CN" w:bidi="ar-SA"/>
        </w:rPr>
        <w:t xml:space="preserve">                </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both"/>
        <w:textAlignment w:val="auto"/>
        <w:rPr>
          <w:rFonts w:eastAsia="方正仿宋_GBK" w:cs="Times New Roman" w:hint="eastAsia"/>
          <w:bCs/>
          <w:color w:val="000000"/>
          <w:sz w:val="32"/>
          <w:szCs w:val="32"/>
          <w:lang w:val="en-US" w:eastAsia="zh-CN" w:bidi="ar-SA"/>
        </w:rPr>
      </w:pPr>
    </w:p>
    <w:p>
      <w:pPr>
        <w:pStyle w:val="15"/>
        <w:tabs>
          <w:tab w:val="left" w:pos="436"/>
        </w:tabs>
        <w:ind w:leftChars="0" w:left="0" w:firstLineChars="0" w:firstLine="0"/>
        <w:rPr>
          <w:rFonts w:hint="eastAsia"/>
          <w:sz w:val="32"/>
          <w:szCs w:val="32"/>
          <w:lang w:val="en-US" w:eastAsia="zh-CN"/>
        </w:rPr>
      </w:pPr>
      <w:r>
        <w:rPr>
          <w:rFonts w:hint="eastAsia"/>
          <w:sz w:val="32"/>
          <w:szCs w:val="32"/>
          <w:lang w:val="en-US" w:eastAsia="zh-CN"/>
        </w:rPr>
        <w:t>附件2</w:t>
      </w:r>
    </w:p>
    <w:p>
      <w:pPr>
        <w:pStyle w:val="21"/>
        <w:rPr>
          <w:rFonts w:hint="eastAsia"/>
          <w:lang w:val="en-US" w:eastAsia="zh-CN"/>
        </w:rPr>
      </w:pPr>
      <w:r>
        <w:rPr>
          <w:rFonts w:ascii="方正小标宋简体" w:eastAsia="方正小标宋简体" w:cs="方正小标宋简体" w:hint="eastAsia"/>
          <w:i w:val="0"/>
          <w:color w:val="000000"/>
          <w:kern w:val="0"/>
          <w:sz w:val="36"/>
          <w:szCs w:val="36"/>
          <w:u w:val="none"/>
          <w:lang w:val="en-US" w:eastAsia="zh-CN"/>
        </w:rPr>
        <w:t>2023年部门整体支出绩效评价重点抽评单位</w:t>
      </w:r>
    </w:p>
    <w:tbl>
      <w:tblPr>
        <w:jc w:val="left"/>
        <w:tblInd w:w="0" w:type="dxa"/>
        <w:tblW w:w="8443" w:type="dxa"/>
        <w:tblBorders>
          <w:top w:val="none" w:sz="0" w:space="0" w:color="auto"/>
          <w:left w:val="none" w:sz="0" w:space="0" w:color="auto"/>
          <w:bottom w:val="none" w:sz="0" w:space="0" w:color="auto"/>
          <w:right w:val="none" w:sz="0" w:space="0" w:color="auto"/>
        </w:tblBorders>
        <w:shd w:val="clear" w:color="auto" w:fill="auto"/>
        <w:tblLayout w:type="fixed"/>
        <w:tblCellMar>
          <w:top w:w="15" w:type="dxa"/>
          <w:left w:w="15" w:type="dxa"/>
          <w:bottom w:w="15" w:type="dxa"/>
          <w:right w:w="15" w:type="dxa"/>
        </w:tblCellMar>
      </w:tblPr>
      <w:tblGrid>
        <w:gridCol w:w="831"/>
        <w:gridCol w:w="880"/>
        <w:gridCol w:w="3420"/>
        <w:gridCol w:w="3312"/>
      </w:tblGrid>
      <w:tr>
        <w:trPr>
          <w:trHeight w:val="312"/>
        </w:trPr>
        <w:tc>
          <w:tcPr>
            <w:tcW w:w="831"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b/>
                <w:i w:val="0"/>
                <w:color w:val="000000"/>
                <w:sz w:val="22"/>
                <w:szCs w:val="22"/>
                <w:u w:val="none"/>
              </w:rPr>
            </w:pPr>
            <w:r>
              <w:rPr>
                <w:rFonts w:ascii="宋体" w:eastAsia="宋体" w:cs="宋体" w:hint="eastAsia"/>
                <w:b/>
                <w:i w:val="0"/>
                <w:color w:val="000000"/>
                <w:kern w:val="0"/>
                <w:sz w:val="22"/>
                <w:szCs w:val="22"/>
                <w:u w:val="none"/>
                <w:lang w:val="en-US" w:eastAsia="zh-CN"/>
              </w:rPr>
              <w:t>序号</w:t>
            </w:r>
          </w:p>
        </w:tc>
        <w:tc>
          <w:tcPr>
            <w:tcW w:w="88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b/>
                <w:i w:val="0"/>
                <w:color w:val="000000"/>
                <w:sz w:val="22"/>
                <w:szCs w:val="22"/>
                <w:u w:val="none"/>
              </w:rPr>
            </w:pPr>
            <w:r>
              <w:rPr>
                <w:rFonts w:ascii="宋体" w:eastAsia="宋体" w:cs="宋体" w:hint="eastAsia"/>
                <w:b/>
                <w:i w:val="0"/>
                <w:color w:val="000000"/>
                <w:kern w:val="0"/>
                <w:sz w:val="22"/>
                <w:szCs w:val="22"/>
                <w:u w:val="none"/>
                <w:lang w:val="en-US" w:eastAsia="zh-CN"/>
              </w:rPr>
              <w:t>科室</w:t>
            </w:r>
          </w:p>
        </w:tc>
        <w:tc>
          <w:tcPr>
            <w:tcW w:w="342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b/>
                <w:i w:val="0"/>
                <w:color w:val="000000"/>
                <w:sz w:val="22"/>
                <w:szCs w:val="22"/>
                <w:u w:val="none"/>
              </w:rPr>
            </w:pPr>
            <w:r>
              <w:rPr>
                <w:rFonts w:ascii="宋体" w:eastAsia="宋体" w:cs="宋体" w:hint="eastAsia"/>
                <w:b/>
                <w:i w:val="0"/>
                <w:color w:val="000000"/>
                <w:kern w:val="0"/>
                <w:sz w:val="22"/>
                <w:szCs w:val="22"/>
                <w:u w:val="none"/>
                <w:lang w:val="en-US" w:eastAsia="zh-CN"/>
              </w:rPr>
              <w:t>单位名称</w:t>
            </w:r>
          </w:p>
        </w:tc>
        <w:tc>
          <w:tcPr>
            <w:tcW w:w="331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b/>
                <w:i w:val="0"/>
                <w:color w:val="000000"/>
                <w:sz w:val="22"/>
                <w:szCs w:val="22"/>
                <w:u w:val="none"/>
              </w:rPr>
            </w:pPr>
            <w:r>
              <w:rPr>
                <w:rFonts w:ascii="宋体" w:eastAsia="宋体" w:cs="宋体" w:hint="eastAsia"/>
                <w:b/>
                <w:i w:val="0"/>
                <w:color w:val="000000"/>
                <w:kern w:val="0"/>
                <w:sz w:val="22"/>
                <w:szCs w:val="22"/>
                <w:u w:val="none"/>
                <w:lang w:val="en-US" w:eastAsia="zh-CN"/>
              </w:rPr>
              <w:t>评价内容</w:t>
            </w:r>
          </w:p>
        </w:tc>
      </w:tr>
      <w:tr>
        <w:trPr>
          <w:trHeight w:val="312"/>
        </w:trPr>
        <w:tc>
          <w:tcPr>
            <w:tcW w:w="831"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88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42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c>
          <w:tcPr>
            <w:tcW w:w="3312"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tc>
      </w:tr>
      <w:tr>
        <w:trPr>
          <w:trHeight w:val="286"/>
        </w:trPr>
        <w:tc>
          <w:tcPr>
            <w:tcW w:w="8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bottom"/>
              <w:rPr>
                <w:rFonts w:ascii="宋体" w:eastAsia="宋体" w:cs="宋体" w:hint="eastAsia"/>
                <w:i w:val="0"/>
                <w:color w:val="000000"/>
                <w:kern w:val="0"/>
                <w:sz w:val="20"/>
                <w:szCs w:val="20"/>
                <w:u w:val="none"/>
                <w:lang w:val="en-US" w:eastAsia="zh-CN"/>
              </w:rPr>
            </w:pPr>
            <w:r>
              <w:rPr>
                <w:rFonts w:ascii="宋体" w:eastAsia="宋体" w:cs="宋体" w:hint="eastAsia"/>
                <w:i w:val="0"/>
                <w:color w:val="000000"/>
                <w:kern w:val="0"/>
                <w:sz w:val="20"/>
                <w:szCs w:val="20"/>
                <w:u w:val="none"/>
                <w:lang w:val="en-US" w:eastAsia="zh-CN"/>
              </w:rPr>
              <w:t>1</w:t>
            </w:r>
          </w:p>
        </w:tc>
        <w:tc>
          <w:tcPr>
            <w:tcW w:w="88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left"/>
              <w:textAlignment w:val="bottom"/>
              <w:rPr>
                <w:rFonts w:ascii="宋体" w:eastAsia="宋体" w:cs="宋体" w:hint="eastAsia"/>
                <w:i w:val="0"/>
                <w:color w:val="000000"/>
                <w:kern w:val="0"/>
                <w:sz w:val="20"/>
                <w:szCs w:val="20"/>
                <w:u w:val="none"/>
                <w:lang w:val="en-US" w:eastAsia="zh-CN"/>
              </w:rPr>
            </w:pPr>
            <w:r>
              <w:rPr>
                <w:rFonts w:ascii="宋体" w:eastAsia="宋体" w:cs="宋体"/>
                <w:i w:val="0"/>
                <w:color w:val="000000"/>
                <w:kern w:val="0"/>
                <w:sz w:val="20"/>
                <w:szCs w:val="20"/>
                <w:u w:val="none"/>
                <w:lang w:val="en-US" w:eastAsia="zh-CN"/>
              </w:rPr>
              <w:t>行财股</w:t>
            </w:r>
          </w:p>
        </w:tc>
        <w:tc>
          <w:tcPr>
            <w:tcW w:w="342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left"/>
              <w:textAlignment w:val="bottom"/>
              <w:rPr>
                <w:rFonts w:ascii="宋体" w:eastAsia="宋体" w:cs="宋体" w:hint="eastAsia"/>
                <w:i w:val="0"/>
                <w:color w:val="000000"/>
                <w:kern w:val="0"/>
                <w:sz w:val="20"/>
                <w:szCs w:val="20"/>
                <w:u w:val="none"/>
                <w:lang w:val="en-US" w:eastAsia="zh-CN"/>
              </w:rPr>
            </w:pPr>
            <w:r>
              <w:rPr>
                <w:rFonts w:ascii="宋体" w:eastAsia="宋体" w:cs="宋体" w:hint="eastAsia"/>
                <w:i w:val="0"/>
                <w:color w:val="000000"/>
                <w:kern w:val="0"/>
                <w:sz w:val="20"/>
                <w:szCs w:val="20"/>
                <w:u w:val="none"/>
                <w:lang w:val="en-US" w:eastAsia="zh-CN"/>
              </w:rPr>
              <w:t>中共金川县委</w:t>
            </w:r>
          </w:p>
        </w:tc>
        <w:tc>
          <w:tcPr>
            <w:tcW w:w="33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bottom"/>
              <w:rPr>
                <w:rFonts w:ascii="宋体" w:eastAsia="宋体" w:cs="宋体" w:hint="eastAsia"/>
                <w:i w:val="0"/>
                <w:color w:val="000000"/>
                <w:kern w:val="0"/>
                <w:sz w:val="20"/>
                <w:szCs w:val="20"/>
                <w:u w:val="none"/>
                <w:lang w:val="en-US" w:eastAsia="zh-CN"/>
              </w:rPr>
            </w:pPr>
            <w:r>
              <w:rPr>
                <w:rFonts w:ascii="宋体" w:eastAsia="宋体" w:cs="宋体" w:hint="eastAsia"/>
                <w:i w:val="0"/>
                <w:color w:val="000000"/>
                <w:kern w:val="0"/>
                <w:sz w:val="20"/>
                <w:szCs w:val="20"/>
                <w:u w:val="none"/>
                <w:lang w:val="en-US" w:eastAsia="zh-CN"/>
              </w:rPr>
              <w:t>2022年部门整体支出绩效评价</w:t>
            </w:r>
          </w:p>
        </w:tc>
      </w:tr>
      <w:tr>
        <w:trPr>
          <w:trHeight w:val="286"/>
        </w:trPr>
        <w:tc>
          <w:tcPr>
            <w:tcW w:w="8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bottom"/>
              <w:rPr>
                <w:rFonts w:ascii="宋体" w:eastAsia="宋体" w:cs="宋体" w:hint="eastAsia"/>
                <w:i w:val="0"/>
                <w:color w:val="000000"/>
                <w:kern w:val="0"/>
                <w:sz w:val="20"/>
                <w:szCs w:val="20"/>
                <w:u w:val="none"/>
                <w:lang w:val="en-US" w:eastAsia="zh-CN"/>
              </w:rPr>
            </w:pPr>
            <w:r>
              <w:rPr>
                <w:rFonts w:ascii="宋体" w:eastAsia="宋体" w:cs="宋体" w:hint="eastAsia"/>
                <w:i w:val="0"/>
                <w:color w:val="000000"/>
                <w:kern w:val="0"/>
                <w:sz w:val="20"/>
                <w:szCs w:val="20"/>
                <w:u w:val="none"/>
                <w:lang w:val="en-US" w:eastAsia="zh-CN"/>
              </w:rPr>
              <w:t>2</w:t>
            </w:r>
          </w:p>
        </w:tc>
        <w:tc>
          <w:tcPr>
            <w:tcW w:w="88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left"/>
              <w:textAlignment w:val="bottom"/>
              <w:rPr>
                <w:rFonts w:ascii="宋体" w:eastAsia="宋体" w:cs="宋体"/>
                <w:i w:val="0"/>
                <w:color w:val="000000"/>
                <w:kern w:val="0"/>
                <w:sz w:val="20"/>
                <w:szCs w:val="20"/>
                <w:u w:val="none"/>
                <w:lang w:val="en-US" w:eastAsia="zh-CN"/>
              </w:rPr>
            </w:pPr>
            <w:r>
              <w:rPr>
                <w:rFonts w:ascii="宋体" w:eastAsia="宋体" w:cs="宋体"/>
                <w:i w:val="0"/>
                <w:color w:val="000000"/>
                <w:kern w:val="0"/>
                <w:sz w:val="20"/>
                <w:szCs w:val="20"/>
                <w:u w:val="none"/>
                <w:lang w:val="en-US" w:eastAsia="zh-CN"/>
              </w:rPr>
              <w:t>行财股</w:t>
            </w:r>
          </w:p>
        </w:tc>
        <w:tc>
          <w:tcPr>
            <w:tcW w:w="342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left"/>
              <w:textAlignment w:val="bottom"/>
              <w:rPr>
                <w:rFonts w:ascii="宋体" w:eastAsia="宋体" w:cs="宋体" w:hint="eastAsia"/>
                <w:i w:val="0"/>
                <w:color w:val="000000"/>
                <w:kern w:val="0"/>
                <w:sz w:val="20"/>
                <w:szCs w:val="20"/>
                <w:u w:val="none"/>
                <w:lang w:val="en-US" w:eastAsia="zh-CN"/>
              </w:rPr>
            </w:pPr>
            <w:r>
              <w:rPr>
                <w:rFonts w:ascii="宋体" w:eastAsia="宋体" w:cs="宋体" w:hint="eastAsia"/>
                <w:i w:val="0"/>
                <w:color w:val="000000"/>
                <w:kern w:val="0"/>
                <w:sz w:val="20"/>
                <w:szCs w:val="20"/>
                <w:u w:val="none"/>
                <w:lang w:val="en-US" w:eastAsia="zh-CN"/>
              </w:rPr>
              <w:t>金川县人大常委会</w:t>
            </w:r>
          </w:p>
        </w:tc>
        <w:tc>
          <w:tcPr>
            <w:tcW w:w="33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bottom"/>
              <w:rPr>
                <w:rFonts w:ascii="宋体" w:eastAsia="宋体" w:cs="宋体" w:hint="eastAsia"/>
                <w:i w:val="0"/>
                <w:color w:val="000000"/>
                <w:kern w:val="0"/>
                <w:sz w:val="20"/>
                <w:szCs w:val="20"/>
                <w:u w:val="none"/>
                <w:lang w:val="en-US" w:eastAsia="zh-CN"/>
              </w:rPr>
            </w:pPr>
            <w:r>
              <w:rPr>
                <w:rFonts w:ascii="宋体" w:eastAsia="宋体" w:cs="宋体" w:hint="eastAsia"/>
                <w:i w:val="0"/>
                <w:color w:val="000000"/>
                <w:kern w:val="0"/>
                <w:sz w:val="20"/>
                <w:szCs w:val="20"/>
                <w:u w:val="none"/>
                <w:lang w:val="en-US" w:eastAsia="zh-CN"/>
              </w:rPr>
              <w:t>2022年部门整体支出绩效评价</w:t>
            </w:r>
          </w:p>
        </w:tc>
      </w:tr>
      <w:tr>
        <w:trPr>
          <w:trHeight w:val="286"/>
        </w:trPr>
        <w:tc>
          <w:tcPr>
            <w:tcW w:w="8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bottom"/>
              <w:rPr>
                <w:rFonts w:ascii="宋体" w:eastAsia="宋体" w:cs="宋体" w:hint="eastAsia"/>
                <w:i w:val="0"/>
                <w:color w:val="000000"/>
                <w:kern w:val="0"/>
                <w:sz w:val="20"/>
                <w:szCs w:val="20"/>
                <w:u w:val="none"/>
                <w:lang w:val="en-US" w:eastAsia="zh-CN"/>
              </w:rPr>
            </w:pPr>
            <w:r>
              <w:rPr>
                <w:rFonts w:ascii="宋体" w:eastAsia="宋体" w:cs="宋体" w:hint="eastAsia"/>
                <w:i w:val="0"/>
                <w:color w:val="000000"/>
                <w:kern w:val="0"/>
                <w:sz w:val="20"/>
                <w:szCs w:val="20"/>
                <w:u w:val="none"/>
                <w:lang w:val="en-US" w:eastAsia="zh-CN"/>
              </w:rPr>
              <w:t>3</w:t>
            </w:r>
          </w:p>
        </w:tc>
        <w:tc>
          <w:tcPr>
            <w:tcW w:w="88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left"/>
              <w:textAlignment w:val="bottom"/>
              <w:rPr>
                <w:rFonts w:ascii="宋体" w:eastAsia="宋体" w:cs="宋体"/>
                <w:i w:val="0"/>
                <w:color w:val="000000"/>
                <w:kern w:val="0"/>
                <w:sz w:val="20"/>
                <w:szCs w:val="20"/>
                <w:u w:val="none"/>
                <w:lang w:val="en-US" w:eastAsia="zh-CN"/>
              </w:rPr>
            </w:pPr>
            <w:r>
              <w:rPr>
                <w:rFonts w:ascii="宋体" w:eastAsia="宋体" w:cs="宋体"/>
                <w:i w:val="0"/>
                <w:color w:val="000000"/>
                <w:kern w:val="0"/>
                <w:sz w:val="20"/>
                <w:szCs w:val="20"/>
                <w:u w:val="none"/>
                <w:lang w:val="en-US" w:eastAsia="zh-CN"/>
              </w:rPr>
              <w:t>行财股</w:t>
            </w:r>
          </w:p>
        </w:tc>
        <w:tc>
          <w:tcPr>
            <w:tcW w:w="342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left"/>
              <w:textAlignment w:val="bottom"/>
              <w:rPr>
                <w:rFonts w:ascii="宋体" w:eastAsia="宋体" w:cs="宋体" w:hint="eastAsia"/>
                <w:i w:val="0"/>
                <w:color w:val="000000"/>
                <w:kern w:val="0"/>
                <w:sz w:val="20"/>
                <w:szCs w:val="20"/>
                <w:u w:val="none"/>
                <w:lang w:val="en-US" w:eastAsia="zh-CN"/>
              </w:rPr>
            </w:pPr>
            <w:r>
              <w:rPr>
                <w:rFonts w:ascii="宋体" w:eastAsia="宋体" w:cs="宋体" w:hint="eastAsia"/>
                <w:i w:val="0"/>
                <w:color w:val="000000"/>
                <w:kern w:val="0"/>
                <w:sz w:val="20"/>
                <w:szCs w:val="20"/>
                <w:u w:val="none"/>
                <w:lang w:val="en-US" w:eastAsia="zh-CN"/>
              </w:rPr>
              <w:t>金川县人民政府办公室</w:t>
            </w:r>
          </w:p>
        </w:tc>
        <w:tc>
          <w:tcPr>
            <w:tcW w:w="33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bottom"/>
              <w:rPr>
                <w:rFonts w:ascii="宋体" w:eastAsia="宋体" w:cs="宋体" w:hint="eastAsia"/>
                <w:i w:val="0"/>
                <w:color w:val="000000"/>
                <w:kern w:val="0"/>
                <w:sz w:val="20"/>
                <w:szCs w:val="20"/>
                <w:u w:val="none"/>
                <w:lang w:val="en-US" w:eastAsia="zh-CN"/>
              </w:rPr>
            </w:pPr>
            <w:r>
              <w:rPr>
                <w:rFonts w:ascii="宋体" w:eastAsia="宋体" w:cs="宋体" w:hint="eastAsia"/>
                <w:i w:val="0"/>
                <w:color w:val="000000"/>
                <w:kern w:val="0"/>
                <w:sz w:val="20"/>
                <w:szCs w:val="20"/>
                <w:u w:val="none"/>
                <w:lang w:val="en-US" w:eastAsia="zh-CN"/>
              </w:rPr>
              <w:t>2022年部门整体支出绩效评价</w:t>
            </w:r>
          </w:p>
        </w:tc>
      </w:tr>
      <w:tr>
        <w:trPr>
          <w:trHeight w:val="286"/>
        </w:trPr>
        <w:tc>
          <w:tcPr>
            <w:tcW w:w="8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bottom"/>
              <w:rPr>
                <w:rFonts w:ascii="宋体" w:eastAsia="宋体" w:cs="宋体" w:hint="eastAsia"/>
                <w:i w:val="0"/>
                <w:color w:val="000000"/>
                <w:kern w:val="0"/>
                <w:sz w:val="20"/>
                <w:szCs w:val="20"/>
                <w:u w:val="none"/>
                <w:lang w:val="en-US" w:eastAsia="zh-CN"/>
              </w:rPr>
            </w:pPr>
            <w:r>
              <w:rPr>
                <w:rFonts w:ascii="宋体" w:eastAsia="宋体" w:cs="宋体" w:hint="eastAsia"/>
                <w:i w:val="0"/>
                <w:color w:val="000000"/>
                <w:kern w:val="0"/>
                <w:sz w:val="20"/>
                <w:szCs w:val="20"/>
                <w:u w:val="none"/>
                <w:lang w:val="en-US" w:eastAsia="zh-CN"/>
              </w:rPr>
              <w:t>4</w:t>
            </w:r>
          </w:p>
        </w:tc>
        <w:tc>
          <w:tcPr>
            <w:tcW w:w="88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left"/>
              <w:textAlignment w:val="bottom"/>
              <w:rPr>
                <w:rFonts w:ascii="宋体" w:eastAsia="宋体" w:cs="宋体"/>
                <w:i w:val="0"/>
                <w:color w:val="000000"/>
                <w:kern w:val="0"/>
                <w:sz w:val="20"/>
                <w:szCs w:val="20"/>
                <w:u w:val="none"/>
                <w:lang w:val="en-US" w:eastAsia="zh-CN"/>
              </w:rPr>
            </w:pPr>
            <w:r>
              <w:rPr>
                <w:rFonts w:ascii="宋体" w:eastAsia="宋体" w:cs="宋体"/>
                <w:i w:val="0"/>
                <w:color w:val="000000"/>
                <w:kern w:val="0"/>
                <w:sz w:val="20"/>
                <w:szCs w:val="20"/>
                <w:u w:val="none"/>
                <w:lang w:val="en-US" w:eastAsia="zh-CN"/>
              </w:rPr>
              <w:t>行财股</w:t>
            </w:r>
          </w:p>
        </w:tc>
        <w:tc>
          <w:tcPr>
            <w:tcW w:w="342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left"/>
              <w:textAlignment w:val="bottom"/>
              <w:rPr>
                <w:rFonts w:ascii="宋体" w:eastAsia="宋体" w:cs="宋体" w:hint="eastAsia"/>
                <w:i w:val="0"/>
                <w:color w:val="000000"/>
                <w:kern w:val="0"/>
                <w:sz w:val="20"/>
                <w:szCs w:val="20"/>
                <w:u w:val="none"/>
                <w:lang w:val="en-US" w:eastAsia="zh-CN"/>
              </w:rPr>
            </w:pPr>
            <w:r>
              <w:rPr>
                <w:rFonts w:ascii="宋体" w:eastAsia="宋体" w:cs="宋体" w:hint="eastAsia"/>
                <w:i w:val="0"/>
                <w:color w:val="000000"/>
                <w:kern w:val="0"/>
                <w:sz w:val="20"/>
                <w:szCs w:val="20"/>
                <w:u w:val="none"/>
                <w:lang w:val="en-US" w:eastAsia="zh-CN"/>
              </w:rPr>
              <w:t>政协金川县委员会办公室</w:t>
            </w:r>
          </w:p>
        </w:tc>
        <w:tc>
          <w:tcPr>
            <w:tcW w:w="33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bottom"/>
              <w:rPr>
                <w:rFonts w:ascii="宋体" w:eastAsia="宋体" w:cs="宋体" w:hint="eastAsia"/>
                <w:i w:val="0"/>
                <w:color w:val="000000"/>
                <w:kern w:val="0"/>
                <w:sz w:val="20"/>
                <w:szCs w:val="20"/>
                <w:u w:val="none"/>
                <w:lang w:val="en-US" w:eastAsia="zh-CN"/>
              </w:rPr>
            </w:pPr>
            <w:r>
              <w:rPr>
                <w:rFonts w:ascii="宋体" w:eastAsia="宋体" w:cs="宋体" w:hint="eastAsia"/>
                <w:i w:val="0"/>
                <w:color w:val="000000"/>
                <w:kern w:val="0"/>
                <w:sz w:val="20"/>
                <w:szCs w:val="20"/>
                <w:u w:val="none"/>
                <w:lang w:val="en-US" w:eastAsia="zh-CN"/>
              </w:rPr>
              <w:t>2022年部门整体支出绩效评价</w:t>
            </w:r>
          </w:p>
        </w:tc>
      </w:tr>
      <w:tr>
        <w:trPr>
          <w:trHeight w:val="286"/>
        </w:trPr>
        <w:tc>
          <w:tcPr>
            <w:tcW w:w="8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bottom"/>
              <w:rPr>
                <w:rFonts w:ascii="宋体" w:eastAsia="宋体" w:cs="宋体" w:hint="eastAsia"/>
                <w:i w:val="0"/>
                <w:color w:val="000000"/>
                <w:kern w:val="0"/>
                <w:sz w:val="20"/>
                <w:szCs w:val="20"/>
                <w:u w:val="none"/>
                <w:lang w:val="en-US" w:eastAsia="zh-CN"/>
              </w:rPr>
            </w:pPr>
            <w:r>
              <w:rPr>
                <w:rFonts w:ascii="宋体" w:eastAsia="宋体" w:cs="宋体" w:hint="eastAsia"/>
                <w:i w:val="0"/>
                <w:color w:val="000000"/>
                <w:kern w:val="0"/>
                <w:sz w:val="20"/>
                <w:szCs w:val="20"/>
                <w:u w:val="none"/>
                <w:lang w:val="en-US" w:eastAsia="zh-CN"/>
              </w:rPr>
              <w:t>5</w:t>
            </w:r>
          </w:p>
        </w:tc>
        <w:tc>
          <w:tcPr>
            <w:tcW w:w="88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left"/>
              <w:textAlignment w:val="bottom"/>
              <w:rPr>
                <w:rFonts w:ascii="宋体" w:eastAsia="宋体" w:cs="宋体"/>
                <w:i w:val="0"/>
                <w:color w:val="000000"/>
                <w:kern w:val="0"/>
                <w:sz w:val="20"/>
                <w:szCs w:val="20"/>
                <w:u w:val="none"/>
                <w:lang w:val="en-US" w:eastAsia="zh-CN"/>
              </w:rPr>
            </w:pPr>
            <w:r>
              <w:rPr>
                <w:rFonts w:ascii="宋体" w:eastAsia="宋体" w:cs="宋体"/>
                <w:i w:val="0"/>
                <w:color w:val="000000"/>
                <w:kern w:val="0"/>
                <w:sz w:val="20"/>
                <w:szCs w:val="20"/>
                <w:u w:val="none"/>
                <w:lang w:val="en-US" w:eastAsia="zh-CN"/>
              </w:rPr>
              <w:t>行财股</w:t>
            </w:r>
          </w:p>
        </w:tc>
        <w:tc>
          <w:tcPr>
            <w:tcW w:w="342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left"/>
              <w:textAlignment w:val="bottom"/>
              <w:rPr>
                <w:rFonts w:ascii="宋体" w:eastAsia="宋体" w:cs="宋体" w:hint="eastAsia"/>
                <w:i w:val="0"/>
                <w:color w:val="000000"/>
                <w:kern w:val="0"/>
                <w:sz w:val="20"/>
                <w:szCs w:val="20"/>
                <w:u w:val="none"/>
                <w:lang w:val="en-US" w:eastAsia="zh-CN"/>
              </w:rPr>
            </w:pPr>
            <w:r>
              <w:rPr>
                <w:rFonts w:ascii="宋体" w:eastAsia="宋体" w:cs="宋体" w:hint="eastAsia"/>
                <w:i w:val="0"/>
                <w:color w:val="000000"/>
                <w:kern w:val="0"/>
                <w:sz w:val="20"/>
                <w:szCs w:val="20"/>
                <w:u w:val="none"/>
                <w:lang w:val="en-US" w:eastAsia="zh-CN"/>
              </w:rPr>
              <w:t>中共金川县委宣传部</w:t>
            </w:r>
          </w:p>
        </w:tc>
        <w:tc>
          <w:tcPr>
            <w:tcW w:w="33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bottom"/>
              <w:rPr>
                <w:rFonts w:ascii="宋体" w:eastAsia="宋体" w:cs="宋体" w:hint="eastAsia"/>
                <w:i w:val="0"/>
                <w:color w:val="000000"/>
                <w:kern w:val="0"/>
                <w:sz w:val="20"/>
                <w:szCs w:val="20"/>
                <w:u w:val="none"/>
                <w:lang w:val="en-US" w:eastAsia="zh-CN"/>
              </w:rPr>
            </w:pPr>
            <w:r>
              <w:rPr>
                <w:rFonts w:ascii="宋体" w:eastAsia="宋体" w:cs="宋体" w:hint="eastAsia"/>
                <w:i w:val="0"/>
                <w:color w:val="000000"/>
                <w:kern w:val="0"/>
                <w:sz w:val="20"/>
                <w:szCs w:val="20"/>
                <w:u w:val="none"/>
                <w:lang w:val="en-US" w:eastAsia="zh-CN"/>
              </w:rPr>
              <w:t>2022年部门整体支出绩效评价</w:t>
            </w:r>
          </w:p>
        </w:tc>
      </w:tr>
      <w:tr>
        <w:trPr>
          <w:trHeight w:val="286"/>
        </w:trPr>
        <w:tc>
          <w:tcPr>
            <w:tcW w:w="8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bottom"/>
              <w:rPr>
                <w:rFonts w:ascii="宋体" w:eastAsia="宋体" w:cs="宋体" w:hint="eastAsia"/>
                <w:i w:val="0"/>
                <w:color w:val="000000"/>
                <w:kern w:val="0"/>
                <w:sz w:val="20"/>
                <w:szCs w:val="20"/>
                <w:u w:val="none"/>
                <w:lang w:val="en-US" w:eastAsia="zh-CN"/>
              </w:rPr>
            </w:pPr>
            <w:r>
              <w:rPr>
                <w:rFonts w:ascii="宋体" w:eastAsia="宋体" w:cs="宋体" w:hint="eastAsia"/>
                <w:i w:val="0"/>
                <w:color w:val="000000"/>
                <w:kern w:val="0"/>
                <w:sz w:val="20"/>
                <w:szCs w:val="20"/>
                <w:u w:val="none"/>
                <w:lang w:val="en-US" w:eastAsia="zh-CN"/>
              </w:rPr>
              <w:t>6</w:t>
            </w:r>
          </w:p>
        </w:tc>
        <w:tc>
          <w:tcPr>
            <w:tcW w:w="88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left"/>
              <w:textAlignment w:val="bottom"/>
              <w:rPr>
                <w:rFonts w:ascii="宋体" w:eastAsia="宋体" w:cs="宋体"/>
                <w:i w:val="0"/>
                <w:color w:val="000000"/>
                <w:kern w:val="0"/>
                <w:sz w:val="20"/>
                <w:szCs w:val="20"/>
                <w:u w:val="none"/>
                <w:lang w:val="en-US" w:eastAsia="zh-CN"/>
              </w:rPr>
            </w:pPr>
            <w:r>
              <w:rPr>
                <w:rFonts w:ascii="宋体" w:eastAsia="宋体" w:cs="宋体"/>
                <w:i w:val="0"/>
                <w:color w:val="000000"/>
                <w:kern w:val="0"/>
                <w:sz w:val="20"/>
                <w:szCs w:val="20"/>
                <w:u w:val="none"/>
                <w:lang w:val="en-US" w:eastAsia="zh-CN"/>
              </w:rPr>
              <w:t>行财股</w:t>
            </w:r>
          </w:p>
        </w:tc>
        <w:tc>
          <w:tcPr>
            <w:tcW w:w="342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left"/>
              <w:textAlignment w:val="bottom"/>
              <w:rPr>
                <w:rFonts w:ascii="宋体" w:eastAsia="宋体" w:cs="宋体" w:hint="eastAsia"/>
                <w:i w:val="0"/>
                <w:color w:val="000000"/>
                <w:kern w:val="0"/>
                <w:sz w:val="20"/>
                <w:szCs w:val="20"/>
                <w:u w:val="none"/>
                <w:lang w:val="en-US" w:eastAsia="zh-CN"/>
              </w:rPr>
            </w:pPr>
            <w:r>
              <w:rPr>
                <w:rFonts w:ascii="宋体" w:eastAsia="宋体" w:cs="宋体" w:hint="eastAsia"/>
                <w:i w:val="0"/>
                <w:color w:val="000000"/>
                <w:kern w:val="0"/>
                <w:sz w:val="20"/>
                <w:szCs w:val="20"/>
                <w:u w:val="none"/>
                <w:lang w:val="en-US" w:eastAsia="zh-CN"/>
              </w:rPr>
              <w:t>金川县信访局</w:t>
            </w:r>
          </w:p>
        </w:tc>
        <w:tc>
          <w:tcPr>
            <w:tcW w:w="33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bottom"/>
              <w:rPr>
                <w:rFonts w:ascii="宋体" w:eastAsia="宋体" w:cs="宋体" w:hint="eastAsia"/>
                <w:i w:val="0"/>
                <w:color w:val="000000"/>
                <w:kern w:val="0"/>
                <w:sz w:val="20"/>
                <w:szCs w:val="20"/>
                <w:u w:val="none"/>
                <w:lang w:val="en-US" w:eastAsia="zh-CN"/>
              </w:rPr>
            </w:pPr>
            <w:r>
              <w:rPr>
                <w:rFonts w:ascii="宋体" w:eastAsia="宋体" w:cs="宋体" w:hint="eastAsia"/>
                <w:i w:val="0"/>
                <w:color w:val="000000"/>
                <w:kern w:val="0"/>
                <w:sz w:val="20"/>
                <w:szCs w:val="20"/>
                <w:u w:val="none"/>
                <w:lang w:val="en-US" w:eastAsia="zh-CN"/>
              </w:rPr>
              <w:t>2022年部门整体支出绩效评价</w:t>
            </w:r>
          </w:p>
        </w:tc>
      </w:tr>
      <w:tr>
        <w:trPr>
          <w:trHeight w:val="286"/>
        </w:trPr>
        <w:tc>
          <w:tcPr>
            <w:tcW w:w="8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bottom"/>
              <w:rPr>
                <w:rFonts w:ascii="宋体" w:eastAsia="宋体" w:cs="宋体" w:hint="eastAsia"/>
                <w:i w:val="0"/>
                <w:color w:val="000000"/>
                <w:kern w:val="0"/>
                <w:sz w:val="20"/>
                <w:szCs w:val="20"/>
                <w:u w:val="none"/>
                <w:lang w:val="en-US" w:eastAsia="zh-CN"/>
              </w:rPr>
            </w:pPr>
            <w:r>
              <w:rPr>
                <w:rFonts w:ascii="宋体" w:eastAsia="宋体" w:cs="宋体" w:hint="eastAsia"/>
                <w:i w:val="0"/>
                <w:color w:val="000000"/>
                <w:kern w:val="0"/>
                <w:sz w:val="20"/>
                <w:szCs w:val="20"/>
                <w:u w:val="none"/>
                <w:lang w:val="en-US" w:eastAsia="zh-CN"/>
              </w:rPr>
              <w:t>7</w:t>
            </w:r>
          </w:p>
        </w:tc>
        <w:tc>
          <w:tcPr>
            <w:tcW w:w="88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left"/>
              <w:textAlignment w:val="bottom"/>
              <w:rPr>
                <w:rFonts w:ascii="宋体" w:eastAsia="宋体" w:cs="宋体"/>
                <w:i w:val="0"/>
                <w:color w:val="000000"/>
                <w:kern w:val="0"/>
                <w:sz w:val="20"/>
                <w:szCs w:val="20"/>
                <w:u w:val="none"/>
                <w:lang w:val="en-US" w:eastAsia="zh-CN"/>
              </w:rPr>
            </w:pPr>
            <w:r>
              <w:rPr>
                <w:rFonts w:ascii="宋体" w:eastAsia="宋体" w:cs="宋体"/>
                <w:i w:val="0"/>
                <w:color w:val="000000"/>
                <w:kern w:val="0"/>
                <w:sz w:val="20"/>
                <w:szCs w:val="20"/>
                <w:u w:val="none"/>
                <w:lang w:val="en-US" w:eastAsia="zh-CN"/>
              </w:rPr>
              <w:t>行财股</w:t>
            </w:r>
          </w:p>
        </w:tc>
        <w:tc>
          <w:tcPr>
            <w:tcW w:w="342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left"/>
              <w:textAlignment w:val="bottom"/>
              <w:rPr>
                <w:rFonts w:ascii="宋体" w:eastAsia="宋体" w:cs="宋体" w:hint="eastAsia"/>
                <w:i w:val="0"/>
                <w:color w:val="000000"/>
                <w:kern w:val="0"/>
                <w:sz w:val="20"/>
                <w:szCs w:val="20"/>
                <w:u w:val="none"/>
                <w:lang w:val="en-US" w:eastAsia="zh-CN"/>
              </w:rPr>
            </w:pPr>
            <w:r>
              <w:rPr>
                <w:rFonts w:ascii="宋体" w:eastAsia="宋体" w:cs="宋体" w:hint="eastAsia"/>
                <w:i w:val="0"/>
                <w:color w:val="000000"/>
                <w:kern w:val="0"/>
                <w:sz w:val="20"/>
                <w:szCs w:val="20"/>
                <w:u w:val="none"/>
                <w:lang w:val="en-US" w:eastAsia="zh-CN"/>
              </w:rPr>
              <w:t>金川县公安局</w:t>
            </w:r>
          </w:p>
        </w:tc>
        <w:tc>
          <w:tcPr>
            <w:tcW w:w="33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bottom"/>
              <w:rPr>
                <w:rFonts w:ascii="宋体" w:eastAsia="宋体" w:cs="宋体" w:hint="eastAsia"/>
                <w:i w:val="0"/>
                <w:color w:val="000000"/>
                <w:kern w:val="0"/>
                <w:sz w:val="20"/>
                <w:szCs w:val="20"/>
                <w:u w:val="none"/>
                <w:lang w:val="en-US" w:eastAsia="zh-CN"/>
              </w:rPr>
            </w:pPr>
            <w:r>
              <w:rPr>
                <w:rFonts w:ascii="宋体" w:eastAsia="宋体" w:cs="宋体" w:hint="eastAsia"/>
                <w:i w:val="0"/>
                <w:color w:val="000000"/>
                <w:kern w:val="0"/>
                <w:sz w:val="20"/>
                <w:szCs w:val="20"/>
                <w:u w:val="none"/>
                <w:lang w:val="en-US" w:eastAsia="zh-CN"/>
              </w:rPr>
              <w:t>2022年部门整体支出绩效评价</w:t>
            </w:r>
          </w:p>
        </w:tc>
      </w:tr>
      <w:tr>
        <w:trPr>
          <w:trHeight w:val="286"/>
        </w:trPr>
        <w:tc>
          <w:tcPr>
            <w:tcW w:w="8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bottom"/>
              <w:rPr>
                <w:rFonts w:ascii="宋体" w:eastAsia="宋体" w:cs="宋体" w:hint="eastAsia"/>
                <w:i w:val="0"/>
                <w:color w:val="000000"/>
                <w:kern w:val="0"/>
                <w:sz w:val="20"/>
                <w:szCs w:val="20"/>
                <w:u w:val="none"/>
                <w:lang w:val="en-US" w:eastAsia="zh-CN"/>
              </w:rPr>
            </w:pPr>
            <w:r>
              <w:rPr>
                <w:rFonts w:ascii="宋体" w:eastAsia="宋体" w:cs="宋体" w:hint="eastAsia"/>
                <w:i w:val="0"/>
                <w:color w:val="000000"/>
                <w:kern w:val="0"/>
                <w:sz w:val="20"/>
                <w:szCs w:val="20"/>
                <w:u w:val="none"/>
                <w:lang w:val="en-US" w:eastAsia="zh-CN"/>
              </w:rPr>
              <w:t>8</w:t>
            </w:r>
          </w:p>
        </w:tc>
        <w:tc>
          <w:tcPr>
            <w:tcW w:w="88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left"/>
              <w:textAlignment w:val="bottom"/>
              <w:rPr>
                <w:rFonts w:ascii="宋体" w:eastAsia="宋体" w:cs="宋体"/>
                <w:i w:val="0"/>
                <w:color w:val="000000"/>
                <w:kern w:val="0"/>
                <w:sz w:val="20"/>
                <w:szCs w:val="20"/>
                <w:u w:val="none"/>
                <w:lang w:val="en-US" w:eastAsia="zh-CN"/>
              </w:rPr>
            </w:pPr>
            <w:r>
              <w:rPr>
                <w:rFonts w:ascii="宋体" w:eastAsia="宋体" w:cs="宋体"/>
                <w:i w:val="0"/>
                <w:color w:val="000000"/>
                <w:kern w:val="0"/>
                <w:sz w:val="20"/>
                <w:szCs w:val="20"/>
                <w:u w:val="none"/>
                <w:lang w:val="en-US" w:eastAsia="zh-CN"/>
              </w:rPr>
              <w:t>行财股</w:t>
            </w:r>
          </w:p>
        </w:tc>
        <w:tc>
          <w:tcPr>
            <w:tcW w:w="342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left"/>
              <w:textAlignment w:val="bottom"/>
              <w:rPr>
                <w:rFonts w:ascii="宋体" w:eastAsia="宋体" w:cs="宋体" w:hint="eastAsia"/>
                <w:i w:val="0"/>
                <w:color w:val="000000"/>
                <w:kern w:val="0"/>
                <w:sz w:val="20"/>
                <w:szCs w:val="20"/>
                <w:u w:val="none"/>
                <w:lang w:val="en-US" w:eastAsia="zh-CN"/>
              </w:rPr>
            </w:pPr>
            <w:r>
              <w:rPr>
                <w:rFonts w:ascii="宋体" w:eastAsia="宋体" w:cs="宋体" w:hint="eastAsia"/>
                <w:i w:val="0"/>
                <w:color w:val="000000"/>
                <w:kern w:val="0"/>
                <w:sz w:val="20"/>
                <w:szCs w:val="20"/>
                <w:u w:val="none"/>
                <w:lang w:val="en-US" w:eastAsia="zh-CN"/>
              </w:rPr>
              <w:t>金川县司法局</w:t>
            </w:r>
          </w:p>
        </w:tc>
        <w:tc>
          <w:tcPr>
            <w:tcW w:w="33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bottom"/>
              <w:rPr>
                <w:rFonts w:ascii="宋体" w:eastAsia="宋体" w:cs="宋体" w:hint="eastAsia"/>
                <w:i w:val="0"/>
                <w:color w:val="000000"/>
                <w:kern w:val="0"/>
                <w:sz w:val="20"/>
                <w:szCs w:val="20"/>
                <w:u w:val="none"/>
                <w:lang w:val="en-US" w:eastAsia="zh-CN"/>
              </w:rPr>
            </w:pPr>
            <w:r>
              <w:rPr>
                <w:rFonts w:ascii="宋体" w:eastAsia="宋体" w:cs="宋体" w:hint="eastAsia"/>
                <w:i w:val="0"/>
                <w:color w:val="000000"/>
                <w:kern w:val="0"/>
                <w:sz w:val="20"/>
                <w:szCs w:val="20"/>
                <w:u w:val="none"/>
                <w:lang w:val="en-US" w:eastAsia="zh-CN"/>
              </w:rPr>
              <w:t>2022年部门整体支出绩效评价</w:t>
            </w:r>
          </w:p>
        </w:tc>
      </w:tr>
      <w:tr>
        <w:trPr>
          <w:trHeight w:val="286"/>
        </w:trPr>
        <w:tc>
          <w:tcPr>
            <w:tcW w:w="8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bottom"/>
              <w:rPr>
                <w:rFonts w:ascii="宋体" w:eastAsia="宋体" w:cs="宋体" w:hint="eastAsia"/>
                <w:i w:val="0"/>
                <w:color w:val="000000"/>
                <w:kern w:val="0"/>
                <w:sz w:val="20"/>
                <w:szCs w:val="20"/>
                <w:u w:val="none"/>
                <w:lang w:val="en-US" w:eastAsia="zh-CN"/>
              </w:rPr>
            </w:pPr>
            <w:r>
              <w:rPr>
                <w:rFonts w:ascii="宋体" w:eastAsia="宋体" w:cs="宋体" w:hint="eastAsia"/>
                <w:i w:val="0"/>
                <w:color w:val="000000"/>
                <w:kern w:val="0"/>
                <w:sz w:val="20"/>
                <w:szCs w:val="20"/>
                <w:u w:val="none"/>
                <w:lang w:val="en-US" w:eastAsia="zh-CN"/>
              </w:rPr>
              <w:t>9</w:t>
            </w:r>
          </w:p>
        </w:tc>
        <w:tc>
          <w:tcPr>
            <w:tcW w:w="88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left"/>
              <w:textAlignment w:val="bottom"/>
              <w:rPr>
                <w:rFonts w:ascii="宋体" w:eastAsia="宋体" w:cs="宋体"/>
                <w:i w:val="0"/>
                <w:color w:val="000000"/>
                <w:kern w:val="0"/>
                <w:sz w:val="20"/>
                <w:szCs w:val="20"/>
                <w:u w:val="none"/>
                <w:lang w:val="en-US" w:eastAsia="zh-CN"/>
              </w:rPr>
            </w:pPr>
            <w:r>
              <w:rPr>
                <w:rFonts w:ascii="宋体" w:eastAsia="宋体" w:cs="宋体"/>
                <w:i w:val="0"/>
                <w:color w:val="000000"/>
                <w:kern w:val="0"/>
                <w:sz w:val="20"/>
                <w:szCs w:val="20"/>
                <w:u w:val="none"/>
                <w:lang w:val="en-US" w:eastAsia="zh-CN"/>
              </w:rPr>
              <w:t>行财股</w:t>
            </w:r>
          </w:p>
        </w:tc>
        <w:tc>
          <w:tcPr>
            <w:tcW w:w="342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left"/>
              <w:textAlignment w:val="bottom"/>
              <w:rPr>
                <w:rFonts w:ascii="宋体" w:eastAsia="宋体" w:cs="宋体" w:hint="eastAsia"/>
                <w:i w:val="0"/>
                <w:color w:val="000000"/>
                <w:kern w:val="0"/>
                <w:sz w:val="20"/>
                <w:szCs w:val="20"/>
                <w:u w:val="none"/>
                <w:lang w:val="en-US" w:eastAsia="zh-CN"/>
              </w:rPr>
            </w:pPr>
            <w:r>
              <w:rPr>
                <w:rFonts w:ascii="宋体" w:eastAsia="宋体" w:cs="宋体" w:hint="eastAsia"/>
                <w:i w:val="0"/>
                <w:color w:val="000000"/>
                <w:kern w:val="0"/>
                <w:sz w:val="20"/>
                <w:szCs w:val="20"/>
                <w:u w:val="none"/>
                <w:lang w:val="en-US" w:eastAsia="zh-CN"/>
              </w:rPr>
              <w:t>金川县教育局</w:t>
            </w:r>
          </w:p>
        </w:tc>
        <w:tc>
          <w:tcPr>
            <w:tcW w:w="33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bottom"/>
              <w:rPr>
                <w:rFonts w:ascii="宋体" w:eastAsia="宋体" w:cs="宋体" w:hint="eastAsia"/>
                <w:i w:val="0"/>
                <w:color w:val="000000"/>
                <w:kern w:val="0"/>
                <w:sz w:val="20"/>
                <w:szCs w:val="20"/>
                <w:u w:val="none"/>
                <w:lang w:val="en-US" w:eastAsia="zh-CN"/>
              </w:rPr>
            </w:pPr>
            <w:r>
              <w:rPr>
                <w:rFonts w:ascii="宋体" w:eastAsia="宋体" w:cs="宋体" w:hint="eastAsia"/>
                <w:i w:val="0"/>
                <w:color w:val="000000"/>
                <w:kern w:val="0"/>
                <w:sz w:val="20"/>
                <w:szCs w:val="20"/>
                <w:u w:val="none"/>
                <w:lang w:val="en-US" w:eastAsia="zh-CN"/>
              </w:rPr>
              <w:t>2022年部门整体支出绩效评价</w:t>
            </w:r>
          </w:p>
        </w:tc>
      </w:tr>
      <w:tr>
        <w:trPr>
          <w:trHeight w:val="286"/>
        </w:trPr>
        <w:tc>
          <w:tcPr>
            <w:tcW w:w="8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bottom"/>
              <w:rPr>
                <w:rFonts w:ascii="宋体" w:eastAsia="宋体" w:cs="宋体" w:hint="eastAsia"/>
                <w:i w:val="0"/>
                <w:color w:val="000000"/>
                <w:kern w:val="0"/>
                <w:sz w:val="20"/>
                <w:szCs w:val="20"/>
                <w:u w:val="none"/>
                <w:lang w:val="en-US" w:eastAsia="zh-CN"/>
              </w:rPr>
            </w:pPr>
            <w:r>
              <w:rPr>
                <w:rFonts w:ascii="宋体" w:eastAsia="宋体" w:cs="宋体" w:hint="eastAsia"/>
                <w:i w:val="0"/>
                <w:color w:val="000000"/>
                <w:kern w:val="0"/>
                <w:sz w:val="20"/>
                <w:szCs w:val="20"/>
                <w:u w:val="none"/>
                <w:lang w:val="en-US" w:eastAsia="zh-CN"/>
              </w:rPr>
              <w:t>10</w:t>
            </w:r>
          </w:p>
        </w:tc>
        <w:tc>
          <w:tcPr>
            <w:tcW w:w="88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left"/>
              <w:textAlignment w:val="bottom"/>
              <w:rPr>
                <w:rFonts w:ascii="宋体" w:eastAsia="宋体" w:cs="宋体"/>
                <w:i w:val="0"/>
                <w:color w:val="000000"/>
                <w:kern w:val="0"/>
                <w:sz w:val="20"/>
                <w:szCs w:val="20"/>
                <w:u w:val="none"/>
                <w:lang w:val="en-US" w:eastAsia="zh-CN"/>
              </w:rPr>
            </w:pPr>
            <w:r>
              <w:rPr>
                <w:rFonts w:ascii="宋体" w:eastAsia="宋体" w:cs="宋体"/>
                <w:i w:val="0"/>
                <w:color w:val="000000"/>
                <w:kern w:val="0"/>
                <w:sz w:val="20"/>
                <w:szCs w:val="20"/>
                <w:u w:val="none"/>
                <w:lang w:val="en-US" w:eastAsia="zh-CN"/>
              </w:rPr>
              <w:t>社保股</w:t>
            </w:r>
          </w:p>
        </w:tc>
        <w:tc>
          <w:tcPr>
            <w:tcW w:w="342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left"/>
              <w:textAlignment w:val="bottom"/>
              <w:rPr>
                <w:rFonts w:ascii="宋体" w:eastAsia="宋体" w:cs="宋体" w:hint="eastAsia"/>
                <w:i w:val="0"/>
                <w:color w:val="000000"/>
                <w:kern w:val="0"/>
                <w:sz w:val="20"/>
                <w:szCs w:val="20"/>
                <w:u w:val="none"/>
                <w:lang w:val="en-US" w:eastAsia="zh-CN"/>
              </w:rPr>
            </w:pPr>
            <w:r>
              <w:rPr>
                <w:rFonts w:ascii="宋体" w:eastAsia="宋体" w:cs="宋体" w:hint="eastAsia"/>
                <w:i w:val="0"/>
                <w:color w:val="000000"/>
                <w:kern w:val="0"/>
                <w:sz w:val="20"/>
                <w:szCs w:val="20"/>
                <w:u w:val="none"/>
                <w:lang w:val="en-US" w:eastAsia="zh-CN"/>
              </w:rPr>
              <w:t>金川县卫生健康局</w:t>
            </w:r>
          </w:p>
        </w:tc>
        <w:tc>
          <w:tcPr>
            <w:tcW w:w="33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bottom"/>
              <w:rPr>
                <w:rFonts w:ascii="宋体" w:eastAsia="宋体" w:cs="宋体" w:hint="eastAsia"/>
                <w:i w:val="0"/>
                <w:color w:val="000000"/>
                <w:kern w:val="0"/>
                <w:sz w:val="20"/>
                <w:szCs w:val="20"/>
                <w:u w:val="none"/>
                <w:lang w:val="en-US" w:eastAsia="zh-CN"/>
              </w:rPr>
            </w:pPr>
            <w:r>
              <w:rPr>
                <w:rFonts w:ascii="宋体" w:eastAsia="宋体" w:cs="宋体" w:hint="eastAsia"/>
                <w:i w:val="0"/>
                <w:color w:val="000000"/>
                <w:kern w:val="0"/>
                <w:sz w:val="20"/>
                <w:szCs w:val="20"/>
                <w:u w:val="none"/>
                <w:lang w:val="en-US" w:eastAsia="zh-CN"/>
              </w:rPr>
              <w:t>2022年部门整体支出绩效评价</w:t>
            </w:r>
          </w:p>
        </w:tc>
      </w:tr>
      <w:tr>
        <w:trPr>
          <w:trHeight w:val="286"/>
        </w:trPr>
        <w:tc>
          <w:tcPr>
            <w:tcW w:w="8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bottom"/>
              <w:rPr>
                <w:rFonts w:ascii="宋体" w:eastAsia="宋体" w:cs="宋体" w:hint="eastAsia"/>
                <w:i w:val="0"/>
                <w:color w:val="000000"/>
                <w:kern w:val="0"/>
                <w:sz w:val="20"/>
                <w:szCs w:val="20"/>
                <w:u w:val="none"/>
                <w:lang w:val="en-US" w:eastAsia="zh-CN"/>
              </w:rPr>
            </w:pPr>
            <w:r>
              <w:rPr>
                <w:rFonts w:ascii="宋体" w:eastAsia="宋体" w:cs="宋体" w:hint="eastAsia"/>
                <w:i w:val="0"/>
                <w:color w:val="000000"/>
                <w:kern w:val="0"/>
                <w:sz w:val="20"/>
                <w:szCs w:val="20"/>
                <w:u w:val="none"/>
                <w:lang w:val="en-US" w:eastAsia="zh-CN"/>
              </w:rPr>
              <w:t>11</w:t>
            </w:r>
          </w:p>
        </w:tc>
        <w:tc>
          <w:tcPr>
            <w:tcW w:w="88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left"/>
              <w:textAlignment w:val="bottom"/>
              <w:rPr>
                <w:rFonts w:ascii="宋体" w:eastAsia="宋体" w:cs="宋体"/>
                <w:i w:val="0"/>
                <w:color w:val="000000"/>
                <w:kern w:val="0"/>
                <w:sz w:val="20"/>
                <w:szCs w:val="20"/>
                <w:u w:val="none"/>
                <w:lang w:val="en-US" w:eastAsia="zh-CN"/>
              </w:rPr>
            </w:pPr>
            <w:r>
              <w:rPr>
                <w:rFonts w:ascii="宋体" w:eastAsia="宋体" w:cs="宋体"/>
                <w:i w:val="0"/>
                <w:color w:val="000000"/>
                <w:kern w:val="0"/>
                <w:sz w:val="20"/>
                <w:szCs w:val="20"/>
                <w:u w:val="none"/>
                <w:lang w:val="en-US" w:eastAsia="zh-CN"/>
              </w:rPr>
              <w:t>行财股</w:t>
            </w:r>
          </w:p>
        </w:tc>
        <w:tc>
          <w:tcPr>
            <w:tcW w:w="342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left"/>
              <w:textAlignment w:val="bottom"/>
              <w:rPr>
                <w:rFonts w:ascii="宋体" w:eastAsia="宋体" w:cs="宋体" w:hint="eastAsia"/>
                <w:i w:val="0"/>
                <w:color w:val="000000"/>
                <w:kern w:val="0"/>
                <w:sz w:val="20"/>
                <w:szCs w:val="20"/>
                <w:u w:val="none"/>
                <w:lang w:val="en-US" w:eastAsia="zh-CN"/>
              </w:rPr>
            </w:pPr>
            <w:r>
              <w:rPr>
                <w:rFonts w:ascii="宋体" w:eastAsia="宋体" w:cs="宋体" w:hint="eastAsia"/>
                <w:i w:val="0"/>
                <w:color w:val="000000"/>
                <w:kern w:val="0"/>
                <w:sz w:val="20"/>
                <w:szCs w:val="20"/>
                <w:u w:val="none"/>
                <w:lang w:val="en-US" w:eastAsia="zh-CN"/>
              </w:rPr>
              <w:t>金川县文化体育和旅游局</w:t>
            </w:r>
          </w:p>
        </w:tc>
        <w:tc>
          <w:tcPr>
            <w:tcW w:w="33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bottom"/>
              <w:rPr>
                <w:rFonts w:ascii="宋体" w:eastAsia="宋体" w:cs="宋体" w:hint="eastAsia"/>
                <w:i w:val="0"/>
                <w:color w:val="000000"/>
                <w:kern w:val="0"/>
                <w:sz w:val="20"/>
                <w:szCs w:val="20"/>
                <w:u w:val="none"/>
                <w:lang w:val="en-US" w:eastAsia="zh-CN"/>
              </w:rPr>
            </w:pPr>
            <w:r>
              <w:rPr>
                <w:rFonts w:ascii="宋体" w:eastAsia="宋体" w:cs="宋体" w:hint="eastAsia"/>
                <w:i w:val="0"/>
                <w:color w:val="000000"/>
                <w:kern w:val="0"/>
                <w:sz w:val="20"/>
                <w:szCs w:val="20"/>
                <w:u w:val="none"/>
                <w:lang w:val="en-US" w:eastAsia="zh-CN"/>
              </w:rPr>
              <w:t>2022年部门整体支出绩效评价</w:t>
            </w:r>
          </w:p>
        </w:tc>
      </w:tr>
      <w:tr>
        <w:trPr>
          <w:trHeight w:val="286"/>
        </w:trPr>
        <w:tc>
          <w:tcPr>
            <w:tcW w:w="8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bottom"/>
              <w:rPr>
                <w:rFonts w:ascii="宋体" w:eastAsia="宋体" w:cs="宋体" w:hint="eastAsia"/>
                <w:i w:val="0"/>
                <w:color w:val="000000"/>
                <w:kern w:val="0"/>
                <w:sz w:val="20"/>
                <w:szCs w:val="20"/>
                <w:u w:val="none"/>
                <w:lang w:val="en-US" w:eastAsia="zh-CN"/>
              </w:rPr>
            </w:pPr>
            <w:r>
              <w:rPr>
                <w:rFonts w:ascii="宋体" w:eastAsia="宋体" w:cs="宋体" w:hint="eastAsia"/>
                <w:i w:val="0"/>
                <w:color w:val="000000"/>
                <w:kern w:val="0"/>
                <w:sz w:val="20"/>
                <w:szCs w:val="20"/>
                <w:u w:val="none"/>
                <w:lang w:val="en-US" w:eastAsia="zh-CN"/>
              </w:rPr>
              <w:t>12</w:t>
            </w:r>
          </w:p>
        </w:tc>
        <w:tc>
          <w:tcPr>
            <w:tcW w:w="88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left"/>
              <w:textAlignment w:val="bottom"/>
              <w:rPr>
                <w:rFonts w:ascii="宋体" w:eastAsia="宋体" w:cs="宋体"/>
                <w:i w:val="0"/>
                <w:color w:val="000000"/>
                <w:kern w:val="0"/>
                <w:sz w:val="20"/>
                <w:szCs w:val="20"/>
                <w:u w:val="none"/>
                <w:lang w:val="en-US" w:eastAsia="zh-CN"/>
              </w:rPr>
            </w:pPr>
            <w:r>
              <w:rPr>
                <w:rFonts w:ascii="宋体" w:eastAsia="宋体" w:cs="宋体"/>
                <w:i w:val="0"/>
                <w:color w:val="000000"/>
                <w:kern w:val="0"/>
                <w:sz w:val="20"/>
                <w:szCs w:val="20"/>
                <w:u w:val="none"/>
                <w:lang w:val="en-US" w:eastAsia="zh-CN"/>
              </w:rPr>
              <w:t>资环股</w:t>
            </w:r>
          </w:p>
        </w:tc>
        <w:tc>
          <w:tcPr>
            <w:tcW w:w="342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left"/>
              <w:textAlignment w:val="bottom"/>
              <w:rPr>
                <w:rFonts w:ascii="宋体" w:eastAsia="宋体" w:cs="宋体" w:hint="eastAsia"/>
                <w:i w:val="0"/>
                <w:color w:val="000000"/>
                <w:kern w:val="0"/>
                <w:sz w:val="20"/>
                <w:szCs w:val="20"/>
                <w:u w:val="none"/>
                <w:lang w:val="en-US" w:eastAsia="zh-CN"/>
              </w:rPr>
            </w:pPr>
            <w:r>
              <w:rPr>
                <w:rFonts w:ascii="宋体" w:eastAsia="宋体" w:cs="宋体" w:hint="eastAsia"/>
                <w:i w:val="0"/>
                <w:color w:val="000000"/>
                <w:kern w:val="0"/>
                <w:sz w:val="20"/>
                <w:szCs w:val="20"/>
                <w:u w:val="none"/>
                <w:lang w:val="en-US" w:eastAsia="zh-CN"/>
              </w:rPr>
              <w:t>金川县林业和草原局</w:t>
            </w:r>
          </w:p>
        </w:tc>
        <w:tc>
          <w:tcPr>
            <w:tcW w:w="33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bottom"/>
              <w:rPr>
                <w:rFonts w:ascii="宋体" w:eastAsia="宋体" w:cs="宋体" w:hint="eastAsia"/>
                <w:i w:val="0"/>
                <w:color w:val="000000"/>
                <w:kern w:val="0"/>
                <w:sz w:val="20"/>
                <w:szCs w:val="20"/>
                <w:u w:val="none"/>
                <w:lang w:val="en-US" w:eastAsia="zh-CN"/>
              </w:rPr>
            </w:pPr>
            <w:r>
              <w:rPr>
                <w:rFonts w:ascii="宋体" w:eastAsia="宋体" w:cs="宋体" w:hint="eastAsia"/>
                <w:i w:val="0"/>
                <w:color w:val="000000"/>
                <w:kern w:val="0"/>
                <w:sz w:val="20"/>
                <w:szCs w:val="20"/>
                <w:u w:val="none"/>
                <w:lang w:val="en-US" w:eastAsia="zh-CN"/>
              </w:rPr>
              <w:t>2022年部门整体支出绩效评价</w:t>
            </w:r>
          </w:p>
        </w:tc>
      </w:tr>
      <w:tr>
        <w:trPr>
          <w:trHeight w:val="286"/>
        </w:trPr>
        <w:tc>
          <w:tcPr>
            <w:tcW w:w="8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bottom"/>
              <w:rPr>
                <w:rFonts w:ascii="宋体" w:eastAsia="宋体" w:cs="宋体" w:hint="eastAsia"/>
                <w:i w:val="0"/>
                <w:color w:val="000000"/>
                <w:kern w:val="0"/>
                <w:sz w:val="20"/>
                <w:szCs w:val="20"/>
                <w:u w:val="none"/>
                <w:lang w:val="en-US" w:eastAsia="zh-CN"/>
              </w:rPr>
            </w:pPr>
            <w:r>
              <w:rPr>
                <w:rFonts w:ascii="宋体" w:eastAsia="宋体" w:cs="宋体" w:hint="eastAsia"/>
                <w:i w:val="0"/>
                <w:color w:val="000000"/>
                <w:kern w:val="0"/>
                <w:sz w:val="20"/>
                <w:szCs w:val="20"/>
                <w:u w:val="none"/>
                <w:lang w:val="en-US" w:eastAsia="zh-CN"/>
              </w:rPr>
              <w:t>13</w:t>
            </w:r>
          </w:p>
        </w:tc>
        <w:tc>
          <w:tcPr>
            <w:tcW w:w="88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left"/>
              <w:textAlignment w:val="bottom"/>
              <w:rPr>
                <w:rFonts w:ascii="宋体" w:eastAsia="宋体" w:cs="宋体"/>
                <w:i w:val="0"/>
                <w:color w:val="000000"/>
                <w:kern w:val="0"/>
                <w:sz w:val="20"/>
                <w:szCs w:val="20"/>
                <w:u w:val="none"/>
                <w:lang w:val="en-US" w:eastAsia="zh-CN"/>
              </w:rPr>
            </w:pPr>
            <w:r>
              <w:rPr>
                <w:rFonts w:ascii="宋体" w:eastAsia="宋体" w:cs="宋体"/>
                <w:i w:val="0"/>
                <w:color w:val="000000"/>
                <w:kern w:val="0"/>
                <w:sz w:val="20"/>
                <w:szCs w:val="20"/>
                <w:u w:val="none"/>
                <w:lang w:val="en-US" w:eastAsia="zh-CN"/>
              </w:rPr>
              <w:t>行财股</w:t>
            </w:r>
          </w:p>
        </w:tc>
        <w:tc>
          <w:tcPr>
            <w:tcW w:w="342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left"/>
              <w:textAlignment w:val="bottom"/>
              <w:rPr>
                <w:rFonts w:ascii="宋体" w:eastAsia="宋体" w:cs="宋体" w:hint="eastAsia"/>
                <w:i w:val="0"/>
                <w:color w:val="000000"/>
                <w:kern w:val="0"/>
                <w:sz w:val="20"/>
                <w:szCs w:val="20"/>
                <w:u w:val="none"/>
                <w:lang w:val="en-US" w:eastAsia="zh-CN"/>
              </w:rPr>
            </w:pPr>
            <w:r>
              <w:rPr>
                <w:rFonts w:ascii="宋体" w:eastAsia="宋体" w:cs="宋体" w:hint="eastAsia"/>
                <w:i w:val="0"/>
                <w:color w:val="000000"/>
                <w:kern w:val="0"/>
                <w:sz w:val="20"/>
                <w:szCs w:val="20"/>
                <w:u w:val="none"/>
                <w:lang w:val="en-US" w:eastAsia="zh-CN"/>
              </w:rPr>
              <w:t>金川县融媒体中心</w:t>
            </w:r>
          </w:p>
        </w:tc>
        <w:tc>
          <w:tcPr>
            <w:tcW w:w="33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bottom"/>
              <w:rPr>
                <w:rFonts w:ascii="宋体" w:eastAsia="宋体" w:cs="宋体" w:hint="eastAsia"/>
                <w:i w:val="0"/>
                <w:color w:val="000000"/>
                <w:kern w:val="0"/>
                <w:sz w:val="20"/>
                <w:szCs w:val="20"/>
                <w:u w:val="none"/>
                <w:lang w:val="en-US" w:eastAsia="zh-CN"/>
              </w:rPr>
            </w:pPr>
            <w:r>
              <w:rPr>
                <w:rFonts w:ascii="宋体" w:eastAsia="宋体" w:cs="宋体" w:hint="eastAsia"/>
                <w:i w:val="0"/>
                <w:color w:val="000000"/>
                <w:kern w:val="0"/>
                <w:sz w:val="20"/>
                <w:szCs w:val="20"/>
                <w:u w:val="none"/>
                <w:lang w:val="en-US" w:eastAsia="zh-CN"/>
              </w:rPr>
              <w:t>2022年部门整体支出绩效评价</w:t>
            </w:r>
          </w:p>
        </w:tc>
      </w:tr>
      <w:tr>
        <w:trPr>
          <w:trHeight w:val="286"/>
        </w:trPr>
        <w:tc>
          <w:tcPr>
            <w:tcW w:w="8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bottom"/>
              <w:rPr>
                <w:rFonts w:ascii="宋体" w:eastAsia="宋体" w:cs="宋体" w:hint="eastAsia"/>
                <w:i w:val="0"/>
                <w:color w:val="000000"/>
                <w:kern w:val="0"/>
                <w:sz w:val="20"/>
                <w:szCs w:val="20"/>
                <w:u w:val="none"/>
                <w:lang w:val="en-US" w:eastAsia="zh-CN"/>
              </w:rPr>
            </w:pPr>
            <w:r>
              <w:rPr>
                <w:rFonts w:ascii="宋体" w:eastAsia="宋体" w:cs="宋体" w:hint="eastAsia"/>
                <w:i w:val="0"/>
                <w:color w:val="000000"/>
                <w:kern w:val="0"/>
                <w:sz w:val="20"/>
                <w:szCs w:val="20"/>
                <w:u w:val="none"/>
                <w:lang w:val="en-US" w:eastAsia="zh-CN"/>
              </w:rPr>
              <w:t>14</w:t>
            </w:r>
          </w:p>
        </w:tc>
        <w:tc>
          <w:tcPr>
            <w:tcW w:w="88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left"/>
              <w:textAlignment w:val="bottom"/>
              <w:rPr>
                <w:rFonts w:ascii="宋体" w:eastAsia="宋体" w:cs="宋体"/>
                <w:i w:val="0"/>
                <w:color w:val="000000"/>
                <w:kern w:val="0"/>
                <w:sz w:val="20"/>
                <w:szCs w:val="20"/>
                <w:u w:val="none"/>
                <w:lang w:val="en-US" w:eastAsia="zh-CN"/>
              </w:rPr>
            </w:pPr>
            <w:r>
              <w:rPr>
                <w:rFonts w:ascii="宋体" w:eastAsia="宋体" w:cs="宋体"/>
                <w:i w:val="0"/>
                <w:color w:val="000000"/>
                <w:kern w:val="0"/>
                <w:sz w:val="20"/>
                <w:szCs w:val="20"/>
                <w:u w:val="none"/>
                <w:lang w:val="en-US" w:eastAsia="zh-CN"/>
              </w:rPr>
              <w:t>经建股</w:t>
            </w:r>
          </w:p>
        </w:tc>
        <w:tc>
          <w:tcPr>
            <w:tcW w:w="342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left"/>
              <w:textAlignment w:val="bottom"/>
              <w:rPr>
                <w:rFonts w:ascii="宋体" w:eastAsia="宋体" w:cs="宋体" w:hint="eastAsia"/>
                <w:i w:val="0"/>
                <w:color w:val="000000"/>
                <w:kern w:val="0"/>
                <w:sz w:val="20"/>
                <w:szCs w:val="20"/>
                <w:u w:val="none"/>
                <w:lang w:val="en-US" w:eastAsia="zh-CN"/>
              </w:rPr>
            </w:pPr>
            <w:r>
              <w:rPr>
                <w:rFonts w:ascii="宋体" w:eastAsia="宋体" w:cs="宋体" w:hint="eastAsia"/>
                <w:i w:val="0"/>
                <w:color w:val="000000"/>
                <w:kern w:val="0"/>
                <w:sz w:val="20"/>
                <w:szCs w:val="20"/>
                <w:u w:val="none"/>
                <w:lang w:val="en-US" w:eastAsia="zh-CN"/>
              </w:rPr>
              <w:t>金川县粮食和物资储备中心</w:t>
            </w:r>
          </w:p>
        </w:tc>
        <w:tc>
          <w:tcPr>
            <w:tcW w:w="33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bottom"/>
              <w:rPr>
                <w:rFonts w:ascii="宋体" w:eastAsia="宋体" w:cs="宋体" w:hint="eastAsia"/>
                <w:i w:val="0"/>
                <w:color w:val="000000"/>
                <w:kern w:val="0"/>
                <w:sz w:val="20"/>
                <w:szCs w:val="20"/>
                <w:u w:val="none"/>
                <w:lang w:val="en-US" w:eastAsia="zh-CN"/>
              </w:rPr>
            </w:pPr>
            <w:r>
              <w:rPr>
                <w:rFonts w:ascii="宋体" w:eastAsia="宋体" w:cs="宋体" w:hint="eastAsia"/>
                <w:i w:val="0"/>
                <w:color w:val="000000"/>
                <w:kern w:val="0"/>
                <w:sz w:val="20"/>
                <w:szCs w:val="20"/>
                <w:u w:val="none"/>
                <w:lang w:val="en-US" w:eastAsia="zh-CN"/>
              </w:rPr>
              <w:t>2022年部门整体支出绩效评价</w:t>
            </w:r>
          </w:p>
        </w:tc>
      </w:tr>
      <w:tr>
        <w:trPr>
          <w:trHeight w:val="286"/>
        </w:trPr>
        <w:tc>
          <w:tcPr>
            <w:tcW w:w="8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bottom"/>
              <w:rPr>
                <w:rFonts w:ascii="宋体" w:eastAsia="宋体" w:cs="宋体" w:hint="eastAsia"/>
                <w:i w:val="0"/>
                <w:color w:val="000000"/>
                <w:kern w:val="0"/>
                <w:sz w:val="20"/>
                <w:szCs w:val="20"/>
                <w:u w:val="none"/>
                <w:lang w:val="en-US" w:eastAsia="zh-CN"/>
              </w:rPr>
            </w:pPr>
            <w:r>
              <w:rPr>
                <w:rFonts w:ascii="宋体" w:eastAsia="宋体" w:cs="宋体" w:hint="eastAsia"/>
                <w:i w:val="0"/>
                <w:color w:val="000000"/>
                <w:kern w:val="0"/>
                <w:sz w:val="20"/>
                <w:szCs w:val="20"/>
                <w:u w:val="none"/>
                <w:lang w:val="en-US" w:eastAsia="zh-CN"/>
              </w:rPr>
              <w:t>15</w:t>
            </w:r>
          </w:p>
        </w:tc>
        <w:tc>
          <w:tcPr>
            <w:tcW w:w="88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left"/>
              <w:textAlignment w:val="bottom"/>
              <w:rPr>
                <w:rFonts w:ascii="宋体" w:eastAsia="宋体" w:cs="宋体"/>
                <w:i w:val="0"/>
                <w:color w:val="000000"/>
                <w:kern w:val="0"/>
                <w:sz w:val="20"/>
                <w:szCs w:val="20"/>
                <w:u w:val="none"/>
                <w:lang w:val="en-US" w:eastAsia="zh-CN"/>
              </w:rPr>
            </w:pPr>
            <w:r>
              <w:rPr>
                <w:rFonts w:ascii="宋体" w:eastAsia="宋体" w:cs="宋体"/>
                <w:i w:val="0"/>
                <w:color w:val="000000"/>
                <w:kern w:val="0"/>
                <w:sz w:val="20"/>
                <w:szCs w:val="20"/>
                <w:u w:val="none"/>
                <w:lang w:val="en-US" w:eastAsia="zh-CN"/>
              </w:rPr>
              <w:t>经建股</w:t>
            </w:r>
          </w:p>
        </w:tc>
        <w:tc>
          <w:tcPr>
            <w:tcW w:w="342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left"/>
              <w:textAlignment w:val="bottom"/>
              <w:rPr>
                <w:rFonts w:ascii="宋体" w:eastAsia="宋体" w:cs="宋体" w:hint="eastAsia"/>
                <w:i w:val="0"/>
                <w:color w:val="000000"/>
                <w:kern w:val="0"/>
                <w:sz w:val="20"/>
                <w:szCs w:val="20"/>
                <w:u w:val="none"/>
                <w:lang w:val="en-US" w:eastAsia="zh-CN"/>
              </w:rPr>
            </w:pPr>
            <w:r>
              <w:rPr>
                <w:rFonts w:ascii="宋体" w:eastAsia="宋体" w:cs="宋体" w:hint="eastAsia"/>
                <w:i w:val="0"/>
                <w:color w:val="000000"/>
                <w:kern w:val="0"/>
                <w:sz w:val="20"/>
                <w:szCs w:val="20"/>
                <w:u w:val="none"/>
                <w:lang w:val="en-US" w:eastAsia="zh-CN"/>
              </w:rPr>
              <w:t>金川县住房和城乡建设局</w:t>
            </w:r>
          </w:p>
        </w:tc>
        <w:tc>
          <w:tcPr>
            <w:tcW w:w="33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bottom"/>
              <w:rPr>
                <w:rFonts w:ascii="宋体" w:eastAsia="宋体" w:cs="宋体" w:hint="eastAsia"/>
                <w:i w:val="0"/>
                <w:color w:val="000000"/>
                <w:kern w:val="0"/>
                <w:sz w:val="20"/>
                <w:szCs w:val="20"/>
                <w:u w:val="none"/>
                <w:lang w:val="en-US" w:eastAsia="zh-CN"/>
              </w:rPr>
            </w:pPr>
            <w:r>
              <w:rPr>
                <w:rFonts w:ascii="宋体" w:eastAsia="宋体" w:cs="宋体" w:hint="eastAsia"/>
                <w:i w:val="0"/>
                <w:color w:val="000000"/>
                <w:kern w:val="0"/>
                <w:sz w:val="20"/>
                <w:szCs w:val="20"/>
                <w:u w:val="none"/>
                <w:lang w:val="en-US" w:eastAsia="zh-CN"/>
              </w:rPr>
              <w:t>2022年部门整体支出绩效评价</w:t>
            </w:r>
          </w:p>
        </w:tc>
      </w:tr>
      <w:tr>
        <w:trPr>
          <w:trHeight w:val="286"/>
        </w:trPr>
        <w:tc>
          <w:tcPr>
            <w:tcW w:w="8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bottom"/>
              <w:rPr>
                <w:rFonts w:ascii="宋体" w:eastAsia="宋体" w:cs="宋体" w:hint="eastAsia"/>
                <w:i w:val="0"/>
                <w:color w:val="000000"/>
                <w:kern w:val="0"/>
                <w:sz w:val="20"/>
                <w:szCs w:val="20"/>
                <w:u w:val="none"/>
                <w:lang w:val="en-US" w:eastAsia="zh-CN"/>
              </w:rPr>
            </w:pPr>
            <w:r>
              <w:rPr>
                <w:rFonts w:ascii="宋体" w:eastAsia="宋体" w:cs="宋体" w:hint="eastAsia"/>
                <w:i w:val="0"/>
                <w:color w:val="000000"/>
                <w:kern w:val="0"/>
                <w:sz w:val="20"/>
                <w:szCs w:val="20"/>
                <w:u w:val="none"/>
                <w:lang w:val="en-US" w:eastAsia="zh-CN"/>
              </w:rPr>
              <w:t>16</w:t>
            </w:r>
          </w:p>
        </w:tc>
        <w:tc>
          <w:tcPr>
            <w:tcW w:w="88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left"/>
              <w:textAlignment w:val="bottom"/>
              <w:rPr>
                <w:rFonts w:ascii="宋体" w:eastAsia="宋体" w:cs="宋体"/>
                <w:i w:val="0"/>
                <w:color w:val="000000"/>
                <w:kern w:val="0"/>
                <w:sz w:val="20"/>
                <w:szCs w:val="20"/>
                <w:u w:val="none"/>
                <w:lang w:val="en-US" w:eastAsia="zh-CN"/>
              </w:rPr>
            </w:pPr>
            <w:r>
              <w:rPr>
                <w:rFonts w:ascii="宋体" w:eastAsia="宋体" w:cs="宋体"/>
                <w:i w:val="0"/>
                <w:color w:val="000000"/>
                <w:kern w:val="0"/>
                <w:sz w:val="20"/>
                <w:szCs w:val="20"/>
                <w:u w:val="none"/>
                <w:lang w:val="en-US" w:eastAsia="zh-CN"/>
              </w:rPr>
              <w:t>社保股</w:t>
            </w:r>
          </w:p>
        </w:tc>
        <w:tc>
          <w:tcPr>
            <w:tcW w:w="342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left"/>
              <w:textAlignment w:val="bottom"/>
              <w:rPr>
                <w:rFonts w:ascii="宋体" w:eastAsia="宋体" w:cs="宋体" w:hint="eastAsia"/>
                <w:i w:val="0"/>
                <w:color w:val="000000"/>
                <w:kern w:val="0"/>
                <w:sz w:val="20"/>
                <w:szCs w:val="20"/>
                <w:u w:val="none"/>
                <w:lang w:val="en-US" w:eastAsia="zh-CN"/>
              </w:rPr>
            </w:pPr>
            <w:r>
              <w:rPr>
                <w:rFonts w:ascii="宋体" w:eastAsia="宋体" w:cs="宋体" w:hint="eastAsia"/>
                <w:i w:val="0"/>
                <w:color w:val="000000"/>
                <w:kern w:val="0"/>
                <w:sz w:val="20"/>
                <w:szCs w:val="20"/>
                <w:u w:val="none"/>
                <w:lang w:val="en-US" w:eastAsia="zh-CN"/>
              </w:rPr>
              <w:t>金川县医疗保障局</w:t>
            </w:r>
          </w:p>
        </w:tc>
        <w:tc>
          <w:tcPr>
            <w:tcW w:w="33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bottom"/>
              <w:rPr>
                <w:rFonts w:ascii="宋体" w:eastAsia="宋体" w:cs="宋体" w:hint="eastAsia"/>
                <w:i w:val="0"/>
                <w:color w:val="000000"/>
                <w:kern w:val="0"/>
                <w:sz w:val="20"/>
                <w:szCs w:val="20"/>
                <w:u w:val="none"/>
                <w:lang w:val="en-US" w:eastAsia="zh-CN"/>
              </w:rPr>
            </w:pPr>
            <w:r>
              <w:rPr>
                <w:rFonts w:ascii="宋体" w:eastAsia="宋体" w:cs="宋体" w:hint="eastAsia"/>
                <w:i w:val="0"/>
                <w:color w:val="000000"/>
                <w:kern w:val="0"/>
                <w:sz w:val="20"/>
                <w:szCs w:val="20"/>
                <w:u w:val="none"/>
                <w:lang w:val="en-US" w:eastAsia="zh-CN"/>
              </w:rPr>
              <w:t>2022年部门整体支出绩效评价</w:t>
            </w:r>
          </w:p>
        </w:tc>
      </w:tr>
      <w:tr>
        <w:trPr>
          <w:trHeight w:val="286"/>
        </w:trPr>
        <w:tc>
          <w:tcPr>
            <w:tcW w:w="8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bottom"/>
              <w:rPr>
                <w:rFonts w:ascii="宋体" w:eastAsia="宋体" w:cs="宋体" w:hint="eastAsia"/>
                <w:i w:val="0"/>
                <w:color w:val="000000"/>
                <w:kern w:val="0"/>
                <w:sz w:val="20"/>
                <w:szCs w:val="20"/>
                <w:u w:val="none"/>
                <w:lang w:val="en-US" w:eastAsia="zh-CN"/>
              </w:rPr>
            </w:pPr>
            <w:r>
              <w:rPr>
                <w:rFonts w:ascii="宋体" w:eastAsia="宋体" w:cs="宋体" w:hint="eastAsia"/>
                <w:i w:val="0"/>
                <w:color w:val="000000"/>
                <w:kern w:val="0"/>
                <w:sz w:val="20"/>
                <w:szCs w:val="20"/>
                <w:u w:val="none"/>
                <w:lang w:val="en-US" w:eastAsia="zh-CN"/>
              </w:rPr>
              <w:t>17</w:t>
            </w:r>
          </w:p>
        </w:tc>
        <w:tc>
          <w:tcPr>
            <w:tcW w:w="88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left"/>
              <w:textAlignment w:val="bottom"/>
              <w:rPr>
                <w:rFonts w:ascii="宋体" w:eastAsia="宋体" w:cs="宋体"/>
                <w:i w:val="0"/>
                <w:color w:val="000000"/>
                <w:kern w:val="0"/>
                <w:sz w:val="20"/>
                <w:szCs w:val="20"/>
                <w:u w:val="none"/>
                <w:lang w:val="en-US" w:eastAsia="zh-CN"/>
              </w:rPr>
            </w:pPr>
            <w:r>
              <w:rPr>
                <w:rFonts w:ascii="宋体" w:eastAsia="宋体" w:cs="宋体"/>
                <w:i w:val="0"/>
                <w:color w:val="000000"/>
                <w:kern w:val="0"/>
                <w:sz w:val="20"/>
                <w:szCs w:val="20"/>
                <w:u w:val="none"/>
                <w:lang w:val="en-US" w:eastAsia="zh-CN"/>
              </w:rPr>
              <w:t>农业股</w:t>
            </w:r>
          </w:p>
        </w:tc>
        <w:tc>
          <w:tcPr>
            <w:tcW w:w="342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left"/>
              <w:textAlignment w:val="bottom"/>
              <w:rPr>
                <w:rFonts w:ascii="宋体" w:eastAsia="宋体" w:cs="宋体" w:hint="eastAsia"/>
                <w:i w:val="0"/>
                <w:color w:val="000000"/>
                <w:kern w:val="0"/>
                <w:sz w:val="20"/>
                <w:szCs w:val="20"/>
                <w:u w:val="none"/>
                <w:lang w:val="en-US" w:eastAsia="zh-CN"/>
              </w:rPr>
            </w:pPr>
            <w:r>
              <w:rPr>
                <w:rFonts w:ascii="宋体" w:eastAsia="宋体" w:cs="宋体" w:hint="eastAsia"/>
                <w:i w:val="0"/>
                <w:color w:val="000000"/>
                <w:kern w:val="0"/>
                <w:sz w:val="20"/>
                <w:szCs w:val="20"/>
                <w:u w:val="none"/>
                <w:lang w:val="en-US" w:eastAsia="zh-CN"/>
              </w:rPr>
              <w:t>金川县畜牧兽医服务中心</w:t>
            </w:r>
          </w:p>
        </w:tc>
        <w:tc>
          <w:tcPr>
            <w:tcW w:w="33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bottom"/>
              <w:rPr>
                <w:rFonts w:ascii="宋体" w:eastAsia="宋体" w:cs="宋体" w:hint="eastAsia"/>
                <w:i w:val="0"/>
                <w:color w:val="000000"/>
                <w:kern w:val="0"/>
                <w:sz w:val="20"/>
                <w:szCs w:val="20"/>
                <w:u w:val="none"/>
                <w:lang w:val="en-US" w:eastAsia="zh-CN"/>
              </w:rPr>
            </w:pPr>
            <w:r>
              <w:rPr>
                <w:rFonts w:ascii="宋体" w:eastAsia="宋体" w:cs="宋体" w:hint="eastAsia"/>
                <w:i w:val="0"/>
                <w:color w:val="000000"/>
                <w:kern w:val="0"/>
                <w:sz w:val="20"/>
                <w:szCs w:val="20"/>
                <w:u w:val="none"/>
                <w:lang w:val="en-US" w:eastAsia="zh-CN"/>
              </w:rPr>
              <w:t>2022年部门整体支出绩效评价</w:t>
            </w:r>
          </w:p>
        </w:tc>
      </w:tr>
      <w:tr>
        <w:trPr>
          <w:trHeight w:val="286"/>
        </w:trPr>
        <w:tc>
          <w:tcPr>
            <w:tcW w:w="8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bottom"/>
              <w:rPr>
                <w:rFonts w:ascii="宋体" w:eastAsia="宋体" w:cs="宋体" w:hint="eastAsia"/>
                <w:i w:val="0"/>
                <w:color w:val="000000"/>
                <w:kern w:val="0"/>
                <w:sz w:val="20"/>
                <w:szCs w:val="20"/>
                <w:u w:val="none"/>
                <w:lang w:val="en-US" w:eastAsia="zh-CN"/>
              </w:rPr>
            </w:pPr>
            <w:r>
              <w:rPr>
                <w:rFonts w:ascii="宋体" w:eastAsia="宋体" w:cs="宋体" w:hint="eastAsia"/>
                <w:i w:val="0"/>
                <w:color w:val="000000"/>
                <w:kern w:val="0"/>
                <w:sz w:val="20"/>
                <w:szCs w:val="20"/>
                <w:u w:val="none"/>
                <w:lang w:val="en-US" w:eastAsia="zh-CN"/>
              </w:rPr>
              <w:t>18</w:t>
            </w:r>
          </w:p>
        </w:tc>
        <w:tc>
          <w:tcPr>
            <w:tcW w:w="88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left"/>
              <w:textAlignment w:val="bottom"/>
              <w:rPr>
                <w:rFonts w:ascii="宋体" w:eastAsia="宋体" w:cs="宋体"/>
                <w:i w:val="0"/>
                <w:color w:val="000000"/>
                <w:kern w:val="0"/>
                <w:sz w:val="20"/>
                <w:szCs w:val="20"/>
                <w:u w:val="none"/>
                <w:lang w:val="en-US" w:eastAsia="zh-CN"/>
              </w:rPr>
            </w:pPr>
            <w:r>
              <w:rPr>
                <w:rFonts w:ascii="宋体" w:eastAsia="宋体" w:cs="宋体"/>
                <w:i w:val="0"/>
                <w:color w:val="000000"/>
                <w:kern w:val="0"/>
                <w:sz w:val="20"/>
                <w:szCs w:val="20"/>
                <w:u w:val="none"/>
                <w:lang w:val="en-US" w:eastAsia="zh-CN"/>
              </w:rPr>
              <w:t>社保股</w:t>
            </w:r>
          </w:p>
        </w:tc>
        <w:tc>
          <w:tcPr>
            <w:tcW w:w="342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left"/>
              <w:textAlignment w:val="bottom"/>
              <w:rPr>
                <w:rFonts w:ascii="宋体" w:eastAsia="宋体" w:cs="宋体" w:hint="eastAsia"/>
                <w:i w:val="0"/>
                <w:color w:val="000000"/>
                <w:kern w:val="0"/>
                <w:sz w:val="20"/>
                <w:szCs w:val="20"/>
                <w:u w:val="none"/>
                <w:lang w:val="en-US" w:eastAsia="zh-CN"/>
              </w:rPr>
            </w:pPr>
            <w:r>
              <w:rPr>
                <w:rFonts w:ascii="宋体" w:eastAsia="宋体" w:cs="宋体" w:hint="eastAsia"/>
                <w:i w:val="0"/>
                <w:color w:val="000000"/>
                <w:kern w:val="0"/>
                <w:sz w:val="20"/>
                <w:szCs w:val="20"/>
                <w:u w:val="none"/>
                <w:lang w:val="en-US" w:eastAsia="zh-CN"/>
              </w:rPr>
              <w:t>金川县新型农村社会养老保险管理局</w:t>
            </w:r>
          </w:p>
        </w:tc>
        <w:tc>
          <w:tcPr>
            <w:tcW w:w="33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bottom"/>
              <w:rPr>
                <w:rFonts w:ascii="宋体" w:eastAsia="宋体" w:cs="宋体" w:hint="eastAsia"/>
                <w:i w:val="0"/>
                <w:color w:val="000000"/>
                <w:kern w:val="0"/>
                <w:sz w:val="20"/>
                <w:szCs w:val="20"/>
                <w:u w:val="none"/>
                <w:lang w:val="en-US" w:eastAsia="zh-CN"/>
              </w:rPr>
            </w:pPr>
            <w:r>
              <w:rPr>
                <w:rFonts w:ascii="宋体" w:eastAsia="宋体" w:cs="宋体" w:hint="eastAsia"/>
                <w:i w:val="0"/>
                <w:color w:val="000000"/>
                <w:kern w:val="0"/>
                <w:sz w:val="20"/>
                <w:szCs w:val="20"/>
                <w:u w:val="none"/>
                <w:lang w:val="en-US" w:eastAsia="zh-CN"/>
              </w:rPr>
              <w:t>2022年部门整体支出绩效评价</w:t>
            </w:r>
          </w:p>
        </w:tc>
      </w:tr>
      <w:tr>
        <w:trPr>
          <w:trHeight w:val="286"/>
        </w:trPr>
        <w:tc>
          <w:tcPr>
            <w:tcW w:w="8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bottom"/>
              <w:rPr>
                <w:rFonts w:ascii="宋体" w:eastAsia="宋体" w:cs="宋体" w:hint="eastAsia"/>
                <w:i w:val="0"/>
                <w:color w:val="000000"/>
                <w:kern w:val="0"/>
                <w:sz w:val="20"/>
                <w:szCs w:val="20"/>
                <w:u w:val="none"/>
                <w:lang w:val="en-US" w:eastAsia="zh-CN"/>
              </w:rPr>
            </w:pPr>
            <w:r>
              <w:rPr>
                <w:rFonts w:ascii="宋体" w:eastAsia="宋体" w:cs="宋体" w:hint="eastAsia"/>
                <w:i w:val="0"/>
                <w:color w:val="000000"/>
                <w:kern w:val="0"/>
                <w:sz w:val="20"/>
                <w:szCs w:val="20"/>
                <w:u w:val="none"/>
                <w:lang w:val="en-US" w:eastAsia="zh-CN"/>
              </w:rPr>
              <w:t>19</w:t>
            </w:r>
          </w:p>
        </w:tc>
        <w:tc>
          <w:tcPr>
            <w:tcW w:w="88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left"/>
              <w:textAlignment w:val="bottom"/>
              <w:rPr>
                <w:rFonts w:ascii="宋体" w:eastAsia="宋体" w:cs="宋体"/>
                <w:i w:val="0"/>
                <w:color w:val="000000"/>
                <w:kern w:val="0"/>
                <w:sz w:val="20"/>
                <w:szCs w:val="20"/>
                <w:u w:val="none"/>
                <w:lang w:val="en-US" w:eastAsia="zh-CN"/>
              </w:rPr>
            </w:pPr>
            <w:r>
              <w:rPr>
                <w:rFonts w:ascii="宋体" w:eastAsia="宋体" w:cs="宋体"/>
                <w:i w:val="0"/>
                <w:color w:val="000000"/>
                <w:kern w:val="0"/>
                <w:sz w:val="20"/>
                <w:szCs w:val="20"/>
                <w:u w:val="none"/>
                <w:lang w:val="en-US" w:eastAsia="zh-CN"/>
              </w:rPr>
              <w:t>行财股</w:t>
            </w:r>
          </w:p>
        </w:tc>
        <w:tc>
          <w:tcPr>
            <w:tcW w:w="342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left"/>
              <w:textAlignment w:val="bottom"/>
              <w:rPr>
                <w:rFonts w:ascii="宋体" w:eastAsia="宋体" w:cs="宋体" w:hint="eastAsia"/>
                <w:i w:val="0"/>
                <w:color w:val="000000"/>
                <w:kern w:val="0"/>
                <w:sz w:val="20"/>
                <w:szCs w:val="20"/>
                <w:u w:val="none"/>
                <w:lang w:val="en-US" w:eastAsia="zh-CN"/>
              </w:rPr>
            </w:pPr>
            <w:r>
              <w:rPr>
                <w:rFonts w:ascii="宋体" w:eastAsia="宋体" w:cs="宋体" w:hint="eastAsia"/>
                <w:i w:val="0"/>
                <w:color w:val="000000"/>
                <w:kern w:val="0"/>
                <w:sz w:val="20"/>
                <w:szCs w:val="20"/>
                <w:u w:val="none"/>
                <w:lang w:val="en-US" w:eastAsia="zh-CN"/>
              </w:rPr>
              <w:t>金川县科学技术协会</w:t>
            </w:r>
          </w:p>
        </w:tc>
        <w:tc>
          <w:tcPr>
            <w:tcW w:w="33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bottom"/>
              <w:rPr>
                <w:rFonts w:ascii="宋体" w:eastAsia="宋体" w:cs="宋体" w:hint="eastAsia"/>
                <w:i w:val="0"/>
                <w:color w:val="000000"/>
                <w:kern w:val="0"/>
                <w:sz w:val="20"/>
                <w:szCs w:val="20"/>
                <w:u w:val="none"/>
                <w:lang w:val="en-US" w:eastAsia="zh-CN"/>
              </w:rPr>
            </w:pPr>
            <w:r>
              <w:rPr>
                <w:rFonts w:ascii="宋体" w:eastAsia="宋体" w:cs="宋体" w:hint="eastAsia"/>
                <w:i w:val="0"/>
                <w:color w:val="000000"/>
                <w:kern w:val="0"/>
                <w:sz w:val="20"/>
                <w:szCs w:val="20"/>
                <w:u w:val="none"/>
                <w:lang w:val="en-US" w:eastAsia="zh-CN"/>
              </w:rPr>
              <w:t>2022年部门整体支出绩效评价</w:t>
            </w:r>
          </w:p>
        </w:tc>
      </w:tr>
      <w:tr>
        <w:trPr>
          <w:trHeight w:val="286"/>
        </w:trPr>
        <w:tc>
          <w:tcPr>
            <w:tcW w:w="8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bottom"/>
              <w:rPr>
                <w:rFonts w:ascii="宋体" w:eastAsia="宋体" w:cs="宋体" w:hint="eastAsia"/>
                <w:i w:val="0"/>
                <w:color w:val="000000"/>
                <w:kern w:val="0"/>
                <w:sz w:val="20"/>
                <w:szCs w:val="20"/>
                <w:u w:val="none"/>
                <w:lang w:val="en-US" w:eastAsia="zh-CN"/>
              </w:rPr>
            </w:pPr>
            <w:r>
              <w:rPr>
                <w:rFonts w:ascii="宋体" w:eastAsia="宋体" w:cs="宋体" w:hint="eastAsia"/>
                <w:i w:val="0"/>
                <w:color w:val="000000"/>
                <w:kern w:val="0"/>
                <w:sz w:val="20"/>
                <w:szCs w:val="20"/>
                <w:u w:val="none"/>
                <w:lang w:val="en-US" w:eastAsia="zh-CN"/>
              </w:rPr>
              <w:t>20</w:t>
            </w:r>
          </w:p>
        </w:tc>
        <w:tc>
          <w:tcPr>
            <w:tcW w:w="88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left"/>
              <w:textAlignment w:val="bottom"/>
              <w:rPr>
                <w:rFonts w:ascii="宋体" w:eastAsia="宋体" w:cs="宋体"/>
                <w:i w:val="0"/>
                <w:color w:val="000000"/>
                <w:kern w:val="0"/>
                <w:sz w:val="20"/>
                <w:szCs w:val="20"/>
                <w:u w:val="none"/>
                <w:lang w:val="en-US" w:eastAsia="zh-CN"/>
              </w:rPr>
            </w:pPr>
            <w:r>
              <w:rPr>
                <w:rFonts w:ascii="宋体" w:eastAsia="宋体" w:cs="宋体"/>
                <w:i w:val="0"/>
                <w:color w:val="000000"/>
                <w:kern w:val="0"/>
                <w:sz w:val="20"/>
                <w:szCs w:val="20"/>
                <w:u w:val="none"/>
                <w:lang w:val="en-US" w:eastAsia="zh-CN"/>
              </w:rPr>
              <w:t>行财股</w:t>
            </w:r>
          </w:p>
        </w:tc>
        <w:tc>
          <w:tcPr>
            <w:tcW w:w="342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left"/>
              <w:textAlignment w:val="bottom"/>
              <w:rPr>
                <w:rFonts w:ascii="宋体" w:eastAsia="宋体" w:cs="宋体" w:hint="eastAsia"/>
                <w:i w:val="0"/>
                <w:color w:val="000000"/>
                <w:kern w:val="0"/>
                <w:sz w:val="20"/>
                <w:szCs w:val="20"/>
                <w:u w:val="none"/>
                <w:lang w:val="en-US" w:eastAsia="zh-CN"/>
              </w:rPr>
            </w:pPr>
            <w:r>
              <w:rPr>
                <w:rFonts w:ascii="宋体" w:eastAsia="宋体" w:cs="宋体" w:hint="eastAsia"/>
                <w:i w:val="0"/>
                <w:color w:val="000000"/>
                <w:kern w:val="0"/>
                <w:sz w:val="20"/>
                <w:szCs w:val="20"/>
                <w:u w:val="none"/>
                <w:lang w:val="en-US" w:eastAsia="zh-CN"/>
              </w:rPr>
              <w:t>金川县行政审批局</w:t>
            </w:r>
          </w:p>
        </w:tc>
        <w:tc>
          <w:tcPr>
            <w:tcW w:w="33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bottom"/>
              <w:rPr>
                <w:rFonts w:ascii="宋体" w:eastAsia="宋体" w:cs="宋体" w:hint="eastAsia"/>
                <w:i w:val="0"/>
                <w:color w:val="000000"/>
                <w:kern w:val="0"/>
                <w:sz w:val="20"/>
                <w:szCs w:val="20"/>
                <w:u w:val="none"/>
                <w:lang w:val="en-US" w:eastAsia="zh-CN"/>
              </w:rPr>
            </w:pPr>
            <w:r>
              <w:rPr>
                <w:rFonts w:ascii="宋体" w:eastAsia="宋体" w:cs="宋体" w:hint="eastAsia"/>
                <w:i w:val="0"/>
                <w:color w:val="000000"/>
                <w:kern w:val="0"/>
                <w:sz w:val="20"/>
                <w:szCs w:val="20"/>
                <w:u w:val="none"/>
                <w:lang w:val="en-US" w:eastAsia="zh-CN"/>
              </w:rPr>
              <w:t>2022年部门整体支出绩效评价</w:t>
            </w:r>
          </w:p>
        </w:tc>
      </w:tr>
      <w:tr>
        <w:trPr>
          <w:trHeight w:val="286"/>
        </w:trPr>
        <w:tc>
          <w:tcPr>
            <w:tcW w:w="8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bottom"/>
              <w:rPr>
                <w:rFonts w:ascii="宋体" w:eastAsia="宋体" w:cs="宋体" w:hint="eastAsia"/>
                <w:i w:val="0"/>
                <w:color w:val="000000"/>
                <w:kern w:val="0"/>
                <w:sz w:val="20"/>
                <w:szCs w:val="20"/>
                <w:u w:val="none"/>
                <w:lang w:val="en-US" w:eastAsia="zh-CN"/>
              </w:rPr>
            </w:pPr>
            <w:r>
              <w:rPr>
                <w:rFonts w:ascii="宋体" w:eastAsia="宋体" w:cs="宋体" w:hint="eastAsia"/>
                <w:i w:val="0"/>
                <w:color w:val="000000"/>
                <w:kern w:val="0"/>
                <w:sz w:val="20"/>
                <w:szCs w:val="20"/>
                <w:u w:val="none"/>
                <w:lang w:val="en-US" w:eastAsia="zh-CN"/>
              </w:rPr>
              <w:t>21</w:t>
            </w:r>
          </w:p>
        </w:tc>
        <w:tc>
          <w:tcPr>
            <w:tcW w:w="88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left"/>
              <w:textAlignment w:val="bottom"/>
              <w:rPr>
                <w:rFonts w:ascii="宋体" w:eastAsia="宋体" w:cs="宋体"/>
                <w:i w:val="0"/>
                <w:color w:val="000000"/>
                <w:kern w:val="0"/>
                <w:sz w:val="20"/>
                <w:szCs w:val="20"/>
                <w:u w:val="none"/>
                <w:lang w:val="en-US" w:eastAsia="zh-CN"/>
              </w:rPr>
            </w:pPr>
            <w:r>
              <w:rPr>
                <w:rFonts w:ascii="宋体" w:eastAsia="宋体" w:cs="宋体"/>
                <w:i w:val="0"/>
                <w:color w:val="000000"/>
                <w:kern w:val="0"/>
                <w:sz w:val="20"/>
                <w:szCs w:val="20"/>
                <w:u w:val="none"/>
                <w:lang w:val="en-US" w:eastAsia="zh-CN"/>
              </w:rPr>
              <w:t>社保股</w:t>
            </w:r>
          </w:p>
        </w:tc>
        <w:tc>
          <w:tcPr>
            <w:tcW w:w="342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left"/>
              <w:textAlignment w:val="bottom"/>
              <w:rPr>
                <w:rFonts w:ascii="宋体" w:eastAsia="宋体" w:cs="宋体" w:hint="eastAsia"/>
                <w:i w:val="0"/>
                <w:color w:val="000000"/>
                <w:kern w:val="0"/>
                <w:sz w:val="20"/>
                <w:szCs w:val="20"/>
                <w:u w:val="none"/>
                <w:lang w:val="en-US" w:eastAsia="zh-CN"/>
              </w:rPr>
            </w:pPr>
            <w:r>
              <w:rPr>
                <w:rFonts w:ascii="宋体" w:eastAsia="宋体" w:cs="宋体" w:hint="eastAsia"/>
                <w:i w:val="0"/>
                <w:color w:val="000000"/>
                <w:kern w:val="0"/>
                <w:sz w:val="20"/>
                <w:szCs w:val="20"/>
                <w:u w:val="none"/>
                <w:lang w:val="en-US" w:eastAsia="zh-CN"/>
              </w:rPr>
              <w:t>金川县退役军人事务局</w:t>
            </w:r>
          </w:p>
        </w:tc>
        <w:tc>
          <w:tcPr>
            <w:tcW w:w="33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bottom"/>
              <w:rPr>
                <w:rFonts w:ascii="宋体" w:eastAsia="宋体" w:cs="宋体" w:hint="eastAsia"/>
                <w:i w:val="0"/>
                <w:color w:val="000000"/>
                <w:kern w:val="0"/>
                <w:sz w:val="20"/>
                <w:szCs w:val="20"/>
                <w:u w:val="none"/>
                <w:lang w:val="en-US" w:eastAsia="zh-CN"/>
              </w:rPr>
            </w:pPr>
            <w:r>
              <w:rPr>
                <w:rFonts w:ascii="宋体" w:eastAsia="宋体" w:cs="宋体" w:hint="eastAsia"/>
                <w:i w:val="0"/>
                <w:color w:val="000000"/>
                <w:kern w:val="0"/>
                <w:sz w:val="20"/>
                <w:szCs w:val="20"/>
                <w:u w:val="none"/>
                <w:lang w:val="en-US" w:eastAsia="zh-CN"/>
              </w:rPr>
              <w:t>2022年部门整体支出绩效评价</w:t>
            </w:r>
          </w:p>
        </w:tc>
      </w:tr>
      <w:tr>
        <w:trPr>
          <w:trHeight w:val="286"/>
        </w:trPr>
        <w:tc>
          <w:tcPr>
            <w:tcW w:w="8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bottom"/>
              <w:rPr>
                <w:rFonts w:ascii="宋体" w:eastAsia="宋体" w:cs="宋体" w:hint="eastAsia"/>
                <w:i w:val="0"/>
                <w:color w:val="000000"/>
                <w:kern w:val="0"/>
                <w:sz w:val="20"/>
                <w:szCs w:val="20"/>
                <w:u w:val="none"/>
                <w:lang w:val="en-US" w:eastAsia="zh-CN"/>
              </w:rPr>
            </w:pPr>
            <w:r>
              <w:rPr>
                <w:rFonts w:ascii="宋体" w:eastAsia="宋体" w:cs="宋体" w:hint="eastAsia"/>
                <w:i w:val="0"/>
                <w:color w:val="000000"/>
                <w:kern w:val="0"/>
                <w:sz w:val="20"/>
                <w:szCs w:val="20"/>
                <w:u w:val="none"/>
                <w:lang w:val="en-US" w:eastAsia="zh-CN"/>
              </w:rPr>
              <w:t>22</w:t>
            </w:r>
          </w:p>
        </w:tc>
        <w:tc>
          <w:tcPr>
            <w:tcW w:w="88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left"/>
              <w:textAlignment w:val="bottom"/>
              <w:rPr>
                <w:rFonts w:ascii="宋体" w:eastAsia="宋体" w:cs="宋体"/>
                <w:i w:val="0"/>
                <w:color w:val="000000"/>
                <w:kern w:val="0"/>
                <w:sz w:val="20"/>
                <w:szCs w:val="20"/>
                <w:u w:val="none"/>
                <w:lang w:val="en-US" w:eastAsia="zh-CN"/>
              </w:rPr>
            </w:pPr>
            <w:r>
              <w:rPr>
                <w:rFonts w:ascii="宋体" w:eastAsia="宋体" w:cs="宋体"/>
                <w:i w:val="0"/>
                <w:color w:val="000000"/>
                <w:kern w:val="0"/>
                <w:sz w:val="20"/>
                <w:szCs w:val="20"/>
                <w:u w:val="none"/>
                <w:lang w:val="en-US" w:eastAsia="zh-CN"/>
              </w:rPr>
              <w:t>资环股</w:t>
            </w:r>
          </w:p>
        </w:tc>
        <w:tc>
          <w:tcPr>
            <w:tcW w:w="342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left"/>
              <w:textAlignment w:val="bottom"/>
              <w:rPr>
                <w:rFonts w:ascii="宋体" w:eastAsia="宋体" w:cs="宋体" w:hint="eastAsia"/>
                <w:i w:val="0"/>
                <w:color w:val="000000"/>
                <w:kern w:val="0"/>
                <w:sz w:val="20"/>
                <w:szCs w:val="20"/>
                <w:u w:val="none"/>
                <w:lang w:val="en-US" w:eastAsia="zh-CN"/>
              </w:rPr>
            </w:pPr>
            <w:r>
              <w:rPr>
                <w:rFonts w:ascii="宋体" w:eastAsia="宋体" w:cs="宋体" w:hint="eastAsia"/>
                <w:i w:val="0"/>
                <w:color w:val="000000"/>
                <w:kern w:val="0"/>
                <w:sz w:val="20"/>
                <w:szCs w:val="20"/>
                <w:u w:val="none"/>
                <w:lang w:val="en-US" w:eastAsia="zh-CN"/>
              </w:rPr>
              <w:t>集沐乡人民政府</w:t>
            </w:r>
          </w:p>
        </w:tc>
        <w:tc>
          <w:tcPr>
            <w:tcW w:w="33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bottom"/>
              <w:rPr>
                <w:rFonts w:ascii="宋体" w:eastAsia="宋体" w:cs="宋体" w:hint="eastAsia"/>
                <w:i w:val="0"/>
                <w:color w:val="000000"/>
                <w:kern w:val="0"/>
                <w:sz w:val="20"/>
                <w:szCs w:val="20"/>
                <w:u w:val="none"/>
                <w:lang w:val="en-US" w:eastAsia="zh-CN"/>
              </w:rPr>
            </w:pPr>
            <w:r>
              <w:rPr>
                <w:rFonts w:ascii="宋体" w:eastAsia="宋体" w:cs="宋体" w:hint="eastAsia"/>
                <w:i w:val="0"/>
                <w:color w:val="000000"/>
                <w:kern w:val="0"/>
                <w:sz w:val="20"/>
                <w:szCs w:val="20"/>
                <w:u w:val="none"/>
                <w:lang w:val="en-US" w:eastAsia="zh-CN"/>
              </w:rPr>
              <w:t>2022年部门整体支出绩效评价</w:t>
            </w:r>
          </w:p>
        </w:tc>
      </w:tr>
      <w:tr>
        <w:trPr>
          <w:trHeight w:val="286"/>
        </w:trPr>
        <w:tc>
          <w:tcPr>
            <w:tcW w:w="8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bottom"/>
              <w:rPr>
                <w:rFonts w:ascii="宋体" w:eastAsia="宋体" w:cs="宋体" w:hint="eastAsia"/>
                <w:i w:val="0"/>
                <w:color w:val="000000"/>
                <w:kern w:val="0"/>
                <w:sz w:val="20"/>
                <w:szCs w:val="20"/>
                <w:u w:val="none"/>
                <w:lang w:val="en-US" w:eastAsia="zh-CN"/>
              </w:rPr>
            </w:pPr>
            <w:r>
              <w:rPr>
                <w:rFonts w:ascii="宋体" w:eastAsia="宋体" w:cs="宋体" w:hint="eastAsia"/>
                <w:i w:val="0"/>
                <w:color w:val="000000"/>
                <w:kern w:val="0"/>
                <w:sz w:val="20"/>
                <w:szCs w:val="20"/>
                <w:u w:val="none"/>
                <w:lang w:val="en-US" w:eastAsia="zh-CN"/>
              </w:rPr>
              <w:t>23</w:t>
            </w:r>
          </w:p>
        </w:tc>
        <w:tc>
          <w:tcPr>
            <w:tcW w:w="88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left"/>
              <w:textAlignment w:val="bottom"/>
              <w:rPr>
                <w:rFonts w:ascii="宋体" w:eastAsia="宋体" w:cs="宋体"/>
                <w:i w:val="0"/>
                <w:color w:val="000000"/>
                <w:kern w:val="0"/>
                <w:sz w:val="20"/>
                <w:szCs w:val="20"/>
                <w:u w:val="none"/>
                <w:lang w:val="en-US" w:eastAsia="zh-CN"/>
              </w:rPr>
            </w:pPr>
            <w:r>
              <w:rPr>
                <w:rFonts w:ascii="宋体" w:eastAsia="宋体" w:cs="宋体"/>
                <w:i w:val="0"/>
                <w:color w:val="000000"/>
                <w:kern w:val="0"/>
                <w:sz w:val="20"/>
                <w:szCs w:val="20"/>
                <w:u w:val="none"/>
                <w:lang w:val="en-US" w:eastAsia="zh-CN"/>
              </w:rPr>
              <w:t>资环股</w:t>
            </w:r>
          </w:p>
        </w:tc>
        <w:tc>
          <w:tcPr>
            <w:tcW w:w="342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left"/>
              <w:textAlignment w:val="bottom"/>
              <w:rPr>
                <w:rFonts w:ascii="宋体" w:eastAsia="宋体" w:cs="宋体" w:hint="eastAsia"/>
                <w:i w:val="0"/>
                <w:color w:val="000000"/>
                <w:kern w:val="0"/>
                <w:sz w:val="20"/>
                <w:szCs w:val="20"/>
                <w:u w:val="none"/>
                <w:lang w:val="en-US" w:eastAsia="zh-CN"/>
              </w:rPr>
            </w:pPr>
            <w:r>
              <w:rPr>
                <w:rFonts w:ascii="宋体" w:eastAsia="宋体" w:cs="宋体" w:hint="eastAsia"/>
                <w:i w:val="0"/>
                <w:color w:val="000000"/>
                <w:kern w:val="0"/>
                <w:sz w:val="20"/>
                <w:szCs w:val="20"/>
                <w:u w:val="none"/>
                <w:lang w:val="en-US" w:eastAsia="zh-CN"/>
              </w:rPr>
              <w:t>撒瓦脚乡人民政府</w:t>
            </w:r>
          </w:p>
        </w:tc>
        <w:tc>
          <w:tcPr>
            <w:tcW w:w="33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bottom"/>
              <w:rPr>
                <w:rFonts w:ascii="宋体" w:eastAsia="宋体" w:cs="宋体" w:hint="eastAsia"/>
                <w:i w:val="0"/>
                <w:color w:val="000000"/>
                <w:kern w:val="0"/>
                <w:sz w:val="20"/>
                <w:szCs w:val="20"/>
                <w:u w:val="none"/>
                <w:lang w:val="en-US" w:eastAsia="zh-CN"/>
              </w:rPr>
            </w:pPr>
            <w:r>
              <w:rPr>
                <w:rFonts w:ascii="宋体" w:eastAsia="宋体" w:cs="宋体" w:hint="eastAsia"/>
                <w:i w:val="0"/>
                <w:color w:val="000000"/>
                <w:kern w:val="0"/>
                <w:sz w:val="20"/>
                <w:szCs w:val="20"/>
                <w:u w:val="none"/>
                <w:lang w:val="en-US" w:eastAsia="zh-CN"/>
              </w:rPr>
              <w:t>2022年部门整体支出绩效评价</w:t>
            </w:r>
          </w:p>
        </w:tc>
      </w:tr>
      <w:tr>
        <w:trPr>
          <w:trHeight w:val="286"/>
        </w:trPr>
        <w:tc>
          <w:tcPr>
            <w:tcW w:w="8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bottom"/>
              <w:rPr>
                <w:rFonts w:ascii="宋体" w:eastAsia="宋体" w:cs="宋体" w:hint="eastAsia"/>
                <w:i w:val="0"/>
                <w:color w:val="000000"/>
                <w:kern w:val="0"/>
                <w:sz w:val="20"/>
                <w:szCs w:val="20"/>
                <w:u w:val="none"/>
                <w:lang w:val="en-US" w:eastAsia="zh-CN"/>
              </w:rPr>
            </w:pPr>
            <w:r>
              <w:rPr>
                <w:rFonts w:ascii="宋体" w:eastAsia="宋体" w:cs="宋体" w:hint="eastAsia"/>
                <w:i w:val="0"/>
                <w:color w:val="000000"/>
                <w:kern w:val="0"/>
                <w:sz w:val="20"/>
                <w:szCs w:val="20"/>
                <w:u w:val="none"/>
                <w:lang w:val="en-US" w:eastAsia="zh-CN"/>
              </w:rPr>
              <w:t>24</w:t>
            </w:r>
          </w:p>
        </w:tc>
        <w:tc>
          <w:tcPr>
            <w:tcW w:w="88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left"/>
              <w:textAlignment w:val="bottom"/>
              <w:rPr>
                <w:rFonts w:ascii="宋体" w:eastAsia="宋体" w:cs="宋体"/>
                <w:i w:val="0"/>
                <w:color w:val="000000"/>
                <w:kern w:val="0"/>
                <w:sz w:val="20"/>
                <w:szCs w:val="20"/>
                <w:u w:val="none"/>
                <w:lang w:val="en-US" w:eastAsia="zh-CN"/>
              </w:rPr>
            </w:pPr>
            <w:r>
              <w:rPr>
                <w:rFonts w:ascii="宋体" w:eastAsia="宋体" w:cs="宋体"/>
                <w:i w:val="0"/>
                <w:color w:val="000000"/>
                <w:kern w:val="0"/>
                <w:sz w:val="20"/>
                <w:szCs w:val="20"/>
                <w:u w:val="none"/>
                <w:lang w:val="en-US" w:eastAsia="zh-CN"/>
              </w:rPr>
              <w:t>资环股</w:t>
            </w:r>
          </w:p>
        </w:tc>
        <w:tc>
          <w:tcPr>
            <w:tcW w:w="342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left"/>
              <w:textAlignment w:val="bottom"/>
              <w:rPr>
                <w:rFonts w:ascii="宋体" w:eastAsia="宋体" w:cs="宋体" w:hint="eastAsia"/>
                <w:i w:val="0"/>
                <w:color w:val="000000"/>
                <w:kern w:val="0"/>
                <w:sz w:val="20"/>
                <w:szCs w:val="20"/>
                <w:u w:val="none"/>
                <w:lang w:val="en-US" w:eastAsia="zh-CN"/>
              </w:rPr>
            </w:pPr>
            <w:r>
              <w:rPr>
                <w:rFonts w:ascii="宋体" w:eastAsia="宋体" w:cs="宋体" w:hint="eastAsia"/>
                <w:i w:val="0"/>
                <w:color w:val="000000"/>
                <w:kern w:val="0"/>
                <w:sz w:val="20"/>
                <w:szCs w:val="20"/>
                <w:u w:val="none"/>
                <w:lang w:val="en-US" w:eastAsia="zh-CN"/>
              </w:rPr>
              <w:t>卡拉脚乡人民政府</w:t>
            </w:r>
          </w:p>
        </w:tc>
        <w:tc>
          <w:tcPr>
            <w:tcW w:w="33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bottom"/>
              <w:rPr>
                <w:rFonts w:ascii="宋体" w:eastAsia="宋体" w:cs="宋体" w:hint="eastAsia"/>
                <w:i w:val="0"/>
                <w:color w:val="000000"/>
                <w:kern w:val="0"/>
                <w:sz w:val="20"/>
                <w:szCs w:val="20"/>
                <w:u w:val="none"/>
                <w:lang w:val="en-US" w:eastAsia="zh-CN"/>
              </w:rPr>
            </w:pPr>
            <w:r>
              <w:rPr>
                <w:rFonts w:ascii="宋体" w:eastAsia="宋体" w:cs="宋体" w:hint="eastAsia"/>
                <w:i w:val="0"/>
                <w:color w:val="000000"/>
                <w:kern w:val="0"/>
                <w:sz w:val="20"/>
                <w:szCs w:val="20"/>
                <w:u w:val="none"/>
                <w:lang w:val="en-US" w:eastAsia="zh-CN"/>
              </w:rPr>
              <w:t>2022年部门整体支出绩效评价</w:t>
            </w:r>
          </w:p>
        </w:tc>
      </w:tr>
      <w:tr>
        <w:trPr>
          <w:trHeight w:val="286"/>
        </w:trPr>
        <w:tc>
          <w:tcPr>
            <w:tcW w:w="8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bottom"/>
              <w:rPr>
                <w:rFonts w:ascii="宋体" w:eastAsia="宋体" w:cs="宋体" w:hint="eastAsia"/>
                <w:i w:val="0"/>
                <w:color w:val="000000"/>
                <w:kern w:val="0"/>
                <w:sz w:val="20"/>
                <w:szCs w:val="20"/>
                <w:u w:val="none"/>
                <w:lang w:val="en-US" w:eastAsia="zh-CN"/>
              </w:rPr>
            </w:pPr>
            <w:r>
              <w:rPr>
                <w:rFonts w:ascii="宋体" w:eastAsia="宋体" w:cs="宋体" w:hint="eastAsia"/>
                <w:i w:val="0"/>
                <w:color w:val="000000"/>
                <w:kern w:val="0"/>
                <w:sz w:val="20"/>
                <w:szCs w:val="20"/>
                <w:u w:val="none"/>
                <w:lang w:val="en-US" w:eastAsia="zh-CN"/>
              </w:rPr>
              <w:t>25</w:t>
            </w:r>
          </w:p>
        </w:tc>
        <w:tc>
          <w:tcPr>
            <w:tcW w:w="88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left"/>
              <w:textAlignment w:val="bottom"/>
              <w:rPr>
                <w:rFonts w:ascii="宋体" w:eastAsia="宋体" w:cs="宋体"/>
                <w:i w:val="0"/>
                <w:color w:val="000000"/>
                <w:kern w:val="0"/>
                <w:sz w:val="20"/>
                <w:szCs w:val="20"/>
                <w:u w:val="none"/>
                <w:lang w:val="en-US" w:eastAsia="zh-CN"/>
              </w:rPr>
            </w:pPr>
            <w:r>
              <w:rPr>
                <w:rFonts w:ascii="宋体" w:eastAsia="宋体" w:cs="宋体"/>
                <w:i w:val="0"/>
                <w:color w:val="000000"/>
                <w:kern w:val="0"/>
                <w:sz w:val="20"/>
                <w:szCs w:val="20"/>
                <w:u w:val="none"/>
                <w:lang w:val="en-US" w:eastAsia="zh-CN"/>
              </w:rPr>
              <w:t>资环股</w:t>
            </w:r>
          </w:p>
        </w:tc>
        <w:tc>
          <w:tcPr>
            <w:tcW w:w="342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left"/>
              <w:textAlignment w:val="bottom"/>
              <w:rPr>
                <w:rFonts w:ascii="宋体" w:eastAsia="宋体" w:cs="宋体" w:hint="eastAsia"/>
                <w:i w:val="0"/>
                <w:color w:val="000000"/>
                <w:kern w:val="0"/>
                <w:sz w:val="20"/>
                <w:szCs w:val="20"/>
                <w:u w:val="none"/>
                <w:lang w:val="en-US" w:eastAsia="zh-CN"/>
              </w:rPr>
            </w:pPr>
            <w:r>
              <w:rPr>
                <w:rFonts w:ascii="宋体" w:eastAsia="宋体" w:cs="宋体" w:hint="eastAsia"/>
                <w:i w:val="0"/>
                <w:color w:val="000000"/>
                <w:kern w:val="0"/>
                <w:sz w:val="20"/>
                <w:szCs w:val="20"/>
                <w:u w:val="none"/>
                <w:lang w:val="en-US" w:eastAsia="zh-CN"/>
              </w:rPr>
              <w:t>咯尔乡人民政府</w:t>
            </w:r>
          </w:p>
        </w:tc>
        <w:tc>
          <w:tcPr>
            <w:tcW w:w="33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bottom"/>
              <w:rPr>
                <w:rFonts w:ascii="宋体" w:eastAsia="宋体" w:cs="宋体" w:hint="eastAsia"/>
                <w:i w:val="0"/>
                <w:color w:val="000000"/>
                <w:kern w:val="0"/>
                <w:sz w:val="20"/>
                <w:szCs w:val="20"/>
                <w:u w:val="none"/>
                <w:lang w:val="en-US" w:eastAsia="zh-CN"/>
              </w:rPr>
            </w:pPr>
            <w:r>
              <w:rPr>
                <w:rFonts w:ascii="宋体" w:eastAsia="宋体" w:cs="宋体" w:hint="eastAsia"/>
                <w:i w:val="0"/>
                <w:color w:val="000000"/>
                <w:kern w:val="0"/>
                <w:sz w:val="20"/>
                <w:szCs w:val="20"/>
                <w:u w:val="none"/>
                <w:lang w:val="en-US" w:eastAsia="zh-CN"/>
              </w:rPr>
              <w:t>2022年部门整体支出绩效评价</w:t>
            </w:r>
          </w:p>
        </w:tc>
      </w:tr>
      <w:tr>
        <w:trPr>
          <w:trHeight w:val="286"/>
        </w:trPr>
        <w:tc>
          <w:tcPr>
            <w:tcW w:w="8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bottom"/>
              <w:rPr>
                <w:rFonts w:ascii="宋体" w:eastAsia="宋体" w:cs="宋体" w:hint="eastAsia"/>
                <w:i w:val="0"/>
                <w:color w:val="000000"/>
                <w:kern w:val="0"/>
                <w:sz w:val="20"/>
                <w:szCs w:val="20"/>
                <w:u w:val="none"/>
                <w:lang w:val="en-US" w:eastAsia="zh-CN"/>
              </w:rPr>
            </w:pPr>
            <w:r>
              <w:rPr>
                <w:rFonts w:ascii="宋体" w:eastAsia="宋体" w:cs="宋体" w:hint="eastAsia"/>
                <w:i w:val="0"/>
                <w:color w:val="000000"/>
                <w:kern w:val="0"/>
                <w:sz w:val="20"/>
                <w:szCs w:val="20"/>
                <w:u w:val="none"/>
                <w:lang w:val="en-US" w:eastAsia="zh-CN"/>
              </w:rPr>
              <w:t>26</w:t>
            </w:r>
          </w:p>
        </w:tc>
        <w:tc>
          <w:tcPr>
            <w:tcW w:w="88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left"/>
              <w:textAlignment w:val="bottom"/>
              <w:rPr>
                <w:rFonts w:ascii="宋体" w:eastAsia="宋体" w:cs="宋体"/>
                <w:i w:val="0"/>
                <w:color w:val="000000"/>
                <w:kern w:val="0"/>
                <w:sz w:val="20"/>
                <w:szCs w:val="20"/>
                <w:u w:val="none"/>
                <w:lang w:val="en-US" w:eastAsia="zh-CN"/>
              </w:rPr>
            </w:pPr>
            <w:r>
              <w:rPr>
                <w:rFonts w:ascii="宋体" w:eastAsia="宋体" w:cs="宋体"/>
                <w:i w:val="0"/>
                <w:color w:val="000000"/>
                <w:kern w:val="0"/>
                <w:sz w:val="20"/>
                <w:szCs w:val="20"/>
                <w:u w:val="none"/>
                <w:lang w:val="en-US" w:eastAsia="zh-CN"/>
              </w:rPr>
              <w:t>资环股</w:t>
            </w:r>
          </w:p>
        </w:tc>
        <w:tc>
          <w:tcPr>
            <w:tcW w:w="342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left"/>
              <w:textAlignment w:val="bottom"/>
              <w:rPr>
                <w:rFonts w:ascii="宋体" w:eastAsia="宋体" w:cs="宋体" w:hint="eastAsia"/>
                <w:i w:val="0"/>
                <w:color w:val="000000"/>
                <w:kern w:val="0"/>
                <w:sz w:val="20"/>
                <w:szCs w:val="20"/>
                <w:u w:val="none"/>
                <w:lang w:val="en-US" w:eastAsia="zh-CN"/>
              </w:rPr>
            </w:pPr>
            <w:r>
              <w:rPr>
                <w:rFonts w:ascii="宋体" w:eastAsia="宋体" w:cs="宋体" w:hint="eastAsia"/>
                <w:i w:val="0"/>
                <w:color w:val="000000"/>
                <w:kern w:val="0"/>
                <w:sz w:val="20"/>
                <w:szCs w:val="20"/>
                <w:u w:val="none"/>
                <w:lang w:val="en-US" w:eastAsia="zh-CN"/>
              </w:rPr>
              <w:t>沙耳乡人民政府</w:t>
            </w:r>
          </w:p>
        </w:tc>
        <w:tc>
          <w:tcPr>
            <w:tcW w:w="33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bottom"/>
              <w:rPr>
                <w:rFonts w:ascii="宋体" w:eastAsia="宋体" w:cs="宋体" w:hint="eastAsia"/>
                <w:i w:val="0"/>
                <w:color w:val="000000"/>
                <w:kern w:val="0"/>
                <w:sz w:val="20"/>
                <w:szCs w:val="20"/>
                <w:u w:val="none"/>
                <w:lang w:val="en-US" w:eastAsia="zh-CN"/>
              </w:rPr>
            </w:pPr>
            <w:r>
              <w:rPr>
                <w:rFonts w:ascii="宋体" w:eastAsia="宋体" w:cs="宋体" w:hint="eastAsia"/>
                <w:i w:val="0"/>
                <w:color w:val="000000"/>
                <w:kern w:val="0"/>
                <w:sz w:val="20"/>
                <w:szCs w:val="20"/>
                <w:u w:val="none"/>
                <w:lang w:val="en-US" w:eastAsia="zh-CN"/>
              </w:rPr>
              <w:t>2022年部门整体支出绩效评价</w:t>
            </w:r>
          </w:p>
        </w:tc>
      </w:tr>
      <w:tr>
        <w:trPr>
          <w:trHeight w:val="286"/>
        </w:trPr>
        <w:tc>
          <w:tcPr>
            <w:tcW w:w="8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bottom"/>
              <w:rPr>
                <w:rFonts w:ascii="宋体" w:eastAsia="宋体" w:cs="宋体" w:hint="eastAsia"/>
                <w:i w:val="0"/>
                <w:color w:val="000000"/>
                <w:kern w:val="0"/>
                <w:sz w:val="20"/>
                <w:szCs w:val="20"/>
                <w:u w:val="none"/>
                <w:lang w:val="en-US" w:eastAsia="zh-CN"/>
              </w:rPr>
            </w:pPr>
            <w:r>
              <w:rPr>
                <w:rFonts w:ascii="宋体" w:eastAsia="宋体" w:cs="宋体" w:hint="eastAsia"/>
                <w:i w:val="0"/>
                <w:color w:val="000000"/>
                <w:kern w:val="0"/>
                <w:sz w:val="20"/>
                <w:szCs w:val="20"/>
                <w:u w:val="none"/>
                <w:lang w:val="en-US" w:eastAsia="zh-CN"/>
              </w:rPr>
              <w:t>27</w:t>
            </w:r>
          </w:p>
        </w:tc>
        <w:tc>
          <w:tcPr>
            <w:tcW w:w="88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left"/>
              <w:textAlignment w:val="bottom"/>
              <w:rPr>
                <w:rFonts w:ascii="宋体" w:eastAsia="宋体" w:cs="宋体"/>
                <w:i w:val="0"/>
                <w:color w:val="000000"/>
                <w:kern w:val="0"/>
                <w:sz w:val="20"/>
                <w:szCs w:val="20"/>
                <w:u w:val="none"/>
                <w:lang w:val="en-US" w:eastAsia="zh-CN"/>
              </w:rPr>
            </w:pPr>
            <w:r>
              <w:rPr>
                <w:rFonts w:ascii="宋体" w:eastAsia="宋体" w:cs="宋体"/>
                <w:i w:val="0"/>
                <w:color w:val="000000"/>
                <w:kern w:val="0"/>
                <w:sz w:val="20"/>
                <w:szCs w:val="20"/>
                <w:u w:val="none"/>
                <w:lang w:val="en-US" w:eastAsia="zh-CN"/>
              </w:rPr>
              <w:t>资环股</w:t>
            </w:r>
          </w:p>
        </w:tc>
        <w:tc>
          <w:tcPr>
            <w:tcW w:w="342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left"/>
              <w:textAlignment w:val="bottom"/>
              <w:rPr>
                <w:rFonts w:ascii="宋体" w:eastAsia="宋体" w:cs="宋体" w:hint="eastAsia"/>
                <w:i w:val="0"/>
                <w:color w:val="000000"/>
                <w:kern w:val="0"/>
                <w:sz w:val="20"/>
                <w:szCs w:val="20"/>
                <w:u w:val="none"/>
                <w:lang w:val="en-US" w:eastAsia="zh-CN"/>
              </w:rPr>
            </w:pPr>
            <w:r>
              <w:rPr>
                <w:rFonts w:ascii="宋体" w:eastAsia="宋体" w:cs="宋体" w:hint="eastAsia"/>
                <w:i w:val="0"/>
                <w:color w:val="000000"/>
                <w:kern w:val="0"/>
                <w:sz w:val="20"/>
                <w:szCs w:val="20"/>
                <w:u w:val="none"/>
                <w:lang w:val="en-US" w:eastAsia="zh-CN"/>
              </w:rPr>
              <w:t>勒乌镇人民政府</w:t>
            </w:r>
          </w:p>
        </w:tc>
        <w:tc>
          <w:tcPr>
            <w:tcW w:w="33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bottom"/>
              <w:rPr>
                <w:rFonts w:ascii="宋体" w:eastAsia="宋体" w:cs="宋体" w:hint="eastAsia"/>
                <w:i w:val="0"/>
                <w:color w:val="000000"/>
                <w:kern w:val="0"/>
                <w:sz w:val="20"/>
                <w:szCs w:val="20"/>
                <w:u w:val="none"/>
                <w:lang w:val="en-US" w:eastAsia="zh-CN"/>
              </w:rPr>
            </w:pPr>
            <w:r>
              <w:rPr>
                <w:rFonts w:ascii="宋体" w:eastAsia="宋体" w:cs="宋体" w:hint="eastAsia"/>
                <w:i w:val="0"/>
                <w:color w:val="000000"/>
                <w:kern w:val="0"/>
                <w:sz w:val="20"/>
                <w:szCs w:val="20"/>
                <w:u w:val="none"/>
                <w:lang w:val="en-US" w:eastAsia="zh-CN"/>
              </w:rPr>
              <w:t>2022年部门整体支出绩效评价</w:t>
            </w:r>
          </w:p>
        </w:tc>
      </w:tr>
      <w:tr>
        <w:trPr>
          <w:trHeight w:val="286"/>
        </w:trPr>
        <w:tc>
          <w:tcPr>
            <w:tcW w:w="8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bottom"/>
              <w:rPr>
                <w:rFonts w:ascii="宋体" w:eastAsia="宋体" w:cs="宋体" w:hint="eastAsia"/>
                <w:i w:val="0"/>
                <w:color w:val="000000"/>
                <w:kern w:val="0"/>
                <w:sz w:val="20"/>
                <w:szCs w:val="20"/>
                <w:u w:val="none"/>
                <w:lang w:val="en-US" w:eastAsia="zh-CN"/>
              </w:rPr>
            </w:pPr>
            <w:r>
              <w:rPr>
                <w:rFonts w:ascii="宋体" w:eastAsia="宋体" w:cs="宋体" w:hint="eastAsia"/>
                <w:i w:val="0"/>
                <w:color w:val="000000"/>
                <w:kern w:val="0"/>
                <w:sz w:val="20"/>
                <w:szCs w:val="20"/>
                <w:u w:val="none"/>
                <w:lang w:val="en-US" w:eastAsia="zh-CN"/>
              </w:rPr>
              <w:t>28</w:t>
            </w:r>
          </w:p>
        </w:tc>
        <w:tc>
          <w:tcPr>
            <w:tcW w:w="88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left"/>
              <w:textAlignment w:val="bottom"/>
              <w:rPr>
                <w:rFonts w:ascii="宋体" w:eastAsia="宋体" w:cs="宋体"/>
                <w:i w:val="0"/>
                <w:color w:val="000000"/>
                <w:kern w:val="0"/>
                <w:sz w:val="20"/>
                <w:szCs w:val="20"/>
                <w:u w:val="none"/>
                <w:lang w:val="en-US" w:eastAsia="zh-CN"/>
              </w:rPr>
            </w:pPr>
            <w:r>
              <w:rPr>
                <w:rFonts w:ascii="宋体" w:eastAsia="宋体" w:cs="宋体"/>
                <w:i w:val="0"/>
                <w:color w:val="000000"/>
                <w:kern w:val="0"/>
                <w:sz w:val="20"/>
                <w:szCs w:val="20"/>
                <w:u w:val="none"/>
                <w:lang w:val="en-US" w:eastAsia="zh-CN"/>
              </w:rPr>
              <w:t>资环股</w:t>
            </w:r>
          </w:p>
        </w:tc>
        <w:tc>
          <w:tcPr>
            <w:tcW w:w="342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pPr>
              <w:keepNext w:val="0"/>
              <w:keepLines w:val="0"/>
              <w:widowControl/>
              <w:suppressLineNumbers w:val="0"/>
              <w:jc w:val="left"/>
              <w:textAlignment w:val="bottom"/>
              <w:rPr>
                <w:rFonts w:ascii="宋体" w:eastAsia="宋体" w:cs="宋体" w:hint="eastAsia"/>
                <w:i w:val="0"/>
                <w:color w:val="000000"/>
                <w:kern w:val="0"/>
                <w:sz w:val="20"/>
                <w:szCs w:val="20"/>
                <w:u w:val="none"/>
                <w:lang w:val="en-US" w:eastAsia="zh-CN"/>
              </w:rPr>
            </w:pPr>
            <w:r>
              <w:rPr>
                <w:rFonts w:ascii="宋体" w:eastAsia="宋体" w:cs="宋体" w:hint="eastAsia"/>
                <w:i w:val="0"/>
                <w:color w:val="000000"/>
                <w:kern w:val="0"/>
                <w:sz w:val="20"/>
                <w:szCs w:val="20"/>
                <w:u w:val="none"/>
                <w:lang w:val="en-US" w:eastAsia="zh-CN"/>
              </w:rPr>
              <w:t>马奈乡人民政府</w:t>
            </w:r>
          </w:p>
        </w:tc>
        <w:tc>
          <w:tcPr>
            <w:tcW w:w="331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bottom"/>
              <w:rPr>
                <w:rFonts w:ascii="宋体" w:eastAsia="宋体" w:cs="宋体" w:hint="eastAsia"/>
                <w:i w:val="0"/>
                <w:color w:val="000000"/>
                <w:kern w:val="0"/>
                <w:sz w:val="20"/>
                <w:szCs w:val="20"/>
                <w:u w:val="none"/>
                <w:lang w:val="en-US" w:eastAsia="zh-CN"/>
              </w:rPr>
            </w:pPr>
            <w:r>
              <w:rPr>
                <w:rFonts w:ascii="宋体" w:eastAsia="宋体" w:cs="宋体" w:hint="eastAsia"/>
                <w:i w:val="0"/>
                <w:color w:val="000000"/>
                <w:kern w:val="0"/>
                <w:sz w:val="20"/>
                <w:szCs w:val="20"/>
                <w:u w:val="none"/>
                <w:lang w:val="en-US" w:eastAsia="zh-CN"/>
              </w:rPr>
              <w:t>2022年部门整体支出绩效评价</w:t>
            </w:r>
          </w:p>
        </w:tc>
      </w:tr>
    </w:tbl>
    <w:p>
      <w:pPr>
        <w:pStyle w:val="15"/>
        <w:rPr>
          <w:lang w:val="en-US" w:eastAsia="zh-CN"/>
        </w:rPr>
      </w:pPr>
    </w:p>
    <w:sectPr>
      <w:footerReference w:type="default" r:id="rId2"/>
      <w:pgSz w:w="11906" w:h="16838"/>
      <w:pgMar w:top="2098" w:right="1474" w:bottom="1984" w:left="1587" w:header="851" w:footer="992" w:gutter="0"/>
      <w:pgNumType w:fmt="numberInDash" w:start="1"/>
      <w:rtlGutter/>
      <w:docGrid w:type="linesAndChars" w:linePitch="579" w:charSpace="-842"/>
    </w:sectPr>
  </w:body>
</w:document>
</file>

<file path=word/fontTable.xml><?xml version="1.0" encoding="utf-8"?>
<w:fonts xmlns:w="http://schemas.openxmlformats.org/wordprocessingml/2006/main" xmlns:r="http://schemas.openxmlformats.org/officeDocument/2006/relationships">
  <w:font w:name="宋体">
    <w:panose1 w:val="02010600030101010101"/>
    <w:charset w:val="7A"/>
    <w:family w:val="auto"/>
    <w:pitch w:val="variable"/>
    <w:sig w:usb0="00000003" w:usb1="288F0000" w:usb2="00000006" w:usb3="00000000" w:csb0="00040001" w:csb1="00000000"/>
  </w:font>
  <w:font w:name="Times New Roman">
    <w:panose1 w:val="02020603050405020304"/>
    <w:charset w:val="01"/>
    <w:family w:val="auto"/>
    <w:pitch w:val="variable"/>
    <w:sig w:usb0="E0002AFF" w:usb1="C0007841" w:usb2="00000009" w:usb3="00000000" w:csb0="400001FF" w:csb1="FFFF0000"/>
  </w:font>
  <w:font w:name="方正小标宋简体">
    <w:panose1 w:val="03000509000000000000"/>
    <w:charset w:val="86"/>
    <w:family w:val="auto"/>
    <w:pitch w:val="variable"/>
    <w:sig w:usb0="00000001" w:usb1="080E0000" w:usb2="00000000" w:usb3="00000000" w:csb0="00040000" w:csb1="00000000"/>
  </w:font>
  <w:font w:name="仿宋_GB2312">
    <w:panose1 w:val="02010609030101010101"/>
    <w:charset w:val="86"/>
    <w:family w:val="auto"/>
    <w:pitch w:val="variable"/>
    <w:sig w:usb0="00000001" w:usb1="080E0000" w:usb2="00000000" w:usb3="00000000" w:csb0="00040000" w:csb1="00000000"/>
  </w:font>
  <w:font w:name="黑体">
    <w:panose1 w:val="02010609060101010101"/>
    <w:charset w:val="86"/>
    <w:family w:val="auto"/>
    <w:pitch w:val="variable"/>
    <w:sig w:usb0="800002BF" w:usb1="38CF7CFA" w:usb2="00000016" w:usb3="00000000" w:csb0="00040001" w:csb1="00000000"/>
  </w:font>
  <w:font w:name="楷体_GB2312">
    <w:panose1 w:val="02010609030101010101"/>
    <w:charset w:val="86"/>
    <w:family w:val="auto"/>
    <w:pitch w:val="variable"/>
    <w:sig w:usb0="00000001" w:usb1="080E0000" w:usb2="00000000" w:usb3="00000000" w:csb0="00040000" w:csb1="00000000"/>
  </w:font>
  <w:font w:name="仿宋">
    <w:altName w:val="仿宋_GB2312"/>
    <w:panose1 w:val="02010609060101010101"/>
    <w:charset w:val="86"/>
    <w:family w:val="auto"/>
    <w:pitch w:val="variable"/>
    <w:sig w:usb0="800002BF" w:usb1="38CF7CFA" w:usb2="00000016" w:usb3="00000000" w:csb0="00040001" w:csb1="00000000"/>
  </w:font>
  <w:font w:name="楷体">
    <w:altName w:val="楷体_GB2312"/>
    <w:panose1 w:val="02010609060101010101"/>
    <w:charset w:val="86"/>
    <w:family w:val="auto"/>
    <w:pitch w:val="variable"/>
    <w:sig w:usb0="800002BF" w:usb1="38CF7CFA" w:usb2="00000016" w:usb3="00000000" w:csb0="00040001" w:csb1="00000000"/>
  </w:font>
  <w:font w:name="方正仿宋_GBK">
    <w:panose1 w:val="03000509000000000000"/>
    <w:charset w:val="86"/>
    <w:family w:val="auto"/>
    <w:pitch w:val="variable"/>
    <w:sig w:usb0="00000001" w:usb1="080E0000" w:usb2="00000000" w:usb3="00000000" w:csb0="00040000" w:csb1="00000000"/>
  </w:font>
  <w:font w:name="Calibri">
    <w:altName w:val="Times New Roman"/>
    <w:panose1 w:val="020F0502020204030204"/>
    <w:charset w:val="00"/>
    <w:family w:val="swiss"/>
    <w:pitch w:val="variable"/>
    <w:sig w:usb0="E00002FF" w:usb1="4000ACFF" w:usb2="00000001" w:usb3="00000000" w:csb0="2000019F" w:csb1="00000000"/>
  </w:font>
  <w:font w:name="Arial">
    <w:altName w:val="DejaVu Sans"/>
    <w:panose1 w:val="020B0604020202020204"/>
    <w:charset w:val="01"/>
    <w:family w:val="swiss"/>
    <w:pitch w:val="variable"/>
    <w:sig w:usb0="E0002AFF" w:usb1="C0007843" w:usb2="00000009" w:usb3="00000000" w:csb0="400001FF" w:csb1="FFFF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tabs>
        <w:tab w:val="center" w:pos="4153"/>
        <w:tab w:val="right" w:pos="8306"/>
      </w:tabs>
    </w:pPr>
    <w:r>
      <w:rPr>
        <w:sz w:val="18"/>
      </w:rPr>
      <mc:AlternateContent>
        <mc:Choice Requires="wps">
          <w:drawing>
            <wp:anchor distT="0" distB="0" distL="114298" distR="114298" simplePos="0" relativeHeight="12" behindDoc="0" locked="0" layoutInCell="1" hidden="0" allowOverlap="1">
              <wp:simplePos x="0" y="0"/>
              <wp:positionH relativeFrom="margin">
                <wp:align>outside</wp:align>
              </wp:positionH>
              <wp:positionV relativeFrom="paragraph">
                <wp:posOffset>0</wp:posOffset>
              </wp:positionV>
              <wp:extent cx="444499" cy="230251"/>
              <wp:effectExtent l="0" t="0" r="0" b="0"/>
              <wp:wrapNone/>
              <wp:docPr id="1" name="文本框 12"/>
              <wp:cNvGraphicFramePr>
                <a:graphicFrameLocks noChangeAspect="0"/>
              </wp:cNvGraphicFramePr>
              <a:graphic>
                <a:graphicData uri="http://schemas.microsoft.com/office/word/2010/wordprocessingShape">
                  <wps:wsp>
                    <wps:cNvSpPr/>
                    <wps:spPr>
                      <a:xfrm rot="0">
                        <a:off x="0" y="0"/>
                        <a:ext cx="444499" cy="230251"/>
                      </a:xfrm>
                      <a:prstGeom prst="rect"/>
                      <a:noFill/>
                      <a:ln w="6350" cmpd="sng" cap="flat">
                        <a:noFill/>
                        <a:prstDash val="solid"/>
                        <a:round/>
                      </a:ln>
                    </wps:spPr>
                    <wps:txbx id="2">
                      <w:txbxContent>
                        <w:p>
                          <w:pPr>
                            <w:pStyle w:val="20"/>
                            <w:tabs>
                              <w:tab w:val="center" w:pos="4153"/>
                              <w:tab w:val="right" w:pos="8306"/>
                            </w:tabs>
                            <w:rPr>
                              <w:rFonts w:ascii="宋体" w:eastAsia="宋体" w:cs="宋体" w:hint="eastAsia"/>
                              <w:sz w:val="28"/>
                              <w:szCs w:val="28"/>
                              <w:lang w:eastAsia="zh-CN"/>
                            </w:rPr>
                          </w:pPr>
                          <w:r>
                            <w:rPr>
                              <w:rFonts w:ascii="宋体" w:eastAsia="宋体" w:cs="宋体" w:hint="eastAsia"/>
                              <w:sz w:val="28"/>
                              <w:szCs w:val="28"/>
                              <w:lang w:eastAsia="zh-CN"/>
                            </w:rPr>
                            <w:fldChar w:fldCharType="begin"/>
                          </w:r>
                          <w:r>
                            <w:rPr>
                              <w:rFonts w:ascii="宋体" w:eastAsia="宋体" w:cs="宋体" w:hint="eastAsia"/>
                              <w:sz w:val="28"/>
                              <w:szCs w:val="28"/>
                              <w:lang w:eastAsia="zh-CN"/>
                            </w:rPr>
                            <w:instrText xml:space="preserve"> PAGE  \* MERGEFORMAT </w:instrText>
                          </w:r>
                          <w:r>
                            <w:rPr>
                              <w:rFonts w:ascii="宋体" w:eastAsia="宋体" w:cs="宋体" w:hint="eastAsia"/>
                              <w:sz w:val="28"/>
                              <w:szCs w:val="28"/>
                              <w:lang w:eastAsia="zh-CN"/>
                            </w:rPr>
                            <w:fldChar w:fldCharType="separate"/>
                          </w:r>
                          <w:r>
                            <w:rPr>
                              <w:rFonts w:ascii="宋体" w:eastAsia="宋体" w:cs="宋体" w:hint="eastAsia"/>
                              <w:sz w:val="28"/>
                              <w:szCs w:val="28"/>
                              <w:lang w:eastAsia="zh-CN"/>
                            </w:rPr>
                            <w:t>- 1 -</w:t>
                          </w:r>
                          <w:r>
                            <w:rPr>
                              <w:rFonts w:ascii="宋体" w:eastAsia="宋体" w:cs="宋体" w:hint="eastAsia"/>
                              <w:sz w:val="28"/>
                              <w:szCs w:val="28"/>
                              <w:lang w:eastAsia="zh-CN"/>
                            </w:rPr>
                            <w:fldChar w:fldCharType="end"/>
                          </w:r>
                        </w:p>
                      </w:txbxContent>
                    </wps:txbx>
                    <wps:bodyPr vert="horz" wrap="none" lIns="0" tIns="0" rIns="0" bIns="0" anchor="t" anchorCtr="0" upright="0">
                      <a:spAutoFit/>
                    </wps:bodyPr>
                  </wps:wsp>
                </a:graphicData>
              </a:graphic>
            </wp:anchor>
          </w:drawing>
        </mc:Choice>
        <mc:Fallback>
          <w:pict>
            <v:shape type="#_x0000_t202" id="文本框 12 3" o:spid="_x0000_s3" filled="f" stroked="f" strokeweight="0.5pt" style="position:absolute;margin-left:0.0pt;margin-top:0.0pt;width:34.999985pt;height:18.130003pt;z-index:12;mso-position-horizontal:outside;mso-position-horizontal-relative:margin;mso-position-vertical:absolute;mso-wrap-distance-left:8.999863pt;mso-wrap-distance-right:8.999863pt;mso-wrap-style:none;">
              <v:stroke color="#000000"/>
              <v:textbox id="848" inset="0mm,0mm,0mm,0mm" o:insetmode="custom" style="layout-flow:horizontal;v-text-anchor:top;mso-fit-shape-to-text:t;">
                <w:txbxContent>
                  <w:p>
                    <w:pPr>
                      <w:pStyle w:val="20"/>
                      <w:tabs>
                        <w:tab w:val="center" w:pos="4153"/>
                        <w:tab w:val="right" w:pos="8306"/>
                      </w:tabs>
                      <w:rPr>
                        <w:rFonts w:ascii="宋体" w:eastAsia="宋体" w:cs="宋体" w:hint="eastAsia"/>
                        <w:sz w:val="28"/>
                        <w:szCs w:val="28"/>
                        <w:lang w:eastAsia="zh-CN"/>
                      </w:rPr>
                    </w:pPr>
                    <w:r>
                      <w:rPr>
                        <w:rFonts w:ascii="宋体" w:eastAsia="宋体" w:cs="宋体" w:hint="eastAsia"/>
                        <w:sz w:val="28"/>
                        <w:szCs w:val="28"/>
                        <w:lang w:eastAsia="zh-CN"/>
                      </w:rPr>
                      <w:fldChar w:fldCharType="begin"/>
                    </w:r>
                    <w:r>
                      <w:rPr>
                        <w:rFonts w:ascii="宋体" w:eastAsia="宋体" w:cs="宋体" w:hint="eastAsia"/>
                        <w:sz w:val="28"/>
                        <w:szCs w:val="28"/>
                        <w:lang w:eastAsia="zh-CN"/>
                      </w:rPr>
                      <w:instrText xml:space="preserve"> PAGE  \* MERGEFORMAT </w:instrText>
                    </w:r>
                    <w:r>
                      <w:rPr>
                        <w:rFonts w:ascii="宋体" w:eastAsia="宋体" w:cs="宋体" w:hint="eastAsia"/>
                        <w:sz w:val="28"/>
                        <w:szCs w:val="28"/>
                        <w:lang w:eastAsia="zh-CN"/>
                      </w:rPr>
                      <w:fldChar w:fldCharType="separate"/>
                    </w:r>
                    <w:r>
                      <w:rPr>
                        <w:rFonts w:ascii="宋体" w:eastAsia="宋体" w:cs="宋体" w:hint="eastAsia"/>
                        <w:sz w:val="28"/>
                        <w:szCs w:val="28"/>
                        <w:lang w:eastAsia="zh-CN"/>
                      </w:rPr>
                      <w:t>- 1 -</w:t>
                    </w:r>
                    <w:r>
                      <w:rPr>
                        <w:rFonts w:ascii="宋体" w:eastAsia="宋体" w:cs="宋体" w:hint="eastAsia"/>
                        <w:sz w:val="28"/>
                        <w:szCs w:val="28"/>
                        <w:lang w:eastAsia="zh-CN"/>
                      </w:rPr>
                      <w:fldChar w:fldCharType="end"/>
                    </w:r>
                  </w:p>
                </w:txbxContent>
              </v:textbox>
            </v:shape>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EE42EEF4"/>
    <w:multiLevelType w:val="singleLevel"/>
    <w:tmpl w:val="EE42EEF4"/>
    <w:lvl w:ilvl="0">
      <w:start w:val="1"/>
      <w:numFmt w:val="decimal"/>
      <w:lvlRestart w:val="0"/>
      <w:suff w:val="nothing"/>
      <w:lvlText w:val="（%1）"/>
      <w:lvlJc w:val="left"/>
      <w:pPr>
        <w:tabs>
          <w:tab w:val="num" w:pos="0"/>
        </w:tabs>
        <w:ind w:left="0" w:hanging="0"/>
      </w:p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40"/>
  <w:doNotDisplayPageBoundaries/>
  <w:bordersDoNotSurroundHeader w:val="0"/>
  <w:bordersDoNotSurroundFooter w:val="0"/>
  <w:documentProtection w:edit="readOnly" w:enforcement="0"/>
  <w:defaultTabStop w:val="420"/>
  <w:drawingGridHorizontalSpacing w:val="157"/>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useAltKinsokuLineBreakRules/>
    <w:compatSetting w:name="compatibilityMode" w:uri="http://schemas.microsoft.com/office/word" w:val="14"/>
  </w:compat>
  <w:docVars>
    <w:docVar w:name="commondata" w:val="eyJoZGlkIjoiMzQ3NDA5YzJiMGRmN2ZlM2I4MDA4MDE3NjdhMzRmNzE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仿宋_GB2312" w:cs="Times New Roman" w:hAnsi="Times New Roman"/>
      <w:kern w:val="2"/>
      <w:sz w:val="32"/>
      <w:szCs w:val="30"/>
      <w:lang w:val="en-US" w:eastAsia="zh-CN" w:bidi="ar-SA"/>
    </w:rPr>
  </w:style>
  <w:style w:type="paragraph" w:styleId="1">
    <w:name w:val="heading 1"/>
    <w:basedOn w:val="0"/>
    <w:next w:val="0"/>
    <w:pPr>
      <w:keepNext/>
      <w:keepLines/>
      <w:widowControl w:val="0"/>
      <w:spacing w:beforeAutospacing="0" w:afterAutospacing="0" w:line="560" w:lineRule="exact"/>
      <w:jc w:val="center"/>
      <w:outlineLvl w:val="0"/>
    </w:pPr>
    <w:rPr>
      <w:rFonts w:ascii="Calibri" w:eastAsia="方正小标宋简体" w:hAnsi="Calibri"/>
      <w:kern w:val="44"/>
      <w:sz w:val="44"/>
    </w:rPr>
  </w:style>
  <w:style w:type="paragraph" w:styleId="2">
    <w:name w:val="heading 2"/>
    <w:basedOn w:val="0"/>
    <w:next w:val="0"/>
    <w:pPr>
      <w:keepNext/>
      <w:keepLines/>
      <w:widowControl w:val="0"/>
      <w:spacing w:beforeAutospacing="0" w:afterAutospacing="0" w:line="560" w:lineRule="exact"/>
      <w:ind w:firstLineChars="200" w:firstLine="200"/>
      <w:outlineLvl w:val="1"/>
    </w:pPr>
    <w:rPr>
      <w:rFonts w:ascii="Arial" w:eastAsia="黑体" w:cs="Times New Roman" w:hAnsi="Arial"/>
      <w:sz w:val="32"/>
    </w:rPr>
  </w:style>
  <w:style w:type="paragraph" w:styleId="3">
    <w:name w:val="heading 3"/>
    <w:basedOn w:val="0"/>
    <w:next w:val="0"/>
    <w:pPr>
      <w:keepNext/>
      <w:keepLines/>
      <w:widowControl w:val="0"/>
      <w:spacing w:before="260" w:beforeAutospacing="0" w:after="260" w:afterAutospacing="0" w:line="560" w:lineRule="exact"/>
      <w:ind w:firstLineChars="200" w:firstLine="200"/>
      <w:outlineLvl w:val="2"/>
    </w:pPr>
    <w:rPr>
      <w:rFonts w:ascii="Times New Roman" w:eastAsia="楷体_GB2312" w:cs="Times New Roman" w:hAnsi="Times New Roman"/>
      <w:b/>
      <w:sz w:val="32"/>
    </w:rPr>
  </w:style>
  <w:style w:type="paragraph" w:styleId="4">
    <w:name w:val="heading 4"/>
    <w:basedOn w:val="0"/>
    <w:next w:val="0"/>
    <w:pPr>
      <w:keepNext/>
      <w:keepLines/>
      <w:widowControl w:val="0"/>
      <w:spacing w:before="280" w:beforeAutospacing="0" w:after="290" w:afterAutospacing="0" w:line="560" w:lineRule="exact"/>
      <w:ind w:firstLineChars="200" w:firstLine="200"/>
      <w:outlineLvl w:val="3"/>
    </w:pPr>
    <w:rPr>
      <w:rFonts w:ascii="Arial" w:eastAsia="仿宋_GB2312" w:hAnsi="Arial"/>
      <w:b/>
      <w:sz w:val="32"/>
    </w:rPr>
  </w:style>
  <w:style w:type="character" w:default="1" w:styleId="10">
    <w:name w:val="Default Paragraph Font"/>
  </w:style>
  <w:style w:type="paragraph" w:styleId="15">
    <w:name w:val="table of figures"/>
    <w:basedOn w:val="0"/>
    <w:next w:val="0"/>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uppressAutoHyphens/>
      <w:kinsoku/>
      <w:wordWrap/>
      <w:overflowPunct/>
      <w:topLinePunct w:val="0"/>
      <w:autoSpaceDE/>
      <w:autoSpaceDN/>
      <w:bidi w:val="0"/>
      <w:adjustRightInd/>
      <w:snapToGrid/>
      <w:spacing w:before="100" w:beforeAutospacing="1" w:after="100" w:afterAutospacing="1" w:line="240" w:lineRule="auto"/>
      <w:ind w:leftChars="200" w:left="400" w:right="0" w:hangingChars="200" w:hanging="200"/>
      <w:jc w:val="both"/>
      <w:textAlignment w:val="auto"/>
      <w:outlineLvl w:val="9"/>
    </w:pPr>
    <w:rPr>
      <w:rFonts w:ascii="Calibri" w:eastAsia="宋体" w:cs="Times New Roman" w:hAnsi="Calibri"/>
      <w:snapToGrid/>
      <w:color w:val="auto"/>
      <w:spacing w:val="0"/>
      <w:w w:val="100"/>
      <w:kern w:val="2"/>
      <w:position w:val="0"/>
      <w:sz w:val="21"/>
      <w:szCs w:val="21"/>
      <w:u w:val="none" w:color="auto"/>
      <w:vertAlign w:val="baseline"/>
      <w:lang w:val="en-US" w:eastAsia="zh-CN" w:bidi="ar-SA"/>
    </w:rPr>
  </w:style>
  <w:style w:type="paragraph" w:styleId="16">
    <w:name w:val="index 5"/>
    <w:basedOn w:val="0"/>
    <w:next w:val="0"/>
    <w:pPr>
      <w:ind w:left="1680"/>
    </w:pPr>
  </w:style>
  <w:style w:type="paragraph" w:styleId="17">
    <w:name w:val="Body Text"/>
    <w:basedOn w:val="0"/>
    <w:pPr>
      <w:spacing w:after="120" w:afterAutospacing="0"/>
    </w:pPr>
  </w:style>
  <w:style w:type="paragraph" w:styleId="18">
    <w:name w:val="Body Text 2"/>
    <w:basedOn w:val="0"/>
    <w:rPr>
      <w:sz w:val="28"/>
    </w:rPr>
  </w:style>
  <w:style w:type="paragraph" w:styleId="19">
    <w:name w:val="Body Text Indent"/>
    <w:basedOn w:val="18"/>
    <w:pPr>
      <w:ind w:firstLineChars="200" w:firstLine="200"/>
    </w:pPr>
    <w:rPr>
      <w:rFonts w:ascii="宋体" w:hAnsi="宋体"/>
    </w:rPr>
  </w:style>
  <w:style w:type="paragraph" w:styleId="20">
    <w:name w:val="footer"/>
    <w:basedOn w:val="0"/>
    <w:pPr>
      <w:tabs>
        <w:tab w:val="center" w:pos="4153"/>
        <w:tab w:val="right" w:pos="8306"/>
      </w:tabs>
      <w:snapToGrid w:val="0"/>
      <w:jc w:val="left"/>
    </w:pPr>
    <w:rPr>
      <w:sz w:val="18"/>
    </w:rPr>
  </w:style>
  <w:style w:type="paragraph" w:styleId="21">
    <w:name w:val="Body Text First Indent 2"/>
    <w:basedOn w:val="19"/>
  </w:style>
  <w:style w:type="paragraph" w:styleId="22">
    <w:name w:val="header"/>
    <w:basedOn w:val="0"/>
    <w:pPr>
      <w:pBdr>
        <w:top w:val="none" w:sz="0" w:space="0" w:color="auto"/>
        <w:left w:val="none" w:sz="0" w:space="0" w:color="auto"/>
        <w:bottom w:val="none" w:sz="0" w:space="0" w:color="auto"/>
        <w:right w:val="none" w:sz="0" w:space="0" w:color="auto"/>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12</TotalTime>
  <Application>Yozo_Office27021597764231179</Application>
  <Pages>1</Pages>
  <Words>27</Words>
  <Characters>30</Characters>
  <Lines>2</Lines>
  <Paragraphs>1</Paragraphs>
  <CharactersWithSpaces>30</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Seven-nine </dc:creator>
  <cp:lastModifiedBy>user</cp:lastModifiedBy>
  <cp:revision>1</cp:revision>
  <cp:lastPrinted>2024-01-08T08:48:00Z</cp:lastPrinted>
  <dcterms:created xsi:type="dcterms:W3CDTF">2022-04-26T08:20:00Z</dcterms:created>
  <dcterms:modified xsi:type="dcterms:W3CDTF">2024-08-12T09:10:26Z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2052-11.1.0.7832</vt:lpwstr>
  </property>
  <property fmtid="{D5CDD505-2E9C-101B-9397-08002B2CF9AE}" pid="3" name="ICV">
    <vt:lpwstr>CC1DDB50708D418FB33D52F99E3893E3</vt:lpwstr>
  </property>
</Properties>
</file>