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金川县财政局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lang w:eastAsia="zh-CN"/>
        </w:rPr>
      </w:pPr>
      <w:r>
        <w:rPr>
          <w:rFonts w:hint="eastAsia" w:ascii="方正小标宋简体" w:hAnsi="方正小标宋简体" w:eastAsia="方正小标宋简体" w:cs="方正小标宋简体"/>
          <w:sz w:val="44"/>
          <w:szCs w:val="44"/>
          <w:lang w:val="en-US" w:eastAsia="zh-CN"/>
        </w:rPr>
        <w:t>关于2023年预算绩效管理工作开展情况</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jc w:val="both"/>
        <w:textAlignment w:val="auto"/>
        <w:rPr>
          <w:rFonts w:hint="default" w:ascii="Times New Roman" w:hAnsi="Times New Roman" w:eastAsia="仿宋_GB2312" w:cs="Times New Roman"/>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今年以来，我局继续深入贯彻落实《中共四川省委办公厅 四川省人民政府办公厅关于深入实施预算绩效管理的通知》（川委厅〔2022〕5号）文件要求，切实推动全县预算绩效管理进一步提质增效，我县本年预算绩效管理工作开展情况如下：</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right="0" w:rightChars="0" w:firstLine="632" w:firstLineChars="200"/>
        <w:jc w:val="left"/>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工作开展情况</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right="0" w:rightChars="0" w:firstLine="632" w:firstLineChars="200"/>
        <w:jc w:val="left"/>
        <w:textAlignment w:val="auto"/>
        <w:outlineLvl w:val="9"/>
        <w:rPr>
          <w:rFonts w:hint="default" w:ascii="Times New Roman" w:hAnsi="Times New Roman" w:eastAsia="楷体" w:cs="Times New Roman"/>
          <w:b/>
          <w:bCs/>
          <w:sz w:val="32"/>
          <w:szCs w:val="32"/>
          <w:lang w:val="en-US" w:eastAsia="zh-CN"/>
        </w:rPr>
      </w:pPr>
      <w:r>
        <w:rPr>
          <w:rFonts w:hint="default" w:ascii="Times New Roman" w:hAnsi="Times New Roman" w:eastAsia="楷体" w:cs="Times New Roman"/>
          <w:b/>
          <w:bCs/>
          <w:sz w:val="32"/>
          <w:szCs w:val="32"/>
          <w:lang w:val="en-US" w:eastAsia="zh-CN"/>
        </w:rPr>
        <w:t>（一）完善制度建设，压实</w:t>
      </w:r>
      <w:bookmarkStart w:id="0" w:name="_GoBack"/>
      <w:bookmarkEnd w:id="0"/>
      <w:r>
        <w:rPr>
          <w:rFonts w:hint="default" w:ascii="Times New Roman" w:hAnsi="Times New Roman" w:eastAsia="楷体" w:cs="Times New Roman"/>
          <w:b/>
          <w:bCs/>
          <w:sz w:val="32"/>
          <w:szCs w:val="32"/>
          <w:lang w:val="en-US" w:eastAsia="zh-CN"/>
        </w:rPr>
        <w:t>主体责任。</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firstLine="632"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一是</w:t>
      </w:r>
      <w:r>
        <w:rPr>
          <w:rFonts w:hint="default" w:ascii="Times New Roman" w:hAnsi="Times New Roman" w:eastAsia="仿宋_GB2312" w:cs="Times New Roman"/>
          <w:b w:val="0"/>
          <w:bCs w:val="0"/>
          <w:sz w:val="32"/>
          <w:szCs w:val="32"/>
          <w:lang w:val="en-US" w:eastAsia="zh-CN"/>
        </w:rPr>
        <w:t>根据</w:t>
      </w:r>
      <w:r>
        <w:rPr>
          <w:rFonts w:hint="default" w:ascii="Times New Roman" w:hAnsi="Times New Roman" w:eastAsia="仿宋_GB2312" w:cs="Times New Roman"/>
          <w:color w:val="auto"/>
          <w:kern w:val="2"/>
          <w:sz w:val="32"/>
          <w:szCs w:val="32"/>
          <w:u w:val="none"/>
          <w:vertAlign w:val="baseline"/>
          <w:lang w:val="en-US" w:eastAsia="zh-CN" w:bidi="ar-SA"/>
        </w:rPr>
        <w:t>《</w:t>
      </w:r>
      <w:r>
        <w:rPr>
          <w:rFonts w:hint="default" w:ascii="Times New Roman" w:hAnsi="Times New Roman" w:eastAsia="仿宋_GB2312" w:cs="Times New Roman"/>
          <w:sz w:val="32"/>
          <w:szCs w:val="32"/>
          <w:u w:val="none"/>
        </w:rPr>
        <w:t>阿坝州州级预算绩效运行监控管理办法》</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阿州财绩〔</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u w:val="none"/>
        </w:rPr>
        <w:t>〕</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u w:val="none"/>
        </w:rPr>
        <w:t>号</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color w:val="auto"/>
          <w:kern w:val="2"/>
          <w:sz w:val="32"/>
          <w:szCs w:val="32"/>
          <w:u w:val="none"/>
          <w:vertAlign w:val="baseline"/>
          <w:lang w:val="en-US" w:eastAsia="zh-CN" w:bidi="ar-SA"/>
        </w:rPr>
        <w:t>文件，</w:t>
      </w:r>
      <w:r>
        <w:rPr>
          <w:rFonts w:hint="default" w:ascii="Times New Roman" w:hAnsi="Times New Roman" w:eastAsia="仿宋_GB2312" w:cs="Times New Roman"/>
          <w:sz w:val="32"/>
          <w:szCs w:val="32"/>
        </w:rPr>
        <w:t>结合我</w:t>
      </w:r>
      <w:r>
        <w:rPr>
          <w:rFonts w:hint="default" w:ascii="Times New Roman" w:hAnsi="Times New Roman" w:eastAsia="仿宋_GB2312" w:cs="Times New Roman"/>
          <w:sz w:val="32"/>
          <w:szCs w:val="32"/>
          <w:lang w:eastAsia="zh-CN"/>
        </w:rPr>
        <w:t>县</w:t>
      </w:r>
      <w:r>
        <w:rPr>
          <w:rFonts w:hint="default" w:ascii="Times New Roman" w:hAnsi="Times New Roman" w:eastAsia="仿宋_GB2312" w:cs="Times New Roman"/>
          <w:sz w:val="32"/>
          <w:szCs w:val="32"/>
        </w:rPr>
        <w:t>实际</w:t>
      </w:r>
      <w:r>
        <w:rPr>
          <w:rFonts w:hint="default" w:ascii="Times New Roman" w:hAnsi="Times New Roman" w:eastAsia="仿宋_GB2312" w:cs="Times New Roman"/>
          <w:sz w:val="32"/>
          <w:szCs w:val="32"/>
          <w:lang w:eastAsia="zh-CN"/>
        </w:rPr>
        <w:t>，制定了《金川县县级预算绩效运行监控管理办法》</w:t>
      </w:r>
      <w:r>
        <w:rPr>
          <w:rFonts w:hint="default" w:ascii="Times New Roman" w:hAnsi="Times New Roman" w:eastAsia="仿宋_GB2312" w:cs="Times New Roman"/>
          <w:sz w:val="32"/>
          <w:szCs w:val="32"/>
          <w:lang w:val="en-US" w:eastAsia="zh-CN"/>
        </w:rPr>
        <w:t>（金财监绩〔2023〕2号），明确了</w:t>
      </w:r>
      <w:r>
        <w:rPr>
          <w:rFonts w:hint="default" w:ascii="Times New Roman" w:hAnsi="Times New Roman" w:eastAsia="仿宋_GB2312" w:cs="Times New Roman"/>
          <w:sz w:val="32"/>
          <w:szCs w:val="32"/>
          <w:lang w:eastAsia="zh-CN"/>
        </w:rPr>
        <w:t>预算绩效运行监控的对象、内容、方式以及</w:t>
      </w:r>
      <w:r>
        <w:rPr>
          <w:rFonts w:hint="default" w:ascii="Times New Roman" w:hAnsi="Times New Roman" w:eastAsia="仿宋_GB2312" w:cs="Times New Roman"/>
          <w:sz w:val="32"/>
          <w:szCs w:val="32"/>
          <w:lang w:val="en-US" w:eastAsia="zh-CN"/>
        </w:rPr>
        <w:t>财政部门与各预算部门（单位）的职能职责，使</w:t>
      </w:r>
      <w:r>
        <w:rPr>
          <w:rFonts w:hint="default" w:ascii="Times New Roman" w:hAnsi="Times New Roman" w:eastAsia="仿宋_GB2312" w:cs="Times New Roman"/>
          <w:sz w:val="32"/>
          <w:szCs w:val="32"/>
          <w:lang w:eastAsia="zh-CN"/>
        </w:rPr>
        <w:t>预算绩效运行监控工作</w:t>
      </w:r>
      <w:r>
        <w:rPr>
          <w:rFonts w:hint="default" w:ascii="Times New Roman" w:hAnsi="Times New Roman" w:eastAsia="仿宋_GB2312" w:cs="Times New Roman"/>
          <w:sz w:val="32"/>
          <w:szCs w:val="32"/>
          <w:lang w:val="en-US" w:eastAsia="zh-CN"/>
        </w:rPr>
        <w:t>有据可依，指引工作顺利开展。</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right="0" w:rightChars="0" w:firstLine="632"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sz w:val="32"/>
          <w:szCs w:val="32"/>
          <w:lang w:val="en-US" w:eastAsia="zh-CN"/>
        </w:rPr>
        <w:t>二是</w:t>
      </w:r>
      <w:r>
        <w:rPr>
          <w:rFonts w:hint="default" w:ascii="Times New Roman" w:hAnsi="Times New Roman" w:eastAsia="仿宋_GB2312" w:cs="Times New Roman"/>
          <w:sz w:val="32"/>
          <w:szCs w:val="32"/>
          <w:lang w:val="en-US" w:eastAsia="zh-CN"/>
        </w:rPr>
        <w:t>根据《阿坝州州级财政预算绩效结果应用管理办法》(阿州财办〔2022〕11号)，结合我县实际，制定了《金川县县级财政预算绩效结果应用管理办法》（金财监绩〔2023〕3号），为进一步建立科学、规范、高效的项目资金使用和管理提供制度保障。</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right="0" w:rightChars="0" w:firstLine="632" w:firstLineChars="200"/>
        <w:jc w:val="left"/>
        <w:textAlignment w:val="auto"/>
        <w:outlineLvl w:val="9"/>
        <w:rPr>
          <w:rFonts w:hint="default" w:ascii="Times New Roman" w:hAnsi="Times New Roman" w:eastAsia="楷体" w:cs="Times New Roman"/>
          <w:b/>
          <w:bCs/>
          <w:sz w:val="32"/>
          <w:szCs w:val="32"/>
          <w:lang w:val="en-US" w:eastAsia="zh-CN"/>
        </w:rPr>
      </w:pPr>
      <w:r>
        <w:rPr>
          <w:rFonts w:hint="default" w:ascii="Times New Roman" w:hAnsi="Times New Roman" w:eastAsia="楷体" w:cs="Times New Roman"/>
          <w:b/>
          <w:bCs/>
          <w:sz w:val="32"/>
          <w:szCs w:val="32"/>
          <w:lang w:val="en-US" w:eastAsia="zh-CN"/>
        </w:rPr>
        <w:t>（二）持续优化绩效管理闭环。</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right="0" w:rightChars="0" w:firstLine="631"/>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黑体" w:cs="Times New Roman"/>
          <w:sz w:val="32"/>
          <w:szCs w:val="32"/>
          <w:lang w:val="en-US" w:eastAsia="zh-CN"/>
        </w:rPr>
        <w:t xml:space="preserve"> </w:t>
      </w:r>
      <w:r>
        <w:rPr>
          <w:rFonts w:hint="default" w:ascii="Times New Roman" w:hAnsi="Times New Roman" w:eastAsia="仿宋_GB2312" w:cs="Times New Roman"/>
          <w:b w:val="0"/>
          <w:bCs w:val="0"/>
          <w:color w:val="000000"/>
          <w:kern w:val="2"/>
          <w:sz w:val="32"/>
          <w:szCs w:val="32"/>
          <w:lang w:val="en-US" w:eastAsia="zh-CN" w:bidi="ar-SA"/>
        </w:rPr>
        <w:t>1.</w:t>
      </w:r>
      <w:r>
        <w:rPr>
          <w:rFonts w:hint="default" w:ascii="Times New Roman" w:hAnsi="Times New Roman" w:eastAsia="仿宋_GB2312" w:cs="Times New Roman"/>
          <w:b/>
          <w:bCs/>
          <w:color w:val="000000"/>
          <w:kern w:val="2"/>
          <w:sz w:val="32"/>
          <w:szCs w:val="32"/>
          <w:lang w:val="en-US" w:eastAsia="zh-CN" w:bidi="ar-SA"/>
        </w:rPr>
        <w:t>切实前移绩效管理关口。</w:t>
      </w:r>
      <w:r>
        <w:rPr>
          <w:rFonts w:hint="default" w:ascii="Times New Roman" w:hAnsi="Times New Roman" w:eastAsia="仿宋_GB2312" w:cs="Times New Roman"/>
          <w:sz w:val="32"/>
          <w:szCs w:val="32"/>
          <w:lang w:val="en-US" w:eastAsia="zh-CN"/>
        </w:rPr>
        <w:t>充分发挥绩效目标的前置引领和过程约束作用，借助预算一体化平台将项目绩效目标作为单位预算项目的前置条件，对所有单位预算项目的绩效目标进行审核，做到绩效目标细化、量化与预算安排相匹配，对绩效目标不细不实的不予入库、不予安排预算。组织指导单位编制了2024年年初预算的172个项目的绩效目标和89个部门整体绩效目标。</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jc w:val="both"/>
        <w:textAlignment w:val="auto"/>
        <w:rPr>
          <w:rFonts w:hint="default" w:ascii="Times New Roman" w:hAnsi="Times New Roman" w:eastAsia="仿宋_GB2312" w:cs="Times New Roman"/>
          <w:kern w:val="2"/>
          <w:sz w:val="32"/>
          <w:szCs w:val="32"/>
          <w:lang w:val="en-US" w:eastAsia="zh-CN" w:bidi="ar-SA"/>
        </w:rPr>
      </w:pPr>
      <w:r>
        <w:rPr>
          <w:rFonts w:hint="eastAsia" w:cs="Times New Roman"/>
          <w:sz w:val="32"/>
          <w:szCs w:val="32"/>
          <w:lang w:val="en-US" w:eastAsia="zh-CN"/>
        </w:rPr>
        <w:t>2.</w:t>
      </w:r>
      <w:r>
        <w:rPr>
          <w:rFonts w:hint="default" w:ascii="Times New Roman" w:hAnsi="Times New Roman" w:eastAsia="仿宋_GB2312" w:cs="Times New Roman"/>
          <w:b/>
          <w:bCs/>
          <w:color w:val="000000"/>
          <w:kern w:val="2"/>
          <w:sz w:val="32"/>
          <w:szCs w:val="32"/>
          <w:lang w:val="en-US" w:eastAsia="zh-CN" w:bidi="ar-SA"/>
        </w:rPr>
        <w:t>持续扩大项目事前绩效评估覆盖面</w:t>
      </w:r>
      <w:r>
        <w:rPr>
          <w:rFonts w:hint="default" w:ascii="Times New Roman" w:hAnsi="Times New Roman" w:eastAsia="仿宋_GB2312" w:cs="Times New Roman"/>
          <w:kern w:val="2"/>
          <w:sz w:val="32"/>
          <w:szCs w:val="24"/>
          <w:lang w:val="en-US" w:eastAsia="zh-CN" w:bidi="ar-SA"/>
        </w:rPr>
        <w:t>。</w:t>
      </w:r>
      <w:r>
        <w:rPr>
          <w:rFonts w:hint="default" w:ascii="Times New Roman" w:hAnsi="Times New Roman" w:eastAsia="仿宋_GB2312" w:cs="Times New Roman"/>
          <w:kern w:val="2"/>
          <w:sz w:val="32"/>
          <w:szCs w:val="32"/>
          <w:lang w:val="en-US" w:eastAsia="zh-CN" w:bidi="ar-SA"/>
        </w:rPr>
        <w:t>按照《金川县县级预算事前绩效评估管理暂行办法》（</w:t>
      </w:r>
      <w:r>
        <w:rPr>
          <w:rFonts w:hint="default" w:ascii="Times New Roman" w:hAnsi="Times New Roman" w:eastAsia="仿宋_GB2312" w:cs="Times New Roman"/>
          <w:sz w:val="32"/>
          <w:szCs w:val="32"/>
        </w:rPr>
        <w:t>金财监绩〔</w:t>
      </w: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48</w:t>
      </w:r>
      <w:r>
        <w:rPr>
          <w:rFonts w:hint="default" w:ascii="Times New Roman" w:hAnsi="Times New Roman" w:eastAsia="仿宋_GB2312" w:cs="Times New Roman"/>
          <w:sz w:val="32"/>
          <w:szCs w:val="32"/>
        </w:rPr>
        <w:t>号</w:t>
      </w:r>
      <w:r>
        <w:rPr>
          <w:rFonts w:hint="default" w:ascii="Times New Roman" w:hAnsi="Times New Roman" w:eastAsia="仿宋_GB2312" w:cs="Times New Roman"/>
          <w:kern w:val="2"/>
          <w:sz w:val="32"/>
          <w:szCs w:val="32"/>
          <w:lang w:val="en-US" w:eastAsia="zh-CN" w:bidi="ar-SA"/>
        </w:rPr>
        <w:t>）和《金川县人民政府贯彻落实&lt;</w:t>
      </w:r>
      <w:r>
        <w:rPr>
          <w:rFonts w:hint="default" w:ascii="Times New Roman" w:hAnsi="Times New Roman" w:eastAsia="仿宋_GB2312" w:cs="Times New Roman"/>
          <w:sz w:val="32"/>
          <w:szCs w:val="32"/>
        </w:rPr>
        <w:t>中共四川省委办公厅</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四川省人民政府办公厅关于深入推进实施预算绩效管理的通知</w:t>
      </w:r>
      <w:r>
        <w:rPr>
          <w:rFonts w:hint="default" w:ascii="Times New Roman" w:hAnsi="Times New Roman" w:eastAsia="仿宋_GB2312" w:cs="Times New Roman"/>
          <w:sz w:val="32"/>
          <w:szCs w:val="32"/>
          <w:lang w:val="en-US" w:eastAsia="zh-CN"/>
        </w:rPr>
        <w:t>&gt;的实施方案》（金川府办发</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60号）要求，</w:t>
      </w:r>
      <w:r>
        <w:rPr>
          <w:rFonts w:hint="default" w:ascii="Times New Roman" w:hAnsi="Times New Roman" w:eastAsia="仿宋_GB2312" w:cs="Times New Roman"/>
          <w:kern w:val="2"/>
          <w:sz w:val="32"/>
          <w:szCs w:val="32"/>
          <w:lang w:val="en-US" w:eastAsia="zh-CN" w:bidi="ar-SA"/>
        </w:rPr>
        <w:t>借助预算一体化平台，实现单位预算项目事前绩效评估全覆盖。在单位自行开展项目自行评估的基础上，根据</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kern w:val="2"/>
          <w:sz w:val="32"/>
          <w:szCs w:val="32"/>
          <w:lang w:val="en-US" w:eastAsia="zh-CN" w:bidi="ar-SA"/>
        </w:rPr>
        <w:t>年度预算安排，财政选取了</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kern w:val="2"/>
          <w:sz w:val="32"/>
          <w:szCs w:val="32"/>
          <w:lang w:val="en-US" w:eastAsia="zh-CN" w:bidi="ar-SA"/>
        </w:rPr>
        <w:t>年新增项目和</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kern w:val="2"/>
          <w:sz w:val="32"/>
          <w:szCs w:val="32"/>
          <w:lang w:val="en-US" w:eastAsia="zh-CN" w:bidi="ar-SA"/>
        </w:rPr>
        <w:t>个年增长</w:t>
      </w:r>
      <w:r>
        <w:rPr>
          <w:rFonts w:hint="default" w:ascii="Times New Roman" w:hAnsi="Times New Roman" w:eastAsia="仿宋_GB2312" w:cs="Times New Roman"/>
          <w:sz w:val="32"/>
          <w:szCs w:val="32"/>
          <w:lang w:val="en-US" w:eastAsia="zh-CN"/>
        </w:rPr>
        <w:t>45%</w:t>
      </w:r>
      <w:r>
        <w:rPr>
          <w:rFonts w:hint="default" w:ascii="Times New Roman" w:hAnsi="Times New Roman" w:eastAsia="仿宋_GB2312" w:cs="Times New Roman"/>
          <w:kern w:val="2"/>
          <w:sz w:val="32"/>
          <w:szCs w:val="32"/>
          <w:lang w:val="en-US" w:eastAsia="zh-CN" w:bidi="ar-SA"/>
        </w:rPr>
        <w:t>以上的项目，委托三方开展项目事前绩效评估，涉及资金</w:t>
      </w:r>
      <w:r>
        <w:rPr>
          <w:rFonts w:hint="default" w:ascii="Times New Roman" w:hAnsi="Times New Roman" w:eastAsia="仿宋_GB2312" w:cs="Times New Roman"/>
          <w:sz w:val="32"/>
          <w:szCs w:val="32"/>
          <w:lang w:val="en-US" w:eastAsia="zh-CN"/>
        </w:rPr>
        <w:t>2752.16</w:t>
      </w:r>
      <w:r>
        <w:rPr>
          <w:rFonts w:hint="default" w:ascii="Times New Roman" w:hAnsi="Times New Roman" w:eastAsia="仿宋_GB2312" w:cs="Times New Roman"/>
          <w:kern w:val="2"/>
          <w:sz w:val="32"/>
          <w:szCs w:val="32"/>
          <w:lang w:val="en-US" w:eastAsia="zh-CN" w:bidi="ar-SA"/>
        </w:rPr>
        <w:t>万元。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jc w:val="both"/>
        <w:textAlignment w:val="auto"/>
        <w:rPr>
          <w:rFonts w:hint="default" w:ascii="Times New Roman" w:hAnsi="Times New Roman" w:eastAsia="仿宋_GB2312" w:cs="Times New Roman"/>
          <w:i w:val="0"/>
          <w:color w:val="000000"/>
          <w:sz w:val="32"/>
          <w:szCs w:val="32"/>
          <w:lang w:val="en-US"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b/>
          <w:bCs/>
          <w:color w:val="000000"/>
          <w:kern w:val="2"/>
          <w:sz w:val="32"/>
          <w:szCs w:val="32"/>
          <w:lang w:val="en-US" w:eastAsia="zh-CN" w:bidi="ar-SA"/>
        </w:rPr>
        <w:t>.全面实施绩效运行监控</w:t>
      </w:r>
      <w:r>
        <w:rPr>
          <w:rFonts w:hint="default" w:ascii="Times New Roman" w:hAnsi="Times New Roman" w:eastAsia="楷体_GB2312" w:cs="Times New Roman"/>
          <w:b/>
          <w:bCs/>
          <w:color w:val="000000"/>
          <w:kern w:val="2"/>
          <w:sz w:val="32"/>
          <w:szCs w:val="32"/>
          <w:lang w:val="en-US" w:eastAsia="zh-CN" w:bidi="ar-SA"/>
        </w:rPr>
        <w:t>。</w:t>
      </w:r>
      <w:r>
        <w:rPr>
          <w:rFonts w:hint="default" w:ascii="Times New Roman" w:hAnsi="Times New Roman" w:eastAsia="仿宋_GB2312" w:cs="Times New Roman"/>
          <w:i w:val="0"/>
          <w:color w:val="000000"/>
          <w:sz w:val="32"/>
          <w:szCs w:val="32"/>
          <w:lang w:eastAsia="zh-CN"/>
        </w:rPr>
        <w:t>根据《阿坝州财政局关于开展</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i w:val="0"/>
          <w:color w:val="000000"/>
          <w:sz w:val="32"/>
          <w:szCs w:val="32"/>
          <w:lang w:val="en-US" w:eastAsia="zh-CN"/>
        </w:rPr>
        <w:t>年度州级预算绩效运行监控管理工作的通知</w:t>
      </w:r>
      <w:r>
        <w:rPr>
          <w:rFonts w:hint="default" w:ascii="Times New Roman" w:hAnsi="Times New Roman" w:eastAsia="仿宋_GB2312" w:cs="Times New Roman"/>
          <w:i w:val="0"/>
          <w:color w:val="000000"/>
          <w:sz w:val="32"/>
          <w:szCs w:val="32"/>
          <w:lang w:eastAsia="zh-CN"/>
        </w:rPr>
        <w:t>》</w:t>
      </w:r>
      <w:r>
        <w:rPr>
          <w:rFonts w:hint="default" w:ascii="Times New Roman" w:hAnsi="Times New Roman" w:eastAsia="仿宋_GB2312" w:cs="Times New Roman"/>
          <w:i w:val="0"/>
          <w:color w:val="000000"/>
          <w:sz w:val="32"/>
          <w:szCs w:val="32"/>
        </w:rPr>
        <w:t>（</w:t>
      </w:r>
      <w:r>
        <w:rPr>
          <w:rFonts w:hint="default" w:ascii="Times New Roman" w:hAnsi="Times New Roman" w:eastAsia="仿宋_GB2312" w:cs="Times New Roman"/>
          <w:i w:val="0"/>
          <w:color w:val="000000"/>
          <w:sz w:val="32"/>
          <w:szCs w:val="32"/>
          <w:lang w:eastAsia="zh-CN"/>
        </w:rPr>
        <w:t>阿州财监绩</w:t>
      </w:r>
      <w:r>
        <w:rPr>
          <w:rFonts w:hint="default" w:ascii="Times New Roman" w:hAnsi="Times New Roman" w:eastAsia="仿宋_GB2312" w:cs="Times New Roman"/>
          <w:sz w:val="32"/>
          <w:szCs w:val="32"/>
          <w:lang w:val="en-US" w:eastAsia="zh-CN"/>
        </w:rPr>
        <w:t>〔2023〕22</w:t>
      </w:r>
      <w:r>
        <w:rPr>
          <w:rFonts w:hint="default" w:ascii="Times New Roman" w:hAnsi="Times New Roman" w:eastAsia="仿宋_GB2312" w:cs="Times New Roman"/>
          <w:i w:val="0"/>
          <w:color w:val="000000"/>
          <w:sz w:val="32"/>
          <w:szCs w:val="32"/>
          <w:lang w:val="en-US" w:eastAsia="zh-CN"/>
        </w:rPr>
        <w:t>号</w:t>
      </w:r>
      <w:r>
        <w:rPr>
          <w:rFonts w:hint="default" w:ascii="Times New Roman" w:hAnsi="Times New Roman" w:eastAsia="仿宋_GB2312" w:cs="Times New Roman"/>
          <w:bCs/>
          <w:color w:val="000000"/>
          <w:sz w:val="32"/>
          <w:szCs w:val="32"/>
          <w:lang w:val="en-US" w:eastAsia="zh-CN" w:bidi="ar-SA"/>
        </w:rPr>
        <w:t>）</w:t>
      </w:r>
      <w:r>
        <w:rPr>
          <w:rFonts w:hint="default" w:ascii="Times New Roman" w:hAnsi="Times New Roman" w:eastAsia="仿宋_GB2312" w:cs="Times New Roman"/>
          <w:i w:val="0"/>
          <w:color w:val="000000"/>
          <w:sz w:val="32"/>
          <w:szCs w:val="32"/>
        </w:rPr>
        <w:t>要求</w:t>
      </w:r>
      <w:r>
        <w:rPr>
          <w:rFonts w:hint="default" w:ascii="Times New Roman" w:hAnsi="Times New Roman" w:eastAsia="仿宋_GB2312" w:cs="Times New Roman"/>
          <w:i w:val="0"/>
          <w:color w:val="000000"/>
          <w:sz w:val="32"/>
          <w:szCs w:val="32"/>
          <w:lang w:eastAsia="zh-CN"/>
        </w:rPr>
        <w:t>，我局印发了《</w:t>
      </w:r>
      <w:r>
        <w:rPr>
          <w:rFonts w:hint="default" w:ascii="Times New Roman" w:hAnsi="Times New Roman" w:eastAsia="仿宋_GB2312" w:cs="Times New Roman"/>
          <w:i w:val="0"/>
          <w:color w:val="000000"/>
          <w:sz w:val="32"/>
          <w:szCs w:val="32"/>
          <w:lang w:val="en-US" w:eastAsia="zh-CN"/>
        </w:rPr>
        <w:t>金川县财政局关于开展</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i w:val="0"/>
          <w:color w:val="000000"/>
          <w:sz w:val="32"/>
          <w:szCs w:val="32"/>
          <w:lang w:val="en-US" w:eastAsia="zh-CN"/>
        </w:rPr>
        <w:t>年度县级预算绩效运行监控管理工作的通知》（金财监绩〔</w:t>
      </w:r>
      <w:r>
        <w:rPr>
          <w:rFonts w:hint="default" w:ascii="Times New Roman" w:hAnsi="Times New Roman" w:eastAsia="仿宋_GB2312" w:cs="Times New Roman"/>
          <w:sz w:val="32"/>
          <w:szCs w:val="32"/>
          <w:lang w:val="en-US" w:eastAsia="zh-CN"/>
        </w:rPr>
        <w:t>2023〕37</w:t>
      </w:r>
      <w:r>
        <w:rPr>
          <w:rFonts w:hint="default" w:ascii="Times New Roman" w:hAnsi="Times New Roman" w:eastAsia="仿宋_GB2312" w:cs="Times New Roman"/>
          <w:i w:val="0"/>
          <w:color w:val="000000"/>
          <w:sz w:val="32"/>
          <w:szCs w:val="32"/>
          <w:lang w:val="en-US" w:eastAsia="zh-CN"/>
        </w:rPr>
        <w:t>号）</w:t>
      </w:r>
      <w:r>
        <w:rPr>
          <w:rFonts w:hint="default" w:ascii="Times New Roman" w:hAnsi="Times New Roman" w:eastAsia="仿宋_GB2312" w:cs="Times New Roman"/>
          <w:i w:val="0"/>
          <w:color w:val="000000"/>
          <w:sz w:val="32"/>
          <w:szCs w:val="32"/>
          <w:lang w:eastAsia="zh-CN"/>
        </w:rPr>
        <w:t>，明确了监控</w:t>
      </w:r>
      <w:r>
        <w:rPr>
          <w:rFonts w:hint="default" w:ascii="Times New Roman" w:hAnsi="Times New Roman" w:eastAsia="仿宋_GB2312" w:cs="Times New Roman"/>
          <w:b w:val="0"/>
          <w:bCs/>
          <w:color w:val="auto"/>
          <w:kern w:val="2"/>
          <w:sz w:val="32"/>
          <w:szCs w:val="32"/>
          <w:lang w:val="en-US" w:eastAsia="zh-CN" w:bidi="ar-SA"/>
        </w:rPr>
        <w:t>范围</w:t>
      </w:r>
      <w:r>
        <w:rPr>
          <w:rFonts w:hint="default" w:ascii="Times New Roman" w:hAnsi="Times New Roman" w:eastAsia="仿宋_GB2312" w:cs="Times New Roman"/>
          <w:b/>
          <w:color w:val="auto"/>
          <w:kern w:val="2"/>
          <w:sz w:val="32"/>
          <w:szCs w:val="32"/>
          <w:lang w:val="en-US" w:eastAsia="zh-CN" w:bidi="ar-SA"/>
        </w:rPr>
        <w:t>、</w:t>
      </w:r>
      <w:r>
        <w:rPr>
          <w:rFonts w:hint="default" w:ascii="Times New Roman" w:hAnsi="Times New Roman" w:eastAsia="仿宋_GB2312" w:cs="Times New Roman"/>
          <w:b w:val="0"/>
          <w:bCs/>
          <w:color w:val="auto"/>
          <w:kern w:val="2"/>
          <w:sz w:val="32"/>
          <w:szCs w:val="32"/>
          <w:lang w:val="en-US" w:eastAsia="zh-CN" w:bidi="ar-SA"/>
        </w:rPr>
        <w:t>方式、对象和工作要求，</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i w:val="0"/>
          <w:color w:val="000000"/>
          <w:sz w:val="32"/>
          <w:szCs w:val="32"/>
          <w:lang w:val="en-US" w:eastAsia="zh-CN"/>
        </w:rPr>
        <w:t>月</w:t>
      </w:r>
      <w:r>
        <w:rPr>
          <w:rFonts w:hint="default" w:ascii="Times New Roman" w:hAnsi="Times New Roman" w:eastAsia="仿宋_GB2312" w:cs="Times New Roman"/>
          <w:sz w:val="32"/>
          <w:szCs w:val="32"/>
          <w:lang w:val="en-US" w:eastAsia="zh-CN"/>
        </w:rPr>
        <w:t>30</w:t>
      </w:r>
      <w:r>
        <w:rPr>
          <w:rFonts w:hint="default" w:ascii="Times New Roman" w:hAnsi="Times New Roman" w:eastAsia="仿宋_GB2312" w:cs="Times New Roman"/>
          <w:i w:val="0"/>
          <w:color w:val="000000"/>
          <w:sz w:val="32"/>
          <w:szCs w:val="32"/>
          <w:lang w:val="en-US" w:eastAsia="zh-CN"/>
        </w:rPr>
        <w:t>日前全县</w:t>
      </w:r>
      <w:r>
        <w:rPr>
          <w:rFonts w:hint="default" w:ascii="Times New Roman" w:hAnsi="Times New Roman" w:eastAsia="仿宋_GB2312" w:cs="Times New Roman"/>
          <w:i w:val="0"/>
          <w:color w:val="000000"/>
          <w:sz w:val="32"/>
          <w:szCs w:val="32"/>
        </w:rPr>
        <w:t>各</w:t>
      </w:r>
      <w:r>
        <w:rPr>
          <w:rFonts w:hint="default" w:ascii="Times New Roman" w:hAnsi="Times New Roman" w:eastAsia="仿宋_GB2312" w:cs="Times New Roman"/>
          <w:i w:val="0"/>
          <w:color w:val="000000"/>
          <w:sz w:val="32"/>
          <w:szCs w:val="32"/>
          <w:lang w:eastAsia="zh-CN"/>
        </w:rPr>
        <w:t>部门</w:t>
      </w:r>
      <w:r>
        <w:rPr>
          <w:rFonts w:hint="default" w:ascii="Times New Roman" w:hAnsi="Times New Roman" w:eastAsia="仿宋_GB2312" w:cs="Times New Roman"/>
          <w:i w:val="0"/>
          <w:color w:val="000000"/>
          <w:sz w:val="32"/>
          <w:szCs w:val="32"/>
        </w:rPr>
        <w:t>在</w:t>
      </w:r>
      <w:r>
        <w:rPr>
          <w:rFonts w:hint="default" w:ascii="Times New Roman" w:hAnsi="Times New Roman" w:eastAsia="仿宋_GB2312" w:cs="Times New Roman"/>
          <w:i w:val="0"/>
          <w:color w:val="000000"/>
          <w:sz w:val="32"/>
          <w:szCs w:val="32"/>
          <w:lang w:eastAsia="zh-CN"/>
        </w:rPr>
        <w:t>“</w:t>
      </w:r>
      <w:r>
        <w:rPr>
          <w:rFonts w:hint="default" w:ascii="Times New Roman" w:hAnsi="Times New Roman" w:eastAsia="仿宋_GB2312" w:cs="Times New Roman"/>
          <w:i w:val="0"/>
          <w:color w:val="000000"/>
          <w:sz w:val="32"/>
          <w:szCs w:val="32"/>
        </w:rPr>
        <w:t>预算管理一体化系统”</w:t>
      </w:r>
      <w:r>
        <w:rPr>
          <w:rFonts w:hint="default" w:ascii="Times New Roman" w:hAnsi="Times New Roman" w:eastAsia="仿宋_GB2312" w:cs="Times New Roman"/>
          <w:i w:val="0"/>
          <w:color w:val="000000"/>
          <w:sz w:val="32"/>
          <w:szCs w:val="32"/>
          <w:lang w:eastAsia="zh-CN"/>
        </w:rPr>
        <w:t>的“</w:t>
      </w:r>
      <w:r>
        <w:rPr>
          <w:rFonts w:hint="default" w:ascii="Times New Roman" w:hAnsi="Times New Roman" w:eastAsia="仿宋_GB2312" w:cs="Times New Roman"/>
          <w:i w:val="0"/>
          <w:color w:val="000000"/>
          <w:sz w:val="32"/>
          <w:szCs w:val="32"/>
        </w:rPr>
        <w:t>预算绩效—绩效运行监控—部门自行监控”模块对特定目标类项目</w:t>
      </w:r>
      <w:r>
        <w:rPr>
          <w:rFonts w:hint="default" w:ascii="Times New Roman" w:hAnsi="Times New Roman" w:eastAsia="仿宋_GB2312" w:cs="Times New Roman"/>
          <w:i w:val="0"/>
          <w:color w:val="000000"/>
          <w:sz w:val="32"/>
          <w:szCs w:val="32"/>
          <w:lang w:eastAsia="zh-CN"/>
        </w:rPr>
        <w:t>开展了部门自行</w:t>
      </w:r>
      <w:r>
        <w:rPr>
          <w:rFonts w:hint="default" w:ascii="Times New Roman" w:hAnsi="Times New Roman" w:eastAsia="仿宋_GB2312" w:cs="Times New Roman"/>
          <w:i w:val="0"/>
          <w:color w:val="000000"/>
          <w:sz w:val="32"/>
          <w:szCs w:val="32"/>
        </w:rPr>
        <w:t>监控</w:t>
      </w:r>
      <w:r>
        <w:rPr>
          <w:rFonts w:hint="default" w:ascii="Times New Roman" w:hAnsi="Times New Roman" w:eastAsia="仿宋_GB2312" w:cs="Times New Roman"/>
          <w:i w:val="0"/>
          <w:color w:val="000000"/>
          <w:sz w:val="32"/>
          <w:szCs w:val="32"/>
          <w:lang w:eastAsia="zh-CN"/>
        </w:rPr>
        <w:t>。</w:t>
      </w: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i w:val="0"/>
          <w:color w:val="000000"/>
          <w:sz w:val="32"/>
          <w:szCs w:val="32"/>
          <w:lang w:val="en-US" w:eastAsia="zh-CN"/>
        </w:rPr>
        <w:t>月，</w:t>
      </w:r>
      <w:r>
        <w:rPr>
          <w:rFonts w:hint="default" w:ascii="Times New Roman" w:hAnsi="Times New Roman" w:eastAsia="仿宋_GB2312" w:cs="Times New Roman"/>
          <w:i w:val="0"/>
          <w:color w:val="000000"/>
          <w:sz w:val="32"/>
          <w:szCs w:val="32"/>
        </w:rPr>
        <w:t>财政</w:t>
      </w:r>
      <w:r>
        <w:rPr>
          <w:rFonts w:hint="default" w:ascii="Times New Roman" w:hAnsi="Times New Roman" w:eastAsia="仿宋_GB2312" w:cs="Times New Roman"/>
          <w:i w:val="0"/>
          <w:color w:val="000000"/>
          <w:sz w:val="32"/>
          <w:szCs w:val="32"/>
          <w:lang w:eastAsia="zh-CN"/>
        </w:rPr>
        <w:t>各业务股室</w:t>
      </w:r>
      <w:r>
        <w:rPr>
          <w:rFonts w:hint="default" w:ascii="Times New Roman" w:hAnsi="Times New Roman" w:eastAsia="仿宋_GB2312" w:cs="Times New Roman"/>
          <w:i w:val="0"/>
          <w:color w:val="000000"/>
          <w:sz w:val="32"/>
          <w:szCs w:val="32"/>
        </w:rPr>
        <w:t>选取部分执行进度偏低的特定目标类项目</w:t>
      </w:r>
      <w:r>
        <w:rPr>
          <w:rFonts w:hint="default" w:ascii="Times New Roman" w:hAnsi="Times New Roman" w:eastAsia="仿宋_GB2312" w:cs="Times New Roman"/>
          <w:i w:val="0"/>
          <w:color w:val="000000"/>
          <w:sz w:val="32"/>
          <w:szCs w:val="32"/>
          <w:lang w:eastAsia="zh-CN"/>
        </w:rPr>
        <w:t>，开展了一般监控。</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bCs/>
          <w:color w:val="000000"/>
          <w:sz w:val="32"/>
          <w:szCs w:val="32"/>
          <w:highlight w:val="none"/>
          <w:lang w:val="en-US" w:eastAsia="zh-CN" w:bidi="ar-SA"/>
        </w:rPr>
        <w:t>月，财政</w:t>
      </w:r>
      <w:r>
        <w:rPr>
          <w:rFonts w:hint="default" w:ascii="Times New Roman" w:hAnsi="Times New Roman" w:eastAsia="仿宋_GB2312" w:cs="Times New Roman"/>
          <w:i w:val="0"/>
          <w:color w:val="000000"/>
          <w:sz w:val="32"/>
          <w:szCs w:val="32"/>
        </w:rPr>
        <w:t>监督与绩效管理</w:t>
      </w:r>
      <w:r>
        <w:rPr>
          <w:rFonts w:hint="default" w:ascii="Times New Roman" w:hAnsi="Times New Roman" w:eastAsia="仿宋_GB2312" w:cs="Times New Roman"/>
          <w:i w:val="0"/>
          <w:color w:val="000000"/>
          <w:sz w:val="32"/>
          <w:szCs w:val="32"/>
          <w:lang w:eastAsia="zh-CN"/>
        </w:rPr>
        <w:t>股</w:t>
      </w:r>
      <w:r>
        <w:rPr>
          <w:rFonts w:hint="default" w:ascii="Times New Roman" w:hAnsi="Times New Roman" w:eastAsia="仿宋_GB2312" w:cs="Times New Roman"/>
          <w:i w:val="0"/>
          <w:color w:val="000000"/>
          <w:sz w:val="32"/>
          <w:szCs w:val="32"/>
        </w:rPr>
        <w:t>选取部分执行进度偏低的特定目标类项目</w:t>
      </w:r>
      <w:r>
        <w:rPr>
          <w:rFonts w:hint="default" w:ascii="Times New Roman" w:hAnsi="Times New Roman" w:eastAsia="仿宋_GB2312" w:cs="Times New Roman"/>
          <w:i w:val="0"/>
          <w:color w:val="000000"/>
          <w:sz w:val="32"/>
          <w:szCs w:val="32"/>
          <w:lang w:eastAsia="zh-CN"/>
        </w:rPr>
        <w:t>开展了重点监控。项目总体监控率为</w:t>
      </w:r>
      <w:r>
        <w:rPr>
          <w:rFonts w:hint="default" w:ascii="Times New Roman" w:hAnsi="Times New Roman" w:eastAsia="仿宋_GB2312" w:cs="Times New Roman"/>
          <w:sz w:val="32"/>
          <w:szCs w:val="32"/>
          <w:lang w:val="en-US" w:eastAsia="zh-CN"/>
        </w:rPr>
        <w:t>99%</w:t>
      </w:r>
      <w:r>
        <w:rPr>
          <w:rFonts w:hint="default" w:ascii="Times New Roman" w:hAnsi="Times New Roman" w:eastAsia="仿宋_GB2312" w:cs="Times New Roman"/>
          <w:i w:val="0"/>
          <w:color w:val="000000"/>
          <w:sz w:val="32"/>
          <w:szCs w:val="32"/>
          <w:lang w:val="en-US" w:eastAsia="zh-CN"/>
        </w:rPr>
        <w:t>，</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i w:val="0"/>
          <w:color w:val="000000"/>
          <w:sz w:val="32"/>
          <w:szCs w:val="32"/>
          <w:lang w:val="en-US" w:eastAsia="zh-CN"/>
        </w:rPr>
        <w:t>的项目为</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i w:val="0"/>
          <w:color w:val="000000"/>
          <w:sz w:val="32"/>
          <w:szCs w:val="32"/>
          <w:lang w:val="en-US" w:eastAsia="zh-CN"/>
        </w:rPr>
        <w:t>月省州下达的转移支付项目。</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32"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4.</w:t>
      </w:r>
      <w:r>
        <w:rPr>
          <w:rFonts w:hint="default" w:ascii="Times New Roman" w:hAnsi="Times New Roman" w:eastAsia="仿宋_GB2312" w:cs="Times New Roman"/>
          <w:b/>
          <w:bCs/>
          <w:color w:val="000000"/>
          <w:kern w:val="2"/>
          <w:sz w:val="32"/>
          <w:szCs w:val="32"/>
          <w:lang w:val="en-US" w:eastAsia="zh-CN" w:bidi="ar-SA"/>
        </w:rPr>
        <w:t>深入开展预算绩效评价。</w:t>
      </w:r>
      <w:r>
        <w:rPr>
          <w:rFonts w:hint="default" w:ascii="Times New Roman" w:hAnsi="Times New Roman" w:eastAsia="仿宋_GB2312" w:cs="Times New Roman"/>
          <w:kern w:val="2"/>
          <w:sz w:val="32"/>
          <w:szCs w:val="32"/>
          <w:lang w:val="en-US" w:eastAsia="zh-CN" w:bidi="ar-SA"/>
        </w:rPr>
        <w:t>今年我局积极配合省、州</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2023</w:t>
      </w:r>
      <w:r>
        <w:rPr>
          <w:rFonts w:hint="default" w:ascii="Times New Roman" w:hAnsi="Times New Roman" w:eastAsia="仿宋_GB2312" w:cs="Times New Roman"/>
          <w:color w:val="000000"/>
          <w:kern w:val="2"/>
          <w:sz w:val="32"/>
          <w:szCs w:val="32"/>
          <w:lang w:val="en-US" w:eastAsia="zh-CN" w:bidi="ar-SA"/>
        </w:rPr>
        <w:t>年财政重点绩效评价工作，</w:t>
      </w:r>
      <w:r>
        <w:rPr>
          <w:rFonts w:hint="default" w:ascii="Times New Roman" w:hAnsi="Times New Roman" w:eastAsia="仿宋_GB2312" w:cs="Times New Roman"/>
          <w:kern w:val="2"/>
          <w:sz w:val="32"/>
          <w:szCs w:val="32"/>
          <w:lang w:val="en-US" w:eastAsia="zh-CN" w:bidi="ar-SA"/>
        </w:rPr>
        <w:t>开展财政政策（项目）支出重点绩效评价</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55</w:t>
      </w:r>
      <w:r>
        <w:rPr>
          <w:rFonts w:hint="default" w:ascii="Times New Roman" w:hAnsi="Times New Roman" w:eastAsia="仿宋_GB2312" w:cs="Times New Roman"/>
          <w:kern w:val="2"/>
          <w:sz w:val="32"/>
          <w:szCs w:val="32"/>
          <w:lang w:val="en-US" w:eastAsia="zh-CN" w:bidi="ar-SA"/>
        </w:rPr>
        <w:t>个，涉及资金</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25，975.44</w:t>
      </w:r>
      <w:r>
        <w:rPr>
          <w:rFonts w:hint="default" w:ascii="Times New Roman" w:hAnsi="Times New Roman" w:eastAsia="仿宋_GB2312" w:cs="Times New Roman"/>
          <w:kern w:val="2"/>
          <w:sz w:val="32"/>
          <w:szCs w:val="32"/>
          <w:lang w:val="en-US" w:eastAsia="zh-CN" w:bidi="ar-SA"/>
        </w:rPr>
        <w:t>万元。结合省州财政抽评项目，联系工作实际，制定了《</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2023</w:t>
      </w:r>
      <w:r>
        <w:rPr>
          <w:rFonts w:hint="default" w:ascii="Times New Roman" w:hAnsi="Times New Roman" w:eastAsia="仿宋_GB2312" w:cs="Times New Roman"/>
          <w:kern w:val="2"/>
          <w:sz w:val="32"/>
          <w:szCs w:val="32"/>
          <w:lang w:val="en-US" w:eastAsia="zh-CN" w:bidi="ar-SA"/>
        </w:rPr>
        <w:t>年预算绩效评价工作实施方案》（金财监绩〔</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2023</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31</w:t>
      </w:r>
      <w:r>
        <w:rPr>
          <w:rFonts w:hint="default" w:ascii="Times New Roman" w:hAnsi="Times New Roman" w:eastAsia="仿宋_GB2312" w:cs="Times New Roman"/>
          <w:kern w:val="2"/>
          <w:sz w:val="32"/>
          <w:szCs w:val="32"/>
          <w:lang w:val="en-US" w:eastAsia="zh-CN" w:bidi="ar-SA"/>
        </w:rPr>
        <w:t>号），印发了《金川县财政局关于开展</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2023</w:t>
      </w:r>
      <w:r>
        <w:rPr>
          <w:rFonts w:hint="default" w:ascii="Times New Roman" w:hAnsi="Times New Roman" w:eastAsia="仿宋_GB2312" w:cs="Times New Roman"/>
          <w:kern w:val="2"/>
          <w:sz w:val="32"/>
          <w:szCs w:val="32"/>
          <w:lang w:val="en-US" w:eastAsia="zh-CN" w:bidi="ar-SA"/>
        </w:rPr>
        <w:t>年部门、政策和项目支出绩效评价工作的通知》（金财监绩〔</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2023</w:t>
      </w:r>
      <w:r>
        <w:rPr>
          <w:rFonts w:hint="default" w:ascii="Times New Roman" w:hAnsi="Times New Roman" w:eastAsia="仿宋_GB2312" w:cs="Times New Roman"/>
          <w:kern w:val="2"/>
          <w:sz w:val="32"/>
          <w:szCs w:val="32"/>
          <w:lang w:val="en-US" w:eastAsia="zh-CN" w:bidi="ar-SA"/>
        </w:rPr>
        <w:t>〕</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32</w:t>
      </w:r>
      <w:r>
        <w:rPr>
          <w:rFonts w:hint="default" w:ascii="Times New Roman" w:hAnsi="Times New Roman" w:eastAsia="仿宋_GB2312" w:cs="Times New Roman"/>
          <w:kern w:val="2"/>
          <w:sz w:val="32"/>
          <w:szCs w:val="32"/>
          <w:lang w:val="en-US" w:eastAsia="zh-CN" w:bidi="ar-SA"/>
        </w:rPr>
        <w:t>号），明确了绩效评价的目标、原则、范围、对象、方式、步骤和工作要求，</w:t>
      </w:r>
      <w:r>
        <w:rPr>
          <w:rFonts w:hint="default" w:ascii="Times New Roman" w:hAnsi="Times New Roman" w:eastAsia="仿宋_GB2312" w:cs="Times New Roman"/>
          <w:color w:val="000000"/>
          <w:sz w:val="32"/>
          <w:szCs w:val="32"/>
          <w:lang w:val="en-US" w:eastAsia="zh-CN"/>
        </w:rPr>
        <w:t>选取</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90</w:t>
      </w:r>
      <w:r>
        <w:rPr>
          <w:rFonts w:hint="default" w:ascii="Times New Roman" w:hAnsi="Times New Roman" w:eastAsia="仿宋_GB2312" w:cs="Times New Roman"/>
          <w:color w:val="000000"/>
          <w:sz w:val="32"/>
          <w:szCs w:val="32"/>
          <w:lang w:val="en-US" w:eastAsia="zh-CN"/>
        </w:rPr>
        <w:t>个政策（项目）开展了财政重点绩效评价，涉及资金</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29174.19</w:t>
      </w:r>
      <w:r>
        <w:rPr>
          <w:rFonts w:hint="default" w:ascii="Times New Roman" w:hAnsi="Times New Roman" w:eastAsia="仿宋_GB2312" w:cs="Times New Roman"/>
          <w:color w:val="000000"/>
          <w:sz w:val="32"/>
          <w:szCs w:val="32"/>
          <w:lang w:val="en-US" w:eastAsia="zh-CN"/>
        </w:rPr>
        <w:t>万元，其中政策类</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9</w:t>
      </w:r>
      <w:r>
        <w:rPr>
          <w:rFonts w:hint="default" w:ascii="Times New Roman" w:hAnsi="Times New Roman" w:eastAsia="仿宋_GB2312" w:cs="Times New Roman"/>
          <w:color w:val="000000"/>
          <w:sz w:val="32"/>
          <w:szCs w:val="32"/>
          <w:lang w:val="en-US" w:eastAsia="zh-CN"/>
        </w:rPr>
        <w:t>个</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6046.98</w:t>
      </w:r>
      <w:r>
        <w:rPr>
          <w:rFonts w:hint="default" w:ascii="Times New Roman" w:hAnsi="Times New Roman" w:eastAsia="仿宋_GB2312" w:cs="Times New Roman"/>
          <w:color w:val="000000"/>
          <w:sz w:val="32"/>
          <w:szCs w:val="32"/>
          <w:lang w:val="en-US" w:eastAsia="zh-CN"/>
        </w:rPr>
        <w:t>万元、政府性基金或社保基金项目</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4</w:t>
      </w:r>
      <w:r>
        <w:rPr>
          <w:rFonts w:hint="default" w:ascii="Times New Roman" w:hAnsi="Times New Roman" w:eastAsia="仿宋_GB2312" w:cs="Times New Roman"/>
          <w:color w:val="000000"/>
          <w:sz w:val="32"/>
          <w:szCs w:val="32"/>
          <w:lang w:val="en-US" w:eastAsia="zh-CN"/>
        </w:rPr>
        <w:t>个</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796.37</w:t>
      </w:r>
      <w:r>
        <w:rPr>
          <w:rFonts w:hint="default" w:ascii="Times New Roman" w:hAnsi="Times New Roman" w:eastAsia="仿宋_GB2312" w:cs="Times New Roman"/>
          <w:color w:val="000000"/>
          <w:sz w:val="32"/>
          <w:szCs w:val="32"/>
          <w:lang w:val="en-US" w:eastAsia="zh-CN"/>
        </w:rPr>
        <w:t>万元、采购项目</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6</w:t>
      </w:r>
      <w:r>
        <w:rPr>
          <w:rFonts w:hint="default" w:ascii="Times New Roman" w:hAnsi="Times New Roman" w:eastAsia="仿宋_GB2312" w:cs="Times New Roman"/>
          <w:color w:val="000000"/>
          <w:sz w:val="32"/>
          <w:szCs w:val="32"/>
          <w:lang w:val="en-US" w:eastAsia="zh-CN"/>
        </w:rPr>
        <w:t>个</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1248.71</w:t>
      </w:r>
      <w:r>
        <w:rPr>
          <w:rFonts w:hint="default" w:ascii="Times New Roman" w:hAnsi="Times New Roman" w:eastAsia="仿宋_GB2312" w:cs="Times New Roman"/>
          <w:color w:val="000000"/>
          <w:sz w:val="32"/>
          <w:szCs w:val="32"/>
          <w:lang w:val="en-US" w:eastAsia="zh-CN"/>
        </w:rPr>
        <w:t>万元。</w:t>
      </w:r>
      <w:r>
        <w:rPr>
          <w:rFonts w:hint="default" w:ascii="Times New Roman" w:hAnsi="Times New Roman" w:eastAsia="仿宋_GB2312" w:cs="Times New Roman"/>
          <w:kern w:val="2"/>
          <w:sz w:val="32"/>
          <w:szCs w:val="32"/>
          <w:lang w:val="en-US" w:eastAsia="zh-CN" w:bidi="ar-SA"/>
        </w:rPr>
        <w:t>同时抽取了县委、县人大、县人民政府、政协县委宣传部等</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28</w:t>
      </w:r>
      <w:r>
        <w:rPr>
          <w:rFonts w:hint="default" w:ascii="Times New Roman" w:hAnsi="Times New Roman" w:eastAsia="仿宋_GB2312" w:cs="Times New Roman"/>
          <w:color w:val="000000"/>
          <w:sz w:val="32"/>
          <w:szCs w:val="32"/>
          <w:lang w:val="en-US" w:eastAsia="zh-CN"/>
        </w:rPr>
        <w:t>个部门（乡镇）开展部门整体支出绩效评价，涉及资金</w:t>
      </w:r>
      <w:r>
        <w:rPr>
          <w:rFonts w:hint="default" w:ascii="Times New Roman" w:hAnsi="Times New Roman" w:eastAsia="仿宋_GB2312" w:cs="Times New Roman"/>
          <w:snapToGrid/>
          <w:spacing w:val="0"/>
          <w:w w:val="100"/>
          <w:kern w:val="2"/>
          <w:position w:val="0"/>
          <w:sz w:val="32"/>
          <w:szCs w:val="32"/>
          <w:u w:val="none"/>
          <w:vertAlign w:val="baseline"/>
          <w:lang w:val="en-US" w:eastAsia="zh-CN" w:bidi="ar-SA"/>
        </w:rPr>
        <w:t>26627.57</w:t>
      </w:r>
      <w:r>
        <w:rPr>
          <w:rFonts w:hint="default" w:ascii="Times New Roman" w:hAnsi="Times New Roman" w:eastAsia="仿宋_GB2312" w:cs="Times New Roman"/>
          <w:color w:val="000000"/>
          <w:sz w:val="32"/>
          <w:szCs w:val="32"/>
          <w:lang w:val="en-US" w:eastAsia="zh-CN"/>
        </w:rPr>
        <w:t>万元。</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val="0"/>
          <w:bCs w:val="0"/>
          <w:color w:val="000000"/>
          <w:kern w:val="2"/>
          <w:sz w:val="32"/>
          <w:szCs w:val="32"/>
          <w:lang w:val="en-US" w:eastAsia="zh-CN" w:bidi="ar-SA"/>
        </w:rPr>
        <w:t>5</w:t>
      </w:r>
      <w:r>
        <w:rPr>
          <w:rFonts w:hint="default" w:ascii="Times New Roman" w:hAnsi="Times New Roman" w:eastAsia="仿宋_GB2312" w:cs="Times New Roman"/>
          <w:b/>
          <w:bCs/>
          <w:color w:val="000000"/>
          <w:kern w:val="2"/>
          <w:sz w:val="32"/>
          <w:szCs w:val="32"/>
          <w:lang w:val="en-US" w:eastAsia="zh-CN" w:bidi="ar-SA"/>
        </w:rPr>
        <w:t>.持续强化绩效结果应用。</w:t>
      </w:r>
      <w:r>
        <w:rPr>
          <w:rFonts w:hint="default" w:ascii="Times New Roman" w:hAnsi="Times New Roman" w:eastAsia="仿宋_GB2312" w:cs="Times New Roman"/>
          <w:sz w:val="32"/>
          <w:szCs w:val="32"/>
          <w:lang w:bidi="ar-SA"/>
        </w:rPr>
        <w:t>按照《阿坝州州级财政预算绩效结果应用管理办法》（阿州</w:t>
      </w:r>
      <w:r>
        <w:rPr>
          <w:rFonts w:hint="default" w:ascii="Times New Roman" w:hAnsi="Times New Roman" w:eastAsia="仿宋_GB2312" w:cs="Times New Roman"/>
          <w:sz w:val="32"/>
          <w:szCs w:val="32"/>
          <w:lang w:eastAsia="zh-CN" w:bidi="ar-SA"/>
        </w:rPr>
        <w:t>财办</w:t>
      </w:r>
      <w:r>
        <w:rPr>
          <w:rFonts w:hint="default" w:ascii="Times New Roman" w:hAnsi="Times New Roman" w:eastAsia="仿宋_GB2312" w:cs="Times New Roman"/>
          <w:sz w:val="32"/>
          <w:szCs w:val="32"/>
          <w:lang w:bidi="ar-SA"/>
        </w:rPr>
        <w:t>〔</w:t>
      </w:r>
      <w:r>
        <w:rPr>
          <w:rFonts w:hint="default" w:ascii="Times New Roman" w:hAnsi="Times New Roman" w:eastAsia="仿宋_GB2312" w:cs="Times New Roman"/>
          <w:sz w:val="32"/>
          <w:szCs w:val="32"/>
          <w:lang w:val="en-US" w:eastAsia="zh-CN"/>
        </w:rPr>
        <w:t>2022</w:t>
      </w:r>
      <w:r>
        <w:rPr>
          <w:rFonts w:hint="default" w:ascii="Times New Roman" w:hAnsi="Times New Roman" w:eastAsia="仿宋_GB2312" w:cs="Times New Roman"/>
          <w:sz w:val="32"/>
          <w:szCs w:val="32"/>
          <w:lang w:bidi="ar-SA"/>
        </w:rPr>
        <w:t>〕</w:t>
      </w: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lang w:bidi="ar-SA"/>
        </w:rPr>
        <w:t>号</w:t>
      </w:r>
      <w:r>
        <w:rPr>
          <w:rFonts w:hint="default" w:ascii="Times New Roman" w:hAnsi="Times New Roman" w:eastAsia="仿宋_GB2312" w:cs="Times New Roman"/>
          <w:sz w:val="32"/>
          <w:szCs w:val="32"/>
          <w:lang w:eastAsia="zh-CN" w:bidi="ar-SA"/>
        </w:rPr>
        <w:t>）和</w:t>
      </w:r>
      <w:r>
        <w:rPr>
          <w:rFonts w:hint="default" w:ascii="Times New Roman" w:hAnsi="Times New Roman" w:eastAsia="仿宋_GB2312" w:cs="Times New Roman"/>
          <w:sz w:val="32"/>
          <w:szCs w:val="32"/>
          <w:lang w:bidi="ar-SA"/>
        </w:rPr>
        <w:t>《</w:t>
      </w:r>
      <w:r>
        <w:rPr>
          <w:rFonts w:hint="default" w:ascii="Times New Roman" w:hAnsi="Times New Roman" w:eastAsia="仿宋_GB2312" w:cs="Times New Roman"/>
          <w:sz w:val="32"/>
          <w:szCs w:val="32"/>
          <w:lang w:eastAsia="zh-CN" w:bidi="ar-SA"/>
        </w:rPr>
        <w:t>金川县县</w:t>
      </w:r>
      <w:r>
        <w:rPr>
          <w:rFonts w:hint="default" w:ascii="Times New Roman" w:hAnsi="Times New Roman" w:eastAsia="仿宋_GB2312" w:cs="Times New Roman"/>
          <w:sz w:val="32"/>
          <w:szCs w:val="32"/>
          <w:lang w:bidi="ar-SA"/>
        </w:rPr>
        <w:t>级财政预算绩效结果应用管理办法》（</w:t>
      </w:r>
      <w:r>
        <w:rPr>
          <w:rFonts w:hint="default" w:ascii="Times New Roman" w:hAnsi="Times New Roman" w:eastAsia="仿宋_GB2312" w:cs="Times New Roman"/>
          <w:sz w:val="32"/>
          <w:szCs w:val="32"/>
          <w:lang w:eastAsia="zh-CN" w:bidi="ar-SA"/>
        </w:rPr>
        <w:t>金财监绩</w:t>
      </w:r>
      <w:r>
        <w:rPr>
          <w:rFonts w:hint="default" w:ascii="Times New Roman" w:hAnsi="Times New Roman" w:eastAsia="仿宋_GB2312" w:cs="Times New Roman"/>
          <w:sz w:val="32"/>
          <w:szCs w:val="32"/>
          <w:lang w:bidi="ar-SA"/>
        </w:rPr>
        <w:t>〔</w:t>
      </w:r>
      <w:r>
        <w:rPr>
          <w:rFonts w:hint="default" w:ascii="Times New Roman" w:hAnsi="Times New Roman" w:eastAsia="仿宋_GB2312" w:cs="Times New Roman"/>
          <w:sz w:val="32"/>
          <w:szCs w:val="32"/>
          <w:lang w:val="en-US" w:eastAsia="zh-CN"/>
        </w:rPr>
        <w:t>2023</w:t>
      </w:r>
      <w:r>
        <w:rPr>
          <w:rFonts w:hint="default" w:ascii="Times New Roman" w:hAnsi="Times New Roman" w:eastAsia="仿宋_GB2312" w:cs="Times New Roman"/>
          <w:sz w:val="32"/>
          <w:szCs w:val="32"/>
          <w:lang w:bidi="ar-SA"/>
        </w:rPr>
        <w:t>〕</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bidi="ar-SA"/>
        </w:rPr>
        <w:t>号</w:t>
      </w:r>
      <w:r>
        <w:rPr>
          <w:rFonts w:hint="default" w:ascii="Times New Roman" w:hAnsi="Times New Roman" w:eastAsia="仿宋_GB2312" w:cs="Times New Roman"/>
          <w:sz w:val="32"/>
          <w:szCs w:val="32"/>
          <w:lang w:eastAsia="zh-CN" w:bidi="ar-SA"/>
        </w:rPr>
        <w:t>）相关要求，</w:t>
      </w:r>
      <w:r>
        <w:rPr>
          <w:rFonts w:hint="default" w:ascii="Times New Roman" w:hAnsi="Times New Roman" w:eastAsia="仿宋_GB2312" w:cs="Times New Roman"/>
          <w:b/>
          <w:bCs/>
          <w:sz w:val="32"/>
          <w:szCs w:val="32"/>
          <w:lang w:eastAsia="zh-CN" w:bidi="ar-SA"/>
        </w:rPr>
        <w:t>一是确保问题整改到位。</w:t>
      </w:r>
      <w:r>
        <w:rPr>
          <w:rFonts w:hint="default" w:ascii="Times New Roman" w:hAnsi="Times New Roman" w:eastAsia="仿宋_GB2312" w:cs="Times New Roman"/>
          <w:i w:val="0"/>
          <w:iCs w:val="0"/>
          <w:caps w:val="0"/>
          <w:color w:val="000000"/>
          <w:spacing w:val="0"/>
          <w:sz w:val="32"/>
          <w:szCs w:val="32"/>
          <w:shd w:val="clear" w:color="auto" w:fill="FFFFFF"/>
        </w:rPr>
        <w:t>预算绩效评估、绩效目标管理、绩效运行监控和支出绩效</w:t>
      </w:r>
      <w:r>
        <w:rPr>
          <w:rFonts w:hint="default" w:ascii="Times New Roman" w:hAnsi="Times New Roman" w:eastAsia="仿宋_GB2312" w:cs="Times New Roman"/>
          <w:i w:val="0"/>
          <w:iCs w:val="0"/>
          <w:caps w:val="0"/>
          <w:color w:val="000000"/>
          <w:spacing w:val="0"/>
          <w:sz w:val="32"/>
          <w:szCs w:val="32"/>
          <w:shd w:val="clear" w:color="auto" w:fill="FFFFFF"/>
          <w:lang w:eastAsia="zh-CN"/>
        </w:rPr>
        <w:t>评价等各环节发现的问题整改完成；</w:t>
      </w:r>
      <w:r>
        <w:rPr>
          <w:rFonts w:hint="default" w:ascii="Times New Roman" w:hAnsi="Times New Roman" w:eastAsia="仿宋_GB2312" w:cs="Times New Roman"/>
          <w:b/>
          <w:bCs/>
          <w:sz w:val="32"/>
          <w:szCs w:val="32"/>
          <w:lang w:val="en-US" w:eastAsia="zh-CN" w:bidi="ar-SA"/>
        </w:rPr>
        <w:t>二是严格执行通报考核。</w:t>
      </w:r>
      <w:r>
        <w:rPr>
          <w:rFonts w:hint="default" w:ascii="Times New Roman" w:hAnsi="Times New Roman" w:eastAsia="仿宋_GB2312" w:cs="Times New Roman"/>
          <w:i w:val="0"/>
          <w:iCs w:val="0"/>
          <w:caps w:val="0"/>
          <w:color w:val="000000"/>
          <w:spacing w:val="0"/>
          <w:sz w:val="32"/>
          <w:szCs w:val="32"/>
          <w:shd w:val="clear" w:color="auto" w:fill="FFFFFF"/>
        </w:rPr>
        <w:t>预算绩效综合结果纳入县委、县政府对县级主管部门（预算单位）绩效考核体系。</w:t>
      </w:r>
      <w:r>
        <w:rPr>
          <w:rFonts w:hint="default" w:ascii="Times New Roman" w:hAnsi="Times New Roman" w:eastAsia="仿宋_GB2312" w:cs="Times New Roman"/>
          <w:b/>
          <w:bCs/>
          <w:sz w:val="32"/>
          <w:szCs w:val="32"/>
          <w:lang w:val="en-US" w:eastAsia="zh-CN" w:bidi="ar-SA"/>
        </w:rPr>
        <w:t>三是认真落实公开公示。</w:t>
      </w:r>
      <w:r>
        <w:rPr>
          <w:rFonts w:hint="default" w:ascii="Times New Roman" w:hAnsi="Times New Roman" w:eastAsia="仿宋_GB2312" w:cs="Times New Roman"/>
          <w:i w:val="0"/>
          <w:iCs w:val="0"/>
          <w:caps w:val="0"/>
          <w:color w:val="000000"/>
          <w:spacing w:val="0"/>
          <w:sz w:val="32"/>
          <w:szCs w:val="32"/>
          <w:shd w:val="clear" w:color="auto" w:fill="FFFFFF"/>
        </w:rPr>
        <w:t>按照绩效信息公开要求，将项目绩效目标随同预算向社会公开，部门整体支出绩效自评及项目支出绩效自评结果等随同决算向社会公开。</w:t>
      </w:r>
      <w:r>
        <w:rPr>
          <w:rFonts w:hint="default" w:ascii="Times New Roman" w:hAnsi="Times New Roman" w:eastAsia="仿宋_GB2312" w:cs="Times New Roman"/>
          <w:b/>
          <w:bCs/>
          <w:sz w:val="32"/>
          <w:szCs w:val="32"/>
          <w:lang w:val="en-US" w:eastAsia="zh-CN" w:bidi="ar-SA"/>
        </w:rPr>
        <w:t>四是持续推进</w:t>
      </w:r>
      <w:r>
        <w:rPr>
          <w:rFonts w:hint="default" w:ascii="Times New Roman" w:hAnsi="Times New Roman" w:eastAsia="仿宋_GB2312" w:cs="Times New Roman"/>
          <w:b/>
          <w:bCs/>
          <w:i w:val="0"/>
          <w:iCs w:val="0"/>
          <w:caps w:val="0"/>
          <w:color w:val="000000"/>
          <w:spacing w:val="0"/>
          <w:sz w:val="32"/>
          <w:szCs w:val="32"/>
          <w:highlight w:val="none"/>
          <w:shd w:val="clear" w:color="auto" w:fill="FFFFFF"/>
        </w:rPr>
        <w:t>预算挂钩</w:t>
      </w:r>
      <w:r>
        <w:rPr>
          <w:rFonts w:hint="default" w:ascii="Times New Roman" w:hAnsi="Times New Roman" w:eastAsia="仿宋_GB2312" w:cs="Times New Roman"/>
          <w:b/>
          <w:bCs/>
          <w:i w:val="0"/>
          <w:iCs w:val="0"/>
          <w:caps w:val="0"/>
          <w:color w:val="000000"/>
          <w:spacing w:val="0"/>
          <w:sz w:val="32"/>
          <w:szCs w:val="32"/>
          <w:highlight w:val="none"/>
          <w:shd w:val="clear" w:color="auto" w:fill="FFFFFF"/>
          <w:lang w:eastAsia="zh-CN"/>
        </w:rPr>
        <w:t>。</w:t>
      </w:r>
      <w:r>
        <w:rPr>
          <w:rFonts w:hint="default" w:ascii="Times New Roman" w:hAnsi="Times New Roman" w:eastAsia="仿宋_GB2312" w:cs="Times New Roman"/>
          <w:sz w:val="32"/>
          <w:szCs w:val="32"/>
          <w:lang w:val="en-US" w:eastAsia="zh-CN" w:bidi="ar-SA"/>
        </w:rPr>
        <w:t>按</w:t>
      </w:r>
      <w:r>
        <w:rPr>
          <w:rFonts w:hint="default" w:ascii="Times New Roman" w:hAnsi="Times New Roman" w:eastAsia="仿宋_GB2312" w:cs="Times New Roman"/>
          <w:color w:val="auto"/>
          <w:kern w:val="0"/>
          <w:sz w:val="32"/>
          <w:szCs w:val="32"/>
          <w:lang w:bidi="ar-SA"/>
        </w:rPr>
        <w:t>预算绩效评估结果（</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color w:val="auto"/>
          <w:kern w:val="0"/>
          <w:sz w:val="32"/>
          <w:szCs w:val="32"/>
          <w:lang w:bidi="ar-SA"/>
        </w:rPr>
        <w:t>）、绩效目标审核结果（</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color w:val="auto"/>
          <w:kern w:val="0"/>
          <w:sz w:val="32"/>
          <w:szCs w:val="32"/>
          <w:lang w:bidi="ar-SA"/>
        </w:rPr>
        <w:t>）、绩效运行监控结果（</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color w:val="auto"/>
          <w:kern w:val="0"/>
          <w:sz w:val="32"/>
          <w:szCs w:val="32"/>
          <w:lang w:bidi="ar-SA"/>
        </w:rPr>
        <w:t>）和部门整体支出绩效评价结果（</w:t>
      </w:r>
      <w:r>
        <w:rPr>
          <w:rFonts w:hint="default" w:ascii="Times New Roman" w:hAnsi="Times New Roman" w:eastAsia="仿宋_GB2312" w:cs="Times New Roman"/>
          <w:sz w:val="32"/>
          <w:szCs w:val="32"/>
          <w:lang w:val="en-US" w:eastAsia="zh-CN"/>
        </w:rPr>
        <w:t>40%</w:t>
      </w:r>
      <w:r>
        <w:rPr>
          <w:rFonts w:hint="default" w:ascii="Times New Roman" w:hAnsi="Times New Roman" w:eastAsia="仿宋_GB2312" w:cs="Times New Roman"/>
          <w:color w:val="auto"/>
          <w:kern w:val="0"/>
          <w:sz w:val="32"/>
          <w:szCs w:val="32"/>
          <w:lang w:bidi="ar-SA"/>
        </w:rPr>
        <w:t>）</w:t>
      </w:r>
      <w:r>
        <w:rPr>
          <w:rFonts w:hint="default" w:ascii="Times New Roman" w:hAnsi="Times New Roman" w:eastAsia="仿宋_GB2312" w:cs="Times New Roman"/>
          <w:color w:val="auto"/>
          <w:kern w:val="0"/>
          <w:sz w:val="32"/>
          <w:szCs w:val="32"/>
          <w:lang w:eastAsia="zh-CN" w:bidi="ar-SA"/>
        </w:rPr>
        <w:t>综合</w:t>
      </w:r>
      <w:r>
        <w:rPr>
          <w:rFonts w:hint="default" w:ascii="Times New Roman" w:hAnsi="Times New Roman" w:eastAsia="仿宋_GB2312" w:cs="Times New Roman"/>
          <w:color w:val="auto"/>
          <w:kern w:val="0"/>
          <w:sz w:val="32"/>
          <w:szCs w:val="32"/>
          <w:lang w:bidi="ar-SA"/>
        </w:rPr>
        <w:t>评价</w:t>
      </w:r>
      <w:r>
        <w:rPr>
          <w:rFonts w:hint="default" w:ascii="Times New Roman" w:hAnsi="Times New Roman" w:eastAsia="仿宋_GB2312" w:cs="Times New Roman"/>
          <w:color w:val="auto"/>
          <w:kern w:val="0"/>
          <w:sz w:val="32"/>
          <w:szCs w:val="32"/>
          <w:lang w:eastAsia="zh-CN" w:bidi="ar-SA"/>
        </w:rPr>
        <w:t>得分情况，</w:t>
      </w:r>
      <w:r>
        <w:rPr>
          <w:rFonts w:hint="default" w:ascii="Times New Roman" w:hAnsi="Times New Roman" w:eastAsia="仿宋_GB2312" w:cs="Times New Roman"/>
          <w:i w:val="0"/>
          <w:iCs w:val="0"/>
          <w:caps w:val="0"/>
          <w:color w:val="000000"/>
          <w:spacing w:val="0"/>
          <w:sz w:val="32"/>
          <w:szCs w:val="32"/>
          <w:shd w:val="clear" w:color="auto" w:fill="FFFFFF"/>
        </w:rPr>
        <w:t>结合县委、县政府年度重大决策部署和重点工作安排，法定支出政策和其他确需安排的项目除外</w:t>
      </w:r>
      <w:r>
        <w:rPr>
          <w:rFonts w:hint="default" w:ascii="Times New Roman" w:hAnsi="Times New Roman" w:eastAsia="仿宋_GB2312" w:cs="Times New Roman"/>
          <w:i w:val="0"/>
          <w:iCs w:val="0"/>
          <w:caps w:val="0"/>
          <w:color w:val="000000"/>
          <w:spacing w:val="0"/>
          <w:sz w:val="32"/>
          <w:szCs w:val="32"/>
          <w:shd w:val="clear" w:color="auto" w:fill="FFFFFF"/>
          <w:lang w:eastAsia="zh-CN"/>
        </w:rPr>
        <w:t>，严格</w:t>
      </w:r>
      <w:r>
        <w:rPr>
          <w:rFonts w:hint="default" w:ascii="Times New Roman" w:hAnsi="Times New Roman" w:eastAsia="仿宋_GB2312" w:cs="Times New Roman"/>
          <w:i w:val="0"/>
          <w:iCs w:val="0"/>
          <w:caps w:val="0"/>
          <w:color w:val="000000"/>
          <w:spacing w:val="0"/>
          <w:sz w:val="32"/>
          <w:szCs w:val="32"/>
          <w:shd w:val="clear" w:color="auto" w:fill="FFFFFF"/>
        </w:rPr>
        <w:t>按照评价结果等级与预算进行挂钩</w:t>
      </w:r>
      <w:r>
        <w:rPr>
          <w:rFonts w:hint="default" w:ascii="Times New Roman" w:hAnsi="Times New Roman" w:eastAsia="仿宋_GB2312" w:cs="Times New Roman"/>
          <w:i w:val="0"/>
          <w:iCs w:val="0"/>
          <w:caps w:val="0"/>
          <w:color w:val="000000"/>
          <w:spacing w:val="0"/>
          <w:sz w:val="32"/>
          <w:szCs w:val="32"/>
          <w:shd w:val="clear" w:color="auto" w:fill="FFFFFF"/>
          <w:lang w:eastAsia="zh-CN"/>
        </w:rPr>
        <w:t>。</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32" w:firstLineChars="200"/>
        <w:textAlignment w:val="auto"/>
        <w:rPr>
          <w:rFonts w:hint="default" w:ascii="Times New Roman" w:hAnsi="Times New Roman" w:eastAsia="楷体" w:cs="Times New Roman"/>
          <w:b/>
          <w:bCs/>
          <w:color w:val="auto"/>
          <w:sz w:val="27"/>
          <w:szCs w:val="27"/>
          <w:lang w:eastAsia="zh-CN"/>
        </w:rPr>
      </w:pPr>
      <w:r>
        <w:rPr>
          <w:rFonts w:hint="default" w:ascii="Times New Roman" w:hAnsi="Times New Roman" w:eastAsia="楷体" w:cs="Times New Roman"/>
          <w:b/>
          <w:bCs/>
          <w:color w:val="auto"/>
          <w:kern w:val="2"/>
          <w:sz w:val="32"/>
          <w:szCs w:val="32"/>
          <w:lang w:val="en-US" w:eastAsia="zh-CN" w:bidi="ar-SA"/>
        </w:rPr>
        <w:t>（三）</w:t>
      </w:r>
      <w:r>
        <w:rPr>
          <w:rFonts w:hint="default" w:ascii="Times New Roman" w:hAnsi="Times New Roman" w:eastAsia="楷体" w:cs="Times New Roman"/>
          <w:b/>
          <w:bCs/>
          <w:color w:val="auto"/>
          <w:sz w:val="32"/>
          <w:szCs w:val="32"/>
        </w:rPr>
        <w:t>强化工作培训，提升管理水平</w:t>
      </w:r>
      <w:r>
        <w:rPr>
          <w:rFonts w:hint="default" w:ascii="Times New Roman" w:hAnsi="Times New Roman" w:eastAsia="楷体" w:cs="Times New Roman"/>
          <w:b/>
          <w:bCs/>
          <w:color w:val="auto"/>
          <w:sz w:val="27"/>
          <w:szCs w:val="27"/>
          <w:lang w:eastAsia="zh-CN"/>
        </w:rPr>
        <w:t>。</w:t>
      </w:r>
    </w:p>
    <w:p>
      <w:pPr>
        <w:pStyle w:val="2"/>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firstLine="632"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kern w:val="2"/>
          <w:sz w:val="32"/>
          <w:szCs w:val="24"/>
          <w:lang w:val="en-US" w:eastAsia="zh-CN" w:bidi="ar-SA"/>
        </w:rPr>
        <w:t>月</w:t>
      </w: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kern w:val="2"/>
          <w:sz w:val="32"/>
          <w:szCs w:val="24"/>
          <w:lang w:val="en-US" w:eastAsia="zh-CN" w:bidi="ar-SA"/>
        </w:rPr>
        <w:t>日，</w:t>
      </w:r>
      <w:r>
        <w:rPr>
          <w:rFonts w:hint="eastAsia" w:ascii="仿宋_GB2312" w:hAnsi="仿宋_GB2312" w:eastAsia="仿宋_GB2312" w:cs="仿宋_GB2312"/>
          <w:sz w:val="32"/>
          <w:lang w:val="en-US" w:eastAsia="zh-CN"/>
        </w:rPr>
        <w:t>组织局各业务科室和各部门（单位）财务人员开展了金川</w:t>
      </w:r>
      <w:r>
        <w:rPr>
          <w:rFonts w:hint="eastAsia" w:ascii="仿宋_GB2312" w:hAnsi="仿宋_GB2312" w:eastAsia="仿宋_GB2312" w:cs="仿宋_GB2312"/>
          <w:kern w:val="2"/>
          <w:sz w:val="32"/>
          <w:szCs w:val="24"/>
          <w:lang w:val="en-US" w:eastAsia="zh-CN" w:bidi="ar-SA"/>
        </w:rPr>
        <w:t>县“预算管理一体化系统”预算绩效模块功能操作培训会</w:t>
      </w:r>
      <w:r>
        <w:rPr>
          <w:rFonts w:hint="eastAsia" w:ascii="仿宋_GB2312" w:hAnsi="仿宋_GB2312" w:eastAsia="仿宋_GB2312" w:cs="仿宋_GB2312"/>
          <w:sz w:val="32"/>
          <w:szCs w:val="32"/>
          <w:lang w:val="en-US" w:eastAsia="zh-CN"/>
        </w:rPr>
        <w:t>，邀请了“预算管理一体化系统”运维老师就预算绩效模块进行现场培训，运维老师详细讲解了绩效运行监控和绩效评价的操作流程。财政监督与绩效管理股对绩效目标的填报、绩效指标细化再次进行了实操演示，</w:t>
      </w:r>
      <w:r>
        <w:rPr>
          <w:rFonts w:hint="eastAsia" w:ascii="仿宋_GB2312" w:hAnsi="仿宋_GB2312" w:eastAsia="仿宋_GB2312" w:cs="仿宋_GB2312"/>
          <w:sz w:val="32"/>
          <w:szCs w:val="32"/>
          <w:u w:val="none"/>
          <w:lang w:val="en-US" w:eastAsia="zh-CN"/>
        </w:rPr>
        <w:t>对</w:t>
      </w:r>
      <w:r>
        <w:rPr>
          <w:rFonts w:hint="eastAsia" w:ascii="仿宋_GB2312" w:hAnsi="仿宋_GB2312" w:eastAsia="仿宋_GB2312" w:cs="仿宋_GB2312"/>
          <w:kern w:val="2"/>
          <w:sz w:val="32"/>
          <w:szCs w:val="32"/>
          <w:lang w:val="en-US" w:eastAsia="zh-CN" w:bidi="ar-SA"/>
        </w:rPr>
        <w:t>省州相关文件进行了解读，明确了</w:t>
      </w:r>
      <w:r>
        <w:rPr>
          <w:rFonts w:hint="eastAsia" w:ascii="仿宋_GB2312" w:hAnsi="仿宋_GB2312" w:eastAsia="仿宋_GB2312" w:cs="仿宋_GB2312"/>
          <w:sz w:val="32"/>
          <w:szCs w:val="32"/>
          <w:u w:val="none"/>
          <w:lang w:val="en-US" w:eastAsia="zh-CN"/>
        </w:rPr>
        <w:t>绩效监控和绩效评价工作任务和要求，</w:t>
      </w:r>
      <w:r>
        <w:rPr>
          <w:rFonts w:hint="eastAsia" w:ascii="仿宋_GB2312" w:hAnsi="仿宋_GB2312" w:eastAsia="仿宋_GB2312" w:cs="仿宋_GB2312"/>
          <w:kern w:val="2"/>
          <w:sz w:val="32"/>
          <w:szCs w:val="32"/>
          <w:lang w:val="en-US" w:eastAsia="zh-CN" w:bidi="ar-SA"/>
        </w:rPr>
        <w:t>并对遇见的问题进行现场解答，有效推进我县预算绩效管理工作的科学化、规范化。</w:t>
      </w:r>
    </w:p>
    <w:p>
      <w:pPr>
        <w:keepNext w:val="0"/>
        <w:keepLines w:val="0"/>
        <w:pageBreakBefore w:val="0"/>
        <w:widowControl w:val="0"/>
        <w:numPr>
          <w:ilvl w:val="0"/>
          <w:numId w:val="1"/>
        </w:numPr>
        <w:kinsoku/>
        <w:wordWrap/>
        <w:overflowPunct/>
        <w:topLinePunct w:val="0"/>
        <w:autoSpaceDE/>
        <w:autoSpaceDN/>
        <w:bidi w:val="0"/>
        <w:adjustRightInd/>
        <w:snapToGrid/>
        <w:spacing w:beforeAutospacing="0" w:afterAutospacing="0" w:line="560" w:lineRule="exact"/>
        <w:ind w:right="0" w:rightChars="0" w:firstLine="632" w:firstLineChars="200"/>
        <w:jc w:val="left"/>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存在的问题</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32" w:firstLineChars="200"/>
        <w:textAlignment w:val="auto"/>
        <w:rPr>
          <w:rFonts w:hint="eastAsia" w:ascii="仿宋_GB2312" w:hAnsi="仿宋_GB2312" w:eastAsia="仿宋_GB2312" w:cs="仿宋_GB2312"/>
          <w:kern w:val="2"/>
          <w:sz w:val="32"/>
          <w:szCs w:val="24"/>
          <w:highlight w:val="none"/>
          <w:lang w:val="en-US" w:eastAsia="zh-CN" w:bidi="ar-SA"/>
        </w:rPr>
      </w:pPr>
      <w:r>
        <w:rPr>
          <w:rFonts w:hint="eastAsia" w:ascii="楷体_GB2312" w:hAnsi="楷体_GB2312" w:eastAsia="楷体_GB2312" w:cs="楷体_GB2312"/>
          <w:b/>
          <w:bCs/>
          <w:color w:val="333333"/>
          <w:sz w:val="32"/>
          <w:szCs w:val="32"/>
          <w:lang w:val="en-US" w:eastAsia="zh-CN"/>
        </w:rPr>
        <w:t>（一）预算绩效观念不深入</w:t>
      </w:r>
      <w:r>
        <w:rPr>
          <w:rFonts w:hint="eastAsia" w:ascii="楷体_GB2312" w:hAnsi="楷体_GB2312" w:eastAsia="楷体_GB2312" w:cs="楷体_GB2312"/>
          <w:b/>
          <w:bCs/>
          <w:kern w:val="2"/>
          <w:sz w:val="32"/>
          <w:szCs w:val="24"/>
          <w:lang w:val="en-US" w:eastAsia="zh-CN" w:bidi="ar-SA"/>
        </w:rPr>
        <w:t>。</w:t>
      </w:r>
      <w:r>
        <w:rPr>
          <w:rFonts w:hint="eastAsia" w:ascii="仿宋_GB2312" w:hAnsi="仿宋_GB2312" w:eastAsia="仿宋_GB2312" w:cs="仿宋_GB2312"/>
          <w:kern w:val="2"/>
          <w:sz w:val="32"/>
          <w:szCs w:val="24"/>
          <w:lang w:val="en-US" w:eastAsia="zh-CN" w:bidi="ar-SA"/>
        </w:rPr>
        <w:t>相当一部分预算单位对这一项制度的认知不是十分到位。主要存在三种倾向。</w:t>
      </w:r>
      <w:r>
        <w:rPr>
          <w:rFonts w:hint="eastAsia" w:ascii="仿宋_GB2312" w:hAnsi="仿宋_GB2312" w:eastAsia="仿宋_GB2312" w:cs="仿宋_GB2312"/>
          <w:b/>
          <w:bCs/>
          <w:kern w:val="2"/>
          <w:sz w:val="32"/>
          <w:szCs w:val="24"/>
          <w:lang w:val="en-US" w:eastAsia="zh-CN" w:bidi="ar-SA"/>
        </w:rPr>
        <w:t>一是“两轻两重”惯性思维。</w:t>
      </w:r>
      <w:r>
        <w:rPr>
          <w:rFonts w:hint="eastAsia" w:ascii="仿宋_GB2312" w:hAnsi="仿宋_GB2312" w:eastAsia="仿宋_GB2312" w:cs="仿宋_GB2312"/>
          <w:kern w:val="2"/>
          <w:sz w:val="32"/>
          <w:szCs w:val="24"/>
          <w:lang w:val="en-US" w:eastAsia="zh-CN" w:bidi="ar-SA"/>
        </w:rPr>
        <w:t>部分单位“重分配、轻管理、重支出、轻绩效”的思想还没有从根本转变；认为预算申报的项目能落实到位和预算安排的资金能用出去就不会有大的问题，没有站在全局高度考虑是不是达到了效益最大化。</w:t>
      </w:r>
      <w:r>
        <w:rPr>
          <w:rFonts w:hint="eastAsia" w:ascii="仿宋_GB2312" w:hAnsi="仿宋_GB2312" w:eastAsia="仿宋_GB2312" w:cs="仿宋_GB2312"/>
          <w:b/>
          <w:bCs/>
          <w:kern w:val="2"/>
          <w:sz w:val="32"/>
          <w:szCs w:val="24"/>
          <w:lang w:val="en-US" w:eastAsia="zh-CN" w:bidi="ar-SA"/>
        </w:rPr>
        <w:t>二是视野不宽狭隘思想。</w:t>
      </w:r>
      <w:r>
        <w:rPr>
          <w:rFonts w:hint="eastAsia" w:ascii="仿宋_GB2312" w:hAnsi="仿宋_GB2312" w:eastAsia="仿宋_GB2312" w:cs="仿宋_GB2312"/>
          <w:kern w:val="2"/>
          <w:sz w:val="32"/>
          <w:szCs w:val="24"/>
          <w:lang w:val="en-US" w:eastAsia="zh-CN" w:bidi="ar-SA"/>
        </w:rPr>
        <w:t>少数单位领导和财务人员认为实施绩效管理增加了工作量，开展评价是在刻意挑毛病。</w:t>
      </w:r>
      <w:r>
        <w:rPr>
          <w:rFonts w:hint="eastAsia" w:ascii="仿宋_GB2312" w:hAnsi="仿宋_GB2312" w:eastAsia="仿宋_GB2312" w:cs="仿宋_GB2312"/>
          <w:b/>
          <w:bCs/>
          <w:kern w:val="2"/>
          <w:sz w:val="32"/>
          <w:szCs w:val="24"/>
          <w:lang w:val="en-US" w:eastAsia="zh-CN" w:bidi="ar-SA"/>
        </w:rPr>
        <w:t>三是消极应付只求过关。</w:t>
      </w:r>
      <w:r>
        <w:rPr>
          <w:rFonts w:hint="eastAsia" w:ascii="仿宋_GB2312" w:hAnsi="仿宋_GB2312" w:eastAsia="仿宋_GB2312" w:cs="仿宋_GB2312"/>
          <w:kern w:val="2"/>
          <w:sz w:val="32"/>
          <w:szCs w:val="24"/>
          <w:lang w:val="en-US" w:eastAsia="zh-CN" w:bidi="ar-SA"/>
        </w:rPr>
        <w:t>有部分单位在年初绩效目标申报和年终绩效自评工作中做不到准确规范操作，质量难以保证 ，开</w:t>
      </w:r>
      <w:r>
        <w:rPr>
          <w:rFonts w:hint="eastAsia" w:ascii="仿宋_GB2312" w:hAnsi="仿宋_GB2312" w:eastAsia="仿宋_GB2312" w:cs="仿宋_GB2312"/>
          <w:kern w:val="2"/>
          <w:sz w:val="32"/>
          <w:szCs w:val="24"/>
          <w:highlight w:val="none"/>
          <w:lang w:val="en-US" w:eastAsia="zh-CN" w:bidi="ar-SA"/>
        </w:rPr>
        <w:t>展自评时报喜不报忧和扬长避短。</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32" w:firstLineChars="200"/>
        <w:textAlignment w:val="auto"/>
        <w:rPr>
          <w:rFonts w:hint="default" w:ascii="Times New Roman" w:hAnsi="Times New Roman" w:eastAsia="仿宋_GB2312" w:cs="Times New Roman"/>
          <w:kern w:val="2"/>
          <w:sz w:val="32"/>
          <w:szCs w:val="24"/>
          <w:highlight w:val="none"/>
          <w:lang w:val="en-US" w:eastAsia="zh-CN" w:bidi="ar-SA"/>
        </w:rPr>
      </w:pPr>
      <w:r>
        <w:rPr>
          <w:rFonts w:hint="eastAsia" w:ascii="楷体_GB2312" w:hAnsi="楷体_GB2312" w:eastAsia="楷体_GB2312" w:cs="楷体_GB2312"/>
          <w:b/>
          <w:bCs/>
          <w:color w:val="auto"/>
          <w:sz w:val="32"/>
          <w:szCs w:val="32"/>
          <w:lang w:val="en-US" w:eastAsia="zh-CN"/>
        </w:rPr>
        <w:t>（二）</w:t>
      </w:r>
      <w:r>
        <w:rPr>
          <w:rFonts w:hint="default" w:ascii="楷体_GB2312" w:hAnsi="楷体_GB2312" w:eastAsia="楷体_GB2312" w:cs="楷体_GB2312"/>
          <w:b/>
          <w:bCs/>
          <w:color w:val="auto"/>
          <w:sz w:val="32"/>
          <w:szCs w:val="32"/>
          <w:lang w:val="en-US" w:eastAsia="zh-CN"/>
        </w:rPr>
        <w:t>部分预算单位内部预算绩效职责不清。</w:t>
      </w:r>
      <w:r>
        <w:rPr>
          <w:rFonts w:hint="default" w:ascii="Times New Roman" w:hAnsi="Times New Roman" w:eastAsia="仿宋_GB2312" w:cs="Times New Roman"/>
          <w:kern w:val="2"/>
          <w:sz w:val="32"/>
          <w:szCs w:val="24"/>
          <w:highlight w:val="none"/>
          <w:lang w:val="en-US" w:eastAsia="zh-CN" w:bidi="ar-SA"/>
        </w:rPr>
        <w:t>预算绩效管理工作力量安排不到位，很多部门都是财务科室独立自完成项目的绩效申报、自评。财务科室缺乏专业人员，缺少业务科室的协调配合，把本该有业务科室承担的绩效工作扛了过来，简单地将绩效目标制定、跟踪监控等专业性工作归口于财务人员，没有专人承担绩效管理职责，业务管理与绩效管理脱节，弱化了实施预算绩效管理的最基本环节。</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textAlignment w:val="auto"/>
        <w:rPr>
          <w:rFonts w:hint="default" w:ascii="Times New Roman" w:hAnsi="Times New Roman" w:eastAsia="仿宋_GB2312" w:cs="Times New Roman"/>
          <w:sz w:val="32"/>
          <w:szCs w:val="32"/>
          <w:lang w:val="en-US" w:eastAsia="zh-CN"/>
        </w:rPr>
      </w:pPr>
      <w:r>
        <w:rPr>
          <w:rFonts w:hint="default" w:ascii="楷体_GB2312" w:hAnsi="楷体_GB2312" w:eastAsia="楷体_GB2312" w:cs="楷体_GB2312"/>
          <w:b/>
          <w:bCs/>
          <w:color w:val="auto"/>
          <w:sz w:val="32"/>
          <w:szCs w:val="32"/>
          <w:lang w:val="en-US" w:eastAsia="zh-CN"/>
        </w:rPr>
        <w:t>（</w:t>
      </w:r>
      <w:r>
        <w:rPr>
          <w:rFonts w:hint="eastAsia" w:ascii="楷体_GB2312" w:hAnsi="楷体_GB2312" w:eastAsia="楷体_GB2312" w:cs="楷体_GB2312"/>
          <w:b/>
          <w:bCs/>
          <w:color w:val="auto"/>
          <w:sz w:val="32"/>
          <w:szCs w:val="32"/>
          <w:lang w:val="en-US" w:eastAsia="zh-CN"/>
        </w:rPr>
        <w:t>三</w:t>
      </w:r>
      <w:r>
        <w:rPr>
          <w:rFonts w:hint="default" w:ascii="楷体_GB2312" w:hAnsi="楷体_GB2312" w:eastAsia="楷体_GB2312" w:cs="楷体_GB2312"/>
          <w:b/>
          <w:bCs/>
          <w:color w:val="auto"/>
          <w:sz w:val="32"/>
          <w:szCs w:val="32"/>
          <w:lang w:val="en-US" w:eastAsia="zh-CN"/>
        </w:rPr>
        <w:t>）绩效目标设置不够细化量化。</w:t>
      </w:r>
      <w:r>
        <w:rPr>
          <w:rFonts w:hint="default" w:ascii="Times New Roman" w:hAnsi="Times New Roman" w:eastAsia="仿宋_GB2312" w:cs="Times New Roman"/>
          <w:kern w:val="2"/>
          <w:sz w:val="32"/>
          <w:szCs w:val="24"/>
          <w:lang w:val="en-US" w:eastAsia="zh-CN" w:bidi="ar-SA"/>
        </w:rPr>
        <w:t>各预算单位在制定预算绩效目标时，往往存在绩效指标设置不够细化量化的问题，从而导致</w:t>
      </w:r>
      <w:r>
        <w:rPr>
          <w:rFonts w:hint="default" w:ascii="Times New Roman" w:hAnsi="Times New Roman" w:eastAsia="仿宋_GB2312" w:cs="Times New Roman"/>
          <w:sz w:val="32"/>
          <w:szCs w:val="32"/>
          <w:lang w:val="en-US" w:eastAsia="zh-CN"/>
        </w:rPr>
        <w:t>绩效目标的前置引领和过程约束作用不能有效发挥。</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firstLine="640"/>
        <w:textAlignment w:val="auto"/>
        <w:outlineLvl w:val="9"/>
        <w:rPr>
          <w:rFonts w:hint="default" w:ascii="Times New Roman" w:hAnsi="Times New Roman" w:eastAsia="仿宋_GB2312" w:cs="Times New Roman"/>
          <w:color w:val="000000"/>
          <w:kern w:val="0"/>
          <w:sz w:val="32"/>
          <w:szCs w:val="32"/>
          <w:lang w:val="en-US" w:eastAsia="zh-CN" w:bidi="ar"/>
        </w:rPr>
      </w:pPr>
      <w:r>
        <w:rPr>
          <w:rFonts w:hint="default" w:ascii="楷体_GB2312" w:hAnsi="楷体_GB2312" w:eastAsia="楷体_GB2312" w:cs="楷体_GB2312"/>
          <w:b/>
          <w:bCs/>
          <w:color w:val="auto"/>
          <w:sz w:val="32"/>
          <w:szCs w:val="32"/>
          <w:lang w:val="en-US" w:eastAsia="zh-CN"/>
        </w:rPr>
        <w:t>（</w:t>
      </w:r>
      <w:r>
        <w:rPr>
          <w:rFonts w:hint="eastAsia" w:ascii="楷体_GB2312" w:hAnsi="楷体_GB2312" w:eastAsia="楷体_GB2312" w:cs="楷体_GB2312"/>
          <w:b/>
          <w:bCs/>
          <w:color w:val="auto"/>
          <w:sz w:val="32"/>
          <w:szCs w:val="32"/>
          <w:lang w:val="en-US" w:eastAsia="zh-CN"/>
        </w:rPr>
        <w:t>四</w:t>
      </w:r>
      <w:r>
        <w:rPr>
          <w:rFonts w:hint="default" w:ascii="楷体_GB2312" w:hAnsi="楷体_GB2312" w:eastAsia="楷体_GB2312" w:cs="楷体_GB2312"/>
          <w:b/>
          <w:bCs/>
          <w:color w:val="auto"/>
          <w:sz w:val="32"/>
          <w:szCs w:val="32"/>
          <w:lang w:val="en-US" w:eastAsia="zh-CN"/>
        </w:rPr>
        <w:t>）部分预算单位未按文件要求开展绩效自评工作。</w:t>
      </w:r>
      <w:r>
        <w:rPr>
          <w:rFonts w:hint="default" w:ascii="Times New Roman" w:hAnsi="Times New Roman" w:eastAsia="仿宋_GB2312" w:cs="Times New Roman"/>
          <w:kern w:val="2"/>
          <w:sz w:val="32"/>
          <w:szCs w:val="32"/>
          <w:lang w:val="en-US" w:eastAsia="zh-CN" w:bidi="ar-SA"/>
        </w:rPr>
        <w:t>《金川县财政局关于开展2023年部门、政策和项目支出绩效评价工作的通知》（金财监绩〔2023〕32号）文件</w:t>
      </w:r>
      <w:r>
        <w:rPr>
          <w:rFonts w:hint="default" w:ascii="Times New Roman" w:hAnsi="Times New Roman" w:eastAsia="仿宋_GB2312" w:cs="Times New Roman"/>
          <w:color w:val="000000"/>
          <w:kern w:val="0"/>
          <w:sz w:val="32"/>
          <w:szCs w:val="32"/>
          <w:highlight w:val="none"/>
          <w:lang w:val="en-US" w:eastAsia="zh-CN" w:bidi="ar"/>
        </w:rPr>
        <w:t>，明确要求</w:t>
      </w:r>
      <w:r>
        <w:rPr>
          <w:rFonts w:hint="default" w:ascii="Times New Roman" w:hAnsi="Times New Roman" w:eastAsia="仿宋_GB2312" w:cs="Times New Roman"/>
          <w:color w:val="000000"/>
          <w:kern w:val="0"/>
          <w:sz w:val="32"/>
          <w:szCs w:val="32"/>
          <w:lang w:val="en-US" w:eastAsia="zh-CN" w:bidi="ar"/>
        </w:rPr>
        <w:t>50</w:t>
      </w:r>
      <w:r>
        <w:rPr>
          <w:rFonts w:hint="default" w:ascii="Times New Roman" w:hAnsi="Times New Roman" w:eastAsia="仿宋_GB2312" w:cs="Times New Roman"/>
          <w:color w:val="000000"/>
          <w:kern w:val="0"/>
          <w:sz w:val="32"/>
          <w:szCs w:val="32"/>
          <w:highlight w:val="none"/>
          <w:lang w:val="en-US" w:eastAsia="zh-CN" w:bidi="ar"/>
        </w:rPr>
        <w:t>万元（含）以上的特定目标类部门预算项目、专项预算项目</w:t>
      </w:r>
      <w:r>
        <w:rPr>
          <w:rFonts w:hint="default" w:ascii="Times New Roman" w:hAnsi="Times New Roman" w:eastAsia="仿宋_GB2312" w:cs="Times New Roman"/>
          <w:b/>
          <w:bCs/>
          <w:color w:val="000000"/>
          <w:kern w:val="0"/>
          <w:sz w:val="32"/>
          <w:szCs w:val="32"/>
          <w:lang w:val="en-US" w:eastAsia="zh-CN" w:bidi="ar"/>
        </w:rPr>
        <w:t>（</w:t>
      </w:r>
      <w:r>
        <w:rPr>
          <w:rFonts w:hint="default" w:ascii="Times New Roman" w:hAnsi="Times New Roman" w:eastAsia="仿宋_GB2312" w:cs="Times New Roman"/>
          <w:color w:val="000000"/>
          <w:kern w:val="0"/>
          <w:sz w:val="32"/>
          <w:szCs w:val="32"/>
          <w:lang w:val="en-US" w:eastAsia="zh-CN" w:bidi="ar"/>
        </w:rPr>
        <w:t>中央、省直达资金和州级对应安排的相关资金在内的本部门管理的所有专项预算项目）</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color w:val="000000"/>
          <w:kern w:val="0"/>
          <w:sz w:val="32"/>
          <w:szCs w:val="32"/>
          <w:lang w:val="en-US" w:eastAsia="zh-CN" w:bidi="ar"/>
        </w:rPr>
        <w:t>其他“三本预算”项目和资本资产项目，单位需开展自评，但实际单位只对财政重点抽评的政策（项目）开展了自评。</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textAlignment w:val="auto"/>
        <w:rPr>
          <w:rFonts w:hint="default" w:ascii="Times New Roman" w:hAnsi="Times New Roman" w:eastAsia="仿宋_GB2312" w:cs="Times New Roman"/>
          <w:kern w:val="2"/>
          <w:sz w:val="32"/>
          <w:szCs w:val="24"/>
          <w:lang w:val="en-US" w:eastAsia="zh-CN" w:bidi="ar-SA"/>
        </w:rPr>
      </w:pPr>
      <w:r>
        <w:rPr>
          <w:rFonts w:hint="default" w:ascii="楷体_GB2312" w:hAnsi="楷体_GB2312" w:eastAsia="楷体_GB2312" w:cs="楷体_GB2312"/>
          <w:b/>
          <w:bCs/>
          <w:color w:val="auto"/>
          <w:sz w:val="32"/>
          <w:szCs w:val="32"/>
          <w:lang w:val="en-US" w:eastAsia="zh-CN"/>
        </w:rPr>
        <w:t>（</w:t>
      </w:r>
      <w:r>
        <w:rPr>
          <w:rFonts w:hint="eastAsia" w:ascii="楷体_GB2312" w:hAnsi="楷体_GB2312" w:eastAsia="楷体_GB2312" w:cs="楷体_GB2312"/>
          <w:b/>
          <w:bCs/>
          <w:color w:val="auto"/>
          <w:sz w:val="32"/>
          <w:szCs w:val="32"/>
          <w:lang w:val="en-US" w:eastAsia="zh-CN"/>
        </w:rPr>
        <w:t>五</w:t>
      </w:r>
      <w:r>
        <w:rPr>
          <w:rFonts w:hint="default" w:ascii="楷体_GB2312" w:hAnsi="楷体_GB2312" w:eastAsia="楷体_GB2312" w:cs="楷体_GB2312"/>
          <w:b/>
          <w:bCs/>
          <w:color w:val="auto"/>
          <w:sz w:val="32"/>
          <w:szCs w:val="32"/>
          <w:lang w:val="en-US" w:eastAsia="zh-CN"/>
        </w:rPr>
        <w:t>）人员素质有待进一步提高。</w:t>
      </w:r>
      <w:r>
        <w:rPr>
          <w:rFonts w:hint="default" w:ascii="Times New Roman" w:hAnsi="Times New Roman" w:eastAsia="仿宋_GB2312" w:cs="Times New Roman"/>
          <w:kern w:val="2"/>
          <w:sz w:val="32"/>
          <w:szCs w:val="24"/>
          <w:lang w:val="en-US" w:eastAsia="zh-CN" w:bidi="ar-SA"/>
        </w:rPr>
        <w:t>预算绩效管理工作的覆盖面广、专业性强，无论是预算单位在开展日常管理，还是财政部组织实施绩效评价，都需要具备一定专业素养和实战经验。预算绩效管理专业人才匮乏，既没有现成的经验可借鉴，又缺乏专业性很强的技能储备，只能边工作、边学习，边积累，工作质量还有待提高。</w:t>
      </w:r>
    </w:p>
    <w:p>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right="0" w:rightChars="0" w:firstLine="632" w:firstLineChars="200"/>
        <w:jc w:val="left"/>
        <w:textAlignment w:val="auto"/>
        <w:outlineLvl w:val="9"/>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三、下一步工作打算</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2" w:firstLineChars="200"/>
        <w:textAlignment w:val="auto"/>
        <w:rPr>
          <w:rFonts w:hint="default" w:ascii="Times New Roman" w:hAnsi="Times New Roman" w:eastAsia="仿宋_GB2312" w:cs="Times New Roman"/>
          <w:b w:val="0"/>
          <w:bCs w:val="0"/>
          <w:color w:val="333333"/>
          <w:sz w:val="32"/>
          <w:szCs w:val="32"/>
          <w:lang w:val="en-US" w:eastAsia="zh-CN"/>
        </w:rPr>
      </w:pPr>
      <w:r>
        <w:rPr>
          <w:rFonts w:hint="default" w:ascii="Times New Roman" w:hAnsi="Times New Roman" w:eastAsia="楷体" w:cs="Times New Roman"/>
          <w:b/>
          <w:bCs/>
          <w:color w:val="333333"/>
          <w:sz w:val="32"/>
          <w:szCs w:val="32"/>
          <w:lang w:val="en-US" w:eastAsia="zh-CN"/>
        </w:rPr>
        <w:t>(一）加大宣传，强化预算绩效管理理念。</w:t>
      </w:r>
      <w:r>
        <w:rPr>
          <w:rFonts w:hint="default" w:ascii="Times New Roman" w:hAnsi="Times New Roman" w:eastAsia="仿宋_GB2312" w:cs="Times New Roman"/>
          <w:b w:val="0"/>
          <w:bCs w:val="0"/>
          <w:color w:val="333333"/>
          <w:sz w:val="32"/>
          <w:szCs w:val="32"/>
          <w:lang w:val="en-US" w:eastAsia="zh-CN"/>
        </w:rPr>
        <w:t>一方面召开专题培训、分类指导等多种形式，组织预算单位和工作人员学习预算绩效管理的法律法规、规范要求，让绩效管理理念深入人心，让绩效管理人员熟知政策、知行合一。另一方面通过专题工作报告 、情况通报、工作简报等方式，积极向党政机关和主要领导报告工作情况，让主要领导及时掌握预算绩效管理的推进情况、实际效果和存在的问题，以利于及时作出决策，支持并帮助解决工作中出现的困难和问题，有效运用绩效评价结果调整管理思路。</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31"/>
        <w:jc w:val="both"/>
        <w:textAlignment w:val="auto"/>
        <w:rPr>
          <w:rFonts w:hint="default" w:ascii="Times New Roman" w:hAnsi="Times New Roman" w:eastAsia="方正仿宋_GBK" w:cs="Times New Roman"/>
          <w:bCs/>
          <w:color w:val="000000"/>
          <w:sz w:val="32"/>
          <w:szCs w:val="32"/>
          <w:lang w:val="en-US" w:eastAsia="zh-CN" w:bidi="ar-SA"/>
        </w:rPr>
      </w:pPr>
      <w:r>
        <w:rPr>
          <w:rFonts w:hint="default" w:ascii="Times New Roman" w:hAnsi="Times New Roman" w:eastAsia="楷体" w:cs="Times New Roman"/>
          <w:b/>
          <w:bCs/>
          <w:color w:val="333333"/>
          <w:sz w:val="32"/>
          <w:szCs w:val="32"/>
          <w:lang w:val="en-US" w:eastAsia="zh-CN"/>
        </w:rPr>
        <w:t>（二）加强队伍建设，提高管理水平。</w:t>
      </w:r>
      <w:r>
        <w:rPr>
          <w:rFonts w:hint="default" w:ascii="Times New Roman" w:hAnsi="Times New Roman" w:eastAsia="仿宋_GB2312" w:cs="Times New Roman"/>
          <w:b w:val="0"/>
          <w:bCs w:val="0"/>
          <w:kern w:val="2"/>
          <w:sz w:val="32"/>
          <w:szCs w:val="24"/>
          <w:lang w:val="en-US" w:eastAsia="zh-CN" w:bidi="ar-SA"/>
        </w:rPr>
        <w:t>针</w:t>
      </w:r>
      <w:r>
        <w:rPr>
          <w:rFonts w:hint="default" w:ascii="Times New Roman" w:hAnsi="Times New Roman" w:eastAsia="仿宋_GB2312" w:cs="Times New Roman"/>
          <w:kern w:val="2"/>
          <w:sz w:val="32"/>
          <w:szCs w:val="24"/>
          <w:lang w:val="en-US" w:eastAsia="zh-CN" w:bidi="ar-SA"/>
        </w:rPr>
        <w:t>对预算绩效管理专业人才匮乏和管理人员专业性不强的现状，一是引入三方参与进来、集中业务骨干充实财政预算绩效管理队伍，强化专业培训、工作调研、业务交流等措施，帮助和促进现有人员提高政策理论水平、实际工作能力。二是积极对接县委组织部等相关部门，将全面实施预算绩效管理纳入党政干部培训课程体系，逐步实现对地方党政部门负责同志的常态化培训，推动各预算单位牢固树立绩效理念，增强绩效意识，落实主体责任，将绩效理念方法融入决策管理，促进各预算单位绩效管理整体上台阶。</w:t>
      </w: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88" w:firstLineChars="1800"/>
        <w:jc w:val="both"/>
        <w:textAlignment w:val="auto"/>
        <w:rPr>
          <w:rFonts w:hint="default" w:ascii="Times New Roman" w:hAnsi="Times New Roman" w:eastAsia="方正仿宋_GBK" w:cs="Times New Roman"/>
          <w:bCs/>
          <w:color w:val="00000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88" w:firstLineChars="1800"/>
        <w:jc w:val="both"/>
        <w:textAlignment w:val="auto"/>
        <w:rPr>
          <w:rFonts w:hint="default" w:ascii="Times New Roman" w:hAnsi="Times New Roman" w:eastAsia="方正仿宋_GBK" w:cs="Times New Roman"/>
          <w:bCs/>
          <w:color w:val="00000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5688" w:firstLineChars="1800"/>
        <w:jc w:val="both"/>
        <w:textAlignment w:val="auto"/>
        <w:rPr>
          <w:rFonts w:hint="default" w:ascii="Times New Roman" w:hAnsi="Times New Roman" w:eastAsia="方正仿宋_GBK" w:cs="Times New Roman"/>
          <w:bCs/>
          <w:color w:val="000000"/>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5372" w:firstLineChars="1700"/>
        <w:jc w:val="both"/>
        <w:textAlignment w:val="auto"/>
        <w:rPr>
          <w:rFonts w:hint="default"/>
          <w:lang w:val="en-US" w:eastAsia="zh-CN"/>
        </w:rPr>
      </w:pPr>
    </w:p>
    <w:sectPr>
      <w:footerReference r:id="rId3" w:type="default"/>
      <w:pgSz w:w="11906" w:h="16838"/>
      <w:pgMar w:top="2098" w:right="1474" w:bottom="1984" w:left="1587" w:header="851" w:footer="992" w:gutter="0"/>
      <w:pgNumType w:fmt="numberInDash" w:start="2"/>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1"/>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- 1 -</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CF9A29"/>
    <w:multiLevelType w:val="singleLevel"/>
    <w:tmpl w:val="FECF9A2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3NDA5YzJiMGRmN2ZlM2I4MDA4MDE3NjdhMzRmNzEifQ=="/>
  </w:docVars>
  <w:rsids>
    <w:rsidRoot w:val="3FE918A1"/>
    <w:rsid w:val="01907793"/>
    <w:rsid w:val="05592859"/>
    <w:rsid w:val="07481574"/>
    <w:rsid w:val="08F15229"/>
    <w:rsid w:val="09332788"/>
    <w:rsid w:val="09FC05CA"/>
    <w:rsid w:val="0AD03540"/>
    <w:rsid w:val="0AEE5309"/>
    <w:rsid w:val="0D49523F"/>
    <w:rsid w:val="120B1EED"/>
    <w:rsid w:val="133A780B"/>
    <w:rsid w:val="160A5565"/>
    <w:rsid w:val="17651108"/>
    <w:rsid w:val="176D4C21"/>
    <w:rsid w:val="188A3860"/>
    <w:rsid w:val="1A321C24"/>
    <w:rsid w:val="1C3377BD"/>
    <w:rsid w:val="1CC40E0E"/>
    <w:rsid w:val="1D4C48F1"/>
    <w:rsid w:val="1DA42D11"/>
    <w:rsid w:val="1DDB7FE9"/>
    <w:rsid w:val="24E20ABE"/>
    <w:rsid w:val="25B2043D"/>
    <w:rsid w:val="25BD575F"/>
    <w:rsid w:val="27405ED2"/>
    <w:rsid w:val="2768312A"/>
    <w:rsid w:val="288925A9"/>
    <w:rsid w:val="2D6226F7"/>
    <w:rsid w:val="2D933949"/>
    <w:rsid w:val="2FCE2BAC"/>
    <w:rsid w:val="2FEB22A7"/>
    <w:rsid w:val="31A80F04"/>
    <w:rsid w:val="32D90C19"/>
    <w:rsid w:val="334F62B9"/>
    <w:rsid w:val="33DC16BF"/>
    <w:rsid w:val="34094249"/>
    <w:rsid w:val="347C3726"/>
    <w:rsid w:val="34A80469"/>
    <w:rsid w:val="38561A93"/>
    <w:rsid w:val="3A627500"/>
    <w:rsid w:val="3BBA40DC"/>
    <w:rsid w:val="3C6133A7"/>
    <w:rsid w:val="3C8579CC"/>
    <w:rsid w:val="3CD11FBB"/>
    <w:rsid w:val="3E201AF3"/>
    <w:rsid w:val="3FE918A1"/>
    <w:rsid w:val="41445F1F"/>
    <w:rsid w:val="4B4144DE"/>
    <w:rsid w:val="4BF6592E"/>
    <w:rsid w:val="4D0634F7"/>
    <w:rsid w:val="4FFF7E62"/>
    <w:rsid w:val="50867BC5"/>
    <w:rsid w:val="514E3736"/>
    <w:rsid w:val="52942A00"/>
    <w:rsid w:val="52DE5BC0"/>
    <w:rsid w:val="56365E0E"/>
    <w:rsid w:val="590F7140"/>
    <w:rsid w:val="5A327D3C"/>
    <w:rsid w:val="5A533F29"/>
    <w:rsid w:val="5B38262A"/>
    <w:rsid w:val="5B725B4F"/>
    <w:rsid w:val="5C1D42F8"/>
    <w:rsid w:val="6128333A"/>
    <w:rsid w:val="61E80E94"/>
    <w:rsid w:val="62B71CC3"/>
    <w:rsid w:val="63565C1B"/>
    <w:rsid w:val="65174ECF"/>
    <w:rsid w:val="65B06B0C"/>
    <w:rsid w:val="679676DA"/>
    <w:rsid w:val="6A1C4BEF"/>
    <w:rsid w:val="6E296DAB"/>
    <w:rsid w:val="6F5D76F0"/>
    <w:rsid w:val="70890603"/>
    <w:rsid w:val="70EF54C3"/>
    <w:rsid w:val="71D41470"/>
    <w:rsid w:val="726B257C"/>
    <w:rsid w:val="72874A38"/>
    <w:rsid w:val="75C07A9D"/>
    <w:rsid w:val="75F7650B"/>
    <w:rsid w:val="76C41E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0"/>
      <w:lang w:val="en-US" w:eastAsia="zh-CN" w:bidi="ar-SA"/>
    </w:rPr>
  </w:style>
  <w:style w:type="paragraph" w:styleId="3">
    <w:name w:val="heading 1"/>
    <w:basedOn w:val="1"/>
    <w:next w:val="1"/>
    <w:qFormat/>
    <w:uiPriority w:val="0"/>
    <w:pPr>
      <w:keepNext/>
      <w:keepLines/>
      <w:spacing w:beforeLines="0" w:beforeAutospacing="0" w:afterLines="0" w:afterAutospacing="0" w:line="560" w:lineRule="exact"/>
      <w:jc w:val="center"/>
      <w:outlineLvl w:val="0"/>
    </w:pPr>
    <w:rPr>
      <w:rFonts w:eastAsia="方正小标宋简体" w:asciiTheme="minorAscii" w:hAnsiTheme="minorAscii"/>
      <w:kern w:val="44"/>
      <w:sz w:val="44"/>
    </w:rPr>
  </w:style>
  <w:style w:type="paragraph" w:styleId="4">
    <w:name w:val="heading 2"/>
    <w:basedOn w:val="1"/>
    <w:next w:val="1"/>
    <w:unhideWhenUsed/>
    <w:qFormat/>
    <w:uiPriority w:val="0"/>
    <w:pPr>
      <w:keepNext/>
      <w:keepLines/>
      <w:spacing w:beforeLines="0" w:beforeAutospacing="0" w:afterLines="0" w:afterAutospacing="0" w:line="560" w:lineRule="exact"/>
      <w:ind w:firstLine="632" w:firstLineChars="200"/>
      <w:outlineLvl w:val="1"/>
    </w:pPr>
    <w:rPr>
      <w:rFonts w:ascii="Arial" w:hAnsi="Arial" w:eastAsia="黑体" w:cs="Times New Roman"/>
      <w:sz w:val="32"/>
    </w:rPr>
  </w:style>
  <w:style w:type="paragraph" w:styleId="5">
    <w:name w:val="heading 3"/>
    <w:basedOn w:val="1"/>
    <w:next w:val="1"/>
    <w:link w:val="16"/>
    <w:unhideWhenUsed/>
    <w:qFormat/>
    <w:uiPriority w:val="0"/>
    <w:pPr>
      <w:keepNext/>
      <w:keepLines/>
      <w:spacing w:before="260" w:beforeLines="0" w:beforeAutospacing="0" w:after="260" w:afterLines="0" w:afterAutospacing="0" w:line="560" w:lineRule="exact"/>
      <w:ind w:firstLine="632" w:firstLineChars="200"/>
      <w:outlineLvl w:val="2"/>
    </w:pPr>
    <w:rPr>
      <w:rFonts w:ascii="Times New Roman" w:hAnsi="Times New Roman" w:eastAsia="楷体_GB2312" w:cs="Times New Roman"/>
      <w:b/>
      <w:sz w:val="32"/>
    </w:rPr>
  </w:style>
  <w:style w:type="paragraph" w:styleId="6">
    <w:name w:val="heading 4"/>
    <w:basedOn w:val="1"/>
    <w:next w:val="1"/>
    <w:unhideWhenUsed/>
    <w:qFormat/>
    <w:uiPriority w:val="0"/>
    <w:pPr>
      <w:keepNext/>
      <w:keepLines/>
      <w:spacing w:before="280" w:beforeLines="0" w:beforeAutospacing="0" w:after="290" w:afterLines="0" w:afterAutospacing="0" w:line="560" w:lineRule="exact"/>
      <w:ind w:firstLine="632" w:firstLineChars="200"/>
      <w:outlineLvl w:val="3"/>
    </w:pPr>
    <w:rPr>
      <w:rFonts w:ascii="Arial" w:hAnsi="Arial" w:eastAsia="仿宋_GB2312"/>
      <w:b/>
      <w:sz w:val="32"/>
    </w:rPr>
  </w:style>
  <w:style w:type="character" w:default="1" w:styleId="14">
    <w:name w:val="Default Paragraph Font"/>
    <w:semiHidden/>
    <w:qFormat/>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2">
    <w:name w:val="table of figures"/>
    <w:basedOn w:val="1"/>
    <w:next w:val="1"/>
    <w:qFormat/>
    <w:uiPriority w:val="0"/>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kinsoku/>
      <w:wordWrap/>
      <w:overflowPunct/>
      <w:topLinePunct w:val="0"/>
      <w:autoSpaceDE/>
      <w:autoSpaceDN/>
      <w:bidi w:val="0"/>
      <w:adjustRightInd/>
      <w:snapToGrid/>
      <w:spacing w:before="100" w:beforeAutospacing="1" w:after="100" w:afterAutospacing="1" w:line="240" w:lineRule="auto"/>
      <w:ind w:left="400" w:leftChars="200" w:right="0" w:hanging="200" w:hangingChars="200"/>
      <w:jc w:val="both"/>
      <w:textAlignment w:val="auto"/>
      <w:outlineLvl w:val="9"/>
    </w:pPr>
    <w:rPr>
      <w:rFonts w:ascii="Calibri" w:hAnsi="Calibri" w:eastAsia="宋体" w:cs="Times New Roman"/>
      <w:snapToGrid/>
      <w:color w:val="auto"/>
      <w:spacing w:val="0"/>
      <w:w w:val="100"/>
      <w:kern w:val="2"/>
      <w:position w:val="0"/>
      <w:sz w:val="21"/>
      <w:szCs w:val="21"/>
      <w:u w:val="none" w:color="auto"/>
      <w:vertAlign w:val="baseline"/>
      <w:lang w:val="en-US" w:eastAsia="zh-CN" w:bidi="ar-SA"/>
    </w:rPr>
  </w:style>
  <w:style w:type="paragraph" w:styleId="7">
    <w:name w:val="index 5"/>
    <w:basedOn w:val="1"/>
    <w:next w:val="1"/>
    <w:qFormat/>
    <w:uiPriority w:val="0"/>
    <w:pPr>
      <w:ind w:left="1680"/>
    </w:pPr>
  </w:style>
  <w:style w:type="paragraph" w:styleId="8">
    <w:name w:val="Body Text"/>
    <w:basedOn w:val="1"/>
    <w:qFormat/>
    <w:uiPriority w:val="0"/>
    <w:pPr>
      <w:spacing w:after="120" w:afterLines="0" w:afterAutospacing="0"/>
    </w:pPr>
  </w:style>
  <w:style w:type="paragraph" w:styleId="9">
    <w:name w:val="Body Text Indent"/>
    <w:basedOn w:val="10"/>
    <w:qFormat/>
    <w:uiPriority w:val="0"/>
    <w:pPr>
      <w:ind w:firstLine="560" w:firstLineChars="200"/>
    </w:pPr>
    <w:rPr>
      <w:rFonts w:ascii="宋体" w:hAnsi="宋体"/>
    </w:rPr>
  </w:style>
  <w:style w:type="paragraph" w:styleId="10">
    <w:name w:val="Body Text 2"/>
    <w:basedOn w:val="1"/>
    <w:qFormat/>
    <w:uiPriority w:val="0"/>
    <w:rPr>
      <w:sz w:val="28"/>
    </w:rPr>
  </w:style>
  <w:style w:type="paragraph" w:styleId="11">
    <w:name w:val="footer"/>
    <w:basedOn w:val="1"/>
    <w:qFormat/>
    <w:uiPriority w:val="0"/>
    <w:pPr>
      <w:tabs>
        <w:tab w:val="center" w:pos="4153"/>
        <w:tab w:val="right" w:pos="8306"/>
      </w:tabs>
      <w:snapToGrid w:val="0"/>
      <w:jc w:val="left"/>
    </w:pPr>
    <w:rPr>
      <w:sz w:val="18"/>
    </w:rPr>
  </w:style>
  <w:style w:type="paragraph" w:styleId="12">
    <w:name w:val="Body Text First Indent 2"/>
    <w:basedOn w:val="9"/>
    <w:qFormat/>
    <w:uiPriority w:val="0"/>
    <w:pPr>
      <w:ind w:firstLine="420"/>
    </w:p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6">
    <w:name w:val="标题 3 Char"/>
    <w:link w:val="5"/>
    <w:qFormat/>
    <w:uiPriority w:val="0"/>
    <w:rPr>
      <w:rFonts w:ascii="Times New Roman" w:hAnsi="Times New Roman" w:eastAsia="楷体_GB2312" w:cs="Times New Roman"/>
      <w:b/>
      <w:sz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150</Words>
  <Characters>474</Characters>
  <Lines>0</Lines>
  <Paragraphs>0</Paragraphs>
  <TotalTime>207</TotalTime>
  <ScaleCrop>false</ScaleCrop>
  <LinksUpToDate>false</LinksUpToDate>
  <CharactersWithSpaces>540</CharactersWithSpaces>
  <Application>WPS Office_11.1.0.7832_F1E327BC-269C-435d-A152-05C5408002CA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2022-04-26T08:20:00Z</dcterms:created>
  <dc:creator>Seven-nine </dc:creator>
  <cp:lastModifiedBy>Administrator</cp:lastModifiedBy>
  <cp:lastPrinted>2024-01-12T04:00:00Z</cp:lastPrinted>
  <dcterms:modified xsi:type="dcterms:W3CDTF">2024-02-27T07:12:08Z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2052-11.1.0.7832</vt:lpwstr>
  </property>
  <property fmtid="{D5CDD505-2E9C-101B-9397-08002B2CF9AE}" pid="3" name="ICV">
    <vt:lpwstr>AC689CE895334AD3A682C8F6099862A6</vt:lpwstr>
  </property>
</Properties>
</file>