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金川县财政局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关于2022年预算绩效管理工作开展情况的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报  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outlineLvl w:val="9"/>
        <w:rPr>
          <w:rFonts w:hint="eastAsia" w:ascii="方正小标宋简体" w:hAnsi="方正小标宋简体" w:eastAsia="方正小标宋简体" w:cs="方正小标宋简体"/>
          <w:sz w:val="44"/>
          <w:szCs w:val="44"/>
          <w:lang w:eastAsia="zh-CN"/>
        </w:rPr>
      </w:pPr>
      <w:r>
        <w:rPr>
          <w:rFonts w:hint="eastAsia" w:ascii="仿宋_GB2312" w:hAnsi="仿宋_GB2312" w:eastAsia="仿宋_GB2312" w:cs="仿宋_GB2312"/>
          <w:sz w:val="32"/>
          <w:szCs w:val="32"/>
          <w:lang w:val="en-US" w:eastAsia="zh-CN"/>
        </w:rPr>
        <w:t>中共金川县委办公室，金川县人民政府：</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今年以来，我</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深入贯彻落实《中共中央 国务院关于全面实施预算绩效管理的意见》（中发〔2018〕34号）、《中共四川省委 四川省人民政府关于全面实施预算绩效管理的实施意见》（川委发〔2019〕8号〕决策部署</w:t>
      </w:r>
      <w:r>
        <w:rPr>
          <w:rFonts w:hint="eastAsia" w:ascii="Times New Roman" w:hAnsi="Times New Roman" w:eastAsia="仿宋_GB2312" w:cs="Times New Roman"/>
          <w:sz w:val="32"/>
          <w:szCs w:val="32"/>
          <w:lang w:val="en-US" w:eastAsia="zh-CN"/>
        </w:rPr>
        <w:t>和《中共四川省委办公厅 四川省人民政府办公厅关于深入实施预算绩效管理的通知》（川委厅〔2022〕5号）文件要求，切实推动全县预算绩效管理进一步提质增效，现将我县本年预算绩效管理工作开展情况汇报如下：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工作开展情况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（一）完善制度建设，压实主体责任。</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根据《阿坝州财政局关于印发&lt;阿坝州州级预算绩效管理工作要点&gt;的通知》(阿州财监绩〔2022〕5号)文件，结合我县实际印发了《金川县县级预算绩效管理工作要点》（金财监绩〔2022〕10号），为全县预算绩效管理工作指明了方向，使全年各项工作的开展有据可依</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根据《中共四川省委办公厅 四川省人民政府办公厅关于深入推进实施预算绩效管理的通知》(川委厅〔2022〕5号)，结合我县实际，制定了《金川县财政局关于深入推进实施预算绩效管理的实施方案》，为进一步建立科学、规范、高效的项目资金使用和管理提供制度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（二）持续优化绩效管理闭环。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31"/>
        <w:textAlignment w:val="auto"/>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b/>
          <w:bCs/>
          <w:color w:val="000000"/>
          <w:kern w:val="2"/>
          <w:sz w:val="32"/>
          <w:szCs w:val="32"/>
          <w:lang w:val="en-US" w:eastAsia="zh-CN" w:bidi="ar-SA"/>
        </w:rPr>
        <w:t>一是切实前移绩效管理关口。</w:t>
      </w:r>
      <w:r>
        <w:rPr>
          <w:rFonts w:hint="default" w:ascii="Times New Roman" w:hAnsi="Times New Roman" w:eastAsia="仿宋_GB2312" w:cs="Times New Roman"/>
          <w:sz w:val="32"/>
          <w:szCs w:val="32"/>
          <w:lang w:val="en-US" w:eastAsia="zh-CN"/>
        </w:rPr>
        <w:t>充分发挥绩效目标的前置引领和过程约束作用</w:t>
      </w:r>
      <w:r>
        <w:rPr>
          <w:rFonts w:hint="eastAsia" w:ascii="Times New Roman" w:hAnsi="Times New Roman" w:eastAsia="仿宋_GB2312" w:cs="Times New Roman"/>
          <w:sz w:val="32"/>
          <w:szCs w:val="32"/>
          <w:lang w:val="en-US" w:eastAsia="zh-CN"/>
        </w:rPr>
        <w:t>，借助预算一体化平台将项目绩效目标作为单位预算项目的前置条件，对所有单位预算项目的绩效目标进行审</w:t>
      </w:r>
      <w:r>
        <w:rPr>
          <w:rFonts w:hint="default" w:ascii="Times New Roman" w:hAnsi="Times New Roman" w:eastAsia="仿宋_GB2312" w:cs="Times New Roman"/>
          <w:sz w:val="32"/>
          <w:szCs w:val="32"/>
          <w:lang w:val="en-US" w:eastAsia="zh-CN"/>
        </w:rPr>
        <w:t>核</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做到绩效目标细化量化与预算安排相匹配</w:t>
      </w:r>
      <w:r>
        <w:rPr>
          <w:rFonts w:hint="eastAsia"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lang w:val="en-US" w:eastAsia="zh-CN"/>
        </w:rPr>
        <w:t>绩效目标不细不实的不予入库、不予安排预算</w:t>
      </w:r>
      <w:r>
        <w:rPr>
          <w:rFonts w:hint="eastAsia" w:ascii="Times New Roman" w:hAnsi="Times New Roman" w:eastAsia="仿宋_GB2312" w:cs="Times New Roman"/>
          <w:sz w:val="32"/>
          <w:szCs w:val="32"/>
          <w:lang w:val="en-US" w:eastAsia="zh-CN"/>
        </w:rPr>
        <w:t>，已实现2022年项目绩效目标管理全覆盖。编制完成2023年年初预算项目绩效目标161个，部门整体绩效目标83个。</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二是持续扩大项目事前绩效评估覆盖面</w:t>
      </w:r>
      <w:r>
        <w:rPr>
          <w:rFonts w:hint="eastAsia" w:ascii="仿宋_GB2312" w:hAnsi="仿宋_GB2312" w:eastAsia="仿宋_GB2312" w:cs="仿宋_GB2312"/>
          <w:kern w:val="2"/>
          <w:sz w:val="32"/>
          <w:szCs w:val="24"/>
          <w:lang w:val="en-US" w:eastAsia="zh-CN" w:bidi="ar-SA"/>
        </w:rPr>
        <w:t>。</w:t>
      </w:r>
      <w:r>
        <w:rPr>
          <w:rFonts w:hint="eastAsia" w:ascii="Times New Roman" w:hAnsi="Times New Roman" w:eastAsia="仿宋_GB2312" w:cs="Times New Roman"/>
          <w:kern w:val="2"/>
          <w:sz w:val="32"/>
          <w:szCs w:val="32"/>
          <w:lang w:val="en-US" w:eastAsia="zh-CN" w:bidi="ar-SA"/>
        </w:rPr>
        <w:t>借助预算一体化平台，已实现2022年单位预算项目事前绩效评估全覆盖。财政对年度新增100万元(含100万元)以上的部门预算项目、年度预算增幅达到20%或增加金额100万元(含100万元)以上的延续性部门预算、项目和新出台的重大政策进行预算事前绩效评估。2022年财政对年初预算8个项目和年度新增1个项目，共计9个项目，涉及资金2453.22万元，开展了事前绩效评估。2023年年初预算8个项目涉及资金1364.38万元 ，委托三方机构正在开展预算项目事前绩效评估工作。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31"/>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bCs/>
          <w:color w:val="000000"/>
          <w:kern w:val="2"/>
          <w:sz w:val="32"/>
          <w:szCs w:val="32"/>
          <w:lang w:val="en-US" w:eastAsia="zh-CN" w:bidi="ar-SA"/>
        </w:rPr>
        <w:t>三是全面实施绩效运行监控</w:t>
      </w:r>
      <w:r>
        <w:rPr>
          <w:rFonts w:hint="eastAsia" w:ascii="楷体_GB2312" w:hAnsi="楷体_GB2312" w:eastAsia="楷体_GB2312" w:cs="楷体_GB2312"/>
          <w:b/>
          <w:bCs/>
          <w:color w:val="000000"/>
          <w:kern w:val="2"/>
          <w:sz w:val="32"/>
          <w:szCs w:val="32"/>
          <w:lang w:val="en-US" w:eastAsia="zh-CN" w:bidi="ar-SA"/>
        </w:rPr>
        <w:t>。</w:t>
      </w:r>
      <w:r>
        <w:rPr>
          <w:rFonts w:hint="default" w:ascii="Times New Roman" w:hAnsi="Times New Roman" w:eastAsia="仿宋_GB2312" w:cs="Times New Roman"/>
          <w:sz w:val="32"/>
          <w:szCs w:val="32"/>
          <w:lang w:val="en-US" w:eastAsia="zh-CN"/>
        </w:rPr>
        <w:t>对绩效目标实现程度和</w:t>
      </w:r>
      <w:r>
        <w:rPr>
          <w:rFonts w:hint="eastAsia" w:ascii="Times New Roman" w:hAnsi="Times New Roman" w:eastAsia="仿宋_GB2312" w:cs="Times New Roman"/>
          <w:sz w:val="32"/>
          <w:szCs w:val="32"/>
          <w:lang w:val="en-US" w:eastAsia="zh-CN"/>
        </w:rPr>
        <w:t>预</w:t>
      </w:r>
      <w:r>
        <w:rPr>
          <w:rFonts w:hint="default" w:ascii="Times New Roman" w:hAnsi="Times New Roman" w:eastAsia="仿宋_GB2312" w:cs="Times New Roman"/>
          <w:sz w:val="32"/>
          <w:szCs w:val="32"/>
          <w:lang w:val="en-US" w:eastAsia="zh-CN"/>
        </w:rPr>
        <w:t>算执行进度实行“双监控”，</w:t>
      </w:r>
      <w:r>
        <w:rPr>
          <w:rFonts w:hint="eastAsia" w:ascii="Times New Roman" w:hAnsi="Times New Roman" w:eastAsia="仿宋_GB2312" w:cs="Times New Roman"/>
          <w:sz w:val="32"/>
          <w:szCs w:val="32"/>
          <w:lang w:val="en-US" w:eastAsia="zh-CN"/>
        </w:rPr>
        <w:t>8月份印发了《金川县财政局关于开展2022年度绩效运行自行监控工作的通知</w:t>
      </w:r>
      <w:bookmarkStart w:id="0" w:name="_GoBack"/>
      <w:bookmarkEnd w:id="0"/>
      <w:r>
        <w:rPr>
          <w:rFonts w:hint="eastAsia" w:ascii="Times New Roman" w:hAnsi="Times New Roman" w:eastAsia="仿宋_GB2312" w:cs="Times New Roman"/>
          <w:sz w:val="32"/>
          <w:szCs w:val="32"/>
          <w:lang w:val="en-US" w:eastAsia="zh-CN"/>
        </w:rPr>
        <w:t>》（金财监绩</w:t>
      </w:r>
      <w:r>
        <w:rPr>
          <w:rFonts w:hint="default" w:ascii="Times New Roman" w:hAnsi="Times New Roman" w:eastAsia="仿宋_GB2312" w:cs="Times New Roman"/>
          <w:sz w:val="32"/>
          <w:szCs w:val="32"/>
          <w:lang w:val="en-US" w:eastAsia="zh-CN"/>
        </w:rPr>
        <w:t>〔2022〕</w:t>
      </w:r>
      <w:r>
        <w:rPr>
          <w:rFonts w:hint="eastAsia" w:ascii="Times New Roman" w:hAnsi="Times New Roman" w:eastAsia="仿宋_GB2312" w:cs="Times New Roman"/>
          <w:sz w:val="32"/>
          <w:szCs w:val="32"/>
          <w:lang w:val="en-US" w:eastAsia="zh-CN"/>
        </w:rPr>
        <w:t>23</w:t>
      </w:r>
      <w:r>
        <w:rPr>
          <w:rFonts w:hint="eastAsia" w:ascii="仿宋_GB2312" w:hAnsi="仿宋_GB2312" w:eastAsia="仿宋_GB2312" w:cs="仿宋_GB2312"/>
          <w:kern w:val="2"/>
          <w:sz w:val="32"/>
          <w:szCs w:val="32"/>
          <w:lang w:val="en-US" w:eastAsia="zh-CN" w:bidi="ar-SA"/>
        </w:rPr>
        <w:t>号</w:t>
      </w:r>
      <w:r>
        <w:rPr>
          <w:rFonts w:hint="eastAsia" w:ascii="Times New Roman" w:hAnsi="Times New Roman" w:eastAsia="仿宋_GB2312" w:cs="Times New Roman"/>
          <w:sz w:val="32"/>
          <w:szCs w:val="32"/>
          <w:lang w:val="en-US" w:eastAsia="zh-CN" w:bidi="ar-SA"/>
        </w:rPr>
        <w:t>），</w:t>
      </w:r>
      <w:r>
        <w:rPr>
          <w:rFonts w:hint="eastAsia" w:ascii="Times New Roman" w:hAnsi="Times New Roman" w:eastAsia="仿宋_GB2312" w:cs="Times New Roman"/>
          <w:sz w:val="32"/>
          <w:szCs w:val="32"/>
          <w:lang w:val="en-US" w:eastAsia="zh-CN"/>
        </w:rPr>
        <w:t>组织全县单位开展了2022年度绩效运行自行监控工作。10月印发了《金川县财政局关于2022年重点绩效监控结果的通知》（金财监绩</w:t>
      </w:r>
      <w:r>
        <w:rPr>
          <w:rFonts w:hint="default" w:ascii="Times New Roman" w:hAnsi="Times New Roman" w:eastAsia="仿宋_GB2312" w:cs="Times New Roman"/>
          <w:sz w:val="32"/>
          <w:szCs w:val="32"/>
          <w:lang w:val="en-US" w:eastAsia="zh-CN"/>
        </w:rPr>
        <w:t>〔2022〕</w:t>
      </w:r>
      <w:r>
        <w:rPr>
          <w:rFonts w:hint="eastAsia" w:ascii="Times New Roman" w:hAnsi="Times New Roman" w:eastAsia="仿宋_GB2312" w:cs="Times New Roman"/>
          <w:sz w:val="32"/>
          <w:szCs w:val="32"/>
          <w:lang w:val="en-US" w:eastAsia="zh-CN"/>
        </w:rPr>
        <w:t>33号），重点对14个单位的27个项目和2个部门的整体绩效开展重点监控工作，共涉及资金25，607.82万元 。单位针对存在的问题，认真进行了分析梳理，并提出了具体的处置意见。</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四是深入开展支出绩效评价。</w:t>
      </w:r>
      <w:r>
        <w:rPr>
          <w:rFonts w:hint="eastAsia" w:ascii="Times New Roman" w:hAnsi="Times New Roman" w:eastAsia="仿宋_GB2312" w:cs="Times New Roman"/>
          <w:kern w:val="2"/>
          <w:sz w:val="32"/>
          <w:szCs w:val="32"/>
          <w:lang w:val="en-US" w:eastAsia="zh-CN" w:bidi="ar-SA"/>
        </w:rPr>
        <w:t>2022年我局积极配合省、州专项预算项目开展项目支出绩效重点评价项目56个，涉及资金22，830.41万元。根据《金川县县级2022年预算绩效管理工作要点》，结合工作实际于8月印发了《金川县财政局关于开展2022年部门、政策和项目支出绩效评价工作的通知》（金财监绩〔2022〕22号）文件，要求县级各部门对包括中央、省直达资金和州级对应安排的相关资金在内的本部门管理的所有专项预算项目开展绩效自评。财政重点关注乡村振兴、生态环保、民生、教育、卫生、援建等领域，选取了124个项目，涉及资金30，516.93万元，开展项目绩效评价工作。其中涉及政府性基金或社保基金项目5个项目986.79万元 、采购项目5个1151.53万元 、政策类绩效2个项目1532.5万元 。同时要求所有预算单位均进行整体绩效自评，财政选取县纪委、县委组织部、县总工会等49个乡（镇）及部门开展部门整体支出绩效评价。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bCs/>
          <w:color w:val="000000"/>
          <w:kern w:val="2"/>
          <w:sz w:val="32"/>
          <w:szCs w:val="32"/>
          <w:lang w:val="en-US" w:eastAsia="zh-CN" w:bidi="ar-SA"/>
        </w:rPr>
        <w:t>五是持续强化绩效结果应用。</w:t>
      </w:r>
      <w:r>
        <w:rPr>
          <w:rFonts w:hint="eastAsia" w:ascii="Times New Roman" w:hAnsi="Times New Roman" w:eastAsia="仿宋_GB2312" w:cs="Times New Roman"/>
          <w:sz w:val="32"/>
          <w:szCs w:val="32"/>
          <w:lang w:val="en-US" w:eastAsia="zh-CN"/>
        </w:rPr>
        <w:t>严格执行上级财政对本级财政、财政部门对同级部门、部门内部的绩效结果应用。将财政重点绩效评价样本选点部门的绩效结果与次年预算安排挂钩。将县级部门预算绩效结果作为核定次年部门预算的依据，将政策项目预算绩效结果作为核定次年政策（项目）是否继续实施政策（项目）预算规模的依据。督促县级部门建立内部绩效结果与预算安排挂钩机制，按绩效高低排序保障项目预算安排。</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b/>
          <w:bCs/>
          <w:lang w:val="en-US" w:eastAsia="zh-CN"/>
        </w:rPr>
      </w:pPr>
      <w:r>
        <w:rPr>
          <w:rFonts w:hint="eastAsia" w:ascii="楷体" w:hAnsi="楷体" w:eastAsia="楷体" w:cs="楷体"/>
          <w:b/>
          <w:bCs/>
          <w:kern w:val="2"/>
          <w:sz w:val="32"/>
          <w:szCs w:val="32"/>
          <w:lang w:val="en-US" w:eastAsia="zh-CN" w:bidi="ar-SA"/>
        </w:rPr>
        <w:t>（三）</w:t>
      </w:r>
      <w:r>
        <w:rPr>
          <w:rFonts w:hint="eastAsia" w:ascii="楷体" w:hAnsi="楷体" w:eastAsia="楷体" w:cs="楷体"/>
          <w:b/>
          <w:bCs/>
          <w:color w:val="3D3D3D"/>
          <w:sz w:val="32"/>
          <w:szCs w:val="32"/>
        </w:rPr>
        <w:t>强化工作培训，提升管理水平</w:t>
      </w:r>
      <w:r>
        <w:rPr>
          <w:rFonts w:hint="eastAsia" w:ascii="楷体" w:hAnsi="楷体" w:eastAsia="楷体" w:cs="楷体"/>
          <w:b/>
          <w:bCs/>
          <w:color w:val="3D3D3D"/>
          <w:sz w:val="27"/>
          <w:szCs w:val="27"/>
          <w:lang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今年5月，县财政组织全县预算单位召开了关于做好县级预算绩效管理有关工作的培训会。培训主要从事前绩效评估、绩效目标及指标的设置、事中绩效监督、事后绩效评价等工作进行分步详细地指导培训，把省州相关文件中的工作要求进行了解读，对工作的推进进行了细化和量化，并对存在的问题和难点进行现场解答，有效推进我县预算绩效管理工作的科学化、规范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5" w:rightChars="0" w:firstLine="643" w:firstLineChars="200"/>
        <w:textAlignment w:val="auto"/>
        <w:rPr>
          <w:rFonts w:hint="eastAsia"/>
          <w:lang w:val="en-US" w:eastAsia="zh-CN"/>
        </w:rPr>
      </w:pPr>
      <w:r>
        <w:rPr>
          <w:rFonts w:hint="eastAsia" w:ascii="楷体" w:hAnsi="楷体" w:eastAsia="楷体" w:cs="楷体"/>
          <w:b/>
          <w:bCs/>
          <w:kern w:val="2"/>
          <w:sz w:val="32"/>
          <w:szCs w:val="32"/>
          <w:lang w:val="en-US" w:eastAsia="zh-CN" w:bidi="ar-SA"/>
        </w:rPr>
        <w:t>(四)持续加大报告和公开力度。</w:t>
      </w:r>
      <w:r>
        <w:rPr>
          <w:rFonts w:hint="default" w:ascii="Times New Roman" w:hAnsi="Times New Roman" w:eastAsia="仿宋_GB2312" w:cs="Times New Roman"/>
          <w:sz w:val="32"/>
          <w:szCs w:val="32"/>
          <w:lang w:val="en-US" w:eastAsia="zh-CN"/>
        </w:rPr>
        <w:t>持续将预算</w:t>
      </w:r>
      <w:r>
        <w:rPr>
          <w:rFonts w:hint="eastAsia" w:ascii="Times New Roman" w:hAnsi="Times New Roman" w:eastAsia="仿宋_GB2312" w:cs="Times New Roman"/>
          <w:sz w:val="32"/>
          <w:szCs w:val="32"/>
          <w:lang w:val="en-US" w:eastAsia="zh-CN"/>
        </w:rPr>
        <w:t>绩</w:t>
      </w:r>
      <w:r>
        <w:rPr>
          <w:rFonts w:hint="default" w:ascii="Times New Roman" w:hAnsi="Times New Roman" w:eastAsia="仿宋_GB2312" w:cs="Times New Roman"/>
          <w:sz w:val="32"/>
          <w:szCs w:val="32"/>
          <w:lang w:val="en-US" w:eastAsia="zh-CN"/>
        </w:rPr>
        <w:t>效结果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预算绩效管理工作情况等报送</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lang w:val="en-US" w:eastAsia="zh-CN"/>
        </w:rPr>
        <w:t>人大</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主动接受人大监督</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健全全面规范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公开透明的预算绩效公开制度</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细化公开内容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规范公开方式、依法按时公</w:t>
      </w:r>
      <w:r>
        <w:rPr>
          <w:rFonts w:hint="eastAsia" w:ascii="Times New Roman" w:hAnsi="Times New Roman" w:eastAsia="仿宋_GB2312" w:cs="Times New Roman"/>
          <w:sz w:val="32"/>
          <w:szCs w:val="32"/>
          <w:lang w:val="en-US" w:eastAsia="zh-CN"/>
        </w:rPr>
        <w:t>开。2022年组织全县84</w:t>
      </w:r>
      <w:r>
        <w:rPr>
          <w:rFonts w:hint="default" w:ascii="Times New Roman" w:hAnsi="Times New Roman" w:eastAsia="仿宋_GB2312" w:cs="Times New Roman"/>
          <w:sz w:val="32"/>
          <w:szCs w:val="32"/>
          <w:lang w:val="en-US" w:eastAsia="zh-CN"/>
        </w:rPr>
        <w:t>部门按照规定向社会公开</w:t>
      </w:r>
      <w:r>
        <w:rPr>
          <w:rFonts w:hint="eastAsia" w:ascii="Times New Roman" w:hAnsi="Times New Roman" w:eastAsia="仿宋_GB2312" w:cs="Times New Roman"/>
          <w:sz w:val="32"/>
          <w:szCs w:val="32"/>
          <w:lang w:val="en-US" w:eastAsia="zh-CN"/>
        </w:rPr>
        <w:t>预算</w:t>
      </w:r>
      <w:r>
        <w:rPr>
          <w:rFonts w:hint="default" w:ascii="Times New Roman" w:hAnsi="Times New Roman" w:eastAsia="仿宋_GB2312" w:cs="Times New Roman"/>
          <w:sz w:val="32"/>
          <w:szCs w:val="32"/>
          <w:lang w:val="en-US" w:eastAsia="zh-CN"/>
        </w:rPr>
        <w:t>绩效目标</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val="en-US" w:eastAsia="zh-CN"/>
        </w:rPr>
        <w:t>绩效评价报告等绩效信息</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畅通社会公众参与预算绩效管理的有效途径，强化社会监督。</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存在的困难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楷体" w:hAnsi="楷体" w:eastAsia="楷体" w:cs="楷体"/>
          <w:b/>
          <w:bCs/>
          <w:color w:val="333333"/>
          <w:sz w:val="32"/>
          <w:szCs w:val="32"/>
          <w:lang w:eastAsia="zh-CN"/>
        </w:rPr>
        <w:t>（一）各部门自评质量有待提高。</w:t>
      </w:r>
      <w:r>
        <w:rPr>
          <w:rFonts w:hint="eastAsia" w:ascii="Times New Roman" w:hAnsi="Times New Roman" w:eastAsia="仿宋_GB2312" w:cs="Times New Roman"/>
          <w:sz w:val="32"/>
          <w:szCs w:val="32"/>
          <w:lang w:val="en-US" w:eastAsia="zh-CN"/>
        </w:rPr>
        <w:t>2022年起，我县要求本部门（含二级单位）所有项目支出预算开展绩效自评，包括上级转移支付、本级安排财政资金以及其他资金。但部分单位对预算绩效管理业务不够熟悉，对工作重点把握不到位，上报的自评表及报告不公正客观，造成结果和利用率存在偏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（二）预算部门绩效意识不强</w:t>
      </w:r>
      <w:r>
        <w:rPr>
          <w:rFonts w:hint="eastAsia" w:ascii="仿宋_GB2312" w:hAnsi="仿宋_GB2312" w:eastAsia="仿宋_GB2312" w:cs="仿宋_GB2312"/>
          <w:kern w:val="2"/>
          <w:sz w:val="32"/>
          <w:szCs w:val="24"/>
          <w:lang w:val="en-US" w:eastAsia="zh-CN" w:bidi="ar-SA"/>
        </w:rPr>
        <w:t>。各预算部门对绩效管理的认识不到位，重视不够，部门单位存在“重分配，轻管理；重支出，轻绩效”的思想，觉得实施绩效管理增加了工作量，工作积极性不高，导致绩效目标申报和绩效评价工作质量不高。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（三）评价结果运用不充分。</w:t>
      </w:r>
      <w:r>
        <w:rPr>
          <w:rFonts w:hint="eastAsia" w:ascii="仿宋_GB2312" w:hAnsi="仿宋_GB2312" w:eastAsia="仿宋_GB2312" w:cs="仿宋_GB2312"/>
          <w:kern w:val="2"/>
          <w:sz w:val="32"/>
          <w:szCs w:val="24"/>
          <w:lang w:val="en-US" w:eastAsia="zh-CN" w:bidi="ar-SA"/>
        </w:rPr>
        <w:t>由于我县财力有限，年初预算安排项目均为民生、扶贫等上级文件要求必须配套的项目。而县级项目资金来源多为上级补助，资金从上至下分配时，已经确定其专项用途，县级没有调整政策或项目方向的权限，造成绩效评价结果没有得到充分运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三、下一步工作打算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（一）进一步完善绩效管理制度。</w:t>
      </w:r>
      <w:r>
        <w:rPr>
          <w:rFonts w:hint="eastAsia" w:ascii="仿宋_GB2312" w:hAnsi="仿宋_GB2312" w:eastAsia="仿宋_GB2312" w:cs="仿宋_GB2312"/>
          <w:kern w:val="2"/>
          <w:sz w:val="32"/>
          <w:szCs w:val="24"/>
          <w:lang w:val="en-US" w:eastAsia="zh-CN" w:bidi="ar-SA"/>
        </w:rPr>
        <w:t>以中央、省、市相关文件为引领，紧紧围绕 “全方位、全过程、全覆盖”的预算绩效管理体系，进一步完善我县全面推进预算绩效管理一系列制度办法。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（二）衔接好“一体化”系统。</w:t>
      </w:r>
      <w:r>
        <w:rPr>
          <w:rFonts w:hint="eastAsia" w:ascii="仿宋_GB2312" w:hAnsi="仿宋_GB2312" w:eastAsia="仿宋_GB2312" w:cs="仿宋_GB2312"/>
          <w:kern w:val="2"/>
          <w:sz w:val="32"/>
          <w:szCs w:val="24"/>
          <w:lang w:val="en-US" w:eastAsia="zh-CN" w:bidi="ar-SA"/>
        </w:rPr>
        <w:t>尽快启用预算管理一体化新系统，提高绩效管理工作效率。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(三）加大宣传，增强预算绩效管理理念。</w:t>
      </w:r>
      <w:r>
        <w:rPr>
          <w:rFonts w:hint="eastAsia" w:ascii="仿宋_GB2312" w:hAnsi="仿宋_GB2312" w:eastAsia="仿宋_GB2312" w:cs="仿宋_GB2312"/>
          <w:kern w:val="2"/>
          <w:sz w:val="32"/>
          <w:szCs w:val="24"/>
          <w:lang w:val="en-US" w:eastAsia="zh-CN" w:bidi="ar-SA"/>
        </w:rPr>
        <w:t>加强宣传力度，提高预算部门领导及工作人员的绩效管理意识，树立“用钱必问效，无效必问责”的绩效管理理念，提升绩效管理工作的积极性，提高绩效管理工作质量。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（四）加强业务培训。</w:t>
      </w:r>
      <w:r>
        <w:rPr>
          <w:rFonts w:hint="eastAsia" w:ascii="仿宋_GB2312" w:hAnsi="仿宋_GB2312" w:eastAsia="仿宋_GB2312" w:cs="仿宋_GB2312"/>
          <w:kern w:val="2"/>
          <w:sz w:val="32"/>
          <w:szCs w:val="24"/>
          <w:lang w:val="en-US" w:eastAsia="zh-CN" w:bidi="ar-SA"/>
        </w:rPr>
        <w:t>对绩效管理工作人员进行培训，提高绩效管理工作人员的业务能力，以便更好地开展绩效管理工作，提高绩效管理工作质量。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333333"/>
          <w:sz w:val="32"/>
          <w:szCs w:val="32"/>
          <w:lang w:val="en-US" w:eastAsia="zh-CN"/>
        </w:rPr>
      </w:pPr>
      <w:r>
        <w:rPr>
          <w:rFonts w:hint="eastAsia" w:ascii="楷体" w:hAnsi="楷体" w:eastAsia="楷体" w:cs="楷体"/>
          <w:b/>
          <w:bCs/>
          <w:color w:val="333333"/>
          <w:sz w:val="32"/>
          <w:szCs w:val="32"/>
          <w:lang w:val="en-US" w:eastAsia="zh-CN"/>
        </w:rPr>
        <w:t>（五）加大绩效评价结果运用。</w:t>
      </w:r>
      <w:r>
        <w:rPr>
          <w:rFonts w:hint="eastAsia" w:ascii="仿宋_GB2312" w:hAnsi="仿宋_GB2312" w:eastAsia="仿宋_GB2312" w:cs="仿宋_GB2312"/>
          <w:kern w:val="2"/>
          <w:sz w:val="32"/>
          <w:szCs w:val="24"/>
          <w:lang w:val="en-US" w:eastAsia="zh-CN" w:bidi="ar-SA"/>
        </w:rPr>
        <w:t>积极推进评价结果与预算编制相结合，建立绩效结果与预算安排和政策调整挂钩机制，健全绩效结果反馈及督促整改机制。在部门预算编制过程中引入绩效目标申报、审核、反馈机制，把项目绩效评价结果作为预算安排的重要依据，以绩效评价结果为导向，提高财政资金的使用效益和效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仿宋_GB2312" w:eastAsia="仿宋_GB2312" w:cs="仿宋_GB2312"/>
          <w:sz w:val="32"/>
          <w:szCs w:val="32"/>
          <w:lang w:val="en-US" w:eastAsia="zh-CN"/>
        </w:rPr>
      </w:pPr>
      <w:r>
        <w:rPr>
          <w:rFonts w:hint="eastAsia" w:ascii="楷体" w:hAnsi="楷体" w:eastAsia="楷体" w:cs="楷体"/>
          <w:b/>
          <w:bCs/>
          <w:color w:val="333333"/>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4800" w:firstLineChars="1500"/>
        <w:jc w:val="left"/>
        <w:textAlignment w:val="auto"/>
        <w:outlineLvl w:val="9"/>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lang w:eastAsia="zh-CN"/>
        </w:rPr>
        <w:t>金川县财政局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Times New Roman" w:hAnsi="Times New Roman" w:eastAsia="仿宋_GB2312" w:cs="Times New Roman"/>
          <w:sz w:val="32"/>
          <w:szCs w:val="32"/>
          <w:lang w:val="en-US" w:eastAsia="zh-CN"/>
        </w:rPr>
      </w:pPr>
      <w:r>
        <w:rPr>
          <w:rFonts w:hint="eastAsia" w:ascii="仿宋_GB2312" w:eastAsia="仿宋_GB2312" w:cs="仿宋_GB2312"/>
          <w:sz w:val="32"/>
          <w:szCs w:val="32"/>
          <w:lang w:val="en-US" w:eastAsia="zh-CN"/>
        </w:rPr>
        <w:t xml:space="preserve">                                 </w:t>
      </w:r>
      <w:r>
        <w:rPr>
          <w:rFonts w:hint="eastAsia" w:ascii="Times New Roman" w:hAnsi="Times New Roman" w:eastAsia="仿宋_GB2312" w:cs="Times New Roman"/>
          <w:sz w:val="32"/>
          <w:szCs w:val="32"/>
          <w:lang w:val="en-US" w:eastAsia="zh-CN"/>
        </w:rPr>
        <w:t xml:space="preserve"> 2022年12月13日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p>
    <w:sectPr>
      <w:footerReference r:id="rId5" w:type="first"/>
      <w:footerReference r:id="rId3" w:type="default"/>
      <w:footerReference r:id="rId4" w:type="even"/>
      <w:pgSz w:w="11906" w:h="16838"/>
      <w:pgMar w:top="2098" w:right="1474" w:bottom="1984" w:left="1587" w:header="851" w:footer="1587" w:gutter="0"/>
      <w:cols w:space="0" w:num="1"/>
      <w:titlePg/>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CF9A29"/>
    <w:multiLevelType w:val="singleLevel"/>
    <w:tmpl w:val="FECF9A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BDD1A6B"/>
    <w:rsid w:val="0D0902E9"/>
    <w:rsid w:val="0F473CB1"/>
    <w:rsid w:val="11D612AB"/>
    <w:rsid w:val="14114FE0"/>
    <w:rsid w:val="146C2DE6"/>
    <w:rsid w:val="19712E5F"/>
    <w:rsid w:val="1B6A093D"/>
    <w:rsid w:val="1BBF114E"/>
    <w:rsid w:val="1C983DA3"/>
    <w:rsid w:val="1F113F41"/>
    <w:rsid w:val="24260FC6"/>
    <w:rsid w:val="24933536"/>
    <w:rsid w:val="270125D5"/>
    <w:rsid w:val="287F02DC"/>
    <w:rsid w:val="2A1F355D"/>
    <w:rsid w:val="2D9F7519"/>
    <w:rsid w:val="3E4D2011"/>
    <w:rsid w:val="40152FE3"/>
    <w:rsid w:val="4291388E"/>
    <w:rsid w:val="43553E63"/>
    <w:rsid w:val="446952C4"/>
    <w:rsid w:val="45F51123"/>
    <w:rsid w:val="4AA636BC"/>
    <w:rsid w:val="4ABB4DC2"/>
    <w:rsid w:val="4B8E59DE"/>
    <w:rsid w:val="4E0B70C9"/>
    <w:rsid w:val="4FA62D2D"/>
    <w:rsid w:val="4FD57CE7"/>
    <w:rsid w:val="50BC7C6E"/>
    <w:rsid w:val="55D07DF7"/>
    <w:rsid w:val="577526EA"/>
    <w:rsid w:val="57EA0BD6"/>
    <w:rsid w:val="596C768D"/>
    <w:rsid w:val="59E73A8F"/>
    <w:rsid w:val="60743D28"/>
    <w:rsid w:val="647902E9"/>
    <w:rsid w:val="69067DF2"/>
    <w:rsid w:val="6A210F5C"/>
    <w:rsid w:val="6AC1012E"/>
    <w:rsid w:val="6F0C03CA"/>
    <w:rsid w:val="736C5392"/>
    <w:rsid w:val="7557301C"/>
    <w:rsid w:val="77356C14"/>
    <w:rsid w:val="776B3081"/>
    <w:rsid w:val="78037C84"/>
    <w:rsid w:val="78F328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17</TotalTime>
  <ScaleCrop>false</ScaleCrop>
  <LinksUpToDate>false</LinksUpToDate>
  <CharactersWithSpaces>0</CharactersWithSpaces>
  <Application>WPS Office_11.1.0.7832_F1E327BC-269C-435d-A152-05C5408002CA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Administrator</cp:lastModifiedBy>
  <dcterms:modified xsi:type="dcterms:W3CDTF">2023-02-05T07:16:29Z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ies>
</file>