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0"/>
        <w:jc w:val="center"/>
        <w:textAlignment w:val="auto"/>
        <w:outlineLvl w:val="9"/>
        <w:rPr>
          <w:rFonts w:ascii="方正小标宋简体" w:eastAsia="方正小标宋简体" w:cs="方正小标宋简体" w:hint="eastAsia"/>
          <w:sz w:val="44"/>
          <w:szCs w:val="44"/>
          <w:lang w:val="en-US" w:eastAsia="zh-CN"/>
        </w:rPr>
      </w:pPr>
      <w:r>
        <w:rPr>
          <w:rFonts w:ascii="方正小标宋简体" w:eastAsia="方正小标宋简体" w:cs="方正小标宋简体" w:hint="eastAsia"/>
          <w:sz w:val="44"/>
          <w:szCs w:val="44"/>
          <w:lang w:val="en-US" w:eastAsia="zh-CN"/>
        </w:rPr>
        <w:t>金川县财政局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0"/>
        <w:jc w:val="center"/>
        <w:textAlignment w:val="auto"/>
        <w:outlineLvl w:val="9"/>
        <w:rPr>
          <w:rFonts w:ascii="方正小标宋简体" w:eastAsia="方正小标宋简体" w:cs="方正小标宋简体" w:hint="eastAsia"/>
          <w:sz w:val="44"/>
          <w:szCs w:val="44"/>
          <w:lang w:val="en-US" w:eastAsia="zh-CN"/>
        </w:rPr>
      </w:pPr>
      <w:r>
        <w:rPr>
          <w:rFonts w:ascii="方正小标宋简体" w:eastAsia="方正小标宋简体" w:cs="方正小标宋简体" w:hint="eastAsia"/>
          <w:sz w:val="44"/>
          <w:szCs w:val="44"/>
          <w:lang w:val="en-US" w:eastAsia="zh-CN"/>
        </w:rPr>
        <w:t>关于2023年重大政策和重点项目绩效目标的情况说</w:t>
      </w:r>
      <w:r>
        <w:rPr>
          <w:rFonts w:ascii="方正小标宋简体" w:eastAsia="方正小标宋简体" w:cs="方正小标宋简体"/>
          <w:sz w:val="44"/>
          <w:szCs w:val="44"/>
          <w:lang w:val="en-US" w:eastAsia="zh-CN"/>
        </w:rPr>
        <w:t>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0"/>
        <w:jc w:val="center"/>
        <w:textAlignment w:val="auto"/>
        <w:outlineLvl w:val="9"/>
        <w:rPr>
          <w:rFonts w:ascii="方正小标宋简体" w:eastAsia="方正小标宋简体" w:cs="方正小标宋简体" w:hint="eastAsia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我</w:t>
      </w:r>
      <w:r>
        <w:rPr>
          <w:rFonts w:ascii="Times New Roman" w:eastAsia="仿宋_GB2312" w:cs="Times New Roman" w:hAnsi="Times New Roman" w:hint="eastAsia"/>
          <w:sz w:val="32"/>
          <w:szCs w:val="32"/>
          <w:lang w:val="en-US" w:eastAsia="zh-CN"/>
        </w:rPr>
        <w:t>局</w:t>
      </w: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深入贯彻落实《中共中央 国务院关于全面实施预算绩效管理的意见》（中发〔2018〕34号）、《中共四川省委 四川省人民政府关于全面实施预算绩效管理的实施意见》（川委发〔2019〕8号〕决策部署</w:t>
      </w:r>
      <w:r>
        <w:rPr>
          <w:rFonts w:ascii="Times New Roman" w:eastAsia="仿宋_GB2312" w:cs="Times New Roman" w:hAnsi="Times New Roman" w:hint="eastAsia"/>
          <w:sz w:val="32"/>
          <w:szCs w:val="32"/>
          <w:lang w:val="en-US" w:eastAsia="zh-CN"/>
        </w:rPr>
        <w:t>和《中共四川省委办公厅 四川省人民政府办公厅关于深入实施预算绩效管理的通知》（川委厅〔2022〕5号）文件要求，将</w:t>
      </w:r>
      <w:r>
        <w:rPr>
          <w:rFonts w:ascii="Times New Roman" w:eastAsia="方正仿宋_GBK" w:cs="Times New Roman" w:hAnsi="Times New Roman"/>
          <w:bCs/>
          <w:color w:val="000000"/>
          <w:spacing w:val="0"/>
          <w:kern w:val="2"/>
          <w:sz w:val="32"/>
          <w:szCs w:val="32"/>
          <w:lang w:val="en-US" w:eastAsia="zh-CN" w:bidi="ar-SA"/>
          <w:highlight w:val="auto"/>
        </w:rPr>
        <w:t>绩效目标作为预算安排的前置条件，加强绩效目标审核，并将绩效目标与预算同步上会、同步批复、同步公开，主动接受社会监督，切实做到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:lang w:eastAsia="zh-CN" w:bidi="ar-SA"/>
          <w:highlight w:val="auto"/>
        </w:rPr>
        <w:t>“花钱必问效、无效必追责”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  <w:lang w:eastAsia="zh-CN" w:bidi="ar-SA"/>
          <w:highlight w:val="auto"/>
        </w:rPr>
        <w:t>。</w:t>
      </w:r>
      <w:r>
        <w:rPr>
          <w:rFonts w:ascii="Times New Roman" w:eastAsia="仿宋_GB2312" w:cs="Times New Roman" w:hAnsi="Times New Roman" w:hint="eastAsia"/>
          <w:sz w:val="32"/>
          <w:szCs w:val="32"/>
          <w:lang w:val="en-US" w:eastAsia="zh-CN"/>
        </w:rPr>
        <w:t>现将我县2023年预算绩效目标管理工作开展情况说明如下：</w:t>
      </w: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left="0" w:firstLineChars="200" w:firstLine="640"/>
        <w:textAlignment w:val="auto"/>
        <w:rPr>
          <w:rFonts w:ascii="Times New Roman" w:eastAsia="方正仿宋_GBK" w:cs="Times New Roman" w:hAnsi="Times New Roman" w:hint="eastAsia"/>
          <w:bCs/>
          <w:color w:val="000000"/>
          <w:sz w:val="32"/>
          <w:szCs w:val="32"/>
          <w:lang w:val="en-US" w:eastAsia="zh-CN" w:bidi="ar-SA"/>
        </w:rPr>
      </w:pPr>
      <w:r>
        <w:rPr>
          <w:rFonts w:ascii="Times New Roman" w:eastAsia="仿宋_GB2312" w:cs="Times New Roman" w:hAnsi="Times New Roman" w:hint="eastAsia"/>
          <w:kern w:val="2"/>
          <w:sz w:val="32"/>
          <w:szCs w:val="32"/>
          <w:lang w:val="en-US" w:eastAsia="zh-CN" w:bidi="ar-SA"/>
        </w:rPr>
        <w:t>2023年我县本级</w:t>
      </w:r>
      <w:r>
        <w:rPr>
          <w:rFonts w:ascii="Times New Roman" w:eastAsia="方正仿宋_GBK" w:cs="Times New Roman" w:hAnsi="Times New Roman"/>
          <w:bCs/>
          <w:color w:val="000000"/>
          <w:sz w:val="32"/>
          <w:szCs w:val="32"/>
          <w:lang w:bidi="ar-SA"/>
        </w:rPr>
        <w:t>一般</w:t>
      </w:r>
      <w:r>
        <w:rPr>
          <w:rFonts w:ascii="Times New Roman" w:eastAsia="方正仿宋_GBK" w:cs="Times New Roman" w:hAnsi="Times New Roman"/>
          <w:bCs/>
          <w:color w:val="000000"/>
          <w:sz w:val="32"/>
          <w:szCs w:val="32"/>
          <w:lang w:bidi="ar-SA"/>
        </w:rPr>
        <w:t>公共预算支出</w:t>
      </w:r>
      <w:r>
        <w:rPr>
          <w:rFonts w:ascii="Times New Roman" w:eastAsia="方正仿宋_GBK" w:cs="Times New Roman" w:hAnsi="Times New Roman"/>
          <w:bCs/>
          <w:color w:val="000000"/>
          <w:sz w:val="32"/>
          <w:szCs w:val="32"/>
          <w:lang w:bidi="ar-SA"/>
        </w:rPr>
        <w:t>为</w:t>
      </w:r>
      <w:r>
        <w:rPr>
          <w:rFonts w:ascii="Times New Roman" w:eastAsia="方正仿宋_GBK" w:cs="Times New Roman" w:hAnsi="Times New Roman"/>
          <w:bCs/>
          <w:color w:val="000000"/>
          <w:sz w:val="32"/>
          <w:szCs w:val="32"/>
          <w:lang w:val="en-US" w:eastAsia="zh-CN" w:bidi="ar-SA"/>
        </w:rPr>
        <w:t>95232</w:t>
      </w:r>
      <w:bookmarkStart w:id="0" w:name="_GoBack"/>
      <w:bookmarkEnd w:id="0"/>
      <w:r>
        <w:rPr>
          <w:rFonts w:ascii="Times New Roman" w:eastAsia="方正仿宋_GBK" w:cs="Times New Roman" w:hAnsi="Times New Roman"/>
          <w:bCs/>
          <w:color w:val="000000"/>
          <w:sz w:val="32"/>
          <w:szCs w:val="32"/>
          <w:lang w:bidi="ar-SA"/>
        </w:rPr>
        <w:t>万元</w:t>
      </w:r>
      <w:r>
        <w:rPr>
          <w:rFonts w:ascii="Times New Roman" w:eastAsia="方正仿宋_GBK" w:cs="Times New Roman" w:hAnsi="Times New Roman" w:hint="eastAsia"/>
          <w:bCs/>
          <w:color w:val="000000"/>
          <w:sz w:val="32"/>
          <w:szCs w:val="32"/>
          <w:lang w:eastAsia="zh-CN" w:bidi="ar-SA"/>
        </w:rPr>
        <w:t>，共</w:t>
      </w:r>
      <w:r>
        <w:rPr>
          <w:rFonts w:ascii="Times New Roman" w:eastAsia="方正仿宋_GBK" w:cs="Times New Roman" w:hAnsi="Times New Roman" w:hint="eastAsia"/>
          <w:bCs/>
          <w:color w:val="000000"/>
          <w:sz w:val="32"/>
          <w:szCs w:val="32"/>
          <w:lang w:val="en-US" w:eastAsia="zh-CN" w:bidi="ar-SA"/>
        </w:rPr>
        <w:t>85个部门（单位），</w:t>
      </w:r>
      <w:r>
        <w:rPr>
          <w:rFonts w:ascii="Times New Roman" w:eastAsia="方正仿宋_GBK" w:cs="Times New Roman" w:hAnsi="Times New Roman" w:hint="eastAsia"/>
          <w:bCs/>
          <w:color w:val="000000"/>
          <w:sz w:val="32"/>
          <w:szCs w:val="32"/>
          <w:lang w:eastAsia="zh-CN" w:bidi="ar-SA"/>
        </w:rPr>
        <w:t>其中特定目标类项目</w:t>
      </w:r>
      <w:r>
        <w:rPr>
          <w:rFonts w:ascii="Times New Roman" w:eastAsia="方正仿宋_GBK" w:cs="Times New Roman" w:hAnsi="Times New Roman" w:hint="eastAsia"/>
          <w:bCs/>
          <w:color w:val="000000"/>
          <w:sz w:val="32"/>
          <w:szCs w:val="32"/>
          <w:lang w:val="en-US" w:eastAsia="zh-CN" w:bidi="ar-SA"/>
        </w:rPr>
        <w:t>161个，涉及54个部门（单位）预算资金13043.32万元 。</w:t>
      </w:r>
      <w:r>
        <w:rPr>
          <w:rFonts w:ascii="Times New Roman" w:eastAsia="方正仿宋_GBK" w:cs="Times New Roman" w:hAnsi="Times New Roman" w:hint="eastAsia"/>
          <w:bCs/>
          <w:color w:val="000000"/>
          <w:sz w:val="32"/>
          <w:szCs w:val="32"/>
          <w:lang w:eastAsia="zh-CN" w:bidi="ar-SA"/>
        </w:rPr>
        <w:t>各单位在预算一体化系统内按照“二上二下”的原则，根据项目实际情况编制项目事前绩效评估报告、绩效总体目标和绩效指标，</w:t>
      </w:r>
      <w:r>
        <w:rPr>
          <w:rFonts w:ascii="Times New Roman" w:eastAsia="方正仿宋_GBK" w:cs="Times New Roman" w:hAnsi="Times New Roman" w:hint="eastAsia"/>
          <w:bCs/>
          <w:color w:val="000000"/>
          <w:sz w:val="32"/>
          <w:szCs w:val="32"/>
          <w:lang w:val="en-US" w:eastAsia="zh-CN" w:bidi="ar-SA"/>
        </w:rPr>
        <w:t>经财政局相关业务股室、财政监督绩效管理股和预算股审核通过后</w:t>
      </w:r>
      <w:r>
        <w:rPr>
          <w:rFonts w:ascii="Times New Roman" w:eastAsia="仿宋_GB2312" w:cs="Times New Roman" w:hAnsi="Times New Roman" w:hint="eastAsia"/>
          <w:kern w:val="2"/>
          <w:sz w:val="32"/>
          <w:szCs w:val="32"/>
          <w:lang w:val="en-US" w:eastAsia="zh-CN" w:bidi="ar-SA"/>
        </w:rPr>
        <w:t>报县人民政府，再由县人民政府报县人大审定。财政在</w:t>
      </w:r>
      <w:r>
        <w:rPr>
          <w:rFonts w:ascii="Times New Roman" w:eastAsia="方正仿宋_GBK" w:cs="Times New Roman" w:hAnsi="Times New Roman" w:hint="eastAsia"/>
          <w:bCs/>
          <w:color w:val="000000"/>
          <w:sz w:val="32"/>
          <w:szCs w:val="32"/>
          <w:lang w:val="en-US" w:eastAsia="zh-CN" w:bidi="ar-SA"/>
        </w:rPr>
        <w:t>人大下达批复后，将绩效目标与部门年初预算一并批复部门（单位），作为部门（单位）年度目标执行的考核标准。</w:t>
      </w: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left="0" w:firstLineChars="200" w:firstLine="640"/>
        <w:textAlignment w:val="auto"/>
        <w:rPr>
          <w:rFonts w:ascii="Times New Roman" w:eastAsia="仿宋_GB2312" w:cs="Times New Roman" w:hAnsi="Times New Roman" w:hint="eastAsia"/>
          <w:kern w:val="2"/>
          <w:sz w:val="32"/>
          <w:szCs w:val="32"/>
          <w:lang w:val="en-US" w:eastAsia="zh-CN" w:bidi="ar-SA"/>
        </w:rPr>
      </w:pPr>
      <w:r>
        <w:rPr>
          <w:rFonts w:ascii="Times New Roman" w:eastAsia="仿宋_GB2312" w:cs="Times New Roman" w:hAnsi="Times New Roman" w:hint="eastAsia"/>
          <w:kern w:val="2"/>
          <w:sz w:val="32"/>
          <w:szCs w:val="32"/>
          <w:lang w:val="en-US" w:eastAsia="zh-CN" w:bidi="ar-SA"/>
        </w:rPr>
        <w:t>财政抽取了8个年初预算项目涉及资金1364.38万元，委托三方机构开展预算项目事前绩效评估工作。在项目绩效管理过程中将严格按照《金川县县级预算绩效运行监控管理办法》相关要求，定期</w:t>
      </w: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对绩效目标实现程度和</w:t>
      </w:r>
      <w:r>
        <w:rPr>
          <w:rFonts w:ascii="Times New Roman" w:eastAsia="仿宋_GB2312" w:cs="Times New Roman" w:hAnsi="Times New Roman" w:hint="eastAsia"/>
          <w:sz w:val="32"/>
          <w:szCs w:val="32"/>
          <w:lang w:val="en-US" w:eastAsia="zh-CN"/>
        </w:rPr>
        <w:t>预</w:t>
      </w: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算执行进度实行“双监控</w:t>
      </w:r>
      <w:r>
        <w:rPr>
          <w:rFonts w:ascii="Times New Roman" w:eastAsia="仿宋_GB2312" w:cs="Times New Roman" w:hAnsi="Times New Roman" w:hint="eastAsia"/>
          <w:sz w:val="32"/>
          <w:szCs w:val="32"/>
          <w:lang w:val="en-US" w:eastAsia="zh-CN"/>
        </w:rPr>
        <w:t>”。积极配合省、州开展重点项目（政策）绩效评价工作的同时开展好县本级财政重点项目（政策）支出绩效评价工作。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/>
        <w:jc w:val="left"/>
        <w:textAlignment w:val="auto"/>
        <w:outlineLvl w:val="9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楷体" w:eastAsia="楷体" w:cs="楷体" w:hint="eastAsia"/>
          <w:b/>
          <w:bCs/>
          <w:color w:val="333333"/>
          <w:sz w:val="32"/>
          <w:szCs w:val="32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/>
        <w:jc w:val="left"/>
        <w:textAlignment w:val="auto"/>
        <w:outlineLvl w:val="9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Chars="1500" w:firstLine="4800"/>
        <w:jc w:val="left"/>
        <w:textAlignment w:val="auto"/>
        <w:outlineLvl w:val="9"/>
        <w:rPr>
          <w:rFonts w:ascii="仿宋_GB2312" w:eastAsia="仿宋_GB2312" w:cs="仿宋_GB2312" w:hint="eastAsia"/>
          <w:sz w:val="32"/>
          <w:szCs w:val="32"/>
          <w:lang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    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金川县财政局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/>
        <w:jc w:val="left"/>
        <w:textAlignment w:val="auto"/>
        <w:outlineLvl w:val="9"/>
        <w:rPr>
          <w:rFonts w:ascii="Times New Roman" w:eastAsia="仿宋_GB2312" w:cs="Times New Roman" w:hAnsi="Times New Roman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                             </w:t>
      </w:r>
      <w:r>
        <w:rPr>
          <w:rFonts w:ascii="Times New Roman" w:eastAsia="仿宋_GB2312" w:cs="Times New Roman" w:hAnsi="Times New Roman" w:hint="eastAsia"/>
          <w:sz w:val="32"/>
          <w:szCs w:val="32"/>
          <w:lang w:val="en-US" w:eastAsia="zh-CN"/>
        </w:rPr>
        <w:t>2023年2月5日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4" w:left="1587" w:header="851" w:footer="1587" w:gutter="0"/>
      <w:titlePg/>
      <w:rtlGutter/>
      <w:docGrid w:type="lines" w:linePitch="57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4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50" cy="131559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7150" cy="131559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snapToGrid w:val="0"/>
                            <w:rPr>
                              <w:rFonts w:eastAsia="宋体" w:hint="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4.5pt;height:10.359pt;z-index:14;mso-position-horizontal:center;mso-position-horizontal-relative:margin;mso-position-vertical:absolute;mso-wrap-distance-left:8.999863pt;mso-wrap-distance-right:8.999863pt;mso-wrap-style:none;">
              <v:stroke color="#000000"/>
              <v:textbox id="849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rFonts w:eastAsia="宋体" w:hint="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6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50" cy="131559"/>
              <wp:effectExtent l="0" t="0" r="0" b="0"/>
              <wp:wrapNone/>
              <wp:docPr id="4" name="文本框 2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7150" cy="131559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5">
                      <w:txbxContent>
                        <w:p>
                          <w:pPr>
                            <w:snapToGrid w:val="0"/>
                            <w:rPr>
                              <w:rFonts w:eastAsia="宋体" w:hint="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2 6" o:spid="_x0000_s6" filled="f" stroked="f" strokeweight="0.5pt" style="position:absolute;margin-left:0.0pt;margin-top:0.0pt;width:4.5pt;height:10.359pt;z-index:16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rFonts w:eastAsia="宋体" w:hint="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8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50" cy="131559"/>
              <wp:effectExtent l="0" t="0" r="0" b="0"/>
              <wp:wrapNone/>
              <wp:docPr id="7" name="文本框 3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7150" cy="131559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8">
                      <w:txbxContent>
                        <w:p>
                          <w:pPr>
                            <w:snapToGrid w:val="0"/>
                            <w:rPr>
                              <w:rFonts w:eastAsia="宋体" w:hint="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3 9" o:spid="_x0000_s9" filled="f" stroked="f" strokeweight="0.5pt" style="position:absolute;margin-left:0.0pt;margin-top:0.0pt;width:4.5pt;height:10.359pt;z-index:18;mso-position-horizontal:center;mso-position-horizontal-relative:margin;mso-position-vertical:absolute;mso-wrap-distance-left:8.999863pt;mso-wrap-distance-right:8.999863pt;mso-wrap-style:none;">
              <v:stroke color="#000000"/>
              <v:textbox id="850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rFonts w:eastAsia="宋体" w:hint="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60"/>
  <w:bordersDoNotSurroundHeader/>
  <w:bordersDoNotSurroundFooter/>
  <w:documentProtection w:edit="readOnly" w:enforcement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table of figures"/>
    <w:basedOn w:val="0"/>
    <w:next w:val="0"/>
    <w:pPr>
      <w:ind w:leftChars="200" w:left="400" w:hangingChars="200" w:hanging="200"/>
    </w:pPr>
  </w:style>
  <w:style w:type="paragraph" w:styleId="1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</TotalTime>
  <Application>Yozo_Office27021597764231179</Application>
  <Pages>2</Pages>
  <Words>660</Words>
  <Characters>703</Characters>
  <Lines>32</Lines>
  <Paragraphs>7</Paragraphs>
  <CharactersWithSpaces>752</CharactersWithSpaces>
  <Company>Kingsoft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zhaoxinlei</dc:creator>
  <cp:lastModifiedBy>user</cp:lastModifiedBy>
  <cp:revision>2</cp:revision>
  <dcterms:created xsi:type="dcterms:W3CDTF">2014-10-29T12:08:00Z</dcterms:created>
  <dcterms:modified xsi:type="dcterms:W3CDTF">2023-02-06T03:38:02Z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2052-11.1.0.7832</vt:lpwstr>
  </property>
</Properties>
</file>