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A6C24">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方正小标宋简体" w:eastAsia="方正小标宋简体" w:cs="方正小标宋简体"/>
          <w:sz w:val="44"/>
          <w:szCs w:val="44"/>
          <w:highlight w:val="none"/>
          <w:lang w:eastAsia="zh-CN"/>
        </w:rPr>
      </w:pPr>
      <w:bookmarkStart w:id="0" w:name="_GoBack"/>
      <w:bookmarkEnd w:id="0"/>
      <w:r>
        <w:rPr>
          <w:rFonts w:hint="eastAsia" w:ascii="方正小标宋简体" w:eastAsia="方正小标宋简体" w:cs="方正小标宋简体"/>
          <w:sz w:val="44"/>
          <w:szCs w:val="44"/>
          <w:highlight w:val="none"/>
          <w:lang w:eastAsia="zh-CN"/>
        </w:rPr>
        <w:t>金川县财政局</w:t>
      </w:r>
    </w:p>
    <w:p w14:paraId="729A3E4F">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方正小标宋简体" w:eastAsia="方正小标宋简体" w:cs="方正小标宋简体"/>
          <w:sz w:val="44"/>
          <w:szCs w:val="44"/>
          <w:highlight w:val="none"/>
          <w:lang w:eastAsia="zh-CN"/>
        </w:rPr>
      </w:pPr>
      <w:r>
        <w:rPr>
          <w:rFonts w:hint="eastAsia" w:ascii="方正小标宋简体" w:eastAsia="方正小标宋简体" w:cs="方正小标宋简体"/>
          <w:sz w:val="44"/>
          <w:szCs w:val="44"/>
          <w:highlight w:val="none"/>
          <w:lang w:eastAsia="zh-CN"/>
        </w:rPr>
        <w:t>关于2021年部门、政策和项目支出财政重点</w:t>
      </w:r>
    </w:p>
    <w:p w14:paraId="699AAEE2">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方正小标宋简体" w:eastAsia="方正小标宋简体" w:cs="方正小标宋简体"/>
          <w:sz w:val="44"/>
          <w:szCs w:val="44"/>
          <w:highlight w:val="none"/>
          <w:lang w:eastAsia="zh-CN"/>
        </w:rPr>
      </w:pPr>
      <w:r>
        <w:rPr>
          <w:rFonts w:hint="eastAsia" w:ascii="方正小标宋简体" w:eastAsia="方正小标宋简体" w:cs="方正小标宋简体"/>
          <w:sz w:val="44"/>
          <w:szCs w:val="44"/>
          <w:highlight w:val="none"/>
          <w:lang w:eastAsia="zh-CN"/>
        </w:rPr>
        <w:t>绩效评价工作的报告</w:t>
      </w:r>
    </w:p>
    <w:p w14:paraId="4D0B407F">
      <w:pPr>
        <w:keepNext w:val="0"/>
        <w:keepLines w:val="0"/>
        <w:pageBreakBefore w:val="0"/>
        <w:widowControl w:val="0"/>
        <w:kinsoku/>
        <w:wordWrap/>
        <w:overflowPunct/>
        <w:topLinePunct w:val="0"/>
        <w:autoSpaceDE/>
        <w:autoSpaceDN/>
        <w:bidi w:val="0"/>
        <w:adjustRightInd/>
        <w:snapToGrid/>
        <w:spacing w:line="560" w:lineRule="exact"/>
        <w:ind w:left="0" w:firstLine="0"/>
        <w:jc w:val="center"/>
        <w:textAlignment w:val="auto"/>
        <w:rPr>
          <w:rFonts w:ascii="Times New Roman" w:hAnsi="Times New Roman" w:eastAsia="楷体_GB2312" w:cs="Times New Roman"/>
          <w:sz w:val="32"/>
          <w:lang w:val="en-US" w:eastAsia="zh-CN"/>
        </w:rPr>
      </w:pPr>
      <w:r>
        <w:rPr>
          <w:rFonts w:ascii="Times New Roman" w:hAnsi="Times New Roman" w:eastAsia="楷体_GB2312" w:cs="Times New Roman"/>
          <w:sz w:val="32"/>
          <w:lang w:eastAsia="zh-CN"/>
        </w:rPr>
        <w:t>金川县财政局党组书记、局长</w:t>
      </w:r>
      <w:r>
        <w:rPr>
          <w:rFonts w:ascii="Times New Roman" w:hAnsi="Times New Roman" w:eastAsia="楷体_GB2312" w:cs="Times New Roman"/>
          <w:sz w:val="32"/>
          <w:lang w:val="en-US" w:eastAsia="zh-CN"/>
        </w:rPr>
        <w:t xml:space="preserve">  </w:t>
      </w:r>
      <w:r>
        <w:rPr>
          <w:rFonts w:hint="eastAsia" w:ascii="Times New Roman" w:hAnsi="Times New Roman" w:eastAsia="楷体_GB2312" w:cs="Times New Roman"/>
          <w:sz w:val="32"/>
          <w:lang w:val="en-US" w:eastAsia="zh-CN"/>
        </w:rPr>
        <w:t>马定发</w:t>
      </w:r>
    </w:p>
    <w:p w14:paraId="6547AC14">
      <w:pPr>
        <w:keepNext w:val="0"/>
        <w:keepLines w:val="0"/>
        <w:pageBreakBefore w:val="0"/>
        <w:widowControl w:val="0"/>
        <w:kinsoku/>
        <w:wordWrap/>
        <w:overflowPunct/>
        <w:topLinePunct w:val="0"/>
        <w:autoSpaceDE/>
        <w:autoSpaceDN/>
        <w:bidi w:val="0"/>
        <w:adjustRightInd/>
        <w:snapToGrid/>
        <w:spacing w:line="560" w:lineRule="exact"/>
        <w:ind w:left="0" w:right="0"/>
        <w:jc w:val="left"/>
        <w:textAlignment w:val="auto"/>
        <w:outlineLvl w:val="9"/>
        <w:rPr>
          <w:rFonts w:ascii="仿宋_GB2312" w:eastAsia="仿宋_GB2312" w:cs="仿宋_GB2312"/>
          <w:sz w:val="32"/>
          <w:szCs w:val="32"/>
          <w:highlight w:val="none"/>
          <w:lang w:eastAsia="zh-CN"/>
        </w:rPr>
      </w:pPr>
    </w:p>
    <w:p w14:paraId="1AE27CBC">
      <w:pPr>
        <w:keepNext w:val="0"/>
        <w:keepLines w:val="0"/>
        <w:pageBreakBefore w:val="0"/>
        <w:widowControl w:val="0"/>
        <w:kinsoku/>
        <w:wordWrap/>
        <w:overflowPunct/>
        <w:topLinePunct w:val="0"/>
        <w:autoSpaceDE/>
        <w:autoSpaceDN/>
        <w:bidi w:val="0"/>
        <w:adjustRightInd/>
        <w:snapToGrid/>
        <w:spacing w:line="560" w:lineRule="exact"/>
        <w:ind w:left="0" w:right="0"/>
        <w:jc w:val="left"/>
        <w:textAlignment w:val="auto"/>
        <w:outlineLvl w:val="9"/>
        <w:rPr>
          <w:rFonts w:hint="eastAsia" w:ascii="仿宋_GB2312" w:eastAsia="仿宋_GB2312" w:cs="仿宋_GB2312"/>
          <w:b/>
          <w:bCs/>
          <w:sz w:val="32"/>
          <w:szCs w:val="32"/>
          <w:highlight w:val="none"/>
          <w:lang w:eastAsia="zh-CN"/>
        </w:rPr>
      </w:pPr>
      <w:r>
        <w:rPr>
          <w:rFonts w:hint="eastAsia" w:ascii="仿宋_GB2312" w:eastAsia="仿宋_GB2312" w:cs="仿宋_GB2312"/>
          <w:sz w:val="32"/>
          <w:szCs w:val="32"/>
          <w:highlight w:val="none"/>
          <w:lang w:eastAsia="zh-CN"/>
        </w:rPr>
        <w:t>金川县人民政府：</w:t>
      </w:r>
    </w:p>
    <w:p w14:paraId="7E598563">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ascii="Times New Roman" w:hAnsi="Times New Roman" w:cs="Times New Roman"/>
          <w:highlight w:val="none"/>
          <w:lang w:eastAsia="zh-CN"/>
        </w:rPr>
      </w:pPr>
      <w:r>
        <w:rPr>
          <w:rFonts w:hint="eastAsia" w:ascii="仿宋_GB2312" w:eastAsia="仿宋_GB2312" w:cs="宋体"/>
          <w:sz w:val="32"/>
          <w:szCs w:val="32"/>
          <w:highlight w:val="none"/>
          <w:lang w:eastAsia="zh-CN" w:bidi="ar-SA"/>
        </w:rPr>
        <w:t>为</w:t>
      </w:r>
      <w:r>
        <w:rPr>
          <w:rFonts w:hint="eastAsia" w:ascii="仿宋_GB2312" w:eastAsia="仿宋_GB2312" w:cs="宋体"/>
          <w:sz w:val="32"/>
          <w:szCs w:val="32"/>
          <w:highlight w:val="none"/>
          <w:lang w:bidi="ar-SA"/>
        </w:rPr>
        <w:t>深入贯彻落实</w:t>
      </w:r>
      <w:r>
        <w:rPr>
          <w:rFonts w:hint="eastAsia" w:ascii="仿宋_GB2312" w:eastAsia="仿宋_GB2312" w:cs="宋体"/>
          <w:sz w:val="32"/>
          <w:szCs w:val="32"/>
          <w:highlight w:val="none"/>
          <w:lang w:eastAsia="zh-CN" w:bidi="ar-SA"/>
        </w:rPr>
        <w:t>党中央国务院和省委省政府关于全面实施预算绩效管理文件精神</w:t>
      </w:r>
      <w:r>
        <w:rPr>
          <w:rFonts w:hint="eastAsia" w:ascii="仿宋_GB2312" w:eastAsia="仿宋_GB2312" w:cs="宋体"/>
          <w:sz w:val="32"/>
          <w:szCs w:val="32"/>
          <w:highlight w:val="none"/>
          <w:lang w:bidi="ar-SA"/>
        </w:rPr>
        <w:t>，</w:t>
      </w:r>
      <w:r>
        <w:rPr>
          <w:rFonts w:hint="eastAsia" w:ascii="仿宋_GB2312" w:eastAsia="仿宋_GB2312" w:cs="宋体"/>
          <w:sz w:val="32"/>
          <w:szCs w:val="32"/>
          <w:highlight w:val="none"/>
          <w:lang w:eastAsia="zh-CN" w:bidi="ar-SA"/>
        </w:rPr>
        <w:t>着力提升财政资源配置效率和使用效</w:t>
      </w:r>
      <w:r>
        <w:rPr>
          <w:rFonts w:ascii="Times New Roman" w:hAnsi="Times New Roman" w:eastAsia="仿宋_GB2312" w:cs="Times New Roman"/>
          <w:sz w:val="32"/>
          <w:szCs w:val="32"/>
          <w:highlight w:val="none"/>
          <w:lang w:eastAsia="zh-CN" w:bidi="ar-SA"/>
        </w:rPr>
        <w:t>益，切实压实各级部门（单位）绩效管理主体责任，按照财政部《</w:t>
      </w:r>
      <w:r>
        <w:rPr>
          <w:rFonts w:ascii="Times New Roman" w:hAnsi="Times New Roman" w:eastAsia="仿宋_GB2312" w:cs="Times New Roman"/>
          <w:sz w:val="32"/>
          <w:szCs w:val="32"/>
          <w:highlight w:val="none"/>
          <w:lang w:val="en-US" w:eastAsia="zh-CN" w:bidi="ar-SA"/>
        </w:rPr>
        <w:t>项目支出绩效评价管理办法</w:t>
      </w:r>
      <w:r>
        <w:rPr>
          <w:rFonts w:ascii="Times New Roman" w:hAnsi="Times New Roman" w:eastAsia="仿宋_GB2312" w:cs="Times New Roman"/>
          <w:sz w:val="32"/>
          <w:szCs w:val="32"/>
          <w:highlight w:val="none"/>
          <w:lang w:eastAsia="zh-CN" w:bidi="ar-SA"/>
        </w:rPr>
        <w:t>》（财预〔</w:t>
      </w:r>
      <w:r>
        <w:rPr>
          <w:rFonts w:ascii="Times New Roman" w:hAnsi="Times New Roman" w:eastAsia="仿宋_GB2312" w:cs="Times New Roman"/>
          <w:sz w:val="32"/>
          <w:szCs w:val="32"/>
          <w:highlight w:val="none"/>
          <w:lang w:val="en-US" w:eastAsia="zh-CN" w:bidi="ar-SA"/>
        </w:rPr>
        <w:t>2020</w:t>
      </w:r>
      <w:r>
        <w:rPr>
          <w:rFonts w:ascii="Times New Roman" w:hAnsi="Times New Roman" w:eastAsia="仿宋_GB2312" w:cs="Times New Roman"/>
          <w:sz w:val="32"/>
          <w:szCs w:val="32"/>
          <w:highlight w:val="none"/>
          <w:lang w:eastAsia="zh-CN" w:bidi="ar-SA"/>
        </w:rPr>
        <w:t>〕</w:t>
      </w:r>
      <w:r>
        <w:rPr>
          <w:rFonts w:ascii="Times New Roman" w:hAnsi="Times New Roman" w:eastAsia="仿宋_GB2312" w:cs="Times New Roman"/>
          <w:sz w:val="32"/>
          <w:szCs w:val="32"/>
          <w:highlight w:val="none"/>
          <w:lang w:val="en-US" w:eastAsia="zh-CN" w:bidi="ar-SA"/>
        </w:rPr>
        <w:t>10号）、</w:t>
      </w:r>
      <w:r>
        <w:rPr>
          <w:rFonts w:ascii="Times New Roman" w:hAnsi="Times New Roman" w:eastAsia="仿宋_GB2312" w:cs="Times New Roman"/>
          <w:sz w:val="32"/>
          <w:szCs w:val="32"/>
          <w:highlight w:val="none"/>
          <w:lang w:eastAsia="zh-CN" w:bidi="ar-SA"/>
        </w:rPr>
        <w:t>《四川省财政厅关于开展2021年部门、政策和项目支出绩效评价工作的通知》（川财绩〔</w:t>
      </w:r>
      <w:r>
        <w:rPr>
          <w:rFonts w:ascii="Times New Roman" w:hAnsi="Times New Roman" w:eastAsia="仿宋_GB2312" w:cs="Times New Roman"/>
          <w:sz w:val="32"/>
          <w:szCs w:val="32"/>
          <w:highlight w:val="none"/>
          <w:lang w:val="en-US" w:eastAsia="zh-CN" w:bidi="ar-SA"/>
        </w:rPr>
        <w:t>2021</w:t>
      </w:r>
      <w:r>
        <w:rPr>
          <w:rFonts w:ascii="Times New Roman" w:hAnsi="Times New Roman" w:eastAsia="仿宋_GB2312" w:cs="Times New Roman"/>
          <w:sz w:val="32"/>
          <w:szCs w:val="32"/>
          <w:highlight w:val="none"/>
          <w:lang w:eastAsia="zh-CN" w:bidi="ar-SA"/>
        </w:rPr>
        <w:t>〕6号）和《阿坝州财政局关于开展20</w:t>
      </w:r>
      <w:r>
        <w:rPr>
          <w:rFonts w:ascii="Times New Roman" w:hAnsi="Times New Roman" w:eastAsia="仿宋_GB2312" w:cs="Times New Roman"/>
          <w:sz w:val="32"/>
          <w:szCs w:val="32"/>
          <w:highlight w:val="none"/>
          <w:lang w:val="en-US" w:eastAsia="zh-CN" w:bidi="ar-SA"/>
        </w:rPr>
        <w:t>21</w:t>
      </w:r>
      <w:r>
        <w:rPr>
          <w:rFonts w:ascii="Times New Roman" w:hAnsi="Times New Roman" w:eastAsia="仿宋_GB2312" w:cs="Times New Roman"/>
          <w:sz w:val="32"/>
          <w:szCs w:val="32"/>
          <w:highlight w:val="none"/>
          <w:lang w:eastAsia="zh-CN" w:bidi="ar-SA"/>
        </w:rPr>
        <w:t>年部门、政策和项目支出绩效评价工作的通知》（</w:t>
      </w:r>
      <w:r>
        <w:rPr>
          <w:rFonts w:ascii="Times New Roman" w:hAnsi="Times New Roman" w:eastAsia="仿宋_GB2312" w:cs="Times New Roman"/>
          <w:sz w:val="32"/>
          <w:szCs w:val="32"/>
          <w:highlight w:val="none"/>
        </w:rPr>
        <w:t>阿州财监绩〔2021〕11号</w:t>
      </w:r>
      <w:r>
        <w:rPr>
          <w:rFonts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lang w:eastAsia="zh-CN" w:bidi="ar-SA"/>
        </w:rPr>
        <w:t>文件要求，县财政局根据工作安排</w:t>
      </w:r>
      <w:r>
        <w:rPr>
          <w:rFonts w:ascii="Times New Roman" w:hAnsi="Times New Roman" w:eastAsia="仿宋_GB2312" w:cs="Times New Roman"/>
          <w:sz w:val="32"/>
          <w:szCs w:val="32"/>
          <w:highlight w:val="none"/>
          <w:lang w:eastAsia="zh-CN"/>
        </w:rPr>
        <w:t>，立足工作实际，聚焦重点难点，组织开展了</w:t>
      </w:r>
      <w:r>
        <w:rPr>
          <w:rFonts w:ascii="Times New Roman" w:hAnsi="Times New Roman" w:eastAsia="仿宋_GB2312" w:cs="Times New Roman"/>
          <w:sz w:val="32"/>
          <w:szCs w:val="32"/>
          <w:highlight w:val="none"/>
          <w:lang w:val="en-US" w:eastAsia="zh-CN"/>
        </w:rPr>
        <w:t>我县2021年部门、政策和项目支出绩效评价工作，现将工作开展情况汇报如下。</w:t>
      </w:r>
    </w:p>
    <w:p w14:paraId="7EE1ED3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hint="eastAsia" w:ascii="黑体" w:eastAsia="黑体" w:cs="宋体"/>
          <w:b w:val="0"/>
          <w:bCs/>
          <w:color w:val="000000"/>
          <w:kern w:val="0"/>
          <w:sz w:val="32"/>
          <w:szCs w:val="32"/>
          <w:highlight w:val="none"/>
          <w:shd w:val="clear" w:color="auto" w:fill="FFFFFF"/>
        </w:rPr>
      </w:pPr>
      <w:r>
        <w:rPr>
          <w:rFonts w:hint="eastAsia" w:ascii="黑体" w:eastAsia="黑体" w:cs="宋体"/>
          <w:b w:val="0"/>
          <w:bCs/>
          <w:color w:val="000000"/>
          <w:kern w:val="0"/>
          <w:sz w:val="32"/>
          <w:szCs w:val="32"/>
          <w:highlight w:val="none"/>
          <w:shd w:val="clear" w:color="auto" w:fill="FFFFFF"/>
        </w:rPr>
        <w:t>一、工作</w:t>
      </w:r>
      <w:r>
        <w:rPr>
          <w:rFonts w:hint="eastAsia" w:ascii="黑体" w:eastAsia="黑体" w:cs="宋体"/>
          <w:b w:val="0"/>
          <w:bCs/>
          <w:color w:val="000000"/>
          <w:kern w:val="0"/>
          <w:sz w:val="32"/>
          <w:szCs w:val="32"/>
          <w:highlight w:val="none"/>
          <w:shd w:val="clear" w:color="auto" w:fill="FFFFFF"/>
          <w:lang w:eastAsia="zh-CN"/>
        </w:rPr>
        <w:t>开展</w:t>
      </w:r>
      <w:r>
        <w:rPr>
          <w:rFonts w:hint="eastAsia" w:ascii="黑体" w:eastAsia="黑体" w:cs="宋体"/>
          <w:b w:val="0"/>
          <w:bCs/>
          <w:color w:val="000000"/>
          <w:kern w:val="0"/>
          <w:sz w:val="32"/>
          <w:szCs w:val="32"/>
          <w:highlight w:val="none"/>
          <w:shd w:val="clear" w:color="auto" w:fill="FFFFFF"/>
        </w:rPr>
        <w:t>情况</w:t>
      </w:r>
    </w:p>
    <w:p w14:paraId="1FCB33E3">
      <w:pPr>
        <w:keepNext w:val="0"/>
        <w:keepLines w:val="0"/>
        <w:pageBreakBefore w:val="0"/>
        <w:widowControl w:val="0"/>
        <w:kinsoku/>
        <w:wordWrap/>
        <w:overflowPunct/>
        <w:topLinePunct w:val="0"/>
        <w:autoSpaceDE/>
        <w:autoSpaceDN/>
        <w:bidi w:val="0"/>
        <w:adjustRightInd/>
        <w:snapToGrid/>
        <w:spacing w:line="560" w:lineRule="exact"/>
        <w:ind w:firstLine="640"/>
        <w:rPr>
          <w:rFonts w:ascii="Times New Roman" w:hAnsi="Times New Roman" w:eastAsia="仿宋_GB2312" w:cs="Times New Roman"/>
          <w:color w:val="000000"/>
          <w:kern w:val="0"/>
          <w:sz w:val="32"/>
          <w:szCs w:val="32"/>
          <w:highlight w:val="none"/>
          <w:shd w:val="clear" w:color="auto" w:fill="FFFFFF"/>
          <w:lang w:eastAsia="zh-CN"/>
        </w:rPr>
      </w:pPr>
      <w:r>
        <w:rPr>
          <w:rFonts w:ascii="Times New Roman" w:hAnsi="Times New Roman" w:eastAsia="仿宋_GB2312" w:cs="Times New Roman"/>
          <w:color w:val="000000"/>
          <w:kern w:val="0"/>
          <w:sz w:val="32"/>
          <w:szCs w:val="32"/>
          <w:highlight w:val="none"/>
          <w:shd w:val="clear" w:color="auto" w:fill="FFFFFF"/>
        </w:rPr>
        <w:t>按照《金川县</w:t>
      </w:r>
      <w:r>
        <w:rPr>
          <w:rFonts w:ascii="Times New Roman" w:hAnsi="Times New Roman" w:eastAsia="仿宋_GB2312" w:cs="Times New Roman"/>
          <w:color w:val="000000"/>
          <w:kern w:val="0"/>
          <w:sz w:val="32"/>
          <w:szCs w:val="32"/>
          <w:highlight w:val="none"/>
          <w:shd w:val="clear" w:color="auto" w:fill="FFFFFF"/>
          <w:lang w:val="en-US" w:eastAsia="zh-CN"/>
        </w:rPr>
        <w:t>2021年预算绩效管理工作要点</w:t>
      </w:r>
      <w:r>
        <w:rPr>
          <w:rFonts w:ascii="Times New Roman" w:hAnsi="Times New Roman" w:eastAsia="仿宋_GB2312" w:cs="Times New Roman"/>
          <w:color w:val="000000"/>
          <w:kern w:val="0"/>
          <w:sz w:val="32"/>
          <w:szCs w:val="32"/>
          <w:highlight w:val="none"/>
          <w:shd w:val="clear" w:color="auto" w:fill="FFFFFF"/>
        </w:rPr>
        <w:t>》（金财监绩〔2020〕</w:t>
      </w:r>
      <w:r>
        <w:rPr>
          <w:rFonts w:ascii="Times New Roman" w:hAnsi="Times New Roman" w:eastAsia="仿宋_GB2312" w:cs="Times New Roman"/>
          <w:color w:val="000000"/>
          <w:kern w:val="0"/>
          <w:sz w:val="32"/>
          <w:szCs w:val="32"/>
          <w:highlight w:val="none"/>
          <w:shd w:val="clear" w:color="auto" w:fill="FFFFFF"/>
          <w:lang w:val="en-US" w:eastAsia="zh-CN"/>
        </w:rPr>
        <w:t>25</w:t>
      </w:r>
      <w:r>
        <w:rPr>
          <w:rFonts w:ascii="Times New Roman" w:hAnsi="Times New Roman" w:eastAsia="仿宋_GB2312" w:cs="Times New Roman"/>
          <w:color w:val="000000"/>
          <w:kern w:val="0"/>
          <w:sz w:val="32"/>
          <w:szCs w:val="32"/>
          <w:highlight w:val="none"/>
          <w:shd w:val="clear" w:color="auto" w:fill="FFFFFF"/>
        </w:rPr>
        <w:t>号）</w:t>
      </w:r>
      <w:r>
        <w:rPr>
          <w:rFonts w:ascii="Times New Roman" w:hAnsi="Times New Roman" w:eastAsia="仿宋_GB2312" w:cs="Times New Roman"/>
          <w:color w:val="000000"/>
          <w:kern w:val="0"/>
          <w:sz w:val="32"/>
          <w:szCs w:val="32"/>
          <w:highlight w:val="none"/>
          <w:shd w:val="clear" w:color="auto" w:fill="FFFFFF"/>
          <w:lang w:eastAsia="zh-CN"/>
        </w:rPr>
        <w:t>文件</w:t>
      </w:r>
      <w:r>
        <w:rPr>
          <w:rFonts w:ascii="Times New Roman" w:hAnsi="Times New Roman" w:eastAsia="仿宋_GB2312" w:cs="Times New Roman"/>
          <w:color w:val="000000"/>
          <w:kern w:val="0"/>
          <w:sz w:val="32"/>
          <w:szCs w:val="32"/>
          <w:highlight w:val="none"/>
          <w:shd w:val="clear" w:color="auto" w:fill="FFFFFF"/>
        </w:rPr>
        <w:t>要求,为深入贯彻</w:t>
      </w:r>
      <w:r>
        <w:rPr>
          <w:rFonts w:ascii="Times New Roman" w:hAnsi="Times New Roman" w:eastAsia="仿宋_GB2312" w:cs="Times New Roman"/>
          <w:sz w:val="32"/>
          <w:szCs w:val="32"/>
          <w:highlight w:val="none"/>
          <w:lang w:val="en-US" w:eastAsia="zh-CN"/>
        </w:rPr>
        <w:t>落实省、州、县关于全面实施预算绩效管理的相关要求</w:t>
      </w:r>
      <w:r>
        <w:rPr>
          <w:rFonts w:ascii="Times New Roman" w:hAnsi="Times New Roman" w:eastAsia="仿宋_GB2312" w:cs="Times New Roman"/>
          <w:color w:val="000000"/>
          <w:kern w:val="0"/>
          <w:sz w:val="32"/>
          <w:szCs w:val="32"/>
          <w:highlight w:val="none"/>
          <w:shd w:val="clear" w:color="auto" w:fill="FFFFFF"/>
        </w:rPr>
        <w:t>，</w:t>
      </w:r>
      <w:r>
        <w:rPr>
          <w:rFonts w:ascii="Times New Roman" w:hAnsi="Times New Roman" w:eastAsia="仿宋_GB2312" w:cs="Times New Roman"/>
          <w:color w:val="000000"/>
          <w:sz w:val="32"/>
          <w:szCs w:val="32"/>
          <w:highlight w:val="none"/>
        </w:rPr>
        <w:t>继续深入推进</w:t>
      </w:r>
      <w:r>
        <w:rPr>
          <w:rFonts w:ascii="Times New Roman" w:hAnsi="Times New Roman" w:eastAsia="仿宋_GB2312" w:cs="Times New Roman"/>
          <w:color w:val="000000"/>
          <w:sz w:val="32"/>
          <w:szCs w:val="32"/>
          <w:highlight w:val="none"/>
          <w:lang w:eastAsia="zh-CN"/>
        </w:rPr>
        <w:t>我县</w:t>
      </w:r>
      <w:r>
        <w:rPr>
          <w:rFonts w:ascii="Times New Roman" w:hAnsi="Times New Roman" w:eastAsia="仿宋_GB2312" w:cs="Times New Roman"/>
          <w:color w:val="000000"/>
          <w:sz w:val="32"/>
          <w:szCs w:val="32"/>
          <w:highlight w:val="none"/>
        </w:rPr>
        <w:t>财政预算绩效工作</w:t>
      </w:r>
      <w:r>
        <w:rPr>
          <w:rFonts w:ascii="Times New Roman" w:hAnsi="Times New Roman" w:eastAsia="仿宋_GB2312" w:cs="Times New Roman"/>
          <w:color w:val="000000"/>
          <w:sz w:val="32"/>
          <w:szCs w:val="32"/>
          <w:highlight w:val="none"/>
          <w:lang w:val="en-US" w:eastAsia="zh-CN"/>
        </w:rPr>
        <w:t>,我局</w:t>
      </w:r>
      <w:r>
        <w:rPr>
          <w:rFonts w:ascii="Times New Roman" w:hAnsi="Times New Roman" w:eastAsia="仿宋_GB2312" w:cs="Times New Roman"/>
          <w:color w:val="000000"/>
          <w:sz w:val="32"/>
          <w:szCs w:val="32"/>
          <w:highlight w:val="none"/>
        </w:rPr>
        <w:t>从20</w:t>
      </w:r>
      <w:r>
        <w:rPr>
          <w:rFonts w:ascii="Times New Roman" w:hAnsi="Times New Roman" w:eastAsia="仿宋_GB2312" w:cs="Times New Roman"/>
          <w:color w:val="000000"/>
          <w:sz w:val="32"/>
          <w:szCs w:val="32"/>
          <w:highlight w:val="none"/>
          <w:lang w:val="en-US" w:eastAsia="zh-CN"/>
        </w:rPr>
        <w:t>21</w:t>
      </w:r>
      <w:r>
        <w:rPr>
          <w:rFonts w:ascii="Times New Roman" w:hAnsi="Times New Roman" w:eastAsia="仿宋_GB2312" w:cs="Times New Roman"/>
          <w:color w:val="000000"/>
          <w:sz w:val="32"/>
          <w:szCs w:val="32"/>
          <w:highlight w:val="none"/>
        </w:rPr>
        <w:t>年</w:t>
      </w:r>
      <w:r>
        <w:rPr>
          <w:rFonts w:ascii="Times New Roman" w:hAnsi="Times New Roman" w:eastAsia="仿宋_GB2312" w:cs="Times New Roman"/>
          <w:color w:val="000000"/>
          <w:sz w:val="32"/>
          <w:szCs w:val="32"/>
          <w:highlight w:val="none"/>
          <w:lang w:val="en-US" w:eastAsia="zh-CN"/>
        </w:rPr>
        <w:t>6</w:t>
      </w:r>
      <w:r>
        <w:rPr>
          <w:rFonts w:ascii="Times New Roman" w:hAnsi="Times New Roman" w:eastAsia="仿宋_GB2312" w:cs="Times New Roman"/>
          <w:color w:val="000000"/>
          <w:sz w:val="32"/>
          <w:szCs w:val="32"/>
          <w:highlight w:val="none"/>
        </w:rPr>
        <w:t>月开始开展</w:t>
      </w:r>
      <w:r>
        <w:rPr>
          <w:rFonts w:ascii="Times New Roman" w:hAnsi="Times New Roman" w:eastAsia="仿宋_GB2312" w:cs="Times New Roman"/>
          <w:color w:val="000000"/>
          <w:sz w:val="32"/>
          <w:szCs w:val="32"/>
          <w:highlight w:val="none"/>
          <w:lang w:val="en-US" w:eastAsia="zh-CN"/>
        </w:rPr>
        <w:t>2021年度部门、政策和项目支出</w:t>
      </w:r>
      <w:r>
        <w:rPr>
          <w:rFonts w:ascii="Times New Roman" w:hAnsi="Times New Roman" w:eastAsia="仿宋_GB2312" w:cs="Times New Roman"/>
          <w:color w:val="000000"/>
          <w:sz w:val="32"/>
          <w:szCs w:val="32"/>
          <w:highlight w:val="none"/>
        </w:rPr>
        <w:t>绩效评价工作。</w:t>
      </w:r>
      <w:r>
        <w:rPr>
          <w:rFonts w:ascii="Times New Roman" w:hAnsi="Times New Roman" w:eastAsia="仿宋_GB2312" w:cs="Times New Roman"/>
          <w:color w:val="000000"/>
          <w:kern w:val="0"/>
          <w:sz w:val="32"/>
          <w:szCs w:val="32"/>
          <w:highlight w:val="none"/>
          <w:shd w:val="clear" w:color="auto" w:fill="FFFFFF"/>
        </w:rPr>
        <w:t>由</w:t>
      </w:r>
      <w:r>
        <w:rPr>
          <w:rFonts w:ascii="Times New Roman" w:hAnsi="Times New Roman" w:eastAsia="仿宋_GB2312" w:cs="Times New Roman"/>
          <w:color w:val="000000"/>
          <w:kern w:val="0"/>
          <w:sz w:val="32"/>
          <w:szCs w:val="32"/>
          <w:highlight w:val="none"/>
          <w:shd w:val="clear" w:color="auto" w:fill="FFFFFF"/>
          <w:lang w:eastAsia="zh-CN"/>
        </w:rPr>
        <w:t>财政监督和绩效管理股牵头，各股室及第三方评价组形成</w:t>
      </w:r>
      <w:r>
        <w:rPr>
          <w:rFonts w:ascii="Times New Roman" w:hAnsi="Times New Roman" w:eastAsia="仿宋_GB2312" w:cs="Times New Roman"/>
          <w:color w:val="000000"/>
          <w:kern w:val="0"/>
          <w:sz w:val="32"/>
          <w:szCs w:val="32"/>
          <w:highlight w:val="none"/>
          <w:shd w:val="clear" w:color="auto" w:fill="FFFFFF"/>
        </w:rPr>
        <w:t>联合工作组</w:t>
      </w:r>
      <w:r>
        <w:rPr>
          <w:rFonts w:ascii="Times New Roman" w:hAnsi="Times New Roman" w:eastAsia="仿宋_GB2312" w:cs="Times New Roman"/>
          <w:color w:val="000000"/>
          <w:kern w:val="0"/>
          <w:sz w:val="32"/>
          <w:szCs w:val="32"/>
          <w:highlight w:val="none"/>
          <w:shd w:val="clear" w:color="auto" w:fill="FFFFFF"/>
          <w:lang w:eastAsia="zh-CN"/>
        </w:rPr>
        <w:t>开展具体工作。</w:t>
      </w:r>
    </w:p>
    <w:p w14:paraId="25DE37FC">
      <w:pPr>
        <w:keepNext w:val="0"/>
        <w:keepLines w:val="0"/>
        <w:pageBreakBefore w:val="0"/>
        <w:widowControl w:val="0"/>
        <w:kinsoku/>
        <w:wordWrap/>
        <w:overflowPunct/>
        <w:topLinePunct w:val="0"/>
        <w:autoSpaceDE/>
        <w:autoSpaceDN/>
        <w:bidi w:val="0"/>
        <w:adjustRightInd/>
        <w:snapToGrid/>
        <w:spacing w:line="560" w:lineRule="exact"/>
        <w:ind w:firstLine="640"/>
        <w:rPr>
          <w:rFonts w:ascii="Times New Roman" w:hAnsi="Times New Roman" w:eastAsia="仿宋_GB2312" w:cs="Times New Roman"/>
          <w:color w:val="000000"/>
          <w:kern w:val="0"/>
          <w:sz w:val="32"/>
          <w:szCs w:val="32"/>
          <w:highlight w:val="none"/>
          <w:lang w:eastAsia="zh-CN"/>
        </w:rPr>
      </w:pPr>
      <w:r>
        <w:rPr>
          <w:rFonts w:ascii="Times New Roman" w:hAnsi="Times New Roman" w:eastAsia="仿宋_GB2312" w:cs="Times New Roman"/>
          <w:color w:val="000000"/>
          <w:kern w:val="0"/>
          <w:sz w:val="32"/>
          <w:szCs w:val="32"/>
          <w:highlight w:val="none"/>
          <w:shd w:val="clear" w:color="auto" w:fill="FFFFFF"/>
          <w:lang w:val="en-US" w:eastAsia="zh-CN"/>
        </w:rPr>
        <w:t>我局于7月制定并下发</w:t>
      </w:r>
      <w:r>
        <w:rPr>
          <w:rFonts w:ascii="Times New Roman" w:hAnsi="Times New Roman" w:eastAsia="仿宋_GB2312" w:cs="Times New Roman"/>
          <w:color w:val="000000"/>
          <w:kern w:val="0"/>
          <w:sz w:val="32"/>
          <w:szCs w:val="32"/>
          <w:highlight w:val="none"/>
          <w:shd w:val="clear" w:color="auto" w:fill="FFFFFF"/>
          <w:lang w:eastAsia="zh-CN"/>
        </w:rPr>
        <w:t>《金川县财政局关于开展2021年部门、政策和项目支出绩效评价工作的通知》</w:t>
      </w:r>
      <w:r>
        <w:rPr>
          <w:rFonts w:ascii="Times New Roman" w:hAnsi="Times New Roman" w:eastAsia="仿宋_GB2312" w:cs="Times New Roman"/>
          <w:color w:val="000000"/>
          <w:kern w:val="0"/>
          <w:sz w:val="32"/>
          <w:szCs w:val="32"/>
          <w:highlight w:val="none"/>
          <w:shd w:val="clear" w:color="auto" w:fill="FFFFFF"/>
          <w:lang w:val="en-US" w:eastAsia="zh-CN"/>
        </w:rPr>
        <w:t>(</w:t>
      </w:r>
      <w:r>
        <w:rPr>
          <w:rFonts w:ascii="Times New Roman" w:hAnsi="Times New Roman" w:eastAsia="仿宋_GB2312" w:cs="Times New Roman"/>
          <w:color w:val="000000"/>
          <w:kern w:val="0"/>
          <w:sz w:val="32"/>
          <w:szCs w:val="32"/>
          <w:highlight w:val="none"/>
          <w:shd w:val="clear" w:color="auto" w:fill="FFFFFF"/>
          <w:lang w:eastAsia="zh-CN"/>
        </w:rPr>
        <w:t>金财监绩〔202</w:t>
      </w:r>
      <w:r>
        <w:rPr>
          <w:rFonts w:ascii="Times New Roman" w:hAnsi="Times New Roman" w:eastAsia="仿宋_GB2312" w:cs="Times New Roman"/>
          <w:color w:val="000000"/>
          <w:kern w:val="0"/>
          <w:sz w:val="32"/>
          <w:szCs w:val="32"/>
          <w:highlight w:val="none"/>
          <w:shd w:val="clear" w:color="auto" w:fill="FFFFFF"/>
          <w:lang w:val="en-US" w:eastAsia="zh-CN"/>
        </w:rPr>
        <w:t>1</w:t>
      </w:r>
      <w:r>
        <w:rPr>
          <w:rFonts w:ascii="Times New Roman" w:hAnsi="Times New Roman" w:eastAsia="仿宋_GB2312" w:cs="Times New Roman"/>
          <w:color w:val="000000"/>
          <w:kern w:val="0"/>
          <w:sz w:val="32"/>
          <w:szCs w:val="32"/>
          <w:highlight w:val="none"/>
          <w:shd w:val="clear" w:color="auto" w:fill="FFFFFF"/>
          <w:lang w:eastAsia="zh-CN"/>
        </w:rPr>
        <w:t>〕2</w:t>
      </w:r>
      <w:r>
        <w:rPr>
          <w:rFonts w:ascii="Times New Roman" w:hAnsi="Times New Roman" w:eastAsia="仿宋_GB2312" w:cs="Times New Roman"/>
          <w:color w:val="000000"/>
          <w:kern w:val="0"/>
          <w:sz w:val="32"/>
          <w:szCs w:val="32"/>
          <w:highlight w:val="none"/>
          <w:shd w:val="clear" w:color="auto" w:fill="FFFFFF"/>
          <w:lang w:val="en-US" w:eastAsia="zh-CN"/>
        </w:rPr>
        <w:t>6</w:t>
      </w:r>
      <w:r>
        <w:rPr>
          <w:rFonts w:ascii="Times New Roman" w:hAnsi="Times New Roman" w:eastAsia="仿宋_GB2312" w:cs="Times New Roman"/>
          <w:color w:val="000000"/>
          <w:kern w:val="0"/>
          <w:sz w:val="32"/>
          <w:szCs w:val="32"/>
          <w:highlight w:val="none"/>
          <w:shd w:val="clear" w:color="auto" w:fill="FFFFFF"/>
          <w:lang w:eastAsia="zh-CN"/>
        </w:rPr>
        <w:t>号</w:t>
      </w:r>
      <w:r>
        <w:rPr>
          <w:rFonts w:ascii="Times New Roman" w:hAnsi="Times New Roman" w:eastAsia="仿宋_GB2312" w:cs="Times New Roman"/>
          <w:color w:val="000000"/>
          <w:kern w:val="0"/>
          <w:sz w:val="32"/>
          <w:szCs w:val="32"/>
          <w:highlight w:val="none"/>
          <w:shd w:val="clear" w:color="auto" w:fill="FFFFFF"/>
          <w:lang w:val="en-US" w:eastAsia="zh-CN"/>
        </w:rPr>
        <w:t>)，</w:t>
      </w:r>
      <w:r>
        <w:rPr>
          <w:rFonts w:ascii="Times New Roman" w:hAnsi="Times New Roman" w:eastAsia="仿宋_GB2312" w:cs="Times New Roman"/>
          <w:sz w:val="32"/>
          <w:szCs w:val="32"/>
          <w:highlight w:val="none"/>
          <w:lang w:val="en-US" w:eastAsia="zh-CN"/>
        </w:rPr>
        <w:t>抽取民生、扶贫等74个项目开展了重点项目支出绩效评价，涉及资金3.3亿元，其中选取城乡居民基本医疗保险财政补助、建档立卡贫困户医疗保险补助、城乡居民基本养老保险财政补助、建档立卡贫困户养老保险补助（社保基金项目）纳入绩效评价。要求所有预算单位均进行整体绩效自评，选取金川县教育局、金川县公安局、金川县民政局、金川县庆宁乡、金川县勒乌镇等38个乡（镇）及部门进行部门整体支出绩效评价。</w:t>
      </w:r>
      <w:r>
        <w:rPr>
          <w:rFonts w:ascii="Times New Roman" w:hAnsi="Times New Roman" w:eastAsia="仿宋_GB2312" w:cs="Times New Roman"/>
          <w:color w:val="000000"/>
          <w:kern w:val="0"/>
          <w:sz w:val="32"/>
          <w:szCs w:val="32"/>
          <w:highlight w:val="none"/>
          <w:lang w:eastAsia="zh-CN"/>
        </w:rPr>
        <w:t>绩效评价情况如下：</w:t>
      </w:r>
    </w:p>
    <w:tbl>
      <w:tblPr>
        <w:tblStyle w:val="9"/>
        <w:tblW w:w="0" w:type="auto"/>
        <w:tblInd w:w="-61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390"/>
        <w:gridCol w:w="60"/>
        <w:gridCol w:w="2352"/>
        <w:gridCol w:w="603"/>
        <w:gridCol w:w="627"/>
        <w:gridCol w:w="588"/>
        <w:gridCol w:w="763"/>
        <w:gridCol w:w="587"/>
        <w:gridCol w:w="776"/>
        <w:gridCol w:w="226"/>
        <w:gridCol w:w="258"/>
        <w:gridCol w:w="764"/>
        <w:gridCol w:w="331"/>
        <w:gridCol w:w="544"/>
        <w:gridCol w:w="311"/>
        <w:gridCol w:w="420"/>
        <w:gridCol w:w="1973"/>
      </w:tblGrid>
      <w:tr w14:paraId="6A4AA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600" w:type="dxa"/>
            <w:gridSpan w:val="16"/>
            <w:tcBorders>
              <w:top w:val="nil"/>
              <w:left w:val="nil"/>
              <w:bottom w:val="nil"/>
              <w:right w:val="nil"/>
            </w:tcBorders>
            <w:noWrap/>
            <w:vAlign w:val="center"/>
          </w:tcPr>
          <w:p w14:paraId="5E4E3ECF">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方正小标宋简体" w:eastAsia="方正小标宋简体" w:cs="方正小标宋简体"/>
                <w:i w:val="0"/>
                <w:color w:val="000000"/>
                <w:sz w:val="32"/>
                <w:szCs w:val="32"/>
                <w:highlight w:val="none"/>
                <w:u w:val="none"/>
              </w:rPr>
            </w:pPr>
            <w:r>
              <w:rPr>
                <w:rFonts w:hint="eastAsia" w:ascii="方正小标宋简体" w:eastAsia="方正小标宋简体" w:cs="方正小标宋简体"/>
                <w:i w:val="0"/>
                <w:color w:val="000000"/>
                <w:sz w:val="32"/>
                <w:szCs w:val="32"/>
                <w:highlight w:val="none"/>
                <w:u w:val="none"/>
              </w:rPr>
              <w:t>金川县2021年县级财政支出绩效评价项目安排表</w:t>
            </w:r>
          </w:p>
        </w:tc>
        <w:tc>
          <w:tcPr>
            <w:tcW w:w="1973" w:type="dxa"/>
            <w:tcBorders>
              <w:top w:val="nil"/>
              <w:left w:val="nil"/>
              <w:bottom w:val="nil"/>
              <w:right w:val="nil"/>
            </w:tcBorders>
            <w:noWrap/>
            <w:vAlign w:val="center"/>
          </w:tcPr>
          <w:p w14:paraId="364ADA3A">
            <w:pPr>
              <w:keepNext w:val="0"/>
              <w:keepLines w:val="0"/>
              <w:pageBreakBefore w:val="0"/>
              <w:widowControl w:val="0"/>
              <w:kinsoku/>
              <w:wordWrap/>
              <w:overflowPunct/>
              <w:topLinePunct w:val="0"/>
              <w:autoSpaceDE/>
              <w:autoSpaceDN/>
              <w:bidi w:val="0"/>
              <w:adjustRightInd/>
              <w:snapToGrid/>
              <w:spacing w:line="560" w:lineRule="exact"/>
              <w:jc w:val="center"/>
              <w:rPr>
                <w:highlight w:val="none"/>
              </w:rPr>
            </w:pPr>
          </w:p>
        </w:tc>
      </w:tr>
      <w:tr w14:paraId="3A7C9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330" w:hRule="atLeast"/>
        </w:trPr>
        <w:tc>
          <w:tcPr>
            <w:tcW w:w="450" w:type="dxa"/>
            <w:gridSpan w:val="2"/>
            <w:tcBorders>
              <w:top w:val="nil"/>
              <w:left w:val="nil"/>
              <w:bottom w:val="nil"/>
              <w:right w:val="nil"/>
            </w:tcBorders>
            <w:noWrap/>
            <w:vAlign w:val="center"/>
          </w:tcPr>
          <w:p w14:paraId="0425E17D">
            <w:pPr>
              <w:keepNext w:val="0"/>
              <w:keepLines w:val="0"/>
              <w:pageBreakBefore w:val="0"/>
              <w:widowControl w:val="0"/>
              <w:kinsoku/>
              <w:wordWrap/>
              <w:overflowPunct/>
              <w:topLinePunct w:val="0"/>
              <w:autoSpaceDE/>
              <w:autoSpaceDN/>
              <w:bidi w:val="0"/>
              <w:adjustRightInd/>
              <w:snapToGrid/>
              <w:spacing w:line="560" w:lineRule="exact"/>
              <w:rPr>
                <w:rFonts w:hint="eastAsia" w:ascii="宋体" w:eastAsia="宋体" w:cs="宋体"/>
                <w:i w:val="0"/>
                <w:color w:val="000000"/>
                <w:sz w:val="24"/>
                <w:szCs w:val="24"/>
                <w:highlight w:val="none"/>
                <w:u w:val="none"/>
              </w:rPr>
            </w:pPr>
          </w:p>
        </w:tc>
        <w:tc>
          <w:tcPr>
            <w:tcW w:w="2955" w:type="dxa"/>
            <w:gridSpan w:val="2"/>
            <w:tcBorders>
              <w:top w:val="nil"/>
              <w:left w:val="nil"/>
              <w:bottom w:val="nil"/>
              <w:right w:val="nil"/>
            </w:tcBorders>
            <w:noWrap/>
            <w:vAlign w:val="center"/>
          </w:tcPr>
          <w:p w14:paraId="66E437A7">
            <w:pPr>
              <w:keepNext w:val="0"/>
              <w:keepLines w:val="0"/>
              <w:pageBreakBefore w:val="0"/>
              <w:widowControl w:val="0"/>
              <w:kinsoku/>
              <w:wordWrap/>
              <w:overflowPunct/>
              <w:topLinePunct w:val="0"/>
              <w:autoSpaceDE/>
              <w:autoSpaceDN/>
              <w:bidi w:val="0"/>
              <w:adjustRightInd/>
              <w:snapToGrid/>
              <w:spacing w:line="560" w:lineRule="exact"/>
              <w:jc w:val="left"/>
              <w:rPr>
                <w:rFonts w:hint="eastAsia" w:ascii="宋体" w:eastAsia="宋体" w:cs="宋体"/>
                <w:i w:val="0"/>
                <w:color w:val="000000"/>
                <w:sz w:val="20"/>
                <w:szCs w:val="20"/>
                <w:highlight w:val="none"/>
                <w:u w:val="none"/>
              </w:rPr>
            </w:pPr>
          </w:p>
        </w:tc>
        <w:tc>
          <w:tcPr>
            <w:tcW w:w="1978" w:type="dxa"/>
            <w:gridSpan w:val="3"/>
            <w:tcBorders>
              <w:top w:val="nil"/>
              <w:left w:val="nil"/>
              <w:bottom w:val="nil"/>
              <w:right w:val="nil"/>
            </w:tcBorders>
            <w:noWrap/>
            <w:vAlign w:val="center"/>
          </w:tcPr>
          <w:p w14:paraId="66F68025">
            <w:pPr>
              <w:keepNext w:val="0"/>
              <w:keepLines w:val="0"/>
              <w:pageBreakBefore w:val="0"/>
              <w:widowControl w:val="0"/>
              <w:kinsoku/>
              <w:wordWrap/>
              <w:overflowPunct/>
              <w:topLinePunct w:val="0"/>
              <w:autoSpaceDE/>
              <w:autoSpaceDN/>
              <w:bidi w:val="0"/>
              <w:adjustRightInd/>
              <w:snapToGrid/>
              <w:spacing w:line="560" w:lineRule="exact"/>
              <w:rPr>
                <w:rFonts w:hint="eastAsia" w:ascii="宋体" w:eastAsia="宋体" w:cs="宋体"/>
                <w:b/>
                <w:i w:val="0"/>
                <w:color w:val="000000"/>
                <w:sz w:val="20"/>
                <w:szCs w:val="20"/>
                <w:highlight w:val="none"/>
                <w:u w:val="none"/>
              </w:rPr>
            </w:pPr>
          </w:p>
        </w:tc>
        <w:tc>
          <w:tcPr>
            <w:tcW w:w="1363" w:type="dxa"/>
            <w:gridSpan w:val="2"/>
            <w:tcBorders>
              <w:top w:val="nil"/>
              <w:left w:val="nil"/>
              <w:bottom w:val="nil"/>
              <w:right w:val="nil"/>
            </w:tcBorders>
            <w:noWrap/>
            <w:vAlign w:val="center"/>
          </w:tcPr>
          <w:p w14:paraId="33F6799B">
            <w:pPr>
              <w:keepNext w:val="0"/>
              <w:keepLines w:val="0"/>
              <w:pageBreakBefore w:val="0"/>
              <w:widowControl w:val="0"/>
              <w:kinsoku/>
              <w:wordWrap/>
              <w:overflowPunct/>
              <w:topLinePunct w:val="0"/>
              <w:autoSpaceDE/>
              <w:autoSpaceDN/>
              <w:bidi w:val="0"/>
              <w:adjustRightInd/>
              <w:snapToGrid/>
              <w:spacing w:line="560" w:lineRule="exact"/>
              <w:rPr>
                <w:rFonts w:hint="eastAsia" w:ascii="宋体" w:eastAsia="宋体" w:cs="宋体"/>
                <w:i w:val="0"/>
                <w:color w:val="000000"/>
                <w:sz w:val="20"/>
                <w:szCs w:val="20"/>
                <w:highlight w:val="none"/>
                <w:u w:val="none"/>
              </w:rPr>
            </w:pPr>
          </w:p>
        </w:tc>
        <w:tc>
          <w:tcPr>
            <w:tcW w:w="1248" w:type="dxa"/>
            <w:gridSpan w:val="3"/>
            <w:tcBorders>
              <w:top w:val="nil"/>
              <w:left w:val="nil"/>
              <w:bottom w:val="nil"/>
              <w:right w:val="nil"/>
            </w:tcBorders>
            <w:noWrap/>
            <w:vAlign w:val="center"/>
          </w:tcPr>
          <w:p w14:paraId="3838D31E">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宋体" w:eastAsia="宋体" w:cs="宋体"/>
                <w:i w:val="0"/>
                <w:color w:val="000000"/>
                <w:sz w:val="20"/>
                <w:szCs w:val="20"/>
                <w:highlight w:val="none"/>
                <w:u w:val="none"/>
              </w:rPr>
            </w:pPr>
          </w:p>
        </w:tc>
        <w:tc>
          <w:tcPr>
            <w:tcW w:w="875" w:type="dxa"/>
            <w:gridSpan w:val="2"/>
            <w:tcBorders>
              <w:top w:val="nil"/>
              <w:left w:val="nil"/>
              <w:bottom w:val="nil"/>
              <w:right w:val="nil"/>
            </w:tcBorders>
            <w:noWrap/>
            <w:vAlign w:val="center"/>
          </w:tcPr>
          <w:p w14:paraId="0AD0F0A3">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宋体" w:eastAsia="宋体" w:cs="宋体"/>
                <w:i w:val="0"/>
                <w:color w:val="000000"/>
                <w:sz w:val="20"/>
                <w:szCs w:val="20"/>
                <w:highlight w:val="none"/>
                <w:u w:val="none"/>
              </w:rPr>
            </w:pPr>
          </w:p>
        </w:tc>
        <w:tc>
          <w:tcPr>
            <w:tcW w:w="731" w:type="dxa"/>
            <w:gridSpan w:val="2"/>
            <w:tcBorders>
              <w:top w:val="nil"/>
              <w:left w:val="nil"/>
              <w:bottom w:val="nil"/>
              <w:right w:val="nil"/>
            </w:tcBorders>
            <w:noWrap/>
            <w:vAlign w:val="center"/>
          </w:tcPr>
          <w:p w14:paraId="349593F7">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宋体" w:eastAsia="宋体" w:cs="宋体"/>
                <w:i w:val="0"/>
                <w:color w:val="000000"/>
                <w:sz w:val="20"/>
                <w:szCs w:val="20"/>
                <w:highlight w:val="none"/>
                <w:u w:val="none"/>
              </w:rPr>
            </w:pPr>
          </w:p>
        </w:tc>
      </w:tr>
      <w:tr w14:paraId="34C9A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95" w:hRule="atLeast"/>
        </w:trPr>
        <w:tc>
          <w:tcPr>
            <w:tcW w:w="45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5AA2553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序号</w:t>
            </w:r>
          </w:p>
        </w:tc>
        <w:tc>
          <w:tcPr>
            <w:tcW w:w="2955"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5074CA6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项目名称</w:t>
            </w:r>
          </w:p>
        </w:tc>
        <w:tc>
          <w:tcPr>
            <w:tcW w:w="6195" w:type="dxa"/>
            <w:gridSpan w:val="12"/>
            <w:tcBorders>
              <w:top w:val="single" w:color="000000" w:sz="4" w:space="0"/>
              <w:left w:val="single" w:color="000000" w:sz="4" w:space="0"/>
              <w:bottom w:val="single" w:color="000000" w:sz="4" w:space="0"/>
              <w:right w:val="single" w:color="000000" w:sz="4" w:space="0"/>
            </w:tcBorders>
            <w:noWrap/>
            <w:vAlign w:val="center"/>
          </w:tcPr>
          <w:p w14:paraId="59AD641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金额</w:t>
            </w:r>
            <w:r>
              <w:rPr>
                <w:rFonts w:hint="eastAsia" w:ascii="宋体" w:eastAsia="宋体" w:cs="宋体"/>
                <w:b/>
                <w:i w:val="0"/>
                <w:color w:val="000000"/>
                <w:kern w:val="0"/>
                <w:sz w:val="20"/>
                <w:szCs w:val="20"/>
                <w:highlight w:val="none"/>
                <w:u w:val="none"/>
                <w:lang w:val="en-US" w:eastAsia="zh-CN"/>
              </w:rPr>
              <w:br w:type="textWrapping"/>
            </w:r>
            <w:r>
              <w:rPr>
                <w:rFonts w:hint="eastAsia" w:ascii="宋体" w:eastAsia="宋体" w:cs="宋体"/>
                <w:b/>
                <w:i w:val="0"/>
                <w:color w:val="000000"/>
                <w:kern w:val="0"/>
                <w:sz w:val="20"/>
                <w:szCs w:val="20"/>
                <w:highlight w:val="none"/>
                <w:u w:val="none"/>
                <w:lang w:val="en-US" w:eastAsia="zh-CN"/>
              </w:rPr>
              <w:t>（万元）</w:t>
            </w:r>
          </w:p>
        </w:tc>
      </w:tr>
      <w:tr w14:paraId="19D91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95" w:hRule="atLeast"/>
        </w:trPr>
        <w:tc>
          <w:tcPr>
            <w:tcW w:w="45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9F3292E"/>
        </w:tc>
        <w:tc>
          <w:tcPr>
            <w:tcW w:w="2955"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29A4F63"/>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357765A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小计</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C5A4C2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中央</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CE936F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省</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7003C3D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州</w:t>
            </w: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5CACB20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县</w:t>
            </w:r>
          </w:p>
        </w:tc>
      </w:tr>
      <w:tr w14:paraId="1CC55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95"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2EBF46B8">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宋体" w:eastAsia="宋体" w:cs="宋体"/>
                <w:b/>
                <w:i w:val="0"/>
                <w:color w:val="000000"/>
                <w:sz w:val="20"/>
                <w:szCs w:val="20"/>
                <w:highlight w:val="none"/>
                <w:u w:val="none"/>
              </w:rPr>
            </w:pP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89F2982">
            <w:pPr>
              <w:keepNext w:val="0"/>
              <w:keepLines w:val="0"/>
              <w:pageBreakBefore w:val="0"/>
              <w:widowControl w:val="0"/>
              <w:kinsoku/>
              <w:wordWrap/>
              <w:overflowPunct/>
              <w:topLinePunct w:val="0"/>
              <w:autoSpaceDE/>
              <w:autoSpaceDN/>
              <w:bidi w:val="0"/>
              <w:adjustRightInd/>
              <w:snapToGrid/>
              <w:spacing w:line="560" w:lineRule="exact"/>
              <w:jc w:val="left"/>
              <w:rPr>
                <w:rFonts w:hint="eastAsia" w:ascii="宋体" w:eastAsia="宋体" w:cs="宋体"/>
                <w:b/>
                <w:i w:val="0"/>
                <w:color w:val="000000"/>
                <w:sz w:val="20"/>
                <w:szCs w:val="20"/>
                <w:highlight w:val="none"/>
                <w:u w:val="none"/>
              </w:rPr>
            </w:pP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643E74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33,288.77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4852D86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17,702.32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1469AAE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13,233.78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57E94CD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140.19 </w:t>
            </w: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CED99C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2,212.49 </w:t>
            </w:r>
          </w:p>
        </w:tc>
      </w:tr>
      <w:tr w14:paraId="2BA5E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69F1FCE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1E9401B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2020年省级财政现代农业发展工程共同财政事权转移支付资金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3D8EBD0">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57.00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193CC9A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1ECA32F0">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57.00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103FAB6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CC507B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3CB4E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407DBD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8905FB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2020年中央财政农业资源及生态保护补助资金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7380D8F3">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1,013.75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76071F8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1,013.75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165A1ED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5A8FC07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52DB0FED">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33901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6843DFF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821693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脱贫攻坚短板综合财力补助资金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3405250A">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28.00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64FCF98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2A64A81">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28.00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6B54D3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E8C54AD">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61B30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55E49D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30C6B8F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2020年县级扶贫资金（脱贫攻坚工作经费）</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B98DED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33.30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475CEAE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354B48FD">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1E0AC3F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67395D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33.30 </w:t>
            </w:r>
          </w:p>
        </w:tc>
      </w:tr>
      <w:tr w14:paraId="363B8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B67961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1166861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2020年中央和省级财政水利发展资金预算</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011678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2,485.00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05A745A">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2,485.00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F28407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79C957A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341167A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29EB6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5AC0C6F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2C6D2C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2020年中央专项彩票公益金支持贫困革命老区脱贫攻坚资金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3BCC1DD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70.00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1B0E7D43">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70.00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4A50294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52123AE5">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380A82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0DE88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D6D7DF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7</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EBA1D6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2020年省级财政乡村振兴转移支付资金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78C0065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60.00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2439FB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A5F999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60.00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E7FC345">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0B3BAB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09B34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3997280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8</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9E567E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2020年中央财政农业资源及生态保护补助资金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3F0C379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15.00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8A9E440">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15.00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483ED2C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343F928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B21B14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76C72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3B620CC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9</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47ACDB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2020年中央财政农业生产发展资金       （农机购置补贴）</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A0B9CA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55.00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1003370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55.00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DD5660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378813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0CF537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4819D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6D82E24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10</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24BC02A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2020年州级农机购置补贴资金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3D07801">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54.69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4E97822D">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42A948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7ED47E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54.69 </w:t>
            </w: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0A15A5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6C478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30F5E96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11</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2251199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2020年中央财政农业生产发展资金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01D611C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355.00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D0762B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355.00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F32CCD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1B8E5D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00439CC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69629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018FD7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12</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4BAEEA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2020年中央财政土地指标跨省域调剂收入安排的支出预算（农村</w:t>
            </w:r>
            <w:r>
              <w:rPr>
                <w:rFonts w:hint="eastAsia" w:ascii="宋体" w:cs="宋体"/>
                <w:i w:val="0"/>
                <w:color w:val="000000"/>
                <w:kern w:val="0"/>
                <w:sz w:val="20"/>
                <w:szCs w:val="20"/>
                <w:highlight w:val="none"/>
                <w:u w:val="none"/>
                <w:lang w:val="en-US" w:eastAsia="zh-CN"/>
              </w:rPr>
              <w:t>厕所革命</w:t>
            </w:r>
            <w:r>
              <w:rPr>
                <w:rFonts w:hint="eastAsia" w:ascii="宋体" w:eastAsia="宋体" w:cs="宋体"/>
                <w:i w:val="0"/>
                <w:color w:val="000000"/>
                <w:kern w:val="0"/>
                <w:sz w:val="20"/>
                <w:szCs w:val="20"/>
                <w:highlight w:val="none"/>
                <w:u w:val="none"/>
                <w:lang w:val="en-US" w:eastAsia="zh-CN"/>
              </w:rPr>
              <w:t>）</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774B5D1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64.00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865EE0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64.00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7CBDF5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753DC7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5819E86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34BF0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7E51D75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13</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50B7A32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2020年第二批中央财政土地指标跨省域调剂收入安排的支出预算（农村</w:t>
            </w:r>
            <w:r>
              <w:rPr>
                <w:rFonts w:hint="eastAsia" w:ascii="宋体" w:cs="宋体"/>
                <w:i w:val="0"/>
                <w:color w:val="000000"/>
                <w:kern w:val="0"/>
                <w:sz w:val="20"/>
                <w:szCs w:val="20"/>
                <w:highlight w:val="none"/>
                <w:u w:val="none"/>
                <w:lang w:val="en-US" w:eastAsia="zh-CN"/>
              </w:rPr>
              <w:t>厕所革命</w:t>
            </w:r>
            <w:r>
              <w:rPr>
                <w:rFonts w:hint="eastAsia" w:ascii="宋体" w:eastAsia="宋体" w:cs="宋体"/>
                <w:i w:val="0"/>
                <w:color w:val="000000"/>
                <w:kern w:val="0"/>
                <w:sz w:val="20"/>
                <w:szCs w:val="20"/>
                <w:highlight w:val="none"/>
                <w:u w:val="none"/>
                <w:lang w:val="en-US" w:eastAsia="zh-CN"/>
              </w:rPr>
              <w:t>）</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037EFB5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75.00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E853A4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75.00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E8B001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6BBDC95">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5B4DBBF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59438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54D63D6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14</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2F1723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2020年中央专项彩票公益金支持贫困革命老区脱贫攻坚资金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BA63F2A">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196.00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5072B7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196.00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536C50F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66057F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766195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6FDAC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2696468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15</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2B8F1B8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2020省级财政现代农业发展工程共同财政事权转移支付资金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942AC2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1,130.00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18045DA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45FA6E0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1,130.00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399519B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AC4309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5CEDB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EC0B3D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16</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DEA89E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2020年中央专项彩票公益金支持贫困革命老区脱贫攻坚资金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54BCDCF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1,734.00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F5586C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1,734.00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325470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75B0E0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2A9633B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0AE87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5CC5A13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17</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74F68D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2020年县级扶贫资金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84C395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320.00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63C1252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1272F27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304F03D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DC6C75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320.00 </w:t>
            </w:r>
          </w:p>
        </w:tc>
      </w:tr>
      <w:tr w14:paraId="72F3F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775ACC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18</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EC181B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2020年中央财政农业生产发展资金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C18695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600.00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7DF7889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600.00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29C1EE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970B4C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52E50E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1B53C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71CF2F4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19</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37D4018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2020年农村综合改革支付预算</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25046C9">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6.00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383ECEA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EA8DED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30EFBE6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BBFB50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12274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84237B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A60A0A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2020年中央农村综合改革转移支付预算</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7E6FBD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308.00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6EEAAA6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308.00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4DD2F6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1F23A97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0B0A6E5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6B2FD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35A3069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21</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EBF7B6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2020年省级农村综合改革转移支付预算</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0527138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12.00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6C39146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550E30B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12.00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6A19B6D">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7F8F48DD">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0B254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53AF6A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22</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22F5187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2020年农村综合改革转移支付预算</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7DBF592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62.00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1530ED1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62.00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0BB8CF5">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1F484CC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0A5F4A7A">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1D9DA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581AEF5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23</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CE8FBE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2020年农村综合改革支付预算</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1E2D62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96.00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34F70F30">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96.00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0C805DC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286337C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583908A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2157E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DCD45F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24</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10A5CAB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两馆一站免费开放经费</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7936D3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150.00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3001BDB9">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120.00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D7DC703">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13.50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200D72C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3.30 </w:t>
            </w: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70CDB17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13.20 </w:t>
            </w:r>
          </w:p>
        </w:tc>
      </w:tr>
      <w:tr w14:paraId="23DF4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72240B7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25</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7EF08F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高中免费政策县级配套资金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F7A178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76.73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61FF84C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3EF0B10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D7F069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8F91AE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76.73 </w:t>
            </w:r>
          </w:p>
        </w:tc>
      </w:tr>
      <w:tr w14:paraId="0B4E3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58492F7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26</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4A28E4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学前免费县级配套资金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04D17A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190.66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4B2CFDF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3C8B1F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09AB7BF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5CFC9D33">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190.66 </w:t>
            </w:r>
          </w:p>
        </w:tc>
      </w:tr>
      <w:tr w14:paraId="7A819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584F3A1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27</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39FB725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关于下达2020年中央城乡义务教育补助经费预算的通知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5B50D2F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807.00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6A390419">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807.00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0C75D2F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2DE7C6C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7DAD2FC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0CF2D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AA75BD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28</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790D00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提前下达2020年中央城乡义务教育补助经费预算（营养餐部分）</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342D72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210.00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1772584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210.00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4FACF90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6A218CD">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76EDD2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54C87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022F30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29</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5EC39C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关于提前下达2020年教育类政策性项目省级补助资金预算的通知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0C265E5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587.41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BA8CC3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8003C6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587.41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B759AE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9637D3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3DBC4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22E58AB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30</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5A868C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关于下达2020年中央、省和州级支持学前教育发展专项资金（幼儿资助部分）的通知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094FC9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47.14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2437133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11.00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CE257C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5.00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8FAC57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31.14 </w:t>
            </w: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76D02A6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21837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5A4BE20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31</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3AE1009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关于下达2020年省级学前教育发展专项资金（民族地区村级辅导员）预算的通知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5721AC7A">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492.80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AC98C7D">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0CD35B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492.80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3F2335E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6B9F66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3B40E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20CE27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32</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09BAA4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关于下达2020年省级公共文化服务体系建设专项资金预算（文化扶贫）的通知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D98FCC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152.00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6371B915">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1FB82E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152.00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26EBEE6A">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0B90C6B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700CB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61A8AC4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33</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5230918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关于下达2020年城乡义务教育补助经费预算的通知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8336F6A">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116.00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640D5393">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49.00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398B07E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67.00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2FC8044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0814DD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40EA2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8C6967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34</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5CE53FD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关于下达2019年中央自然灾害救灾资金的通知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D245EA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68.00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7A51EB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68.00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4A02E3C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2114F9D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54E37F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20524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3FF28CC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35</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3FBFFA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关于下达2020年中央自然灾害防治体系建设补助资金预算的通知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0977D66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430.00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2AE5839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430.00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AA5EAE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37C19DD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1A8E17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18401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8281FC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36</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124BFB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关于下达2020年农业综合防灾减灾能力建设专项中央预算内建设投资预算</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ED92E40">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409.10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24B4FDA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409.10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3BB2748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02EA5FF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22775B0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15945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20C12A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37</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3DFDF18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关于下达2020年教育现代化推进工程第一批中央预算内基建投资预算的通知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1928141">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1,840.00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B8BF6D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1,840.00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9D7454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1A1867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205CF8F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14FCF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C94D8A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38</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2DCF1D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关于下达2020年省预算内基本建设资金支出预算的通知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320749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200.00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E7CB8B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0290F0B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200.00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296978E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33FA32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1B746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587CF5E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39</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1EBE703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关于转下达2020年文化旅游提升工程第一批中央预算内基建投资预算的通知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518B75A0">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1,000.00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4889853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1,000.00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18386AE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3CA6734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2D5F1A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0D788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A76D53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40</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C68DF0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关于转下达2020年农业生产发展专项中央预算内基建设投资预算的通知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A3C4F1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511.00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FD6F6AA">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511.00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5F071DE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0BF3B48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5AA3624D">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2C2F8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70CFD05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41</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AF3B7A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关于转达2020年卫生领域中央预算内投资支出预算的通知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3EB904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1,100.00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3C86CFC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1,100.00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7DA536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2C4AD2A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265367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402A6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47450E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42</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05BC20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就业创业补助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24372E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645.00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3B65A3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645.00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1DFC169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7B2AD8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35C5FD25">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3B0C7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269E269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43</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EC2AE4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贫困地区定向医学专科生引进</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E08CB91">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5.00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1D3C2B4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47056E6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5.00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507D692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03A1FE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35C1F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377C359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44</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66B216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深度贫困地区乡村医生定向委培</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8DBE90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37.40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7AAB0EA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4C370FF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37.40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510BACB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24D184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5AD99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70D596D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45</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F659E3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校毕业生“三支一扶”补助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122F6E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110.98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E3F237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49.36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8D6E50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22.41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87440F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7381F6E0">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39.21 </w:t>
            </w:r>
          </w:p>
        </w:tc>
      </w:tr>
      <w:tr w14:paraId="25BC6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2837032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46</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7631AC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临时救助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780CA83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244.61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244C0D3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207.84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00CF076A">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572A71C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349946E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36.77 </w:t>
            </w:r>
          </w:p>
        </w:tc>
      </w:tr>
      <w:tr w14:paraId="0F050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59F7977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47</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2DCFAA9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特困供养人员补助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71593AB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716.54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FC5A64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310.17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BED94E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02E02CC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60276E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406.37 </w:t>
            </w:r>
          </w:p>
        </w:tc>
      </w:tr>
      <w:tr w14:paraId="66E90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F6951D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48</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FB9839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农村低保</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35DDC4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153.97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6FE07CB9">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21.78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DFD5EC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5805E6D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2F54376A">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132.19 </w:t>
            </w:r>
          </w:p>
        </w:tc>
      </w:tr>
      <w:tr w14:paraId="25459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C95F64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49</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2AF57B8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基本公共卫生</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D1F0A0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723.38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16FD94C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607.72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1A37D9C0">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60.16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F6BC94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16.65 </w:t>
            </w: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0B021A3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38.85 </w:t>
            </w:r>
          </w:p>
        </w:tc>
      </w:tr>
      <w:tr w14:paraId="42563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9FADF7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50</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5A9A0F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高海拔（村医生活补助）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A7A061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48.62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A3185E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1A1C4F0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52B0ED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6.62 </w:t>
            </w: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BA55ED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42.00 </w:t>
            </w:r>
          </w:p>
        </w:tc>
      </w:tr>
      <w:tr w14:paraId="5BD8E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21E3B18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51</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F1255F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高海拔（维修维护费）</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5EC007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30.00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E061A5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583C696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2B4343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73C48B2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30.00 </w:t>
            </w:r>
          </w:p>
        </w:tc>
      </w:tr>
      <w:tr w14:paraId="38A5C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2169F46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52</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3E618C0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卫生扶贫救助基金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05F5C71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200.00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71D5631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7DCD67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3AE603D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0263C8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200.00 </w:t>
            </w:r>
          </w:p>
        </w:tc>
      </w:tr>
      <w:tr w14:paraId="602C6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6D672D5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53</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96C8C4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计划生育对象提供计划生育扶助保障</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72D518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988.07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363E4BE3">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757.04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7B1D88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231.03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0A392DF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3A1BB1A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5710E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30C7E28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54</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1F8F895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城乡居民基本医疗保险财政补助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A09EFC9">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144.37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21425D2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4B84EB4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2FE0AF9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78F49CD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144.37 </w:t>
            </w:r>
          </w:p>
        </w:tc>
      </w:tr>
      <w:tr w14:paraId="6369C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CBBF3A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55</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B1DD81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建档立卡贫困户医疗保险补助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9BB2D39">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42.35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7C68A51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34C5C51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6BD344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B17751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42.35 </w:t>
            </w:r>
          </w:p>
        </w:tc>
      </w:tr>
      <w:tr w14:paraId="561AF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B80260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56</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8BF199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用于城乡居民医疗救助（二次救助）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6AA30D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282.77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77859D19">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246.00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33DC89C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4910C2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8460C4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36.77 </w:t>
            </w:r>
          </w:p>
        </w:tc>
      </w:tr>
      <w:tr w14:paraId="12ACD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A0FF5B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57</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0EE748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财政对建档立卡贫困户大病商业补充保险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5CBDF021">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106.15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326617D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0028769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06A0144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6780859">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106.15 </w:t>
            </w:r>
          </w:p>
        </w:tc>
      </w:tr>
      <w:tr w14:paraId="3F70A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C63C7B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58</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29DF6EC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城乡居民基本养老保险财政补助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7818F9E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1,406.84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7C70CD5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1,167.56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0FAA3DA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195.11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03362DFA">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17.00 </w:t>
            </w: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1CCDCD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27.17 </w:t>
            </w:r>
          </w:p>
        </w:tc>
      </w:tr>
      <w:tr w14:paraId="14739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7F6DE2A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59</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0979FC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建档立卡贫困户养老保险补助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1945C5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38.52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59A3EF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AC7897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3.87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992765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0D2E88C9">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34.65 </w:t>
            </w:r>
          </w:p>
        </w:tc>
      </w:tr>
      <w:tr w14:paraId="241B1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2D61EA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60</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564DF4E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被征地农民生活保障出口补助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B0A50A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71.13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265762E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0B19DBB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39B32A4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7BDA361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71.13 </w:t>
            </w:r>
          </w:p>
        </w:tc>
      </w:tr>
      <w:tr w14:paraId="5450C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76DE661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61</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F47C5F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职业技能行动计划</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2F0818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100.00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3E0660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5F99E1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1601C4C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53D0BE53">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100.00 </w:t>
            </w:r>
          </w:p>
        </w:tc>
      </w:tr>
      <w:tr w14:paraId="330D3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7096F0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62</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5B6D285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残疾人扶贫对象生活费补贴</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6D297A0">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47.58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70A5C1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517A1A9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18.96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785AAE0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10.79 </w:t>
            </w: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0D27D553">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17.83 </w:t>
            </w:r>
          </w:p>
        </w:tc>
      </w:tr>
      <w:tr w14:paraId="49B74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14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30D038D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63</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28AC1B9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返还2019年第二批森林植被恢复费（防火阻隔系统建设，新建瞭望塔，地方专业扑火队队伍车辆装备，新建地方专业队伍营房（含物资储备库），新建林火视频监控系统及运行平台）</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3EA9FE9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349.00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0390C6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46DE9F4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349.00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97633D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35DDE5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78BA2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4B567A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64</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340891B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2020年省级林业草原改革发展专项资金（第一批）（长江上游干旱河谷地区生态治理</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0F299640">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537.02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61A1F6A5">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5A3B566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537.02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1324B4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313AEF1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13B53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75FB8DF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65</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D9C568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草原生态修复治理资金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4DC230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1,390.00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DE2F2FA">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52AF60C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1,390.00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0E692DA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0424B87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50375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120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DB0845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66</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3C2A46E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2020年生态环境保护专项资金（第二批）的通知（集中式饮用水水源地保护资源，水污染激励金，空气激励资金，省级“千村示范工程”以奖代补资金吗）</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A7B820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174.44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3028375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3B9BA5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174.44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552C694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388CE3B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5E0DB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CEFB3B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67</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D9A163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2020年中央财政林业改革发展资金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5DB7351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3,813.54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74D9DD9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0B84661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3,813.54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5434F0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0728D8C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4619B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21A967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68</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4EC847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2019年森林植被恢复分成</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726793B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533.13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23033B5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0FD1BC6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533.13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17CCCE8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B93220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792DD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96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DE6E11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69</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349F98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关于下达2020年省级林业草原改革发展专项资金（第二批）预算的通知产业基地建设；防火阻隔带建设资金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020B92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426.00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432112E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48DB5B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426.00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575D2D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565C390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2497B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58F1032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70</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58D215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关于解决金川县国土空间规划编制项目资金的请示</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8F303E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72.78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45AFE6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C680BE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2F1CC6C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21AB341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72.78 </w:t>
            </w:r>
          </w:p>
        </w:tc>
      </w:tr>
      <w:tr w14:paraId="1CA90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42ECE0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71</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283812D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关于预下达2020年国家重点生态功能区转移支付生态扶贫资金的通知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358CA9A">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1,361.00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5BDF63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918B34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1,361.00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481EED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FF1149D">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1C4D2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69CBE4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72</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2295A8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关于提前下达2020年重点生态功能区转移支付资金的通知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4A34B43">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1,000.00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1483BD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BB3CC0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1,000.00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0912FB65">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2829BFD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63E9E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0F91FF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73</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3EBEAA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关于提前下达2020年重点生态功能区转移支付资金的通知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74BA18B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229.30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271C8C9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B12524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229.30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101300AA">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635469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2C0B1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E7B07C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74</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2C7437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关于提前下达2020年重点生态功能区转移支付资金的通知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524EC7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41.70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1E887BBA">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8C079F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41.70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0369C67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2CFE37F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4E20A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630" w:hRule="atLeast"/>
        </w:trPr>
        <w:tc>
          <w:tcPr>
            <w:tcW w:w="8790" w:type="dxa"/>
            <w:gridSpan w:val="14"/>
            <w:tcBorders>
              <w:top w:val="nil"/>
              <w:left w:val="nil"/>
              <w:bottom w:val="nil"/>
              <w:right w:val="nil"/>
            </w:tcBorders>
            <w:noWrap/>
            <w:vAlign w:val="center"/>
          </w:tcPr>
          <w:p w14:paraId="2C2B651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小标宋简体" w:eastAsia="方正小标宋简体" w:cs="方正小标宋简体"/>
                <w:i w:val="0"/>
                <w:color w:val="000000"/>
                <w:kern w:val="0"/>
                <w:sz w:val="28"/>
                <w:szCs w:val="28"/>
                <w:highlight w:val="none"/>
                <w:u w:val="none"/>
                <w:lang w:val="en-US" w:eastAsia="zh-CN"/>
              </w:rPr>
            </w:pPr>
          </w:p>
          <w:p w14:paraId="59C80A4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小标宋简体" w:eastAsia="方正小标宋简体" w:cs="方正小标宋简体"/>
                <w:i w:val="0"/>
                <w:color w:val="000000"/>
                <w:kern w:val="0"/>
                <w:sz w:val="28"/>
                <w:szCs w:val="28"/>
                <w:highlight w:val="none"/>
                <w:u w:val="none"/>
                <w:lang w:val="en-US" w:eastAsia="zh-CN"/>
              </w:rPr>
            </w:pPr>
          </w:p>
          <w:p w14:paraId="53D6A11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小标宋简体" w:eastAsia="方正小标宋简体" w:cs="方正小标宋简体"/>
                <w:i w:val="0"/>
                <w:color w:val="000000"/>
                <w:kern w:val="0"/>
                <w:sz w:val="28"/>
                <w:szCs w:val="28"/>
                <w:highlight w:val="none"/>
                <w:u w:val="none"/>
                <w:lang w:val="en-US" w:eastAsia="zh-CN"/>
              </w:rPr>
            </w:pPr>
          </w:p>
          <w:p w14:paraId="1E73A19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方正小标宋简体" w:eastAsia="方正小标宋简体" w:cs="方正小标宋简体"/>
                <w:i w:val="0"/>
                <w:color w:val="000000"/>
                <w:sz w:val="28"/>
                <w:szCs w:val="28"/>
                <w:highlight w:val="none"/>
                <w:u w:val="none"/>
              </w:rPr>
            </w:pPr>
            <w:r>
              <w:rPr>
                <w:rFonts w:hint="eastAsia" w:ascii="方正小标宋简体" w:eastAsia="方正小标宋简体" w:cs="方正小标宋简体"/>
                <w:i w:val="0"/>
                <w:color w:val="000000"/>
                <w:kern w:val="0"/>
                <w:sz w:val="28"/>
                <w:szCs w:val="28"/>
                <w:highlight w:val="none"/>
                <w:u w:val="none"/>
                <w:lang w:val="en-US" w:eastAsia="zh-CN"/>
              </w:rPr>
              <w:t>金川县2021年财政预算绩效管理部门整体支出绩效评价重点抽评单位</w:t>
            </w:r>
          </w:p>
        </w:tc>
      </w:tr>
      <w:tr w14:paraId="58346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285" w:hRule="atLeast"/>
        </w:trPr>
        <w:tc>
          <w:tcPr>
            <w:tcW w:w="2412" w:type="dxa"/>
            <w:gridSpan w:val="2"/>
            <w:vMerge w:val="restart"/>
            <w:tcBorders>
              <w:top w:val="single" w:color="000000" w:sz="4" w:space="0"/>
              <w:left w:val="single" w:color="000000" w:sz="4" w:space="0"/>
              <w:bottom w:val="single" w:color="000000" w:sz="4" w:space="0"/>
              <w:right w:val="nil"/>
            </w:tcBorders>
            <w:noWrap/>
            <w:vAlign w:val="center"/>
          </w:tcPr>
          <w:p w14:paraId="03F492D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2"/>
                <w:szCs w:val="22"/>
                <w:highlight w:val="none"/>
                <w:u w:val="none"/>
              </w:rPr>
            </w:pPr>
            <w:r>
              <w:rPr>
                <w:rFonts w:hint="eastAsia" w:ascii="宋体" w:eastAsia="宋体" w:cs="宋体"/>
                <w:b/>
                <w:i w:val="0"/>
                <w:color w:val="000000"/>
                <w:kern w:val="0"/>
                <w:sz w:val="22"/>
                <w:szCs w:val="22"/>
                <w:highlight w:val="none"/>
                <w:u w:val="none"/>
                <w:lang w:val="en-US" w:eastAsia="zh-CN"/>
              </w:rPr>
              <w:t>科室</w:t>
            </w:r>
          </w:p>
        </w:tc>
        <w:tc>
          <w:tcPr>
            <w:tcW w:w="1230" w:type="dxa"/>
            <w:gridSpan w:val="2"/>
            <w:vMerge w:val="restart"/>
            <w:tcBorders>
              <w:top w:val="single" w:color="000000" w:sz="4" w:space="0"/>
              <w:left w:val="single" w:color="000000" w:sz="4" w:space="0"/>
              <w:bottom w:val="single" w:color="000000" w:sz="4" w:space="0"/>
              <w:right w:val="nil"/>
            </w:tcBorders>
            <w:noWrap/>
            <w:vAlign w:val="center"/>
          </w:tcPr>
          <w:p w14:paraId="74A150F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b/>
                <w:i w:val="0"/>
                <w:color w:val="000000"/>
                <w:sz w:val="22"/>
                <w:szCs w:val="22"/>
                <w:highlight w:val="none"/>
                <w:u w:val="none"/>
              </w:rPr>
            </w:pPr>
            <w:r>
              <w:rPr>
                <w:rFonts w:ascii="Courier New" w:hAnsi="Courier New" w:eastAsia="宋体" w:cs="Courier New"/>
                <w:b/>
                <w:i w:val="0"/>
                <w:color w:val="000000"/>
                <w:kern w:val="0"/>
                <w:sz w:val="22"/>
                <w:szCs w:val="22"/>
                <w:highlight w:val="none"/>
                <w:u w:val="none"/>
                <w:lang w:val="en-US" w:eastAsia="zh-CN"/>
              </w:rPr>
              <w:t>序号</w:t>
            </w:r>
          </w:p>
        </w:tc>
        <w:tc>
          <w:tcPr>
            <w:tcW w:w="2940" w:type="dxa"/>
            <w:gridSpan w:val="5"/>
            <w:vMerge w:val="restart"/>
            <w:tcBorders>
              <w:top w:val="single" w:color="000000" w:sz="4" w:space="0"/>
              <w:left w:val="single" w:color="000000" w:sz="4" w:space="0"/>
              <w:bottom w:val="single" w:color="000000" w:sz="4" w:space="0"/>
              <w:right w:val="single" w:color="000000" w:sz="4" w:space="0"/>
            </w:tcBorders>
            <w:noWrap/>
            <w:vAlign w:val="center"/>
          </w:tcPr>
          <w:p w14:paraId="3F6C4C4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2"/>
                <w:szCs w:val="22"/>
                <w:highlight w:val="none"/>
                <w:u w:val="none"/>
              </w:rPr>
            </w:pPr>
            <w:r>
              <w:rPr>
                <w:rFonts w:hint="eastAsia" w:ascii="宋体" w:eastAsia="宋体" w:cs="宋体"/>
                <w:b/>
                <w:i w:val="0"/>
                <w:color w:val="000000"/>
                <w:kern w:val="0"/>
                <w:sz w:val="22"/>
                <w:szCs w:val="22"/>
                <w:highlight w:val="none"/>
                <w:u w:val="none"/>
                <w:lang w:val="en-US" w:eastAsia="zh-CN"/>
              </w:rPr>
              <w:t>单位名称</w:t>
            </w:r>
          </w:p>
        </w:tc>
        <w:tc>
          <w:tcPr>
            <w:tcW w:w="2208" w:type="dxa"/>
            <w:gridSpan w:val="5"/>
            <w:vMerge w:val="restart"/>
            <w:tcBorders>
              <w:top w:val="single" w:color="000000" w:sz="4" w:space="0"/>
              <w:left w:val="single" w:color="000000" w:sz="4" w:space="0"/>
              <w:bottom w:val="single" w:color="000000" w:sz="4" w:space="0"/>
              <w:right w:val="single" w:color="000000" w:sz="4" w:space="0"/>
            </w:tcBorders>
            <w:noWrap/>
            <w:vAlign w:val="center"/>
          </w:tcPr>
          <w:p w14:paraId="55BEA79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2"/>
                <w:szCs w:val="22"/>
                <w:highlight w:val="none"/>
                <w:u w:val="none"/>
              </w:rPr>
            </w:pPr>
            <w:r>
              <w:rPr>
                <w:rFonts w:hint="eastAsia" w:ascii="宋体" w:eastAsia="宋体" w:cs="宋体"/>
                <w:b/>
                <w:i w:val="0"/>
                <w:color w:val="000000"/>
                <w:kern w:val="0"/>
                <w:sz w:val="22"/>
                <w:szCs w:val="22"/>
                <w:highlight w:val="none"/>
                <w:u w:val="none"/>
                <w:lang w:val="en-US" w:eastAsia="zh-CN"/>
              </w:rPr>
              <w:t>评价内容</w:t>
            </w:r>
          </w:p>
        </w:tc>
      </w:tr>
      <w:tr w14:paraId="23276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285" w:hRule="atLeast"/>
        </w:trPr>
        <w:tc>
          <w:tcPr>
            <w:tcW w:w="2412" w:type="dxa"/>
            <w:gridSpan w:val="2"/>
            <w:vMerge w:val="continue"/>
            <w:tcBorders>
              <w:top w:val="single" w:color="000000" w:sz="4" w:space="0"/>
              <w:left w:val="single" w:color="000000" w:sz="4" w:space="0"/>
              <w:bottom w:val="single" w:color="000000" w:sz="4" w:space="0"/>
              <w:right w:val="nil"/>
            </w:tcBorders>
            <w:noWrap/>
            <w:vAlign w:val="center"/>
          </w:tcPr>
          <w:p w14:paraId="0507B361"/>
        </w:tc>
        <w:tc>
          <w:tcPr>
            <w:tcW w:w="1230" w:type="dxa"/>
            <w:gridSpan w:val="2"/>
            <w:vMerge w:val="continue"/>
            <w:tcBorders>
              <w:top w:val="single" w:color="000000" w:sz="4" w:space="0"/>
              <w:left w:val="single" w:color="000000" w:sz="4" w:space="0"/>
              <w:bottom w:val="single" w:color="000000" w:sz="4" w:space="0"/>
              <w:right w:val="nil"/>
            </w:tcBorders>
            <w:noWrap/>
            <w:vAlign w:val="center"/>
          </w:tcPr>
          <w:p w14:paraId="62A61645"/>
        </w:tc>
        <w:tc>
          <w:tcPr>
            <w:tcW w:w="2940"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46ECDFE2"/>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77E28894"/>
        </w:tc>
      </w:tr>
      <w:tr w14:paraId="69395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restart"/>
            <w:tcBorders>
              <w:top w:val="nil"/>
              <w:left w:val="single" w:color="000000" w:sz="4" w:space="0"/>
              <w:bottom w:val="single" w:color="000000" w:sz="4" w:space="0"/>
              <w:right w:val="single" w:color="000000" w:sz="4" w:space="0"/>
            </w:tcBorders>
            <w:shd w:val="clear" w:color="auto" w:fill="auto"/>
            <w:noWrap/>
            <w:vAlign w:val="center"/>
          </w:tcPr>
          <w:p w14:paraId="0C581F6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经济建设股</w:t>
            </w:r>
          </w:p>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2885274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9553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总工会</w:t>
            </w:r>
          </w:p>
        </w:tc>
        <w:tc>
          <w:tcPr>
            <w:tcW w:w="2208" w:type="dxa"/>
            <w:gridSpan w:val="5"/>
            <w:vMerge w:val="restart"/>
            <w:tcBorders>
              <w:top w:val="single" w:color="000000" w:sz="4" w:space="0"/>
              <w:left w:val="single" w:color="000000" w:sz="4" w:space="0"/>
              <w:bottom w:val="single" w:color="000000" w:sz="4" w:space="0"/>
              <w:right w:val="single" w:color="000000" w:sz="4" w:space="0"/>
            </w:tcBorders>
            <w:noWrap/>
            <w:vAlign w:val="center"/>
          </w:tcPr>
          <w:p w14:paraId="5BDCCBE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2020年全年部门整体支出绩效评价</w:t>
            </w:r>
          </w:p>
        </w:tc>
      </w:tr>
      <w:tr w14:paraId="67CE2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14:paraId="5D402508"/>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6BC0B6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310A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发改经信局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264B2F30"/>
        </w:tc>
      </w:tr>
      <w:tr w14:paraId="4DC9D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14:paraId="08E43729"/>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0BA9F33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3</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0666F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观音桥景区管理局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40054A15"/>
        </w:tc>
      </w:tr>
      <w:tr w14:paraId="5EE50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restart"/>
            <w:tcBorders>
              <w:top w:val="single" w:color="000000" w:sz="4" w:space="0"/>
              <w:left w:val="single" w:color="000000" w:sz="4" w:space="0"/>
              <w:bottom w:val="nil"/>
              <w:right w:val="single" w:color="000000" w:sz="4" w:space="0"/>
            </w:tcBorders>
            <w:shd w:val="clear" w:color="auto" w:fill="auto"/>
            <w:noWrap/>
            <w:vAlign w:val="center"/>
          </w:tcPr>
          <w:p w14:paraId="5DC3058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行政政法和科教文化股</w:t>
            </w:r>
          </w:p>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303A75D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4</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BD4A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县委办</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39003DAF"/>
        </w:tc>
      </w:tr>
      <w:tr w14:paraId="2ABCB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00AF399"/>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5B0B886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5</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55CF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人大办</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1E7A63F3"/>
        </w:tc>
      </w:tr>
      <w:tr w14:paraId="7B876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1C028B07"/>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2A736E3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6</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F76D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政府办</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4990449C"/>
        </w:tc>
      </w:tr>
      <w:tr w14:paraId="71468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081F89FC"/>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7DA5ED0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7</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2E14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政协办</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25B9EFED"/>
        </w:tc>
      </w:tr>
      <w:tr w14:paraId="62180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1A9A1C9E"/>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37ACE4F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8</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12A2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行政审批局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16392585"/>
        </w:tc>
      </w:tr>
      <w:tr w14:paraId="1479D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4D7CF3B2"/>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7289F00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9</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A928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科学技术协会</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3EB7E174"/>
        </w:tc>
      </w:tr>
      <w:tr w14:paraId="0BD79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1D6C8883"/>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021593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10</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3F7F3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宣传部</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602EAB2D"/>
        </w:tc>
      </w:tr>
      <w:tr w14:paraId="76546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1F94621"/>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7FF7C15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11</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11AF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公安局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5DA40B3B"/>
        </w:tc>
      </w:tr>
      <w:tr w14:paraId="1ACFF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5FCF63E1"/>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0B3D097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12</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0847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文体旅局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0408D56C"/>
        </w:tc>
      </w:tr>
      <w:tr w14:paraId="2FC5A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E14D98B"/>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1564301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13</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849F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融媒体中心</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125A542E"/>
        </w:tc>
      </w:tr>
      <w:tr w14:paraId="0EE77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554A3F28"/>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00AC59F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14</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FC72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教育局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277775CD"/>
        </w:tc>
      </w:tr>
      <w:tr w14:paraId="51E7A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7D122A0C"/>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1FB73D4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15</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FD1B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团县委</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56EF6F37"/>
        </w:tc>
      </w:tr>
      <w:tr w14:paraId="4379B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E21387E"/>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220F82C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16</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6D71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检察院</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50452B7A"/>
        </w:tc>
      </w:tr>
      <w:tr w14:paraId="49D06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7FBB3F5F"/>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434EB30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17</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364E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法院</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6D5B9810"/>
        </w:tc>
      </w:tr>
      <w:tr w14:paraId="269CD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5C655494"/>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370E080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18</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9BC7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司法局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0F25C43C"/>
        </w:tc>
      </w:tr>
      <w:tr w14:paraId="775F0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688274E"/>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17E966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19</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E9EC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统计局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686DB153"/>
        </w:tc>
      </w:tr>
      <w:tr w14:paraId="4FCE8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A200D13"/>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51F0CED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20</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69A4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市场监督管理局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3DE16BAA"/>
        </w:tc>
      </w:tr>
      <w:tr w14:paraId="3A099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6E6B42FE"/>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6EC59BB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21</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7356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档案馆</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3E25954D"/>
        </w:tc>
      </w:tr>
      <w:tr w14:paraId="6AEC6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7B4D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社会保障股</w:t>
            </w:r>
          </w:p>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5941680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22</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F4E9A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红十字会</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60A5082A"/>
        </w:tc>
      </w:tr>
      <w:tr w14:paraId="3EB82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82878"/>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36DDE5E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23</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C3D8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残联</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59A19EB4"/>
        </w:tc>
      </w:tr>
      <w:tr w14:paraId="64114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86AB1"/>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01D47B9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24</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2FD6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民政局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45D1B154"/>
        </w:tc>
      </w:tr>
      <w:tr w14:paraId="274B7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F4A61"/>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3CB87B4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25</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B07BF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医保局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3187EDFC"/>
        </w:tc>
      </w:tr>
      <w:tr w14:paraId="4679B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54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40026"/>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5525B6E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26</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065D4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人力资源和社会保障局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79ABFACA"/>
        </w:tc>
      </w:tr>
      <w:tr w14:paraId="619E5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54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74609"/>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757A46A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27</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CFC1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卫生健康局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5273917B"/>
        </w:tc>
      </w:tr>
      <w:tr w14:paraId="04A38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7DEFB"/>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7FBED46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28</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89EB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退役军人事务局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781F2D71"/>
        </w:tc>
      </w:tr>
      <w:tr w14:paraId="723AB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F4AC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自然资源与生态环境股</w:t>
            </w:r>
          </w:p>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7ACA46B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29</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E88B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俄热乡</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50964283"/>
        </w:tc>
      </w:tr>
      <w:tr w14:paraId="6ADBC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47002"/>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236657A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30</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D593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二嘎里</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6054124B"/>
        </w:tc>
      </w:tr>
      <w:tr w14:paraId="57EEF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886F9"/>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5A2E133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31</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8BC8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集沐乡</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7DC1B243"/>
        </w:tc>
      </w:tr>
      <w:tr w14:paraId="1224A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037F9"/>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53BBB69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32</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F0D6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庆宁乡</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587BBCAB"/>
        </w:tc>
      </w:tr>
      <w:tr w14:paraId="33B68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37794"/>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522323A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33</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D8F5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曾达乡</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1DE63388"/>
        </w:tc>
      </w:tr>
      <w:tr w14:paraId="591E0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02648"/>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12F3981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34</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AD2A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勒乌镇</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01CB1CC1"/>
        </w:tc>
      </w:tr>
      <w:tr w14:paraId="79C63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F1E1C"/>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708566F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35</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567A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咯尔乡</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08632877"/>
        </w:tc>
      </w:tr>
      <w:tr w14:paraId="49A07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7BA04"/>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655AD52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36</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25DEC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撒瓦脚乡</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4E7DDA64"/>
        </w:tc>
      </w:tr>
      <w:tr w14:paraId="2818F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486B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4"/>
                <w:szCs w:val="24"/>
                <w:highlight w:val="none"/>
                <w:u w:val="none"/>
              </w:rPr>
            </w:pPr>
            <w:r>
              <w:rPr>
                <w:rFonts w:hint="eastAsia" w:ascii="宋体" w:eastAsia="宋体" w:cs="宋体"/>
                <w:i w:val="0"/>
                <w:color w:val="000000"/>
                <w:kern w:val="0"/>
                <w:sz w:val="24"/>
                <w:szCs w:val="24"/>
                <w:highlight w:val="none"/>
                <w:u w:val="none"/>
                <w:lang w:val="en-US" w:eastAsia="zh-CN"/>
              </w:rPr>
              <w:t>农业农村股</w:t>
            </w:r>
          </w:p>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2128B48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37</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B05A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科学技术和农业局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7746E077"/>
        </w:tc>
      </w:tr>
      <w:tr w14:paraId="030F5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FD4C9"/>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0A13E55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38</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8A1B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扶贫开发局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171F29DD"/>
        </w:tc>
      </w:tr>
    </w:tbl>
    <w:p w14:paraId="15E59B0E">
      <w:pPr>
        <w:keepNext w:val="0"/>
        <w:keepLines w:val="0"/>
        <w:pageBreakBefore w:val="0"/>
        <w:widowControl w:val="0"/>
        <w:kinsoku/>
        <w:wordWrap/>
        <w:overflowPunct/>
        <w:topLinePunct w:val="0"/>
        <w:autoSpaceDE/>
        <w:autoSpaceDN/>
        <w:bidi w:val="0"/>
        <w:adjustRightInd/>
        <w:snapToGrid/>
        <w:spacing w:line="560" w:lineRule="exact"/>
        <w:ind w:firstLine="640"/>
        <w:rPr>
          <w:rFonts w:ascii="Times New Roman" w:hAnsi="Times New Roman" w:eastAsia="仿宋_GB2312" w:cs="Times New Roman"/>
          <w:color w:val="000000"/>
          <w:kern w:val="0"/>
          <w:sz w:val="32"/>
          <w:szCs w:val="32"/>
          <w:highlight w:val="none"/>
          <w:shd w:val="clear" w:color="auto" w:fill="FFFFFF"/>
        </w:rPr>
      </w:pPr>
      <w:r>
        <w:rPr>
          <w:rFonts w:ascii="Times New Roman" w:hAnsi="Times New Roman" w:eastAsia="仿宋_GB2312" w:cs="Times New Roman"/>
          <w:color w:val="000000"/>
          <w:kern w:val="0"/>
          <w:sz w:val="32"/>
          <w:szCs w:val="32"/>
          <w:highlight w:val="none"/>
          <w:shd w:val="clear" w:color="auto" w:fill="FFFFFF"/>
        </w:rPr>
        <w:t>按照时间安排，各</w:t>
      </w:r>
      <w:r>
        <w:rPr>
          <w:rFonts w:ascii="Times New Roman" w:hAnsi="Times New Roman" w:eastAsia="仿宋_GB2312" w:cs="Times New Roman"/>
          <w:color w:val="000000"/>
          <w:kern w:val="0"/>
          <w:sz w:val="32"/>
          <w:szCs w:val="32"/>
          <w:highlight w:val="none"/>
          <w:shd w:val="clear" w:color="auto" w:fill="FFFFFF"/>
          <w:lang w:eastAsia="zh-CN"/>
        </w:rPr>
        <w:t>单位</w:t>
      </w:r>
      <w:r>
        <w:rPr>
          <w:rFonts w:ascii="Times New Roman" w:hAnsi="Times New Roman" w:eastAsia="仿宋_GB2312" w:cs="Times New Roman"/>
          <w:color w:val="000000"/>
          <w:kern w:val="0"/>
          <w:sz w:val="32"/>
          <w:szCs w:val="32"/>
          <w:highlight w:val="none"/>
          <w:shd w:val="clear" w:color="auto" w:fill="FFFFFF"/>
        </w:rPr>
        <w:t>于</w:t>
      </w:r>
      <w:r>
        <w:rPr>
          <w:rFonts w:ascii="Times New Roman" w:hAnsi="Times New Roman" w:eastAsia="仿宋_GB2312" w:cs="Times New Roman"/>
          <w:color w:val="000000"/>
          <w:kern w:val="0"/>
          <w:sz w:val="32"/>
          <w:szCs w:val="32"/>
          <w:highlight w:val="none"/>
          <w:shd w:val="clear" w:color="auto" w:fill="FFFFFF"/>
          <w:lang w:val="en-US" w:eastAsia="zh-CN"/>
        </w:rPr>
        <w:t>8</w:t>
      </w:r>
      <w:r>
        <w:rPr>
          <w:rFonts w:ascii="Times New Roman" w:hAnsi="Times New Roman" w:eastAsia="仿宋_GB2312" w:cs="Times New Roman"/>
          <w:color w:val="000000"/>
          <w:kern w:val="0"/>
          <w:sz w:val="32"/>
          <w:szCs w:val="32"/>
          <w:highlight w:val="none"/>
          <w:shd w:val="clear" w:color="auto" w:fill="FFFFFF"/>
        </w:rPr>
        <w:t>月</w:t>
      </w:r>
      <w:r>
        <w:rPr>
          <w:rFonts w:ascii="Times New Roman" w:hAnsi="Times New Roman" w:eastAsia="仿宋_GB2312" w:cs="Times New Roman"/>
          <w:color w:val="000000"/>
          <w:kern w:val="0"/>
          <w:sz w:val="32"/>
          <w:szCs w:val="32"/>
          <w:highlight w:val="none"/>
          <w:shd w:val="clear" w:color="auto" w:fill="FFFFFF"/>
          <w:lang w:eastAsia="zh-CN"/>
        </w:rPr>
        <w:t>上旬向</w:t>
      </w:r>
      <w:r>
        <w:rPr>
          <w:rFonts w:ascii="Times New Roman" w:hAnsi="Times New Roman" w:eastAsia="仿宋_GB2312" w:cs="Times New Roman"/>
          <w:sz w:val="32"/>
          <w:szCs w:val="32"/>
          <w:highlight w:val="none"/>
        </w:rPr>
        <w:t>归口支出管理</w:t>
      </w:r>
      <w:r>
        <w:rPr>
          <w:rFonts w:ascii="Times New Roman" w:hAnsi="Times New Roman" w:eastAsia="仿宋_GB2312" w:cs="Times New Roman"/>
          <w:sz w:val="32"/>
          <w:szCs w:val="32"/>
          <w:highlight w:val="none"/>
          <w:lang w:eastAsia="zh-CN"/>
        </w:rPr>
        <w:t>股</w:t>
      </w:r>
      <w:r>
        <w:rPr>
          <w:rFonts w:ascii="Times New Roman" w:hAnsi="Times New Roman" w:eastAsia="仿宋_GB2312" w:cs="Times New Roman"/>
          <w:sz w:val="32"/>
          <w:szCs w:val="32"/>
          <w:highlight w:val="none"/>
        </w:rPr>
        <w:t>室</w:t>
      </w:r>
      <w:r>
        <w:rPr>
          <w:rFonts w:ascii="Times New Roman" w:hAnsi="Times New Roman" w:eastAsia="仿宋_GB2312" w:cs="Times New Roman"/>
          <w:color w:val="000000"/>
          <w:kern w:val="0"/>
          <w:sz w:val="32"/>
          <w:szCs w:val="32"/>
          <w:highlight w:val="none"/>
          <w:shd w:val="clear" w:color="auto" w:fill="FFFFFF"/>
        </w:rPr>
        <w:t>提交了自评报告，</w:t>
      </w:r>
      <w:r>
        <w:rPr>
          <w:rFonts w:ascii="Times New Roman" w:hAnsi="Times New Roman" w:eastAsia="仿宋_GB2312" w:cs="Times New Roman"/>
          <w:color w:val="000000"/>
          <w:kern w:val="0"/>
          <w:sz w:val="32"/>
          <w:szCs w:val="32"/>
          <w:highlight w:val="none"/>
          <w:shd w:val="clear" w:color="auto" w:fill="FFFFFF"/>
          <w:lang w:val="en-US" w:eastAsia="zh-CN"/>
        </w:rPr>
        <w:t>11</w:t>
      </w:r>
      <w:r>
        <w:rPr>
          <w:rFonts w:ascii="Times New Roman" w:hAnsi="Times New Roman" w:eastAsia="仿宋_GB2312" w:cs="Times New Roman"/>
          <w:color w:val="000000"/>
          <w:kern w:val="0"/>
          <w:sz w:val="32"/>
          <w:szCs w:val="32"/>
          <w:highlight w:val="none"/>
          <w:shd w:val="clear" w:color="auto" w:fill="FFFFFF"/>
        </w:rPr>
        <w:t>月</w:t>
      </w:r>
      <w:r>
        <w:rPr>
          <w:rFonts w:ascii="Times New Roman" w:hAnsi="Times New Roman" w:eastAsia="仿宋_GB2312" w:cs="Times New Roman"/>
          <w:color w:val="000000"/>
          <w:kern w:val="0"/>
          <w:sz w:val="32"/>
          <w:szCs w:val="32"/>
          <w:highlight w:val="none"/>
          <w:shd w:val="clear" w:color="auto" w:fill="FFFFFF"/>
          <w:lang w:eastAsia="zh-CN"/>
        </w:rPr>
        <w:t>下旬第三方</w:t>
      </w:r>
      <w:r>
        <w:rPr>
          <w:rFonts w:ascii="Times New Roman" w:hAnsi="Times New Roman" w:eastAsia="仿宋_GB2312" w:cs="Times New Roman"/>
          <w:color w:val="000000"/>
          <w:kern w:val="0"/>
          <w:sz w:val="32"/>
          <w:szCs w:val="32"/>
          <w:highlight w:val="none"/>
          <w:shd w:val="clear" w:color="auto" w:fill="FFFFFF"/>
        </w:rPr>
        <w:t>工作组结合被评价项目的实际情况，</w:t>
      </w:r>
      <w:r>
        <w:rPr>
          <w:rFonts w:ascii="Times New Roman" w:hAnsi="Times New Roman" w:eastAsia="仿宋_GB2312" w:cs="Times New Roman"/>
          <w:color w:val="000000"/>
          <w:kern w:val="0"/>
          <w:sz w:val="32"/>
          <w:szCs w:val="32"/>
          <w:highlight w:val="none"/>
          <w:shd w:val="clear" w:color="auto" w:fill="FFFFFF"/>
          <w:lang w:eastAsia="zh-CN"/>
        </w:rPr>
        <w:t>通过</w:t>
      </w:r>
      <w:r>
        <w:rPr>
          <w:rFonts w:ascii="Times New Roman" w:hAnsi="Times New Roman" w:eastAsia="仿宋_GB2312" w:cs="Times New Roman"/>
          <w:color w:val="000000"/>
          <w:kern w:val="0"/>
          <w:sz w:val="32"/>
          <w:szCs w:val="32"/>
          <w:highlight w:val="none"/>
          <w:shd w:val="clear" w:color="auto" w:fill="FFFFFF"/>
        </w:rPr>
        <w:t>查阅资料、实地察看等评价程序完成</w:t>
      </w:r>
      <w:r>
        <w:rPr>
          <w:rFonts w:ascii="Times New Roman" w:hAnsi="Times New Roman" w:eastAsia="仿宋_GB2312" w:cs="Times New Roman"/>
          <w:color w:val="000000"/>
          <w:kern w:val="0"/>
          <w:sz w:val="32"/>
          <w:szCs w:val="32"/>
          <w:highlight w:val="none"/>
          <w:shd w:val="clear" w:color="auto" w:fill="FFFFFF"/>
          <w:lang w:val="en-US" w:eastAsia="zh-CN"/>
        </w:rPr>
        <w:t>了74</w:t>
      </w:r>
      <w:r>
        <w:rPr>
          <w:rFonts w:ascii="Times New Roman" w:hAnsi="Times New Roman" w:eastAsia="仿宋_GB2312" w:cs="Times New Roman"/>
          <w:color w:val="000000"/>
          <w:kern w:val="0"/>
          <w:sz w:val="32"/>
          <w:szCs w:val="32"/>
          <w:highlight w:val="none"/>
          <w:shd w:val="clear" w:color="auto" w:fill="FFFFFF"/>
        </w:rPr>
        <w:t>个项目</w:t>
      </w:r>
      <w:r>
        <w:rPr>
          <w:rFonts w:ascii="Times New Roman" w:hAnsi="Times New Roman" w:eastAsia="仿宋_GB2312" w:cs="Times New Roman"/>
          <w:color w:val="000000"/>
          <w:kern w:val="0"/>
          <w:sz w:val="32"/>
          <w:szCs w:val="32"/>
          <w:highlight w:val="none"/>
          <w:shd w:val="clear" w:color="auto" w:fill="FFFFFF"/>
          <w:lang w:eastAsia="zh-CN"/>
        </w:rPr>
        <w:t>与</w:t>
      </w:r>
      <w:r>
        <w:rPr>
          <w:rFonts w:ascii="Times New Roman" w:hAnsi="Times New Roman" w:eastAsia="仿宋_GB2312" w:cs="Times New Roman"/>
          <w:color w:val="000000"/>
          <w:kern w:val="0"/>
          <w:sz w:val="32"/>
          <w:szCs w:val="32"/>
          <w:highlight w:val="none"/>
          <w:shd w:val="clear" w:color="auto" w:fill="FFFFFF"/>
          <w:lang w:val="en-US" w:eastAsia="zh-CN"/>
        </w:rPr>
        <w:t>38个部门整体</w:t>
      </w:r>
      <w:r>
        <w:rPr>
          <w:rFonts w:ascii="Times New Roman" w:hAnsi="Times New Roman" w:eastAsia="仿宋_GB2312" w:cs="Times New Roman"/>
          <w:color w:val="000000"/>
          <w:kern w:val="0"/>
          <w:sz w:val="32"/>
          <w:szCs w:val="32"/>
          <w:highlight w:val="none"/>
          <w:shd w:val="clear" w:color="auto" w:fill="FFFFFF"/>
        </w:rPr>
        <w:t>的</w:t>
      </w:r>
      <w:r>
        <w:rPr>
          <w:rFonts w:ascii="Times New Roman" w:hAnsi="Times New Roman" w:eastAsia="仿宋_GB2312" w:cs="Times New Roman"/>
          <w:color w:val="000000"/>
          <w:kern w:val="0"/>
          <w:sz w:val="32"/>
          <w:szCs w:val="32"/>
          <w:highlight w:val="none"/>
          <w:shd w:val="clear" w:color="auto" w:fill="FFFFFF"/>
          <w:lang w:eastAsia="zh-CN"/>
        </w:rPr>
        <w:t>绩效</w:t>
      </w:r>
      <w:r>
        <w:rPr>
          <w:rFonts w:ascii="Times New Roman" w:hAnsi="Times New Roman" w:eastAsia="仿宋_GB2312" w:cs="Times New Roman"/>
          <w:color w:val="000000"/>
          <w:kern w:val="0"/>
          <w:sz w:val="32"/>
          <w:szCs w:val="32"/>
          <w:highlight w:val="none"/>
          <w:shd w:val="clear" w:color="auto" w:fill="FFFFFF"/>
        </w:rPr>
        <w:t>评价工作</w:t>
      </w:r>
      <w:r>
        <w:rPr>
          <w:rFonts w:ascii="Times New Roman" w:hAnsi="Times New Roman" w:eastAsia="仿宋_GB2312" w:cs="Times New Roman"/>
          <w:color w:val="000000"/>
          <w:kern w:val="0"/>
          <w:sz w:val="32"/>
          <w:szCs w:val="32"/>
          <w:highlight w:val="none"/>
          <w:shd w:val="clear" w:color="auto" w:fill="FFFFFF"/>
          <w:lang w:eastAsia="zh-CN"/>
        </w:rPr>
        <w:t>，</w:t>
      </w:r>
      <w:r>
        <w:rPr>
          <w:rFonts w:ascii="Times New Roman" w:hAnsi="Times New Roman" w:eastAsia="仿宋_GB2312" w:cs="Times New Roman"/>
          <w:color w:val="000000"/>
          <w:kern w:val="0"/>
          <w:sz w:val="32"/>
          <w:szCs w:val="32"/>
          <w:highlight w:val="none"/>
          <w:shd w:val="clear" w:color="auto" w:fill="FFFFFF"/>
        </w:rPr>
        <w:t>并根据指标体系中的样本指标完成了现场评价工作，填列了《绩效评价工作记录》，发放回收了《满意度调查问卷表》，对工作底稿进行了整理归档</w:t>
      </w:r>
      <w:r>
        <w:rPr>
          <w:rFonts w:ascii="Times New Roman" w:hAnsi="Times New Roman" w:eastAsia="仿宋_GB2312" w:cs="Times New Roman"/>
          <w:color w:val="000000"/>
          <w:kern w:val="0"/>
          <w:sz w:val="32"/>
          <w:szCs w:val="32"/>
          <w:highlight w:val="none"/>
          <w:shd w:val="clear" w:color="auto" w:fill="FFFFFF"/>
          <w:lang w:eastAsia="zh-CN"/>
        </w:rPr>
        <w:t>并形成各项目绩效评价报告初稿</w:t>
      </w:r>
      <w:r>
        <w:rPr>
          <w:rFonts w:ascii="Times New Roman" w:hAnsi="Times New Roman" w:eastAsia="仿宋_GB2312" w:cs="Times New Roman"/>
          <w:color w:val="000000"/>
          <w:kern w:val="0"/>
          <w:sz w:val="32"/>
          <w:szCs w:val="32"/>
          <w:highlight w:val="none"/>
          <w:shd w:val="clear" w:color="auto" w:fill="FFFFFF"/>
        </w:rPr>
        <w:t>。</w:t>
      </w:r>
    </w:p>
    <w:p w14:paraId="5B151BDB">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黑体" w:eastAsia="黑体"/>
          <w:sz w:val="32"/>
          <w:szCs w:val="32"/>
          <w:highlight w:val="none"/>
        </w:rPr>
      </w:pPr>
      <w:r>
        <w:rPr>
          <w:rFonts w:hint="eastAsia" w:ascii="黑体" w:eastAsia="黑体"/>
          <w:sz w:val="32"/>
          <w:szCs w:val="32"/>
          <w:highlight w:val="none"/>
        </w:rPr>
        <w:t>二、评价结果</w:t>
      </w:r>
    </w:p>
    <w:p w14:paraId="40A48843">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楷体_GB2312" w:eastAsia="楷体_GB2312" w:cs="楷体_GB2312"/>
          <w:b/>
          <w:bCs w:val="0"/>
          <w:sz w:val="32"/>
          <w:szCs w:val="32"/>
          <w:highlight w:val="none"/>
          <w:lang w:eastAsia="zh-CN"/>
        </w:rPr>
      </w:pPr>
      <w:r>
        <w:rPr>
          <w:rFonts w:hint="eastAsia" w:ascii="楷体_GB2312" w:eastAsia="楷体_GB2312" w:cs="楷体_GB2312"/>
          <w:b/>
          <w:bCs w:val="0"/>
          <w:sz w:val="32"/>
          <w:szCs w:val="32"/>
          <w:highlight w:val="none"/>
          <w:lang w:eastAsia="zh-CN"/>
        </w:rPr>
        <w:t>（一）项目支出评价结果</w:t>
      </w:r>
    </w:p>
    <w:p w14:paraId="1473719F">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ascii="Times New Roman" w:hAnsi="Times New Roman" w:eastAsia="仿宋_GB2312" w:cs="Times New Roman"/>
          <w:b w:val="0"/>
          <w:bCs/>
          <w:sz w:val="32"/>
          <w:szCs w:val="32"/>
          <w:highlight w:val="none"/>
          <w:lang w:eastAsia="zh-CN"/>
        </w:rPr>
      </w:pPr>
      <w:r>
        <w:rPr>
          <w:rFonts w:ascii="Times New Roman" w:hAnsi="Times New Roman" w:eastAsia="仿宋_GB2312" w:cs="Times New Roman"/>
          <w:b w:val="0"/>
          <w:bCs/>
          <w:sz w:val="32"/>
          <w:szCs w:val="32"/>
          <w:highlight w:val="none"/>
          <w:lang w:eastAsia="zh-CN"/>
        </w:rPr>
        <w:t>本次绩效评价</w:t>
      </w:r>
      <w:r>
        <w:rPr>
          <w:rFonts w:ascii="Times New Roman" w:hAnsi="Times New Roman" w:eastAsia="仿宋_GB2312" w:cs="Times New Roman"/>
          <w:b w:val="0"/>
          <w:bCs/>
          <w:sz w:val="32"/>
          <w:szCs w:val="32"/>
          <w:highlight w:val="none"/>
          <w:lang w:val="en-US" w:eastAsia="zh-CN"/>
        </w:rPr>
        <w:t>74个项目，平均得分96.26分，其中：俄热乡依斗村通村路提升6公里与二嘎里乡雅夏村通村路提升2公里得分最高，为100分；金川县国土空间规划编制项目得分最低，为75分。</w:t>
      </w:r>
    </w:p>
    <w:p w14:paraId="1DF299D2">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_GB2312" w:eastAsia="仿宋_GB2312" w:cs="仿宋_GB2312"/>
          <w:b/>
          <w:sz w:val="32"/>
          <w:szCs w:val="32"/>
          <w:highlight w:val="none"/>
        </w:rPr>
      </w:pPr>
      <w:r>
        <w:rPr>
          <w:rFonts w:hint="eastAsia" w:ascii="仿宋_GB2312" w:eastAsia="仿宋_GB2312" w:cs="仿宋_GB2312"/>
          <w:b/>
          <w:sz w:val="32"/>
          <w:szCs w:val="32"/>
          <w:highlight w:val="none"/>
          <w:lang w:val="en-US" w:eastAsia="zh-CN"/>
        </w:rPr>
        <w:t>1.</w:t>
      </w:r>
      <w:r>
        <w:rPr>
          <w:rFonts w:hint="eastAsia" w:ascii="仿宋_GB2312" w:eastAsia="仿宋_GB2312" w:cs="仿宋_GB2312"/>
          <w:b/>
          <w:sz w:val="32"/>
          <w:szCs w:val="32"/>
          <w:highlight w:val="none"/>
          <w:lang w:eastAsia="zh-CN"/>
        </w:rPr>
        <w:t>通用指标得分情况</w:t>
      </w:r>
    </w:p>
    <w:p w14:paraId="3829B91A">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_GB2312" w:eastAsia="仿宋_GB2312" w:cs="仿宋_GB2312"/>
          <w:b/>
          <w:sz w:val="32"/>
          <w:szCs w:val="32"/>
          <w:highlight w:val="none"/>
        </w:rPr>
      </w:pPr>
      <w:r>
        <w:rPr>
          <w:rFonts w:hint="eastAsia" w:ascii="仿宋_GB2312" w:eastAsia="仿宋_GB2312" w:cs="仿宋_GB2312"/>
          <w:b/>
          <w:sz w:val="32"/>
          <w:szCs w:val="32"/>
          <w:highlight w:val="none"/>
          <w:lang w:val="en-US" w:eastAsia="zh-CN"/>
        </w:rPr>
        <w:t>（1）</w:t>
      </w:r>
      <w:r>
        <w:rPr>
          <w:rFonts w:hint="eastAsia" w:ascii="仿宋_GB2312" w:eastAsia="仿宋_GB2312" w:cs="仿宋_GB2312"/>
          <w:b/>
          <w:sz w:val="32"/>
          <w:szCs w:val="32"/>
          <w:highlight w:val="none"/>
        </w:rPr>
        <w:t>项目决策</w:t>
      </w:r>
    </w:p>
    <w:p w14:paraId="17517848">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color w:val="000000"/>
          <w:kern w:val="0"/>
          <w:sz w:val="32"/>
          <w:szCs w:val="32"/>
          <w:highlight w:val="none"/>
          <w:shd w:val="clear" w:color="auto" w:fill="FFFFFF"/>
        </w:rPr>
        <w:t>该指标权重为</w:t>
      </w:r>
      <w:r>
        <w:rPr>
          <w:rFonts w:ascii="Times New Roman" w:hAnsi="Times New Roman" w:eastAsia="仿宋_GB2312" w:cs="Times New Roman"/>
          <w:color w:val="000000"/>
          <w:kern w:val="0"/>
          <w:sz w:val="32"/>
          <w:szCs w:val="32"/>
          <w:highlight w:val="none"/>
          <w:shd w:val="clear" w:color="auto" w:fill="FFFFFF"/>
          <w:lang w:val="en-US" w:eastAsia="zh-CN"/>
        </w:rPr>
        <w:t>12</w:t>
      </w:r>
      <w:r>
        <w:rPr>
          <w:rFonts w:ascii="Times New Roman" w:hAnsi="Times New Roman" w:eastAsia="仿宋_GB2312" w:cs="Times New Roman"/>
          <w:color w:val="000000"/>
          <w:kern w:val="0"/>
          <w:sz w:val="32"/>
          <w:szCs w:val="32"/>
          <w:highlight w:val="none"/>
          <w:shd w:val="clear" w:color="auto" w:fill="FFFFFF"/>
        </w:rPr>
        <w:t>分</w:t>
      </w:r>
      <w:r>
        <w:rPr>
          <w:rFonts w:ascii="Times New Roman" w:hAnsi="Times New Roman" w:eastAsia="仿宋_GB2312" w:cs="Times New Roman"/>
          <w:color w:val="000000"/>
          <w:kern w:val="0"/>
          <w:sz w:val="32"/>
          <w:szCs w:val="32"/>
          <w:highlight w:val="none"/>
          <w:shd w:val="clear" w:color="auto" w:fill="FFFFFF"/>
          <w:lang w:eastAsia="zh-CN"/>
        </w:rPr>
        <w:t>，实得</w:t>
      </w:r>
      <w:r>
        <w:rPr>
          <w:rFonts w:ascii="Times New Roman" w:hAnsi="Times New Roman" w:eastAsia="仿宋_GB2312" w:cs="Times New Roman"/>
          <w:color w:val="000000"/>
          <w:kern w:val="0"/>
          <w:sz w:val="32"/>
          <w:szCs w:val="32"/>
          <w:highlight w:val="none"/>
          <w:shd w:val="clear" w:color="auto" w:fill="FFFFFF"/>
          <w:lang w:val="en-US" w:eastAsia="zh-CN"/>
        </w:rPr>
        <w:t>11.29分</w:t>
      </w:r>
      <w:r>
        <w:rPr>
          <w:rFonts w:ascii="Times New Roman" w:hAnsi="Times New Roman" w:eastAsia="仿宋_GB2312" w:cs="Times New Roman"/>
          <w:sz w:val="32"/>
          <w:szCs w:val="32"/>
          <w:highlight w:val="none"/>
          <w:lang w:eastAsia="zh-CN"/>
        </w:rPr>
        <w:t>。扣分原因</w:t>
      </w:r>
      <w:r>
        <w:rPr>
          <w:rFonts w:ascii="Times New Roman" w:hAnsi="Times New Roman" w:eastAsia="仿宋_GB2312" w:cs="Times New Roman"/>
          <w:sz w:val="32"/>
          <w:szCs w:val="32"/>
          <w:highlight w:val="none"/>
        </w:rPr>
        <w:t>主要</w:t>
      </w:r>
      <w:r>
        <w:rPr>
          <w:rFonts w:ascii="Times New Roman" w:hAnsi="Times New Roman" w:eastAsia="仿宋_GB2312" w:cs="Times New Roman"/>
          <w:sz w:val="32"/>
          <w:szCs w:val="32"/>
          <w:highlight w:val="none"/>
          <w:lang w:eastAsia="zh-CN"/>
        </w:rPr>
        <w:t>为：未经过事前评估或可行性论证；未制定专项资金管理办法和项目管理办法；未执行政府采购；</w:t>
      </w:r>
      <w:r>
        <w:rPr>
          <w:rFonts w:ascii="Times New Roman" w:hAnsi="Times New Roman" w:eastAsia="仿宋_GB2312" w:cs="Times New Roman"/>
          <w:sz w:val="32"/>
          <w:szCs w:val="32"/>
          <w:highlight w:val="none"/>
          <w:lang w:val="en-US" w:eastAsia="zh-CN"/>
        </w:rPr>
        <w:t>项目绩效目标不够细化；项目未制定可行性研究报告或具体的实施方案等。</w:t>
      </w:r>
    </w:p>
    <w:p w14:paraId="5612C66C">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_GB2312" w:eastAsia="仿宋_GB2312" w:cs="仿宋_GB2312"/>
          <w:b/>
          <w:sz w:val="32"/>
          <w:szCs w:val="32"/>
          <w:highlight w:val="none"/>
          <w:lang w:val="en-US" w:eastAsia="zh-CN"/>
        </w:rPr>
      </w:pPr>
      <w:r>
        <w:rPr>
          <w:rFonts w:hint="eastAsia" w:ascii="仿宋_GB2312" w:eastAsia="仿宋_GB2312" w:cs="仿宋_GB2312"/>
          <w:b/>
          <w:sz w:val="32"/>
          <w:szCs w:val="32"/>
          <w:highlight w:val="none"/>
          <w:lang w:val="en-US" w:eastAsia="zh-CN"/>
        </w:rPr>
        <w:t>（2）项目实施</w:t>
      </w:r>
    </w:p>
    <w:p w14:paraId="72069384">
      <w:pPr>
        <w:keepNext w:val="0"/>
        <w:keepLines w:val="0"/>
        <w:pageBreakBefore w:val="0"/>
        <w:widowControl w:val="0"/>
        <w:kinsoku/>
        <w:wordWrap/>
        <w:overflowPunct/>
        <w:topLinePunct w:val="0"/>
        <w:autoSpaceDE/>
        <w:autoSpaceDN/>
        <w:bidi w:val="0"/>
        <w:adjustRightInd/>
        <w:snapToGrid/>
        <w:spacing w:line="560" w:lineRule="exact"/>
        <w:ind w:firstLine="660"/>
        <w:rPr>
          <w:rFonts w:ascii="Times New Roman" w:hAnsi="Times New Roman" w:eastAsia="仿宋_GB2312" w:cs="Times New Roman"/>
          <w:sz w:val="32"/>
          <w:szCs w:val="32"/>
          <w:highlight w:val="none"/>
          <w:lang w:eastAsia="zh-CN"/>
        </w:rPr>
      </w:pPr>
      <w:r>
        <w:rPr>
          <w:rFonts w:ascii="Times New Roman" w:hAnsi="Times New Roman" w:eastAsia="仿宋_GB2312" w:cs="Times New Roman"/>
          <w:color w:val="000000"/>
          <w:kern w:val="0"/>
          <w:sz w:val="32"/>
          <w:szCs w:val="32"/>
          <w:highlight w:val="none"/>
          <w:shd w:val="clear" w:color="auto" w:fill="FFFFFF"/>
        </w:rPr>
        <w:t>该指标权重为</w:t>
      </w:r>
      <w:r>
        <w:rPr>
          <w:rFonts w:ascii="Times New Roman" w:hAnsi="Times New Roman" w:eastAsia="仿宋_GB2312" w:cs="Times New Roman"/>
          <w:color w:val="000000"/>
          <w:kern w:val="0"/>
          <w:sz w:val="32"/>
          <w:szCs w:val="32"/>
          <w:highlight w:val="none"/>
          <w:shd w:val="clear" w:color="auto" w:fill="FFFFFF"/>
          <w:lang w:val="en-US" w:eastAsia="zh-CN"/>
        </w:rPr>
        <w:t>11</w:t>
      </w:r>
      <w:r>
        <w:rPr>
          <w:rFonts w:ascii="Times New Roman" w:hAnsi="Times New Roman" w:eastAsia="仿宋_GB2312" w:cs="Times New Roman"/>
          <w:color w:val="000000"/>
          <w:kern w:val="0"/>
          <w:sz w:val="32"/>
          <w:szCs w:val="32"/>
          <w:highlight w:val="none"/>
          <w:shd w:val="clear" w:color="auto" w:fill="FFFFFF"/>
        </w:rPr>
        <w:t>分</w:t>
      </w:r>
      <w:r>
        <w:rPr>
          <w:rFonts w:ascii="Times New Roman" w:hAnsi="Times New Roman" w:eastAsia="仿宋_GB2312" w:cs="Times New Roman"/>
          <w:color w:val="000000"/>
          <w:kern w:val="0"/>
          <w:sz w:val="32"/>
          <w:szCs w:val="32"/>
          <w:highlight w:val="none"/>
          <w:shd w:val="clear" w:color="auto" w:fill="FFFFFF"/>
          <w:lang w:eastAsia="zh-CN"/>
        </w:rPr>
        <w:t>，实得</w:t>
      </w:r>
      <w:r>
        <w:rPr>
          <w:rFonts w:ascii="Times New Roman" w:hAnsi="Times New Roman" w:eastAsia="仿宋_GB2312" w:cs="Times New Roman"/>
          <w:color w:val="000000"/>
          <w:kern w:val="0"/>
          <w:sz w:val="32"/>
          <w:szCs w:val="32"/>
          <w:highlight w:val="none"/>
          <w:shd w:val="clear" w:color="auto" w:fill="FFFFFF"/>
          <w:lang w:val="en-US" w:eastAsia="zh-CN"/>
        </w:rPr>
        <w:t>10.36分</w:t>
      </w:r>
      <w:r>
        <w:rPr>
          <w:rFonts w:ascii="Times New Roman" w:hAnsi="Times New Roman" w:eastAsia="仿宋_GB2312" w:cs="Times New Roman"/>
          <w:sz w:val="32"/>
          <w:szCs w:val="32"/>
          <w:highlight w:val="none"/>
          <w:lang w:eastAsia="zh-CN"/>
        </w:rPr>
        <w:t>。扣分原因主要为：项目资金拨付审核不严；项目资金使用监管不严；未按照规范制度执行项目；资金支付管理不规范；合同管理不规范；项目进度缓慢；设计合同签订不规范；存在项目建设时间滞后；项目验收时间滞后；项目资料管理不完善等。</w:t>
      </w:r>
    </w:p>
    <w:p w14:paraId="4097ABF0">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_GB2312" w:eastAsia="仿宋_GB2312" w:cs="仿宋_GB2312"/>
          <w:b/>
          <w:sz w:val="32"/>
          <w:szCs w:val="32"/>
          <w:highlight w:val="none"/>
          <w:lang w:val="en-US" w:eastAsia="zh-CN"/>
        </w:rPr>
      </w:pPr>
      <w:r>
        <w:rPr>
          <w:rFonts w:hint="eastAsia" w:ascii="仿宋_GB2312" w:eastAsia="仿宋_GB2312" w:cs="仿宋_GB2312"/>
          <w:b/>
          <w:sz w:val="32"/>
          <w:szCs w:val="32"/>
          <w:highlight w:val="none"/>
          <w:lang w:val="en-US" w:eastAsia="zh-CN"/>
        </w:rPr>
        <w:t>（3）完成结果</w:t>
      </w:r>
    </w:p>
    <w:p w14:paraId="33DCCE1F">
      <w:pPr>
        <w:keepNext w:val="0"/>
        <w:keepLines w:val="0"/>
        <w:pageBreakBefore w:val="0"/>
        <w:widowControl w:val="0"/>
        <w:kinsoku/>
        <w:wordWrap/>
        <w:overflowPunct/>
        <w:topLinePunct w:val="0"/>
        <w:autoSpaceDE/>
        <w:autoSpaceDN/>
        <w:bidi w:val="0"/>
        <w:adjustRightInd/>
        <w:snapToGrid/>
        <w:spacing w:line="560" w:lineRule="exact"/>
        <w:ind w:firstLine="660"/>
        <w:rPr>
          <w:rFonts w:ascii="Times New Roman" w:hAnsi="Times New Roman" w:eastAsia="仿宋_GB2312" w:cs="Times New Roman"/>
          <w:sz w:val="32"/>
          <w:szCs w:val="32"/>
          <w:highlight w:val="none"/>
          <w:lang w:eastAsia="zh-CN"/>
        </w:rPr>
      </w:pPr>
      <w:r>
        <w:rPr>
          <w:rFonts w:ascii="Times New Roman" w:hAnsi="Times New Roman" w:eastAsia="仿宋_GB2312" w:cs="Times New Roman"/>
          <w:color w:val="000000"/>
          <w:kern w:val="0"/>
          <w:sz w:val="32"/>
          <w:szCs w:val="32"/>
          <w:highlight w:val="none"/>
          <w:shd w:val="clear" w:color="auto" w:fill="FFFFFF"/>
        </w:rPr>
        <w:t>该指标权重为</w:t>
      </w:r>
      <w:r>
        <w:rPr>
          <w:rFonts w:ascii="Times New Roman" w:hAnsi="Times New Roman" w:eastAsia="仿宋_GB2312" w:cs="Times New Roman"/>
          <w:color w:val="000000"/>
          <w:kern w:val="0"/>
          <w:sz w:val="32"/>
          <w:szCs w:val="32"/>
          <w:highlight w:val="none"/>
          <w:shd w:val="clear" w:color="auto" w:fill="FFFFFF"/>
          <w:lang w:val="en-US" w:eastAsia="zh-CN"/>
        </w:rPr>
        <w:t>17</w:t>
      </w:r>
      <w:r>
        <w:rPr>
          <w:rFonts w:ascii="Times New Roman" w:hAnsi="Times New Roman" w:eastAsia="仿宋_GB2312" w:cs="Times New Roman"/>
          <w:color w:val="000000"/>
          <w:kern w:val="0"/>
          <w:sz w:val="32"/>
          <w:szCs w:val="32"/>
          <w:highlight w:val="none"/>
          <w:shd w:val="clear" w:color="auto" w:fill="FFFFFF"/>
        </w:rPr>
        <w:t>分</w:t>
      </w:r>
      <w:r>
        <w:rPr>
          <w:rFonts w:ascii="Times New Roman" w:hAnsi="Times New Roman" w:eastAsia="仿宋_GB2312" w:cs="Times New Roman"/>
          <w:color w:val="000000"/>
          <w:kern w:val="0"/>
          <w:sz w:val="32"/>
          <w:szCs w:val="32"/>
          <w:highlight w:val="none"/>
          <w:shd w:val="clear" w:color="auto" w:fill="FFFFFF"/>
          <w:lang w:eastAsia="zh-CN"/>
        </w:rPr>
        <w:t>，实得</w:t>
      </w:r>
      <w:r>
        <w:rPr>
          <w:rFonts w:ascii="Times New Roman" w:hAnsi="Times New Roman" w:eastAsia="仿宋_GB2312" w:cs="Times New Roman"/>
          <w:color w:val="000000"/>
          <w:kern w:val="0"/>
          <w:sz w:val="32"/>
          <w:szCs w:val="32"/>
          <w:highlight w:val="none"/>
          <w:shd w:val="clear" w:color="auto" w:fill="FFFFFF"/>
          <w:lang w:val="en-US" w:eastAsia="zh-CN"/>
        </w:rPr>
        <w:t>15.17分</w:t>
      </w:r>
      <w:r>
        <w:rPr>
          <w:rFonts w:ascii="Times New Roman" w:hAnsi="Times New Roman" w:eastAsia="仿宋_GB2312" w:cs="Times New Roman"/>
          <w:sz w:val="32"/>
          <w:szCs w:val="32"/>
          <w:highlight w:val="none"/>
          <w:lang w:val="en-US" w:eastAsia="zh-CN"/>
        </w:rPr>
        <w:t>。</w:t>
      </w:r>
      <w:r>
        <w:rPr>
          <w:rFonts w:ascii="Times New Roman" w:hAnsi="Times New Roman" w:eastAsia="仿宋_GB2312" w:cs="Times New Roman"/>
          <w:sz w:val="32"/>
          <w:szCs w:val="32"/>
          <w:highlight w:val="none"/>
          <w:lang w:eastAsia="zh-CN"/>
        </w:rPr>
        <w:t>扣分原因主要为：未按要求完成项目预算；项目推进缓慢；项目完成数量与计划数量不一致、完成质量不达标等。</w:t>
      </w:r>
    </w:p>
    <w:p w14:paraId="337A6F27">
      <w:pPr>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b/>
          <w:bCs/>
          <w:sz w:val="32"/>
          <w:szCs w:val="32"/>
          <w:highlight w:val="none"/>
          <w:lang w:eastAsia="zh-CN"/>
        </w:rPr>
      </w:pPr>
      <w:r>
        <w:rPr>
          <w:rFonts w:ascii="Times New Roman" w:hAnsi="Times New Roman" w:eastAsia="仿宋_GB2312" w:cs="Times New Roman"/>
          <w:b/>
          <w:bCs/>
          <w:sz w:val="32"/>
          <w:szCs w:val="32"/>
          <w:highlight w:val="none"/>
          <w:lang w:val="en-US" w:eastAsia="zh-CN"/>
        </w:rPr>
        <w:t xml:space="preserve">    2.</w:t>
      </w:r>
      <w:r>
        <w:rPr>
          <w:rFonts w:ascii="Times New Roman" w:hAnsi="Times New Roman" w:eastAsia="仿宋_GB2312" w:cs="Times New Roman"/>
          <w:b/>
          <w:bCs/>
          <w:sz w:val="32"/>
          <w:szCs w:val="32"/>
          <w:highlight w:val="none"/>
          <w:lang w:eastAsia="zh-CN"/>
        </w:rPr>
        <w:t>共性指标得分情况（项目效果）</w:t>
      </w:r>
    </w:p>
    <w:p w14:paraId="03F95529">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rPr>
          <w:rFonts w:ascii="Times New Roman" w:hAnsi="Times New Roman" w:cs="Times New Roman"/>
          <w:highlight w:val="none"/>
          <w:lang w:eastAsia="zh-CN"/>
        </w:rPr>
      </w:pPr>
      <w:r>
        <w:rPr>
          <w:rFonts w:ascii="Times New Roman" w:hAnsi="Times New Roman" w:eastAsia="仿宋_GB2312" w:cs="Times New Roman"/>
          <w:color w:val="000000"/>
          <w:kern w:val="0"/>
          <w:sz w:val="32"/>
          <w:szCs w:val="32"/>
          <w:highlight w:val="none"/>
          <w:shd w:val="clear" w:color="auto" w:fill="FFFFFF"/>
          <w:lang w:val="en-US" w:eastAsia="zh-CN"/>
        </w:rPr>
        <w:t xml:space="preserve">    </w:t>
      </w:r>
      <w:r>
        <w:rPr>
          <w:rFonts w:ascii="Times New Roman" w:hAnsi="Times New Roman" w:eastAsia="仿宋_GB2312" w:cs="Times New Roman"/>
          <w:color w:val="000000"/>
          <w:kern w:val="0"/>
          <w:sz w:val="32"/>
          <w:szCs w:val="32"/>
          <w:highlight w:val="none"/>
          <w:shd w:val="clear" w:color="auto" w:fill="FFFFFF"/>
        </w:rPr>
        <w:t>该指标权重为</w:t>
      </w:r>
      <w:r>
        <w:rPr>
          <w:rFonts w:ascii="Times New Roman" w:hAnsi="Times New Roman" w:eastAsia="仿宋_GB2312" w:cs="Times New Roman"/>
          <w:color w:val="000000"/>
          <w:kern w:val="0"/>
          <w:sz w:val="32"/>
          <w:szCs w:val="32"/>
          <w:highlight w:val="none"/>
          <w:shd w:val="clear" w:color="auto" w:fill="FFFFFF"/>
          <w:lang w:val="en-US" w:eastAsia="zh-CN"/>
        </w:rPr>
        <w:t>20</w:t>
      </w:r>
      <w:r>
        <w:rPr>
          <w:rFonts w:ascii="Times New Roman" w:hAnsi="Times New Roman" w:eastAsia="仿宋_GB2312" w:cs="Times New Roman"/>
          <w:color w:val="000000"/>
          <w:kern w:val="0"/>
          <w:sz w:val="32"/>
          <w:szCs w:val="32"/>
          <w:highlight w:val="none"/>
          <w:shd w:val="clear" w:color="auto" w:fill="FFFFFF"/>
        </w:rPr>
        <w:t>分</w:t>
      </w:r>
      <w:r>
        <w:rPr>
          <w:rFonts w:ascii="Times New Roman" w:hAnsi="Times New Roman" w:eastAsia="仿宋_GB2312" w:cs="Times New Roman"/>
          <w:color w:val="000000"/>
          <w:kern w:val="0"/>
          <w:sz w:val="32"/>
          <w:szCs w:val="32"/>
          <w:highlight w:val="none"/>
          <w:shd w:val="clear" w:color="auto" w:fill="FFFFFF"/>
          <w:lang w:eastAsia="zh-CN"/>
        </w:rPr>
        <w:t>，实得</w:t>
      </w:r>
      <w:r>
        <w:rPr>
          <w:rFonts w:ascii="Times New Roman" w:hAnsi="Times New Roman" w:eastAsia="仿宋_GB2312" w:cs="Times New Roman"/>
          <w:color w:val="000000"/>
          <w:kern w:val="0"/>
          <w:sz w:val="32"/>
          <w:szCs w:val="32"/>
          <w:highlight w:val="none"/>
          <w:shd w:val="clear" w:color="auto" w:fill="FFFFFF"/>
          <w:lang w:val="en-US" w:eastAsia="zh-CN"/>
        </w:rPr>
        <w:t>19.49分。</w:t>
      </w:r>
    </w:p>
    <w:p w14:paraId="2C49A2D1">
      <w:pPr>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sz w:val="32"/>
          <w:szCs w:val="32"/>
          <w:highlight w:val="none"/>
          <w:lang w:eastAsia="zh-CN"/>
        </w:rPr>
      </w:pPr>
      <w:r>
        <w:rPr>
          <w:rFonts w:ascii="Times New Roman" w:hAnsi="Times New Roman" w:eastAsia="仿宋_GB2312" w:cs="Times New Roman"/>
          <w:b/>
          <w:bCs/>
          <w:sz w:val="32"/>
          <w:szCs w:val="32"/>
          <w:highlight w:val="none"/>
          <w:lang w:val="en-US" w:eastAsia="zh-CN"/>
        </w:rPr>
        <w:t xml:space="preserve">    （1）产业发展类项目。</w:t>
      </w:r>
      <w:r>
        <w:rPr>
          <w:rFonts w:ascii="Times New Roman" w:hAnsi="Times New Roman" w:eastAsia="仿宋_GB2312" w:cs="Times New Roman"/>
          <w:b w:val="0"/>
          <w:bCs w:val="0"/>
          <w:sz w:val="32"/>
          <w:szCs w:val="32"/>
          <w:highlight w:val="none"/>
          <w:lang w:val="en-US" w:eastAsia="zh-CN"/>
        </w:rPr>
        <w:t>该类</w:t>
      </w:r>
      <w:r>
        <w:rPr>
          <w:rFonts w:ascii="Times New Roman" w:hAnsi="Times New Roman" w:eastAsia="仿宋_GB2312" w:cs="Times New Roman"/>
          <w:sz w:val="32"/>
          <w:szCs w:val="32"/>
          <w:highlight w:val="none"/>
          <w:lang w:val="en-US" w:eastAsia="zh-CN"/>
        </w:rPr>
        <w:t>项目共6个，</w:t>
      </w:r>
      <w:r>
        <w:rPr>
          <w:rFonts w:ascii="Times New Roman" w:hAnsi="Times New Roman" w:eastAsia="仿宋_GB2312" w:cs="Times New Roman"/>
          <w:color w:val="000000"/>
          <w:kern w:val="0"/>
          <w:sz w:val="32"/>
          <w:szCs w:val="32"/>
          <w:highlight w:val="none"/>
          <w:shd w:val="clear" w:color="auto" w:fill="FFFFFF"/>
          <w:lang w:eastAsia="zh-CN"/>
        </w:rPr>
        <w:t>无扣分</w:t>
      </w:r>
      <w:r>
        <w:rPr>
          <w:rFonts w:ascii="Times New Roman" w:hAnsi="Times New Roman" w:eastAsia="仿宋_GB2312" w:cs="Times New Roman"/>
          <w:sz w:val="32"/>
          <w:szCs w:val="32"/>
          <w:highlight w:val="none"/>
          <w:lang w:eastAsia="zh-CN"/>
        </w:rPr>
        <w:t>。</w:t>
      </w:r>
    </w:p>
    <w:p w14:paraId="5FCF919C">
      <w:pPr>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sz w:val="32"/>
          <w:szCs w:val="32"/>
          <w:highlight w:val="none"/>
          <w:lang w:eastAsia="zh-CN"/>
        </w:rPr>
      </w:pPr>
      <w:r>
        <w:rPr>
          <w:rFonts w:ascii="Times New Roman" w:hAnsi="Times New Roman" w:eastAsia="仿宋_GB2312" w:cs="Times New Roman"/>
          <w:b/>
          <w:bCs/>
          <w:sz w:val="32"/>
          <w:szCs w:val="32"/>
          <w:highlight w:val="none"/>
          <w:lang w:val="en-US" w:eastAsia="zh-CN"/>
        </w:rPr>
        <w:t xml:space="preserve">    （2）</w:t>
      </w:r>
      <w:r>
        <w:rPr>
          <w:rFonts w:ascii="Times New Roman" w:hAnsi="Times New Roman" w:eastAsia="仿宋_GB2312" w:cs="Times New Roman"/>
          <w:b/>
          <w:bCs/>
          <w:sz w:val="32"/>
          <w:szCs w:val="32"/>
          <w:highlight w:val="none"/>
          <w:lang w:eastAsia="zh-CN"/>
        </w:rPr>
        <w:t>民生保障</w:t>
      </w:r>
      <w:r>
        <w:rPr>
          <w:rFonts w:ascii="Times New Roman" w:hAnsi="Times New Roman" w:eastAsia="仿宋_GB2312" w:cs="Times New Roman"/>
          <w:b/>
          <w:bCs/>
          <w:sz w:val="32"/>
          <w:szCs w:val="32"/>
          <w:highlight w:val="none"/>
          <w:lang w:val="en-US" w:eastAsia="zh-CN"/>
        </w:rPr>
        <w:t>类</w:t>
      </w:r>
      <w:r>
        <w:rPr>
          <w:rFonts w:ascii="Times New Roman" w:hAnsi="Times New Roman" w:eastAsia="仿宋_GB2312" w:cs="Times New Roman"/>
          <w:b/>
          <w:bCs/>
          <w:sz w:val="32"/>
          <w:szCs w:val="32"/>
          <w:highlight w:val="none"/>
          <w:lang w:eastAsia="zh-CN"/>
        </w:rPr>
        <w:t>项目。</w:t>
      </w:r>
      <w:r>
        <w:rPr>
          <w:rFonts w:ascii="Times New Roman" w:hAnsi="Times New Roman" w:eastAsia="仿宋_GB2312" w:cs="Times New Roman"/>
          <w:b w:val="0"/>
          <w:bCs w:val="0"/>
          <w:sz w:val="32"/>
          <w:szCs w:val="32"/>
          <w:highlight w:val="none"/>
          <w:lang w:val="en-US" w:eastAsia="zh-CN"/>
        </w:rPr>
        <w:t>该类</w:t>
      </w:r>
      <w:r>
        <w:rPr>
          <w:rFonts w:ascii="Times New Roman" w:hAnsi="Times New Roman" w:eastAsia="仿宋_GB2312" w:cs="Times New Roman"/>
          <w:sz w:val="32"/>
          <w:szCs w:val="32"/>
          <w:highlight w:val="none"/>
          <w:lang w:val="en-US" w:eastAsia="zh-CN"/>
        </w:rPr>
        <w:t>项目共39个，2个项目共扣4.5分</w:t>
      </w:r>
      <w:r>
        <w:rPr>
          <w:rFonts w:ascii="Times New Roman" w:hAnsi="Times New Roman" w:eastAsia="仿宋_GB2312" w:cs="Times New Roman"/>
          <w:color w:val="000000"/>
          <w:kern w:val="0"/>
          <w:sz w:val="32"/>
          <w:szCs w:val="32"/>
          <w:highlight w:val="none"/>
          <w:shd w:val="clear" w:color="auto" w:fill="FFFFFF"/>
          <w:lang w:val="en-US" w:eastAsia="zh-CN"/>
        </w:rPr>
        <w:t>。</w:t>
      </w:r>
      <w:r>
        <w:rPr>
          <w:rFonts w:ascii="Times New Roman" w:hAnsi="Times New Roman" w:eastAsia="仿宋_GB2312" w:cs="Times New Roman"/>
          <w:sz w:val="32"/>
          <w:szCs w:val="32"/>
          <w:highlight w:val="none"/>
          <w:lang w:eastAsia="zh-CN"/>
        </w:rPr>
        <w:t>扣分原因主要为：群众满意度不高。</w:t>
      </w:r>
    </w:p>
    <w:p w14:paraId="5CEE115E">
      <w:pPr>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b/>
          <w:bCs/>
          <w:sz w:val="32"/>
          <w:szCs w:val="32"/>
          <w:highlight w:val="none"/>
          <w:lang w:eastAsia="zh-CN"/>
        </w:rPr>
      </w:pPr>
      <w:r>
        <w:rPr>
          <w:rFonts w:ascii="Times New Roman" w:hAnsi="Times New Roman" w:eastAsia="仿宋_GB2312" w:cs="Times New Roman"/>
          <w:b/>
          <w:bCs/>
          <w:sz w:val="32"/>
          <w:szCs w:val="32"/>
          <w:highlight w:val="none"/>
          <w:lang w:val="en-US" w:eastAsia="zh-CN"/>
        </w:rPr>
        <w:t xml:space="preserve">    </w:t>
      </w:r>
      <w:r>
        <w:rPr>
          <w:rFonts w:ascii="Times New Roman" w:hAnsi="Times New Roman" w:eastAsia="仿宋_GB2312" w:cs="Times New Roman"/>
          <w:b/>
          <w:bCs/>
          <w:sz w:val="32"/>
          <w:szCs w:val="32"/>
          <w:highlight w:val="none"/>
          <w:lang w:eastAsia="zh-CN"/>
        </w:rPr>
        <w:t>（</w:t>
      </w:r>
      <w:r>
        <w:rPr>
          <w:rFonts w:ascii="Times New Roman" w:hAnsi="Times New Roman" w:eastAsia="仿宋_GB2312" w:cs="Times New Roman"/>
          <w:b/>
          <w:bCs/>
          <w:sz w:val="32"/>
          <w:szCs w:val="32"/>
          <w:highlight w:val="none"/>
          <w:lang w:val="en-US" w:eastAsia="zh-CN"/>
        </w:rPr>
        <w:t>3）</w:t>
      </w:r>
      <w:r>
        <w:rPr>
          <w:rFonts w:ascii="Times New Roman" w:hAnsi="Times New Roman" w:eastAsia="仿宋_GB2312" w:cs="Times New Roman"/>
          <w:b/>
          <w:bCs/>
          <w:sz w:val="32"/>
          <w:szCs w:val="32"/>
          <w:highlight w:val="none"/>
          <w:lang w:eastAsia="zh-CN"/>
        </w:rPr>
        <w:t>基础设施（设备购置）</w:t>
      </w:r>
      <w:r>
        <w:rPr>
          <w:rFonts w:ascii="Times New Roman" w:hAnsi="Times New Roman" w:eastAsia="仿宋_GB2312" w:cs="Times New Roman"/>
          <w:b/>
          <w:bCs/>
          <w:sz w:val="32"/>
          <w:szCs w:val="32"/>
          <w:highlight w:val="none"/>
          <w:lang w:val="en-US" w:eastAsia="zh-CN"/>
        </w:rPr>
        <w:t>类</w:t>
      </w:r>
      <w:r>
        <w:rPr>
          <w:rFonts w:ascii="Times New Roman" w:hAnsi="Times New Roman" w:eastAsia="仿宋_GB2312" w:cs="Times New Roman"/>
          <w:b/>
          <w:bCs/>
          <w:sz w:val="32"/>
          <w:szCs w:val="32"/>
          <w:highlight w:val="none"/>
          <w:lang w:eastAsia="zh-CN"/>
        </w:rPr>
        <w:t>项目。</w:t>
      </w:r>
      <w:r>
        <w:rPr>
          <w:rFonts w:ascii="Times New Roman" w:hAnsi="Times New Roman" w:eastAsia="仿宋_GB2312" w:cs="Times New Roman"/>
          <w:b w:val="0"/>
          <w:bCs w:val="0"/>
          <w:sz w:val="32"/>
          <w:szCs w:val="32"/>
          <w:highlight w:val="none"/>
          <w:lang w:val="en-US" w:eastAsia="zh-CN"/>
        </w:rPr>
        <w:t>该类</w:t>
      </w:r>
      <w:r>
        <w:rPr>
          <w:rFonts w:ascii="Times New Roman" w:hAnsi="Times New Roman" w:eastAsia="仿宋_GB2312" w:cs="Times New Roman"/>
          <w:sz w:val="32"/>
          <w:szCs w:val="32"/>
          <w:highlight w:val="none"/>
          <w:lang w:val="en-US" w:eastAsia="zh-CN"/>
        </w:rPr>
        <w:t>项目共64个，12个项目共扣30分。</w:t>
      </w:r>
      <w:r>
        <w:rPr>
          <w:rFonts w:ascii="Times New Roman" w:hAnsi="Times New Roman" w:eastAsia="仿宋_GB2312" w:cs="Times New Roman"/>
          <w:sz w:val="32"/>
          <w:szCs w:val="32"/>
          <w:highlight w:val="none"/>
          <w:lang w:eastAsia="zh-CN"/>
        </w:rPr>
        <w:t>扣分原因主要为：项目尚未完工，未全面衔接并发挥整体效益等。</w:t>
      </w:r>
    </w:p>
    <w:p w14:paraId="4FFC9BAB">
      <w:pPr>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楷体_GB2312" w:cs="Times New Roman"/>
          <w:b/>
          <w:bCs/>
          <w:sz w:val="32"/>
          <w:szCs w:val="32"/>
          <w:highlight w:val="none"/>
          <w:lang w:eastAsia="zh-CN"/>
        </w:rPr>
      </w:pPr>
      <w:r>
        <w:rPr>
          <w:rFonts w:ascii="Times New Roman" w:hAnsi="Times New Roman" w:eastAsia="楷体_GB2312" w:cs="Times New Roman"/>
          <w:b/>
          <w:bCs/>
          <w:color w:val="000000"/>
          <w:kern w:val="0"/>
          <w:sz w:val="32"/>
          <w:szCs w:val="32"/>
          <w:highlight w:val="none"/>
          <w:lang w:val="en-US" w:eastAsia="zh-CN"/>
        </w:rPr>
        <w:t xml:space="preserve"> </w:t>
      </w:r>
      <w:r>
        <w:rPr>
          <w:rFonts w:ascii="Times New Roman" w:hAnsi="Times New Roman" w:eastAsia="仿宋_GB2312" w:cs="Times New Roman"/>
          <w:b/>
          <w:bCs/>
          <w:color w:val="000000"/>
          <w:kern w:val="0"/>
          <w:sz w:val="32"/>
          <w:szCs w:val="32"/>
          <w:highlight w:val="none"/>
          <w:lang w:val="en-US" w:eastAsia="zh-CN"/>
        </w:rPr>
        <w:t xml:space="preserve">   3.</w:t>
      </w:r>
      <w:r>
        <w:rPr>
          <w:rFonts w:ascii="Times New Roman" w:hAnsi="Times New Roman" w:eastAsia="仿宋_GB2312" w:cs="Times New Roman"/>
          <w:b/>
          <w:bCs/>
          <w:color w:val="000000"/>
          <w:kern w:val="0"/>
          <w:sz w:val="32"/>
          <w:szCs w:val="32"/>
          <w:highlight w:val="none"/>
          <w:lang w:eastAsia="zh-CN"/>
        </w:rPr>
        <w:t>特性指标</w:t>
      </w:r>
      <w:r>
        <w:rPr>
          <w:rFonts w:ascii="Times New Roman" w:hAnsi="Times New Roman" w:eastAsia="仿宋_GB2312" w:cs="Times New Roman"/>
          <w:b/>
          <w:bCs/>
          <w:sz w:val="32"/>
          <w:szCs w:val="32"/>
          <w:highlight w:val="none"/>
          <w:lang w:eastAsia="zh-CN"/>
        </w:rPr>
        <w:t>得分情况</w:t>
      </w:r>
    </w:p>
    <w:p w14:paraId="1A938410">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hAnsi="Times New Roman" w:eastAsia="仿宋_GB2312" w:cs="Times New Roman"/>
          <w:b/>
          <w:bCs/>
          <w:sz w:val="32"/>
          <w:szCs w:val="32"/>
          <w:highlight w:val="none"/>
          <w:lang w:val="en-US" w:eastAsia="zh-CN"/>
        </w:rPr>
      </w:pPr>
      <w:r>
        <w:rPr>
          <w:rFonts w:ascii="Times New Roman" w:hAnsi="Times New Roman" w:eastAsia="仿宋_GB2312" w:cs="Times New Roman"/>
          <w:b/>
          <w:bCs/>
          <w:sz w:val="32"/>
          <w:szCs w:val="32"/>
          <w:highlight w:val="none"/>
          <w:lang w:val="en-US" w:eastAsia="zh-CN"/>
        </w:rPr>
        <w:t>（1）产业发展类项目</w:t>
      </w:r>
    </w:p>
    <w:p w14:paraId="05C1DF1D">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eastAsia="仿宋_GB2312" w:cs="仿宋_GB2312"/>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 xml:space="preserve">    社会效益：</w:t>
      </w:r>
      <w:r>
        <w:rPr>
          <w:rFonts w:ascii="Times New Roman" w:hAnsi="Times New Roman" w:eastAsia="仿宋_GB2312" w:cs="Times New Roman"/>
          <w:color w:val="000000"/>
          <w:kern w:val="0"/>
          <w:sz w:val="32"/>
          <w:szCs w:val="32"/>
          <w:highlight w:val="none"/>
          <w:shd w:val="clear" w:color="auto" w:fill="FFFFFF"/>
        </w:rPr>
        <w:t>该指标权重为</w:t>
      </w:r>
      <w:r>
        <w:rPr>
          <w:rFonts w:ascii="Times New Roman" w:hAnsi="Times New Roman" w:eastAsia="仿宋_GB2312" w:cs="Times New Roman"/>
          <w:color w:val="000000"/>
          <w:kern w:val="0"/>
          <w:sz w:val="32"/>
          <w:szCs w:val="32"/>
          <w:highlight w:val="none"/>
          <w:shd w:val="clear" w:color="auto" w:fill="FFFFFF"/>
          <w:lang w:val="en-US" w:eastAsia="zh-CN"/>
        </w:rPr>
        <w:t>40</w:t>
      </w:r>
      <w:r>
        <w:rPr>
          <w:rFonts w:ascii="Times New Roman" w:hAnsi="Times New Roman" w:eastAsia="仿宋_GB2312" w:cs="Times New Roman"/>
          <w:color w:val="000000"/>
          <w:kern w:val="0"/>
          <w:sz w:val="32"/>
          <w:szCs w:val="32"/>
          <w:highlight w:val="none"/>
          <w:shd w:val="clear" w:color="auto" w:fill="FFFFFF"/>
        </w:rPr>
        <w:t>分</w:t>
      </w:r>
      <w:r>
        <w:rPr>
          <w:rFonts w:ascii="Times New Roman" w:hAnsi="Times New Roman" w:eastAsia="仿宋_GB2312" w:cs="Times New Roman"/>
          <w:color w:val="000000"/>
          <w:kern w:val="0"/>
          <w:sz w:val="32"/>
          <w:szCs w:val="32"/>
          <w:highlight w:val="none"/>
          <w:shd w:val="clear" w:color="auto" w:fill="FFFFFF"/>
          <w:lang w:eastAsia="zh-CN"/>
        </w:rPr>
        <w:t>，实得</w:t>
      </w:r>
      <w:r>
        <w:rPr>
          <w:rFonts w:ascii="Times New Roman" w:hAnsi="Times New Roman" w:eastAsia="仿宋_GB2312" w:cs="Times New Roman"/>
          <w:color w:val="000000"/>
          <w:kern w:val="0"/>
          <w:sz w:val="32"/>
          <w:szCs w:val="32"/>
          <w:highlight w:val="none"/>
          <w:shd w:val="clear" w:color="auto" w:fill="FFFFFF"/>
          <w:lang w:val="en-US" w:eastAsia="zh-CN"/>
        </w:rPr>
        <w:t>39.17分，</w:t>
      </w:r>
      <w:r>
        <w:rPr>
          <w:rFonts w:ascii="Times New Roman" w:hAnsi="Times New Roman" w:eastAsia="仿宋_GB2312" w:cs="Times New Roman"/>
          <w:b w:val="0"/>
          <w:bCs w:val="0"/>
          <w:sz w:val="32"/>
          <w:szCs w:val="32"/>
          <w:highlight w:val="none"/>
          <w:lang w:val="en-US" w:eastAsia="zh-CN"/>
        </w:rPr>
        <w:t>扣分原因主要为：</w:t>
      </w:r>
      <w:r>
        <w:rPr>
          <w:rFonts w:hint="eastAsia" w:ascii="仿宋_GB2312" w:eastAsia="仿宋_GB2312" w:cs="仿宋_GB2312"/>
          <w:sz w:val="32"/>
          <w:szCs w:val="32"/>
          <w:highlight w:val="none"/>
        </w:rPr>
        <w:t>未统计未统计受益贫困村数量</w:t>
      </w:r>
      <w:r>
        <w:rPr>
          <w:rFonts w:hint="eastAsia" w:ascii="仿宋_GB2312" w:eastAsia="仿宋_GB2312" w:cs="仿宋_GB2312"/>
          <w:sz w:val="32"/>
          <w:szCs w:val="32"/>
          <w:highlight w:val="none"/>
          <w:lang w:eastAsia="zh-CN"/>
        </w:rPr>
        <w:t>；未统计</w:t>
      </w:r>
      <w:r>
        <w:rPr>
          <w:rFonts w:hint="eastAsia" w:ascii="仿宋_GB2312" w:eastAsia="仿宋_GB2312" w:cs="仿宋_GB2312"/>
          <w:sz w:val="32"/>
          <w:szCs w:val="32"/>
          <w:highlight w:val="none"/>
        </w:rPr>
        <w:t>受益</w:t>
      </w:r>
      <w:r>
        <w:rPr>
          <w:rFonts w:hint="eastAsia" w:ascii="仿宋_GB2312" w:eastAsia="仿宋_GB2312" w:cs="仿宋_GB2312"/>
          <w:sz w:val="32"/>
          <w:szCs w:val="32"/>
          <w:highlight w:val="none"/>
          <w:lang w:eastAsia="zh-CN"/>
        </w:rPr>
        <w:t>贫困户数量；</w:t>
      </w:r>
      <w:r>
        <w:rPr>
          <w:rFonts w:hint="eastAsia" w:ascii="仿宋_GB2312" w:eastAsia="仿宋_GB2312" w:cs="仿宋_GB2312"/>
          <w:sz w:val="32"/>
          <w:szCs w:val="32"/>
          <w:highlight w:val="none"/>
        </w:rPr>
        <w:t>未统计受益建档立卡贫困人口数量</w:t>
      </w:r>
      <w:r>
        <w:rPr>
          <w:rFonts w:hint="eastAsia" w:ascii="仿宋_GB2312" w:eastAsia="仿宋_GB2312" w:cs="仿宋_GB2312"/>
          <w:b w:val="0"/>
          <w:bCs w:val="0"/>
          <w:sz w:val="32"/>
          <w:szCs w:val="32"/>
          <w:highlight w:val="none"/>
          <w:lang w:val="en-US" w:eastAsia="zh-CN"/>
        </w:rPr>
        <w:t>。</w:t>
      </w:r>
    </w:p>
    <w:p w14:paraId="3D00F1F6">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hAnsi="Times New Roman" w:eastAsia="仿宋_GB2312" w:cs="Times New Roman"/>
          <w:b/>
          <w:bCs/>
          <w:sz w:val="32"/>
          <w:szCs w:val="32"/>
          <w:highlight w:val="none"/>
          <w:lang w:eastAsia="zh-CN"/>
        </w:rPr>
      </w:pPr>
      <w:r>
        <w:rPr>
          <w:rFonts w:ascii="Times New Roman" w:hAnsi="Times New Roman" w:eastAsia="仿宋_GB2312" w:cs="Times New Roman"/>
          <w:b/>
          <w:bCs/>
          <w:sz w:val="32"/>
          <w:szCs w:val="32"/>
          <w:highlight w:val="none"/>
          <w:lang w:val="en-US" w:eastAsia="zh-CN"/>
        </w:rPr>
        <w:t>（2）</w:t>
      </w:r>
      <w:r>
        <w:rPr>
          <w:rFonts w:ascii="Times New Roman" w:hAnsi="Times New Roman" w:eastAsia="仿宋_GB2312" w:cs="Times New Roman"/>
          <w:b/>
          <w:bCs/>
          <w:sz w:val="32"/>
          <w:szCs w:val="32"/>
          <w:highlight w:val="none"/>
          <w:lang w:eastAsia="zh-CN"/>
        </w:rPr>
        <w:t>民生保障</w:t>
      </w:r>
      <w:r>
        <w:rPr>
          <w:rFonts w:ascii="Times New Roman" w:hAnsi="Times New Roman" w:eastAsia="仿宋_GB2312" w:cs="Times New Roman"/>
          <w:b/>
          <w:bCs/>
          <w:sz w:val="32"/>
          <w:szCs w:val="32"/>
          <w:highlight w:val="none"/>
          <w:lang w:val="en-US" w:eastAsia="zh-CN"/>
        </w:rPr>
        <w:t>类</w:t>
      </w:r>
      <w:r>
        <w:rPr>
          <w:rFonts w:ascii="Times New Roman" w:hAnsi="Times New Roman" w:eastAsia="仿宋_GB2312" w:cs="Times New Roman"/>
          <w:b/>
          <w:bCs/>
          <w:sz w:val="32"/>
          <w:szCs w:val="32"/>
          <w:highlight w:val="none"/>
          <w:lang w:eastAsia="zh-CN"/>
        </w:rPr>
        <w:t>项目</w:t>
      </w:r>
    </w:p>
    <w:p w14:paraId="6C102970">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eastAsia="zh-CN"/>
        </w:rPr>
        <w:t>基础管理：</w:t>
      </w:r>
      <w:r>
        <w:rPr>
          <w:rFonts w:ascii="Times New Roman" w:hAnsi="Times New Roman" w:eastAsia="仿宋_GB2312" w:cs="Times New Roman"/>
          <w:b w:val="0"/>
          <w:bCs w:val="0"/>
          <w:sz w:val="32"/>
          <w:szCs w:val="32"/>
          <w:highlight w:val="none"/>
          <w:lang w:val="en-US" w:eastAsia="zh-CN"/>
        </w:rPr>
        <w:t>3个项目扣5.32分，扣分原因主要为：补助对象档案不完善、补助资金出现漏发、滞后发放的情况、项目资料的归档较零乱，不便于查找相关资料以及覆盖对象不全面。</w:t>
      </w:r>
    </w:p>
    <w:p w14:paraId="38D2239B">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社会效益：</w:t>
      </w:r>
      <w:r>
        <w:rPr>
          <w:rFonts w:ascii="Times New Roman" w:hAnsi="Times New Roman" w:eastAsia="仿宋_GB2312" w:cs="Times New Roman"/>
          <w:b w:val="0"/>
          <w:bCs w:val="0"/>
          <w:sz w:val="32"/>
          <w:szCs w:val="32"/>
          <w:highlight w:val="none"/>
          <w:lang w:val="en-US" w:eastAsia="zh-CN"/>
        </w:rPr>
        <w:t>2个项目扣8分，扣分原因主要为：发放资金准确性不高，发生错发、漏发的情况、完成数量未达目标、资金使用率低等。</w:t>
      </w:r>
    </w:p>
    <w:p w14:paraId="6456FA2B">
      <w:pPr>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b/>
          <w:bCs/>
          <w:sz w:val="32"/>
          <w:szCs w:val="32"/>
          <w:highlight w:val="none"/>
          <w:lang w:eastAsia="zh-CN"/>
        </w:rPr>
      </w:pPr>
      <w:r>
        <w:rPr>
          <w:rFonts w:ascii="Times New Roman" w:hAnsi="Times New Roman" w:eastAsia="仿宋_GB2312" w:cs="Times New Roman"/>
          <w:b/>
          <w:bCs/>
          <w:sz w:val="32"/>
          <w:szCs w:val="32"/>
          <w:highlight w:val="none"/>
          <w:lang w:val="en-US" w:eastAsia="zh-CN"/>
        </w:rPr>
        <w:t xml:space="preserve">    （3）</w:t>
      </w:r>
      <w:r>
        <w:rPr>
          <w:rFonts w:ascii="Times New Roman" w:hAnsi="Times New Roman" w:eastAsia="仿宋_GB2312" w:cs="Times New Roman"/>
          <w:b/>
          <w:bCs/>
          <w:sz w:val="32"/>
          <w:szCs w:val="32"/>
          <w:highlight w:val="none"/>
          <w:lang w:eastAsia="zh-CN"/>
        </w:rPr>
        <w:t>基础设施（设备购置）</w:t>
      </w:r>
      <w:r>
        <w:rPr>
          <w:rFonts w:ascii="Times New Roman" w:hAnsi="Times New Roman" w:eastAsia="仿宋_GB2312" w:cs="Times New Roman"/>
          <w:b/>
          <w:bCs/>
          <w:sz w:val="32"/>
          <w:szCs w:val="32"/>
          <w:highlight w:val="none"/>
          <w:lang w:val="en-US" w:eastAsia="zh-CN"/>
        </w:rPr>
        <w:t>类</w:t>
      </w:r>
      <w:r>
        <w:rPr>
          <w:rFonts w:ascii="Times New Roman" w:hAnsi="Times New Roman" w:eastAsia="仿宋_GB2312" w:cs="Times New Roman"/>
          <w:b/>
          <w:bCs/>
          <w:sz w:val="32"/>
          <w:szCs w:val="32"/>
          <w:highlight w:val="none"/>
          <w:lang w:eastAsia="zh-CN"/>
        </w:rPr>
        <w:t>项目。</w:t>
      </w:r>
    </w:p>
    <w:p w14:paraId="18627A3B">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完成质量：</w:t>
      </w:r>
      <w:r>
        <w:rPr>
          <w:rFonts w:ascii="Times New Roman" w:hAnsi="Times New Roman" w:eastAsia="仿宋_GB2312" w:cs="Times New Roman"/>
          <w:b w:val="0"/>
          <w:bCs w:val="0"/>
          <w:sz w:val="32"/>
          <w:szCs w:val="32"/>
          <w:highlight w:val="none"/>
          <w:lang w:val="en-US" w:eastAsia="zh-CN"/>
        </w:rPr>
        <w:t>1个项目扣2分，扣分原因主要为：项目尚未完工。</w:t>
      </w:r>
    </w:p>
    <w:p w14:paraId="53CCD9C0">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社会效益：</w:t>
      </w:r>
      <w:r>
        <w:rPr>
          <w:rFonts w:ascii="Times New Roman" w:hAnsi="Times New Roman" w:eastAsia="仿宋_GB2312" w:cs="Times New Roman"/>
          <w:b w:val="0"/>
          <w:bCs w:val="0"/>
          <w:sz w:val="32"/>
          <w:szCs w:val="32"/>
          <w:highlight w:val="none"/>
          <w:lang w:val="en-US" w:eastAsia="zh-CN"/>
        </w:rPr>
        <w:t>2个项目扣4分，扣分原因主要为：未对防洪治理工程做评估，不能判定使用年限是否大于10年；经济效益量化指标不足，整体经济效益评估不够全面以及具体。</w:t>
      </w:r>
    </w:p>
    <w:p w14:paraId="6796DCA8">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ascii="Times New Roman" w:hAnsi="Times New Roman" w:eastAsia="楷体_GB2312" w:cs="Times New Roman"/>
          <w:b/>
          <w:bCs w:val="0"/>
          <w:sz w:val="32"/>
          <w:szCs w:val="32"/>
          <w:highlight w:val="none"/>
          <w:lang w:eastAsia="zh-CN"/>
        </w:rPr>
      </w:pPr>
      <w:r>
        <w:rPr>
          <w:rFonts w:ascii="Times New Roman" w:hAnsi="Times New Roman" w:eastAsia="楷体_GB2312" w:cs="Times New Roman"/>
          <w:b/>
          <w:bCs w:val="0"/>
          <w:sz w:val="32"/>
          <w:szCs w:val="32"/>
          <w:highlight w:val="none"/>
          <w:lang w:eastAsia="zh-CN"/>
        </w:rPr>
        <w:t>（二）整体支出评价结果</w:t>
      </w:r>
    </w:p>
    <w:p w14:paraId="07CD8C9F">
      <w:pPr>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b w:val="0"/>
          <w:bCs/>
          <w:sz w:val="32"/>
          <w:szCs w:val="32"/>
          <w:highlight w:val="none"/>
          <w:lang w:eastAsia="zh-CN"/>
        </w:rPr>
      </w:pPr>
      <w:r>
        <w:rPr>
          <w:rFonts w:ascii="Times New Roman" w:hAnsi="Times New Roman" w:eastAsia="仿宋_GB2312" w:cs="Times New Roman"/>
          <w:b w:val="0"/>
          <w:bCs/>
          <w:sz w:val="32"/>
          <w:szCs w:val="32"/>
          <w:highlight w:val="none"/>
          <w:lang w:val="en-US" w:eastAsia="zh-CN"/>
        </w:rPr>
        <w:t xml:space="preserve">    </w:t>
      </w:r>
      <w:r>
        <w:rPr>
          <w:rFonts w:ascii="Times New Roman" w:hAnsi="Times New Roman" w:eastAsia="仿宋_GB2312" w:cs="Times New Roman"/>
          <w:b w:val="0"/>
          <w:bCs/>
          <w:sz w:val="32"/>
          <w:szCs w:val="32"/>
          <w:highlight w:val="none"/>
          <w:lang w:eastAsia="zh-CN"/>
        </w:rPr>
        <w:t>本次绩效评价</w:t>
      </w:r>
      <w:r>
        <w:rPr>
          <w:rFonts w:ascii="Times New Roman" w:hAnsi="Times New Roman" w:eastAsia="仿宋_GB2312" w:cs="Times New Roman"/>
          <w:b w:val="0"/>
          <w:bCs/>
          <w:sz w:val="32"/>
          <w:szCs w:val="32"/>
          <w:highlight w:val="none"/>
          <w:lang w:val="en-US" w:eastAsia="zh-CN"/>
        </w:rPr>
        <w:t>38个单位，平均得分82.22分，其中：政府办得分最高，为95.12分；发改经信局得分最低，为68.16分。</w:t>
      </w:r>
    </w:p>
    <w:p w14:paraId="7C8FB4D8">
      <w:pPr>
        <w:pStyle w:val="8"/>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b/>
          <w:bCs w:val="0"/>
          <w:kern w:val="2"/>
          <w:sz w:val="32"/>
          <w:szCs w:val="32"/>
          <w:highlight w:val="none"/>
          <w:lang w:val="en-US" w:eastAsia="zh-CN" w:bidi="ar-SA"/>
        </w:rPr>
      </w:pPr>
      <w:r>
        <w:rPr>
          <w:rFonts w:ascii="Times New Roman" w:hAnsi="Times New Roman" w:eastAsia="仿宋_GB2312" w:cs="Times New Roman"/>
          <w:b/>
          <w:bCs w:val="0"/>
          <w:kern w:val="2"/>
          <w:sz w:val="32"/>
          <w:szCs w:val="32"/>
          <w:highlight w:val="none"/>
          <w:lang w:val="en-US" w:eastAsia="zh-CN" w:bidi="ar-SA"/>
        </w:rPr>
        <w:t xml:space="preserve">    1.部门预算管理得分情况</w:t>
      </w:r>
    </w:p>
    <w:p w14:paraId="52617688">
      <w:pPr>
        <w:pStyle w:val="8"/>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sz w:val="32"/>
          <w:szCs w:val="32"/>
          <w:highlight w:val="none"/>
          <w:lang w:eastAsia="zh-CN"/>
        </w:rPr>
      </w:pPr>
      <w:r>
        <w:rPr>
          <w:rFonts w:ascii="Times New Roman" w:hAnsi="Times New Roman" w:eastAsia="仿宋_GB2312" w:cs="Times New Roman"/>
          <w:b/>
          <w:bCs/>
          <w:sz w:val="32"/>
          <w:szCs w:val="32"/>
          <w:highlight w:val="none"/>
          <w:lang w:val="en-US" w:eastAsia="zh-CN"/>
        </w:rPr>
        <w:t xml:space="preserve">    （1）无专项预算的部门。</w:t>
      </w:r>
      <w:r>
        <w:rPr>
          <w:rFonts w:ascii="Times New Roman" w:hAnsi="Times New Roman" w:eastAsia="仿宋_GB2312" w:cs="Times New Roman"/>
          <w:b w:val="0"/>
          <w:bCs w:val="0"/>
          <w:sz w:val="32"/>
          <w:szCs w:val="32"/>
          <w:highlight w:val="none"/>
          <w:lang w:val="en-US" w:eastAsia="zh-CN"/>
        </w:rPr>
        <w:t>该类单位共24个，该指标权重为80分，实得62.28分，</w:t>
      </w:r>
      <w:r>
        <w:rPr>
          <w:rFonts w:ascii="Times New Roman" w:hAnsi="Times New Roman" w:eastAsia="仿宋_GB2312" w:cs="Times New Roman"/>
          <w:sz w:val="32"/>
          <w:szCs w:val="32"/>
          <w:highlight w:val="none"/>
          <w:lang w:eastAsia="zh-CN"/>
        </w:rPr>
        <w:t>扣分原因主要为：预算编制不准确，执行进度缓慢。</w:t>
      </w:r>
    </w:p>
    <w:p w14:paraId="0ABC8427">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2" w:firstLineChars="0"/>
        <w:jc w:val="left"/>
        <w:rPr>
          <w:rFonts w:ascii="Times New Roman" w:hAnsi="Times New Roman" w:eastAsia="仿宋_GB2312" w:cs="Times New Roman"/>
          <w:sz w:val="32"/>
          <w:szCs w:val="32"/>
          <w:highlight w:val="none"/>
          <w:lang w:eastAsia="zh-CN"/>
        </w:rPr>
      </w:pPr>
      <w:r>
        <w:rPr>
          <w:rFonts w:ascii="Times New Roman" w:hAnsi="Times New Roman" w:eastAsia="仿宋_GB2312" w:cs="Times New Roman"/>
          <w:b/>
          <w:bCs/>
          <w:sz w:val="32"/>
          <w:szCs w:val="32"/>
          <w:highlight w:val="none"/>
          <w:lang w:val="en-US" w:eastAsia="zh-CN"/>
        </w:rPr>
        <w:t>（2）专项预算小于1亿的部门。</w:t>
      </w:r>
      <w:r>
        <w:rPr>
          <w:rFonts w:ascii="Times New Roman" w:hAnsi="Times New Roman" w:eastAsia="仿宋_GB2312" w:cs="Times New Roman"/>
          <w:b w:val="0"/>
          <w:bCs w:val="0"/>
          <w:sz w:val="32"/>
          <w:szCs w:val="32"/>
          <w:highlight w:val="none"/>
          <w:lang w:val="en-US" w:eastAsia="zh-CN"/>
        </w:rPr>
        <w:t>该类单位共12个，该指标权重为60分，实得49.71分，</w:t>
      </w:r>
      <w:r>
        <w:rPr>
          <w:rFonts w:ascii="Times New Roman" w:hAnsi="Times New Roman" w:eastAsia="仿宋_GB2312" w:cs="Times New Roman"/>
          <w:sz w:val="32"/>
          <w:szCs w:val="32"/>
          <w:highlight w:val="none"/>
          <w:lang w:eastAsia="zh-CN"/>
        </w:rPr>
        <w:t>扣分原因主要为：预算编制不准确，执行进度缓慢。</w:t>
      </w:r>
    </w:p>
    <w:p w14:paraId="026B7048">
      <w:pPr>
        <w:keepNext w:val="0"/>
        <w:keepLines w:val="0"/>
        <w:pageBreakBefore w:val="0"/>
        <w:widowControl w:val="0"/>
        <w:kinsoku/>
        <w:wordWrap/>
        <w:overflowPunct/>
        <w:topLinePunct w:val="0"/>
        <w:autoSpaceDE/>
        <w:autoSpaceDN/>
        <w:bidi w:val="0"/>
        <w:adjustRightInd/>
        <w:snapToGrid/>
        <w:spacing w:line="560" w:lineRule="exact"/>
        <w:ind w:firstLine="642"/>
        <w:rPr>
          <w:rFonts w:ascii="Times New Roman" w:hAnsi="Times New Roman" w:eastAsia="仿宋_GB2312" w:cs="Times New Roman"/>
          <w:sz w:val="32"/>
          <w:szCs w:val="32"/>
          <w:highlight w:val="none"/>
          <w:lang w:eastAsia="zh-CN"/>
        </w:rPr>
      </w:pPr>
      <w:r>
        <w:rPr>
          <w:rFonts w:ascii="Times New Roman" w:hAnsi="Times New Roman" w:eastAsia="仿宋_GB2312" w:cs="Times New Roman"/>
          <w:b/>
          <w:bCs/>
          <w:sz w:val="32"/>
          <w:szCs w:val="32"/>
          <w:highlight w:val="none"/>
          <w:lang w:val="en-US" w:eastAsia="zh-CN"/>
        </w:rPr>
        <w:t>（3）专项预算大于1亿的部门。</w:t>
      </w:r>
      <w:r>
        <w:rPr>
          <w:rFonts w:ascii="Times New Roman" w:hAnsi="Times New Roman" w:eastAsia="仿宋_GB2312" w:cs="Times New Roman"/>
          <w:b w:val="0"/>
          <w:bCs w:val="0"/>
          <w:sz w:val="32"/>
          <w:szCs w:val="32"/>
          <w:highlight w:val="none"/>
          <w:lang w:val="en-US" w:eastAsia="zh-CN"/>
        </w:rPr>
        <w:t>该类单位共2个，该指标权重为30分，实得21.35分，</w:t>
      </w:r>
      <w:r>
        <w:rPr>
          <w:rFonts w:ascii="Times New Roman" w:hAnsi="Times New Roman" w:eastAsia="仿宋_GB2312" w:cs="Times New Roman"/>
          <w:sz w:val="32"/>
          <w:szCs w:val="32"/>
          <w:highlight w:val="none"/>
          <w:lang w:eastAsia="zh-CN"/>
        </w:rPr>
        <w:t>扣分原因主要为：预算编制不准确，执行进度缓慢。</w:t>
      </w:r>
    </w:p>
    <w:p w14:paraId="034E67C6">
      <w:pPr>
        <w:pStyle w:val="8"/>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b/>
          <w:bCs w:val="0"/>
          <w:kern w:val="2"/>
          <w:sz w:val="32"/>
          <w:szCs w:val="32"/>
          <w:highlight w:val="none"/>
          <w:lang w:val="en-US" w:eastAsia="zh-CN" w:bidi="ar-SA"/>
        </w:rPr>
      </w:pPr>
      <w:r>
        <w:rPr>
          <w:rFonts w:ascii="Times New Roman" w:hAnsi="Times New Roman" w:eastAsia="仿宋_GB2312" w:cs="Times New Roman"/>
          <w:b/>
          <w:bCs w:val="0"/>
          <w:kern w:val="2"/>
          <w:sz w:val="32"/>
          <w:szCs w:val="32"/>
          <w:highlight w:val="none"/>
          <w:lang w:val="en-US" w:eastAsia="zh-CN" w:bidi="ar-SA"/>
        </w:rPr>
        <w:t xml:space="preserve">    2.专项预算管理得分情况</w:t>
      </w:r>
    </w:p>
    <w:p w14:paraId="4BC0D694">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2" w:firstLineChars="0"/>
        <w:jc w:val="left"/>
        <w:rPr>
          <w:rFonts w:ascii="Times New Roman" w:hAnsi="Times New Roman" w:eastAsia="仿宋_GB2312" w:cs="Times New Roman"/>
          <w:sz w:val="32"/>
          <w:szCs w:val="32"/>
          <w:highlight w:val="none"/>
          <w:lang w:eastAsia="zh-CN"/>
        </w:rPr>
      </w:pPr>
      <w:r>
        <w:rPr>
          <w:rFonts w:ascii="Times New Roman" w:hAnsi="Times New Roman" w:eastAsia="仿宋_GB2312" w:cs="Times New Roman"/>
          <w:b/>
          <w:bCs/>
          <w:sz w:val="32"/>
          <w:szCs w:val="32"/>
          <w:highlight w:val="none"/>
          <w:lang w:val="en-US" w:eastAsia="zh-CN"/>
        </w:rPr>
        <w:t>（1）专项预算小于1亿的部门。</w:t>
      </w:r>
      <w:r>
        <w:rPr>
          <w:rFonts w:ascii="Times New Roman" w:hAnsi="Times New Roman" w:eastAsia="仿宋_GB2312" w:cs="Times New Roman"/>
          <w:b w:val="0"/>
          <w:bCs w:val="0"/>
          <w:sz w:val="32"/>
          <w:szCs w:val="32"/>
          <w:highlight w:val="none"/>
          <w:lang w:val="en-US" w:eastAsia="zh-CN"/>
        </w:rPr>
        <w:t>该指标权重为20分，实得17.42分，</w:t>
      </w:r>
      <w:r>
        <w:rPr>
          <w:rFonts w:ascii="Times New Roman" w:hAnsi="Times New Roman" w:eastAsia="仿宋_GB2312" w:cs="Times New Roman"/>
          <w:sz w:val="32"/>
          <w:szCs w:val="32"/>
          <w:highlight w:val="none"/>
          <w:lang w:eastAsia="zh-CN"/>
        </w:rPr>
        <w:t>扣分原因主要为：项目实际完成任务量和效果未达到规划预期。</w:t>
      </w:r>
    </w:p>
    <w:p w14:paraId="46085112">
      <w:pPr>
        <w:keepNext w:val="0"/>
        <w:keepLines w:val="0"/>
        <w:pageBreakBefore w:val="0"/>
        <w:widowControl w:val="0"/>
        <w:kinsoku/>
        <w:wordWrap/>
        <w:overflowPunct/>
        <w:topLinePunct w:val="0"/>
        <w:autoSpaceDE/>
        <w:autoSpaceDN/>
        <w:bidi w:val="0"/>
        <w:adjustRightInd/>
        <w:snapToGrid/>
        <w:spacing w:line="560" w:lineRule="exact"/>
        <w:ind w:firstLine="642"/>
        <w:rPr>
          <w:rFonts w:ascii="Times New Roman" w:hAnsi="Times New Roman" w:eastAsia="仿宋_GB2312" w:cs="Times New Roman"/>
          <w:sz w:val="32"/>
          <w:szCs w:val="32"/>
          <w:highlight w:val="none"/>
          <w:lang w:eastAsia="zh-CN"/>
        </w:rPr>
      </w:pPr>
      <w:r>
        <w:rPr>
          <w:rFonts w:ascii="Times New Roman" w:hAnsi="Times New Roman" w:eastAsia="仿宋_GB2312" w:cs="Times New Roman"/>
          <w:b/>
          <w:bCs/>
          <w:sz w:val="32"/>
          <w:szCs w:val="32"/>
          <w:highlight w:val="none"/>
          <w:lang w:val="en-US" w:eastAsia="zh-CN"/>
        </w:rPr>
        <w:t>（2）专项预算大于1亿的部门。</w:t>
      </w:r>
      <w:r>
        <w:rPr>
          <w:rFonts w:ascii="Times New Roman" w:hAnsi="Times New Roman" w:eastAsia="仿宋_GB2312" w:cs="Times New Roman"/>
          <w:b w:val="0"/>
          <w:bCs w:val="0"/>
          <w:sz w:val="32"/>
          <w:szCs w:val="32"/>
          <w:highlight w:val="none"/>
          <w:lang w:val="en-US" w:eastAsia="zh-CN"/>
        </w:rPr>
        <w:t>该指标权重为50分，实得45.61分，</w:t>
      </w:r>
      <w:r>
        <w:rPr>
          <w:rFonts w:ascii="Times New Roman" w:hAnsi="Times New Roman" w:eastAsia="仿宋_GB2312" w:cs="Times New Roman"/>
          <w:sz w:val="32"/>
          <w:szCs w:val="32"/>
          <w:highlight w:val="none"/>
          <w:lang w:eastAsia="zh-CN"/>
        </w:rPr>
        <w:t>扣分原因主要为：项目实际完成任务量和效果未达到规划预期。</w:t>
      </w:r>
    </w:p>
    <w:p w14:paraId="4C7FCBFF">
      <w:pPr>
        <w:pStyle w:val="8"/>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b/>
          <w:bCs w:val="0"/>
          <w:kern w:val="2"/>
          <w:sz w:val="32"/>
          <w:szCs w:val="32"/>
          <w:highlight w:val="none"/>
          <w:lang w:val="en-US" w:eastAsia="zh-CN" w:bidi="ar-SA"/>
        </w:rPr>
      </w:pPr>
      <w:r>
        <w:rPr>
          <w:rFonts w:ascii="Times New Roman" w:hAnsi="Times New Roman" w:eastAsia="仿宋_GB2312" w:cs="Times New Roman"/>
          <w:b/>
          <w:bCs w:val="0"/>
          <w:kern w:val="2"/>
          <w:sz w:val="32"/>
          <w:szCs w:val="32"/>
          <w:highlight w:val="none"/>
          <w:lang w:val="en-US" w:eastAsia="zh-CN" w:bidi="ar-SA"/>
        </w:rPr>
        <w:t xml:space="preserve">    3.绩效结果运用得分情况</w:t>
      </w:r>
    </w:p>
    <w:p w14:paraId="6CD275BD">
      <w:pPr>
        <w:pStyle w:val="8"/>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sz w:val="32"/>
          <w:szCs w:val="32"/>
          <w:highlight w:val="none"/>
          <w:lang w:eastAsia="zh-CN"/>
        </w:rPr>
      </w:pPr>
      <w:r>
        <w:rPr>
          <w:rFonts w:ascii="Times New Roman" w:hAnsi="Times New Roman" w:eastAsia="仿宋_GB2312" w:cs="Times New Roman"/>
          <w:b w:val="0"/>
          <w:bCs w:val="0"/>
          <w:sz w:val="32"/>
          <w:szCs w:val="32"/>
          <w:highlight w:val="none"/>
          <w:lang w:val="en-US" w:eastAsia="zh-CN"/>
        </w:rPr>
        <w:t>该指标权重为10分，实得9.97分，</w:t>
      </w:r>
      <w:r>
        <w:rPr>
          <w:rFonts w:ascii="Times New Roman" w:hAnsi="Times New Roman" w:eastAsia="仿宋_GB2312" w:cs="Times New Roman"/>
          <w:sz w:val="32"/>
          <w:szCs w:val="32"/>
          <w:highlight w:val="none"/>
          <w:lang w:eastAsia="zh-CN"/>
        </w:rPr>
        <w:t>扣分原因主要为：公开不及时。</w:t>
      </w:r>
    </w:p>
    <w:p w14:paraId="36500D1E">
      <w:pPr>
        <w:pStyle w:val="8"/>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b/>
          <w:bCs w:val="0"/>
          <w:kern w:val="2"/>
          <w:sz w:val="32"/>
          <w:szCs w:val="32"/>
          <w:highlight w:val="none"/>
          <w:lang w:val="en-US" w:eastAsia="zh-CN" w:bidi="ar-SA"/>
        </w:rPr>
      </w:pPr>
      <w:r>
        <w:rPr>
          <w:rFonts w:ascii="Times New Roman" w:hAnsi="Times New Roman" w:eastAsia="仿宋_GB2312" w:cs="Times New Roman"/>
          <w:b/>
          <w:bCs w:val="0"/>
          <w:kern w:val="2"/>
          <w:sz w:val="32"/>
          <w:szCs w:val="32"/>
          <w:highlight w:val="none"/>
          <w:lang w:val="en-US" w:eastAsia="zh-CN" w:bidi="ar-SA"/>
        </w:rPr>
        <w:t xml:space="preserve">    4.自评质量得分情况</w:t>
      </w:r>
    </w:p>
    <w:p w14:paraId="5040328E">
      <w:pPr>
        <w:pStyle w:val="8"/>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cs="Times New Roman"/>
          <w:highlight w:val="none"/>
          <w:lang w:eastAsia="zh-CN"/>
        </w:rPr>
      </w:pPr>
      <w:r>
        <w:rPr>
          <w:rFonts w:ascii="Times New Roman" w:hAnsi="Times New Roman" w:eastAsia="仿宋_GB2312" w:cs="Times New Roman"/>
          <w:b/>
          <w:bCs/>
          <w:sz w:val="32"/>
          <w:szCs w:val="32"/>
          <w:highlight w:val="none"/>
          <w:lang w:val="en-US" w:eastAsia="zh-CN"/>
        </w:rPr>
        <w:t xml:space="preserve">    </w:t>
      </w:r>
      <w:r>
        <w:rPr>
          <w:rFonts w:ascii="Times New Roman" w:hAnsi="Times New Roman" w:eastAsia="仿宋_GB2312" w:cs="Times New Roman"/>
          <w:b w:val="0"/>
          <w:bCs w:val="0"/>
          <w:sz w:val="32"/>
          <w:szCs w:val="32"/>
          <w:highlight w:val="none"/>
          <w:lang w:val="en-US" w:eastAsia="zh-CN"/>
        </w:rPr>
        <w:t>该指标权重为10分，实得8分，扣分原因主要为：自评打分不准确。</w:t>
      </w:r>
    </w:p>
    <w:p w14:paraId="5535919F">
      <w:pPr>
        <w:keepNext w:val="0"/>
        <w:keepLines w:val="0"/>
        <w:pageBreakBefore w:val="0"/>
        <w:widowControl w:val="0"/>
        <w:kinsoku/>
        <w:wordWrap/>
        <w:overflowPunct/>
        <w:topLinePunct w:val="0"/>
        <w:autoSpaceDE/>
        <w:autoSpaceDN/>
        <w:bidi w:val="0"/>
        <w:adjustRightInd/>
        <w:snapToGrid/>
        <w:spacing w:line="560" w:lineRule="exact"/>
        <w:ind w:left="0" w:firstLine="640"/>
        <w:rPr>
          <w:rFonts w:ascii="Times New Roman" w:hAnsi="Times New Roman" w:eastAsia="黑体" w:cs="Times New Roman"/>
          <w:color w:val="000000"/>
          <w:kern w:val="0"/>
          <w:sz w:val="32"/>
          <w:szCs w:val="32"/>
          <w:highlight w:val="none"/>
        </w:rPr>
      </w:pPr>
      <w:r>
        <w:rPr>
          <w:rFonts w:ascii="Times New Roman" w:hAnsi="Times New Roman" w:eastAsia="黑体" w:cs="Times New Roman"/>
          <w:color w:val="000000"/>
          <w:kern w:val="0"/>
          <w:sz w:val="32"/>
          <w:szCs w:val="32"/>
          <w:highlight w:val="none"/>
        </w:rPr>
        <w:t>三、主要问题</w:t>
      </w:r>
    </w:p>
    <w:p w14:paraId="5252C37F">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ascii="Times New Roman" w:hAnsi="Times New Roman" w:eastAsia="楷体_GB2312" w:cs="Times New Roman"/>
          <w:b/>
          <w:bCs w:val="0"/>
          <w:sz w:val="32"/>
          <w:szCs w:val="32"/>
          <w:highlight w:val="none"/>
          <w:lang w:val="en-US" w:eastAsia="zh-CN"/>
        </w:rPr>
      </w:pPr>
      <w:r>
        <w:rPr>
          <w:rFonts w:ascii="Times New Roman" w:hAnsi="Times New Roman" w:eastAsia="楷体_GB2312" w:cs="Times New Roman"/>
          <w:b/>
          <w:bCs w:val="0"/>
          <w:sz w:val="32"/>
          <w:szCs w:val="32"/>
          <w:highlight w:val="none"/>
        </w:rPr>
        <w:t>（一）</w:t>
      </w:r>
      <w:r>
        <w:rPr>
          <w:rFonts w:ascii="Times New Roman" w:hAnsi="Times New Roman" w:eastAsia="楷体_GB2312" w:cs="Times New Roman"/>
          <w:b/>
          <w:bCs w:val="0"/>
          <w:sz w:val="32"/>
          <w:szCs w:val="32"/>
          <w:highlight w:val="none"/>
          <w:lang w:eastAsia="zh-CN"/>
        </w:rPr>
        <w:t>共性</w:t>
      </w:r>
      <w:r>
        <w:rPr>
          <w:rFonts w:ascii="Times New Roman" w:hAnsi="Times New Roman" w:eastAsia="楷体_GB2312" w:cs="Times New Roman"/>
          <w:b/>
          <w:bCs w:val="0"/>
          <w:sz w:val="32"/>
          <w:szCs w:val="32"/>
          <w:highlight w:val="none"/>
        </w:rPr>
        <w:t>问题</w:t>
      </w:r>
      <w:r>
        <w:rPr>
          <w:rFonts w:ascii="Times New Roman" w:hAnsi="Times New Roman" w:eastAsia="楷体_GB2312" w:cs="Times New Roman"/>
          <w:b/>
          <w:bCs w:val="0"/>
          <w:sz w:val="32"/>
          <w:szCs w:val="32"/>
          <w:highlight w:val="none"/>
          <w:lang w:eastAsia="zh-CN"/>
        </w:rPr>
        <w:t>。</w:t>
      </w:r>
      <w:r>
        <w:rPr>
          <w:rFonts w:ascii="Times New Roman" w:hAnsi="Times New Roman" w:eastAsia="楷体_GB2312" w:cs="Times New Roman"/>
          <w:b/>
          <w:bCs w:val="0"/>
          <w:sz w:val="32"/>
          <w:szCs w:val="32"/>
          <w:highlight w:val="none"/>
          <w:lang w:val="en-US" w:eastAsia="zh-CN"/>
        </w:rPr>
        <w:t xml:space="preserve"> </w:t>
      </w:r>
    </w:p>
    <w:p w14:paraId="1E613CCC">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outlineLvl w:val="9"/>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lang w:val="en-US" w:eastAsia="zh-CN"/>
        </w:rPr>
        <w:t>1.各单位对财政支出绩效评价工作</w:t>
      </w:r>
      <w:r>
        <w:rPr>
          <w:rFonts w:ascii="Times New Roman" w:hAnsi="Times New Roman" w:eastAsia="仿宋_GB2312" w:cs="Times New Roman"/>
          <w:sz w:val="32"/>
          <w:szCs w:val="32"/>
          <w:highlight w:val="none"/>
        </w:rPr>
        <w:t>重视程度不够，在撰写绩效评价报告时图应付，没有真实的反应项目的具体实施情况和实施过程中存在的一些问题，在决策依据、资金管理情况、财务管理情况、组织实施情况等方面没有系统的说明，多数采用生搬硬套的方法，简单的几句话进行概括。</w:t>
      </w:r>
    </w:p>
    <w:p w14:paraId="67DECDED">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outlineLvl w:val="9"/>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lang w:val="en-US" w:eastAsia="zh-CN"/>
        </w:rPr>
        <w:t>2.</w:t>
      </w:r>
      <w:r>
        <w:rPr>
          <w:rFonts w:ascii="Times New Roman" w:hAnsi="Times New Roman" w:eastAsia="仿宋_GB2312" w:cs="Times New Roman"/>
          <w:sz w:val="32"/>
          <w:szCs w:val="32"/>
          <w:highlight w:val="none"/>
        </w:rPr>
        <w:t>会计基础工作较差</w:t>
      </w:r>
      <w:r>
        <w:rPr>
          <w:rFonts w:ascii="Times New Roman" w:hAnsi="Times New Roman" w:eastAsia="仿宋_GB2312" w:cs="Times New Roman"/>
          <w:sz w:val="32"/>
          <w:szCs w:val="32"/>
          <w:highlight w:val="none"/>
          <w:lang w:val="en-US" w:eastAsia="zh-CN"/>
        </w:rPr>
        <w:t>，</w:t>
      </w:r>
      <w:r>
        <w:rPr>
          <w:rFonts w:ascii="Times New Roman" w:hAnsi="Times New Roman" w:eastAsia="仿宋_GB2312" w:cs="Times New Roman"/>
          <w:sz w:val="32"/>
          <w:szCs w:val="32"/>
          <w:highlight w:val="none"/>
        </w:rPr>
        <w:t>核算不规范，</w:t>
      </w:r>
      <w:r>
        <w:rPr>
          <w:rFonts w:ascii="Times New Roman" w:hAnsi="Times New Roman" w:eastAsia="仿宋_GB2312" w:cs="Times New Roman"/>
          <w:sz w:val="32"/>
          <w:szCs w:val="32"/>
          <w:highlight w:val="none"/>
          <w:lang w:eastAsia="zh-CN"/>
        </w:rPr>
        <w:t>报账材料不齐全，发票不规范，项目资料审核不严谨，部分</w:t>
      </w:r>
      <w:r>
        <w:rPr>
          <w:rFonts w:ascii="Times New Roman" w:hAnsi="Times New Roman" w:eastAsia="仿宋_GB2312" w:cs="Times New Roman"/>
          <w:sz w:val="32"/>
          <w:szCs w:val="32"/>
          <w:highlight w:val="none"/>
        </w:rPr>
        <w:t>项目资金</w:t>
      </w:r>
      <w:r>
        <w:rPr>
          <w:rFonts w:ascii="Times New Roman" w:hAnsi="Times New Roman" w:eastAsia="仿宋_GB2312" w:cs="Times New Roman"/>
          <w:sz w:val="32"/>
          <w:szCs w:val="32"/>
          <w:highlight w:val="none"/>
          <w:lang w:eastAsia="zh-CN"/>
        </w:rPr>
        <w:t>未</w:t>
      </w:r>
      <w:r>
        <w:rPr>
          <w:rFonts w:ascii="Times New Roman" w:hAnsi="Times New Roman" w:eastAsia="仿宋_GB2312" w:cs="Times New Roman"/>
          <w:sz w:val="32"/>
          <w:szCs w:val="32"/>
          <w:highlight w:val="none"/>
        </w:rPr>
        <w:t>单独</w:t>
      </w:r>
      <w:r>
        <w:rPr>
          <w:rFonts w:ascii="Times New Roman" w:hAnsi="Times New Roman" w:eastAsia="仿宋_GB2312" w:cs="Times New Roman"/>
          <w:sz w:val="32"/>
          <w:szCs w:val="32"/>
          <w:highlight w:val="none"/>
          <w:lang w:eastAsia="zh-CN"/>
        </w:rPr>
        <w:t>设立专账核算。</w:t>
      </w:r>
    </w:p>
    <w:p w14:paraId="55366F86">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outlineLvl w:val="9"/>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lang w:val="en-US" w:eastAsia="zh-CN"/>
        </w:rPr>
        <w:t>3.大部分项目主管部门未制定项目管理办法与专项资金管理办法，项目资金的使用范围、申报条件不明确，管理制度不完善。</w:t>
      </w:r>
    </w:p>
    <w:p w14:paraId="5576682F">
      <w:pPr>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outlineLvl w:val="9"/>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lang w:val="en-US" w:eastAsia="zh-CN"/>
        </w:rPr>
        <w:t xml:space="preserve">    4.项目档案管理不完善。第三方评价组在现场查看相关项目资料时，发现部分项目资料的归档较零乱，不便于查找相关资料。</w:t>
      </w:r>
    </w:p>
    <w:p w14:paraId="472C997B">
      <w:pPr>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outlineLvl w:val="9"/>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lang w:val="en-US" w:eastAsia="zh-CN"/>
        </w:rPr>
        <w:t xml:space="preserve">    5.在项目实施过程中，单位未根据实际情况制定对应的项目实施方案，没有细化项目目标及计划实施进度，未明确完成时限、分步实施步骤和分步完成时间。</w:t>
      </w:r>
    </w:p>
    <w:p w14:paraId="75BFBBD6">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outlineLvl w:val="9"/>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lang w:val="en-US" w:eastAsia="zh-CN"/>
        </w:rPr>
        <w:t xml:space="preserve">    6.部分补贴类资金存在因信息核对不及时，导致发放资金准确性不高，发生错发、漏发的情况。</w:t>
      </w:r>
    </w:p>
    <w:p w14:paraId="36901FFD">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outlineLvl w:val="9"/>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lang w:val="en-US" w:eastAsia="zh-CN"/>
        </w:rPr>
        <w:t xml:space="preserve">    7.部分项目</w:t>
      </w:r>
      <w:r>
        <w:rPr>
          <w:rFonts w:ascii="Times New Roman" w:hAnsi="Times New Roman" w:eastAsia="仿宋_GB2312" w:cs="Times New Roman"/>
          <w:b w:val="0"/>
          <w:bCs w:val="0"/>
          <w:sz w:val="32"/>
          <w:szCs w:val="32"/>
          <w:highlight w:val="none"/>
          <w:lang w:val="en-US" w:eastAsia="zh-CN"/>
        </w:rPr>
        <w:t>绩效目标不够细化。未明确项目完成时效、完成质量、经济效益、环境效益和可持续效益等。</w:t>
      </w:r>
    </w:p>
    <w:p w14:paraId="51333033">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outlineLvl w:val="9"/>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val="0"/>
          <w:bCs w:val="0"/>
          <w:sz w:val="32"/>
          <w:szCs w:val="32"/>
          <w:highlight w:val="none"/>
          <w:lang w:val="en-US" w:eastAsia="zh-CN"/>
        </w:rPr>
        <w:t>8.部分补助类项目未在规定时间内发放，出现滞后数月的情况；部分建设类项目未在合同约定时间内完工，造成资金结余。部分项目未按要求进度及时支付并完成，资金拨付进度缓慢，资金支付管理不规范。</w:t>
      </w:r>
    </w:p>
    <w:p w14:paraId="02768638">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outlineLvl w:val="9"/>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lang w:val="en-US" w:eastAsia="zh-CN"/>
        </w:rPr>
        <w:t>自2017年至今，大部分单位在评价过程中都出现以上的部分问题，说明单位整改落实不到位，整改报告流于形式，导致问题每年延续出现。</w:t>
      </w:r>
    </w:p>
    <w:p w14:paraId="6B642C49">
      <w:pPr>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b/>
          <w:sz w:val="32"/>
          <w:szCs w:val="32"/>
          <w:highlight w:val="none"/>
          <w:lang w:eastAsia="zh-CN"/>
        </w:rPr>
      </w:pPr>
      <w:r>
        <w:rPr>
          <w:rFonts w:ascii="Times New Roman" w:hAnsi="Times New Roman" w:eastAsia="楷体_GB2312" w:cs="Times New Roman"/>
          <w:b/>
          <w:sz w:val="32"/>
          <w:szCs w:val="32"/>
          <w:highlight w:val="none"/>
          <w:lang w:val="en-US" w:eastAsia="zh-CN"/>
        </w:rPr>
        <w:t xml:space="preserve">    （二）</w:t>
      </w:r>
      <w:r>
        <w:rPr>
          <w:rFonts w:ascii="Times New Roman" w:hAnsi="Times New Roman" w:eastAsia="楷体_GB2312" w:cs="Times New Roman"/>
          <w:b/>
          <w:sz w:val="32"/>
          <w:szCs w:val="32"/>
          <w:highlight w:val="none"/>
          <w:lang w:eastAsia="zh-CN"/>
        </w:rPr>
        <w:t>个性问题</w:t>
      </w:r>
    </w:p>
    <w:p w14:paraId="15166C26">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b/>
          <w:sz w:val="32"/>
          <w:szCs w:val="32"/>
          <w:highlight w:val="none"/>
          <w:lang w:val="en-US" w:eastAsia="zh-CN"/>
        </w:rPr>
        <w:t xml:space="preserve"> </w:t>
      </w:r>
      <w:r>
        <w:rPr>
          <w:rFonts w:ascii="Times New Roman" w:hAnsi="Times New Roman" w:eastAsia="仿宋_GB2312" w:cs="Times New Roman"/>
          <w:b/>
          <w:bCs w:val="0"/>
          <w:sz w:val="32"/>
          <w:szCs w:val="32"/>
          <w:highlight w:val="none"/>
          <w:lang w:val="en-US" w:eastAsia="zh-CN"/>
        </w:rPr>
        <w:t>1.安宁镇莫莫扎村示范村建设项目:</w:t>
      </w:r>
      <w:r>
        <w:rPr>
          <w:rFonts w:ascii="Times New Roman" w:hAnsi="Times New Roman" w:eastAsia="仿宋_GB2312" w:cs="Times New Roman"/>
          <w:b/>
          <w:bCs/>
          <w:sz w:val="32"/>
          <w:szCs w:val="32"/>
          <w:highlight w:val="none"/>
          <w:lang w:val="en-US" w:eastAsia="zh-CN"/>
        </w:rPr>
        <w:t>一是</w:t>
      </w:r>
      <w:r>
        <w:rPr>
          <w:rFonts w:ascii="Times New Roman" w:hAnsi="Times New Roman" w:eastAsia="仿宋_GB2312" w:cs="Times New Roman"/>
          <w:sz w:val="32"/>
          <w:szCs w:val="32"/>
          <w:highlight w:val="none"/>
          <w:lang w:eastAsia="zh-CN"/>
        </w:rPr>
        <w:t>未完成绩效目标。未按照绩效目标申报表修建1个旅游厕所。</w:t>
      </w:r>
      <w:r>
        <w:rPr>
          <w:rFonts w:ascii="Times New Roman" w:hAnsi="Times New Roman" w:eastAsia="仿宋_GB2312" w:cs="Times New Roman"/>
          <w:b/>
          <w:bCs/>
          <w:sz w:val="32"/>
          <w:szCs w:val="32"/>
          <w:highlight w:val="none"/>
          <w:lang w:val="en-US" w:eastAsia="zh-CN"/>
        </w:rPr>
        <w:t>二是</w:t>
      </w:r>
      <w:r>
        <w:rPr>
          <w:rFonts w:ascii="Times New Roman" w:hAnsi="Times New Roman" w:eastAsia="仿宋_GB2312" w:cs="Times New Roman"/>
          <w:b w:val="0"/>
          <w:bCs w:val="0"/>
          <w:sz w:val="32"/>
          <w:szCs w:val="32"/>
          <w:highlight w:val="none"/>
          <w:lang w:eastAsia="zh-CN"/>
        </w:rPr>
        <w:t>完成时效不达标。未在2021年6月之前投入使用。</w:t>
      </w:r>
    </w:p>
    <w:p w14:paraId="2B6215E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right="0" w:firstLine="643" w:firstLineChars="200"/>
        <w:jc w:val="both"/>
        <w:textAlignment w:val="auto"/>
        <w:outlineLvl w:val="0"/>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金川县观音桥麦斯卡村人居环境整治项目：一是</w:t>
      </w:r>
      <w:r>
        <w:rPr>
          <w:rFonts w:ascii="Times New Roman" w:hAnsi="Times New Roman" w:eastAsia="仿宋_GB2312" w:cs="Times New Roman"/>
          <w:b w:val="0"/>
          <w:bCs w:val="0"/>
          <w:sz w:val="32"/>
          <w:szCs w:val="32"/>
          <w:highlight w:val="none"/>
          <w:lang w:val="en-US" w:eastAsia="zh-CN"/>
        </w:rPr>
        <w:t>未经过事前评估论证。该项目未经过事前评估或可行性论证。</w:t>
      </w:r>
      <w:r>
        <w:rPr>
          <w:rFonts w:ascii="Times New Roman" w:hAnsi="Times New Roman" w:eastAsia="仿宋_GB2312" w:cs="Times New Roman"/>
          <w:b/>
          <w:bCs/>
          <w:sz w:val="32"/>
          <w:szCs w:val="32"/>
          <w:highlight w:val="none"/>
          <w:lang w:val="en-US" w:eastAsia="zh-CN"/>
        </w:rPr>
        <w:t>二是</w:t>
      </w:r>
      <w:r>
        <w:rPr>
          <w:rFonts w:ascii="Times New Roman" w:hAnsi="Times New Roman" w:eastAsia="仿宋_GB2312" w:cs="Times New Roman"/>
          <w:b w:val="0"/>
          <w:bCs w:val="0"/>
          <w:sz w:val="32"/>
          <w:szCs w:val="32"/>
          <w:highlight w:val="none"/>
          <w:lang w:val="en-US" w:eastAsia="zh-CN"/>
        </w:rPr>
        <w:t>未按要求使用资金。根据金财建〔2020〕156号控制价评审批复文件，批复工程监理费22,000元，项目实际运行中，未聘请监理单位对该项目实施监理。</w:t>
      </w:r>
    </w:p>
    <w:p w14:paraId="25B1DBE9">
      <w:pPr>
        <w:keepNext w:val="0"/>
        <w:keepLines w:val="0"/>
        <w:pageBreakBefore w:val="0"/>
        <w:widowControl w:val="0"/>
        <w:kinsoku/>
        <w:wordWrap/>
        <w:overflowPunct/>
        <w:topLinePunct w:val="0"/>
        <w:autoSpaceDE/>
        <w:autoSpaceDN/>
        <w:bidi w:val="0"/>
        <w:adjustRightInd/>
        <w:snapToGrid/>
        <w:spacing w:line="560" w:lineRule="exact"/>
        <w:ind w:right="0"/>
        <w:jc w:val="left"/>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 xml:space="preserve">    3.农村厕所革命:一是</w:t>
      </w:r>
      <w:r>
        <w:rPr>
          <w:rFonts w:ascii="Times New Roman" w:hAnsi="Times New Roman" w:eastAsia="仿宋_GB2312" w:cs="Times New Roman"/>
          <w:b w:val="0"/>
          <w:bCs w:val="0"/>
          <w:sz w:val="32"/>
          <w:szCs w:val="32"/>
          <w:highlight w:val="none"/>
          <w:lang w:val="en-US" w:eastAsia="zh-CN"/>
        </w:rPr>
        <w:t>项目支出审核不严谨，如：（1）根据项目实施方案，水冲式三格化粪池厕所应补助2,000元，金川县勒乌镇前锋村王志福(身份证号：51322</w:t>
      </w:r>
      <w:r>
        <w:rPr>
          <w:rFonts w:hint="eastAsia" w:ascii="Times New Roman" w:hAnsi="Times New Roman" w:eastAsia="仿宋_GB2312" w:cs="Times New Roman"/>
          <w:b w:val="0"/>
          <w:bCs w:val="0"/>
          <w:sz w:val="32"/>
          <w:szCs w:val="32"/>
          <w:highlight w:val="none"/>
          <w:lang w:val="en-US" w:eastAsia="zh-CN"/>
        </w:rPr>
        <w:t>6xxxx</w:t>
      </w:r>
      <w:r>
        <w:rPr>
          <w:rFonts w:ascii="Times New Roman" w:hAnsi="Times New Roman" w:eastAsia="仿宋_GB2312" w:cs="Times New Roman"/>
          <w:b w:val="0"/>
          <w:bCs w:val="0"/>
          <w:sz w:val="32"/>
          <w:szCs w:val="32"/>
          <w:highlight w:val="none"/>
          <w:lang w:val="en-US" w:eastAsia="zh-CN"/>
        </w:rPr>
        <w:t>1612)、张正国（身份证号：513226</w:t>
      </w:r>
      <w:r>
        <w:rPr>
          <w:rFonts w:hint="eastAsia" w:ascii="Times New Roman" w:hAnsi="Times New Roman" w:eastAsia="仿宋_GB2312" w:cs="Times New Roman"/>
          <w:b w:val="0"/>
          <w:bCs w:val="0"/>
          <w:sz w:val="32"/>
          <w:szCs w:val="32"/>
          <w:highlight w:val="none"/>
          <w:lang w:val="en-US" w:eastAsia="zh-CN"/>
        </w:rPr>
        <w:t>xxxx</w:t>
      </w:r>
      <w:r>
        <w:rPr>
          <w:rFonts w:ascii="Times New Roman" w:hAnsi="Times New Roman" w:eastAsia="仿宋_GB2312" w:cs="Times New Roman"/>
          <w:b w:val="0"/>
          <w:bCs w:val="0"/>
          <w:sz w:val="32"/>
          <w:szCs w:val="32"/>
          <w:highlight w:val="none"/>
          <w:lang w:val="en-US" w:eastAsia="zh-CN"/>
        </w:rPr>
        <w:t>161X）两人补助金额为1,900元；（2）卡拉脚乡二普鲁村验收水冲式三格化粪池厕所59户，按照标准应补助118,000元，实际支出为120,000元。</w:t>
      </w:r>
    </w:p>
    <w:p w14:paraId="1C7D683C">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 xml:space="preserve">    4.现代种业建设项目：一是</w:t>
      </w:r>
      <w:r>
        <w:rPr>
          <w:rFonts w:ascii="Times New Roman" w:hAnsi="Times New Roman" w:eastAsia="仿宋_GB2312" w:cs="Times New Roman"/>
          <w:b w:val="0"/>
          <w:bCs w:val="0"/>
          <w:sz w:val="32"/>
          <w:szCs w:val="32"/>
          <w:highlight w:val="none"/>
          <w:lang w:val="en-US" w:eastAsia="zh-CN"/>
        </w:rPr>
        <w:t>合同管理不规范。审计检查发现，合同签订时未严格按照招标文件签订合同，同时，招标文件对实质性条款约定不明确，如“竞争性磋商文件对付款方式约定为:施工人员、设备、材料进场及前期资料完工后，采购人查验合格，按照财政扶贫资金使用管理规定支付启动资金，后续根据工程进度拨付，在竣工验收合格后，采购人向成交供应商支付合同总价款的80%”的条款中，“后续根据工程进度拨付”未明确具体拨付款项，造成合同签订时与招标文件不符。</w:t>
      </w:r>
      <w:r>
        <w:rPr>
          <w:rFonts w:ascii="Times New Roman" w:hAnsi="Times New Roman" w:eastAsia="仿宋_GB2312" w:cs="Times New Roman"/>
          <w:b/>
          <w:bCs/>
          <w:sz w:val="32"/>
          <w:szCs w:val="32"/>
          <w:highlight w:val="none"/>
          <w:lang w:val="en-US" w:eastAsia="zh-CN"/>
        </w:rPr>
        <w:t>二是</w:t>
      </w:r>
      <w:r>
        <w:rPr>
          <w:rFonts w:ascii="Times New Roman" w:hAnsi="Times New Roman" w:eastAsia="仿宋_GB2312" w:cs="Times New Roman"/>
          <w:b w:val="0"/>
          <w:bCs w:val="0"/>
          <w:sz w:val="32"/>
          <w:szCs w:val="32"/>
          <w:highlight w:val="none"/>
          <w:lang w:val="en-US" w:eastAsia="zh-CN"/>
        </w:rPr>
        <w:t>资金支付管理不规范。审计检查发现，资金拨付未按照合同约定方式进行。</w:t>
      </w:r>
      <w:r>
        <w:rPr>
          <w:rFonts w:ascii="Times New Roman" w:hAnsi="Times New Roman" w:eastAsia="仿宋_GB2312" w:cs="Times New Roman"/>
          <w:b/>
          <w:bCs/>
          <w:sz w:val="32"/>
          <w:szCs w:val="32"/>
          <w:highlight w:val="none"/>
          <w:lang w:val="en-US" w:eastAsia="zh-CN"/>
        </w:rPr>
        <w:t>三是</w:t>
      </w:r>
      <w:r>
        <w:rPr>
          <w:rFonts w:ascii="Times New Roman" w:hAnsi="Times New Roman" w:eastAsia="仿宋_GB2312" w:cs="Times New Roman"/>
          <w:b w:val="0"/>
          <w:bCs w:val="0"/>
          <w:sz w:val="32"/>
          <w:szCs w:val="32"/>
          <w:highlight w:val="none"/>
          <w:lang w:val="en-US" w:eastAsia="zh-CN"/>
        </w:rPr>
        <w:t>项目推进缓慢。审计检查发现，该项目建设内容90%的内容与季节性因素无关，在项目实施时未对建设内容进行因素划分，如提前建设完工基础设施内容，导致项目推进缓慢，未能及时发挥项目效益。</w:t>
      </w:r>
    </w:p>
    <w:p w14:paraId="72ED80A5">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b/>
          <w:bCs/>
          <w:sz w:val="32"/>
          <w:szCs w:val="32"/>
          <w:highlight w:val="none"/>
          <w:lang w:val="en-US" w:eastAsia="zh-CN"/>
        </w:rPr>
        <w:t xml:space="preserve">    5.金观音桥斯玛都村人居环境整治项目：</w:t>
      </w:r>
      <w:r>
        <w:rPr>
          <w:rFonts w:ascii="Times New Roman" w:hAnsi="Times New Roman" w:eastAsia="仿宋_GB2312" w:cs="Times New Roman"/>
          <w:b w:val="0"/>
          <w:bCs w:val="0"/>
          <w:sz w:val="32"/>
          <w:szCs w:val="32"/>
          <w:highlight w:val="none"/>
          <w:lang w:val="en-US" w:eastAsia="zh-CN"/>
        </w:rPr>
        <w:t>未进行竣工结算审核。该项目四川企强建设有限公司取得承建，2020年11月10日主管单位验收完成，截止2021年8月底尚未进行竣工结算，经检查，该公司不属于中小企业，应当按照要求进行竣工结算审核。</w:t>
      </w:r>
    </w:p>
    <w:p w14:paraId="73E11044">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b/>
          <w:bCs/>
          <w:sz w:val="32"/>
          <w:szCs w:val="32"/>
          <w:highlight w:val="none"/>
          <w:lang w:val="en-US" w:eastAsia="zh-CN"/>
        </w:rPr>
        <w:t xml:space="preserve">    6.金川县2020年农牧民补助奖励政策项目：</w:t>
      </w:r>
      <w:r>
        <w:rPr>
          <w:rFonts w:ascii="Times New Roman" w:hAnsi="Times New Roman" w:eastAsia="仿宋_GB2312" w:cs="Times New Roman"/>
          <w:b w:val="0"/>
          <w:bCs w:val="0"/>
          <w:sz w:val="32"/>
          <w:szCs w:val="32"/>
          <w:highlight w:val="none"/>
          <w:lang w:val="en-US" w:eastAsia="zh-CN"/>
        </w:rPr>
        <w:t>未统计贫困户相关信息（1）资料中未统计受益贫困村数量。（2）资料中未统计受益贫困户数量。（3）资料中未统计受益建档立卡贫困人口数量。</w:t>
      </w:r>
    </w:p>
    <w:p w14:paraId="7741C773">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b/>
          <w:bCs/>
          <w:sz w:val="32"/>
          <w:szCs w:val="32"/>
          <w:highlight w:val="none"/>
          <w:lang w:val="en-US" w:eastAsia="zh-CN"/>
        </w:rPr>
        <w:t xml:space="preserve">    7.安全饮水工程：</w:t>
      </w:r>
      <w:r>
        <w:rPr>
          <w:rFonts w:ascii="Times New Roman" w:hAnsi="Times New Roman" w:eastAsia="仿宋_GB2312" w:cs="Times New Roman"/>
          <w:b w:val="0"/>
          <w:bCs w:val="0"/>
          <w:sz w:val="32"/>
          <w:szCs w:val="32"/>
          <w:highlight w:val="none"/>
          <w:lang w:val="en-US" w:eastAsia="zh-CN"/>
        </w:rPr>
        <w:t>项目公示滞后。审计检查发现，金川县二嘎里乡2020年维修养护农村安全饮水项目实施前公示，公示时间为2020年5月18日至2020年5月25日，开工时间为2020年5月18日</w:t>
      </w:r>
      <w:r>
        <w:rPr>
          <w:rFonts w:ascii="Times New Roman" w:hAnsi="Times New Roman" w:eastAsia="仿宋_GB2312" w:cs="Times New Roman"/>
          <w:sz w:val="32"/>
          <w:szCs w:val="32"/>
          <w:highlight w:val="none"/>
        </w:rPr>
        <w:t>。</w:t>
      </w:r>
    </w:p>
    <w:p w14:paraId="6EBDFDEB">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 xml:space="preserve">    8.撒瓦脚乡防洪治理：</w:t>
      </w:r>
      <w:r>
        <w:rPr>
          <w:rFonts w:ascii="Times New Roman" w:hAnsi="Times New Roman" w:eastAsia="仿宋_GB2312" w:cs="Times New Roman"/>
          <w:b w:val="0"/>
          <w:bCs w:val="0"/>
          <w:sz w:val="32"/>
          <w:szCs w:val="32"/>
          <w:highlight w:val="none"/>
          <w:lang w:val="en-US" w:eastAsia="zh-CN"/>
        </w:rPr>
        <w:t>未对后续使用做评估。未对防洪治理工程做评估，不能判定使用年限是否大于10年。</w:t>
      </w:r>
    </w:p>
    <w:p w14:paraId="1D72B5A7">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hAnsi="Times New Roman" w:eastAsia="仿宋_GB2312" w:cs="Times New Roman"/>
          <w:sz w:val="32"/>
          <w:szCs w:val="32"/>
          <w:highlight w:val="none"/>
          <w:lang w:eastAsia="zh-CN"/>
        </w:rPr>
      </w:pPr>
      <w:r>
        <w:rPr>
          <w:rFonts w:ascii="Times New Roman" w:hAnsi="Times New Roman" w:eastAsia="仿宋_GB2312" w:cs="Times New Roman"/>
          <w:b/>
          <w:bCs/>
          <w:sz w:val="32"/>
          <w:szCs w:val="32"/>
          <w:highlight w:val="none"/>
          <w:lang w:val="en-US" w:eastAsia="zh-CN"/>
        </w:rPr>
        <w:t>9.阿坝州金川县第二中学改造提升项目：</w:t>
      </w:r>
      <w:r>
        <w:rPr>
          <w:rFonts w:ascii="Times New Roman" w:hAnsi="Times New Roman" w:eastAsia="仿宋_GB2312" w:cs="Times New Roman"/>
          <w:sz w:val="32"/>
          <w:szCs w:val="32"/>
          <w:highlight w:val="none"/>
        </w:rPr>
        <w:t>审计检查发现，项目实施遵守涉农整合文件的相关规定；项目实施的人员条件、场地设备、信息支撑等落实到位，但也存在不足之处。一是项目进展缓慢，未及时发挥项目效益：该项目招标文件及合同要求2021年7月完成工程建设，截止2021年9月，尚未完工，不满足项目实施方案及招标文件工期进度要求；二是项目资料后补：如该项目2020年8月开工建设，2021年4月21日取得建设工程施工许可证。</w:t>
      </w:r>
    </w:p>
    <w:p w14:paraId="6A1710A8">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10.阿坝州金川县万林中心校教学楼改扩建项目:</w:t>
      </w:r>
      <w:r>
        <w:rPr>
          <w:rFonts w:ascii="Times New Roman" w:hAnsi="Times New Roman" w:eastAsia="仿宋_GB2312" w:cs="Times New Roman"/>
          <w:b w:val="0"/>
          <w:bCs w:val="0"/>
          <w:sz w:val="32"/>
          <w:szCs w:val="32"/>
          <w:highlight w:val="none"/>
          <w:lang w:val="en-US" w:eastAsia="zh-CN"/>
        </w:rPr>
        <w:t>审计检查发现，竞争性磋商文件对付款方式约定为:双方签订合同后按工程进度款拨款，每月支付已完工程量的80%的工程款，竣工验收合格后15日内支付支已完工程量的80%，审计结算后支付至审计金额的95%，质保金为审计金额的5%,剩余5%作为质保金在工程结算无质量问题后支付，该支付条款为实质性条款。实际签订合同时未按照招标文件签订，其中12.4.1付款周期约定为：工程审计结算完成并档移交后支付至审计结算价的97%，3%为质保金，该条款对招标文件进行了实质性修改，为新要约，不符合政府采购相关管理办法。</w:t>
      </w:r>
    </w:p>
    <w:p w14:paraId="4EE863E4">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hAnsi="Times New Roman" w:eastAsia="仿宋_GB2312" w:cs="Times New Roman"/>
          <w:b w:val="0"/>
          <w:bCs w:val="0"/>
          <w:sz w:val="32"/>
          <w:szCs w:val="32"/>
          <w:highlight w:val="none"/>
          <w:lang w:eastAsia="zh-CN"/>
        </w:rPr>
      </w:pPr>
      <w:r>
        <w:rPr>
          <w:rFonts w:ascii="Times New Roman" w:hAnsi="Times New Roman" w:eastAsia="仿宋_GB2312" w:cs="Times New Roman"/>
          <w:b/>
          <w:bCs/>
          <w:sz w:val="32"/>
          <w:szCs w:val="32"/>
          <w:highlight w:val="none"/>
          <w:lang w:val="en-US" w:eastAsia="zh-CN"/>
        </w:rPr>
        <w:t>11.村卫生室维修：</w:t>
      </w:r>
      <w:r>
        <w:rPr>
          <w:rFonts w:ascii="Times New Roman" w:hAnsi="Times New Roman" w:eastAsia="仿宋_GB2312" w:cs="Times New Roman"/>
          <w:b w:val="0"/>
          <w:bCs w:val="0"/>
          <w:sz w:val="32"/>
          <w:szCs w:val="32"/>
          <w:highlight w:val="none"/>
          <w:lang w:val="en-US" w:eastAsia="zh-CN"/>
        </w:rPr>
        <w:t>曾达木尔都村卫生室维修项目资料存在逻辑混乱，建设公示时间中建设时间为2019年11月1日-2020年11月30日与施工合同工期2020年11月1日-2020年11月30日不符，村民会议“一事一议”时间为2020年11月29日与工程建设时间2020年11月30日竣工逻辑不符。</w:t>
      </w:r>
    </w:p>
    <w:p w14:paraId="64036ED3">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12.卫生扶贫项目：</w:t>
      </w:r>
      <w:r>
        <w:rPr>
          <w:rFonts w:ascii="Times New Roman" w:hAnsi="Times New Roman" w:eastAsia="仿宋_GB2312" w:cs="Times New Roman"/>
          <w:b w:val="0"/>
          <w:bCs w:val="0"/>
          <w:sz w:val="32"/>
          <w:szCs w:val="32"/>
          <w:highlight w:val="none"/>
          <w:lang w:val="en-US" w:eastAsia="zh-CN"/>
        </w:rPr>
        <w:t>未按卫生扶贫基金实施细则的规定，超过30天才将补助资金下达患者个人账户。</w:t>
      </w:r>
    </w:p>
    <w:p w14:paraId="4E5F0EE0">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13.金川县2020年长江上游干旱河谷地区生态综合治理项目：</w:t>
      </w:r>
      <w:r>
        <w:rPr>
          <w:rFonts w:ascii="Times New Roman" w:hAnsi="Times New Roman" w:eastAsia="仿宋_GB2312" w:cs="Times New Roman"/>
          <w:b w:val="0"/>
          <w:bCs w:val="0"/>
          <w:sz w:val="32"/>
          <w:szCs w:val="32"/>
          <w:highlight w:val="none"/>
          <w:lang w:val="en-US" w:eastAsia="zh-CN"/>
        </w:rPr>
        <w:t>审计检查发现，根据金川县2020年长江上游干旱河谷地区生态综合治理项目的建设工程施工合同规定发包人：金川县林业和草原局，承包人：金川县马尔邦嘎达山造林专业合作社，工程地点位于金川县马奈镇八角塘村，立项文件为：金发改经信行审〔2020〕426号，资金来源为2020年省级林业草原改革发展专项资金（第一批），项目资金500万元专项用于2020年长江上游干旱河谷地区生态综合治理，合同工期：计划开公日期：2021年1月26日，计划竣工日期：2025年1月25日；工程质量及验收:(一)金川县2020年长江上游干旱河谷地区生态综合治理项目作业设计及施工图纸设计要求（二）苗场进场合格率达到100%并具两证一签，造林当年成活率达到85%以上，管护期及竣工验收保存率达到80%以上，围栏、宣传碑、灌溉设施材料合格率100%，基础设施建设期和竣工验收时完好无损，未见评审资料。</w:t>
      </w:r>
    </w:p>
    <w:p w14:paraId="70A4874D">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14.有害生物防治：</w:t>
      </w:r>
      <w:r>
        <w:rPr>
          <w:rFonts w:ascii="Times New Roman" w:hAnsi="Times New Roman" w:eastAsia="仿宋_GB2312" w:cs="Times New Roman"/>
          <w:b w:val="0"/>
          <w:bCs w:val="0"/>
          <w:sz w:val="32"/>
          <w:szCs w:val="32"/>
          <w:highlight w:val="none"/>
          <w:lang w:val="en-US" w:eastAsia="zh-CN"/>
        </w:rPr>
        <w:t>针对制作林业有害生物防控宣传、培训材料协议，规定甲方为：金川县林业和草原局，乙方为：金川县亮点广告设计有限公司，合同规定宣传培训资料内容，1、有害生物防控宣传标语：具体内容由甲方提供，每条标语20字以内，不同内容标语5条，尺寸规格：宽25cm长80cm材质：背胶，自带粘胶，每条标语60张总计300张；2、松材线虫病防控宣传册：具体内容由甲方提供，尺寸规格，14cm*21cm，纸张材质170克铜版纸，总计200本，3、林业植物检疫宣传材料，具体油甲方提供，尺寸规格9.5cm*13cm，纸张材质A4纸张，封面描纹纸总计200本，合同内容规定规范，但是在合同签订上，未见签订日期，合同签订不规范。</w:t>
      </w:r>
    </w:p>
    <w:p w14:paraId="3156435F">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15.2020年四川省食用林产品质量安全监测项目：</w:t>
      </w:r>
      <w:r>
        <w:rPr>
          <w:rFonts w:ascii="Times New Roman" w:hAnsi="Times New Roman" w:eastAsia="仿宋_GB2312" w:cs="Times New Roman"/>
          <w:b w:val="0"/>
          <w:bCs w:val="0"/>
          <w:sz w:val="32"/>
          <w:szCs w:val="32"/>
          <w:highlight w:val="none"/>
          <w:lang w:val="en-US" w:eastAsia="zh-CN"/>
        </w:rPr>
        <w:t>审计检查发现，针对四川省林产品质量安全监测项目合同任务书要求：项目执行期为一年，项目进度安排及成果：2020年1-2月：年度项目建设申报，2020年3-4月：上级下达本年度监测任务，2020年5月：完成项目合同任务书签订，2020年6-10月：完成数据采集和现场抽样，并进行样品初步处理，2020年11月：完成样品检测工作，2020年12月：提交年度林产品安全监测总结报告，其中该合同任务书，四川省林业和草原局数字林草与科技处签章日期晚于合同规定时间，建议在合同约定时间内完成该项工作，采购样本收条，李益兵、苟华、蔡平未达到签署要求。</w:t>
      </w:r>
    </w:p>
    <w:p w14:paraId="092919AA">
      <w:pPr>
        <w:keepNext w:val="0"/>
        <w:keepLines w:val="0"/>
        <w:pageBreakBefore w:val="0"/>
        <w:widowControl w:val="0"/>
        <w:kinsoku/>
        <w:wordWrap/>
        <w:overflowPunct/>
        <w:topLinePunct w:val="0"/>
        <w:autoSpaceDE/>
        <w:autoSpaceDN/>
        <w:bidi w:val="0"/>
        <w:adjustRightInd/>
        <w:snapToGrid/>
        <w:spacing w:line="560" w:lineRule="exact"/>
        <w:ind w:left="0" w:right="0"/>
        <w:jc w:val="both"/>
        <w:textAlignment w:val="auto"/>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b/>
          <w:bCs/>
          <w:sz w:val="32"/>
          <w:szCs w:val="32"/>
          <w:highlight w:val="none"/>
          <w:lang w:val="en-US" w:eastAsia="zh-CN"/>
        </w:rPr>
        <w:t xml:space="preserve">    16.</w:t>
      </w:r>
      <w:r>
        <w:rPr>
          <w:rFonts w:ascii="Times New Roman" w:hAnsi="Times New Roman" w:eastAsia="仿宋_GB2312" w:cs="Times New Roman"/>
          <w:b/>
          <w:bCs/>
          <w:sz w:val="32"/>
          <w:szCs w:val="32"/>
          <w:highlight w:val="none"/>
          <w:lang w:eastAsia="zh-CN"/>
        </w:rPr>
        <w:t>2020年森林生态效益补偿资金项目</w:t>
      </w:r>
      <w:r>
        <w:rPr>
          <w:rFonts w:ascii="Times New Roman" w:hAnsi="Times New Roman" w:eastAsia="仿宋_GB2312" w:cs="Times New Roman"/>
          <w:b/>
          <w:bCs/>
          <w:sz w:val="32"/>
          <w:szCs w:val="32"/>
          <w:highlight w:val="none"/>
          <w:lang w:val="en-US" w:eastAsia="zh-CN"/>
        </w:rPr>
        <w:t>：</w:t>
      </w:r>
      <w:r>
        <w:rPr>
          <w:rFonts w:ascii="Times New Roman" w:hAnsi="Times New Roman" w:eastAsia="仿宋_GB2312" w:cs="Times New Roman"/>
          <w:sz w:val="32"/>
          <w:szCs w:val="32"/>
          <w:highlight w:val="none"/>
          <w:lang w:val="en-US" w:eastAsia="zh-CN"/>
        </w:rPr>
        <w:t>未经检查现场项目资料，发现金川县综合林场森林管护考核内容表验收人员与被考评人员为同一人陆斌，存在验收人员为合同承包方情况。</w:t>
      </w:r>
    </w:p>
    <w:p w14:paraId="24D793F9">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b/>
          <w:bCs/>
          <w:sz w:val="32"/>
          <w:szCs w:val="32"/>
          <w:highlight w:val="none"/>
          <w:lang w:val="en-US" w:eastAsia="zh-CN"/>
        </w:rPr>
        <w:t xml:space="preserve">    17.乡镇开展文化活动：一是</w:t>
      </w:r>
      <w:r>
        <w:rPr>
          <w:rFonts w:ascii="Times New Roman" w:hAnsi="Times New Roman" w:eastAsia="仿宋_GB2312" w:cs="Times New Roman"/>
          <w:sz w:val="32"/>
          <w:szCs w:val="32"/>
          <w:highlight w:val="none"/>
          <w:lang w:val="en-US" w:eastAsia="zh-CN"/>
        </w:rPr>
        <w:t>资金分配制度不完善。勒乌镇、观音桥镇、马奈镇资金分配与《中央补助地方美术馆 公共图书馆 文化馆（站）免费开放专项资金管理暂行办法》（财教〔2013〕98号）文件中所规定的标准不一致。</w:t>
      </w:r>
      <w:r>
        <w:rPr>
          <w:rFonts w:ascii="Times New Roman" w:hAnsi="Times New Roman" w:eastAsia="仿宋_GB2312" w:cs="Times New Roman"/>
          <w:b/>
          <w:bCs/>
          <w:sz w:val="32"/>
          <w:szCs w:val="32"/>
          <w:highlight w:val="none"/>
          <w:lang w:val="en-US" w:eastAsia="zh-CN"/>
        </w:rPr>
        <w:t>二是</w:t>
      </w:r>
      <w:r>
        <w:rPr>
          <w:rFonts w:ascii="Times New Roman" w:hAnsi="Times New Roman" w:eastAsia="仿宋_GB2312" w:cs="Times New Roman"/>
          <w:sz w:val="32"/>
          <w:szCs w:val="32"/>
          <w:highlight w:val="none"/>
          <w:lang w:val="en-US" w:eastAsia="zh-CN"/>
        </w:rPr>
        <w:t>项目资金分配不合理。如：勒乌镇、观音桥镇、马奈镇分配资金各为100,000元，超出《中央补助地方美术馆 公共图书馆 文化馆（站）免费开放专项资金管理暂行办法》（财教〔2013〕98号）文件第六条所规定的“三馆一站”免费开放基本补助标准：乡镇综合文化站每站每年5万元，且无情况说明。</w:t>
      </w:r>
      <w:r>
        <w:rPr>
          <w:rFonts w:ascii="Times New Roman" w:hAnsi="Times New Roman" w:eastAsia="仿宋_GB2312" w:cs="Times New Roman"/>
          <w:b/>
          <w:bCs/>
          <w:sz w:val="32"/>
          <w:szCs w:val="32"/>
          <w:highlight w:val="none"/>
          <w:lang w:val="en-US" w:eastAsia="zh-CN"/>
        </w:rPr>
        <w:t>三是</w:t>
      </w:r>
      <w:r>
        <w:rPr>
          <w:rFonts w:ascii="Times New Roman" w:hAnsi="Times New Roman" w:eastAsia="仿宋_GB2312" w:cs="Times New Roman"/>
          <w:sz w:val="32"/>
          <w:szCs w:val="32"/>
          <w:highlight w:val="none"/>
          <w:lang w:val="en-US" w:eastAsia="zh-CN"/>
        </w:rPr>
        <w:t>项目资金拨付审核不严。如：勒乌镇申请“两馆一站”项目资金共计100,000元，所提供的方案中明确使用范围的金额为70,000元，另有30,000元在方案中未体现。</w:t>
      </w:r>
      <w:r>
        <w:rPr>
          <w:rFonts w:ascii="Times New Roman" w:hAnsi="Times New Roman" w:eastAsia="仿宋_GB2312" w:cs="Times New Roman"/>
          <w:b/>
          <w:bCs/>
          <w:sz w:val="32"/>
          <w:szCs w:val="32"/>
          <w:highlight w:val="none"/>
          <w:lang w:val="en-US" w:eastAsia="zh-CN"/>
        </w:rPr>
        <w:t>四是</w:t>
      </w:r>
      <w:r>
        <w:rPr>
          <w:rFonts w:ascii="Times New Roman" w:hAnsi="Times New Roman" w:eastAsia="仿宋_GB2312" w:cs="Times New Roman"/>
          <w:sz w:val="32"/>
          <w:szCs w:val="32"/>
          <w:highlight w:val="none"/>
          <w:lang w:val="en-US" w:eastAsia="zh-CN"/>
        </w:rPr>
        <w:t>项目资金使用监管不严。根据各乡镇提供的项目实施方案，项目资金共计230,000元用于日常工作经费（其中包括卡拉脚乡20,000元；勒乌镇20,000元；庆宁乡40,000元；阿科里乡20,000元；河西乡20,000元；河东乡20,000元；撒瓦脚乡20,000元；卡撒乡50,000元；二嘎里乡20,000元）。根据《中央补助地方美术馆 公共图书馆 文化馆（站）免费开放专项资金管理暂行办法》（财教〔2013〕98号）文件第九条 专项资金用于“三馆一站”免费开展基本公共文化服务项目所需支出，其中：乡镇综合文化站：组织公益性群众文化活动，举办公益性讲座和展览宣传，村级文化骨干辅导，文化信息资源共享工程、公共电子阅览室服务及设备运行维护，业务活动用房小型修缮及零星业务设备更新等。</w:t>
      </w:r>
      <w:r>
        <w:rPr>
          <w:rFonts w:ascii="Times New Roman" w:hAnsi="Times New Roman" w:eastAsia="仿宋_GB2312" w:cs="Times New Roman"/>
          <w:b/>
          <w:bCs/>
          <w:sz w:val="32"/>
          <w:szCs w:val="32"/>
          <w:highlight w:val="none"/>
          <w:lang w:val="en-US" w:eastAsia="zh-CN"/>
        </w:rPr>
        <w:t>五是</w:t>
      </w:r>
      <w:r>
        <w:rPr>
          <w:rFonts w:ascii="Times New Roman" w:hAnsi="Times New Roman" w:eastAsia="仿宋_GB2312" w:cs="Times New Roman"/>
          <w:sz w:val="32"/>
          <w:szCs w:val="32"/>
          <w:highlight w:val="none"/>
          <w:lang w:val="en-US" w:eastAsia="zh-CN"/>
        </w:rPr>
        <w:t>勒乌镇、观音桥镇、马奈镇补助发放金额为10万元，且无情况说明。</w:t>
      </w:r>
    </w:p>
    <w:p w14:paraId="6AB1DEF1">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18.图书馆、文化馆免费开放项目:</w:t>
      </w:r>
      <w:r>
        <w:rPr>
          <w:rFonts w:ascii="Times New Roman" w:hAnsi="Times New Roman" w:eastAsia="仿宋_GB2312" w:cs="Times New Roman"/>
          <w:b w:val="0"/>
          <w:bCs w:val="0"/>
          <w:sz w:val="32"/>
          <w:szCs w:val="32"/>
          <w:highlight w:val="none"/>
          <w:lang w:val="en-US" w:eastAsia="zh-CN"/>
        </w:rPr>
        <w:t>项目资金使用与项目资金支出范围不一致，如：项目资金用于公务用车支出10,000元，日常办公费支出3,631元，合计支出13,631元；根据《中央补助地方美术馆 公共图书馆 文化馆（站）免费开放专项资金管理暂行办法》（财教[2013]98号）第九条 专项资金用于“三馆一站”免费开展基本公共文化服务项目所需支出，其中：美术馆：举办展览、公益性讲座，开展公共教育和观众体验拓展活动，业务活动用房小型修缮及零星业务设备更新等。图书馆：文献资源借阅、检索与咨询，举办公益性讲座、展览，开展阅读推广、宣传活动，基层文化骨干业务辅导，文化信息资源共享工程、公共电子阅览室服务及设备运行维护，流动图书借阅与送书下乡服务，业务活动用房小型修缮及零星业务设备更新等。文化馆：举办普及性文化艺术类培训项目，举办公益性讲座、展览，开展宣传活动，组织公益性群众文化活动，基层文化骨干业务辅导，民间文化传承活动，业务活动用房小型修缮及零星业务设备更新等。</w:t>
      </w:r>
    </w:p>
    <w:p w14:paraId="05C7933F">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19.就业创业补助资金项目:</w:t>
      </w:r>
      <w:r>
        <w:rPr>
          <w:rFonts w:ascii="Times New Roman" w:hAnsi="Times New Roman" w:eastAsia="仿宋_GB2312" w:cs="Times New Roman"/>
          <w:b w:val="0"/>
          <w:bCs w:val="0"/>
          <w:sz w:val="32"/>
          <w:szCs w:val="32"/>
          <w:highlight w:val="none"/>
          <w:lang w:val="en-US" w:eastAsia="zh-CN"/>
        </w:rPr>
        <w:t>项目资金申报不够精准。2020年《金川县财政局〈关于下达2020年就业创业补助资金〉的通知》（金财社〔2020〕21号）文件下达资金289万元；《金川县财政局〈关于下达2020年中央财政就业创业补助资金参照直达管理资金〉的通知》（金财社〔2020〕42号）文件下达资金356万元，共计下达项目资金645万元。2019年结转结余资金570.456708元，因该项目资金为滚存使用，因此2020年项目资金共计1215.456708万元。2020年支出高校毕业生见习补贴264,165元，补贴81人；社保补贴353,462.10元，补贴44人；创业补贴310,000元，补贴31人；公益性岗位补贴6,679,300元，补贴1693人；驾驶补贴639,500元，补贴374人；务工交通补贴3,600元，补贴6人；品牌培训59,500元；基层平台补助资金250,000元。共计支出8,559,527.10元，资金结余359.503998万元。</w:t>
      </w:r>
    </w:p>
    <w:p w14:paraId="27BFCE47">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 xml:space="preserve">    20.千村示范工程：</w:t>
      </w:r>
      <w:r>
        <w:rPr>
          <w:rFonts w:ascii="Times New Roman" w:hAnsi="Times New Roman" w:eastAsia="仿宋_GB2312" w:cs="Times New Roman"/>
          <w:b w:val="0"/>
          <w:bCs w:val="0"/>
          <w:sz w:val="32"/>
          <w:szCs w:val="32"/>
          <w:highlight w:val="none"/>
          <w:lang w:val="en-US" w:eastAsia="zh-CN"/>
        </w:rPr>
        <w:t>政府采购流程缺少，无采购流程会议纪要。</w:t>
      </w:r>
    </w:p>
    <w:p w14:paraId="4462B386">
      <w:pPr>
        <w:keepNext w:val="0"/>
        <w:keepLines w:val="0"/>
        <w:pageBreakBefore w:val="0"/>
        <w:widowControl w:val="0"/>
        <w:kinsoku/>
        <w:wordWrap/>
        <w:overflowPunct/>
        <w:topLinePunct w:val="0"/>
        <w:autoSpaceDE/>
        <w:autoSpaceDN/>
        <w:bidi w:val="0"/>
        <w:adjustRightInd/>
        <w:snapToGrid/>
        <w:spacing w:line="560" w:lineRule="exact"/>
        <w:ind w:left="0" w:right="0"/>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 xml:space="preserve">    21.</w:t>
      </w:r>
      <w:r>
        <w:rPr>
          <w:rFonts w:ascii="Times New Roman" w:hAnsi="Times New Roman" w:eastAsia="仿宋" w:cs="Times New Roman"/>
          <w:b/>
          <w:bCs/>
          <w:sz w:val="32"/>
          <w:szCs w:val="32"/>
          <w:highlight w:val="none"/>
          <w:lang w:eastAsia="zh-CN"/>
        </w:rPr>
        <w:t>金川县救灾物资仓库建设项目：</w:t>
      </w:r>
      <w:r>
        <w:rPr>
          <w:rFonts w:ascii="Times New Roman" w:hAnsi="Times New Roman" w:eastAsia="仿宋_GB2312" w:cs="Times New Roman"/>
          <w:b w:val="0"/>
          <w:bCs w:val="0"/>
          <w:sz w:val="32"/>
          <w:szCs w:val="32"/>
          <w:highlight w:val="none"/>
          <w:lang w:eastAsia="zh-CN"/>
        </w:rPr>
        <w:t>竣工结算审核滞后。该项目2020年12月底竣工完成验收，截止2021年8月尚未完成竣工结算审核，工程结算管理不完善</w:t>
      </w:r>
      <w:r>
        <w:rPr>
          <w:rFonts w:ascii="Times New Roman" w:hAnsi="Times New Roman" w:eastAsia="仿宋_GB2312" w:cs="Times New Roman"/>
          <w:b w:val="0"/>
          <w:bCs w:val="0"/>
          <w:sz w:val="32"/>
          <w:szCs w:val="32"/>
          <w:highlight w:val="none"/>
          <w:lang w:val="en-US" w:eastAsia="zh-CN"/>
        </w:rPr>
        <w:t>。</w:t>
      </w:r>
    </w:p>
    <w:p w14:paraId="10E5DF07">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2" w:firstLineChars="0"/>
        <w:rPr>
          <w:rFonts w:ascii="Times New Roman" w:hAnsi="Times New Roman" w:eastAsia="仿宋_GB2312" w:cs="Times New Roman"/>
          <w:b w:val="0"/>
          <w:bCs w:val="0"/>
          <w:kern w:val="2"/>
          <w:sz w:val="32"/>
          <w:szCs w:val="32"/>
          <w:highlight w:val="none"/>
          <w:lang w:val="en-US" w:eastAsia="zh-CN" w:bidi="ar-SA"/>
        </w:rPr>
      </w:pPr>
      <w:r>
        <w:rPr>
          <w:rFonts w:ascii="Times New Roman" w:hAnsi="Times New Roman" w:eastAsia="仿宋" w:cs="Times New Roman"/>
          <w:b/>
          <w:bCs/>
          <w:kern w:val="2"/>
          <w:sz w:val="32"/>
          <w:szCs w:val="32"/>
          <w:highlight w:val="none"/>
          <w:lang w:val="en-US" w:eastAsia="zh-CN" w:bidi="ar-SA"/>
        </w:rPr>
        <w:t>22.金川县传染病区业务用房建设：一是</w:t>
      </w:r>
      <w:r>
        <w:rPr>
          <w:rFonts w:ascii="Times New Roman" w:hAnsi="Times New Roman" w:eastAsia="仿宋_GB2312" w:cs="Times New Roman"/>
          <w:b w:val="0"/>
          <w:bCs w:val="0"/>
          <w:kern w:val="2"/>
          <w:sz w:val="32"/>
          <w:szCs w:val="32"/>
          <w:highlight w:val="none"/>
          <w:lang w:val="en-US" w:eastAsia="zh-CN" w:bidi="ar-SA"/>
        </w:rPr>
        <w:t>项目施工变更无变更方案。金川县人民医院负压隔离病房及传染病业务用房建设过程中，涉及到的变更，无变更方案，变更方案在建设完成后后补。</w:t>
      </w:r>
      <w:r>
        <w:rPr>
          <w:rFonts w:ascii="Times New Roman" w:hAnsi="Times New Roman" w:eastAsia="仿宋_GB2312" w:cs="Times New Roman"/>
          <w:b/>
          <w:bCs/>
          <w:kern w:val="2"/>
          <w:sz w:val="32"/>
          <w:szCs w:val="32"/>
          <w:highlight w:val="none"/>
          <w:lang w:val="en-US" w:eastAsia="zh-CN" w:bidi="ar-SA"/>
        </w:rPr>
        <w:t>二是</w:t>
      </w:r>
      <w:r>
        <w:rPr>
          <w:rFonts w:ascii="Times New Roman" w:hAnsi="Times New Roman" w:eastAsia="仿宋_GB2312" w:cs="Times New Roman"/>
          <w:b w:val="0"/>
          <w:bCs w:val="0"/>
          <w:kern w:val="2"/>
          <w:sz w:val="32"/>
          <w:szCs w:val="32"/>
          <w:highlight w:val="none"/>
          <w:lang w:val="en-US" w:eastAsia="zh-CN" w:bidi="ar-SA"/>
        </w:rPr>
        <w:t>资金拨付资料不齐全。代为支付40万元工资，无用工考勤资料或其他发放依据。</w:t>
      </w:r>
    </w:p>
    <w:p w14:paraId="0B2E0514">
      <w:pPr>
        <w:keepNext w:val="0"/>
        <w:keepLines w:val="0"/>
        <w:pageBreakBefore w:val="0"/>
        <w:widowControl w:val="0"/>
        <w:kinsoku/>
        <w:wordWrap/>
        <w:overflowPunct/>
        <w:topLinePunct w:val="0"/>
        <w:autoSpaceDE/>
        <w:autoSpaceDN/>
        <w:bidi w:val="0"/>
        <w:adjustRightInd/>
        <w:snapToGrid/>
        <w:spacing w:line="560" w:lineRule="exact"/>
        <w:ind w:firstLine="642"/>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b/>
          <w:bCs/>
          <w:sz w:val="32"/>
          <w:szCs w:val="32"/>
          <w:highlight w:val="none"/>
          <w:lang w:val="en-US" w:eastAsia="zh-CN"/>
        </w:rPr>
        <w:t>23.金川县勒乌镇二甲河堤堡坎建设项目：一是</w:t>
      </w:r>
      <w:r>
        <w:rPr>
          <w:rFonts w:ascii="Times New Roman" w:hAnsi="Times New Roman" w:eastAsia="仿宋_GB2312" w:cs="Times New Roman"/>
          <w:sz w:val="32"/>
          <w:szCs w:val="32"/>
          <w:highlight w:val="none"/>
          <w:lang w:val="en-US" w:eastAsia="zh-CN"/>
        </w:rPr>
        <w:t>审计检查发现，①竞争性磋商文件对付款方式约定为：付款方式：款项分为三次支付： 1</w:t>
      </w:r>
      <w:r>
        <w:rPr>
          <w:rFonts w:hint="eastAsia" w:ascii="Times New Roman" w:hAnsi="Times New Roman" w:eastAsia="仿宋_GB2312" w:cs="Times New Roman"/>
          <w:sz w:val="32"/>
          <w:szCs w:val="32"/>
          <w:highlight w:val="none"/>
          <w:lang w:val="en-US" w:eastAsia="zh-CN"/>
        </w:rPr>
        <w:t>.</w:t>
      </w:r>
      <w:r>
        <w:rPr>
          <w:rFonts w:ascii="Times New Roman" w:hAnsi="Times New Roman" w:eastAsia="仿宋_GB2312" w:cs="Times New Roman"/>
          <w:sz w:val="32"/>
          <w:szCs w:val="32"/>
          <w:highlight w:val="none"/>
          <w:lang w:val="en-US" w:eastAsia="zh-CN"/>
        </w:rPr>
        <w:t>合同签订后支付合同总价的25%; 2</w:t>
      </w:r>
      <w:r>
        <w:rPr>
          <w:rFonts w:hint="eastAsia" w:ascii="Times New Roman" w:hAnsi="Times New Roman" w:eastAsia="仿宋_GB2312" w:cs="Times New Roman"/>
          <w:sz w:val="32"/>
          <w:szCs w:val="32"/>
          <w:highlight w:val="none"/>
          <w:lang w:val="en-US" w:eastAsia="zh-CN"/>
        </w:rPr>
        <w:t>.</w:t>
      </w:r>
      <w:r>
        <w:rPr>
          <w:rFonts w:ascii="Times New Roman" w:hAnsi="Times New Roman" w:eastAsia="仿宋_GB2312" w:cs="Times New Roman"/>
          <w:sz w:val="32"/>
          <w:szCs w:val="32"/>
          <w:highlight w:val="none"/>
          <w:lang w:val="en-US" w:eastAsia="zh-CN"/>
        </w:rPr>
        <w:t>工程完毕并验收合格之日起，甲方接到乙方通知付款并交齐资料后的15日内向乙方支付合同总价的72%; 剩余合同总价的3%在缺陷责任期（自验收合格之日起一年）满后，无质量缺陷后支付。实际签订合同时未按照招标文件签订，约定为：工程进度应付款按招标工程量清单量（扣除工程备用金）内经验收合格的工程量的80%拨付。扣留款项中含质量保证金。工程验收达到质量要求，完成竣工结算经审计，发包人公示核实无民工工资纠纷，颁发合同工程完工鉴定证书后14天内，支付至审计部门审定工程结算总价的97%。经审定的结算价款总额的3%扣作工程质量保证金，在质保期满后无工程质量缺陷，全部无息付清。该条款对招标文件进行了实质性修改，为新要约，不符合政府采购相关管理办法。②合同签订没有签订日期。</w:t>
      </w:r>
      <w:r>
        <w:rPr>
          <w:rFonts w:ascii="Times New Roman" w:hAnsi="Times New Roman" w:eastAsia="仿宋_GB2312" w:cs="Times New Roman"/>
          <w:b/>
          <w:bCs/>
          <w:sz w:val="32"/>
          <w:szCs w:val="32"/>
          <w:highlight w:val="none"/>
          <w:lang w:val="en-US" w:eastAsia="zh-CN"/>
        </w:rPr>
        <w:t>二是</w:t>
      </w:r>
      <w:r>
        <w:rPr>
          <w:rFonts w:ascii="Times New Roman" w:hAnsi="Times New Roman" w:eastAsia="仿宋_GB2312" w:cs="Times New Roman"/>
          <w:sz w:val="32"/>
          <w:szCs w:val="32"/>
          <w:highlight w:val="none"/>
          <w:lang w:val="en-US" w:eastAsia="zh-CN"/>
        </w:rPr>
        <w:t>项目手续不完备。审计检查发现，没有进行行洪论证，没有水务局行洪论证的批复。</w:t>
      </w:r>
    </w:p>
    <w:p w14:paraId="03C9AB15">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四、整改建议</w:t>
      </w:r>
    </w:p>
    <w:p w14:paraId="5309FF55">
      <w:pPr>
        <w:keepNext w:val="0"/>
        <w:keepLines w:val="0"/>
        <w:pageBreakBefore w:val="0"/>
        <w:widowControl w:val="0"/>
        <w:kinsoku/>
        <w:wordWrap/>
        <w:overflowPunct/>
        <w:topLinePunct w:val="0"/>
        <w:autoSpaceDE/>
        <w:autoSpaceDN/>
        <w:bidi w:val="0"/>
        <w:adjustRightInd/>
        <w:snapToGrid/>
        <w:spacing w:line="560" w:lineRule="exact"/>
        <w:ind w:firstLine="645"/>
        <w:rPr>
          <w:rFonts w:ascii="Times New Roman" w:hAnsi="Times New Roman" w:eastAsia="楷体_GB2312" w:cs="Times New Roman"/>
          <w:b/>
          <w:bCs w:val="0"/>
          <w:sz w:val="32"/>
          <w:szCs w:val="32"/>
          <w:highlight w:val="none"/>
        </w:rPr>
      </w:pPr>
      <w:r>
        <w:rPr>
          <w:rFonts w:ascii="Times New Roman" w:hAnsi="Times New Roman" w:eastAsia="楷体_GB2312" w:cs="Times New Roman"/>
          <w:b/>
          <w:bCs w:val="0"/>
          <w:sz w:val="32"/>
          <w:szCs w:val="32"/>
          <w:highlight w:val="none"/>
        </w:rPr>
        <w:t>（一）</w:t>
      </w:r>
      <w:r>
        <w:rPr>
          <w:rFonts w:ascii="Times New Roman" w:hAnsi="Times New Roman" w:eastAsia="楷体_GB2312" w:cs="Times New Roman"/>
          <w:b/>
          <w:bCs w:val="0"/>
          <w:sz w:val="32"/>
          <w:szCs w:val="32"/>
          <w:highlight w:val="none"/>
          <w:lang w:eastAsia="zh-CN"/>
        </w:rPr>
        <w:t>提高</w:t>
      </w:r>
      <w:r>
        <w:rPr>
          <w:rFonts w:ascii="Times New Roman" w:hAnsi="Times New Roman" w:eastAsia="楷体_GB2312" w:cs="Times New Roman"/>
          <w:b/>
          <w:bCs w:val="0"/>
          <w:sz w:val="32"/>
          <w:szCs w:val="32"/>
          <w:highlight w:val="none"/>
        </w:rPr>
        <w:t>会计基础</w:t>
      </w:r>
    </w:p>
    <w:p w14:paraId="0D876CB9">
      <w:pPr>
        <w:keepNext w:val="0"/>
        <w:keepLines w:val="0"/>
        <w:pageBreakBefore w:val="0"/>
        <w:widowControl w:val="0"/>
        <w:kinsoku/>
        <w:wordWrap/>
        <w:overflowPunct/>
        <w:topLinePunct w:val="0"/>
        <w:autoSpaceDE/>
        <w:autoSpaceDN/>
        <w:bidi w:val="0"/>
        <w:adjustRightInd/>
        <w:snapToGrid/>
        <w:spacing w:line="560" w:lineRule="exact"/>
        <w:ind w:firstLine="645"/>
        <w:rPr>
          <w:rFonts w:ascii="Times New Roman" w:hAnsi="Times New Roman" w:eastAsia="仿宋_GB2312" w:cs="Times New Roman"/>
          <w:b w:val="0"/>
          <w:bCs/>
          <w:sz w:val="32"/>
          <w:szCs w:val="32"/>
          <w:highlight w:val="none"/>
        </w:rPr>
      </w:pPr>
      <w:r>
        <w:rPr>
          <w:rFonts w:ascii="Times New Roman" w:hAnsi="Times New Roman" w:eastAsia="仿宋_GB2312" w:cs="Times New Roman"/>
          <w:b w:val="0"/>
          <w:bCs/>
          <w:sz w:val="32"/>
          <w:szCs w:val="32"/>
          <w:highlight w:val="none"/>
        </w:rPr>
        <w:t>按照《中华人民共和国会计法》和国家统一会计制度的要求，各单位要明确单位主体责任，科学合理设置会计岗位，配备法规意识强、业务素质高、职业道德好的会计人员。要加强会计基础工作，保证会计资料的真实、完整。各单位要进一步明确会计岗位职责，设立会计、出纳岗位，并完善制定内控制度、稽核制度、会计和出纳岗位制度等相关财经制度</w:t>
      </w:r>
      <w:r>
        <w:rPr>
          <w:rFonts w:ascii="Times New Roman" w:hAnsi="Times New Roman" w:eastAsia="仿宋_GB2312" w:cs="Times New Roman"/>
          <w:b w:val="0"/>
          <w:bCs/>
          <w:sz w:val="32"/>
          <w:szCs w:val="32"/>
          <w:highlight w:val="none"/>
          <w:lang w:eastAsia="zh-CN"/>
        </w:rPr>
        <w:t>，使项目事前、事中、事后均有据可循</w:t>
      </w:r>
      <w:r>
        <w:rPr>
          <w:rFonts w:ascii="Times New Roman" w:hAnsi="Times New Roman" w:eastAsia="仿宋_GB2312" w:cs="Times New Roman"/>
          <w:b w:val="0"/>
          <w:bCs/>
          <w:sz w:val="32"/>
          <w:szCs w:val="32"/>
          <w:highlight w:val="none"/>
        </w:rPr>
        <w:t>。各单位对重大财务事项必须集体决策，并严格按照各项财经制度进行审核、审批和执行，依法办理会计事项和核算各类经济业务。</w:t>
      </w:r>
    </w:p>
    <w:p w14:paraId="07965524">
      <w:pPr>
        <w:keepNext w:val="0"/>
        <w:keepLines w:val="0"/>
        <w:pageBreakBefore w:val="0"/>
        <w:widowControl w:val="0"/>
        <w:kinsoku/>
        <w:wordWrap/>
        <w:overflowPunct/>
        <w:topLinePunct w:val="0"/>
        <w:autoSpaceDE/>
        <w:autoSpaceDN/>
        <w:bidi w:val="0"/>
        <w:adjustRightInd/>
        <w:snapToGrid/>
        <w:spacing w:line="560" w:lineRule="exact"/>
        <w:ind w:firstLine="645"/>
        <w:rPr>
          <w:rFonts w:ascii="Times New Roman" w:hAnsi="Times New Roman" w:eastAsia="楷体_GB2312" w:cs="Times New Roman"/>
          <w:b/>
          <w:bCs w:val="0"/>
          <w:sz w:val="32"/>
          <w:szCs w:val="32"/>
          <w:highlight w:val="none"/>
          <w:lang w:eastAsia="zh-CN"/>
        </w:rPr>
      </w:pPr>
      <w:r>
        <w:rPr>
          <w:rFonts w:ascii="Times New Roman" w:hAnsi="Times New Roman" w:eastAsia="楷体_GB2312" w:cs="Times New Roman"/>
          <w:b/>
          <w:bCs w:val="0"/>
          <w:sz w:val="32"/>
          <w:szCs w:val="32"/>
          <w:highlight w:val="none"/>
          <w:lang w:eastAsia="zh-CN"/>
        </w:rPr>
        <w:t>（二）加强项目资金管理，提高资金使用绩效。</w:t>
      </w:r>
    </w:p>
    <w:p w14:paraId="0C6F6666">
      <w:pPr>
        <w:keepNext w:val="0"/>
        <w:keepLines w:val="0"/>
        <w:pageBreakBefore w:val="0"/>
        <w:widowControl w:val="0"/>
        <w:kinsoku/>
        <w:wordWrap/>
        <w:overflowPunct/>
        <w:topLinePunct w:val="0"/>
        <w:autoSpaceDE/>
        <w:autoSpaceDN/>
        <w:bidi w:val="0"/>
        <w:adjustRightInd/>
        <w:snapToGrid/>
        <w:spacing w:line="560" w:lineRule="exact"/>
        <w:ind w:firstLine="645"/>
        <w:rPr>
          <w:rFonts w:ascii="Times New Roman" w:hAnsi="Times New Roman" w:eastAsia="仿宋_GB2312" w:cs="Times New Roman"/>
          <w:b w:val="0"/>
          <w:bCs/>
          <w:sz w:val="32"/>
          <w:szCs w:val="32"/>
          <w:highlight w:val="none"/>
          <w:lang w:eastAsia="zh-CN"/>
        </w:rPr>
      </w:pPr>
      <w:r>
        <w:rPr>
          <w:rFonts w:ascii="Times New Roman" w:hAnsi="Times New Roman" w:eastAsia="仿宋_GB2312" w:cs="Times New Roman"/>
          <w:b w:val="0"/>
          <w:bCs/>
          <w:sz w:val="32"/>
          <w:szCs w:val="32"/>
          <w:highlight w:val="none"/>
          <w:lang w:eastAsia="zh-CN"/>
        </w:rPr>
        <w:t>各单位应</w:t>
      </w:r>
      <w:r>
        <w:rPr>
          <w:rFonts w:ascii="Times New Roman" w:hAnsi="Times New Roman" w:eastAsia="仿宋_GB2312" w:cs="Times New Roman"/>
          <w:b w:val="0"/>
          <w:bCs/>
          <w:sz w:val="32"/>
          <w:szCs w:val="32"/>
          <w:highlight w:val="none"/>
        </w:rPr>
        <w:t>建立健全</w:t>
      </w:r>
      <w:r>
        <w:rPr>
          <w:rFonts w:ascii="Times New Roman" w:hAnsi="Times New Roman" w:eastAsia="仿宋_GB2312" w:cs="Times New Roman"/>
          <w:b w:val="0"/>
          <w:bCs/>
          <w:sz w:val="32"/>
          <w:szCs w:val="32"/>
          <w:highlight w:val="none"/>
          <w:lang w:eastAsia="zh-CN"/>
        </w:rPr>
        <w:t>本单位</w:t>
      </w:r>
      <w:r>
        <w:rPr>
          <w:rFonts w:ascii="Times New Roman" w:hAnsi="Times New Roman" w:eastAsia="仿宋_GB2312" w:cs="Times New Roman"/>
          <w:b w:val="0"/>
          <w:bCs/>
          <w:sz w:val="32"/>
          <w:szCs w:val="32"/>
          <w:highlight w:val="none"/>
        </w:rPr>
        <w:t>资金管理制度，制定项目管理办法与专项资金管理办法</w:t>
      </w:r>
      <w:r>
        <w:rPr>
          <w:rFonts w:ascii="Times New Roman" w:hAnsi="Times New Roman" w:eastAsia="仿宋_GB2312" w:cs="Times New Roman"/>
          <w:b w:val="0"/>
          <w:bCs/>
          <w:sz w:val="32"/>
          <w:szCs w:val="32"/>
          <w:highlight w:val="none"/>
          <w:lang w:eastAsia="zh-CN"/>
        </w:rPr>
        <w:t>，</w:t>
      </w:r>
      <w:r>
        <w:rPr>
          <w:rFonts w:ascii="Times New Roman" w:hAnsi="Times New Roman" w:eastAsia="仿宋_GB2312" w:cs="Times New Roman"/>
          <w:b w:val="0"/>
          <w:bCs/>
          <w:sz w:val="32"/>
          <w:szCs w:val="32"/>
          <w:highlight w:val="none"/>
        </w:rPr>
        <w:t>规范资金用途，做</w:t>
      </w:r>
      <w:r>
        <w:rPr>
          <w:rFonts w:ascii="Times New Roman" w:hAnsi="Times New Roman" w:eastAsia="仿宋_GB2312" w:cs="Times New Roman"/>
          <w:b w:val="0"/>
          <w:bCs/>
          <w:sz w:val="32"/>
          <w:szCs w:val="32"/>
          <w:highlight w:val="none"/>
          <w:lang w:eastAsia="zh-CN"/>
        </w:rPr>
        <w:t>到</w:t>
      </w:r>
      <w:r>
        <w:rPr>
          <w:rFonts w:ascii="Times New Roman" w:hAnsi="Times New Roman" w:eastAsia="仿宋_GB2312" w:cs="Times New Roman"/>
          <w:b w:val="0"/>
          <w:bCs/>
          <w:sz w:val="32"/>
          <w:szCs w:val="32"/>
          <w:highlight w:val="none"/>
        </w:rPr>
        <w:t>专款专用，切实发挥好县级财政资金的最大效益。</w:t>
      </w:r>
      <w:r>
        <w:rPr>
          <w:rFonts w:ascii="Times New Roman" w:hAnsi="Times New Roman" w:eastAsia="仿宋_GB2312" w:cs="Times New Roman"/>
          <w:b w:val="0"/>
          <w:bCs/>
          <w:sz w:val="32"/>
          <w:szCs w:val="32"/>
          <w:highlight w:val="none"/>
          <w:lang w:eastAsia="zh-CN"/>
        </w:rPr>
        <w:t>完善项目资金使用方案，明确资金使用方向、分配方式，对覆盖对象充分论证研究，做到公平公正。</w:t>
      </w:r>
    </w:p>
    <w:p w14:paraId="19B33E8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firstLine="645"/>
        <w:rPr>
          <w:rFonts w:ascii="Times New Roman" w:hAnsi="Times New Roman" w:eastAsia="楷体_GB2312" w:cs="Times New Roman"/>
          <w:b/>
          <w:bCs w:val="0"/>
          <w:sz w:val="32"/>
          <w:szCs w:val="32"/>
          <w:highlight w:val="none"/>
          <w:lang w:eastAsia="zh-CN"/>
        </w:rPr>
      </w:pPr>
      <w:r>
        <w:rPr>
          <w:rFonts w:ascii="Times New Roman" w:hAnsi="Times New Roman" w:eastAsia="楷体_GB2312" w:cs="Times New Roman"/>
          <w:b/>
          <w:bCs w:val="0"/>
          <w:sz w:val="32"/>
          <w:szCs w:val="32"/>
          <w:highlight w:val="none"/>
          <w:lang w:eastAsia="zh-CN"/>
        </w:rPr>
        <w:t>严格预算编制</w:t>
      </w:r>
    </w:p>
    <w:p w14:paraId="3EC89479">
      <w:pPr>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b w:val="0"/>
          <w:bCs/>
          <w:sz w:val="32"/>
          <w:szCs w:val="32"/>
          <w:highlight w:val="none"/>
          <w:lang w:val="en-US" w:eastAsia="zh-CN"/>
        </w:rPr>
      </w:pPr>
      <w:r>
        <w:rPr>
          <w:rFonts w:ascii="Times New Roman" w:hAnsi="Times New Roman" w:eastAsia="仿宋_GB2312" w:cs="Times New Roman"/>
          <w:b w:val="0"/>
          <w:bCs/>
          <w:sz w:val="32"/>
          <w:szCs w:val="32"/>
          <w:highlight w:val="none"/>
          <w:lang w:val="en-US" w:eastAsia="zh-CN"/>
        </w:rPr>
        <w:t xml:space="preserve">    项目资金预算在做到应纳尽纳的同时，应充分考虑项目实际，结合项目可行性、覆盖对象等可预见因素，严格控制预算，减少资金结存浪费，提升资金使用效益。</w:t>
      </w:r>
    </w:p>
    <w:p w14:paraId="4703A7E9">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firstLine="641"/>
        <w:rPr>
          <w:rFonts w:ascii="Times New Roman" w:hAnsi="Times New Roman" w:eastAsia="楷体_GB2312" w:cs="Times New Roman"/>
          <w:b/>
          <w:bCs w:val="0"/>
          <w:sz w:val="32"/>
          <w:szCs w:val="32"/>
          <w:highlight w:val="none"/>
          <w:lang w:val="en-US" w:eastAsia="zh-CN"/>
        </w:rPr>
      </w:pPr>
      <w:r>
        <w:rPr>
          <w:rFonts w:ascii="Times New Roman" w:hAnsi="Times New Roman" w:eastAsia="楷体_GB2312" w:cs="Times New Roman"/>
          <w:b/>
          <w:bCs w:val="0"/>
          <w:sz w:val="32"/>
          <w:szCs w:val="32"/>
          <w:highlight w:val="none"/>
          <w:lang w:val="en-US" w:eastAsia="zh-CN"/>
        </w:rPr>
        <w:t>强化绩效目标编制</w:t>
      </w:r>
    </w:p>
    <w:p w14:paraId="53E22544">
      <w:pPr>
        <w:pStyle w:val="8"/>
        <w:keepNext w:val="0"/>
        <w:keepLines w:val="0"/>
        <w:pageBreakBefore w:val="0"/>
        <w:widowControl w:val="0"/>
        <w:kinsoku/>
        <w:wordWrap/>
        <w:overflowPunct/>
        <w:topLinePunct w:val="0"/>
        <w:autoSpaceDE/>
        <w:autoSpaceDN/>
        <w:bidi w:val="0"/>
        <w:adjustRightInd/>
        <w:snapToGrid/>
        <w:spacing w:line="560" w:lineRule="exact"/>
        <w:ind w:left="0" w:leftChars="0" w:right="0" w:firstLine="604" w:firstLineChars="0"/>
        <w:textAlignment w:val="auto"/>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b w:val="0"/>
          <w:bCs/>
          <w:sz w:val="32"/>
          <w:szCs w:val="32"/>
          <w:highlight w:val="none"/>
          <w:lang w:val="en-US" w:eastAsia="zh-CN"/>
        </w:rPr>
        <w:t xml:space="preserve"> 各单位应严格按照《中共四川省委四川省人民政府关于全面实施预算绩效管理的实施意见》、《全省预算绩效管理工作推进方案》、《金川县2021年预算绩效管理工作要点》、《金川县财政局预算绩效管理工作实施方案》等文件要求，提高资金绩效管理意识，强化绩效目标编制，做到“目标切实可行、指标精准可量化”，开展项目绩效监控，并对有问题的项目及时分类处置，绩效评价应落到实处，</w:t>
      </w:r>
      <w:r>
        <w:rPr>
          <w:rFonts w:ascii="Times New Roman" w:hAnsi="Times New Roman" w:eastAsia="仿宋_GB2312" w:cs="Times New Roman"/>
          <w:sz w:val="32"/>
          <w:szCs w:val="32"/>
          <w:highlight w:val="none"/>
          <w:lang w:val="en-US" w:eastAsia="zh-CN"/>
        </w:rPr>
        <w:t>对各项指标完成情况认真研判，找出自身问题所在。</w:t>
      </w:r>
    </w:p>
    <w:p w14:paraId="4F7BCBDD">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hAnsi="Times New Roman" w:eastAsia="楷体_GB2312" w:cs="Times New Roman"/>
          <w:b/>
          <w:bCs w:val="0"/>
          <w:sz w:val="32"/>
          <w:szCs w:val="32"/>
          <w:highlight w:val="none"/>
          <w:lang w:val="en-US" w:eastAsia="zh-CN"/>
        </w:rPr>
      </w:pPr>
      <w:r>
        <w:rPr>
          <w:rFonts w:ascii="Times New Roman" w:hAnsi="Times New Roman" w:eastAsia="楷体_GB2312" w:cs="Times New Roman"/>
          <w:b/>
          <w:bCs w:val="0"/>
          <w:sz w:val="32"/>
          <w:szCs w:val="32"/>
          <w:highlight w:val="none"/>
          <w:lang w:val="en-US" w:eastAsia="zh-CN"/>
        </w:rPr>
        <w:t>（五）严格预算约束</w:t>
      </w:r>
    </w:p>
    <w:p w14:paraId="1F919F55">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预算一旦被确定下来，任何人不得进行更改、增删，预算“突破”需经人民代表大会讨论通过并且预算按照严格的审批程序进行。</w:t>
      </w:r>
    </w:p>
    <w:p w14:paraId="2495A23F">
      <w:pPr>
        <w:keepNext w:val="0"/>
        <w:keepLines w:val="0"/>
        <w:pageBreakBefore w:val="0"/>
        <w:widowControl w:val="0"/>
        <w:kinsoku/>
        <w:wordWrap/>
        <w:overflowPunct/>
        <w:topLinePunct w:val="0"/>
        <w:autoSpaceDE/>
        <w:autoSpaceDN/>
        <w:bidi w:val="0"/>
        <w:adjustRightInd/>
        <w:snapToGrid/>
        <w:spacing w:line="560" w:lineRule="exact"/>
        <w:ind w:firstLine="640"/>
        <w:rPr>
          <w:rFonts w:ascii="Times New Roman" w:hAnsi="Times New Roman" w:eastAsia="楷体_GB2312" w:cs="Times New Roman"/>
          <w:b/>
          <w:bCs/>
          <w:kern w:val="2"/>
          <w:sz w:val="32"/>
          <w:szCs w:val="32"/>
          <w:highlight w:val="none"/>
          <w:lang w:val="en-US" w:eastAsia="zh-CN" w:bidi="ar-SA"/>
        </w:rPr>
      </w:pPr>
      <w:r>
        <w:rPr>
          <w:rFonts w:ascii="Times New Roman" w:hAnsi="Times New Roman" w:eastAsia="楷体_GB2312" w:cs="Times New Roman"/>
          <w:b/>
          <w:bCs/>
          <w:kern w:val="2"/>
          <w:sz w:val="32"/>
          <w:szCs w:val="32"/>
          <w:highlight w:val="none"/>
          <w:lang w:val="en-US" w:eastAsia="zh-CN" w:bidi="ar-SA"/>
        </w:rPr>
        <w:t>（六）积极完善经济合同管理</w:t>
      </w:r>
    </w:p>
    <w:p w14:paraId="6AA72F21">
      <w:pPr>
        <w:keepNext w:val="0"/>
        <w:keepLines w:val="0"/>
        <w:pageBreakBefore w:val="0"/>
        <w:widowControl w:val="0"/>
        <w:kinsoku/>
        <w:wordWrap/>
        <w:overflowPunct/>
        <w:topLinePunct w:val="0"/>
        <w:autoSpaceDE/>
        <w:autoSpaceDN/>
        <w:bidi w:val="0"/>
        <w:adjustRightInd/>
        <w:snapToGrid/>
        <w:spacing w:line="560" w:lineRule="exact"/>
        <w:ind w:firstLine="640"/>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b/>
          <w:bCs/>
          <w:kern w:val="2"/>
          <w:sz w:val="32"/>
          <w:szCs w:val="32"/>
          <w:highlight w:val="none"/>
          <w:lang w:val="en-US" w:eastAsia="zh-CN" w:bidi="ar-SA"/>
        </w:rPr>
        <w:t>一是</w:t>
      </w:r>
      <w:r>
        <w:rPr>
          <w:rFonts w:ascii="Times New Roman" w:hAnsi="Times New Roman" w:eastAsia="仿宋_GB2312" w:cs="Times New Roman"/>
          <w:kern w:val="2"/>
          <w:sz w:val="32"/>
          <w:szCs w:val="32"/>
          <w:highlight w:val="none"/>
          <w:lang w:val="en-US" w:eastAsia="zh-CN" w:bidi="ar-SA"/>
        </w:rPr>
        <w:t>建立健全合同的决策、监督、管理机制，加强合同管理，做好合同的登记、管理和存档工作，对贵单位经济合同建立台账，对应签未签的经济合同进行补漏；</w:t>
      </w:r>
      <w:r>
        <w:rPr>
          <w:rFonts w:ascii="Times New Roman" w:hAnsi="Times New Roman" w:eastAsia="仿宋_GB2312" w:cs="Times New Roman"/>
          <w:b/>
          <w:bCs/>
          <w:kern w:val="2"/>
          <w:sz w:val="32"/>
          <w:szCs w:val="32"/>
          <w:highlight w:val="none"/>
          <w:lang w:val="en-US" w:eastAsia="zh-CN" w:bidi="ar-SA"/>
        </w:rPr>
        <w:t>二是</w:t>
      </w:r>
      <w:r>
        <w:rPr>
          <w:rFonts w:ascii="Times New Roman" w:hAnsi="Times New Roman" w:eastAsia="仿宋_GB2312" w:cs="Times New Roman"/>
          <w:kern w:val="2"/>
          <w:sz w:val="32"/>
          <w:szCs w:val="32"/>
          <w:highlight w:val="none"/>
          <w:lang w:val="en-US" w:eastAsia="zh-CN" w:bidi="ar-SA"/>
        </w:rPr>
        <w:t>对已签定的经济合同进行梳理，完善合同要素，确定需补充事项，明确双方权利、义务、责任，保证经济合同安全有效，防范合同风险；</w:t>
      </w:r>
      <w:r>
        <w:rPr>
          <w:rFonts w:ascii="Times New Roman" w:hAnsi="Times New Roman" w:eastAsia="仿宋_GB2312" w:cs="Times New Roman"/>
          <w:b/>
          <w:bCs/>
          <w:kern w:val="2"/>
          <w:sz w:val="32"/>
          <w:szCs w:val="32"/>
          <w:highlight w:val="none"/>
          <w:lang w:val="en-US" w:eastAsia="zh-CN" w:bidi="ar-SA"/>
        </w:rPr>
        <w:t>三是</w:t>
      </w:r>
      <w:r>
        <w:rPr>
          <w:rFonts w:ascii="Times New Roman" w:hAnsi="Times New Roman" w:eastAsia="仿宋_GB2312" w:cs="Times New Roman"/>
          <w:kern w:val="2"/>
          <w:sz w:val="32"/>
          <w:szCs w:val="32"/>
          <w:highlight w:val="none"/>
          <w:lang w:val="en-US" w:eastAsia="zh-CN" w:bidi="ar-SA"/>
        </w:rPr>
        <w:t>对相关合同管理人员进行培训，增强其业务水平及责任意识。</w:t>
      </w:r>
    </w:p>
    <w:p w14:paraId="7A049DE7">
      <w:pPr>
        <w:pStyle w:val="8"/>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kern w:val="2"/>
          <w:sz w:val="32"/>
          <w:szCs w:val="32"/>
          <w:highlight w:val="none"/>
          <w:lang w:val="en-US" w:eastAsia="zh-CN" w:bidi="ar-SA"/>
        </w:rPr>
      </w:pPr>
    </w:p>
    <w:p w14:paraId="4C1C1B4D">
      <w:pPr>
        <w:keepNext w:val="0"/>
        <w:keepLines w:val="0"/>
        <w:pageBreakBefore w:val="0"/>
        <w:widowControl w:val="0"/>
        <w:kinsoku/>
        <w:wordWrap/>
        <w:overflowPunct/>
        <w:topLinePunct w:val="0"/>
        <w:autoSpaceDE/>
        <w:autoSpaceDN/>
        <w:bidi w:val="0"/>
        <w:adjustRightInd/>
        <w:snapToGrid/>
        <w:spacing w:line="560" w:lineRule="exact"/>
      </w:pPr>
    </w:p>
    <w:sectPr>
      <w:footerReference r:id="rId3" w:type="default"/>
      <w:pgSz w:w="11906" w:h="16838"/>
      <w:pgMar w:top="2098" w:right="1474" w:bottom="1984" w:left="158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0FFC4">
    <w:pPr>
      <w:pStyle w:val="6"/>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444500" cy="230505"/>
              <wp:effectExtent l="0" t="0" r="0" b="0"/>
              <wp:wrapNone/>
              <wp:docPr id="1" name="文本框 1"/>
              <wp:cNvGraphicFramePr/>
              <a:graphic xmlns:a="http://schemas.openxmlformats.org/drawingml/2006/main">
                <a:graphicData uri="http://schemas.microsoft.com/office/word/2010/wordprocessingShape">
                  <wps:wsp>
                    <wps:cNvSpPr/>
                    <wps:spPr>
                      <a:xfrm>
                        <a:off x="0" y="0"/>
                        <a:ext cx="444499" cy="230251"/>
                      </a:xfrm>
                      <a:prstGeom prst="rect">
                        <a:avLst/>
                      </a:prstGeom>
                      <a:noFill/>
                      <a:ln w="9525" cap="flat" cmpd="sng">
                        <a:noFill/>
                        <a:prstDash val="solid"/>
                        <a:round/>
                      </a:ln>
                    </wps:spPr>
                    <wps:txbx>
                      <w:txbxContent>
                        <w:p w14:paraId="066E55EC">
                          <w:pPr>
                            <w:pStyle w:val="6"/>
                            <w:rPr>
                              <w:rFonts w:hint="eastAsia" w:ascii="宋体" w:eastAsia="宋体" w:cs="宋体"/>
                              <w:sz w:val="28"/>
                              <w:szCs w:val="28"/>
                              <w:lang w:eastAsia="zh-CN"/>
                            </w:rPr>
                          </w:pPr>
                          <w:r>
                            <w:rPr>
                              <w:rFonts w:hint="eastAsia" w:ascii="宋体" w:eastAsia="宋体" w:cs="宋体"/>
                              <w:sz w:val="28"/>
                              <w:szCs w:val="28"/>
                              <w:lang w:eastAsia="zh-CN"/>
                            </w:rPr>
                            <w:fldChar w:fldCharType="begin"/>
                          </w:r>
                          <w:r>
                            <w:rPr>
                              <w:rFonts w:hint="eastAsia" w:ascii="宋体" w:eastAsia="宋体" w:cs="宋体"/>
                              <w:sz w:val="28"/>
                              <w:szCs w:val="28"/>
                              <w:lang w:eastAsia="zh-CN"/>
                            </w:rPr>
                            <w:instrText xml:space="preserve"> PAGE  \* MERGEFORMAT </w:instrText>
                          </w:r>
                          <w:r>
                            <w:rPr>
                              <w:rFonts w:hint="eastAsia" w:ascii="宋体" w:eastAsia="宋体" w:cs="宋体"/>
                              <w:sz w:val="28"/>
                              <w:szCs w:val="28"/>
                              <w:lang w:eastAsia="zh-CN"/>
                            </w:rPr>
                            <w:fldChar w:fldCharType="separate"/>
                          </w:r>
                          <w:r>
                            <w:rPr>
                              <w:rFonts w:hint="eastAsia" w:ascii="宋体" w:eastAsia="宋体" w:cs="宋体"/>
                              <w:sz w:val="28"/>
                              <w:szCs w:val="28"/>
                              <w:lang w:eastAsia="zh-CN"/>
                            </w:rPr>
                            <w:t>1</w:t>
                          </w:r>
                          <w:r>
                            <w:rPr>
                              <w:rFonts w:hint="eastAsia" w:asci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8.15pt;width:35pt;mso-position-horizontal:outside;mso-position-horizontal-relative:margin;mso-wrap-style:none;z-index:251659264;mso-width-relative:page;mso-height-relative:page;" filled="f" stroked="f" coordsize="21600,21600" o:gfxdata="UEsDBAoAAAAAAIdO4kAAAAAAAAAAAAAAAAAEAAAAZHJzL1BLAwQUAAAACACHTuJArY8BwtEAAAAD&#10;AQAADwAAAGRycy9kb3ducmV2LnhtbE2PzWrDMBCE74W8g9hAb42UBNLgWs6hEEhKL3H6AIq1/qHS&#10;ykhKnL59t720l4Fhlplvy93dO3HDmIZAGpYLBQKpCXagTsPHef+0BZGyIWtcINTwhQl21eyhNIUN&#10;E53wVudOcAmlwmjocx4LKVPTozdpEUYkztoQvclsYydtNBOXeydXSm2kNwPxQm9GfO2x+ayvXoM8&#10;1/tpW7uowtuqfXfHw6nFoPXjfKleQGS8579j+MFndKiY6RKuZJNwGviR/KucPSt2Fw3rzRpkVcr/&#10;7NU3UEsDBBQAAAAIAIdO4kAGUcGJAwIAAPQDAAAOAAAAZHJzL2Uyb0RvYy54bWytU82O0zAQviPx&#10;DpbvNGmhiFZNVyuqRUgIVlp4ANdxGkv+04zbpDwAvAEnLtx5rj4HYyftrpbLHjaHZByPv5nvm8+r&#10;q94adlCA2ruKTyclZ8pJX2u3q/i3rzev3nGGUbhaGO9UxY8K+dX65YtVF5Zq5ltvagWMQBwuu1Dx&#10;NsawLAqUrbICJz4oR5uNBysiLWFX1CA6QremmJXl26LzUAfwUiHS382wyUdEeAqgbxot1cbLvVUu&#10;DqigjIhECVsdkK9zt02jZPzSNKgiMxUnpjG/qQjF2/Qu1iux3IEIrZZjC+IpLTziZIV2VPQCtRFR&#10;sD3o/6CsluDRN3EivS0GIlkRYjEtH2lz14qgMheSGsNFdHw+WPn5cAtM1+QEzpywNPDTr5+n339P&#10;f36waZKnC7ikrLtwC+MKKUxc+wZs+hIL1mdJjxdJVR+ZpJ9v6FksOJO0NXtdzuYZs7g/HADjB+Ut&#10;S0HFgSaWhRSHTxipIKWeU1It52+0MXlqxrGu4ov5bE7wgpzYkAMotIHYoNtlmAf5CWYjsGUHQWZA&#10;b3Q9jB/83tVDKeOoYmI8cExR7Lf9SHzr6yOpRZeHOm09fOesI+tU3NFN4cx8dDSZ5LJzAOdgew6E&#10;k3Sw4tToEL6Pgxv3AfSuJdwy943heh+Ja5YgtTHUHrsjM2RlRuMmtz1c56z7y7r+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2PAcLRAAAAAwEAAA8AAAAAAAAAAQAgAAAAIgAAAGRycy9kb3ducmV2&#10;LnhtbFBLAQIUABQAAAAIAIdO4kAGUcGJAwIAAPQDAAAOAAAAAAAAAAEAIAAAACABAABkcnMvZTJv&#10;RG9jLnhtbFBLBQYAAAAABgAGAFkBAACVBQAAAAA=&#10;">
              <v:fill on="f" focussize="0,0"/>
              <v:stroke on="f" joinstyle="round"/>
              <v:imagedata o:title=""/>
              <o:lock v:ext="edit" aspectratio="f"/>
              <v:textbox inset="0mm,0mm,0mm,0mm" style="mso-fit-shape-to-text:t;">
                <w:txbxContent>
                  <w:p w14:paraId="066E55EC">
                    <w:pPr>
                      <w:pStyle w:val="6"/>
                      <w:rPr>
                        <w:rFonts w:hint="eastAsia" w:ascii="宋体" w:eastAsia="宋体" w:cs="宋体"/>
                        <w:sz w:val="28"/>
                        <w:szCs w:val="28"/>
                        <w:lang w:eastAsia="zh-CN"/>
                      </w:rPr>
                    </w:pPr>
                    <w:r>
                      <w:rPr>
                        <w:rFonts w:hint="eastAsia" w:ascii="宋体" w:eastAsia="宋体" w:cs="宋体"/>
                        <w:sz w:val="28"/>
                        <w:szCs w:val="28"/>
                        <w:lang w:eastAsia="zh-CN"/>
                      </w:rPr>
                      <w:fldChar w:fldCharType="begin"/>
                    </w:r>
                    <w:r>
                      <w:rPr>
                        <w:rFonts w:hint="eastAsia" w:ascii="宋体" w:eastAsia="宋体" w:cs="宋体"/>
                        <w:sz w:val="28"/>
                        <w:szCs w:val="28"/>
                        <w:lang w:eastAsia="zh-CN"/>
                      </w:rPr>
                      <w:instrText xml:space="preserve"> PAGE  \* MERGEFORMAT </w:instrText>
                    </w:r>
                    <w:r>
                      <w:rPr>
                        <w:rFonts w:hint="eastAsia" w:ascii="宋体" w:eastAsia="宋体" w:cs="宋体"/>
                        <w:sz w:val="28"/>
                        <w:szCs w:val="28"/>
                        <w:lang w:eastAsia="zh-CN"/>
                      </w:rPr>
                      <w:fldChar w:fldCharType="separate"/>
                    </w:r>
                    <w:r>
                      <w:rPr>
                        <w:rFonts w:hint="eastAsia" w:ascii="宋体" w:eastAsia="宋体" w:cs="宋体"/>
                        <w:sz w:val="28"/>
                        <w:szCs w:val="28"/>
                        <w:lang w:eastAsia="zh-CN"/>
                      </w:rPr>
                      <w:t>1</w:t>
                    </w:r>
                    <w:r>
                      <w:rPr>
                        <w:rFonts w:hint="eastAsia" w:ascii="宋体" w:eastAsia="宋体" w:cs="宋体"/>
                        <w:sz w:val="28"/>
                        <w:szCs w:val="28"/>
                        <w:lang w:eastAsia="zh-CN"/>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ABA38C"/>
    <w:multiLevelType w:val="singleLevel"/>
    <w:tmpl w:val="5FABA38C"/>
    <w:lvl w:ilvl="0" w:tentative="0">
      <w:start w:val="2"/>
      <w:numFmt w:val="decimal"/>
      <w:suff w:val="nothing"/>
      <w:lvlText w:val="%1."/>
      <w:lvlJc w:val="left"/>
      <w:pPr>
        <w:tabs>
          <w:tab w:val="left" w:pos="0"/>
        </w:tabs>
        <w:ind w:left="0" w:firstLine="0"/>
      </w:pPr>
    </w:lvl>
  </w:abstractNum>
  <w:abstractNum w:abstractNumId="1">
    <w:nsid w:val="5FAF5837"/>
    <w:multiLevelType w:val="singleLevel"/>
    <w:tmpl w:val="5FAF5837"/>
    <w:lvl w:ilvl="0" w:tentative="0">
      <w:start w:val="3"/>
      <w:numFmt w:val="chineseCounting"/>
      <w:suff w:val="nothing"/>
      <w:lvlText w:val="（%1）"/>
      <w:lvlJc w:val="left"/>
      <w:pPr>
        <w:tabs>
          <w:tab w:val="left"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zQ0N2YwNGQ1MzVhYzU5OTgwOGFjOWE1MWI5YjA1MWQifQ=="/>
  </w:docVars>
  <w:rsids>
    <w:rsidRoot w:val="00000000"/>
    <w:rsid w:val="524B19F2"/>
    <w:rsid w:val="696E2A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Normal Indent"/>
    <w:basedOn w:val="1"/>
    <w:uiPriority w:val="0"/>
    <w:pPr>
      <w:ind w:firstLine="200" w:firstLine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8">
    <w:name w:val="table of figures"/>
    <w:basedOn w:val="1"/>
    <w:next w:val="1"/>
    <w:qFormat/>
    <w:uiPriority w:val="0"/>
    <w:pPr>
      <w:ind w:left="400" w:leftChars="200" w:hanging="200" w:hanging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26</Pages>
  <Words>3388</Words>
  <Characters>4561</Characters>
  <Lines>1066</Lines>
  <Paragraphs>515</Paragraphs>
  <TotalTime>3</TotalTime>
  <ScaleCrop>false</ScaleCrop>
  <LinksUpToDate>false</LinksUpToDate>
  <CharactersWithSpaces>4746</CharactersWithSpaces>
  <Application>WPS Office_12.1.0.26899_F1E327BC-269C-435d-A152-05C5408002CA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2022-07-20T08:53:00Z</dcterms:created>
  <dc:creator>Administrator</dc:creator>
  <cp:lastModifiedBy>盐星星</cp:lastModifiedBy>
  <dcterms:modified xsi:type="dcterms:W3CDTF">2026-07-15T01:11:26Z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170583FFCAA444DA83DF15EFC41E8535</vt:lpwstr>
  </property>
  <property fmtid="{D5CDD505-2E9C-101B-9397-08002B2CF9AE}" pid="4" name="KSOTemplateDocerSaveRecord">
    <vt:lpwstr>eyJoZGlkIjoiNzkyYzRhOGNmZjI2NTRmMmU4ZjYwMzM3MDcwMmEzMWYiLCJ1c2VySWQiOiIxMDYwOTQ0NDM1In0=</vt:lpwstr>
  </property>
</Properties>
</file>