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jc w:val="center"/>
        <w:textAlignment w:val="auto"/>
        <w:rPr>
          <w:rFonts w:ascii="Times New Roman" w:eastAsia="方正小标宋简体" w:cs="Times New Roman" w:hAnsi="Times New Roman"/>
          <w:color w:val="000000"/>
          <w:sz w:val="44"/>
          <w:szCs w:val="44"/>
          <w:lang w:eastAsia="zh-CN"/>
          <w:highlight w:val="auto"/>
        </w:rPr>
      </w:pPr>
      <w:r>
        <w:rPr>
          <w:rFonts w:ascii="Times New Roman" w:eastAsia="方正小标宋简体" w:cs="Times New Roman" w:hAnsi="Times New Roman"/>
          <w:color w:val="000000"/>
          <w:sz w:val="44"/>
          <w:szCs w:val="44"/>
          <w:lang w:eastAsia="zh-CN"/>
          <w:highlight w:val="auto"/>
        </w:rPr>
        <w:t>金川县人民政府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jc w:val="center"/>
        <w:textAlignment w:val="auto"/>
        <w:rPr>
          <w:rFonts w:ascii="Times New Roman" w:eastAsia="方正小标宋简体" w:cs="Times New Roman" w:hAnsi="Times New Roman"/>
          <w:color w:val="000000"/>
          <w:sz w:val="44"/>
          <w:szCs w:val="44"/>
          <w:highlight w:val="auto"/>
        </w:rPr>
      </w:pPr>
      <w:r>
        <w:rPr>
          <w:rFonts w:ascii="Times New Roman" w:eastAsia="方正小标宋简体" w:cs="Times New Roman" w:hAnsi="Times New Roman"/>
          <w:color w:val="000000"/>
          <w:sz w:val="44"/>
          <w:szCs w:val="44"/>
          <w:lang w:eastAsia="zh-CN"/>
          <w:highlight w:val="auto"/>
        </w:rPr>
        <w:t>关于金川县</w:t>
      </w:r>
      <w:r>
        <w:rPr>
          <w:rFonts w:ascii="Times New Roman" w:eastAsia="方正小标宋简体" w:cs="Times New Roman" w:hAnsi="Times New Roman"/>
          <w:color w:val="000000"/>
          <w:sz w:val="44"/>
          <w:szCs w:val="44"/>
          <w:highlight w:val="auto"/>
        </w:rPr>
        <w:t>2</w:t>
      </w:r>
      <w:r>
        <w:rPr>
          <w:rFonts w:ascii="Times New Roman" w:eastAsia="方正小标宋简体" w:cs="Times New Roman" w:hAnsi="Times New Roman"/>
          <w:color w:val="000000"/>
          <w:sz w:val="44"/>
          <w:szCs w:val="44"/>
          <w:lang w:val="en-US" w:eastAsia="zh-CN"/>
          <w:highlight w:val="auto"/>
        </w:rPr>
        <w:t>021</w:t>
      </w:r>
      <w:r>
        <w:rPr>
          <w:rFonts w:ascii="Times New Roman" w:eastAsia="方正小标宋简体" w:cs="Times New Roman" w:hAnsi="Times New Roman"/>
          <w:color w:val="000000"/>
          <w:sz w:val="44"/>
          <w:szCs w:val="44"/>
          <w:highlight w:val="auto"/>
        </w:rPr>
        <w:t>年财政决算和20</w:t>
      </w:r>
      <w:r>
        <w:rPr>
          <w:rFonts w:ascii="Times New Roman" w:eastAsia="方正小标宋简体" w:cs="Times New Roman" w:hAnsi="Times New Roman"/>
          <w:color w:val="000000"/>
          <w:sz w:val="44"/>
          <w:szCs w:val="44"/>
          <w:lang w:val="en-US" w:eastAsia="zh-CN"/>
          <w:highlight w:val="auto"/>
        </w:rPr>
        <w:t>22</w:t>
      </w:r>
      <w:r>
        <w:rPr>
          <w:rFonts w:ascii="Times New Roman" w:eastAsia="方正小标宋简体" w:cs="Times New Roman" w:hAnsi="Times New Roman"/>
          <w:color w:val="000000"/>
          <w:sz w:val="44"/>
          <w:szCs w:val="44"/>
          <w:highlight w:val="auto"/>
        </w:rPr>
        <w:t>年上半年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jc w:val="center"/>
        <w:textAlignment w:val="auto"/>
        <w:rPr>
          <w:rFonts w:ascii="Times New Roman" w:eastAsia="方正小标宋简体" w:cs="Times New Roman" w:hAnsi="Times New Roman"/>
          <w:color w:val="000000"/>
          <w:sz w:val="44"/>
          <w:szCs w:val="44"/>
          <w:highlight w:val="auto"/>
        </w:rPr>
      </w:pPr>
      <w:r>
        <w:rPr>
          <w:rFonts w:ascii="Times New Roman" w:eastAsia="方正小标宋简体" w:cs="Times New Roman" w:hAnsi="Times New Roman"/>
          <w:color w:val="000000"/>
          <w:sz w:val="44"/>
          <w:szCs w:val="44"/>
          <w:highlight w:val="auto"/>
        </w:rPr>
        <w:t>预算执行情况的报告</w:t>
      </w:r>
    </w:p>
    <w:p>
      <w:pPr>
        <w:pStyle w:val="18"/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ascii="Times New Roman" w:eastAsia="方正小标宋简体" w:cs="Times New Roman" w:hAnsi="Times New Roman"/>
          <w:color w:val="000000"/>
          <w:sz w:val="44"/>
          <w:szCs w:val="44"/>
          <w:highlight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center"/>
        <w:textAlignment w:val="auto"/>
        <w:rPr>
          <w:rFonts w:ascii="Times New Roman" w:eastAsia="楷体_GB2312" w:cs="Times New Roman" w:hAnsi="Times New Roman"/>
          <w:b w:val="0"/>
          <w:bCs w:val="0"/>
          <w:color w:val="000000"/>
          <w:sz w:val="32"/>
          <w:szCs w:val="32"/>
          <w:highlight w:val="auto"/>
        </w:rPr>
      </w:pPr>
      <w:r>
        <w:rPr>
          <w:rFonts w:ascii="Times New Roman" w:eastAsia="楷体_GB2312" w:cs="Times New Roman" w:hAnsi="Times New Roman"/>
          <w:b w:val="0"/>
          <w:bCs w:val="0"/>
          <w:color w:val="000000"/>
          <w:sz w:val="32"/>
          <w:szCs w:val="32"/>
          <w:highlight w:val="auto"/>
        </w:rPr>
        <w:t>202</w:t>
      </w:r>
      <w:r>
        <w:rPr>
          <w:rFonts w:ascii="Times New Roman" w:eastAsia="楷体_GB2312" w:cs="Times New Roman" w:hAnsi="Times New Roman"/>
          <w:b w:val="0"/>
          <w:bCs w:val="0"/>
          <w:color w:val="000000"/>
          <w:sz w:val="32"/>
          <w:szCs w:val="32"/>
          <w:lang w:val="en-US" w:eastAsia="zh-CN"/>
          <w:highlight w:val="auto"/>
        </w:rPr>
        <w:t>2</w:t>
      </w:r>
      <w:r>
        <w:rPr>
          <w:rFonts w:ascii="Times New Roman" w:eastAsia="楷体_GB2312" w:cs="Times New Roman" w:hAnsi="Times New Roman"/>
          <w:b w:val="0"/>
          <w:bCs w:val="0"/>
          <w:color w:val="000000"/>
          <w:sz w:val="32"/>
          <w:szCs w:val="32"/>
          <w:highlight w:val="auto"/>
        </w:rPr>
        <w:t>年</w:t>
      </w:r>
      <w:r>
        <w:rPr>
          <w:rFonts w:ascii="Times New Roman" w:eastAsia="宋体" w:cs="Times New Roman" w:hAnsi="Times New Roman"/>
          <w:b w:val="0"/>
          <w:bCs w:val="0"/>
          <w:color w:val="000000"/>
          <w:sz w:val="32"/>
          <w:szCs w:val="32"/>
          <w:lang w:val="en-US" w:eastAsia="zh-CN"/>
          <w:highlight w:val="auto"/>
        </w:rPr>
        <w:t>7</w:t>
      </w:r>
      <w:r>
        <w:rPr>
          <w:rFonts w:ascii="Times New Roman" w:eastAsia="楷体_GB2312" w:cs="Times New Roman" w:hAnsi="Times New Roman"/>
          <w:b w:val="0"/>
          <w:bCs w:val="0"/>
          <w:color w:val="000000"/>
          <w:sz w:val="32"/>
          <w:szCs w:val="32"/>
          <w:highlight w:val="auto"/>
        </w:rPr>
        <w:t>月</w:t>
      </w:r>
      <w:r>
        <w:rPr>
          <w:rFonts w:ascii="Times New Roman" w:eastAsia="宋体" w:cs="Times New Roman" w:hAnsi="Times New Roman"/>
          <w:b w:val="0"/>
          <w:bCs w:val="0"/>
          <w:color w:val="000000"/>
          <w:sz w:val="32"/>
          <w:szCs w:val="32"/>
          <w:lang w:val="en-US" w:eastAsia="zh-CN"/>
          <w:highlight w:val="auto"/>
        </w:rPr>
        <w:t>28</w:t>
      </w:r>
      <w:r>
        <w:rPr>
          <w:rFonts w:ascii="Times New Roman" w:eastAsia="楷体_GB2312" w:cs="Times New Roman" w:hAnsi="Times New Roman"/>
          <w:b w:val="0"/>
          <w:bCs w:val="0"/>
          <w:color w:val="000000"/>
          <w:sz w:val="32"/>
          <w:szCs w:val="32"/>
          <w:highlight w:val="auto"/>
        </w:rPr>
        <w:t>日在</w:t>
      </w:r>
      <w:r>
        <w:rPr>
          <w:rFonts w:ascii="Times New Roman" w:eastAsia="楷体_GB2312" w:cs="Times New Roman" w:hAnsi="Times New Roman"/>
          <w:b w:val="0"/>
          <w:bCs w:val="0"/>
          <w:color w:val="000000"/>
          <w:sz w:val="32"/>
          <w:szCs w:val="32"/>
          <w:lang w:eastAsia="zh-CN"/>
          <w:highlight w:val="auto"/>
        </w:rPr>
        <w:t>县</w:t>
      </w:r>
      <w:r>
        <w:rPr>
          <w:rFonts w:ascii="Times New Roman" w:eastAsia="楷体_GB2312" w:cs="Times New Roman" w:hAnsi="Times New Roman"/>
          <w:b w:val="0"/>
          <w:bCs w:val="0"/>
          <w:color w:val="000000"/>
          <w:sz w:val="32"/>
          <w:szCs w:val="32"/>
          <w:highlight w:val="auto"/>
        </w:rPr>
        <w:t>十五届人大常委会第四次会议上</w:t>
      </w:r>
    </w:p>
    <w:p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/>
        <w:jc w:val="center"/>
        <w:textAlignment w:val="auto"/>
        <w:outlineLvl w:val="9"/>
        <w:rPr>
          <w:rFonts w:ascii="Times New Roman" w:eastAsia="楷体_GB2312" w:cs="Times New Roman" w:hAnsi="Times New Roman"/>
          <w:b w:val="0"/>
          <w:bCs/>
          <w:color w:val="000000"/>
          <w:kern w:val="0"/>
          <w:sz w:val="32"/>
          <w:szCs w:val="32"/>
          <w:lang w:val="en-US" w:eastAsia="zh-CN"/>
          <w:highlight w:val="auto"/>
        </w:rPr>
      </w:pPr>
      <w:r>
        <w:rPr>
          <w:rFonts w:ascii="Times New Roman" w:eastAsia="楷体_GB2312" w:cs="Times New Roman" w:hAnsi="Times New Roman"/>
          <w:b w:val="0"/>
          <w:bCs/>
          <w:color w:val="000000"/>
          <w:kern w:val="0"/>
          <w:sz w:val="32"/>
          <w:szCs w:val="32"/>
          <w:lang w:val="en-US" w:eastAsia="zh-CN"/>
          <w:highlight w:val="auto"/>
        </w:rPr>
        <w:t>财政局党组书记 局长  马定发</w:t>
      </w:r>
    </w:p>
    <w:p>
      <w:pPr>
        <w:pStyle w:val="18"/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/>
        <w:overflowPunct/>
        <w:topLinePunct w:val="0"/>
        <w:bidi w:val="0"/>
        <w:spacing w:line="560" w:lineRule="exact"/>
        <w:textAlignment w:val="auto"/>
        <w:rPr>
          <w:rFonts w:ascii="Times New Roman" w:cs="Times New Roman" w:hAnsi="Times New Roman"/>
          <w:color w:val="000000"/>
          <w:sz w:val="32"/>
          <w:szCs w:val="32"/>
          <w:highlight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textAlignment w:val="auto"/>
        <w:rPr>
          <w:rFonts w:ascii="Times New Roman" w:eastAsia="仿宋_GB2312" w:cs="Times New Roman" w:hAnsi="Times New Roman"/>
          <w:b/>
          <w:bCs/>
          <w:color w:val="000000"/>
          <w:kern w:val="0"/>
          <w:sz w:val="32"/>
          <w:szCs w:val="32"/>
          <w:highlight w:val="auto"/>
        </w:rPr>
      </w:pPr>
      <w:r>
        <w:rPr>
          <w:rFonts w:ascii="Times New Roman" w:eastAsia="仿宋_GB2312" w:cs="Times New Roman" w:hAnsi="Times New Roman"/>
          <w:b/>
          <w:bCs/>
          <w:color w:val="000000"/>
          <w:kern w:val="0"/>
          <w:sz w:val="32"/>
          <w:szCs w:val="32"/>
          <w:highlight w:val="auto"/>
        </w:rPr>
        <w:t>主任、各位副主任</w:t>
      </w:r>
      <w:r>
        <w:rPr>
          <w:rFonts w:ascii="Times New Roman" w:eastAsia="仿宋_GB2312" w:cs="Times New Roman" w:hAnsi="Times New Roman"/>
          <w:b/>
          <w:bCs/>
          <w:color w:val="000000"/>
          <w:kern w:val="0"/>
          <w:sz w:val="32"/>
          <w:szCs w:val="32"/>
          <w:lang w:val="en-US" w:eastAsia="zh-CN"/>
          <w:highlight w:val="auto"/>
        </w:rPr>
        <w:t>，</w:t>
      </w:r>
      <w:r>
        <w:rPr>
          <w:rFonts w:ascii="Times New Roman" w:eastAsia="仿宋_GB2312" w:cs="Times New Roman" w:hAnsi="Times New Roman"/>
          <w:b/>
          <w:bCs/>
          <w:color w:val="000000"/>
          <w:kern w:val="0"/>
          <w:sz w:val="32"/>
          <w:szCs w:val="32"/>
          <w:highlight w:val="auto"/>
        </w:rPr>
        <w:t>各位委员：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Chars="200" w:firstLine="640"/>
        <w:textAlignment w:val="auto"/>
        <w:rPr>
          <w:rFonts w:ascii="Times New Roman" w:eastAsia="仿宋_GB2312" w:cs="Times New Roman" w:hAnsi="Times New Roman"/>
          <w:color w:val="000000"/>
          <w:kern w:val="0"/>
          <w:sz w:val="32"/>
          <w:szCs w:val="32"/>
          <w:highlight w:val="auto"/>
        </w:rPr>
      </w:pPr>
      <w:r>
        <w:rPr>
          <w:rFonts w:ascii="Times New Roman" w:eastAsia="仿宋_GB2312" w:cs="Times New Roman" w:hAnsi="Times New Roman"/>
          <w:color w:val="000000"/>
          <w:sz w:val="32"/>
          <w:szCs w:val="32"/>
          <w:highlight w:val="auto"/>
        </w:rPr>
        <w:t>按照会议安排，受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eastAsia="zh-CN"/>
          <w:highlight w:val="auto"/>
        </w:rPr>
        <w:t>县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highlight w:val="auto"/>
        </w:rPr>
        <w:t>人民政府委托，我向会议报告金川县</w:t>
      </w:r>
      <w:r>
        <w:rPr>
          <w:rFonts w:ascii="Times New Roman" w:eastAsia="仿宋_GB2312" w:cs="Times New Roman" w:hAnsi="Times New Roman"/>
          <w:color w:val="000000"/>
          <w:kern w:val="0"/>
          <w:sz w:val="32"/>
          <w:szCs w:val="32"/>
          <w:lang w:val="en-US" w:eastAsia="zh-CN"/>
          <w:highlight w:val="auto"/>
        </w:rPr>
        <w:t>2021</w:t>
      </w:r>
      <w:r>
        <w:rPr>
          <w:rFonts w:ascii="Times New Roman" w:eastAsia="仿宋_GB2312" w:cs="Times New Roman" w:hAnsi="Times New Roman"/>
          <w:color w:val="000000"/>
          <w:kern w:val="0"/>
          <w:sz w:val="32"/>
          <w:szCs w:val="32"/>
          <w:highlight w:val="auto"/>
        </w:rPr>
        <w:t>年财政决算和</w:t>
      </w:r>
      <w:r>
        <w:rPr>
          <w:rFonts w:ascii="Times New Roman" w:eastAsia="仿宋_GB2312" w:cs="Times New Roman" w:hAnsi="Times New Roman"/>
          <w:color w:val="000000"/>
          <w:kern w:val="0"/>
          <w:sz w:val="32"/>
          <w:szCs w:val="32"/>
          <w:lang w:val="en-US" w:eastAsia="zh-CN"/>
          <w:highlight w:val="auto"/>
        </w:rPr>
        <w:t>2022</w:t>
      </w:r>
      <w:r>
        <w:rPr>
          <w:rFonts w:ascii="Times New Roman" w:eastAsia="仿宋_GB2312" w:cs="Times New Roman" w:hAnsi="Times New Roman"/>
          <w:color w:val="000000"/>
          <w:kern w:val="0"/>
          <w:sz w:val="32"/>
          <w:szCs w:val="32"/>
          <w:highlight w:val="auto"/>
        </w:rPr>
        <w:t>年上半年预算执行情况，请予以审议。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bidi w:val="0"/>
        <w:snapToGrid/>
        <w:spacing w:line="560" w:lineRule="exact"/>
        <w:ind w:firstLineChars="200" w:firstLine="640"/>
        <w:textAlignment w:val="auto"/>
        <w:rPr>
          <w:rFonts w:ascii="Times New Roman" w:eastAsia="黑体" w:cs="Times New Roman" w:hAnsi="Times New Roman"/>
          <w:color w:val="000000"/>
          <w:sz w:val="32"/>
          <w:szCs w:val="32"/>
          <w:highlight w:val="auto"/>
        </w:rPr>
      </w:pPr>
      <w:r>
        <w:rPr>
          <w:rFonts w:ascii="Times New Roman" w:eastAsia="黑体" w:cs="Times New Roman" w:hAnsi="Times New Roman"/>
          <w:bCs/>
          <w:color w:val="000000"/>
          <w:sz w:val="32"/>
          <w:szCs w:val="32"/>
          <w:lang w:val="zh-CN"/>
          <w:highlight w:val="auto"/>
        </w:rPr>
        <w:t>一、</w:t>
      </w:r>
      <w:r>
        <w:rPr>
          <w:rFonts w:ascii="Times New Roman" w:eastAsia="黑体" w:cs="Times New Roman" w:hAnsi="Times New Roman"/>
          <w:bCs/>
          <w:color w:val="000000"/>
          <w:sz w:val="32"/>
          <w:szCs w:val="32"/>
          <w:lang w:val="en-US" w:eastAsia="zh-CN"/>
          <w:highlight w:val="auto"/>
        </w:rPr>
        <w:t>2021</w:t>
      </w:r>
      <w:r>
        <w:rPr>
          <w:rFonts w:ascii="Times New Roman" w:eastAsia="黑体" w:cs="Times New Roman" w:hAnsi="Times New Roman"/>
          <w:bCs/>
          <w:color w:val="000000"/>
          <w:sz w:val="32"/>
          <w:szCs w:val="32"/>
          <w:lang w:val="zh-CN"/>
          <w:highlight w:val="auto"/>
        </w:rPr>
        <w:t>年财政决算情况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Chars="200" w:firstLine="640"/>
        <w:textAlignment w:val="auto"/>
        <w:rPr>
          <w:rFonts w:ascii="Times New Roman" w:eastAsia="黑体" w:cs="Times New Roman" w:hAnsi="Times New Roman"/>
          <w:color w:val="000000"/>
          <w:sz w:val="32"/>
          <w:szCs w:val="32"/>
        </w:rPr>
      </w:pPr>
      <w:r>
        <w:rPr>
          <w:rFonts w:ascii="Times New Roman" w:eastAsia="仿宋_GB2312" w:cs="Times New Roman" w:hAnsi="Times New Roman"/>
          <w:color w:val="000000"/>
          <w:sz w:val="32"/>
          <w:szCs w:val="32"/>
        </w:rPr>
        <w:t>2021年，面对严峻复杂的国际疫情和社会经济形势，财政部门始终坚持以习近平新时代中国特色社会主义思想为指导，认真贯彻落实党的十九大和十九届六中全会以及省委、州委、县委历次全会精神，</w:t>
      </w:r>
      <w:r>
        <w:rPr>
          <w:rFonts w:ascii="Times New Roman" w:eastAsia="仿宋_GB2312" w:cs="Times New Roman" w:hAnsi="Times New Roman"/>
          <w:color w:val="000000"/>
          <w:sz w:val="32"/>
          <w:szCs w:val="32"/>
        </w:rPr>
        <w:t>紧扣县委“一二三六”发展战略和全县工作大局，</w:t>
      </w:r>
      <w:r>
        <w:rPr>
          <w:rFonts w:ascii="Times New Roman" w:eastAsia="仿宋_GB2312" w:cs="Times New Roman" w:hAnsi="Times New Roman"/>
          <w:color w:val="000000"/>
          <w:sz w:val="32"/>
          <w:szCs w:val="32"/>
        </w:rPr>
        <w:t>坚持“有保有压、有进有退、进退有度”的财政保障思路，全面落实更加积极有为的财政政策，集中财力做好“六稳”“六保”工作。坚持稳中求进工作总基调，以供给侧结构性改革为主线，紧扣全面建成小康社会目标任务，统筹抓好疫情防控和经济社会发展工作，严格执行县十四届人民代表大会第五次会议批准预算。全力促进高质量发展，切实保障和改善民生，全县经济社会平稳发展，财政预算执行总体良好、符合预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Chars="200" w:firstLine="640"/>
        <w:textAlignment w:val="auto"/>
        <w:rPr>
          <w:rFonts w:ascii="Times New Roman" w:eastAsia="楷体_GB2312" w:cs="Times New Roman" w:hAnsi="Times New Roman"/>
          <w:b/>
          <w:bCs/>
          <w:color w:val="000000"/>
          <w:sz w:val="32"/>
          <w:szCs w:val="32"/>
          <w:highlight w:val="auto"/>
        </w:rPr>
        <w:sectPr>
          <w:footerReference w:type="default" r:id="rId2"/>
          <w:pgSz w:w="11906" w:h="16838"/>
          <w:pgMar w:top="2098" w:right="1474" w:bottom="1984" w:left="1587" w:header="851" w:footer="992" w:gutter="0"/>
          <w:pgNumType w:fmt="numberInDash"/>
          <w:rtlGutter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Chars="200" w:firstLine="640"/>
        <w:textAlignment w:val="auto"/>
        <w:rPr>
          <w:rFonts w:ascii="Times New Roman" w:eastAsia="楷体_GB2312" w:cs="Times New Roman" w:hAnsi="Times New Roman"/>
          <w:b/>
          <w:color w:val="000000"/>
          <w:sz w:val="32"/>
          <w:szCs w:val="32"/>
          <w:highlight w:val="auto"/>
        </w:rPr>
      </w:pPr>
      <w:r>
        <w:rPr>
          <w:rFonts w:ascii="Times New Roman" w:eastAsia="楷体_GB2312" w:cs="Times New Roman" w:hAnsi="Times New Roman"/>
          <w:b/>
          <w:bCs/>
          <w:color w:val="000000"/>
          <w:sz w:val="32"/>
          <w:szCs w:val="32"/>
          <w:highlight w:val="auto"/>
        </w:rPr>
        <w:t>（一）</w:t>
      </w:r>
      <w:r>
        <w:rPr>
          <w:rFonts w:ascii="Times New Roman" w:eastAsia="楷体_GB2312" w:cs="Times New Roman" w:hAnsi="Times New Roman"/>
          <w:b/>
          <w:color w:val="000000"/>
          <w:sz w:val="32"/>
          <w:szCs w:val="32"/>
          <w:highlight w:val="auto"/>
        </w:rPr>
        <w:t>一般公共预算收支</w:t>
      </w:r>
      <w:r>
        <w:rPr>
          <w:rFonts w:ascii="Times New Roman" w:eastAsia="楷体_GB2312" w:cs="Times New Roman" w:hAnsi="Times New Roman"/>
          <w:b/>
          <w:bCs/>
          <w:color w:val="000000"/>
          <w:sz w:val="32"/>
          <w:szCs w:val="32"/>
          <w:highlight w:val="auto"/>
        </w:rPr>
        <w:t>决算情况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Chars="200" w:firstLine="640"/>
        <w:textAlignment w:val="auto"/>
        <w:rPr>
          <w:rFonts w:ascii="Times New Roman" w:eastAsia="仿宋_GB2312" w:cs="Times New Roman" w:hAnsi="Times New Roman"/>
          <w:color w:val="000000"/>
          <w:sz w:val="32"/>
          <w:szCs w:val="32"/>
          <w:lang w:val="en-US" w:eastAsia="zh-CN"/>
        </w:rPr>
      </w:pPr>
      <w:r>
        <w:rPr>
          <w:rFonts w:ascii="Times New Roman" w:eastAsia="仿宋_GB2312" w:cs="Times New Roman" w:hAnsi="Times New Roman"/>
          <w:b/>
          <w:bCs/>
          <w:color w:val="000000"/>
          <w:sz w:val="32"/>
          <w:szCs w:val="32"/>
          <w:highlight w:val="auto"/>
        </w:rPr>
        <w:t>1.收入决算情况。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highlight w:val="auto"/>
        </w:rPr>
        <w:t>全县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en-US" w:eastAsia="zh-CN"/>
        </w:rPr>
        <w:t>一般公共预算收入完成10830万元，完成年初预算的100.2%，同比增长8.21%。其中：税收收入完成6841万元，为预算的84.43%，同比下降8.88%；非税收入完成3989万元，为预算的147.47%，同比增长59.56%。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Chars="200" w:firstLine="640"/>
        <w:textAlignment w:val="auto"/>
        <w:rPr>
          <w:rFonts w:ascii="Times New Roman" w:eastAsia="仿宋_GB2312" w:cs="Times New Roman" w:hAnsi="Times New Roman"/>
          <w:color w:val="000000"/>
          <w:sz w:val="32"/>
          <w:szCs w:val="32"/>
          <w:lang w:val="en-US" w:eastAsia="zh-CN"/>
          <w:highlight w:val="yellow"/>
        </w:rPr>
      </w:pPr>
      <w:r>
        <w:rPr>
          <w:rFonts w:ascii="Times New Roman" w:eastAsia="仿宋_GB2312" w:cs="Times New Roman" w:hAnsi="Times New Roman"/>
          <w:b/>
          <w:bCs/>
          <w:color w:val="000000"/>
          <w:sz w:val="32"/>
          <w:szCs w:val="32"/>
          <w:lang w:val="en-US" w:eastAsia="zh-CN"/>
        </w:rPr>
        <w:t>2.支出决算情况。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en-US" w:eastAsia="zh-CN"/>
        </w:rPr>
        <w:t>全县一般公共预算支出完成161764万元，同比下降3.84%。其中：一般公共服务支出19345万元，国防支出375万元，公共安全支出8472万元，教育支出22711万元，科学技术支出366万元，文化旅游体育与传媒支出2665万元，社会保障和就业支出14372万元，卫生健康支出14136万元，节能环保支出5317万元，城乡社区支出4683万元，农林水支出47019万元，交通运输支出1060万元，资源勘探工业信息等支出491万元，商业服务业等支出132万元，自然资源海洋气象等支出554万元，住房保障支出6214万元，粮油物资储备支出334万元，灾害防治及应急管理支出5226万元，其他支出6875万元，地方政府债务付息支出1414万元，债务发行费用支出3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Chars="200" w:firstLine="640"/>
        <w:textAlignment w:val="auto"/>
        <w:rPr>
          <w:rFonts w:ascii="Times New Roman" w:eastAsia="仿宋_GB2312" w:cs="Times New Roman" w:hAnsi="Times New Roman"/>
          <w:color w:val="000000"/>
          <w:sz w:val="32"/>
          <w:szCs w:val="32"/>
          <w:lang w:val="en-US" w:eastAsia="zh-CN"/>
        </w:rPr>
      </w:pPr>
      <w:r>
        <w:rPr>
          <w:rFonts w:ascii="Times New Roman" w:eastAsia="仿宋_GB2312" w:cs="Times New Roman" w:hAnsi="Times New Roman"/>
          <w:b/>
          <w:bCs/>
          <w:color w:val="000000"/>
          <w:sz w:val="32"/>
          <w:szCs w:val="32"/>
          <w:lang w:val="en-US" w:eastAsia="zh-CN"/>
        </w:rPr>
        <w:t>3.收支平衡情况。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en-US" w:eastAsia="zh-CN"/>
        </w:rPr>
        <w:t>一般公共预算收入10830万元，加上上级补助收入151011万元、地方政府一般债务转贷收入3595万元、接受其他地区援助收入4500万元、上年结余309万元后，可安排的收入总量为170245万元。收入总量减去当年支出161764万元、上解支出3548万元、偿还地方政府一般债务还本支出3595万元、安排预算稳定调节基金22万元后，年终结转1316万元，已全部按原用途结转下年支出，全年实现收支平衡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after="0" w:line="560" w:lineRule="exact"/>
        <w:ind w:firstLineChars="200" w:firstLine="640"/>
        <w:textAlignment w:val="auto"/>
        <w:rPr>
          <w:rFonts w:ascii="Times New Roman" w:eastAsia="仿宋_GB2312" w:cs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eastAsia="仿宋_GB2312" w:cs="Times New Roman" w:hAnsi="Times New Roman"/>
          <w:b/>
          <w:bCs/>
          <w:color w:val="000000"/>
          <w:sz w:val="32"/>
          <w:szCs w:val="32"/>
        </w:rPr>
        <w:t>4.超收收入安排情况。</w:t>
      </w:r>
      <w:r>
        <w:rPr>
          <w:rFonts w:ascii="Times New Roman" w:eastAsia="仿宋_GB2312" w:cs="Times New Roman" w:hAnsi="Times New Roman"/>
          <w:color w:val="000000"/>
          <w:sz w:val="32"/>
          <w:szCs w:val="32"/>
        </w:rPr>
        <w:t>2021年超收收入22万元，按照《预算法》规定，全部安排为预算稳定调节基金。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after="0" w:line="560" w:lineRule="exact"/>
        <w:ind w:firstLineChars="200" w:firstLine="640"/>
        <w:textAlignment w:val="auto"/>
        <w:rPr>
          <w:rFonts w:ascii="Times New Roman" w:eastAsia="仿宋_GB2312" w:cs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eastAsia="仿宋_GB2312" w:cs="Times New Roman" w:hAnsi="Times New Roman"/>
          <w:b/>
          <w:bCs/>
          <w:color w:val="000000"/>
          <w:sz w:val="32"/>
          <w:szCs w:val="32"/>
        </w:rPr>
        <w:t>5.税收返还和转移支付情况。</w:t>
      </w:r>
      <w:r>
        <w:rPr>
          <w:rFonts w:ascii="Times New Roman" w:eastAsia="仿宋_GB2312" w:cs="Times New Roman" w:hAnsi="Times New Roman"/>
          <w:color w:val="000000"/>
          <w:sz w:val="32"/>
          <w:szCs w:val="32"/>
        </w:rPr>
        <w:t>2021年上级下达我县税收返还和转移支付合计151011万元，较上年减少3507万元，同比下降2.27%。其中：返还性收入626万元，较上年无变化；一般性转移支付129485万元，较上年减少2749万元，同比下降2.08%；专项转移支付20900万元，较上年减少758万元，同比下降3.5%。全部按规定用途安排至各相关科目支出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spacing w:after="0" w:line="560" w:lineRule="exact"/>
        <w:ind w:firstLineChars="200" w:firstLine="640"/>
        <w:rPr>
          <w:rFonts w:ascii="Times New Roman" w:eastAsia="仿宋_GB2312" w:cs="Times New Roman" w:hAnsi="Times New Roman"/>
          <w:color w:val="000000"/>
          <w:sz w:val="32"/>
          <w:szCs w:val="32"/>
        </w:rPr>
      </w:pPr>
      <w:r>
        <w:rPr>
          <w:rFonts w:ascii="Times New Roman" w:eastAsia="仿宋_GB2312" w:cs="Times New Roman" w:hAnsi="Times New Roman"/>
          <w:b/>
          <w:bCs/>
          <w:color w:val="000000"/>
          <w:sz w:val="32"/>
          <w:szCs w:val="32"/>
        </w:rPr>
        <w:t>6.“三公”经费决算情况。</w:t>
      </w:r>
      <w:r>
        <w:rPr>
          <w:rFonts w:ascii="Times New Roman" w:eastAsia="仿宋_GB2312" w:cs="Times New Roman" w:hAnsi="Times New Roman"/>
          <w:color w:val="000000"/>
          <w:sz w:val="32"/>
          <w:szCs w:val="32"/>
        </w:rPr>
        <w:t>2021年财政拨款“三公”经费支出合计927万元，完成年初预算的73.69%，同比增长14.73%。其中：公务用车运行维护费684万元，完成年初预算的111.95%，同比增长21.49%；公务用车购置费27万元，完成年初预算的9%，同比下降25%；公务接待费216万元，完成年初预算的62.25%，同比增长3.35%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Chars="200" w:firstLine="640"/>
        <w:textAlignment w:val="auto"/>
        <w:outlineLvl w:val="9"/>
        <w:rPr>
          <w:rFonts w:ascii="Times New Roman" w:eastAsia="楷体_GB2312" w:cs="Times New Roman" w:hAnsi="Times New Roman"/>
          <w:b/>
          <w:color w:val="000000"/>
          <w:sz w:val="32"/>
          <w:szCs w:val="32"/>
          <w:highlight w:val="auto"/>
        </w:rPr>
      </w:pPr>
      <w:r>
        <w:rPr>
          <w:rFonts w:ascii="Times New Roman" w:eastAsia="楷体_GB2312" w:cs="Times New Roman" w:hAnsi="Times New Roman" w:hint="eastAsia"/>
          <w:b/>
          <w:color w:val="000000"/>
          <w:sz w:val="32"/>
          <w:szCs w:val="32"/>
          <w:lang w:eastAsia="zh-CN"/>
          <w:highlight w:val="auto"/>
        </w:rPr>
        <w:t>（二）</w:t>
      </w:r>
      <w:r>
        <w:rPr>
          <w:rFonts w:ascii="Times New Roman" w:eastAsia="楷体_GB2312" w:cs="Times New Roman" w:hAnsi="Times New Roman"/>
          <w:b/>
          <w:color w:val="000000"/>
          <w:sz w:val="32"/>
          <w:szCs w:val="32"/>
          <w:highlight w:val="auto"/>
        </w:rPr>
        <w:t>政府性基金预算收支决算情况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Chars="200" w:firstLine="640"/>
        <w:textAlignment w:val="auto"/>
        <w:rPr>
          <w:rFonts w:ascii="Times New Roman" w:eastAsia="仿宋_GB2312" w:cs="Times New Roman" w:hAnsi="Times New Roman"/>
          <w:color w:val="000000"/>
          <w:sz w:val="32"/>
          <w:szCs w:val="32"/>
        </w:rPr>
      </w:pPr>
      <w:r>
        <w:rPr>
          <w:rFonts w:ascii="Times New Roman" w:eastAsia="仿宋_GB2312" w:cs="Times New Roman" w:hAnsi="Times New Roman"/>
          <w:color w:val="000000"/>
          <w:sz w:val="32"/>
          <w:szCs w:val="32"/>
          <w:lang w:val="en-US" w:eastAsia="zh-CN"/>
        </w:rPr>
        <w:t>全县政府性基金收入完成1824万元，其中：地方政府性基金预算收入完成747万元（国有土地收益基金收入39万元、农业土地开发资金收入82万元、国有土地使用权出让收入626万元），完成年初预算700万元的106.71%；上级补助收入完成1077万元（大中型水库移民后期扶持基金收入</w:t>
        <w:tab/>
        <w:t>16万元、大中型水库库区基金相关收入894万元、彩票公益金收入167万元）。全县政府性基金支出完成1824万元，其中：大中型水库移民后期扶持基金支出16万元，国有土地使用权出让收入安排的支出620万元，国有土地收益基金安排的支出39万元，农业土地开发资金安排的支出82万元，大中型水库库区基金安排的支出894万元，彩票公益金安排的支出167万元,债务付息支出6万元。全年实现收支平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Chars="200" w:firstLine="640"/>
        <w:jc w:val="left"/>
        <w:textAlignment w:val="auto"/>
        <w:outlineLvl w:val="9"/>
        <w:rPr>
          <w:rFonts w:ascii="Times New Roman" w:eastAsia="楷体_GB2312" w:cs="Times New Roman" w:hAnsi="Times New Roman"/>
          <w:b/>
          <w:color w:val="000000"/>
          <w:sz w:val="32"/>
          <w:szCs w:val="32"/>
          <w:highlight w:val="auto"/>
        </w:rPr>
      </w:pPr>
      <w:r>
        <w:rPr>
          <w:rFonts w:ascii="Times New Roman" w:eastAsia="楷体_GB2312" w:cs="Times New Roman" w:hAnsi="Times New Roman" w:hint="eastAsia"/>
          <w:b/>
          <w:color w:val="000000"/>
          <w:sz w:val="32"/>
          <w:szCs w:val="32"/>
          <w:lang w:eastAsia="zh-CN"/>
          <w:highlight w:val="auto"/>
        </w:rPr>
        <w:t>（三）</w:t>
      </w:r>
      <w:r>
        <w:rPr>
          <w:rFonts w:ascii="Times New Roman" w:eastAsia="楷体_GB2312" w:cs="Times New Roman" w:hAnsi="Times New Roman"/>
          <w:b/>
          <w:color w:val="000000"/>
          <w:sz w:val="32"/>
          <w:szCs w:val="32"/>
          <w:highlight w:val="auto"/>
        </w:rPr>
        <w:t>国有资本经营预算收支决算情况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Chars="200" w:firstLine="640"/>
        <w:jc w:val="left"/>
        <w:textAlignment w:val="auto"/>
        <w:outlineLvl w:val="9"/>
        <w:rPr>
          <w:rFonts w:ascii="Times New Roman" w:eastAsia="仿宋_GB2312" w:cs="Times New Roman" w:hAnsi="Times New Roman"/>
          <w:color w:val="000000"/>
          <w:kern w:val="0"/>
          <w:sz w:val="32"/>
          <w:szCs w:val="32"/>
          <w:highlight w:val="auto"/>
        </w:rPr>
      </w:pPr>
      <w:r>
        <w:rPr>
          <w:rFonts w:ascii="Times New Roman" w:eastAsia="仿宋_GB2312" w:cs="Times New Roman" w:hAnsi="Times New Roman"/>
          <w:color w:val="000000"/>
          <w:kern w:val="0"/>
          <w:sz w:val="32"/>
          <w:szCs w:val="32"/>
          <w:lang w:val="zh-CN"/>
          <w:highlight w:val="auto"/>
        </w:rPr>
        <w:t>目前尚未形成利润收入、股利股息收入、产权转让收入、清算收入和其他国有资本经营预算收入，因此未形成国有资本经营预算收支决算。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Chars="250" w:firstLine="800"/>
        <w:textAlignment w:val="auto"/>
        <w:rPr>
          <w:rFonts w:ascii="Times New Roman" w:eastAsia="楷体_GB2312" w:cs="Times New Roman" w:hAnsi="Times New Roman"/>
          <w:b/>
          <w:color w:val="000000"/>
          <w:sz w:val="32"/>
          <w:szCs w:val="32"/>
          <w:highlight w:val="auto"/>
        </w:rPr>
      </w:pPr>
      <w:r>
        <w:rPr>
          <w:rFonts w:ascii="Times New Roman" w:eastAsia="楷体_GB2312" w:cs="Times New Roman" w:hAnsi="Times New Roman" w:hint="eastAsia"/>
          <w:b/>
          <w:color w:val="000000"/>
          <w:sz w:val="32"/>
          <w:szCs w:val="32"/>
          <w:lang w:eastAsia="zh-CN"/>
          <w:highlight w:val="auto"/>
        </w:rPr>
        <w:t>（四）</w:t>
      </w:r>
      <w:r>
        <w:rPr>
          <w:rFonts w:ascii="Times New Roman" w:eastAsia="楷体_GB2312" w:cs="Times New Roman" w:hAnsi="Times New Roman"/>
          <w:b/>
          <w:color w:val="000000"/>
          <w:sz w:val="32"/>
          <w:szCs w:val="32"/>
          <w:highlight w:val="auto"/>
        </w:rPr>
        <w:t>社会保险基金预算收支决算情况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Chars="250" w:firstLine="800"/>
        <w:textAlignment w:val="auto"/>
        <w:rPr>
          <w:rFonts w:ascii="Times New Roman" w:eastAsia="仿宋_GB2312" w:cs="Times New Roman" w:hAnsi="Times New Roman"/>
          <w:color w:val="000000"/>
          <w:sz w:val="32"/>
          <w:szCs w:val="32"/>
          <w:lang w:val="en-US" w:eastAsia="zh-CN"/>
        </w:rPr>
      </w:pPr>
      <w:r>
        <w:rPr>
          <w:rFonts w:ascii="Times New Roman" w:eastAsia="仿宋_GB2312" w:cs="Times New Roman" w:hAnsi="Times New Roman"/>
          <w:color w:val="000000"/>
          <w:sz w:val="32"/>
          <w:szCs w:val="32"/>
          <w:lang w:val="zh-CN"/>
          <w:highlight w:val="auto"/>
        </w:rPr>
        <w:t>全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en-US" w:eastAsia="zh-CN"/>
        </w:rPr>
        <w:t>县社会保险基金收入完成2347万元,其中：城乡居民基本养老保险基金收入完成2347万元（社会保险费收入688万元，财政补贴收入1448万元，利息收入43万元，委托投资受益162万元，转移收入3万元，其他收入3万元）。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Chars="200" w:firstLine="640"/>
        <w:textAlignment w:val="auto"/>
        <w:outlineLvl w:val="9"/>
        <w:rPr>
          <w:rFonts w:ascii="Times New Roman" w:eastAsia="楷体_GB2312" w:cs="Times New Roman" w:hAnsi="Times New Roman"/>
          <w:color w:val="000000"/>
          <w:sz w:val="32"/>
          <w:szCs w:val="32"/>
          <w:highlight w:val="auto"/>
        </w:rPr>
      </w:pPr>
      <w:r>
        <w:rPr>
          <w:rFonts w:ascii="Times New Roman" w:eastAsia="仿宋_GB2312" w:cs="Times New Roman" w:hAnsi="Times New Roman"/>
          <w:color w:val="000000"/>
          <w:sz w:val="32"/>
          <w:szCs w:val="32"/>
          <w:lang w:val="en-US" w:eastAsia="zh-CN"/>
        </w:rPr>
        <w:t>全县社保基金支出完成1554万元，其中:城乡居民基本养老保险基金支出完成1554万元（社会保险待遇支出1553万元，转移支出1万元）。当年结余793万元，上年结余5996万元，年末滚存结余6789万元。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Chars="200" w:firstLine="640"/>
        <w:jc w:val="both"/>
        <w:textAlignment w:val="auto"/>
        <w:rPr>
          <w:rFonts w:ascii="Times New Roman" w:eastAsia="楷体_GB2312" w:cs="Times New Roman" w:hAnsi="Times New Roman"/>
          <w:b/>
          <w:bCs/>
          <w:color w:val="000000"/>
          <w:sz w:val="32"/>
          <w:szCs w:val="32"/>
          <w:highlight w:val="auto"/>
        </w:rPr>
      </w:pPr>
      <w:r>
        <w:rPr>
          <w:rFonts w:ascii="Times New Roman" w:eastAsia="楷体_GB2312" w:cs="Times New Roman" w:hAnsi="Times New Roman"/>
          <w:b/>
          <w:bCs/>
          <w:color w:val="000000"/>
          <w:sz w:val="32"/>
          <w:szCs w:val="32"/>
        </w:rPr>
        <w:t>（五）地方</w:t>
      </w:r>
      <w:r>
        <w:rPr>
          <w:rFonts w:ascii="Times New Roman" w:eastAsia="楷体_GB2312" w:cs="Times New Roman" w:hAnsi="Times New Roman"/>
          <w:b/>
          <w:bCs/>
          <w:color w:val="000000"/>
          <w:sz w:val="32"/>
          <w:szCs w:val="32"/>
          <w:highlight w:val="auto"/>
        </w:rPr>
        <w:t>政府债务情况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Chars="200" w:firstLine="640"/>
        <w:textAlignment w:val="auto"/>
        <w:rPr>
          <w:rFonts w:ascii="Times New Roman" w:eastAsia="仿宋_GB2312" w:cs="Times New Roman" w:hAnsi="Times New Roman"/>
          <w:color w:val="000000"/>
          <w:sz w:val="32"/>
          <w:szCs w:val="32"/>
        </w:rPr>
      </w:pPr>
      <w:r>
        <w:rPr>
          <w:rFonts w:ascii="Times New Roman" w:eastAsia="仿宋_GB2312" w:cs="Times New Roman" w:hAnsi="Times New Roman"/>
          <w:color w:val="000000"/>
          <w:sz w:val="32"/>
          <w:szCs w:val="32"/>
        </w:rPr>
        <w:t>2021年地方政府债务期初余额为39363万元，其中：一般债务39199万元，专项债务164万元；本年新增地方政府债务转贷收入3595万元，其中：再融资债券3595万元；当年地方政府债务还本支出3595万元；2021年末地方政府债务余额为39363万元。上级核定我县2021年地方政府债务余额限额为53185万元，债务风险持续可控。</w:t>
      </w:r>
    </w:p>
    <w:p>
      <w:pPr>
        <w:pStyle w:val="15"/>
        <w:keepNext w:val="0"/>
        <w:keepLines w:val="0"/>
        <w:pageBreakBefore w:val="0"/>
        <w:widowControl w:val="0"/>
        <w:bidi w:val="0"/>
        <w:spacing w:line="560" w:lineRule="exact"/>
        <w:ind w:firstLineChars="200" w:firstLine="640"/>
        <w:rPr>
          <w:rFonts w:ascii="楷体_GB2312" w:eastAsia="楷体_GB2312"/>
          <w:b/>
          <w:bCs/>
          <w:sz w:val="32"/>
          <w:szCs w:val="32"/>
        </w:rPr>
      </w:pPr>
      <w:r>
        <w:rPr>
          <w:rFonts w:ascii="楷体_GB2312" w:eastAsia="楷体_GB2312" w:hint="eastAsia"/>
          <w:b/>
          <w:bCs/>
          <w:sz w:val="32"/>
          <w:szCs w:val="32"/>
        </w:rPr>
        <w:t>（六）绩效管理情况</w:t>
      </w:r>
    </w:p>
    <w:p>
      <w:pPr>
        <w:pStyle w:val="15"/>
        <w:keepNext w:val="0"/>
        <w:keepLines w:val="0"/>
        <w:pageBreakBefore w:val="0"/>
        <w:widowControl w:val="0"/>
        <w:bidi w:val="0"/>
        <w:spacing w:line="560" w:lineRule="exact"/>
        <w:ind w:firstLineChars="200" w:firstLine="640"/>
        <w:rPr>
          <w:rFonts w:ascii="楷体_GB2312" w:eastAsia="楷体_GB2312" w:hint="eastAsia"/>
          <w:b/>
          <w:bCs/>
          <w:sz w:val="32"/>
          <w:szCs w:val="32"/>
        </w:rPr>
      </w:pPr>
      <w:r>
        <w:rPr>
          <w:rFonts w:ascii="Times New Roman" w:eastAsia="仿宋_GB2312" w:cs="Times New Roman" w:hAnsi="Times New Roman"/>
          <w:color w:val="000000"/>
          <w:sz w:val="32"/>
          <w:szCs w:val="32"/>
          <w:highlight w:val="auto"/>
        </w:rPr>
        <w:t>实行绩效目标分类设置和审核，组织预算单位扎实开展绩效监控、绩效自评和整体评价工作，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eastAsia="zh-CN"/>
        </w:rPr>
        <w:t>其中财政选取了38个乡（镇）、部门开展部门整体绩效评价；抽取了22个部门的民生、扶贫等74个项目开展重点项目支出绩效评价，涉及资金33000万元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en-US" w:eastAsia="zh-CN"/>
          <w:highlight w:val="auto"/>
        </w:rPr>
        <w:t>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after="0" w:line="560" w:lineRule="exact"/>
        <w:ind w:firstLineChars="200" w:firstLine="640"/>
        <w:textAlignment w:val="auto"/>
        <w:rPr>
          <w:rFonts w:ascii="Times New Roman" w:eastAsia="楷体_GB2312" w:cs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eastAsia="楷体_GB2312" w:cs="Times New Roman" w:hAnsi="Times New Roman"/>
          <w:b/>
          <w:bCs/>
          <w:color w:val="000000"/>
          <w:sz w:val="32"/>
          <w:szCs w:val="32"/>
        </w:rPr>
        <w:t>（七）2021年落实县人大决议和财政重点工作情况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after="0" w:line="560" w:lineRule="exact"/>
        <w:ind w:firstLineChars="200" w:firstLine="640"/>
        <w:textAlignment w:val="auto"/>
        <w:rPr>
          <w:rFonts w:ascii="Times New Roman" w:eastAsia="仿宋_GB2312" w:cs="Times New Roman" w:hAnsi="Times New Roman"/>
          <w:color w:val="000000"/>
          <w:spacing w:val="-20"/>
          <w:sz w:val="32"/>
          <w:szCs w:val="32"/>
        </w:rPr>
      </w:pPr>
      <w:r>
        <w:rPr>
          <w:rFonts w:ascii="Times New Roman" w:eastAsia="仿宋_GB2312" w:cs="Times New Roman" w:hAnsi="Times New Roman"/>
          <w:color w:val="000000"/>
          <w:sz w:val="32"/>
          <w:szCs w:val="32"/>
        </w:rPr>
        <w:t>2021年，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highlight w:val="auto"/>
        </w:rPr>
        <w:t>财政部门围绕县委县政府的决策部署，严格执行《预算法》《预算法实施条例》和《四川省预算审查监督条例》有关规定，主动接收人大代表监督指导，认真贯彻落实县第十四届人民代表大会第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eastAsia="zh-CN"/>
          <w:highlight w:val="auto"/>
        </w:rPr>
        <w:t>五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highlight w:val="auto"/>
        </w:rPr>
        <w:t>次会议预算决议要求，全县财政保持了总体平稳、稳中有进的良好态势，较好的服务了全县经济社会发展大局。</w:t>
      </w:r>
    </w:p>
    <w:p>
      <w:pPr>
        <w:pStyle w:val="18"/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Chars="200" w:firstLine="640"/>
        <w:textAlignment w:val="auto"/>
        <w:rPr>
          <w:rFonts w:ascii="Times New Roman" w:eastAsia="仿宋_GB2312" w:cs="Times New Roman" w:hAnsi="Times New Roman"/>
          <w:b/>
          <w:bCs/>
          <w:color w:val="000000"/>
          <w:kern w:val="2"/>
          <w:sz w:val="32"/>
          <w:szCs w:val="32"/>
          <w:lang w:val="en-US" w:eastAsia="zh-CN" w:bidi="ar-SA"/>
          <w:highlight w:val="auto"/>
        </w:rPr>
      </w:pPr>
      <w:r>
        <w:rPr>
          <w:rFonts w:ascii="Times New Roman" w:eastAsia="仿宋_GB2312" w:cs="Times New Roman" w:hAnsi="Times New Roman"/>
          <w:b/>
          <w:bCs/>
          <w:color w:val="000000"/>
          <w:kern w:val="2"/>
          <w:sz w:val="32"/>
          <w:szCs w:val="32"/>
          <w:lang w:val="en-US" w:eastAsia="zh-CN" w:bidi="ar-SA"/>
          <w:highlight w:val="auto"/>
        </w:rPr>
        <w:t>1.疫情防控常态化，保障打赢防疫阻击战</w:t>
      </w:r>
    </w:p>
    <w:p>
      <w:pPr>
        <w:pStyle w:val="18"/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/>
        <w:overflowPunct/>
        <w:topLinePunct w:val="0"/>
        <w:bidi w:val="0"/>
        <w:spacing w:line="560" w:lineRule="exact"/>
        <w:ind w:firstLineChars="200" w:firstLine="640"/>
        <w:jc w:val="both"/>
        <w:textAlignment w:val="auto"/>
        <w:rPr>
          <w:rFonts w:ascii="Times New Roman" w:eastAsia="仿宋_GB2312" w:cs="Times New Roman" w:hAnsi="Times New Roman"/>
          <w:color w:val="000000"/>
          <w:sz w:val="32"/>
          <w:szCs w:val="32"/>
          <w:highlight w:val="auto"/>
        </w:rPr>
      </w:pPr>
      <w:r>
        <w:rPr>
          <w:rFonts w:ascii="Times New Roman" w:eastAsia="仿宋_GB2312" w:cs="Times New Roman" w:hAnsi="Times New Roman"/>
          <w:color w:val="000000"/>
          <w:sz w:val="32"/>
          <w:szCs w:val="32"/>
          <w:highlight w:val="auto"/>
        </w:rPr>
        <w:t>按照县委县政府统一部署，认真贯彻落实疫情防控相关文件精神，迅速筹集资金全力支持疫情防控总体战。全县安排疫情防控资金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en-US" w:eastAsia="zh-CN"/>
          <w:highlight w:val="auto"/>
        </w:rPr>
        <w:t>449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highlight w:val="auto"/>
        </w:rPr>
        <w:t>万元，用于防控设备物资购置、医疗救治、防疫人员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eastAsia="zh-CN"/>
          <w:highlight w:val="auto"/>
        </w:rPr>
        <w:t>、防疫宣传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highlight w:val="auto"/>
        </w:rPr>
        <w:t>等临时工作补助等方面，确保全县不因财政资金延误医疗救治和疫情防控工作。</w:t>
      </w:r>
    </w:p>
    <w:p>
      <w:pPr>
        <w:pStyle w:val="18"/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Chars="200" w:firstLine="640"/>
        <w:textAlignment w:val="auto"/>
        <w:rPr>
          <w:rFonts w:ascii="Times New Roman" w:eastAsia="仿宋_GB2312" w:cs="Times New Roman" w:hAnsi="Times New Roman"/>
          <w:b/>
          <w:bCs/>
          <w:color w:val="000000"/>
          <w:kern w:val="2"/>
          <w:sz w:val="32"/>
          <w:szCs w:val="32"/>
          <w:lang w:val="en-US" w:eastAsia="zh-CN" w:bidi="ar-SA"/>
          <w:highlight w:val="auto"/>
        </w:rPr>
      </w:pPr>
      <w:r>
        <w:rPr>
          <w:rFonts w:ascii="Times New Roman" w:eastAsia="仿宋_GB2312" w:cs="Times New Roman" w:hAnsi="Times New Roman"/>
          <w:b/>
          <w:bCs/>
          <w:color w:val="000000"/>
          <w:kern w:val="2"/>
          <w:sz w:val="32"/>
          <w:szCs w:val="32"/>
          <w:lang w:val="en-US" w:eastAsia="zh-CN" w:bidi="ar-SA"/>
          <w:highlight w:val="auto"/>
        </w:rPr>
        <w:t>2.兜牢“三保”底线，切实保障改善民生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after="0" w:line="560" w:lineRule="exact"/>
        <w:ind w:firstLineChars="200" w:firstLine="640"/>
        <w:textAlignment w:val="auto"/>
        <w:rPr>
          <w:rFonts w:ascii="Times New Roman" w:eastAsia="仿宋_GB2312" w:cs="Times New Roman" w:hAnsi="Times New Roman"/>
          <w:bCs/>
          <w:iCs/>
          <w:color w:val="000000"/>
          <w:sz w:val="32"/>
          <w:szCs w:val="32"/>
          <w:shd w:val="clear" w:color="auto" w:fill="FFFFFF"/>
          <w:highlight w:val="auto"/>
        </w:rPr>
      </w:pPr>
      <w:r>
        <w:rPr>
          <w:rFonts w:ascii="Times New Roman" w:eastAsia="仿宋_GB2312" w:cs="Times New Roman" w:hAnsi="Times New Roman"/>
          <w:color w:val="000000"/>
          <w:sz w:val="32"/>
          <w:szCs w:val="32"/>
        </w:rPr>
        <w:t>牢固树立“三保”支出的优先地位，进一步压实财政部门责任，切实完善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eastAsia="zh-CN"/>
        </w:rPr>
        <w:t>“三保”</w:t>
      </w:r>
      <w:r>
        <w:rPr>
          <w:rFonts w:ascii="Times New Roman" w:eastAsia="仿宋_GB2312" w:cs="Times New Roman" w:hAnsi="Times New Roman"/>
          <w:color w:val="000000"/>
          <w:sz w:val="32"/>
          <w:szCs w:val="32"/>
        </w:rPr>
        <w:t>保障机制，兜牢兜实“三保”底线，确保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eastAsia="zh-CN"/>
        </w:rPr>
        <w:t>工资和相关民生政策</w:t>
      </w:r>
      <w:r>
        <w:rPr>
          <w:rFonts w:ascii="Times New Roman" w:eastAsia="仿宋_GB2312" w:cs="Times New Roman" w:hAnsi="Times New Roman"/>
          <w:color w:val="000000"/>
          <w:sz w:val="32"/>
          <w:szCs w:val="32"/>
        </w:rPr>
        <w:t>及时足额落实到位，保障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eastAsia="zh-CN"/>
        </w:rPr>
        <w:t>基层财政</w:t>
      </w:r>
      <w:r>
        <w:rPr>
          <w:rFonts w:ascii="Times New Roman" w:eastAsia="仿宋_GB2312" w:cs="Times New Roman" w:hAnsi="Times New Roman"/>
          <w:color w:val="000000"/>
          <w:sz w:val="32"/>
          <w:szCs w:val="32"/>
        </w:rPr>
        <w:t>平稳运行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eastAsia="zh-CN"/>
        </w:rPr>
        <w:t>。2021年“三保”支出完成80684万元，其中：保工资支出完成62572万元，保运转支出完成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en-US" w:eastAsia="zh-CN"/>
          <w:highlight w:val="auto"/>
        </w:rPr>
        <w:t>6466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highlight w:val="auto"/>
        </w:rPr>
        <w:t>万元，保基本民生支出完成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en-US" w:eastAsia="zh-CN"/>
          <w:highlight w:val="auto"/>
        </w:rPr>
        <w:t>11646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highlight w:val="auto"/>
        </w:rPr>
        <w:t>万元。在继续实行工资和扶贫支出专户管理的基础上，从4月起对基本民生支出实行专项库款保障管理，确保资金及时足额到位，2021年，30件项民生实事预算安排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en-US" w:eastAsia="zh-CN"/>
          <w:highlight w:val="auto"/>
        </w:rPr>
        <w:t>5953.72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highlight w:val="auto"/>
        </w:rPr>
        <w:t>万元，预算下达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en-US" w:eastAsia="zh-CN"/>
          <w:highlight w:val="auto"/>
        </w:rPr>
        <w:t>6200.95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highlight w:val="auto"/>
        </w:rPr>
        <w:t>万元，资金拨付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en-US" w:eastAsia="zh-CN"/>
          <w:highlight w:val="auto"/>
        </w:rPr>
        <w:t>6231.88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highlight w:val="auto"/>
        </w:rPr>
        <w:t>万元，资金拔付占预算安排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en-US" w:eastAsia="zh-CN"/>
          <w:highlight w:val="auto"/>
        </w:rPr>
        <w:t>104.67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highlight w:val="auto"/>
        </w:rPr>
        <w:t>%，占预算下达的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en-US" w:eastAsia="zh-CN"/>
          <w:highlight w:val="auto"/>
        </w:rPr>
        <w:t>100.5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highlight w:val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Chars="200" w:firstLine="640"/>
        <w:textAlignment w:val="auto"/>
        <w:rPr>
          <w:rFonts w:ascii="Times New Roman" w:eastAsia="仿宋_GB2312" w:cs="Times New Roman" w:hAnsi="Times New Roman"/>
          <w:b/>
          <w:bCs/>
          <w:color w:val="000000"/>
          <w:kern w:val="2"/>
          <w:sz w:val="32"/>
          <w:szCs w:val="32"/>
          <w:lang w:val="en-US" w:eastAsia="zh-CN" w:bidi="ar-SA"/>
          <w:highlight w:val="auto"/>
        </w:rPr>
      </w:pPr>
      <w:r>
        <w:rPr>
          <w:rFonts w:ascii="Times New Roman" w:eastAsia="仿宋_GB2312" w:cs="Times New Roman" w:hAnsi="Times New Roman"/>
          <w:b/>
          <w:bCs/>
          <w:color w:val="000000"/>
          <w:kern w:val="2"/>
          <w:sz w:val="32"/>
          <w:szCs w:val="32"/>
          <w:lang w:val="en-US" w:eastAsia="zh-CN" w:bidi="ar-SA"/>
          <w:highlight w:val="auto"/>
        </w:rPr>
        <w:t>3.过渡期资金管理，做好脱贫与振兴衔接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textAlignment w:val="auto"/>
        <w:outlineLvl w:val="9"/>
        <w:rPr>
          <w:rFonts w:ascii="Times New Roman" w:eastAsia="仿宋_GB2312" w:cs="Times New Roman" w:hAnsi="Times New Roman"/>
          <w:bCs/>
          <w:color w:val="000000"/>
          <w:sz w:val="32"/>
          <w:szCs w:val="32"/>
          <w:lang w:val="en-US" w:eastAsia="zh-CN"/>
          <w:highlight w:val="auto"/>
        </w:rPr>
      </w:pPr>
      <w:r>
        <w:rPr>
          <w:rFonts w:ascii="Times New Roman" w:eastAsia="仿宋_GB2312" w:cs="Times New Roman" w:hAnsi="Times New Roman"/>
          <w:b/>
          <w:bCs/>
          <w:color w:val="000000"/>
          <w:sz w:val="32"/>
          <w:szCs w:val="32"/>
          <w:highlight w:val="auto"/>
        </w:rPr>
        <w:t>一是集中财力</w:t>
      </w:r>
      <w:r>
        <w:rPr>
          <w:rFonts w:ascii="Times New Roman" w:eastAsia="仿宋_GB2312" w:cs="Times New Roman" w:hAnsi="Times New Roman"/>
          <w:b/>
          <w:bCs/>
          <w:color w:val="000000"/>
          <w:sz w:val="32"/>
          <w:szCs w:val="32"/>
          <w:lang w:val="en-US" w:eastAsia="zh-CN"/>
          <w:highlight w:val="auto"/>
        </w:rPr>
        <w:t>支持</w:t>
      </w:r>
      <w:r>
        <w:rPr>
          <w:rFonts w:ascii="Times New Roman" w:eastAsia="仿宋_GB2312" w:cs="Times New Roman" w:hAnsi="Times New Roman"/>
          <w:b/>
          <w:bCs/>
          <w:color w:val="000000"/>
          <w:sz w:val="32"/>
          <w:szCs w:val="32"/>
          <w:highlight w:val="auto"/>
        </w:rPr>
        <w:t>巩固拓展脱贫攻坚成果同乡村振兴有效衔接。</w:t>
      </w:r>
      <w:r>
        <w:rPr>
          <w:rFonts w:ascii="Times New Roman" w:eastAsia="仿宋_GB2312" w:cs="Times New Roman" w:hAnsi="Times New Roman"/>
          <w:bCs/>
          <w:color w:val="000000"/>
          <w:sz w:val="32"/>
          <w:szCs w:val="32"/>
          <w:lang w:val="en-US" w:eastAsia="zh-CN"/>
          <w:highlight w:val="auto"/>
        </w:rPr>
        <w:t>严格财政涉农资金的监管，多方筹措资金，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bidi="ar-SA"/>
          <w:highlight w:val="auto"/>
        </w:rPr>
        <w:t>严把资金分配关、使用关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eastAsia="zh-CN" w:bidi="ar-SA"/>
          <w:highlight w:val="auto"/>
        </w:rPr>
        <w:t>；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bidi="ar-SA"/>
          <w:highlight w:val="auto"/>
        </w:rPr>
        <w:t>落实县、乡、村三级公开公示，强化对资金流向的全程监管，确保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en-US" w:eastAsia="zh-CN" w:bidi="ar-SA"/>
          <w:highlight w:val="auto"/>
        </w:rPr>
        <w:t>财政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bidi="ar-SA"/>
          <w:highlight w:val="auto"/>
        </w:rPr>
        <w:t>资金运行安全、规范高效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eastAsia="zh-CN" w:bidi="ar-SA"/>
          <w:highlight w:val="auto"/>
        </w:rPr>
        <w:t>。</w:t>
      </w:r>
      <w:r>
        <w:rPr>
          <w:rFonts w:ascii="Times New Roman" w:eastAsia="仿宋_GB2312" w:cs="Times New Roman" w:hAnsi="Times New Roman"/>
          <w:i w:val="0"/>
          <w:color w:val="000000"/>
          <w:spacing w:val="0"/>
          <w:sz w:val="32"/>
          <w:szCs w:val="32"/>
          <w:vertAlign w:val="baseline"/>
          <w:lang w:val="en-US" w:eastAsia="zh-CN"/>
          <w:highlight w:val="auto"/>
        </w:rPr>
        <w:t>为我县巩固拓展脱贫攻坚同乡村振兴有效衔接工作提供资金保障</w:t>
      </w:r>
      <w:r>
        <w:rPr>
          <w:rFonts w:ascii="Times New Roman" w:eastAsia="仿宋_GB2312" w:cs="Times New Roman" w:hAnsi="Times New Roman"/>
          <w:bCs/>
          <w:color w:val="000000"/>
          <w:sz w:val="32"/>
          <w:szCs w:val="32"/>
          <w:lang w:val="en-US" w:eastAsia="zh-CN"/>
          <w:highlight w:val="auto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Chars="200" w:firstLine="640"/>
        <w:textAlignment w:val="auto"/>
        <w:outlineLvl w:val="9"/>
        <w:rPr>
          <w:rFonts w:ascii="Times New Roman" w:eastAsia="仿宋_GB2312" w:cs="Times New Roman" w:hAnsi="Times New Roman"/>
          <w:bCs/>
          <w:color w:val="000000"/>
          <w:sz w:val="32"/>
          <w:szCs w:val="32"/>
          <w:lang w:val="en-US" w:eastAsia="zh-CN"/>
          <w:highlight w:val="auto"/>
        </w:rPr>
      </w:pPr>
      <w:r>
        <w:rPr>
          <w:rFonts w:ascii="Times New Roman" w:eastAsia="仿宋_GB2312" w:cs="Times New Roman" w:hAnsi="Times New Roman"/>
          <w:bCs/>
          <w:color w:val="000000"/>
          <w:sz w:val="32"/>
          <w:szCs w:val="32"/>
          <w:lang w:val="en-US" w:eastAsia="zh-CN"/>
          <w:highlight w:val="auto"/>
        </w:rPr>
        <w:t>争取各级财政衔接推进乡村振兴补助资金18395万元。其中，争取上级财政衔接推进乡村振兴补助资金15396万元，县本级年初预算安排财政衔接推进乡村振兴补助资金2999万元。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Chars="200" w:firstLine="640"/>
        <w:textAlignment w:val="auto"/>
        <w:outlineLvl w:val="9"/>
        <w:rPr>
          <w:rFonts w:ascii="Times New Roman" w:eastAsia="仿宋_GB2312" w:cs="Times New Roman" w:hAnsi="Times New Roman"/>
          <w:i w:val="0"/>
          <w:color w:val="000000"/>
          <w:spacing w:val="0"/>
          <w:sz w:val="32"/>
          <w:szCs w:val="32"/>
          <w:vertAlign w:val="baseline"/>
          <w:lang w:val="en-US" w:eastAsia="zh-CN"/>
        </w:rPr>
      </w:pPr>
      <w:r>
        <w:rPr>
          <w:rFonts w:ascii="Times New Roman" w:eastAsia="仿宋_GB2312" w:cs="Times New Roman" w:hAnsi="Times New Roman"/>
          <w:bCs/>
          <w:color w:val="000000"/>
          <w:sz w:val="32"/>
          <w:szCs w:val="32"/>
          <w:lang w:val="en-US" w:eastAsia="zh-CN"/>
        </w:rPr>
        <w:t>整合财政涉农资金16865万元（含10月整合第四批中央财政衔接资金1800万元）。</w:t>
      </w:r>
      <w:r>
        <w:rPr>
          <w:rFonts w:ascii="Times New Roman" w:eastAsia="仿宋_GB2312" w:cs="Times New Roman" w:hAnsi="Times New Roman"/>
          <w:color w:val="000000"/>
          <w:kern w:val="0"/>
          <w:sz w:val="32"/>
          <w:szCs w:val="32"/>
          <w:lang w:val="en-US" w:eastAsia="zh-CN"/>
        </w:rPr>
        <w:t>其中：整合各级财政</w:t>
      </w:r>
      <w:r>
        <w:rPr>
          <w:rFonts w:ascii="Times New Roman" w:eastAsia="仿宋_GB2312" w:cs="Times New Roman" w:hAnsi="Times New Roman"/>
          <w:bCs/>
          <w:color w:val="000000"/>
          <w:sz w:val="32"/>
          <w:szCs w:val="32"/>
          <w:lang w:val="en-US" w:eastAsia="zh-CN"/>
        </w:rPr>
        <w:t>衔接推进乡村振兴补助资金15712万元，整合行业部门资金1153万元）</w:t>
      </w:r>
      <w:r>
        <w:rPr>
          <w:rFonts w:ascii="Times New Roman" w:eastAsia="仿宋_GB2312" w:cs="Times New Roman" w:hAnsi="Times New Roman"/>
          <w:color w:val="000000"/>
          <w:kern w:val="0"/>
          <w:sz w:val="32"/>
          <w:szCs w:val="32"/>
          <w:lang w:val="zh-CN"/>
        </w:rPr>
        <w:t>，</w:t>
      </w:r>
      <w:r>
        <w:rPr>
          <w:rFonts w:ascii="Times New Roman" w:eastAsia="仿宋_GB2312" w:cs="Times New Roman" w:hAnsi="Times New Roman"/>
          <w:color w:val="000000"/>
          <w:kern w:val="0"/>
          <w:sz w:val="32"/>
          <w:szCs w:val="32"/>
          <w:lang w:val="en-US" w:eastAsia="zh-CN"/>
        </w:rPr>
        <w:t>用于</w:t>
      </w:r>
      <w:r>
        <w:rPr>
          <w:rFonts w:ascii="Times New Roman" w:eastAsia="仿宋_GB2312" w:cs="Times New Roman" w:hAnsi="Times New Roman"/>
          <w:i w:val="0"/>
          <w:color w:val="000000"/>
          <w:spacing w:val="0"/>
          <w:sz w:val="32"/>
          <w:szCs w:val="32"/>
          <w:vertAlign w:val="baseline"/>
          <w:lang w:val="en-US" w:eastAsia="zh-CN"/>
        </w:rPr>
        <w:t>巩固拓展脱贫攻坚成果同乡村振兴。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Chars="200" w:firstLine="640"/>
        <w:textAlignment w:val="auto"/>
        <w:rPr>
          <w:rFonts w:ascii="Times New Roman" w:eastAsia="仿宋_GB2312" w:cs="Times New Roman" w:hAnsi="Times New Roman"/>
          <w:color w:val="000000"/>
          <w:sz w:val="32"/>
          <w:szCs w:val="32"/>
          <w:lang w:val="zh-CN"/>
        </w:rPr>
      </w:pPr>
      <w:r>
        <w:rPr>
          <w:rFonts w:ascii="Times New Roman" w:eastAsia="仿宋_GB2312" w:cs="Times New Roman" w:hAnsi="Times New Roman"/>
          <w:b w:val="0"/>
          <w:bCs w:val="0"/>
          <w:color w:val="000000"/>
          <w:sz w:val="32"/>
          <w:szCs w:val="32"/>
          <w:lang w:val="zh-CN"/>
        </w:rPr>
        <w:t>四项基金设立及使用情况：</w:t>
      </w:r>
      <w:r>
        <w:rPr>
          <w:rFonts w:ascii="Times New Roman" w:eastAsia="仿宋_GB2312" w:cs="Times New Roman" w:hAnsi="Times New Roman"/>
          <w:color w:val="000000"/>
          <w:sz w:val="32"/>
          <w:szCs w:val="32"/>
        </w:rPr>
        <w:t>教育扶贫救助基金规模为116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en-US" w:eastAsia="zh-CN"/>
        </w:rPr>
        <w:t>7</w:t>
      </w:r>
      <w:r>
        <w:rPr>
          <w:rFonts w:ascii="Times New Roman" w:eastAsia="仿宋_GB2312" w:cs="Times New Roman" w:hAnsi="Times New Roman"/>
          <w:color w:val="000000"/>
          <w:sz w:val="32"/>
          <w:szCs w:val="32"/>
        </w:rPr>
        <w:t>万元，卫生扶贫救助基金1098万元，贫困村产业扶持基金2380万元，扶贫小额信贷基金1310万元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eastAsia="zh-CN"/>
        </w:rPr>
        <w:t>。</w:t>
      </w:r>
      <w:r>
        <w:rPr>
          <w:rFonts w:ascii="Times New Roman" w:eastAsia="仿宋_GB2312" w:cs="Times New Roman" w:hAnsi="Times New Roman"/>
          <w:color w:val="000000"/>
          <w:sz w:val="32"/>
          <w:szCs w:val="32"/>
        </w:rPr>
        <w:t>教育扶贫救助基金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en-US" w:eastAsia="zh-CN"/>
        </w:rPr>
        <w:t>累计</w:t>
      </w:r>
      <w:r>
        <w:rPr>
          <w:rFonts w:ascii="Times New Roman" w:eastAsia="仿宋_GB2312" w:cs="Times New Roman" w:hAnsi="Times New Roman"/>
          <w:color w:val="000000"/>
          <w:sz w:val="32"/>
          <w:szCs w:val="32"/>
        </w:rPr>
        <w:t>支出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en-US" w:eastAsia="zh-CN"/>
        </w:rPr>
        <w:t>902</w:t>
      </w:r>
      <w:r>
        <w:rPr>
          <w:rFonts w:ascii="Times New Roman" w:eastAsia="仿宋_GB2312" w:cs="Times New Roman" w:hAnsi="Times New Roman"/>
          <w:color w:val="000000"/>
          <w:sz w:val="32"/>
          <w:szCs w:val="32"/>
        </w:rPr>
        <w:t>万元，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en-US" w:eastAsia="zh-CN"/>
        </w:rPr>
        <w:t>资</w:t>
      </w:r>
      <w:r>
        <w:rPr>
          <w:rFonts w:ascii="Times New Roman" w:eastAsia="仿宋_GB2312" w:cs="Times New Roman" w:hAnsi="Times New Roman"/>
          <w:color w:val="000000"/>
          <w:sz w:val="32"/>
          <w:szCs w:val="32"/>
        </w:rPr>
        <w:t>助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en-US" w:eastAsia="zh-CN"/>
        </w:rPr>
        <w:t>5667</w:t>
      </w:r>
      <w:r>
        <w:rPr>
          <w:rFonts w:ascii="Times New Roman" w:eastAsia="仿宋_GB2312" w:cs="Times New Roman" w:hAnsi="Times New Roman"/>
          <w:color w:val="000000"/>
          <w:sz w:val="32"/>
          <w:szCs w:val="32"/>
        </w:rPr>
        <w:t>人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eastAsia="zh-CN"/>
        </w:rPr>
        <w:t>；</w:t>
      </w:r>
      <w:r>
        <w:rPr>
          <w:rFonts w:ascii="Times New Roman" w:eastAsia="仿宋_GB2312" w:cs="Times New Roman" w:hAnsi="Times New Roman"/>
          <w:color w:val="000000"/>
          <w:sz w:val="32"/>
          <w:szCs w:val="32"/>
        </w:rPr>
        <w:t>卫生扶贫救助基金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en-US" w:eastAsia="zh-CN"/>
        </w:rPr>
        <w:t>累计支出801</w:t>
      </w:r>
      <w:r>
        <w:rPr>
          <w:rFonts w:ascii="Times New Roman" w:eastAsia="仿宋_GB2312" w:cs="Times New Roman" w:hAnsi="Times New Roman"/>
          <w:color w:val="000000"/>
          <w:sz w:val="32"/>
          <w:szCs w:val="32"/>
        </w:rPr>
        <w:t>万元，救助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en-US" w:eastAsia="zh-CN"/>
        </w:rPr>
        <w:t>7186</w:t>
      </w:r>
      <w:r>
        <w:rPr>
          <w:rFonts w:ascii="Times New Roman" w:eastAsia="仿宋_GB2312" w:cs="Times New Roman" w:hAnsi="Times New Roman"/>
          <w:color w:val="000000"/>
          <w:sz w:val="32"/>
          <w:szCs w:val="32"/>
        </w:rPr>
        <w:t>人；贫困村产业扶持基金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en-US" w:eastAsia="zh-CN"/>
        </w:rPr>
        <w:t>2316</w:t>
      </w:r>
      <w:r>
        <w:rPr>
          <w:rFonts w:ascii="Times New Roman" w:eastAsia="仿宋_GB2312" w:cs="Times New Roman" w:hAnsi="Times New Roman"/>
          <w:color w:val="000000"/>
          <w:sz w:val="32"/>
          <w:szCs w:val="32"/>
        </w:rPr>
        <w:t>万元，惠及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en-US" w:eastAsia="zh-CN"/>
        </w:rPr>
        <w:t>脱贫</w:t>
      </w:r>
      <w:r>
        <w:rPr>
          <w:rFonts w:ascii="Times New Roman" w:eastAsia="仿宋_GB2312" w:cs="Times New Roman" w:hAnsi="Times New Roman"/>
          <w:color w:val="000000"/>
          <w:sz w:val="32"/>
          <w:szCs w:val="32"/>
        </w:rPr>
        <w:t>人口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en-US" w:eastAsia="zh-CN"/>
        </w:rPr>
        <w:t>3913</w:t>
      </w:r>
      <w:r>
        <w:rPr>
          <w:rFonts w:ascii="Times New Roman" w:eastAsia="仿宋_GB2312" w:cs="Times New Roman" w:hAnsi="Times New Roman"/>
          <w:color w:val="000000"/>
          <w:sz w:val="32"/>
          <w:szCs w:val="32"/>
        </w:rPr>
        <w:t>人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eastAsia="zh-CN"/>
        </w:rPr>
        <w:t>；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en-US" w:eastAsia="zh-CN"/>
        </w:rPr>
        <w:t>累计发放</w:t>
      </w:r>
      <w:r>
        <w:rPr>
          <w:rFonts w:ascii="Times New Roman" w:eastAsia="仿宋_GB2312" w:cs="Times New Roman" w:hAnsi="Times New Roman"/>
          <w:color w:val="000000"/>
          <w:sz w:val="32"/>
          <w:szCs w:val="32"/>
        </w:rPr>
        <w:t>扶贫小额信贷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en-US" w:eastAsia="zh-CN"/>
        </w:rPr>
        <w:t>资金7786万元，惠及脱贫户1824户。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after="0" w:line="560" w:lineRule="exact"/>
        <w:ind w:firstLineChars="200" w:firstLine="640"/>
        <w:textAlignment w:val="auto"/>
        <w:rPr>
          <w:rFonts w:ascii="Times New Roman" w:eastAsia="仿宋_GB2312" w:cs="Times New Roman" w:hAnsi="Times New Roman"/>
          <w:color w:val="000000"/>
          <w:sz w:val="32"/>
          <w:szCs w:val="32"/>
          <w:lang w:val="zh-CN"/>
        </w:rPr>
      </w:pPr>
      <w:r>
        <w:rPr>
          <w:rFonts w:ascii="Times New Roman" w:eastAsia="仿宋_GB2312" w:cs="Times New Roman" w:hAnsi="Times New Roman"/>
          <w:b/>
          <w:color w:val="000000"/>
          <w:sz w:val="32"/>
          <w:szCs w:val="32"/>
          <w:lang w:val="zh-CN"/>
        </w:rPr>
        <w:t>二是支持推进生态文明建设，持续助力生态环境保护。</w:t>
      </w:r>
      <w:r>
        <w:rPr>
          <w:rFonts w:ascii="Times New Roman" w:eastAsia="仿宋_GB2312" w:cs="Times New Roman" w:hAnsi="Times New Roman"/>
          <w:b w:val="0"/>
          <w:bCs/>
          <w:color w:val="000000"/>
          <w:sz w:val="32"/>
          <w:szCs w:val="32"/>
          <w:lang w:val="zh-CN"/>
        </w:rPr>
        <w:t>坚定树牢“共抓大保护、不搞大开发”理念，始终坚持“生态优先”，确保生态投入力度不减。大力推进“七大保护行动”、“七大治理工程”项目建设力度，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zh-CN"/>
        </w:rPr>
        <w:t>落实生态环境保护和污染防治攻坚任务投入保障，共计投入资金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en-US" w:eastAsia="zh-CN"/>
        </w:rPr>
        <w:t>13658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zh-CN"/>
        </w:rPr>
        <w:t>万元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Chars="200" w:firstLine="640"/>
        <w:textAlignment w:val="auto"/>
        <w:rPr>
          <w:rFonts w:ascii="Times New Roman" w:eastAsia="仿宋_GB2312" w:cs="Times New Roman" w:hAnsi="Times New Roman"/>
          <w:color w:val="000000"/>
          <w:sz w:val="32"/>
          <w:szCs w:val="32"/>
          <w:highlight w:val="auto"/>
        </w:rPr>
      </w:pPr>
      <w:r>
        <w:rPr>
          <w:rFonts w:ascii="Times New Roman" w:eastAsia="仿宋_GB2312" w:cs="Times New Roman" w:hAnsi="Times New Roman"/>
          <w:b/>
          <w:bCs/>
          <w:color w:val="000000"/>
          <w:sz w:val="32"/>
          <w:szCs w:val="32"/>
          <w:highlight w:val="auto"/>
        </w:rPr>
        <w:t>三是防范化解财政运行风险，推进财政暂付款清理化解攻坚行动。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highlight w:val="auto"/>
        </w:rPr>
        <w:t>足额安排预算资金1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en-US" w:eastAsia="zh-CN"/>
          <w:highlight w:val="auto"/>
        </w:rPr>
        <w:t>420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highlight w:val="auto"/>
        </w:rPr>
        <w:t>万元保障到期债券还本付息，积极申请再融资债券资金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en-US" w:eastAsia="zh-CN"/>
          <w:highlight w:val="auto"/>
        </w:rPr>
        <w:t>3595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highlight w:val="auto"/>
        </w:rPr>
        <w:t>万元实施借新还旧，有效缓解了地方财政压力及运行风险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eastAsia="zh-CN"/>
          <w:highlight w:val="auto"/>
        </w:rPr>
        <w:t>。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highlight w:val="auto"/>
        </w:rPr>
        <w:t>大力盘活财政存量资金，偿还财政暂付款项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en-US" w:eastAsia="zh-CN"/>
          <w:highlight w:val="auto"/>
        </w:rPr>
        <w:t>3917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highlight w:val="auto"/>
        </w:rPr>
        <w:t>万元，加强政府债务管理，债务风险总体可控。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after="0" w:line="560" w:lineRule="exact"/>
        <w:ind w:firstLineChars="200" w:firstLine="640"/>
        <w:textAlignment w:val="auto"/>
        <w:rPr>
          <w:rFonts w:ascii="Times New Roman" w:eastAsia="仿宋_GB2312" w:cs="Times New Roman" w:hAnsi="Times New Roman"/>
          <w:b/>
          <w:bCs/>
          <w:color w:val="000000"/>
          <w:sz w:val="32"/>
          <w:szCs w:val="32"/>
          <w:highlight w:val="auto"/>
        </w:rPr>
      </w:pPr>
      <w:r>
        <w:rPr>
          <w:rFonts w:ascii="Times New Roman" w:eastAsia="仿宋_GB2312" w:cs="Times New Roman" w:hAnsi="Times New Roman"/>
          <w:b/>
          <w:bCs/>
          <w:color w:val="000000"/>
          <w:kern w:val="2"/>
          <w:sz w:val="32"/>
          <w:szCs w:val="32"/>
          <w:lang w:val="en-US" w:eastAsia="zh-CN" w:bidi="ar-SA"/>
          <w:highlight w:val="auto"/>
        </w:rPr>
        <w:t>4.加强直达资金管理，确保直接惠企利民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leftChars="0" w:left="0" w:firstLine="673"/>
        <w:textAlignment w:val="auto"/>
        <w:rPr>
          <w:rFonts w:ascii="Times New Roman" w:cs="Times New Roman" w:hAnsi="Times New Roman"/>
          <w:color w:val="000000"/>
          <w:szCs w:val="32"/>
          <w:highlight w:val="green"/>
        </w:rPr>
      </w:pPr>
      <w:r>
        <w:rPr>
          <w:rFonts w:ascii="Times New Roman" w:cs="Times New Roman" w:hAnsi="Times New Roman"/>
          <w:color w:val="000000"/>
          <w:szCs w:val="32"/>
          <w:highlight w:val="auto"/>
        </w:rPr>
        <w:t>强化资金公共属性，及时下达直达资金，精准用于保障困难群众基本生活和帮助企业、个体工商户解决实际困难，将直达资金用于最困难的地方和最需要的领域。</w:t>
      </w:r>
      <w:r>
        <w:rPr>
          <w:rFonts w:ascii="Times New Roman" w:cs="Times New Roman" w:hAnsi="Times New Roman"/>
          <w:color w:val="000000"/>
          <w:szCs w:val="32"/>
          <w:lang w:eastAsia="zh-CN"/>
          <w:highlight w:val="auto"/>
        </w:rPr>
        <w:t>并</w:t>
      </w:r>
      <w:r>
        <w:rPr>
          <w:rFonts w:ascii="Times New Roman" w:cs="Times New Roman" w:hAnsi="Times New Roman"/>
          <w:color w:val="000000"/>
          <w:szCs w:val="32"/>
          <w:highlight w:val="auto"/>
        </w:rPr>
        <w:t>建立直达资金台账，确保安全规范使用</w:t>
      </w:r>
      <w:r>
        <w:rPr>
          <w:rFonts w:ascii="Times New Roman" w:cs="Times New Roman" w:hAnsi="Times New Roman"/>
          <w:color w:val="000000"/>
          <w:szCs w:val="32"/>
          <w:lang w:eastAsia="zh-CN"/>
          <w:highlight w:val="auto"/>
        </w:rPr>
        <w:t>。</w:t>
      </w:r>
      <w:r>
        <w:rPr>
          <w:rFonts w:ascii="Times New Roman" w:cs="Times New Roman" w:hAnsi="Times New Roman"/>
          <w:color w:val="000000"/>
          <w:szCs w:val="32"/>
          <w:highlight w:val="auto"/>
        </w:rPr>
        <w:t>完善监控信息系统，严格实行按月报告制度，对直达资金进行全链条监控</w:t>
      </w:r>
      <w:r>
        <w:rPr>
          <w:rFonts w:ascii="Times New Roman" w:cs="Times New Roman" w:hAnsi="Times New Roman"/>
          <w:color w:val="000000"/>
          <w:szCs w:val="32"/>
          <w:lang w:eastAsia="zh-CN"/>
          <w:highlight w:val="auto"/>
        </w:rPr>
        <w:t>。</w:t>
      </w:r>
      <w:r>
        <w:rPr>
          <w:rFonts w:ascii="Times New Roman" w:cs="Times New Roman" w:hAnsi="Times New Roman"/>
          <w:color w:val="000000"/>
          <w:szCs w:val="32"/>
          <w:highlight w:val="auto"/>
        </w:rPr>
        <w:t>确保资金安全，提高资金使用效率。我县共收到并分配直达资金</w:t>
      </w:r>
      <w:r>
        <w:rPr>
          <w:rFonts w:ascii="Times New Roman" w:cs="Times New Roman" w:hAnsi="Times New Roman"/>
          <w:color w:val="000000"/>
          <w:szCs w:val="32"/>
          <w:lang w:val="en-US" w:eastAsia="zh-CN"/>
          <w:highlight w:val="auto"/>
        </w:rPr>
        <w:t>17557</w:t>
      </w:r>
      <w:r>
        <w:rPr>
          <w:rFonts w:ascii="Times New Roman" w:cs="Times New Roman" w:hAnsi="Times New Roman"/>
          <w:color w:val="000000"/>
          <w:szCs w:val="32"/>
          <w:highlight w:val="auto"/>
        </w:rPr>
        <w:t>万元，实现支付</w:t>
      </w:r>
      <w:r>
        <w:rPr>
          <w:rFonts w:ascii="Times New Roman" w:cs="Times New Roman" w:hAnsi="Times New Roman"/>
          <w:color w:val="000000"/>
          <w:szCs w:val="32"/>
          <w:lang w:val="en-US" w:eastAsia="zh-CN"/>
          <w:highlight w:val="auto"/>
        </w:rPr>
        <w:t>17528</w:t>
      </w:r>
      <w:r>
        <w:rPr>
          <w:rFonts w:ascii="Times New Roman" w:cs="Times New Roman" w:hAnsi="Times New Roman"/>
          <w:color w:val="000000"/>
          <w:szCs w:val="32"/>
          <w:highlight w:val="auto"/>
        </w:rPr>
        <w:t>万元，支付进度为</w:t>
      </w:r>
      <w:r>
        <w:rPr>
          <w:rFonts w:ascii="Times New Roman" w:cs="Times New Roman" w:hAnsi="Times New Roman"/>
          <w:color w:val="000000"/>
          <w:szCs w:val="32"/>
          <w:lang w:val="en-US" w:eastAsia="zh-CN"/>
          <w:highlight w:val="auto"/>
        </w:rPr>
        <w:t>99.8</w:t>
      </w:r>
      <w:r>
        <w:rPr>
          <w:rFonts w:ascii="Times New Roman" w:cs="Times New Roman" w:hAnsi="Times New Roman"/>
          <w:color w:val="000000"/>
          <w:szCs w:val="32"/>
          <w:highlight w:val="auto"/>
        </w:rPr>
        <w:t>%</w:t>
      </w:r>
      <w:r>
        <w:rPr>
          <w:rFonts w:ascii="Times New Roman" w:cs="Times New Roman" w:hAnsi="Times New Roman"/>
          <w:color w:val="000000"/>
          <w:szCs w:val="32"/>
          <w:lang w:eastAsia="zh-CN"/>
          <w:highlight w:val="auto"/>
        </w:rPr>
        <w:t>。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leftChars="0" w:left="0" w:firstLine="673"/>
        <w:textAlignment w:val="auto"/>
        <w:rPr>
          <w:rFonts w:ascii="Times New Roman" w:cs="Times New Roman" w:hAnsi="Times New Roman"/>
          <w:b/>
          <w:bCs/>
          <w:color w:val="000000"/>
          <w:kern w:val="2"/>
          <w:szCs w:val="32"/>
          <w:lang w:val="en-US" w:eastAsia="zh-CN" w:bidi="ar-SA"/>
          <w:highlight w:val="auto"/>
        </w:rPr>
      </w:pPr>
      <w:r>
        <w:rPr>
          <w:rFonts w:ascii="Times New Roman" w:cs="Times New Roman" w:hAnsi="Times New Roman"/>
          <w:b/>
          <w:bCs/>
          <w:color w:val="000000"/>
          <w:kern w:val="2"/>
          <w:szCs w:val="32"/>
          <w:lang w:val="en-US" w:eastAsia="zh-CN" w:bidi="ar-SA"/>
          <w:highlight w:val="auto"/>
        </w:rPr>
        <w:t>5.深化财政体制改革，</w:t>
      </w:r>
      <w:r>
        <w:rPr>
          <w:rFonts w:ascii="Times New Roman" w:cs="Times New Roman" w:hAnsi="Times New Roman"/>
          <w:b/>
          <w:bCs/>
          <w:color w:val="000000"/>
          <w:kern w:val="2"/>
          <w:szCs w:val="32"/>
          <w:lang w:val="zh-CN" w:eastAsia="zh-CN" w:bidi="ar-SA"/>
          <w:highlight w:val="auto"/>
        </w:rPr>
        <w:t>提高财政管理水平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after="0" w:line="560" w:lineRule="exact"/>
        <w:ind w:firstLineChars="200" w:firstLine="640"/>
        <w:textAlignment w:val="auto"/>
        <w:rPr>
          <w:rFonts w:ascii="Times New Roman" w:eastAsia="仿宋_GB2312" w:cs="Times New Roman" w:hAnsi="Times New Roman"/>
          <w:color w:val="000000"/>
          <w:sz w:val="32"/>
          <w:szCs w:val="32"/>
        </w:rPr>
      </w:pPr>
      <w:r>
        <w:rPr>
          <w:rFonts w:ascii="Times New Roman" w:eastAsia="仿宋_GB2312" w:cs="Times New Roman" w:hAnsi="Times New Roman"/>
          <w:color w:val="000000"/>
          <w:sz w:val="32"/>
          <w:szCs w:val="32"/>
          <w:lang w:val="zh-CN"/>
          <w:highlight w:val="auto"/>
        </w:rPr>
        <w:t>牢固树立过紧日子思想，从严从紧编制预算，压减非刚性非急需一般性支出，严控“三公”经费，较上年压减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en-US" w:eastAsia="zh-CN"/>
          <w:highlight w:val="auto"/>
        </w:rPr>
        <w:t>8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zh-CN"/>
          <w:highlight w:val="auto"/>
        </w:rPr>
        <w:t>万元，压减比例达到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en-US" w:eastAsia="zh-CN"/>
          <w:highlight w:val="auto"/>
        </w:rPr>
        <w:t>0.4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highlight w:val="auto"/>
        </w:rPr>
        <w:t>%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zh-CN"/>
          <w:highlight w:val="auto"/>
        </w:rPr>
        <w:t>。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highlight w:val="auto"/>
        </w:rPr>
        <w:t>督促预算单位加快预算执行进度，力争财政资金早投入、早见效、早日形成实物工作。</w:t>
      </w:r>
      <w:r>
        <w:rPr>
          <w:rFonts w:ascii="Times New Roman" w:eastAsia="仿宋_GB2312" w:cs="Times New Roman" w:hAnsi="Times New Roman"/>
          <w:b/>
          <w:color w:val="000000"/>
          <w:sz w:val="32"/>
          <w:szCs w:val="32"/>
          <w:highlight w:val="auto"/>
        </w:rPr>
        <w:t>加强政府采购监管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highlight w:val="auto"/>
        </w:rPr>
        <w:t>。2021年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zh-CN"/>
          <w:highlight w:val="auto"/>
        </w:rPr>
        <w:t>完成采购备案155宗，采购预算金额为20302万元，已支付资金16062万元。</w:t>
      </w:r>
      <w:r>
        <w:rPr>
          <w:rFonts w:ascii="Times New Roman" w:eastAsia="仿宋_GB2312" w:cs="Times New Roman" w:hAnsi="Times New Roman"/>
          <w:b/>
          <w:bCs/>
          <w:color w:val="000000"/>
          <w:sz w:val="32"/>
          <w:szCs w:val="32"/>
          <w:shd w:val="clear" w:color="auto" w:fill="FFFFFF"/>
          <w:highlight w:val="auto"/>
        </w:rPr>
        <w:t>加强国资监管。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highlight w:val="auto"/>
        </w:rPr>
        <w:t>2021</w:t>
      </w:r>
      <w:r>
        <w:rPr>
          <w:rFonts w:ascii="Times New Roman" w:eastAsia="仿宋_GB2312" w:cs="Times New Roman" w:hAnsi="Times New Roman"/>
          <w:b w:val="0"/>
          <w:bCs w:val="0"/>
          <w:color w:val="000000"/>
          <w:sz w:val="32"/>
          <w:szCs w:val="32"/>
          <w:shd w:val="clear" w:color="auto" w:fill="FFFFFF"/>
          <w:highlight w:val="auto"/>
        </w:rPr>
        <w:t>年政府资产编报工作涉及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highlight w:val="auto"/>
        </w:rPr>
        <w:t>10</w:t>
      </w:r>
      <w:r>
        <w:rPr>
          <w:rFonts w:ascii="Times New Roman" w:eastAsia="仿宋_GB2312" w:cs="Times New Roman" w:hAnsi="Times New Roman"/>
          <w:b w:val="0"/>
          <w:bCs w:val="0"/>
          <w:color w:val="000000"/>
          <w:sz w:val="32"/>
          <w:szCs w:val="32"/>
          <w:shd w:val="clear" w:color="auto" w:fill="FFFFFF"/>
          <w:highlight w:val="auto"/>
        </w:rPr>
        <w:t>个单位，资产价值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highlight w:val="auto"/>
        </w:rPr>
        <w:t>20746</w:t>
      </w:r>
      <w:r>
        <w:rPr>
          <w:rFonts w:ascii="Times New Roman" w:eastAsia="仿宋_GB2312" w:cs="Times New Roman" w:hAnsi="Times New Roman"/>
          <w:b w:val="0"/>
          <w:bCs w:val="0"/>
          <w:color w:val="000000"/>
          <w:sz w:val="32"/>
          <w:szCs w:val="32"/>
          <w:shd w:val="clear" w:color="auto" w:fill="FFFFFF"/>
          <w:highlight w:val="auto"/>
        </w:rPr>
        <w:t>万元</w:t>
      </w:r>
      <w:r>
        <w:rPr>
          <w:rFonts w:ascii="Times New Roman" w:eastAsia="仿宋_GB2312" w:cs="Times New Roman" w:hAnsi="Times New Roman"/>
          <w:b w:val="0"/>
          <w:bCs w:val="0"/>
          <w:color w:val="000000"/>
          <w:sz w:val="32"/>
          <w:szCs w:val="32"/>
          <w:shd w:val="clear" w:color="auto" w:fill="FFFFFF"/>
          <w:lang w:eastAsia="zh-CN"/>
          <w:highlight w:val="auto"/>
        </w:rPr>
        <w:t>。</w:t>
      </w:r>
      <w:r>
        <w:rPr>
          <w:rFonts w:ascii="Times New Roman" w:eastAsia="仿宋_GB2312" w:cs="Times New Roman" w:hAnsi="Times New Roman"/>
          <w:b/>
          <w:bCs/>
          <w:color w:val="000000"/>
          <w:sz w:val="32"/>
          <w:szCs w:val="32"/>
          <w:shd w:val="clear" w:color="auto" w:fill="FFFFFF"/>
          <w:lang w:val="zh-CN"/>
          <w:highlight w:val="auto"/>
        </w:rPr>
        <w:t>积极推进财政投资评审工作。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zh-CN"/>
          <w:highlight w:val="auto"/>
        </w:rPr>
        <w:t>完成招标控制价评审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highlight w:val="auto"/>
        </w:rPr>
        <w:t>255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zh-CN"/>
          <w:highlight w:val="auto"/>
        </w:rPr>
        <w:t>个，评审金额37827万元，审定金额3479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en-US" w:eastAsia="zh-CN"/>
          <w:highlight w:val="auto"/>
        </w:rPr>
        <w:t>1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zh-CN"/>
          <w:highlight w:val="auto"/>
        </w:rPr>
        <w:t>万元，审减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highlight w:val="auto"/>
        </w:rPr>
        <w:t>303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en-US" w:eastAsia="zh-CN"/>
          <w:highlight w:val="auto"/>
        </w:rPr>
        <w:t>7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zh-CN"/>
          <w:highlight w:val="auto"/>
        </w:rPr>
        <w:t>万元；竣工结算评审10个，评审金额5503万元，审定金额507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en-US" w:eastAsia="zh-CN"/>
          <w:highlight w:val="auto"/>
        </w:rPr>
        <w:t>6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zh-CN"/>
          <w:highlight w:val="auto"/>
        </w:rPr>
        <w:t>万元，审减427万元。</w:t>
      </w:r>
      <w:r>
        <w:rPr>
          <w:rFonts w:ascii="Times New Roman" w:eastAsia="仿宋_GB2312" w:cs="Times New Roman" w:hAnsi="Times New Roman"/>
          <w:b/>
          <w:bCs/>
          <w:color w:val="000000"/>
          <w:sz w:val="32"/>
          <w:szCs w:val="32"/>
          <w:shd w:val="clear" w:color="auto" w:fill="FFFFFF"/>
          <w:highlight w:val="auto"/>
        </w:rPr>
        <w:t>主动公开信息。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shd w:val="clear" w:color="auto" w:fill="FFFFFF"/>
          <w:highlight w:val="auto"/>
        </w:rPr>
        <w:t>按照《预算法》规定，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highlight w:val="auto"/>
        </w:rPr>
        <w:t>在同级人大批准的20天内公开政府预决算；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shd w:val="clear" w:color="auto" w:fill="FFFFFF"/>
          <w:highlight w:val="auto"/>
        </w:rPr>
        <w:t>批复了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highlight w:val="auto"/>
        </w:rPr>
        <w:t>95个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shd w:val="clear" w:color="auto" w:fill="FFFFFF"/>
          <w:highlight w:val="auto"/>
        </w:rPr>
        <w:t>部门预决算；除涉密单位外公开了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highlight w:val="auto"/>
        </w:rPr>
        <w:t>94个部门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shd w:val="clear" w:color="auto" w:fill="FFFFFF"/>
          <w:highlight w:val="auto"/>
        </w:rPr>
        <w:t>预决算信息，主动接受社会监督。</w:t>
      </w:r>
      <w:r>
        <w:rPr>
          <w:rFonts w:ascii="Times New Roman" w:eastAsia="仿宋_GB2312" w:cs="Times New Roman" w:hAnsi="Times New Roman"/>
          <w:b/>
          <w:color w:val="000000"/>
          <w:sz w:val="32"/>
          <w:szCs w:val="32"/>
          <w:highlight w:val="auto"/>
        </w:rPr>
        <w:t>强化财政资金监管。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zh-CN"/>
          <w:highlight w:val="auto"/>
        </w:rPr>
        <w:t>开展财政内部、财经纪律、会计信息质量、村级项目专项监督检查工作，进一步加大监督力度。</w:t>
      </w:r>
      <w:r>
        <w:rPr>
          <w:rFonts w:ascii="Times New Roman" w:eastAsia="仿宋_GB2312" w:cs="Times New Roman" w:hAnsi="Times New Roman"/>
          <w:b/>
          <w:bCs/>
          <w:color w:val="000000"/>
          <w:sz w:val="32"/>
          <w:szCs w:val="32"/>
          <w:shd w:val="clear" w:color="auto" w:fill="FFFFFF"/>
          <w:highlight w:val="auto"/>
        </w:rPr>
        <w:t>深化财政国库管理制度改革</w:t>
      </w:r>
      <w:r>
        <w:rPr>
          <w:rFonts w:ascii="Times New Roman" w:eastAsia="仿宋_GB2312" w:cs="Times New Roman" w:hAnsi="Times New Roman"/>
          <w:b/>
          <w:color w:val="000000"/>
          <w:sz w:val="32"/>
          <w:szCs w:val="32"/>
          <w:highlight w:val="auto"/>
        </w:rPr>
        <w:t>。</w:t>
      </w:r>
      <w:r>
        <w:rPr>
          <w:rFonts w:ascii="Times New Roman" w:eastAsia="仿宋_GB2312" w:cs="Times New Roman" w:hAnsi="Times New Roman"/>
          <w:bCs/>
          <w:color w:val="000000"/>
          <w:sz w:val="32"/>
          <w:szCs w:val="32"/>
          <w:shd w:val="clear" w:color="auto" w:fill="FFFFFF"/>
          <w:highlight w:val="auto"/>
        </w:rPr>
        <w:t>全面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zh-CN"/>
          <w:highlight w:val="auto"/>
        </w:rPr>
        <w:t>实现了国库集中收付，大平台累计支付资金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en-US" w:eastAsia="zh-CN"/>
          <w:highlight w:val="auto"/>
        </w:rPr>
        <w:t>197688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zh-CN"/>
          <w:highlight w:val="auto"/>
        </w:rPr>
        <w:t>万元。</w:t>
      </w:r>
      <w:r>
        <w:rPr>
          <w:rFonts w:ascii="Times New Roman" w:eastAsia="仿宋_GB2312" w:cs="Times New Roman" w:hAnsi="Times New Roman"/>
          <w:b/>
          <w:color w:val="000000"/>
          <w:sz w:val="32"/>
          <w:szCs w:val="32"/>
          <w:highlight w:val="auto"/>
        </w:rPr>
        <w:t>依法接受审计监督。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highlight w:val="auto"/>
        </w:rPr>
        <w:t>积极配合审计部门开展20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en-US" w:eastAsia="zh-CN"/>
          <w:highlight w:val="auto"/>
        </w:rPr>
        <w:t>20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highlight w:val="auto"/>
        </w:rPr>
        <w:t>年县本级预算执行和决算草案编制等各项审计工作，动态跟踪抓好审计查出问题的整改落实，将审计结果及整改情况作为优化财政资源配置和完善政策的参考。</w:t>
      </w:r>
      <w:r>
        <w:rPr>
          <w:rFonts w:ascii="Times New Roman" w:eastAsia="仿宋_GB2312" w:cs="Times New Roman" w:hAnsi="Times New Roman"/>
          <w:b/>
          <w:color w:val="000000"/>
          <w:sz w:val="32"/>
          <w:szCs w:val="32"/>
          <w:highlight w:val="auto"/>
        </w:rPr>
        <w:t>自觉接受人大监督。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highlight w:val="auto"/>
        </w:rPr>
        <w:t>认真贯彻《四川省预算审查监督条例》，全面落实《四川省人大预算审查监督重点支出预算和政策拓展实施办法》，加快推进落实预算联网监督相关要求，积极做好预算联网监督数据规范制定、系统建设、功能拓展等工作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after="0" w:line="560" w:lineRule="exact"/>
        <w:ind w:firstLineChars="200" w:firstLine="640"/>
        <w:textAlignment w:val="auto"/>
        <w:rPr>
          <w:rFonts w:ascii="Times New Roman" w:eastAsia="仿宋_GB2312" w:cs="Times New Roman" w:hAnsi="Times New Roman"/>
          <w:color w:val="000000"/>
          <w:sz w:val="32"/>
          <w:szCs w:val="32"/>
          <w:highlight w:val="auto"/>
        </w:rPr>
      </w:pPr>
      <w:r>
        <w:rPr>
          <w:rFonts w:ascii="Times New Roman" w:eastAsia="黑体" w:cs="Times New Roman" w:hAnsi="Times New Roman"/>
          <w:bCs/>
          <w:color w:val="000000"/>
          <w:sz w:val="32"/>
          <w:szCs w:val="32"/>
          <w:highlight w:val="auto"/>
        </w:rPr>
        <w:t>二、</w:t>
      </w:r>
      <w:r>
        <w:rPr>
          <w:rFonts w:ascii="Times New Roman" w:eastAsia="黑体" w:cs="Times New Roman" w:hAnsi="Times New Roman"/>
          <w:bCs/>
          <w:color w:val="000000"/>
          <w:sz w:val="32"/>
          <w:szCs w:val="32"/>
          <w:lang w:val="en-US" w:eastAsia="zh-CN"/>
          <w:highlight w:val="auto"/>
        </w:rPr>
        <w:t>2022</w:t>
      </w:r>
      <w:r>
        <w:rPr>
          <w:rFonts w:ascii="Times New Roman" w:eastAsia="黑体" w:cs="Times New Roman" w:hAnsi="Times New Roman"/>
          <w:bCs/>
          <w:color w:val="000000"/>
          <w:sz w:val="32"/>
          <w:szCs w:val="32"/>
          <w:highlight w:val="auto"/>
        </w:rPr>
        <w:t>年上半年预算执行情况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Chars="200" w:firstLine="640"/>
        <w:textAlignment w:val="auto"/>
        <w:rPr>
          <w:rFonts w:ascii="Times New Roman" w:eastAsia="楷体_GB2312" w:cs="Times New Roman" w:hAnsi="Times New Roman"/>
          <w:b/>
          <w:color w:val="000000"/>
          <w:sz w:val="32"/>
          <w:szCs w:val="32"/>
          <w:highlight w:val="auto"/>
        </w:rPr>
      </w:pPr>
      <w:r>
        <w:rPr>
          <w:rFonts w:ascii="Times New Roman" w:eastAsia="楷体_GB2312" w:cs="Times New Roman" w:hAnsi="Times New Roman"/>
          <w:b/>
          <w:color w:val="000000"/>
          <w:sz w:val="32"/>
          <w:szCs w:val="32"/>
          <w:highlight w:val="auto"/>
        </w:rPr>
        <w:t>（一）一般公共预算执行情况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Chars="200" w:firstLine="640"/>
        <w:textAlignment w:val="auto"/>
        <w:outlineLvl w:val="9"/>
        <w:rPr>
          <w:rFonts w:ascii="Times New Roman" w:eastAsia="仿宋_GB2312" w:cs="Times New Roman" w:hAnsi="Times New Roman"/>
          <w:color w:val="000000"/>
          <w:kern w:val="0"/>
          <w:sz w:val="32"/>
          <w:szCs w:val="32"/>
          <w:highlight w:val="auto"/>
        </w:rPr>
      </w:pPr>
      <w:r>
        <w:rPr>
          <w:rFonts w:ascii="Times New Roman" w:eastAsia="仿宋_GB2312" w:cs="Times New Roman" w:hAnsi="Times New Roman"/>
          <w:color w:val="000000"/>
          <w:sz w:val="32"/>
          <w:szCs w:val="32"/>
          <w:highlight w:val="auto"/>
        </w:rPr>
        <w:t>上半年，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zh-CN"/>
          <w:highlight w:val="auto"/>
        </w:rPr>
        <w:t>全县完成一般公共预算收入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en-US" w:eastAsia="zh-CN"/>
          <w:highlight w:val="auto"/>
        </w:rPr>
        <w:t>5815万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zh-CN"/>
          <w:highlight w:val="auto"/>
        </w:rPr>
        <w:t>元，完成年初预算的</w:t>
      </w:r>
      <w:r>
        <w:rPr>
          <w:rFonts w:ascii="Times New Roman" w:eastAsia="仿宋_GB2312" w:cs="Times New Roman" w:hAnsi="Times New Roman"/>
          <w:color w:val="000000"/>
          <w:kern w:val="0"/>
          <w:sz w:val="32"/>
          <w:szCs w:val="32"/>
          <w:lang w:val="en-US" w:eastAsia="zh-CN"/>
          <w:highlight w:val="auto"/>
        </w:rPr>
        <w:t>50.13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zh-CN"/>
          <w:highlight w:val="auto"/>
        </w:rPr>
        <w:t>%，较上年同期增长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en-US" w:eastAsia="zh-CN"/>
          <w:highlight w:val="auto"/>
        </w:rPr>
        <w:t>15.88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zh-CN"/>
          <w:highlight w:val="auto"/>
        </w:rPr>
        <w:t>%。其中：</w:t>
      </w:r>
      <w:r>
        <w:rPr>
          <w:rFonts w:ascii="Times New Roman" w:eastAsia="仿宋_GB2312" w:cs="Times New Roman" w:hAnsi="Times New Roman"/>
          <w:color w:val="000000"/>
          <w:kern w:val="0"/>
          <w:sz w:val="32"/>
          <w:szCs w:val="32"/>
          <w:highlight w:val="auto"/>
        </w:rPr>
        <w:t>税收收入完成</w:t>
      </w:r>
      <w:r>
        <w:rPr>
          <w:rFonts w:ascii="Times New Roman" w:eastAsia="仿宋_GB2312" w:cs="Times New Roman" w:hAnsi="Times New Roman"/>
          <w:color w:val="000000"/>
          <w:kern w:val="0"/>
          <w:sz w:val="32"/>
          <w:szCs w:val="32"/>
          <w:lang w:val="en-US" w:eastAsia="zh-CN"/>
          <w:highlight w:val="auto"/>
        </w:rPr>
        <w:t>2863</w:t>
      </w:r>
      <w:r>
        <w:rPr>
          <w:rFonts w:ascii="Times New Roman" w:eastAsia="仿宋_GB2312" w:cs="Times New Roman" w:hAnsi="Times New Roman"/>
          <w:color w:val="000000"/>
          <w:kern w:val="0"/>
          <w:sz w:val="32"/>
          <w:szCs w:val="32"/>
          <w:highlight w:val="auto"/>
        </w:rPr>
        <w:t>万元，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zh-CN"/>
          <w:highlight w:val="auto"/>
        </w:rPr>
        <w:t>完成年初预算的</w:t>
      </w:r>
      <w:r>
        <w:rPr>
          <w:rFonts w:ascii="Times New Roman" w:eastAsia="仿宋_GB2312" w:cs="Times New Roman" w:hAnsi="Times New Roman"/>
          <w:color w:val="000000"/>
          <w:kern w:val="0"/>
          <w:sz w:val="32"/>
          <w:szCs w:val="32"/>
          <w:lang w:val="en-US" w:eastAsia="zh-CN"/>
          <w:highlight w:val="auto"/>
        </w:rPr>
        <w:t>32.99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zh-CN"/>
          <w:highlight w:val="auto"/>
        </w:rPr>
        <w:t>%，</w:t>
      </w:r>
      <w:r>
        <w:rPr>
          <w:rFonts w:ascii="Times New Roman" w:eastAsia="仿宋_GB2312" w:cs="Times New Roman" w:hAnsi="Times New Roman"/>
          <w:color w:val="000000"/>
          <w:kern w:val="0"/>
          <w:sz w:val="32"/>
          <w:szCs w:val="32"/>
          <w:lang w:eastAsia="zh-CN"/>
          <w:highlight w:val="auto"/>
        </w:rPr>
        <w:t>较上年同期增长</w:t>
      </w:r>
      <w:r>
        <w:rPr>
          <w:rFonts w:ascii="Times New Roman" w:eastAsia="仿宋_GB2312" w:cs="Times New Roman" w:hAnsi="Times New Roman"/>
          <w:color w:val="000000"/>
          <w:kern w:val="0"/>
          <w:sz w:val="32"/>
          <w:szCs w:val="32"/>
          <w:lang w:val="en-US" w:eastAsia="zh-CN"/>
          <w:highlight w:val="auto"/>
        </w:rPr>
        <w:t>1.17</w:t>
      </w:r>
      <w:r>
        <w:rPr>
          <w:rFonts w:ascii="Times New Roman" w:eastAsia="仿宋_GB2312" w:cs="Times New Roman" w:hAnsi="Times New Roman"/>
          <w:color w:val="000000"/>
          <w:kern w:val="0"/>
          <w:sz w:val="32"/>
          <w:szCs w:val="32"/>
          <w:highlight w:val="auto"/>
        </w:rPr>
        <w:t>%；非税收入完成</w:t>
      </w:r>
      <w:r>
        <w:rPr>
          <w:rFonts w:ascii="Times New Roman" w:eastAsia="仿宋_GB2312" w:cs="Times New Roman" w:hAnsi="Times New Roman"/>
          <w:color w:val="000000"/>
          <w:kern w:val="0"/>
          <w:sz w:val="32"/>
          <w:szCs w:val="32"/>
          <w:lang w:val="en-US" w:eastAsia="zh-CN"/>
          <w:highlight w:val="auto"/>
        </w:rPr>
        <w:t>2952</w:t>
      </w:r>
      <w:r>
        <w:rPr>
          <w:rFonts w:ascii="Times New Roman" w:eastAsia="仿宋_GB2312" w:cs="Times New Roman" w:hAnsi="Times New Roman"/>
          <w:color w:val="000000"/>
          <w:kern w:val="0"/>
          <w:sz w:val="32"/>
          <w:szCs w:val="32"/>
          <w:highlight w:val="auto"/>
        </w:rPr>
        <w:t>万元，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zh-CN"/>
          <w:highlight w:val="auto"/>
        </w:rPr>
        <w:t>完成年初预算的</w:t>
      </w:r>
      <w:r>
        <w:rPr>
          <w:rFonts w:ascii="Times New Roman" w:eastAsia="仿宋_GB2312" w:cs="Times New Roman" w:hAnsi="Times New Roman"/>
          <w:color w:val="000000"/>
          <w:kern w:val="0"/>
          <w:sz w:val="32"/>
          <w:szCs w:val="32"/>
          <w:lang w:val="en-US" w:eastAsia="zh-CN"/>
          <w:highlight w:val="auto"/>
        </w:rPr>
        <w:t>101.06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zh-CN"/>
          <w:highlight w:val="auto"/>
        </w:rPr>
        <w:t>%，</w:t>
      </w:r>
      <w:r>
        <w:rPr>
          <w:rFonts w:ascii="Times New Roman" w:eastAsia="仿宋_GB2312" w:cs="Times New Roman" w:hAnsi="Times New Roman"/>
          <w:color w:val="000000"/>
          <w:kern w:val="0"/>
          <w:sz w:val="32"/>
          <w:szCs w:val="32"/>
          <w:lang w:eastAsia="zh-CN"/>
          <w:highlight w:val="auto"/>
        </w:rPr>
        <w:t>较上年同期增长</w:t>
      </w:r>
      <w:r>
        <w:rPr>
          <w:rFonts w:ascii="Times New Roman" w:eastAsia="仿宋_GB2312" w:cs="Times New Roman" w:hAnsi="Times New Roman"/>
          <w:color w:val="000000"/>
          <w:kern w:val="0"/>
          <w:sz w:val="32"/>
          <w:szCs w:val="32"/>
          <w:lang w:val="en-US" w:eastAsia="zh-CN"/>
          <w:highlight w:val="auto"/>
        </w:rPr>
        <w:t>34.92</w:t>
      </w:r>
      <w:r>
        <w:rPr>
          <w:rFonts w:ascii="Times New Roman" w:eastAsia="仿宋_GB2312" w:cs="Times New Roman" w:hAnsi="Times New Roman"/>
          <w:color w:val="000000"/>
          <w:kern w:val="0"/>
          <w:sz w:val="32"/>
          <w:szCs w:val="32"/>
          <w:highlight w:val="auto"/>
        </w:rPr>
        <w:t>%。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highlight w:val="auto"/>
        </w:rPr>
        <w:t>上半年</w:t>
      </w:r>
      <w:r>
        <w:rPr>
          <w:rFonts w:ascii="Times New Roman" w:eastAsia="仿宋_GB2312" w:cs="Times New Roman" w:hAnsi="Times New Roman"/>
          <w:color w:val="000000"/>
          <w:kern w:val="0"/>
          <w:sz w:val="32"/>
          <w:szCs w:val="32"/>
          <w:lang w:val="en-US" w:eastAsia="zh-CN"/>
          <w:highlight w:val="auto"/>
        </w:rPr>
        <w:t>，全县完成</w:t>
      </w:r>
      <w:r>
        <w:rPr>
          <w:rFonts w:ascii="Times New Roman" w:eastAsia="仿宋_GB2312" w:cs="Times New Roman" w:hAnsi="Times New Roman"/>
          <w:color w:val="000000"/>
          <w:kern w:val="0"/>
          <w:sz w:val="32"/>
          <w:szCs w:val="32"/>
          <w:highlight w:val="auto"/>
        </w:rPr>
        <w:t>一般公共预算支出82703万元，</w:t>
      </w:r>
      <w:r>
        <w:rPr>
          <w:rFonts w:ascii="Times New Roman" w:eastAsia="仿宋_GB2312" w:cs="Times New Roman" w:hAnsi="Times New Roman"/>
          <w:color w:val="000000"/>
          <w:kern w:val="0"/>
          <w:sz w:val="32"/>
          <w:szCs w:val="32"/>
          <w:lang w:val="en-US" w:eastAsia="zh-CN"/>
          <w:highlight w:val="auto"/>
        </w:rPr>
        <w:t>较上年同期</w:t>
      </w:r>
      <w:r>
        <w:rPr>
          <w:rFonts w:ascii="Times New Roman" w:eastAsia="仿宋_GB2312" w:cs="Times New Roman" w:hAnsi="Times New Roman"/>
          <w:color w:val="000000"/>
          <w:kern w:val="0"/>
          <w:sz w:val="32"/>
          <w:szCs w:val="32"/>
          <w:lang w:eastAsia="zh-CN"/>
          <w:highlight w:val="auto"/>
        </w:rPr>
        <w:t>增长2.33</w:t>
      </w:r>
      <w:r>
        <w:rPr>
          <w:rFonts w:ascii="Times New Roman" w:eastAsia="仿宋_GB2312" w:cs="Times New Roman" w:hAnsi="Times New Roman"/>
          <w:color w:val="000000"/>
          <w:kern w:val="0"/>
          <w:sz w:val="32"/>
          <w:szCs w:val="32"/>
          <w:highlight w:val="auto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Chars="200" w:firstLine="640"/>
        <w:textAlignment w:val="auto"/>
        <w:outlineLvl w:val="9"/>
        <w:rPr>
          <w:rFonts w:ascii="Times New Roman" w:eastAsia="楷体_GB2312" w:cs="Times New Roman" w:hAnsi="Times New Roman"/>
          <w:b/>
          <w:color w:val="000000"/>
          <w:sz w:val="32"/>
          <w:szCs w:val="32"/>
          <w:lang w:val="zh-CN"/>
          <w:highlight w:val="auto"/>
        </w:rPr>
      </w:pPr>
      <w:r>
        <w:rPr>
          <w:rFonts w:ascii="Times New Roman" w:eastAsia="楷体_GB2312" w:cs="Times New Roman" w:hAnsi="Times New Roman" w:hint="eastAsia"/>
          <w:b/>
          <w:color w:val="000000"/>
          <w:sz w:val="32"/>
          <w:szCs w:val="32"/>
          <w:lang w:val="zh-CN"/>
          <w:highlight w:val="auto"/>
        </w:rPr>
        <w:t>（二）</w:t>
      </w:r>
      <w:r>
        <w:rPr>
          <w:rFonts w:ascii="Times New Roman" w:eastAsia="楷体_GB2312" w:cs="Times New Roman" w:hAnsi="Times New Roman"/>
          <w:b/>
          <w:color w:val="000000"/>
          <w:sz w:val="32"/>
          <w:szCs w:val="32"/>
          <w:lang w:val="zh-CN"/>
          <w:highlight w:val="auto"/>
        </w:rPr>
        <w:t>政府性基金预算</w:t>
      </w:r>
      <w:r>
        <w:rPr>
          <w:rFonts w:ascii="Times New Roman" w:eastAsia="楷体_GB2312" w:cs="Times New Roman" w:hAnsi="Times New Roman"/>
          <w:b/>
          <w:color w:val="000000"/>
          <w:sz w:val="32"/>
          <w:szCs w:val="32"/>
          <w:highlight w:val="auto"/>
        </w:rPr>
        <w:t>执行情况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Chars="200" w:firstLine="640"/>
        <w:textAlignment w:val="auto"/>
        <w:outlineLvl w:val="9"/>
        <w:rPr>
          <w:rFonts w:ascii="Times New Roman" w:eastAsia="仿宋_GB2312" w:cs="Times New Roman" w:hAnsi="Times New Roman"/>
          <w:color w:val="000000"/>
          <w:kern w:val="0"/>
          <w:sz w:val="32"/>
          <w:szCs w:val="32"/>
          <w:lang w:eastAsia="zh-CN"/>
          <w:highlight w:val="auto"/>
        </w:rPr>
      </w:pPr>
      <w:r>
        <w:rPr>
          <w:rFonts w:ascii="Times New Roman" w:eastAsia="仿宋_GB2312" w:cs="Times New Roman" w:hAnsi="Times New Roman"/>
          <w:color w:val="000000"/>
          <w:kern w:val="0"/>
          <w:sz w:val="32"/>
          <w:szCs w:val="32"/>
          <w:highlight w:val="auto"/>
        </w:rPr>
        <w:t>上半年，全县政府性基金</w:t>
      </w:r>
      <w:r>
        <w:rPr>
          <w:rFonts w:ascii="Times New Roman" w:eastAsia="仿宋_GB2312" w:cs="Times New Roman" w:hAnsi="Times New Roman"/>
          <w:color w:val="000000"/>
          <w:kern w:val="0"/>
          <w:sz w:val="32"/>
          <w:szCs w:val="32"/>
          <w:lang w:eastAsia="zh-CN"/>
          <w:highlight w:val="auto"/>
        </w:rPr>
        <w:t>收入完成30万元，</w:t>
      </w:r>
      <w:r>
        <w:rPr>
          <w:rFonts w:ascii="Times New Roman" w:eastAsia="仿宋_GB2312" w:cs="Times New Roman" w:hAnsi="Times New Roman"/>
          <w:color w:val="000000"/>
          <w:kern w:val="0"/>
          <w:sz w:val="32"/>
          <w:szCs w:val="32"/>
          <w:lang w:eastAsia="zh-CN"/>
        </w:rPr>
        <w:t>其中：国有土地使用权出让收入30万元，</w:t>
      </w:r>
      <w:r>
        <w:rPr>
          <w:rFonts w:ascii="Times New Roman" w:eastAsia="仿宋_GB2312" w:cs="Times New Roman" w:hAnsi="Times New Roman"/>
          <w:color w:val="000000"/>
          <w:kern w:val="0"/>
          <w:sz w:val="32"/>
          <w:szCs w:val="32"/>
          <w:lang w:eastAsia="zh-CN"/>
          <w:highlight w:val="auto"/>
        </w:rPr>
        <w:t>完成年初预算的3.49%。上半年，全</w:t>
      </w:r>
      <w:r>
        <w:rPr>
          <w:rFonts w:ascii="Times New Roman" w:eastAsia="仿宋_GB2312" w:cs="Times New Roman" w:hAnsi="Times New Roman"/>
          <w:color w:val="000000"/>
          <w:kern w:val="0"/>
          <w:sz w:val="32"/>
          <w:szCs w:val="32"/>
          <w:highlight w:val="auto"/>
        </w:rPr>
        <w:t>县政府性基金支出</w:t>
      </w:r>
      <w:r>
        <w:rPr>
          <w:rFonts w:ascii="Times New Roman" w:eastAsia="仿宋_GB2312" w:cs="Times New Roman" w:hAnsi="Times New Roman"/>
          <w:color w:val="000000"/>
          <w:kern w:val="0"/>
          <w:sz w:val="32"/>
          <w:szCs w:val="32"/>
          <w:lang w:eastAsia="zh-CN"/>
          <w:highlight w:val="auto"/>
        </w:rPr>
        <w:t>完成54万元，其中：</w:t>
      </w:r>
      <w:r>
        <w:rPr>
          <w:rFonts w:ascii="Times New Roman" w:eastAsia="仿宋_GB2312" w:cs="Times New Roman" w:hAnsi="Times New Roman"/>
          <w:color w:val="000000"/>
          <w:kern w:val="0"/>
          <w:sz w:val="32"/>
          <w:szCs w:val="32"/>
          <w:lang w:eastAsia="zh-CN"/>
        </w:rPr>
        <w:t>大中型水库移民后期扶持基金支出39万元，彩票公益金安排的支出15万元</w:t>
      </w:r>
      <w:r>
        <w:rPr>
          <w:rFonts w:ascii="Times New Roman" w:eastAsia="仿宋_GB2312" w:cs="Times New Roman" w:hAnsi="Times New Roman"/>
          <w:color w:val="000000"/>
          <w:kern w:val="0"/>
          <w:sz w:val="32"/>
          <w:szCs w:val="32"/>
          <w:lang w:eastAsia="zh-CN"/>
          <w:highlight w:val="auto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Chars="200" w:firstLine="640"/>
        <w:textAlignment w:val="auto"/>
        <w:outlineLvl w:val="9"/>
        <w:rPr>
          <w:rFonts w:ascii="Times New Roman" w:eastAsia="楷体_GB2312" w:cs="Times New Roman" w:hAnsi="Times New Roman"/>
          <w:b/>
          <w:color w:val="000000"/>
          <w:sz w:val="32"/>
          <w:szCs w:val="32"/>
          <w:lang w:val="en-US" w:eastAsia="zh-CN"/>
          <w:highlight w:val="auto"/>
        </w:rPr>
      </w:pPr>
      <w:r>
        <w:rPr>
          <w:rFonts w:ascii="Times New Roman" w:eastAsia="楷体_GB2312" w:cs="Times New Roman" w:hAnsi="Times New Roman"/>
          <w:b/>
          <w:color w:val="000000"/>
          <w:sz w:val="32"/>
          <w:szCs w:val="32"/>
          <w:lang w:val="en-US" w:eastAsia="zh-CN"/>
          <w:highlight w:val="auto"/>
        </w:rPr>
        <w:t>（三）国有资本经营预算执行情况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after="0" w:line="560" w:lineRule="exact"/>
        <w:ind w:firstLineChars="200" w:firstLine="640"/>
        <w:textAlignment w:val="auto"/>
        <w:rPr>
          <w:rFonts w:ascii="Times New Roman" w:eastAsia="仿宋_GB2312" w:cs="Times New Roman" w:hAnsi="Times New Roman"/>
          <w:color w:val="000000"/>
          <w:sz w:val="32"/>
          <w:szCs w:val="32"/>
        </w:rPr>
      </w:pPr>
      <w:r>
        <w:rPr>
          <w:rFonts w:ascii="Times New Roman" w:eastAsia="仿宋_GB2312" w:cs="Times New Roman" w:hAnsi="Times New Roman"/>
          <w:color w:val="000000"/>
          <w:sz w:val="32"/>
          <w:szCs w:val="32"/>
        </w:rPr>
        <w:t>上半年，全县未实现国有资本经营收支。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Chars="200" w:firstLine="640"/>
        <w:textAlignment w:val="auto"/>
        <w:outlineLvl w:val="9"/>
        <w:rPr>
          <w:rFonts w:ascii="Times New Roman" w:eastAsia="楷体_GB2312" w:cs="Times New Roman" w:hAnsi="Times New Roman"/>
          <w:b/>
          <w:color w:val="000000"/>
          <w:sz w:val="32"/>
          <w:szCs w:val="32"/>
          <w:highlight w:val="auto"/>
        </w:rPr>
      </w:pPr>
      <w:r>
        <w:rPr>
          <w:rFonts w:ascii="Times New Roman" w:eastAsia="楷体_GB2312" w:cs="Times New Roman" w:hAnsi="Times New Roman"/>
          <w:b/>
          <w:color w:val="000000"/>
          <w:sz w:val="32"/>
          <w:szCs w:val="32"/>
          <w:lang w:val="zh-CN"/>
          <w:highlight w:val="auto"/>
        </w:rPr>
        <w:t>（四）社会保险基金预算</w:t>
      </w:r>
      <w:r>
        <w:rPr>
          <w:rFonts w:ascii="Times New Roman" w:eastAsia="楷体_GB2312" w:cs="Times New Roman" w:hAnsi="Times New Roman"/>
          <w:b/>
          <w:color w:val="000000"/>
          <w:sz w:val="32"/>
          <w:szCs w:val="32"/>
          <w:highlight w:val="auto"/>
        </w:rPr>
        <w:t>执行情况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Chars="200" w:firstLine="640"/>
        <w:textAlignment w:val="auto"/>
        <w:outlineLvl w:val="9"/>
        <w:rPr>
          <w:rFonts w:ascii="Times New Roman" w:eastAsia="仿宋_GB2312" w:cs="Times New Roman" w:hAnsi="Times New Roman"/>
          <w:color w:val="000000"/>
          <w:sz w:val="32"/>
          <w:szCs w:val="32"/>
          <w:lang w:val="zh-CN"/>
          <w:highlight w:val="auto"/>
        </w:rPr>
      </w:pPr>
      <w:r>
        <w:rPr>
          <w:rFonts w:ascii="Times New Roman" w:eastAsia="仿宋_GB2312" w:cs="Times New Roman" w:hAnsi="Times New Roman"/>
          <w:color w:val="000000"/>
          <w:kern w:val="0"/>
          <w:sz w:val="32"/>
          <w:szCs w:val="32"/>
        </w:rPr>
        <w:t>上半年，全县社保基金收入完成1638万元，其中：城乡居民养老保险基金收入1638万元，完成预算的68.42%，较上年同期增长2.3%。全县社保基金支出完成789万元，其中：城乡居民养老保险基金支出789万元，完成预算的50%，较上年同期增加3.7%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zh-CN"/>
          <w:highlight w:val="auto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left="0" w:firstLineChars="200" w:firstLine="640"/>
        <w:textAlignment w:val="auto"/>
        <w:outlineLvl w:val="9"/>
        <w:rPr>
          <w:rFonts w:ascii="Times New Roman" w:eastAsia="楷体_GB2312" w:cs="Times New Roman" w:hAnsi="Times New Roman"/>
          <w:b/>
          <w:color w:val="000000"/>
          <w:kern w:val="2"/>
          <w:sz w:val="32"/>
          <w:szCs w:val="32"/>
          <w:highlight w:val="auto"/>
        </w:rPr>
      </w:pPr>
      <w:r>
        <w:rPr>
          <w:rFonts w:ascii="Times New Roman" w:eastAsia="楷体_GB2312" w:cs="Times New Roman" w:hAnsi="Times New Roman"/>
          <w:b/>
          <w:color w:val="000000"/>
          <w:sz w:val="32"/>
          <w:szCs w:val="32"/>
          <w:lang w:val="en-US" w:eastAsia="zh-CN"/>
          <w:highlight w:val="auto"/>
        </w:rPr>
        <w:t>（五）</w:t>
      </w:r>
      <w:r>
        <w:rPr>
          <w:rFonts w:ascii="Times New Roman" w:eastAsia="楷体_GB2312" w:cs="Times New Roman" w:hAnsi="Times New Roman"/>
          <w:b/>
          <w:color w:val="000000"/>
          <w:kern w:val="2"/>
          <w:sz w:val="32"/>
          <w:szCs w:val="32"/>
          <w:highlight w:val="auto"/>
        </w:rPr>
        <w:t>政府性债务变动情况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left="0" w:firstLineChars="200" w:firstLine="640"/>
        <w:textAlignment w:val="auto"/>
        <w:rPr>
          <w:rFonts w:ascii="Times New Roman" w:eastAsia="仿宋_GB2312" w:cs="Times New Roman" w:hAnsi="Times New Roman"/>
          <w:color w:val="000000"/>
          <w:sz w:val="32"/>
          <w:szCs w:val="32"/>
        </w:rPr>
      </w:pPr>
      <w:r>
        <w:rPr>
          <w:rFonts w:ascii="Times New Roman" w:eastAsia="仿宋_GB2312" w:cs="Times New Roman" w:hAnsi="Times New Roman"/>
          <w:b w:val="0"/>
          <w:bCs/>
          <w:color w:val="000000"/>
          <w:sz w:val="32"/>
          <w:szCs w:val="32"/>
          <w:lang w:val="en-US"/>
        </w:rPr>
        <w:t>2022年我县债务期初余额为39363万元，当期新增再融资债券4200万元，用于到期债券还本支出。当期新增一般债券75万元，用于2022年金川县地质灾害工程治理项目。截止目前我县债务余额为39363万元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en-US" w:eastAsia="zh-CN"/>
          <w:highlight w:val="auto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Chars="200" w:firstLine="640"/>
        <w:jc w:val="left"/>
        <w:textAlignment w:val="auto"/>
        <w:outlineLvl w:val="9"/>
        <w:rPr>
          <w:rFonts w:ascii="Times New Roman" w:eastAsia="黑体" w:cs="Times New Roman" w:hAnsi="Times New Roman"/>
          <w:color w:val="000000"/>
          <w:sz w:val="32"/>
          <w:szCs w:val="32"/>
          <w:lang w:val="zh-CN"/>
          <w:highlight w:val="auto"/>
        </w:rPr>
      </w:pPr>
      <w:r>
        <w:rPr>
          <w:rFonts w:ascii="Times New Roman" w:eastAsia="黑体" w:cs="Times New Roman" w:hAnsi="Times New Roman"/>
          <w:color w:val="000000"/>
          <w:sz w:val="32"/>
          <w:szCs w:val="32"/>
          <w:highlight w:val="auto"/>
        </w:rPr>
        <w:t>三、</w:t>
      </w:r>
      <w:r>
        <w:rPr>
          <w:rFonts w:ascii="Times New Roman" w:eastAsia="黑体" w:cs="Times New Roman" w:hAnsi="Times New Roman"/>
          <w:color w:val="000000"/>
          <w:sz w:val="32"/>
          <w:szCs w:val="32"/>
          <w:lang w:val="zh-CN"/>
          <w:highlight w:val="auto"/>
        </w:rPr>
        <w:t>上半年开展的主要工作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Chars="200" w:firstLine="640"/>
        <w:jc w:val="both"/>
        <w:textAlignment w:val="auto"/>
        <w:outlineLvl w:val="9"/>
        <w:rPr>
          <w:rFonts w:ascii="Times New Roman" w:eastAsia="楷体_GB2312" w:cs="Times New Roman" w:hAnsi="Times New Roman"/>
          <w:b/>
          <w:color w:val="000000"/>
          <w:kern w:val="0"/>
          <w:sz w:val="32"/>
          <w:szCs w:val="32"/>
          <w:highlight w:val="auto"/>
        </w:rPr>
      </w:pPr>
      <w:r>
        <w:rPr>
          <w:rFonts w:ascii="Times New Roman" w:eastAsia="楷体_GB2312" w:cs="Times New Roman" w:hAnsi="Times New Roman"/>
          <w:b/>
          <w:color w:val="000000"/>
          <w:kern w:val="0"/>
          <w:sz w:val="32"/>
          <w:szCs w:val="32"/>
          <w:highlight w:val="auto"/>
        </w:rPr>
        <w:t>（一）民生保障再加力</w:t>
      </w:r>
    </w:p>
    <w:p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60" w:lineRule="exact"/>
        <w:ind w:right="0" w:firstLineChars="200" w:firstLine="640"/>
        <w:jc w:val="both"/>
        <w:textAlignment w:val="auto"/>
        <w:outlineLvl w:val="9"/>
        <w:rPr>
          <w:rFonts w:ascii="Times New Roman" w:eastAsia="仿宋_GB2312" w:cs="Times New Roman" w:hAnsi="Times New Roman"/>
          <w:color w:val="000000"/>
          <w:sz w:val="32"/>
          <w:szCs w:val="32"/>
          <w:lang w:eastAsia="zh-CN"/>
          <w:highlight w:val="auto"/>
        </w:rPr>
      </w:pPr>
      <w:r>
        <w:rPr>
          <w:rFonts w:ascii="Times New Roman" w:eastAsia="仿宋_GB2312" w:cs="Times New Roman" w:hAnsi="Times New Roman"/>
          <w:color w:val="000000"/>
          <w:sz w:val="32"/>
          <w:szCs w:val="32"/>
          <w:lang w:val="en-US" w:eastAsia="zh-CN"/>
          <w:highlight w:val="auto"/>
        </w:rPr>
        <w:t>上半年，</w:t>
      </w:r>
      <w:r>
        <w:rPr>
          <w:rFonts w:ascii="Times New Roman" w:eastAsia="仿宋_GB2312" w:cs="Times New Roman" w:hAnsi="Times New Roman"/>
          <w:b w:val="0"/>
          <w:bCs/>
          <w:color w:val="000000"/>
          <w:kern w:val="2"/>
          <w:sz w:val="32"/>
          <w:szCs w:val="32"/>
          <w:lang w:val="en-US" w:eastAsia="zh-CN" w:bidi="ar-SA"/>
          <w:highlight w:val="auto"/>
        </w:rPr>
        <w:t>30件项民生实事预算安排5655.27万元，预算下达6101.52万元，资金拨付3336.13万元，资金拔付占预算安排58.99%，占预算下达的54.68%。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Chars="200" w:firstLine="640"/>
        <w:jc w:val="both"/>
        <w:textAlignment w:val="auto"/>
        <w:outlineLvl w:val="9"/>
        <w:rPr>
          <w:rFonts w:ascii="Times New Roman" w:eastAsia="楷体_GB2312" w:cs="Times New Roman" w:hAnsi="Times New Roman"/>
          <w:b/>
          <w:color w:val="000000"/>
          <w:sz w:val="32"/>
          <w:szCs w:val="32"/>
          <w:lang w:eastAsia="zh-CN"/>
        </w:rPr>
      </w:pPr>
      <w:r>
        <w:rPr>
          <w:rFonts w:ascii="Times New Roman" w:eastAsia="楷体_GB2312" w:cs="Times New Roman" w:hAnsi="Times New Roman"/>
          <w:b/>
          <w:color w:val="000000"/>
          <w:kern w:val="0"/>
          <w:sz w:val="32"/>
          <w:szCs w:val="32"/>
          <w:lang w:val="zh-CN"/>
          <w:highlight w:val="auto"/>
        </w:rPr>
        <w:t>（二）</w:t>
      </w:r>
      <w:r>
        <w:rPr>
          <w:rFonts w:ascii="Times New Roman" w:eastAsia="楷体_GB2312" w:cs="Times New Roman" w:hAnsi="Times New Roman"/>
          <w:b/>
          <w:color w:val="000000"/>
          <w:sz w:val="32"/>
          <w:szCs w:val="32"/>
          <w:lang w:eastAsia="zh-CN"/>
        </w:rPr>
        <w:t>资金监管抓落实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textAlignment w:val="auto"/>
        <w:rPr>
          <w:rFonts w:ascii="Times New Roman" w:eastAsia="仿宋_GB2312" w:cs="Times New Roman" w:hAnsi="Times New Roman"/>
          <w:bCs/>
          <w:color w:val="000000"/>
          <w:sz w:val="32"/>
          <w:szCs w:val="32"/>
          <w:lang w:val="en-US" w:eastAsia="zh-CN"/>
        </w:rPr>
      </w:pPr>
      <w:r>
        <w:rPr>
          <w:rFonts w:ascii="Times New Roman" w:eastAsia="仿宋_GB2312" w:cs="Times New Roman" w:hAnsi="Times New Roman"/>
          <w:b/>
          <w:bCs w:val="0"/>
          <w:color w:val="000000"/>
          <w:sz w:val="32"/>
          <w:szCs w:val="32"/>
          <w:lang w:eastAsia="zh-CN"/>
        </w:rPr>
        <w:t>1.涉农整合资金使用情况。</w:t>
      </w:r>
      <w:r>
        <w:rPr>
          <w:rFonts w:ascii="Times New Roman" w:eastAsia="仿宋_GB2312" w:cs="Times New Roman" w:hAnsi="Times New Roman"/>
          <w:bCs/>
          <w:color w:val="000000"/>
          <w:sz w:val="32"/>
          <w:szCs w:val="32"/>
        </w:rPr>
        <w:t>为贯彻落实中央、</w:t>
      </w:r>
      <w:r>
        <w:rPr>
          <w:rFonts w:ascii="Times New Roman" w:eastAsia="仿宋_GB2312" w:cs="Times New Roman" w:hAnsi="Times New Roman"/>
          <w:bCs/>
          <w:color w:val="000000"/>
          <w:sz w:val="32"/>
          <w:szCs w:val="32"/>
          <w:lang w:val="en-US" w:eastAsia="zh-CN"/>
        </w:rPr>
        <w:t>省关于实现巩固拓展脱贫攻坚成果同乡村振兴</w:t>
      </w:r>
      <w:r>
        <w:rPr>
          <w:rFonts w:ascii="Times New Roman" w:eastAsia="仿宋_GB2312" w:cs="Times New Roman" w:hAnsi="Times New Roman"/>
          <w:bCs/>
          <w:color w:val="000000"/>
          <w:sz w:val="32"/>
          <w:szCs w:val="32"/>
        </w:rPr>
        <w:t>有效衔接实施意见精神，</w:t>
      </w:r>
      <w:r>
        <w:rPr>
          <w:rFonts w:ascii="Times New Roman" w:eastAsia="仿宋_GB2312" w:cs="Times New Roman" w:hAnsi="Times New Roman"/>
          <w:bCs/>
          <w:color w:val="000000"/>
          <w:sz w:val="32"/>
          <w:szCs w:val="32"/>
          <w:lang w:val="en-US" w:eastAsia="zh-CN"/>
        </w:rPr>
        <w:t>我县积极开展财政涉农资金统筹整合工作，做好资金筹措工作。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textAlignment w:val="auto"/>
        <w:rPr>
          <w:rFonts w:ascii="Times New Roman" w:eastAsia="仿宋_GB2312" w:cs="Times New Roman" w:hAnsi="Times New Roman"/>
          <w:b w:val="0"/>
          <w:bCs/>
          <w:color w:val="000000"/>
          <w:sz w:val="32"/>
          <w:szCs w:val="32"/>
        </w:rPr>
      </w:pPr>
      <w:r>
        <w:rPr>
          <w:rFonts w:ascii="Times New Roman" w:eastAsia="仿宋_GB2312" w:cs="Times New Roman" w:hAnsi="Times New Roman"/>
          <w:b w:val="0"/>
          <w:bCs/>
          <w:color w:val="000000"/>
          <w:sz w:val="32"/>
          <w:szCs w:val="32"/>
        </w:rPr>
        <w:t>截至2022年6月30日，共计纳入并整合资金规模14925万元，用于巩固拓展脱贫攻坚成果和乡村振兴108个项目，其中：基础设施类项目33个，投入整合资金5734万元；产业发展类项目58个，投入整合资金7274万元；其他项目17个，投入整合资金1917万元；截至2022年6月30日财政涉农整合资金支付8131.48万元，支付率为54.48%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textAlignment w:val="auto"/>
        <w:rPr>
          <w:rFonts w:ascii="Times New Roman" w:eastAsia="仿宋_GB2312" w:cs="Times New Roman" w:hAnsi="Times New Roman"/>
          <w:color w:val="000000"/>
          <w:kern w:val="0"/>
          <w:sz w:val="32"/>
          <w:szCs w:val="32"/>
          <w:lang w:val="zh-CN"/>
        </w:rPr>
      </w:pPr>
      <w:r>
        <w:rPr>
          <w:rFonts w:ascii="Times New Roman" w:eastAsia="仿宋_GB2312" w:cs="Times New Roman" w:hAnsi="Times New Roman"/>
          <w:b/>
          <w:bCs/>
          <w:color w:val="000000"/>
          <w:sz w:val="32"/>
          <w:szCs w:val="32"/>
          <w:lang w:val="zh-CN"/>
          <w:highlight w:val="auto"/>
        </w:rPr>
        <w:t>2.四项扶贫基金。</w:t>
      </w:r>
      <w:r>
        <w:rPr>
          <w:rFonts w:ascii="Times New Roman" w:eastAsia="仿宋_GB2312" w:cs="Times New Roman" w:hAnsi="Times New Roman"/>
          <w:b/>
          <w:bCs/>
          <w:color w:val="000000"/>
          <w:kern w:val="0"/>
          <w:sz w:val="32"/>
          <w:szCs w:val="32"/>
          <w:lang w:val="zh-CN"/>
        </w:rPr>
        <w:t>一是</w:t>
      </w:r>
      <w:r>
        <w:rPr>
          <w:rFonts w:ascii="Times New Roman" w:eastAsia="仿宋_GB2312" w:cs="Times New Roman" w:hAnsi="Times New Roman"/>
          <w:color w:val="000000"/>
          <w:kern w:val="0"/>
          <w:sz w:val="32"/>
          <w:szCs w:val="32"/>
          <w:lang w:val="zh-CN"/>
        </w:rPr>
        <w:t>2022年教育扶贫救助基金规模累计达1246.75万元、卫生扶贫救助基金规模累计达1298万元、扶贫小额信贷基金1310万元。</w:t>
      </w:r>
      <w:r>
        <w:rPr>
          <w:rFonts w:ascii="Times New Roman" w:eastAsia="仿宋_GB2312" w:cs="Times New Roman" w:hAnsi="Times New Roman"/>
          <w:b/>
          <w:bCs/>
          <w:color w:val="000000"/>
          <w:kern w:val="0"/>
          <w:sz w:val="32"/>
          <w:szCs w:val="32"/>
          <w:lang w:val="zh-CN"/>
        </w:rPr>
        <w:t>二是</w:t>
      </w:r>
      <w:r>
        <w:rPr>
          <w:rFonts w:ascii="Times New Roman" w:eastAsia="仿宋_GB2312" w:cs="Times New Roman" w:hAnsi="Times New Roman"/>
          <w:color w:val="000000"/>
          <w:kern w:val="0"/>
          <w:sz w:val="32"/>
          <w:szCs w:val="32"/>
          <w:lang w:val="zh-CN"/>
        </w:rPr>
        <w:t>累计发放教育扶贫救助基金908.12万元，救助贫困学生5671人；累计发放卫生扶贫救助基金973.43万元，救助贫困人口8052人。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textAlignment w:val="auto"/>
        <w:rPr>
          <w:rFonts w:ascii="Times New Roman" w:eastAsia="仿宋_GB2312" w:cs="Times New Roman" w:hAnsi="Times New Roman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ascii="Times New Roman" w:eastAsia="仿宋_GB2312" w:cs="Times New Roman" w:hAnsi="Times New Roman"/>
          <w:b/>
          <w:color w:val="000000"/>
          <w:sz w:val="32"/>
          <w:szCs w:val="32"/>
          <w:lang w:val="en-US" w:eastAsia="zh-CN"/>
        </w:rPr>
        <w:t>3.</w:t>
      </w:r>
      <w:r>
        <w:rPr>
          <w:rFonts w:ascii="Times New Roman" w:eastAsia="仿宋_GB2312" w:cs="Times New Roman" w:hAnsi="Times New Roman"/>
          <w:b/>
          <w:color w:val="000000"/>
          <w:sz w:val="32"/>
          <w:szCs w:val="32"/>
          <w:lang w:eastAsia="zh-CN"/>
        </w:rPr>
        <w:t>直达资金执行情况。</w:t>
      </w:r>
      <w:r>
        <w:rPr>
          <w:rFonts w:ascii="Times New Roman" w:eastAsia="仿宋_GB2312" w:cs="Times New Roman" w:hAnsi="Times New Roman"/>
          <w:b w:val="0"/>
          <w:bCs/>
          <w:color w:val="000000"/>
          <w:sz w:val="32"/>
          <w:szCs w:val="32"/>
          <w:lang w:eastAsia="zh-CN"/>
        </w:rPr>
        <w:t>截至2022年6月30日，上级下达中央和地方直达资金15485.12万元。其中：中央衔接推进乡村振兴补助资金11912万元、中央政农田建设补助资金1300万元、中央财政农业生产发展资金（耕地地力保护补贴方向）319.12万元，中央参照直达资金（2022年中央大中型水库移民后期扶持资金）257万元，省级衔接推进乡村振兴补助资金1697万元。截至2022年6月30日中央和地方直达资金共拨付7843.84万元，资金支付率为50.65%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Chars="200" w:firstLine="640"/>
        <w:textAlignment w:val="auto"/>
        <w:rPr>
          <w:rFonts w:ascii="Times New Roman" w:eastAsia="楷体_GB2312" w:cs="Times New Roman" w:hAnsi="Times New Roman"/>
          <w:b/>
          <w:color w:val="000000"/>
          <w:kern w:val="0"/>
          <w:sz w:val="32"/>
          <w:szCs w:val="32"/>
          <w:highlight w:val="auto"/>
        </w:rPr>
      </w:pPr>
      <w:r>
        <w:rPr>
          <w:rFonts w:ascii="Times New Roman" w:eastAsia="楷体_GB2312" w:cs="Times New Roman" w:hAnsi="Times New Roman"/>
          <w:b/>
          <w:color w:val="000000"/>
          <w:kern w:val="0"/>
          <w:sz w:val="32"/>
          <w:szCs w:val="32"/>
          <w:highlight w:val="auto"/>
        </w:rPr>
        <w:t>（三）</w:t>
      </w:r>
      <w:r>
        <w:rPr>
          <w:rFonts w:ascii="Times New Roman" w:eastAsia="楷体_GB2312" w:cs="Times New Roman" w:hAnsi="Times New Roman"/>
          <w:b/>
          <w:color w:val="000000"/>
          <w:sz w:val="32"/>
          <w:szCs w:val="32"/>
          <w:lang w:eastAsia="zh-CN"/>
        </w:rPr>
        <w:t>财政监督重实效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Chars="200" w:firstLine="640"/>
        <w:textAlignment w:val="auto"/>
        <w:rPr>
          <w:rFonts w:ascii="Times New Roman" w:eastAsia="仿宋_GB2312" w:cs="Times New Roman" w:hAnsi="Times New Roman"/>
          <w:color w:val="000000"/>
          <w:sz w:val="32"/>
          <w:szCs w:val="32"/>
          <w:shd w:val="clear" w:color="auto" w:fill="auto"/>
          <w:highlight w:val="auto"/>
        </w:rPr>
      </w:pPr>
      <w:r>
        <w:rPr>
          <w:rFonts w:ascii="Times New Roman" w:eastAsia="仿宋_GB2312" w:cs="Times New Roman" w:hAnsi="Times New Roman"/>
          <w:b/>
          <w:color w:val="000000"/>
          <w:kern w:val="0"/>
          <w:sz w:val="32"/>
          <w:szCs w:val="32"/>
          <w:lang w:val="en-US" w:eastAsia="zh-CN"/>
          <w:highlight w:val="auto"/>
        </w:rPr>
        <w:t>1.预算</w:t>
      </w:r>
      <w:r>
        <w:rPr>
          <w:rFonts w:ascii="Times New Roman" w:eastAsia="仿宋_GB2312" w:cs="Times New Roman" w:hAnsi="Times New Roman"/>
          <w:b/>
          <w:color w:val="000000"/>
          <w:kern w:val="0"/>
          <w:sz w:val="32"/>
          <w:szCs w:val="32"/>
          <w:highlight w:val="auto"/>
        </w:rPr>
        <w:t>信息公开情况</w:t>
      </w:r>
      <w:r>
        <w:rPr>
          <w:rFonts w:ascii="Times New Roman" w:eastAsia="仿宋_GB2312" w:cs="Times New Roman" w:hAnsi="Times New Roman"/>
          <w:b/>
          <w:color w:val="000000"/>
          <w:kern w:val="0"/>
          <w:sz w:val="32"/>
          <w:szCs w:val="32"/>
          <w:lang w:eastAsia="zh-CN"/>
          <w:highlight w:val="auto"/>
        </w:rPr>
        <w:t>。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highlight w:val="auto"/>
        </w:rPr>
        <w:t>按照《预算法》的规定，做好了部门预算批复和公开工作。20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en-US" w:eastAsia="zh-CN"/>
          <w:highlight w:val="auto"/>
        </w:rPr>
        <w:t>21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highlight w:val="auto"/>
        </w:rPr>
        <w:t>年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en-US" w:eastAsia="zh-CN"/>
          <w:highlight w:val="auto"/>
        </w:rPr>
        <w:t>12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highlight w:val="auto"/>
        </w:rPr>
        <w:t>月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en-US" w:eastAsia="zh-CN"/>
          <w:highlight w:val="auto"/>
        </w:rPr>
        <w:t>27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highlight w:val="auto"/>
        </w:rPr>
        <w:t>日县人大批复20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en-US" w:eastAsia="zh-CN"/>
          <w:highlight w:val="auto"/>
        </w:rPr>
        <w:t>22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highlight w:val="auto"/>
        </w:rPr>
        <w:t>年预算后，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eastAsia="zh-CN"/>
          <w:highlight w:val="auto"/>
        </w:rPr>
        <w:t>财政局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highlight w:val="auto"/>
        </w:rPr>
        <w:t>于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en-US" w:eastAsia="zh-CN"/>
          <w:highlight w:val="auto"/>
        </w:rPr>
        <w:t>2022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highlight w:val="auto"/>
        </w:rPr>
        <w:t>年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en-US" w:eastAsia="zh-CN"/>
          <w:highlight w:val="auto"/>
        </w:rPr>
        <w:t>1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highlight w:val="auto"/>
        </w:rPr>
        <w:t>月5日批复了县级预算单位和乡镇部门预算。除涉密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shd w:val="clear" w:color="auto" w:fill="auto"/>
          <w:highlight w:val="auto"/>
        </w:rPr>
        <w:t>单位外，63个县级部门及19个乡镇均在政府门户网站上公开了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shd w:val="clear" w:color="auto" w:fill="auto"/>
          <w:lang w:val="en-US" w:eastAsia="zh-CN"/>
          <w:highlight w:val="auto"/>
        </w:rPr>
        <w:t>2022年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shd w:val="clear" w:color="auto" w:fill="auto"/>
          <w:highlight w:val="auto"/>
        </w:rPr>
        <w:t>预算信息，并接受社会监督。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after="0" w:line="560" w:lineRule="exact"/>
        <w:ind w:firstLineChars="200" w:firstLine="640"/>
        <w:textAlignment w:val="auto"/>
        <w:rPr>
          <w:rFonts w:ascii="Times New Roman" w:cs="Times New Roman" w:hAnsi="Times New Roman"/>
          <w:color w:val="000000"/>
        </w:rPr>
      </w:pPr>
      <w:r>
        <w:rPr>
          <w:rFonts w:ascii="Times New Roman" w:eastAsia="仿宋_GB2312" w:cs="Times New Roman" w:hAnsi="Times New Roman"/>
          <w:b/>
          <w:color w:val="000000"/>
          <w:kern w:val="2"/>
          <w:sz w:val="32"/>
          <w:szCs w:val="32"/>
          <w:lang w:val="en-US" w:eastAsia="zh-CN" w:bidi="ar-SA"/>
        </w:rPr>
        <w:t>2.财政投资评审情况。</w:t>
      </w:r>
      <w:r>
        <w:rPr>
          <w:rFonts w:ascii="Times New Roman" w:eastAsia="仿宋_GB2312" w:cs="Times New Roman" w:hAnsi="Times New Roman"/>
          <w:b w:val="0"/>
          <w:bCs/>
          <w:color w:val="000000"/>
          <w:kern w:val="2"/>
          <w:sz w:val="32"/>
          <w:szCs w:val="32"/>
          <w:lang w:val="en-US" w:eastAsia="zh-CN" w:bidi="ar-SA"/>
        </w:rPr>
        <w:t>制定下发了《金川县财政投资评审工作管理办法》，坚持“不唯增、不唯减、只唯实”的评审理念，积极开展投资评审工作，截止目前，累计完成招标控制价评审157个，评审金额42700.5万元，审定金额41221.7万元，审减1478.8万元;财务决算评审4个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textAlignment w:val="auto"/>
        <w:rPr>
          <w:rFonts w:ascii="Times New Roman" w:eastAsia="仿宋_GB2312" w:cs="Times New Roman" w:hAnsi="Times New Roman"/>
          <w:b/>
          <w:color w:val="000000"/>
          <w:sz w:val="32"/>
          <w:szCs w:val="32"/>
          <w:lang w:val="en-US" w:eastAsia="zh-CN"/>
        </w:rPr>
      </w:pPr>
      <w:r>
        <w:rPr>
          <w:rFonts w:ascii="Times New Roman" w:eastAsia="仿宋_GB2312" w:cs="Times New Roman" w:hAnsi="Times New Roman"/>
          <w:b/>
          <w:color w:val="000000"/>
          <w:sz w:val="32"/>
          <w:szCs w:val="32"/>
          <w:lang w:val="en-US" w:eastAsia="zh-CN"/>
        </w:rPr>
        <w:t>3.国有资产管理情况。</w:t>
      </w:r>
      <w:r>
        <w:rPr>
          <w:rFonts w:ascii="Times New Roman" w:eastAsia="仿宋_GB2312" w:cs="Times New Roman" w:hAnsi="Times New Roman"/>
          <w:b/>
          <w:bCs w:val="0"/>
          <w:color w:val="000000"/>
          <w:sz w:val="32"/>
          <w:szCs w:val="32"/>
          <w:lang w:val="en-US" w:eastAsia="zh-CN"/>
        </w:rPr>
        <w:t>一是规范国有资产管理。</w:t>
      </w:r>
      <w:r>
        <w:rPr>
          <w:rFonts w:ascii="Times New Roman" w:eastAsia="仿宋_GB2312" w:cs="Times New Roman" w:hAnsi="Times New Roman"/>
          <w:b w:val="0"/>
          <w:bCs/>
          <w:color w:val="000000"/>
          <w:sz w:val="32"/>
          <w:szCs w:val="32"/>
          <w:lang w:val="en-US" w:eastAsia="zh-CN"/>
        </w:rPr>
        <w:t>加强全县行政事业单位国有资产管理信息化系统平台管理，按月上报资产情况，实现国有资产管理动态监管。</w:t>
      </w:r>
      <w:r>
        <w:rPr>
          <w:rFonts w:ascii="Times New Roman" w:eastAsia="仿宋_GB2312" w:cs="Times New Roman" w:hAnsi="Times New Roman"/>
          <w:b/>
          <w:bCs w:val="0"/>
          <w:color w:val="000000"/>
          <w:sz w:val="32"/>
          <w:szCs w:val="32"/>
          <w:lang w:val="en-US" w:eastAsia="zh-CN"/>
        </w:rPr>
        <w:t>二是从严执行资产报废机制。</w:t>
      </w:r>
      <w:r>
        <w:rPr>
          <w:rFonts w:ascii="Times New Roman" w:eastAsia="仿宋_GB2312" w:cs="Times New Roman" w:hAnsi="Times New Roman"/>
          <w:b w:val="0"/>
          <w:bCs/>
          <w:color w:val="000000"/>
          <w:sz w:val="32"/>
          <w:szCs w:val="32"/>
          <w:lang w:val="en-US" w:eastAsia="zh-CN"/>
        </w:rPr>
        <w:t>严格报废流程，进行资产报废处理，减少无效资产占用，提高资产使用效益。</w:t>
      </w:r>
      <w:r>
        <w:rPr>
          <w:rFonts w:ascii="Times New Roman" w:eastAsia="仿宋_GB2312" w:cs="Times New Roman" w:hAnsi="Times New Roman"/>
          <w:b/>
          <w:bCs w:val="0"/>
          <w:color w:val="000000"/>
          <w:sz w:val="32"/>
          <w:szCs w:val="32"/>
          <w:lang w:val="en-US" w:eastAsia="zh-CN"/>
        </w:rPr>
        <w:t>三是全力推进国有企业现代企业制度改革。</w:t>
      </w:r>
      <w:r>
        <w:rPr>
          <w:rFonts w:ascii="Times New Roman" w:eastAsia="仿宋_GB2312" w:cs="Times New Roman" w:hAnsi="Times New Roman"/>
          <w:b w:val="0"/>
          <w:bCs/>
          <w:color w:val="000000"/>
          <w:sz w:val="32"/>
          <w:szCs w:val="32"/>
          <w:lang w:val="en-US" w:eastAsia="zh-CN"/>
        </w:rPr>
        <w:t>深入推进企业基础改革，着力推进国资布局结构调整、国资监管职能转变、建立现代企业制度等重点领域改革，进一步完善县国投公司公司章程、内控制度等。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4"/>
        <w:textAlignment w:val="auto"/>
        <w:rPr>
          <w:rFonts w:ascii="Times New Roman" w:eastAsia="仿宋_GB2312" w:cs="Times New Roman" w:hAnsi="Times New Roman"/>
          <w:b/>
          <w:color w:val="000000"/>
          <w:sz w:val="32"/>
          <w:szCs w:val="32"/>
          <w:lang w:val="en-US" w:eastAsia="zh-CN"/>
        </w:rPr>
      </w:pPr>
      <w:r>
        <w:rPr>
          <w:rFonts w:ascii="Times New Roman" w:eastAsia="仿宋_GB2312" w:cs="Times New Roman" w:hAnsi="Times New Roman"/>
          <w:b/>
          <w:color w:val="000000"/>
          <w:sz w:val="32"/>
          <w:szCs w:val="32"/>
          <w:lang w:val="en-US" w:eastAsia="zh-CN"/>
        </w:rPr>
        <w:t>4.绩效监督管理情况。一是</w:t>
      </w:r>
      <w:r>
        <w:rPr>
          <w:rFonts w:ascii="Times New Roman" w:eastAsia="仿宋_GB2312" w:cs="Times New Roman" w:hAnsi="Times New Roman"/>
          <w:b w:val="0"/>
          <w:bCs w:val="0"/>
          <w:color w:val="000000"/>
          <w:sz w:val="32"/>
          <w:szCs w:val="32"/>
          <w:lang w:val="en-US" w:eastAsia="zh-CN"/>
        </w:rPr>
        <w:t>结合县财政局本年度预算绩效管理重点工作任务，拟定印发了《金川县县级2022年预算绩效管理工作要点》。</w:t>
      </w:r>
      <w:r>
        <w:rPr>
          <w:rFonts w:ascii="Times New Roman" w:eastAsia="仿宋_GB2312" w:cs="Times New Roman" w:hAnsi="Times New Roman"/>
          <w:b/>
          <w:bCs/>
          <w:color w:val="000000"/>
          <w:sz w:val="32"/>
          <w:szCs w:val="32"/>
          <w:lang w:val="en-US" w:eastAsia="zh-CN"/>
        </w:rPr>
        <w:t>二是</w:t>
      </w:r>
      <w:r>
        <w:rPr>
          <w:rFonts w:ascii="Times New Roman" w:eastAsia="仿宋_GB2312" w:cs="Times New Roman" w:hAnsi="Times New Roman"/>
          <w:b w:val="0"/>
          <w:bCs w:val="0"/>
          <w:color w:val="000000"/>
          <w:sz w:val="32"/>
          <w:szCs w:val="32"/>
        </w:rPr>
        <w:t>组织和</w:t>
      </w:r>
      <w:r>
        <w:rPr>
          <w:rFonts w:ascii="Times New Roman" w:eastAsia="仿宋_GB2312" w:cs="Times New Roman" w:hAnsi="Times New Roman"/>
          <w:b w:val="0"/>
          <w:bCs w:val="0"/>
          <w:color w:val="000000"/>
          <w:sz w:val="32"/>
          <w:szCs w:val="32"/>
          <w:lang w:val="en-US" w:eastAsia="zh-CN"/>
        </w:rPr>
        <w:t>指导83个部门补编2022年部门预算整体绩效目标申报。</w:t>
      </w:r>
      <w:r>
        <w:rPr>
          <w:rFonts w:ascii="Times New Roman" w:eastAsia="仿宋_GB2312" w:cs="Times New Roman" w:hAnsi="Times New Roman"/>
          <w:b/>
          <w:bCs/>
          <w:color w:val="000000"/>
          <w:sz w:val="32"/>
          <w:szCs w:val="32"/>
          <w:lang w:val="en-US" w:eastAsia="zh-CN"/>
        </w:rPr>
        <w:t>三是</w:t>
      </w:r>
      <w:r>
        <w:rPr>
          <w:rFonts w:ascii="Times New Roman" w:eastAsia="仿宋_GB2312" w:cs="Times New Roman" w:hAnsi="Times New Roman"/>
          <w:b w:val="0"/>
          <w:bCs w:val="0"/>
          <w:color w:val="000000"/>
          <w:sz w:val="32"/>
          <w:szCs w:val="32"/>
          <w:lang w:val="en-US" w:eastAsia="zh-CN"/>
        </w:rPr>
        <w:t>完成了州财政局发现的6个单位12个项目问题整改工作。</w:t>
      </w:r>
      <w:r>
        <w:rPr>
          <w:rFonts w:ascii="Times New Roman" w:eastAsia="仿宋_GB2312" w:cs="Times New Roman" w:hAnsi="Times New Roman"/>
          <w:b/>
          <w:bCs/>
          <w:color w:val="000000"/>
          <w:sz w:val="32"/>
          <w:szCs w:val="32"/>
          <w:lang w:val="en-US" w:eastAsia="zh-CN"/>
        </w:rPr>
        <w:t>四是</w:t>
      </w:r>
      <w:r>
        <w:rPr>
          <w:rFonts w:ascii="Times New Roman" w:eastAsia="仿宋_GB2312" w:cs="Times New Roman" w:hAnsi="Times New Roman"/>
          <w:b w:val="0"/>
          <w:bCs w:val="0"/>
          <w:color w:val="000000"/>
          <w:sz w:val="32"/>
          <w:szCs w:val="32"/>
          <w:lang w:val="en-US" w:eastAsia="zh-CN"/>
        </w:rPr>
        <w:t>持续</w:t>
        <w:tab/>
        <w:t>加强惠民惠农财政补贴资金“一卡通”监管。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textAlignment w:val="auto"/>
        <w:rPr>
          <w:rFonts w:ascii="Times New Roman" w:eastAsia="仿宋_GB2312" w:cs="Times New Roman" w:hAnsi="Times New Roman"/>
          <w:bCs/>
          <w:color w:val="000000"/>
          <w:sz w:val="32"/>
          <w:szCs w:val="32"/>
        </w:rPr>
      </w:pPr>
      <w:r>
        <w:rPr>
          <w:rFonts w:ascii="Times New Roman" w:eastAsia="仿宋_GB2312" w:cs="Times New Roman" w:hAnsi="Times New Roman"/>
          <w:b/>
          <w:color w:val="000000"/>
          <w:sz w:val="32"/>
          <w:szCs w:val="32"/>
          <w:lang w:val="en-US" w:eastAsia="zh-CN"/>
        </w:rPr>
        <w:t>5.政府采购管理情况。</w:t>
      </w:r>
      <w:r>
        <w:rPr>
          <w:rFonts w:ascii="Times New Roman" w:eastAsia="仿宋_GB2312" w:cs="Times New Roman" w:hAnsi="Times New Roman"/>
          <w:b w:val="0"/>
          <w:bCs/>
          <w:color w:val="000000"/>
          <w:sz w:val="32"/>
          <w:szCs w:val="32"/>
          <w:lang w:val="en-US" w:eastAsia="zh-CN"/>
        </w:rPr>
        <w:t>1-6月完成意向公开101个；中标、成交结果公告数量55个；完成政府采购12笔，共计1946.95万元；脱贫地区农副产品网络销售预留份额43.2万元；处理投诉2笔。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left="0" w:firstLineChars="200" w:firstLine="640"/>
        <w:textAlignment w:val="auto"/>
        <w:rPr>
          <w:rFonts w:ascii="Times New Roman" w:eastAsia="楷体_GB2312" w:cs="Times New Roman" w:hAnsi="Times New Roman"/>
          <w:b/>
          <w:bCs w:val="0"/>
          <w:color w:val="000000"/>
          <w:sz w:val="32"/>
          <w:szCs w:val="32"/>
          <w:lang w:val="en-US" w:eastAsia="zh-CN"/>
        </w:rPr>
      </w:pPr>
      <w:r>
        <w:rPr>
          <w:rFonts w:ascii="Times New Roman" w:eastAsia="楷体_GB2312" w:cs="Times New Roman" w:hAnsi="Times New Roman"/>
          <w:b/>
          <w:bCs w:val="0"/>
          <w:color w:val="000000"/>
          <w:sz w:val="32"/>
          <w:szCs w:val="32"/>
          <w:lang w:val="en-US" w:eastAsia="zh-CN"/>
        </w:rPr>
        <w:t>（四）财经互动助发展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left="0" w:firstLineChars="200" w:firstLine="640"/>
        <w:textAlignment w:val="auto"/>
        <w:rPr>
          <w:rFonts w:ascii="Times New Roman" w:eastAsia="楷体_GB2312" w:cs="Times New Roman" w:hAnsi="Times New Roman"/>
          <w:b/>
          <w:color w:val="000000"/>
          <w:kern w:val="2"/>
          <w:sz w:val="32"/>
          <w:szCs w:val="32"/>
          <w:lang w:val="en-US" w:eastAsia="zh-CN" w:bidi="ar-SA"/>
        </w:rPr>
      </w:pPr>
      <w:r>
        <w:rPr>
          <w:rFonts w:ascii="Times New Roman" w:eastAsia="仿宋_GB2312" w:cs="Times New Roman" w:hAnsi="Times New Roman"/>
          <w:b w:val="0"/>
          <w:bCs/>
          <w:color w:val="000000"/>
          <w:kern w:val="2"/>
          <w:sz w:val="32"/>
          <w:szCs w:val="32"/>
          <w:lang w:val="en-US" w:eastAsia="zh-CN" w:bidi="ar-SA"/>
        </w:rPr>
        <w:t>1-6月未发现乱收费、乱罚款、乱摊派；无征收“过头税费”；无违规以财政支出方式实施与企业缴纳税费挂钩的返还政策；无违规下达收入目标任务情况；无涉及落实减税降费政策的其他问题。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/>
        <w:textAlignment w:val="auto"/>
        <w:rPr>
          <w:rFonts w:ascii="Times New Roman" w:eastAsia="楷体_GB2312" w:cs="Times New Roman" w:hAnsi="Times New Roman"/>
          <w:b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ascii="Times New Roman" w:eastAsia="楷体_GB2312" w:cs="Times New Roman" w:hAnsi="Times New Roman"/>
          <w:b/>
          <w:bCs w:val="0"/>
          <w:color w:val="000000"/>
          <w:kern w:val="2"/>
          <w:sz w:val="32"/>
          <w:szCs w:val="32"/>
          <w:lang w:val="en-US" w:eastAsia="zh-CN" w:bidi="ar-SA"/>
        </w:rPr>
        <w:t>（五）财政改革稳推进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/>
        <w:textAlignment w:val="auto"/>
        <w:rPr>
          <w:rFonts w:ascii="Times New Roman" w:eastAsia="楷体_GB2312" w:cs="Times New Roman" w:hAnsi="Times New Roman"/>
          <w:b w:val="0"/>
          <w:bCs/>
          <w:color w:val="000000"/>
          <w:kern w:val="2"/>
          <w:sz w:val="32"/>
          <w:szCs w:val="32"/>
          <w:lang w:val="en-US" w:eastAsia="zh-CN" w:bidi="ar-SA"/>
        </w:rPr>
      </w:pPr>
      <w:r>
        <w:rPr>
          <w:rFonts w:ascii="Times New Roman" w:eastAsia="楷体_GB2312" w:cs="Times New Roman" w:hAnsi="Times New Roman"/>
          <w:b/>
          <w:bCs w:val="0"/>
          <w:color w:val="000000"/>
          <w:kern w:val="2"/>
          <w:sz w:val="32"/>
          <w:szCs w:val="32"/>
          <w:lang w:val="en-US" w:eastAsia="zh-CN" w:bidi="ar-SA"/>
        </w:rPr>
        <w:t>1.预算管理一体化建设情况。</w:t>
      </w:r>
      <w:r>
        <w:rPr>
          <w:rFonts w:ascii="Times New Roman" w:eastAsia="仿宋_GB2312" w:cs="Times New Roman" w:hAnsi="Times New Roman"/>
          <w:b w:val="0"/>
          <w:bCs/>
          <w:color w:val="000000"/>
          <w:kern w:val="2"/>
          <w:sz w:val="32"/>
          <w:szCs w:val="32"/>
          <w:lang w:val="en-US" w:eastAsia="zh-CN" w:bidi="ar-SA"/>
        </w:rPr>
        <w:t>积极推进预算管理一体化系统建设，依据省财政厅统一规范和标准，开展了基础信息设置、电子印鉴采集、Ukey制作、执行上线操作培训等各项工作，明确了标准化业务管理模式，让系统实现从上线时的“能用”向日常处理的“好用”转变。截至目前，已初步实现财政总预算系统内提取数据记账、平行对账、月报数据提取等功能，全县84个预算单位按期上线运行，实际执行单位覆盖率为100%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after="0" w:line="560" w:lineRule="exact"/>
        <w:ind w:firstLineChars="200" w:firstLine="640"/>
        <w:textAlignment w:val="auto"/>
        <w:rPr>
          <w:rFonts w:ascii="Times New Roman" w:cs="Times New Roman" w:hAnsi="Times New Roman"/>
          <w:color w:val="000000"/>
        </w:rPr>
      </w:pPr>
      <w:r>
        <w:rPr>
          <w:rFonts w:ascii="Times New Roman" w:eastAsia="楷体_GB2312" w:cs="Times New Roman" w:hAnsi="Times New Roman"/>
          <w:b/>
          <w:color w:val="000000"/>
          <w:kern w:val="2"/>
          <w:sz w:val="32"/>
          <w:szCs w:val="32"/>
          <w:lang w:val="en-US" w:eastAsia="zh-CN" w:bidi="ar-SA"/>
        </w:rPr>
        <w:t>2.政府采购一体化平台建设情况。</w:t>
      </w:r>
      <w:r>
        <w:rPr>
          <w:rFonts w:ascii="Times New Roman" w:eastAsia="仿宋_GB2312" w:cs="Times New Roman" w:hAnsi="Times New Roman"/>
          <w:b w:val="0"/>
          <w:bCs/>
          <w:color w:val="000000"/>
          <w:kern w:val="2"/>
          <w:sz w:val="32"/>
          <w:szCs w:val="32"/>
          <w:lang w:val="en-US" w:eastAsia="zh-CN" w:bidi="ar-SA"/>
        </w:rPr>
        <w:t>2022年4月1日，全县试运行四川省政府采购一体化平台。电子化政府采购平台对接预算一体化平台，可通过互联网完成申报、审核、发布公告、招标、投标、评标、询价、投诉、监管等政府采购的全过程操作、管理和监控，实现了从预算和计划编制到采购执行与支付完成链条的电子化运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Chars="200" w:firstLine="640"/>
        <w:textAlignment w:val="auto"/>
        <w:rPr>
          <w:rFonts w:ascii="Times New Roman" w:eastAsia="黑体" w:cs="Times New Roman" w:hAnsi="Times New Roman"/>
          <w:color w:val="000000"/>
          <w:sz w:val="32"/>
          <w:szCs w:val="32"/>
          <w:highlight w:val="auto"/>
        </w:rPr>
      </w:pPr>
      <w:r>
        <w:rPr>
          <w:rFonts w:ascii="Times New Roman" w:eastAsia="黑体" w:cs="Times New Roman" w:hAnsi="Times New Roman"/>
          <w:color w:val="000000"/>
          <w:sz w:val="32"/>
          <w:szCs w:val="32"/>
          <w:lang w:val="zh-CN" w:eastAsia="zh-CN"/>
          <w:highlight w:val="auto"/>
        </w:rPr>
        <w:t>四</w:t>
      </w:r>
      <w:r>
        <w:rPr>
          <w:rFonts w:ascii="Times New Roman" w:eastAsia="黑体" w:cs="Times New Roman" w:hAnsi="Times New Roman"/>
          <w:color w:val="000000"/>
          <w:sz w:val="32"/>
          <w:szCs w:val="32"/>
          <w:lang w:val="zh-CN"/>
          <w:highlight w:val="auto"/>
        </w:rPr>
        <w:t>、</w:t>
      </w:r>
      <w:r>
        <w:rPr>
          <w:rFonts w:ascii="Times New Roman" w:eastAsia="黑体" w:cs="Times New Roman" w:hAnsi="Times New Roman"/>
          <w:color w:val="000000"/>
          <w:sz w:val="32"/>
          <w:szCs w:val="32"/>
          <w:highlight w:val="auto"/>
        </w:rPr>
        <w:t>存在的困难问题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textAlignment w:val="auto"/>
        <w:rPr>
          <w:rFonts w:ascii="Times New Roman" w:eastAsia="仿宋_GB2312" w:cs="Times New Roman" w:hAnsi="Times New Roman"/>
          <w:color w:val="000000"/>
          <w:sz w:val="32"/>
          <w:szCs w:val="32"/>
          <w:highlight w:val="auto"/>
        </w:rPr>
      </w:pPr>
      <w:r>
        <w:rPr>
          <w:rFonts w:ascii="Times New Roman" w:eastAsia="仿宋_GB2312" w:cs="Times New Roman" w:hAnsi="Times New Roman"/>
          <w:color w:val="000000"/>
          <w:sz w:val="32"/>
          <w:szCs w:val="32"/>
          <w:lang w:val="en-US" w:eastAsia="zh-CN"/>
        </w:rPr>
        <w:t>半年来，虽然工作取得了一定成效，但是</w:t>
      </w:r>
      <w:r>
        <w:rPr>
          <w:rFonts w:ascii="Times New Roman" w:eastAsia="方正仿宋_GBK" w:cs="Times New Roman" w:hAnsi="Times New Roman"/>
          <w:color w:val="000000"/>
          <w:sz w:val="32"/>
          <w:szCs w:val="32"/>
          <w:lang w:val="en-US" w:eastAsia="zh-CN"/>
        </w:rPr>
        <w:t>受到国内外经济大环境的影响，财政面临的</w:t>
      </w:r>
      <w:r>
        <w:rPr>
          <w:rFonts w:ascii="Times New Roman" w:eastAsia="仿宋_GB2312" w:cs="Times New Roman" w:hAnsi="Times New Roman"/>
          <w:color w:val="000000"/>
          <w:sz w:val="32"/>
          <w:szCs w:val="32"/>
        </w:rPr>
        <w:t>困难特别多、挑战特别大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eastAsia="zh-CN"/>
        </w:rPr>
        <w:t>。</w:t>
      </w:r>
      <w:r>
        <w:rPr>
          <w:rFonts w:ascii="Times New Roman" w:eastAsia="仿宋_GB2312" w:cs="Times New Roman" w:hAnsi="Times New Roman"/>
          <w:b/>
          <w:bCs/>
          <w:color w:val="000000"/>
          <w:sz w:val="32"/>
          <w:szCs w:val="32"/>
          <w:lang w:val="en-US" w:eastAsia="zh-CN"/>
        </w:rPr>
        <w:t>一是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en-US" w:eastAsia="zh-CN"/>
        </w:rPr>
        <w:t>财政收支矛盾加剧，一般公共预算收入受留抵退税因素影响大幅下滑，截至目前已退税2777万元，财力保障明显不足；</w:t>
      </w:r>
      <w:r>
        <w:rPr>
          <w:rFonts w:ascii="Times New Roman" w:eastAsia="仿宋_GB2312" w:cs="Times New Roman" w:hAnsi="Times New Roman"/>
          <w:b/>
          <w:bCs/>
          <w:color w:val="000000"/>
          <w:sz w:val="32"/>
          <w:szCs w:val="32"/>
          <w:lang w:val="en-US" w:eastAsia="zh-CN"/>
        </w:rPr>
        <w:t>二是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en-US" w:eastAsia="zh-CN"/>
        </w:rPr>
        <w:t>受目标奖提标影响，“三保支出”压力大，全县仅目标奖支出缺口就高达2.6亿元；</w:t>
      </w:r>
      <w:r>
        <w:rPr>
          <w:rFonts w:ascii="Times New Roman" w:eastAsia="仿宋_GB2312" w:cs="Times New Roman" w:hAnsi="Times New Roman"/>
          <w:b/>
          <w:bCs/>
          <w:color w:val="000000"/>
          <w:sz w:val="32"/>
          <w:szCs w:val="32"/>
          <w:lang w:val="en-US" w:eastAsia="zh-CN"/>
        </w:rPr>
        <w:t>三是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en-US" w:eastAsia="zh-CN"/>
        </w:rPr>
        <w:t>临时性经费增加，资金缺口大。在2022年上半年执行中需追加民生、应急抢险防汛、疫情防控、森林草原防灭火等资金缺口大，地方专业扑火队人员经费全靠地方财政承担，县级财力支撑困难。同时，需解决的县级配套资金的重点项目多，但由于县级可用财力低，财政支出缺口大，项目建设的县级配套资金难以解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Chars="200" w:firstLine="640"/>
        <w:textAlignment w:val="auto"/>
        <w:rPr>
          <w:rFonts w:ascii="Times New Roman" w:eastAsia="黑体" w:cs="Times New Roman" w:hAnsi="Times New Roman"/>
          <w:b w:val="0"/>
          <w:bCs/>
          <w:color w:val="000000"/>
          <w:sz w:val="32"/>
          <w:szCs w:val="32"/>
          <w:highlight w:val="auto"/>
        </w:rPr>
      </w:pPr>
      <w:r>
        <w:rPr>
          <w:rFonts w:ascii="Times New Roman" w:eastAsia="黑体" w:cs="Times New Roman" w:hAnsi="Times New Roman"/>
          <w:b w:val="0"/>
          <w:bCs/>
          <w:color w:val="000000"/>
          <w:sz w:val="32"/>
          <w:szCs w:val="32"/>
          <w:lang w:eastAsia="zh-CN"/>
          <w:highlight w:val="auto"/>
        </w:rPr>
        <w:t>五</w:t>
      </w:r>
      <w:r>
        <w:rPr>
          <w:rFonts w:ascii="Times New Roman" w:eastAsia="黑体" w:cs="Times New Roman" w:hAnsi="Times New Roman"/>
          <w:b w:val="0"/>
          <w:bCs/>
          <w:color w:val="000000"/>
          <w:sz w:val="32"/>
          <w:szCs w:val="32"/>
          <w:highlight w:val="auto"/>
        </w:rPr>
        <w:t>、下一步工作打算。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textAlignment w:val="auto"/>
        <w:rPr>
          <w:rFonts w:ascii="Times New Roman" w:eastAsia="仿宋_GB2312" w:cs="Times New Roman" w:hAnsi="Times New Roman"/>
          <w:color w:val="000000"/>
          <w:sz w:val="32"/>
          <w:szCs w:val="32"/>
          <w:lang w:val="en-US" w:eastAsia="zh-CN"/>
        </w:rPr>
      </w:pPr>
      <w:r>
        <w:rPr>
          <w:rFonts w:ascii="Times New Roman" w:eastAsia="仿宋_GB2312" w:cs="Times New Roman" w:hAnsi="Times New Roman"/>
          <w:color w:val="000000"/>
          <w:sz w:val="32"/>
          <w:szCs w:val="32"/>
          <w:highlight w:val="auto"/>
        </w:rPr>
        <w:t>我们将在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eastAsia="zh-CN"/>
          <w:highlight w:val="auto"/>
        </w:rPr>
        <w:t>县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highlight w:val="auto"/>
        </w:rPr>
        <w:t>委的坚强领导下，在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eastAsia="zh-CN"/>
          <w:highlight w:val="auto"/>
        </w:rPr>
        <w:t>县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highlight w:val="auto"/>
        </w:rPr>
        <w:t>人大及其常委会的监督指导下，正确认识经济形势，增强信心、坚定决心，扎实抓好下半年</w:t>
      </w:r>
      <w:r>
        <w:rPr>
          <w:rFonts w:ascii="Times New Roman" w:eastAsia="仿宋_GB2312" w:cs="Times New Roman" w:hAnsi="Times New Roman"/>
          <w:color w:val="000000"/>
          <w:spacing w:val="-6"/>
          <w:sz w:val="32"/>
          <w:szCs w:val="32"/>
          <w:highlight w:val="auto"/>
        </w:rPr>
        <w:t>财政工作，努力确保财政平稳运行，维护经济发展和社会稳定大局。</w:t>
      </w:r>
      <w:r>
        <w:rPr>
          <w:rFonts w:ascii="Times New Roman" w:eastAsia="仿宋_GB2312" w:cs="Times New Roman" w:hAnsi="Times New Roman"/>
          <w:color w:val="000000"/>
          <w:sz w:val="32"/>
          <w:szCs w:val="32"/>
          <w:lang w:val="en-US" w:eastAsia="zh-CN"/>
        </w:rPr>
        <w:t>扎实做好“六稳”工作、全面落实“六保”任务，着力稳定宏观经济和社会民生大盘，</w:t>
      </w:r>
      <w:r>
        <w:rPr>
          <w:rFonts w:eastAsia="仿宋_GB2312" w:cs="Times New Roman" w:hint="eastAsia"/>
          <w:color w:val="000000"/>
          <w:sz w:val="32"/>
          <w:szCs w:val="32"/>
          <w:lang w:val="en-US" w:eastAsia="zh-CN"/>
        </w:rPr>
        <w:t>为全面建设“美丽幸福新金川”贡献财政力量。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textAlignment w:val="auto"/>
        <w:rPr>
          <w:rFonts w:ascii="Times New Roman" w:eastAsia="仿宋_GB2312" w:cs="Times New Roman" w:hAnsi="Times New Roman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ascii="Times New Roman" w:eastAsia="楷体_GB2312" w:cs="Times New Roman" w:hAnsi="Times New Roman"/>
          <w:b/>
          <w:bCs/>
          <w:color w:val="000000"/>
          <w:sz w:val="32"/>
          <w:szCs w:val="32"/>
          <w:lang w:val="en-US" w:eastAsia="zh-CN"/>
        </w:rPr>
        <w:t>（一）</w:t>
      </w:r>
      <w:r>
        <w:rPr>
          <w:rFonts w:ascii="Times New Roman" w:eastAsia="楷体_GB2312" w:cs="Times New Roman" w:hAnsi="Times New Roman"/>
          <w:b/>
          <w:bCs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坚持党政机关过紧日子，更好做到</w:t>
      </w:r>
      <w:r>
        <w:rPr>
          <w:rFonts w:ascii="Times New Roman" w:eastAsia="楷体_GB2312" w:cs="Times New Roman" w:hAnsi="Times New Roman"/>
          <w:b/>
          <w:bCs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</w:rPr>
        <w:t>开源节流。</w:t>
      </w:r>
      <w:r>
        <w:rPr>
          <w:rFonts w:ascii="Times New Roman" w:eastAsia="仿宋_GB2312" w:cs="Times New Roman" w:hAnsi="Times New Roman"/>
          <w:b/>
          <w:bCs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</w:rPr>
        <w:t>一方面，</w:t>
      </w:r>
      <w:r>
        <w:rPr>
          <w:rFonts w:ascii="Times New Roman" w:eastAsia="仿宋_GB2312" w:cs="Times New Roman" w:hAnsi="Times New Roman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</w:rPr>
        <w:t>紧跟国家省州政策导向，积极配合各部门大力争取上级资金，抢抓机遇，加大向上争资扶持力度；</w:t>
      </w:r>
      <w:r>
        <w:rPr>
          <w:rFonts w:ascii="Times New Roman" w:eastAsia="仿宋_GB2312" w:cs="Times New Roman" w:hAnsi="Times New Roman"/>
          <w:b/>
          <w:bCs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</w:rPr>
        <w:t>另一方面，</w:t>
      </w:r>
      <w:r>
        <w:rPr>
          <w:rFonts w:ascii="Times New Roman" w:eastAsia="仿宋_GB2312" w:cs="Times New Roman" w:hAnsi="Times New Roman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</w:rPr>
        <w:t>严把预算支出关口，坚决贯彻落实党政机关过紧日子的要求，树牢过紧日子理念，把节省的财政资金用于保民生等重点领域。从严控制一般性支出，继续压减非刚性非重点项目支出，强化“三公”经费预算管理，努力降低行政运行成本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Chars="200" w:firstLine="640"/>
        <w:textAlignment w:val="auto"/>
        <w:rPr>
          <w:rFonts w:ascii="Times New Roman" w:eastAsia="仿宋_GB2312" w:cs="Times New Roman" w:hAnsi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ascii="Times New Roman" w:eastAsia="楷体_GB2312" w:cs="Times New Roman" w:hAnsi="Times New Roman"/>
          <w:b/>
          <w:bCs/>
          <w:color w:val="000000"/>
          <w:kern w:val="2"/>
          <w:sz w:val="32"/>
          <w:szCs w:val="32"/>
          <w:lang w:val="en-US" w:eastAsia="zh-CN" w:bidi="ar-SA"/>
        </w:rPr>
        <w:t>（二）加强财政管理，促进资金安全规范高效使用。</w:t>
      </w:r>
      <w:r>
        <w:rPr>
          <w:rFonts w:ascii="Times New Roman" w:eastAsia="仿宋_GB2312" w:cs="Times New Roman" w:hAnsi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结合深化财税体制改革，加强收入统筹，规范支出管理，突出绩效评价，加快信息化建设，努力做到少花钱、多办事、办好事。</w:t>
      </w:r>
      <w:r>
        <w:rPr>
          <w:rFonts w:ascii="Times New Roman" w:eastAsia="仿宋_GB2312" w:cs="Times New Roman" w:hAnsi="Times New Roman"/>
          <w:b/>
          <w:bCs/>
          <w:color w:val="000000"/>
          <w:kern w:val="2"/>
          <w:sz w:val="32"/>
          <w:szCs w:val="32"/>
          <w:lang w:val="en-US" w:eastAsia="zh-CN" w:bidi="ar-SA"/>
        </w:rPr>
        <w:t>一是加强预算执行管理。</w:t>
      </w:r>
      <w:r>
        <w:rPr>
          <w:rFonts w:ascii="Times New Roman" w:eastAsia="仿宋_GB2312" w:cs="Times New Roman" w:hAnsi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严格执行人大批准的预算，依法依规组织收入、安排支出。坚持先有预算、后有支出，加强预算执行动态监控，加快支出进度，提高预算执行质量。</w:t>
      </w:r>
      <w:r>
        <w:rPr>
          <w:rFonts w:ascii="Times New Roman" w:eastAsia="仿宋_GB2312" w:cs="Times New Roman" w:hAnsi="Times New Roman"/>
          <w:b/>
          <w:bCs/>
          <w:color w:val="000000"/>
          <w:kern w:val="2"/>
          <w:sz w:val="32"/>
          <w:szCs w:val="32"/>
          <w:lang w:val="en-US" w:eastAsia="zh-CN" w:bidi="ar-SA"/>
        </w:rPr>
        <w:t>二是深化预算绩效管理改革。</w:t>
      </w:r>
      <w:r>
        <w:rPr>
          <w:rFonts w:ascii="Times New Roman" w:eastAsia="仿宋_GB2312" w:cs="Times New Roman" w:hAnsi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加快全方位、全过程、全覆盖的预算绩效管理体系建设，严格执行花钱必问效、无效必问责要求。着力事前绩效评估，增强绩效目标和指标的科学性合理性。</w:t>
      </w:r>
      <w:r>
        <w:rPr>
          <w:rFonts w:ascii="Times New Roman" w:eastAsia="仿宋_GB2312" w:cs="Times New Roman" w:hAnsi="Times New Roman"/>
          <w:b/>
          <w:bCs/>
          <w:color w:val="000000"/>
          <w:kern w:val="2"/>
          <w:sz w:val="32"/>
          <w:szCs w:val="32"/>
          <w:lang w:val="en-US" w:eastAsia="zh-CN" w:bidi="ar-SA"/>
        </w:rPr>
        <w:t>三是加大盘活财政存量资金力度。</w:t>
      </w:r>
      <w:r>
        <w:rPr>
          <w:rFonts w:ascii="Times New Roman" w:eastAsia="仿宋_GB2312" w:cs="Times New Roman" w:hAnsi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进一步优化资源配置，盘活财政存量资金缓解财政收支矛盾，提升财政资金使用效益。</w:t>
      </w:r>
      <w:r>
        <w:rPr>
          <w:rFonts w:ascii="Times New Roman" w:eastAsia="仿宋_GB2312" w:cs="Times New Roman" w:hAnsi="Times New Roman"/>
          <w:b/>
          <w:bCs/>
          <w:color w:val="000000"/>
          <w:kern w:val="2"/>
          <w:sz w:val="32"/>
          <w:szCs w:val="32"/>
          <w:lang w:val="en-US" w:eastAsia="zh-CN" w:bidi="ar-SA"/>
        </w:rPr>
        <w:t>四是提升财政投资评审效能。</w:t>
      </w:r>
      <w:r>
        <w:rPr>
          <w:rFonts w:ascii="Times New Roman" w:eastAsia="仿宋_GB2312" w:cs="Times New Roman" w:hAnsi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坚持以节约财政资金、提高资金使用效益为目标，不断规范基本建设管理和投资评审工作程序，严格执行工作规程，减少投资支出，提高财政资金使用效益。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leftChars="76" w:left="160" w:firstLineChars="150" w:firstLine="480"/>
        <w:textAlignment w:val="auto"/>
        <w:rPr>
          <w:rFonts w:ascii="Times New Roman" w:eastAsia="仿宋_GB2312" w:cs="Times New Roman" w:hAnsi="Times New Roman"/>
          <w:b w:val="0"/>
          <w:bCs/>
          <w:color w:val="000000"/>
          <w:kern w:val="0"/>
          <w:sz w:val="32"/>
          <w:szCs w:val="32"/>
          <w:lang w:eastAsia="zh-CN"/>
        </w:rPr>
      </w:pPr>
      <w:r>
        <w:rPr>
          <w:rFonts w:ascii="Times New Roman" w:eastAsia="楷体_GB2312" w:cs="Times New Roman" w:hAnsi="Times New Roman"/>
          <w:b/>
          <w:color w:val="000000"/>
          <w:kern w:val="0"/>
          <w:sz w:val="32"/>
          <w:szCs w:val="32"/>
          <w:lang w:eastAsia="zh-CN"/>
        </w:rPr>
        <w:t>（三）</w:t>
      </w:r>
      <w:r>
        <w:rPr>
          <w:rFonts w:ascii="Times New Roman" w:eastAsia="楷体_GB2312" w:cs="Times New Roman" w:hAnsi="Times New Roman"/>
          <w:b/>
          <w:color w:val="000000"/>
          <w:kern w:val="0"/>
          <w:sz w:val="32"/>
          <w:szCs w:val="32"/>
        </w:rPr>
        <w:t>不断完善投入机制，接续巩固拓脱贫成果</w:t>
      </w:r>
      <w:r>
        <w:rPr>
          <w:rFonts w:ascii="Times New Roman" w:eastAsia="楷体_GB2312" w:cs="Times New Roman" w:hAnsi="Times New Roman"/>
          <w:b/>
          <w:color w:val="000000"/>
          <w:kern w:val="0"/>
          <w:sz w:val="32"/>
          <w:szCs w:val="32"/>
          <w:lang w:eastAsia="zh-CN"/>
        </w:rPr>
        <w:t>。一是合理安排资金投入。</w:t>
      </w:r>
      <w:r>
        <w:rPr>
          <w:rFonts w:ascii="Times New Roman" w:eastAsia="仿宋_GB2312" w:cs="Times New Roman" w:hAnsi="Times New Roman"/>
          <w:b w:val="0"/>
          <w:bCs/>
          <w:color w:val="000000"/>
          <w:kern w:val="0"/>
          <w:sz w:val="32"/>
          <w:szCs w:val="32"/>
          <w:lang w:eastAsia="zh-CN"/>
        </w:rPr>
        <w:t>以落实“四个不摘”衔接推进乡村振兴工作要求，合理安排财政投入规模，优化支出结构，调整支持重点，确保整合政策平稳过渡。积极发挥财政资金导向作用，集中有限财力支持重点项目实施。</w:t>
      </w:r>
      <w:r>
        <w:rPr>
          <w:rFonts w:ascii="Times New Roman" w:eastAsia="仿宋_GB2312" w:cs="Times New Roman" w:hAnsi="Times New Roman"/>
          <w:b/>
          <w:bCs w:val="0"/>
          <w:color w:val="000000"/>
          <w:kern w:val="0"/>
          <w:sz w:val="32"/>
          <w:szCs w:val="32"/>
          <w:lang w:eastAsia="zh-CN"/>
        </w:rPr>
        <w:t>二是</w:t>
      </w:r>
      <w:r>
        <w:rPr>
          <w:rFonts w:ascii="Times New Roman" w:eastAsia="仿宋_GB2312" w:cs="Times New Roman" w:hAnsi="Times New Roman"/>
          <w:b/>
          <w:bCs w:val="0"/>
          <w:color w:val="000000"/>
          <w:sz w:val="32"/>
          <w:szCs w:val="32"/>
          <w:lang w:eastAsia="zh-CN"/>
        </w:rPr>
        <w:t>加</w:t>
      </w:r>
      <w:r>
        <w:rPr>
          <w:rFonts w:ascii="Times New Roman" w:eastAsia="仿宋_GB2312" w:cs="Times New Roman" w:hAnsi="Times New Roman"/>
          <w:b/>
          <w:bCs w:val="0"/>
          <w:color w:val="000000"/>
          <w:sz w:val="32"/>
          <w:szCs w:val="32"/>
        </w:rPr>
        <w:t>快</w:t>
      </w:r>
      <w:r>
        <w:rPr>
          <w:rFonts w:ascii="Times New Roman" w:eastAsia="仿宋_GB2312" w:cs="Times New Roman" w:hAnsi="Times New Roman"/>
          <w:b/>
          <w:bCs w:val="0"/>
          <w:color w:val="000000"/>
          <w:sz w:val="32"/>
          <w:szCs w:val="32"/>
          <w:lang w:eastAsia="zh-CN"/>
        </w:rPr>
        <w:t>资金</w:t>
      </w:r>
      <w:r>
        <w:rPr>
          <w:rFonts w:ascii="Times New Roman" w:eastAsia="仿宋_GB2312" w:cs="Times New Roman" w:hAnsi="Times New Roman"/>
          <w:b/>
          <w:bCs w:val="0"/>
          <w:color w:val="000000"/>
          <w:sz w:val="32"/>
          <w:szCs w:val="32"/>
        </w:rPr>
        <w:t>支出进度。</w:t>
      </w:r>
      <w:r>
        <w:rPr>
          <w:rFonts w:ascii="Times New Roman" w:eastAsia="仿宋_GB2312" w:cs="Times New Roman" w:hAnsi="Times New Roman"/>
          <w:b w:val="0"/>
          <w:bCs/>
          <w:color w:val="000000"/>
          <w:kern w:val="0"/>
          <w:sz w:val="32"/>
          <w:szCs w:val="32"/>
          <w:lang w:eastAsia="zh-CN"/>
        </w:rPr>
        <w:t>督促项目主管部门采取有效措施，加快涉农整合资金支出进度，确保年底涉农整合资金支出进度达到80%以上，其中衔接资金达到95%以上。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leftChars="76" w:left="160" w:firstLineChars="150" w:firstLine="480"/>
        <w:textAlignment w:val="auto"/>
        <w:rPr>
          <w:rFonts w:ascii="Times New Roman" w:eastAsia="仿宋_GB2312" w:cs="Times New Roman" w:hAnsi="Times New Roman"/>
          <w:color w:val="000000"/>
          <w:sz w:val="32"/>
          <w:szCs w:val="32"/>
          <w:highlight w:val="auto"/>
        </w:rPr>
      </w:pPr>
      <w:r>
        <w:rPr>
          <w:rFonts w:ascii="Times New Roman" w:eastAsia="仿宋_GB2312" w:cs="Times New Roman" w:hAnsi="Times New Roman"/>
          <w:b/>
          <w:bCs/>
          <w:color w:val="000000"/>
          <w:sz w:val="32"/>
          <w:szCs w:val="32"/>
          <w:highlight w:val="auto"/>
        </w:rPr>
        <w:t>主任、各位副主任</w:t>
      </w:r>
      <w:r>
        <w:rPr>
          <w:rFonts w:ascii="Times New Roman" w:eastAsia="仿宋_GB2312" w:cs="Times New Roman" w:hAnsi="Times New Roman"/>
          <w:b/>
          <w:bCs/>
          <w:color w:val="000000"/>
          <w:sz w:val="32"/>
          <w:szCs w:val="32"/>
          <w:lang w:eastAsia="zh-CN"/>
          <w:highlight w:val="auto"/>
        </w:rPr>
        <w:t>，</w:t>
      </w:r>
      <w:r>
        <w:rPr>
          <w:rFonts w:ascii="Times New Roman" w:eastAsia="仿宋_GB2312" w:cs="Times New Roman" w:hAnsi="Times New Roman"/>
          <w:b/>
          <w:bCs/>
          <w:color w:val="000000"/>
          <w:sz w:val="32"/>
          <w:szCs w:val="32"/>
          <w:highlight w:val="auto"/>
        </w:rPr>
        <w:t>各位委员：</w:t>
      </w:r>
      <w:r>
        <w:rPr>
          <w:rFonts w:ascii="Times New Roman" w:eastAsia="仿宋_GB2312" w:cs="Times New Roman" w:hAnsi="Times New Roman"/>
          <w:color w:val="000000"/>
          <w:sz w:val="32"/>
          <w:szCs w:val="32"/>
        </w:rPr>
        <w:t>做好下半年财政工作，任务艰巨，责任重大。我们将在县委的坚强领导下，在县人大</w:t>
      </w:r>
      <w:r>
        <w:rPr>
          <w:rFonts w:eastAsia="仿宋_GB2312" w:cs="Times New Roman" w:hint="eastAsia"/>
          <w:color w:val="000000"/>
          <w:sz w:val="32"/>
          <w:szCs w:val="32"/>
          <w:lang w:eastAsia="zh-CN"/>
        </w:rPr>
        <w:t>及其常委会</w:t>
      </w:r>
      <w:r>
        <w:rPr>
          <w:rFonts w:ascii="Times New Roman" w:eastAsia="仿宋_GB2312" w:cs="Times New Roman" w:hAnsi="Times New Roman"/>
          <w:color w:val="000000"/>
          <w:sz w:val="32"/>
          <w:szCs w:val="32"/>
        </w:rPr>
        <w:t>的监督和支持下，以习近平新时代中国特色社会主义思想为指导，以昂扬向上的精神状态、精益求精的工作作风，争当财政工作行家里手，积极提升财政资源的配置效率和使用效益，更好保障</w:t>
      </w:r>
      <w:r>
        <w:rPr>
          <w:rFonts w:ascii="Times New Roman" w:eastAsia="仿宋_GB2312" w:cs="Times New Roman" w:hAnsi="Times New Roman" w:hint="eastAsia"/>
          <w:color w:val="000000"/>
          <w:sz w:val="32"/>
          <w:szCs w:val="32"/>
          <w:lang w:eastAsia="zh-CN"/>
        </w:rPr>
        <w:t>全县各项</w:t>
      </w:r>
      <w:r>
        <w:rPr>
          <w:rFonts w:ascii="Times New Roman" w:eastAsia="仿宋_GB2312" w:cs="Times New Roman" w:hAnsi="Times New Roman"/>
          <w:color w:val="000000"/>
          <w:sz w:val="32"/>
          <w:szCs w:val="32"/>
        </w:rPr>
        <w:t>决策部署落地落实、为金川经济发展提供更加有力的财力保障</w:t>
      </w:r>
      <w:r>
        <w:rPr>
          <w:rFonts w:eastAsia="仿宋_GB2312" w:cs="Times New Roman" w:hint="eastAsia"/>
          <w:color w:val="000000"/>
          <w:sz w:val="32"/>
          <w:szCs w:val="32"/>
          <w:lang w:eastAsia="zh-CN"/>
        </w:rPr>
        <w:t>，以优异成绩迎接党的二十大胜利召开！</w:t>
      </w:r>
      <w:bookmarkStart w:id="0" w:name="_GoBack"/>
      <w:bookmarkEnd w:id="0"/>
    </w:p>
    <w:sectPr>
      <w:footerReference w:type="default" r:id="rId3"/>
      <w:pgSz w:w="11906" w:h="16838"/>
      <w:pgMar w:top="2098" w:right="1474" w:bottom="1984" w:left="1587" w:header="851" w:footer="992" w:gutter="0"/>
      <w:pgNumType w:fmt="numberInDash" w:start="2"/>
      <w:rtlGutter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Times New Roman">
    <w:panose1 w:val="02020603050405020304"/>
    <w:charset w:val="01"/>
    <w:family w:val="auto"/>
    <w:pitch w:val="variable"/>
    <w:sig w:usb0="E0002AFF" w:usb1="C0007841" w:usb2="00000009" w:usb3="00000000" w:csb0="400001FF" w:csb1="FFFF0000"/>
  </w:font>
  <w:font w:name="方正小标宋简体">
    <w:panose1 w:val="02010601030101010101"/>
    <w:charset w:val="86"/>
    <w:family w:val="auto"/>
    <w:pitch w:val="variable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Luxi Sans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8"/>
      <w:tabs>
        <w:tab w:val="center" w:pos="4153"/>
        <w:tab w:val="right" w:pos="8306"/>
      </w:tabs>
    </w:pPr>
    <w:r>
      <w:rPr>
        <w:sz w:val="18"/>
      </w:rPr>
      <mc:AlternateContent>
        <mc:Choice Requires="wps">
          <w:drawing>
            <wp:anchor distT="0" distB="0" distL="114298" distR="114298" simplePos="0" relativeHeight="15" behindDoc="0" locked="0" layoutInCell="1" hidden="0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44499" cy="230251"/>
              <wp:effectExtent l="0" t="0" r="0" b="0"/>
              <wp:wrapNone/>
              <wp:docPr id="1" name="文本框 3"/>
              <wp:cNvGraphicFramePr>
                <a:graphicFrameLocks noChangeAspect="0"/>
              </wp:cNvGraphicFramePr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444499" cy="230251"/>
                      </a:xfrm>
                      <a:prstGeom prst="rect"/>
                      <a:noFill/>
                      <a:ln w="6350" cmpd="sng" cap="flat">
                        <a:noFill/>
                        <a:prstDash val="solid"/>
                        <a:round/>
                      </a:ln>
                    </wps:spPr>
                    <wps:txbx id="2">
                      <w:txbxContent>
                        <w:p>
                          <w:pPr>
                            <w:pStyle w:val="18"/>
                            <w:tabs>
                              <w:tab w:val="center" w:pos="4153"/>
                              <w:tab w:val="right" w:pos="8306"/>
                            </w:tabs>
                          </w:pPr>
                          <w:r>
                            <w:rPr>
                              <w:rFonts w:ascii="宋体" w:eastAsia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cs="宋体" w:hint="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宋体" w:eastAsia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type="#_x0000_t202" id="文本框 3 3" o:spid="_x0000_s3" filled="f" stroked="f" strokeweight="0.5pt" style="position:absolute;margin-left:0.0pt;margin-top:0.0pt;width:34.999996pt;height:18.130003pt;z-index:15;mso-position-horizontal:outside;mso-position-horizontal-relative:margin;mso-position-vertical:absolute;mso-wrap-distance-left:8.999863pt;mso-wrap-distance-right:8.999863pt;mso-wrap-style:none;">
              <v:stroke color="#000000"/>
              <v:textbox id="848" inset="0mm,0mm,0mm,0mm" o:insetmode="custom" style="layout-flow:horizontal;v-text-anchor:top;mso-fit-shape-to-text:t;">
                <w:txbxContent>
                  <w:p>
                    <w:pPr>
                      <w:pStyle w:val="18"/>
                      <w:tabs>
                        <w:tab w:val="center" w:pos="4153"/>
                        <w:tab w:val="right" w:pos="8306"/>
                      </w:tabs>
                    </w:pPr>
                    <w:r>
                      <w:rPr>
                        <w:rFonts w:ascii="宋体" w:eastAsia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cs="宋体" w:hint="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宋体" w:eastAsia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8"/>
      <w:tabs>
        <w:tab w:val="center" w:pos="4153"/>
        <w:tab w:val="right" w:pos="8306"/>
      </w:tabs>
    </w:pPr>
    <w:r>
      <w:rPr>
        <w:sz w:val="18"/>
      </w:rPr>
      <mc:AlternateContent>
        <mc:Choice Requires="wps">
          <w:drawing>
            <wp:anchor distT="0" distB="0" distL="114298" distR="114298" simplePos="0" relativeHeight="13" behindDoc="0" locked="0" layoutInCell="1" hidden="0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3399" cy="230251"/>
              <wp:effectExtent l="0" t="0" r="0" b="0"/>
              <wp:wrapNone/>
              <wp:docPr id="4" name="文本框 1"/>
              <wp:cNvGraphicFramePr>
                <a:graphicFrameLocks noChangeAspect="0"/>
              </wp:cNvGraphicFramePr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533399" cy="230251"/>
                      </a:xfrm>
                      <a:prstGeom prst="rect"/>
                      <a:noFill/>
                      <a:ln w="6350" cmpd="sng" cap="flat">
                        <a:noFill/>
                        <a:prstDash val="solid"/>
                        <a:round/>
                      </a:ln>
                    </wps:spPr>
                    <wps:txbx id="5">
                      <w:txbxContent>
                        <w:p>
                          <w:pPr>
                            <w:pStyle w:val="18"/>
                            <w:tabs>
                              <w:tab w:val="center" w:pos="4153"/>
                              <w:tab w:val="right" w:pos="8306"/>
                            </w:tabs>
                            <w:rPr>
                              <w:rFonts w:ascii="宋体" w:eastAsia="宋体" w:cs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cs="宋体" w:hint="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宋体" w:eastAsia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type="#_x0000_t1" id="文本框 1 6" o:spid="_x0000_s6" filled="f" stroked="f" strokeweight="0.5pt" style="position:absolute;margin-left:1.8310267E-4pt;margin-top:0.0pt;width:41.999954pt;height:18.130003pt;z-index:13;mso-position-horizontal:outside;mso-position-horizontal-relative:margin;mso-position-vertical:absolute;mso-wrap-distance-left:8.999863pt;mso-wrap-distance-right:8.999863pt;mso-wrap-style:none;">
              <v:stroke color="#000000"/>
              <v:textbox id="849" inset="0mm,0mm,0mm,0mm" o:insetmode="custom" style="layout-flow:horizontal;v-text-anchor:top;mso-fit-shape-to-text:t;">
                <w:txbxContent>
                  <w:p>
                    <w:pPr>
                      <w:pStyle w:val="18"/>
                      <w:tabs>
                        <w:tab w:val="center" w:pos="4153"/>
                        <w:tab w:val="right" w:pos="8306"/>
                      </w:tabs>
                      <w:rPr>
                        <w:rFonts w:ascii="宋体" w:eastAsia="宋体" w:cs="宋体" w:hint="eastAsia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cs="宋体" w:hint="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宋体" w:eastAsia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useAltKinsokuLineBreakRules/>
    <w:compatSetting w:name="compatibilityMode" w:uri="http://schemas.microsoft.com/office/word" w:val="14"/>
  </w:compat>
  <w:docVars>
    <w:docVar w:name="commondata" w:val="eyJoZGlkIjoiYzQ0N2YwNGQ1MzVhYzU5OTgwOGFjOWE1MWI5YjA1MWQ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Body Text"/>
    <w:basedOn w:val="0"/>
    <w:pPr>
      <w:spacing w:after="120" w:afterAutospacing="0"/>
    </w:pPr>
  </w:style>
  <w:style w:type="paragraph" w:styleId="16">
    <w:name w:val="index 8"/>
    <w:next w:val="0"/>
    <w:pPr>
      <w:widowControl w:val="0"/>
      <w:ind w:leftChars="1400" w:left="1400"/>
      <w:jc w:val="both"/>
    </w:pPr>
    <w:rPr>
      <w:rFonts w:ascii="仿宋_GB2312" w:eastAsia="仿宋_GB2312" w:cs="Times New Roman"/>
      <w:kern w:val="2"/>
      <w:sz w:val="32"/>
      <w:szCs w:val="24"/>
      <w:lang w:val="en-US" w:eastAsia="zh-CN" w:bidi="ar-SA"/>
    </w:rPr>
  </w:style>
  <w:style w:type="paragraph" w:styleId="17">
    <w:name w:val="Body Text Indent"/>
    <w:basedOn w:val="0"/>
    <w:pPr>
      <w:spacing w:after="120"/>
      <w:ind w:leftChars="200" w:left="200"/>
    </w:pPr>
  </w:style>
  <w:style w:type="paragraph" w:styleId="18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9">
    <w:name w:val="header"/>
    <w:basedOn w:val="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20">
    <w:name w:val="footnote text"/>
    <w:basedOn w:val="0"/>
    <w:next w:val="21"/>
    <w:pPr>
      <w:snapToGrid w:val="0"/>
      <w:jc w:val="left"/>
    </w:pPr>
    <w:rPr>
      <w:sz w:val="18"/>
      <w:szCs w:val="18"/>
    </w:rPr>
  </w:style>
  <w:style w:type="paragraph" w:styleId="21">
    <w:name w:val="Body Text First Indent 2"/>
    <w:basedOn w:val="17"/>
    <w:pPr>
      <w:ind w:firstLineChars="200" w:firstLine="200"/>
    </w:pPr>
  </w:style>
  <w:style w:type="paragraph" w:styleId="22">
    <w:name w:val="table of figures"/>
    <w:next w:val="0"/>
    <w:pPr>
      <w:widowControl w:val="0"/>
      <w:ind w:leftChars="200" w:left="400" w:hangingChars="200" w:hanging="20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3">
    <w:name w:val="p0"/>
    <w:basedOn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27</TotalTime>
  <Application>Yozo_Office27021597764231179</Application>
  <Pages>16</Pages>
  <Words>7802</Words>
  <Characters>8713</Characters>
  <Lines>340</Lines>
  <Paragraphs>82</Paragraphs>
  <CharactersWithSpaces>8717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user</cp:lastModifiedBy>
  <cp:revision>0</cp:revision>
  <cp:lastPrinted>2021-07-13T02:43:00Z</cp:lastPrinted>
  <dcterms:created xsi:type="dcterms:W3CDTF">2020-05-25T03:31:00Z</dcterms:created>
  <dcterms:modified xsi:type="dcterms:W3CDTF">2022-08-02T07:30:29Z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2052-11.1.0.11875</vt:lpwstr>
  </property>
  <property fmtid="{D5CDD505-2E9C-101B-9397-08002B2CF9AE}" pid="3" name="ICV">
    <vt:lpwstr>8509E9E488A64A7CB864DA8F0DBDC768</vt:lpwstr>
  </property>
</Properties>
</file>