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ascii="方正小标宋简体" w:eastAsia="方正小标宋简体" w:cs="方正小标宋简体" w:hint="eastAsia"/>
          <w:sz w:val="44"/>
          <w:szCs w:val="44"/>
          <w:lang w:eastAsia="zh-CN"/>
          <w:highlight w:val="auto"/>
        </w:rPr>
      </w:pPr>
      <w:r>
        <w:rPr>
          <w:rFonts w:ascii="方正小标宋简体" w:eastAsia="方正小标宋简体" w:cs="方正小标宋简体" w:hint="eastAsia"/>
          <w:sz w:val="44"/>
          <w:szCs w:val="44"/>
          <w:lang w:eastAsia="zh-CN"/>
          <w:highlight w:val="auto"/>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ascii="方正小标宋简体" w:eastAsia="方正小标宋简体" w:cs="方正小标宋简体" w:hint="eastAsia"/>
          <w:sz w:val="44"/>
          <w:szCs w:val="44"/>
          <w:lang w:eastAsia="zh-CN"/>
          <w:highlight w:val="auto"/>
        </w:rPr>
      </w:pPr>
      <w:r>
        <w:rPr>
          <w:rFonts w:ascii="方正小标宋简体" w:eastAsia="方正小标宋简体" w:cs="方正小标宋简体" w:hint="eastAsia"/>
          <w:sz w:val="44"/>
          <w:szCs w:val="44"/>
          <w:lang w:eastAsia="zh-CN"/>
          <w:highlight w:val="auto"/>
        </w:rPr>
        <w:t>关于2021年部门、政策和项目支出财政重点</w:t>
      </w:r>
    </w:p>
    <w:p>
      <w:pPr>
        <w:keepNext w:val="0"/>
        <w:keepLines w:val="0"/>
        <w:pageBreakBefore w:val="0"/>
        <w:widowControl w:val="0"/>
        <w:kinsoku/>
        <w:wordWrap/>
        <w:overflowPunct/>
        <w:topLinePunct w:val="0"/>
        <w:autoSpaceDE/>
        <w:autoSpaceDN/>
        <w:bidi w:val="0"/>
        <w:adjustRightInd/>
        <w:snapToGrid/>
        <w:spacing w:line="560" w:lineRule="exact"/>
        <w:ind w:left="0" w:right="0"/>
        <w:jc w:val="center"/>
        <w:textAlignment w:val="auto"/>
        <w:outlineLvl w:val="9"/>
        <w:rPr>
          <w:rFonts w:ascii="方正小标宋简体" w:eastAsia="方正小标宋简体" w:cs="方正小标宋简体" w:hint="eastAsia"/>
          <w:sz w:val="44"/>
          <w:szCs w:val="44"/>
          <w:lang w:eastAsia="zh-CN"/>
          <w:highlight w:val="auto"/>
        </w:rPr>
      </w:pPr>
      <w:r>
        <w:rPr>
          <w:rFonts w:ascii="方正小标宋简体" w:eastAsia="方正小标宋简体" w:cs="方正小标宋简体" w:hint="eastAsia"/>
          <w:sz w:val="44"/>
          <w:szCs w:val="44"/>
          <w:lang w:eastAsia="zh-CN"/>
          <w:highlight w:val="auto"/>
        </w:rPr>
        <w:t>绩效评价工作的报告</w:t>
      </w:r>
    </w:p>
    <w:p>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ascii="Times New Roman" w:eastAsia="楷体_GB2312" w:cs="Times New Roman" w:hAnsi="Times New Roman"/>
          <w:sz w:val="32"/>
          <w:lang w:val="en-US" w:eastAsia="zh-CN"/>
        </w:rPr>
      </w:pPr>
      <w:r>
        <w:rPr>
          <w:rFonts w:ascii="Times New Roman" w:eastAsia="楷体_GB2312" w:cs="Times New Roman" w:hAnsi="Times New Roman"/>
          <w:sz w:val="32"/>
          <w:lang w:eastAsia="zh-CN"/>
        </w:rPr>
        <w:t>金川县财政局党组书记、局长</w:t>
      </w:r>
      <w:r>
        <w:rPr>
          <w:rFonts w:ascii="Times New Roman" w:eastAsia="楷体_GB2312" w:cs="Times New Roman" w:hAnsi="Times New Roman"/>
          <w:sz w:val="32"/>
          <w:lang w:val="en-US" w:eastAsia="zh-CN"/>
        </w:rPr>
        <w:t xml:space="preserve">  </w:t>
      </w:r>
      <w:r>
        <w:rPr>
          <w:rFonts w:ascii="Times New Roman" w:eastAsia="楷体_GB2312" w:cs="Times New Roman" w:hAnsi="Times New Roman" w:hint="eastAsia"/>
          <w:sz w:val="32"/>
          <w:lang w:val="en-US" w:eastAsia="zh-CN"/>
        </w:rPr>
        <w:t>马定发</w:t>
      </w:r>
    </w:p>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ascii="仿宋_GB2312" w:eastAsia="仿宋_GB2312" w:cs="仿宋_GB2312"/>
          <w:sz w:val="32"/>
          <w:szCs w:val="32"/>
          <w:lang w:eastAsia="zh-CN"/>
          <w:highlight w:val="auto"/>
        </w:rPr>
      </w:pPr>
    </w:p>
    <w:p>
      <w:pPr>
        <w:keepNext w:val="0"/>
        <w:keepLines w:val="0"/>
        <w:pageBreakBefore w:val="0"/>
        <w:widowControl w:val="0"/>
        <w:kinsoku/>
        <w:wordWrap/>
        <w:overflowPunct/>
        <w:topLinePunct w:val="0"/>
        <w:autoSpaceDE/>
        <w:autoSpaceDN/>
        <w:bidi w:val="0"/>
        <w:adjustRightInd/>
        <w:snapToGrid/>
        <w:spacing w:line="560" w:lineRule="exact"/>
        <w:ind w:left="0" w:right="0"/>
        <w:jc w:val="left"/>
        <w:textAlignment w:val="auto"/>
        <w:outlineLvl w:val="9"/>
        <w:rPr>
          <w:rFonts w:ascii="仿宋_GB2312" w:eastAsia="仿宋_GB2312" w:cs="仿宋_GB2312" w:hint="eastAsia"/>
          <w:b/>
          <w:bCs/>
          <w:sz w:val="32"/>
          <w:szCs w:val="32"/>
          <w:lang w:eastAsia="zh-CN"/>
          <w:highlight w:val="auto"/>
        </w:rPr>
      </w:pPr>
      <w:bookmarkStart w:id="0" w:name="_GoBack"/>
      <w:bookmarkEnd w:id="0"/>
      <w:r>
        <w:rPr>
          <w:rFonts w:ascii="仿宋_GB2312" w:eastAsia="仿宋_GB2312" w:cs="仿宋_GB2312" w:hint="eastAsia"/>
          <w:sz w:val="32"/>
          <w:szCs w:val="32"/>
          <w:lang w:eastAsia="zh-CN"/>
          <w:highlight w:val="auto"/>
        </w:rPr>
        <w:t>金川县人民政府：</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rPr>
          <w:rFonts w:ascii="Times New Roman" w:cs="Times New Roman" w:hAnsi="Times New Roman"/>
          <w:lang w:eastAsia="zh-CN"/>
          <w:highlight w:val="auto"/>
        </w:rPr>
      </w:pPr>
      <w:r>
        <w:rPr>
          <w:rFonts w:ascii="仿宋_GB2312" w:eastAsia="仿宋_GB2312" w:cs="宋体" w:hint="eastAsia"/>
          <w:sz w:val="32"/>
          <w:szCs w:val="32"/>
          <w:lang w:eastAsia="zh-CN" w:bidi="ar-SA"/>
          <w:highlight w:val="auto"/>
        </w:rPr>
        <w:t>为</w:t>
      </w:r>
      <w:r>
        <w:rPr>
          <w:rFonts w:ascii="仿宋_GB2312" w:eastAsia="仿宋_GB2312" w:cs="宋体" w:hint="eastAsia"/>
          <w:sz w:val="32"/>
          <w:szCs w:val="32"/>
          <w:lang w:bidi="ar-SA"/>
          <w:highlight w:val="auto"/>
        </w:rPr>
        <w:t>深入贯彻落实</w:t>
      </w:r>
      <w:r>
        <w:rPr>
          <w:rFonts w:ascii="仿宋_GB2312" w:eastAsia="仿宋_GB2312" w:cs="宋体" w:hint="eastAsia"/>
          <w:sz w:val="32"/>
          <w:szCs w:val="32"/>
          <w:lang w:eastAsia="zh-CN" w:bidi="ar-SA"/>
          <w:highlight w:val="auto"/>
        </w:rPr>
        <w:t>党中央国务院和省委省政府关于全面实施预算绩效管理文件精神</w:t>
      </w:r>
      <w:r>
        <w:rPr>
          <w:rFonts w:ascii="仿宋_GB2312" w:eastAsia="仿宋_GB2312" w:cs="宋体" w:hint="eastAsia"/>
          <w:sz w:val="32"/>
          <w:szCs w:val="32"/>
          <w:lang w:bidi="ar-SA"/>
          <w:highlight w:val="auto"/>
        </w:rPr>
        <w:t>，</w:t>
      </w:r>
      <w:r>
        <w:rPr>
          <w:rFonts w:ascii="仿宋_GB2312" w:eastAsia="仿宋_GB2312" w:cs="宋体" w:hint="eastAsia"/>
          <w:sz w:val="32"/>
          <w:szCs w:val="32"/>
          <w:lang w:eastAsia="zh-CN" w:bidi="ar-SA"/>
          <w:highlight w:val="auto"/>
        </w:rPr>
        <w:t>着力提升财政资源配置效率和使用效</w:t>
      </w:r>
      <w:r>
        <w:rPr>
          <w:rFonts w:ascii="Times New Roman" w:eastAsia="仿宋_GB2312" w:cs="Times New Roman" w:hAnsi="Times New Roman"/>
          <w:sz w:val="32"/>
          <w:szCs w:val="32"/>
          <w:lang w:eastAsia="zh-CN" w:bidi="ar-SA"/>
          <w:highlight w:val="auto"/>
        </w:rPr>
        <w:t>益，切实压实各级部门（单位）绩效管理主体责任，按照财政部《</w:t>
      </w:r>
      <w:r>
        <w:rPr>
          <w:rFonts w:ascii="Times New Roman" w:eastAsia="仿宋_GB2312" w:cs="Times New Roman" w:hAnsi="Times New Roman"/>
          <w:sz w:val="32"/>
          <w:szCs w:val="32"/>
          <w:lang w:val="en-US" w:eastAsia="zh-CN" w:bidi="ar-SA"/>
          <w:highlight w:val="auto"/>
        </w:rPr>
        <w:t>项目支出绩效评价管理办法</w:t>
      </w:r>
      <w:r>
        <w:rPr>
          <w:rFonts w:ascii="Times New Roman" w:eastAsia="仿宋_GB2312" w:cs="Times New Roman" w:hAnsi="Times New Roman"/>
          <w:sz w:val="32"/>
          <w:szCs w:val="32"/>
          <w:lang w:eastAsia="zh-CN" w:bidi="ar-SA"/>
          <w:highlight w:val="auto"/>
        </w:rPr>
        <w:t>》（财预〔</w:t>
      </w:r>
      <w:r>
        <w:rPr>
          <w:rFonts w:ascii="Times New Roman" w:eastAsia="仿宋_GB2312" w:cs="Times New Roman" w:hAnsi="Times New Roman"/>
          <w:sz w:val="32"/>
          <w:szCs w:val="32"/>
          <w:lang w:val="en-US" w:eastAsia="zh-CN" w:bidi="ar-SA"/>
          <w:highlight w:val="auto"/>
        </w:rPr>
        <w:t>2020</w:t>
      </w:r>
      <w:r>
        <w:rPr>
          <w:rFonts w:ascii="Times New Roman" w:eastAsia="仿宋_GB2312" w:cs="Times New Roman" w:hAnsi="Times New Roman"/>
          <w:sz w:val="32"/>
          <w:szCs w:val="32"/>
          <w:lang w:eastAsia="zh-CN" w:bidi="ar-SA"/>
          <w:highlight w:val="auto"/>
        </w:rPr>
        <w:t>〕</w:t>
      </w:r>
      <w:r>
        <w:rPr>
          <w:rFonts w:ascii="Times New Roman" w:eastAsia="仿宋_GB2312" w:cs="Times New Roman" w:hAnsi="Times New Roman"/>
          <w:sz w:val="32"/>
          <w:szCs w:val="32"/>
          <w:lang w:val="en-US" w:eastAsia="zh-CN" w:bidi="ar-SA"/>
          <w:highlight w:val="auto"/>
        </w:rPr>
        <w:t>10号）、</w:t>
      </w:r>
      <w:r>
        <w:rPr>
          <w:rFonts w:ascii="Times New Roman" w:eastAsia="仿宋_GB2312" w:cs="Times New Roman" w:hAnsi="Times New Roman"/>
          <w:sz w:val="32"/>
          <w:szCs w:val="32"/>
          <w:lang w:eastAsia="zh-CN" w:bidi="ar-SA"/>
          <w:highlight w:val="auto"/>
        </w:rPr>
        <w:t>《四川省财政厅关于开展2021年部门、政策和项目支出绩效评价工作的通知》（川财绩〔</w:t>
      </w:r>
      <w:r>
        <w:rPr>
          <w:rFonts w:ascii="Times New Roman" w:eastAsia="仿宋_GB2312" w:cs="Times New Roman" w:hAnsi="Times New Roman"/>
          <w:sz w:val="32"/>
          <w:szCs w:val="32"/>
          <w:lang w:val="en-US" w:eastAsia="zh-CN" w:bidi="ar-SA"/>
          <w:highlight w:val="auto"/>
        </w:rPr>
        <w:t>2021</w:t>
      </w:r>
      <w:r>
        <w:rPr>
          <w:rFonts w:ascii="Times New Roman" w:eastAsia="仿宋_GB2312" w:cs="Times New Roman" w:hAnsi="Times New Roman"/>
          <w:sz w:val="32"/>
          <w:szCs w:val="32"/>
          <w:lang w:eastAsia="zh-CN" w:bidi="ar-SA"/>
          <w:highlight w:val="auto"/>
        </w:rPr>
        <w:t>〕6号）和《阿坝州财政局关于开展20</w:t>
      </w:r>
      <w:r>
        <w:rPr>
          <w:rFonts w:ascii="Times New Roman" w:eastAsia="仿宋_GB2312" w:cs="Times New Roman" w:hAnsi="Times New Roman"/>
          <w:sz w:val="32"/>
          <w:szCs w:val="32"/>
          <w:lang w:val="en-US" w:eastAsia="zh-CN" w:bidi="ar-SA"/>
          <w:highlight w:val="auto"/>
        </w:rPr>
        <w:t>21</w:t>
      </w:r>
      <w:r>
        <w:rPr>
          <w:rFonts w:ascii="Times New Roman" w:eastAsia="仿宋_GB2312" w:cs="Times New Roman" w:hAnsi="Times New Roman"/>
          <w:sz w:val="32"/>
          <w:szCs w:val="32"/>
          <w:lang w:eastAsia="zh-CN" w:bidi="ar-SA"/>
          <w:highlight w:val="auto"/>
        </w:rPr>
        <w:t>年部门、政策和项目支出绩效评价工作的通知》（</w:t>
      </w:r>
      <w:r>
        <w:rPr>
          <w:rFonts w:ascii="Times New Roman" w:eastAsia="仿宋_GB2312" w:cs="Times New Roman" w:hAnsi="Times New Roman"/>
          <w:sz w:val="32"/>
          <w:szCs w:val="32"/>
          <w:highlight w:val="auto"/>
        </w:rPr>
        <w:t>阿州财监绩〔2021〕11号</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sz w:val="32"/>
          <w:szCs w:val="32"/>
          <w:lang w:eastAsia="zh-CN" w:bidi="ar-SA"/>
          <w:highlight w:val="auto"/>
        </w:rPr>
        <w:t>文件要求，县财政局根据工作安排</w:t>
      </w:r>
      <w:r>
        <w:rPr>
          <w:rFonts w:ascii="Times New Roman" w:eastAsia="仿宋_GB2312" w:cs="Times New Roman" w:hAnsi="Times New Roman"/>
          <w:sz w:val="32"/>
          <w:szCs w:val="32"/>
          <w:lang w:eastAsia="zh-CN"/>
          <w:highlight w:val="auto"/>
        </w:rPr>
        <w:t>，立足工作实际，聚焦重点难点，组织开展了</w:t>
      </w:r>
      <w:r>
        <w:rPr>
          <w:rFonts w:ascii="Times New Roman" w:eastAsia="仿宋_GB2312" w:cs="Times New Roman" w:hAnsi="Times New Roman"/>
          <w:sz w:val="32"/>
          <w:szCs w:val="32"/>
          <w:lang w:val="en-US" w:eastAsia="zh-CN"/>
          <w:highlight w:val="auto"/>
        </w:rPr>
        <w:t>我县2021年部门、政策和项目支出绩效评价工作，现将工作开展情况汇报如下。</w:t>
      </w:r>
    </w:p>
    <w:p>
      <w:pPr>
        <w:keepNext w:val="0"/>
        <w:keepLines w:val="0"/>
        <w:pageBreakBefore w:val="0"/>
        <w:widowControl/>
        <w:kinsoku/>
        <w:wordWrap/>
        <w:overflowPunct/>
        <w:topLinePunct w:val="0"/>
        <w:autoSpaceDE/>
        <w:autoSpaceDN/>
        <w:bidi w:val="0"/>
        <w:adjustRightInd/>
        <w:snapToGrid/>
        <w:spacing w:line="560" w:lineRule="exact"/>
        <w:ind w:firstLineChars="200" w:firstLine="640"/>
        <w:jc w:val="left"/>
        <w:rPr>
          <w:rFonts w:ascii="黑体" w:eastAsia="黑体" w:cs="宋体" w:hint="eastAsia"/>
          <w:b w:val="0"/>
          <w:bCs/>
          <w:color w:val="000000"/>
          <w:kern w:val="0"/>
          <w:sz w:val="32"/>
          <w:szCs w:val="32"/>
          <w:shd w:val="clear" w:color="auto" w:fill="FFFFFF"/>
          <w:highlight w:val="auto"/>
        </w:rPr>
      </w:pPr>
      <w:r>
        <w:rPr>
          <w:rFonts w:ascii="黑体" w:eastAsia="黑体" w:cs="宋体" w:hint="eastAsia"/>
          <w:b w:val="0"/>
          <w:bCs/>
          <w:color w:val="000000"/>
          <w:kern w:val="0"/>
          <w:sz w:val="32"/>
          <w:szCs w:val="32"/>
          <w:shd w:val="clear" w:color="auto" w:fill="FFFFFF"/>
          <w:highlight w:val="auto"/>
        </w:rPr>
        <w:t>一、工作</w:t>
      </w:r>
      <w:r>
        <w:rPr>
          <w:rFonts w:ascii="黑体" w:eastAsia="黑体" w:cs="宋体" w:hint="eastAsia"/>
          <w:b w:val="0"/>
          <w:bCs/>
          <w:color w:val="000000"/>
          <w:kern w:val="0"/>
          <w:sz w:val="32"/>
          <w:szCs w:val="32"/>
          <w:shd w:val="clear" w:color="auto" w:fill="FFFFFF"/>
          <w:lang w:eastAsia="zh-CN"/>
          <w:highlight w:val="auto"/>
        </w:rPr>
        <w:t>开展</w:t>
      </w:r>
      <w:r>
        <w:rPr>
          <w:rFonts w:ascii="黑体" w:eastAsia="黑体" w:cs="宋体" w:hint="eastAsia"/>
          <w:b w:val="0"/>
          <w:bCs/>
          <w:color w:val="000000"/>
          <w:kern w:val="0"/>
          <w:sz w:val="32"/>
          <w:szCs w:val="32"/>
          <w:shd w:val="clear" w:color="auto" w:fill="FFFFFF"/>
          <w:highlight w:val="auto"/>
        </w:rPr>
        <w:t>情况</w:t>
      </w: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eastAsia="仿宋_GB2312"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highlight w:val="auto"/>
        </w:rPr>
        <w:t>按照《金川县</w:t>
      </w:r>
      <w:r>
        <w:rPr>
          <w:rFonts w:ascii="Times New Roman" w:eastAsia="仿宋_GB2312" w:cs="Times New Roman" w:hAnsi="Times New Roman"/>
          <w:color w:val="000000"/>
          <w:kern w:val="0"/>
          <w:sz w:val="32"/>
          <w:szCs w:val="32"/>
          <w:shd w:val="clear" w:color="auto" w:fill="FFFFFF"/>
          <w:lang w:val="en-US" w:eastAsia="zh-CN"/>
          <w:highlight w:val="auto"/>
        </w:rPr>
        <w:t>2021年预算绩效管理工作要点</w:t>
      </w:r>
      <w:r>
        <w:rPr>
          <w:rFonts w:ascii="Times New Roman" w:eastAsia="仿宋_GB2312" w:cs="Times New Roman" w:hAnsi="Times New Roman"/>
          <w:color w:val="000000"/>
          <w:kern w:val="0"/>
          <w:sz w:val="32"/>
          <w:szCs w:val="32"/>
          <w:shd w:val="clear" w:color="auto" w:fill="FFFFFF"/>
          <w:highlight w:val="auto"/>
        </w:rPr>
        <w:t>》（金财监绩〔2020〕</w:t>
      </w:r>
      <w:r>
        <w:rPr>
          <w:rFonts w:ascii="Times New Roman" w:eastAsia="仿宋_GB2312" w:cs="Times New Roman" w:hAnsi="Times New Roman"/>
          <w:color w:val="000000"/>
          <w:kern w:val="0"/>
          <w:sz w:val="32"/>
          <w:szCs w:val="32"/>
          <w:shd w:val="clear" w:color="auto" w:fill="FFFFFF"/>
          <w:lang w:val="en-US" w:eastAsia="zh-CN"/>
          <w:highlight w:val="auto"/>
        </w:rPr>
        <w:t>25</w:t>
      </w:r>
      <w:r>
        <w:rPr>
          <w:rFonts w:ascii="Times New Roman" w:eastAsia="仿宋_GB2312" w:cs="Times New Roman" w:hAnsi="Times New Roman"/>
          <w:color w:val="000000"/>
          <w:kern w:val="0"/>
          <w:sz w:val="32"/>
          <w:szCs w:val="32"/>
          <w:shd w:val="clear" w:color="auto" w:fill="FFFFFF"/>
          <w:highlight w:val="auto"/>
        </w:rPr>
        <w:t>号）</w:t>
      </w:r>
      <w:r>
        <w:rPr>
          <w:rFonts w:ascii="Times New Roman" w:eastAsia="仿宋_GB2312" w:cs="Times New Roman" w:hAnsi="Times New Roman"/>
          <w:color w:val="000000"/>
          <w:kern w:val="0"/>
          <w:sz w:val="32"/>
          <w:szCs w:val="32"/>
          <w:shd w:val="clear" w:color="auto" w:fill="FFFFFF"/>
          <w:lang w:eastAsia="zh-CN"/>
          <w:highlight w:val="auto"/>
        </w:rPr>
        <w:t>文件</w:t>
      </w:r>
      <w:r>
        <w:rPr>
          <w:rFonts w:ascii="Times New Roman" w:eastAsia="仿宋_GB2312" w:cs="Times New Roman" w:hAnsi="Times New Roman"/>
          <w:color w:val="000000"/>
          <w:kern w:val="0"/>
          <w:sz w:val="32"/>
          <w:szCs w:val="32"/>
          <w:shd w:val="clear" w:color="auto" w:fill="FFFFFF"/>
          <w:highlight w:val="auto"/>
        </w:rPr>
        <w:t>要求,为深入贯彻</w:t>
      </w:r>
      <w:r>
        <w:rPr>
          <w:rFonts w:ascii="Times New Roman" w:eastAsia="仿宋_GB2312" w:cs="Times New Roman" w:hAnsi="Times New Roman"/>
          <w:sz w:val="32"/>
          <w:szCs w:val="32"/>
          <w:lang w:val="en-US" w:eastAsia="zh-CN"/>
          <w:highlight w:val="auto"/>
        </w:rPr>
        <w:t>落实省、州、县关于全面实施预算绩效管理的相关要求</w:t>
      </w:r>
      <w:r>
        <w:rPr>
          <w:rFonts w:ascii="Times New Roman" w:eastAsia="仿宋_GB2312" w:cs="Times New Roman" w:hAnsi="Times New Roman"/>
          <w:color w:val="000000"/>
          <w:kern w:val="0"/>
          <w:sz w:val="32"/>
          <w:szCs w:val="32"/>
          <w:shd w:val="clear" w:color="auto" w:fill="FFFFFF"/>
          <w:highlight w:val="auto"/>
        </w:rPr>
        <w:t>，</w:t>
      </w:r>
      <w:r>
        <w:rPr>
          <w:rFonts w:ascii="Times New Roman" w:eastAsia="仿宋_GB2312" w:cs="Times New Roman" w:hAnsi="Times New Roman"/>
          <w:color w:val="000000"/>
          <w:sz w:val="32"/>
          <w:szCs w:val="32"/>
          <w:highlight w:val="auto"/>
        </w:rPr>
        <w:t>继续深入推进</w:t>
      </w:r>
      <w:r>
        <w:rPr>
          <w:rFonts w:ascii="Times New Roman" w:eastAsia="仿宋_GB2312" w:cs="Times New Roman" w:hAnsi="Times New Roman"/>
          <w:color w:val="000000"/>
          <w:sz w:val="32"/>
          <w:szCs w:val="32"/>
          <w:lang w:eastAsia="zh-CN"/>
          <w:highlight w:val="auto"/>
        </w:rPr>
        <w:t>我县</w:t>
      </w:r>
      <w:r>
        <w:rPr>
          <w:rFonts w:ascii="Times New Roman" w:eastAsia="仿宋_GB2312" w:cs="Times New Roman" w:hAnsi="Times New Roman"/>
          <w:color w:val="000000"/>
          <w:sz w:val="32"/>
          <w:szCs w:val="32"/>
          <w:highlight w:val="auto"/>
        </w:rPr>
        <w:t>财政预算绩效工作</w:t>
      </w:r>
      <w:r>
        <w:rPr>
          <w:rFonts w:ascii="Times New Roman" w:eastAsia="仿宋_GB2312" w:cs="Times New Roman" w:hAnsi="Times New Roman"/>
          <w:color w:val="000000"/>
          <w:sz w:val="32"/>
          <w:szCs w:val="32"/>
          <w:lang w:val="en-US" w:eastAsia="zh-CN"/>
          <w:highlight w:val="auto"/>
        </w:rPr>
        <w:t>,我局</w:t>
      </w:r>
      <w:r>
        <w:rPr>
          <w:rFonts w:ascii="Times New Roman" w:eastAsia="仿宋_GB2312" w:cs="Times New Roman" w:hAnsi="Times New Roman"/>
          <w:color w:val="000000"/>
          <w:sz w:val="32"/>
          <w:szCs w:val="32"/>
          <w:highlight w:val="auto"/>
        </w:rPr>
        <w:t>从20</w:t>
      </w:r>
      <w:r>
        <w:rPr>
          <w:rFonts w:ascii="Times New Roman" w:eastAsia="仿宋_GB2312" w:cs="Times New Roman" w:hAnsi="Times New Roman"/>
          <w:color w:val="000000"/>
          <w:sz w:val="32"/>
          <w:szCs w:val="32"/>
          <w:lang w:val="en-US" w:eastAsia="zh-CN"/>
          <w:highlight w:val="auto"/>
        </w:rPr>
        <w:t>21</w:t>
      </w:r>
      <w:r>
        <w:rPr>
          <w:rFonts w:ascii="Times New Roman" w:eastAsia="仿宋_GB2312" w:cs="Times New Roman" w:hAnsi="Times New Roman"/>
          <w:color w:val="000000"/>
          <w:sz w:val="32"/>
          <w:szCs w:val="32"/>
          <w:highlight w:val="auto"/>
        </w:rPr>
        <w:t>年</w:t>
      </w:r>
      <w:r>
        <w:rPr>
          <w:rFonts w:ascii="Times New Roman" w:eastAsia="仿宋_GB2312" w:cs="Times New Roman" w:hAnsi="Times New Roman"/>
          <w:color w:val="000000"/>
          <w:sz w:val="32"/>
          <w:szCs w:val="32"/>
          <w:lang w:val="en-US" w:eastAsia="zh-CN"/>
          <w:highlight w:val="auto"/>
        </w:rPr>
        <w:t>6</w:t>
      </w:r>
      <w:r>
        <w:rPr>
          <w:rFonts w:ascii="Times New Roman" w:eastAsia="仿宋_GB2312" w:cs="Times New Roman" w:hAnsi="Times New Roman"/>
          <w:color w:val="000000"/>
          <w:sz w:val="32"/>
          <w:szCs w:val="32"/>
          <w:highlight w:val="auto"/>
        </w:rPr>
        <w:t>月开始开展</w:t>
      </w:r>
      <w:r>
        <w:rPr>
          <w:rFonts w:ascii="Times New Roman" w:eastAsia="仿宋_GB2312" w:cs="Times New Roman" w:hAnsi="Times New Roman"/>
          <w:color w:val="000000"/>
          <w:sz w:val="32"/>
          <w:szCs w:val="32"/>
          <w:lang w:val="en-US" w:eastAsia="zh-CN"/>
          <w:highlight w:val="auto"/>
        </w:rPr>
        <w:t>2021年度部门、政策和项目支出</w:t>
      </w:r>
      <w:r>
        <w:rPr>
          <w:rFonts w:ascii="Times New Roman" w:eastAsia="仿宋_GB2312" w:cs="Times New Roman" w:hAnsi="Times New Roman"/>
          <w:color w:val="000000"/>
          <w:sz w:val="32"/>
          <w:szCs w:val="32"/>
          <w:highlight w:val="auto"/>
        </w:rPr>
        <w:t>绩效评价工作。</w:t>
      </w:r>
      <w:r>
        <w:rPr>
          <w:rFonts w:ascii="Times New Roman" w:eastAsia="仿宋_GB2312" w:cs="Times New Roman" w:hAnsi="Times New Roman"/>
          <w:color w:val="000000"/>
          <w:kern w:val="0"/>
          <w:sz w:val="32"/>
          <w:szCs w:val="32"/>
          <w:shd w:val="clear" w:color="auto" w:fill="FFFFFF"/>
          <w:highlight w:val="auto"/>
        </w:rPr>
        <w:t>由</w:t>
      </w:r>
      <w:r>
        <w:rPr>
          <w:rFonts w:ascii="Times New Roman" w:eastAsia="仿宋_GB2312" w:cs="Times New Roman" w:hAnsi="Times New Roman"/>
          <w:color w:val="000000"/>
          <w:kern w:val="0"/>
          <w:sz w:val="32"/>
          <w:szCs w:val="32"/>
          <w:shd w:val="clear" w:color="auto" w:fill="FFFFFF"/>
          <w:lang w:eastAsia="zh-CN"/>
          <w:highlight w:val="auto"/>
        </w:rPr>
        <w:t>财政监督和绩效管理股牵头，各股室及第三方评价组形成</w:t>
      </w:r>
      <w:r>
        <w:rPr>
          <w:rFonts w:ascii="Times New Roman" w:eastAsia="仿宋_GB2312" w:cs="Times New Roman" w:hAnsi="Times New Roman"/>
          <w:color w:val="000000"/>
          <w:kern w:val="0"/>
          <w:sz w:val="32"/>
          <w:szCs w:val="32"/>
          <w:shd w:val="clear" w:color="auto" w:fill="FFFFFF"/>
          <w:highlight w:val="auto"/>
        </w:rPr>
        <w:t>联合工作组</w:t>
      </w:r>
      <w:r>
        <w:rPr>
          <w:rFonts w:ascii="Times New Roman" w:eastAsia="仿宋_GB2312" w:cs="Times New Roman" w:hAnsi="Times New Roman"/>
          <w:color w:val="000000"/>
          <w:kern w:val="0"/>
          <w:sz w:val="32"/>
          <w:szCs w:val="32"/>
          <w:shd w:val="clear" w:color="auto" w:fill="FFFFFF"/>
          <w:lang w:eastAsia="zh-CN"/>
          <w:highlight w:val="auto"/>
        </w:rPr>
        <w:t>开展具体工作。</w:t>
      </w: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eastAsia="仿宋_GB2312" w:cs="Times New Roman" w:hAnsi="Times New Roman"/>
          <w:color w:val="000000"/>
          <w:kern w:val="0"/>
          <w:sz w:val="32"/>
          <w:szCs w:val="32"/>
          <w:lang w:eastAsia="zh-CN"/>
          <w:highlight w:val="auto"/>
        </w:rPr>
      </w:pPr>
      <w:r>
        <w:rPr>
          <w:rFonts w:ascii="Times New Roman" w:eastAsia="仿宋_GB2312" w:cs="Times New Roman" w:hAnsi="Times New Roman"/>
          <w:color w:val="000000"/>
          <w:kern w:val="0"/>
          <w:sz w:val="32"/>
          <w:szCs w:val="32"/>
          <w:shd w:val="clear" w:color="auto" w:fill="FFFFFF"/>
          <w:lang w:val="en-US" w:eastAsia="zh-CN"/>
          <w:highlight w:val="auto"/>
        </w:rPr>
        <w:t>我局于7月制定并下发</w:t>
      </w:r>
      <w:r>
        <w:rPr>
          <w:rFonts w:ascii="Times New Roman" w:eastAsia="仿宋_GB2312" w:cs="Times New Roman" w:hAnsi="Times New Roman"/>
          <w:color w:val="000000"/>
          <w:kern w:val="0"/>
          <w:sz w:val="32"/>
          <w:szCs w:val="32"/>
          <w:shd w:val="clear" w:color="auto" w:fill="FFFFFF"/>
          <w:lang w:eastAsia="zh-CN"/>
          <w:highlight w:val="auto"/>
        </w:rPr>
        <w:t>《金川县财政局关于开展2021年部门、政策和项目支出绩效评价工作的通知》</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color w:val="000000"/>
          <w:kern w:val="0"/>
          <w:sz w:val="32"/>
          <w:szCs w:val="32"/>
          <w:shd w:val="clear" w:color="auto" w:fill="FFFFFF"/>
          <w:lang w:eastAsia="zh-CN"/>
          <w:highlight w:val="auto"/>
        </w:rPr>
        <w:t>金财监绩〔202</w:t>
      </w: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eastAsia="仿宋_GB2312" w:cs="Times New Roman" w:hAnsi="Times New Roman"/>
          <w:color w:val="000000"/>
          <w:kern w:val="0"/>
          <w:sz w:val="32"/>
          <w:szCs w:val="32"/>
          <w:shd w:val="clear" w:color="auto" w:fill="FFFFFF"/>
          <w:lang w:eastAsia="zh-CN"/>
          <w:highlight w:val="auto"/>
        </w:rPr>
        <w:t>〕2</w:t>
      </w:r>
      <w:r>
        <w:rPr>
          <w:rFonts w:ascii="Times New Roman" w:eastAsia="仿宋_GB2312" w:cs="Times New Roman" w:hAnsi="Times New Roman"/>
          <w:color w:val="000000"/>
          <w:kern w:val="0"/>
          <w:sz w:val="32"/>
          <w:szCs w:val="32"/>
          <w:shd w:val="clear" w:color="auto" w:fill="FFFFFF"/>
          <w:lang w:val="en-US" w:eastAsia="zh-CN"/>
          <w:highlight w:val="auto"/>
        </w:rPr>
        <w:t>6</w:t>
      </w:r>
      <w:r>
        <w:rPr>
          <w:rFonts w:ascii="Times New Roman" w:eastAsia="仿宋_GB2312" w:cs="Times New Roman" w:hAnsi="Times New Roman"/>
          <w:color w:val="000000"/>
          <w:kern w:val="0"/>
          <w:sz w:val="32"/>
          <w:szCs w:val="32"/>
          <w:shd w:val="clear" w:color="auto" w:fill="FFFFFF"/>
          <w:lang w:eastAsia="zh-CN"/>
          <w:highlight w:val="auto"/>
        </w:rPr>
        <w:t>号</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sz w:val="32"/>
          <w:szCs w:val="32"/>
          <w:lang w:val="en-US" w:eastAsia="zh-CN"/>
          <w:highlight w:val="auto"/>
        </w:rPr>
        <w:t>抽取民生、扶贫等74个项目开展了重点项目支出绩效评价，涉及资金3.3亿元，其中选取城乡居民基本医疗保险财政补助、建档立卡贫困户医疗保险补助、城乡居民基本养老保险财政补助、建档立卡贫困户养老保险补助（社保基金项目）纳入绩效评价。要求所有预算单位均进行整体绩效自评，选取金川县教育局、金川县公安局、金川县民政局、金川县庆宁乡、金川县勒乌镇等38个乡（镇）及部门进行部门整体支出绩效评价。</w:t>
      </w:r>
      <w:r>
        <w:rPr>
          <w:rFonts w:ascii="Times New Roman" w:eastAsia="仿宋_GB2312" w:cs="Times New Roman" w:hAnsi="Times New Roman"/>
          <w:color w:val="000000"/>
          <w:kern w:val="0"/>
          <w:sz w:val="32"/>
          <w:szCs w:val="32"/>
          <w:lang w:eastAsia="zh-CN"/>
          <w:highlight w:val="auto"/>
        </w:rPr>
        <w:t>绩效评价情况如下：</w:t>
      </w:r>
    </w:p>
    <w:tbl>
      <w:tblPr>
        <w:jc w:val="left"/>
        <w:tblInd w:w="-612"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390"/>
        <w:gridCol w:w="60"/>
        <w:gridCol w:w="2352"/>
        <w:gridCol w:w="603"/>
        <w:gridCol w:w="627"/>
        <w:gridCol w:w="588"/>
        <w:gridCol w:w="763"/>
        <w:gridCol w:w="587"/>
        <w:gridCol w:w="776"/>
        <w:gridCol w:w="226"/>
        <w:gridCol w:w="258"/>
        <w:gridCol w:w="764"/>
        <w:gridCol w:w="331"/>
        <w:gridCol w:w="544"/>
        <w:gridCol w:w="311"/>
        <w:gridCol w:w="420"/>
        <w:gridCol w:w="1973"/>
      </w:tblGrid>
      <w:tr>
        <w:trPr>
          <w:trHeight w:val="285"/>
        </w:trPr>
        <w:tc>
          <w:tcPr>
            <w:tcW w:w="9600" w:type="dxa"/>
            <w:gridSpan w:val="16"/>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方正小标宋简体" w:eastAsia="方正小标宋简体" w:cs="方正小标宋简体" w:hint="eastAsia"/>
                <w:i w:val="0"/>
                <w:color w:val="000000"/>
                <w:sz w:val="32"/>
                <w:szCs w:val="32"/>
                <w:u w:val="none"/>
                <w:highlight w:val="auto"/>
              </w:rPr>
            </w:pPr>
            <w:r>
              <w:rPr>
                <w:rFonts w:ascii="方正小标宋简体" w:eastAsia="方正小标宋简体" w:cs="方正小标宋简体" w:hint="eastAsia"/>
                <w:i w:val="0"/>
                <w:color w:val="000000"/>
                <w:sz w:val="32"/>
                <w:szCs w:val="32"/>
                <w:u w:val="none"/>
                <w:highlight w:val="auto"/>
              </w:rPr>
              <w:t>金川县2021年县级财政支出绩效评价项目安排表</w:t>
            </w:r>
          </w:p>
        </w:tc>
        <w:tc>
          <w:tcPr>
            <w:tcW w:w="1973" w:type="dxa"/>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highlight w:val="auto"/>
              </w:rPr>
            </w:pPr>
          </w:p>
        </w:tc>
      </w:tr>
      <w:tr>
        <w:trPr>
          <w:trHeight w:val="330"/>
          <w:gridAfter w:val="1"/>
          <w:wAfter w:w="1973" w:type="dxa"/>
        </w:trPr>
        <w:tc>
          <w:tcPr>
            <w:tcW w:w="450" w:type="dxa"/>
            <w:gridSpan w:val="2"/>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rPr>
                <w:rFonts w:ascii="宋体" w:eastAsia="宋体" w:cs="宋体" w:hint="eastAsia"/>
                <w:i w:val="0"/>
                <w:color w:val="000000"/>
                <w:sz w:val="24"/>
                <w:szCs w:val="24"/>
                <w:u w:val="none"/>
                <w:highlight w:val="auto"/>
              </w:rPr>
            </w:pPr>
          </w:p>
        </w:tc>
        <w:tc>
          <w:tcPr>
            <w:tcW w:w="2955" w:type="dxa"/>
            <w:gridSpan w:val="2"/>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left"/>
              <w:rPr>
                <w:rFonts w:ascii="宋体" w:eastAsia="宋体" w:cs="宋体" w:hint="eastAsia"/>
                <w:i w:val="0"/>
                <w:color w:val="000000"/>
                <w:sz w:val="20"/>
                <w:szCs w:val="20"/>
                <w:u w:val="none"/>
                <w:highlight w:val="auto"/>
              </w:rPr>
            </w:pPr>
          </w:p>
        </w:tc>
        <w:tc>
          <w:tcPr>
            <w:tcW w:w="1978" w:type="dxa"/>
            <w:gridSpan w:val="3"/>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rPr>
                <w:rFonts w:ascii="宋体" w:eastAsia="宋体" w:cs="宋体" w:hint="eastAsia"/>
                <w:b/>
                <w:i w:val="0"/>
                <w:color w:val="000000"/>
                <w:sz w:val="20"/>
                <w:szCs w:val="20"/>
                <w:u w:val="none"/>
                <w:highlight w:val="auto"/>
              </w:rPr>
            </w:pPr>
          </w:p>
        </w:tc>
        <w:tc>
          <w:tcPr>
            <w:tcW w:w="1363" w:type="dxa"/>
            <w:gridSpan w:val="2"/>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rPr>
                <w:rFonts w:ascii="宋体" w:eastAsia="宋体" w:cs="宋体" w:hint="eastAsia"/>
                <w:i w:val="0"/>
                <w:color w:val="000000"/>
                <w:sz w:val="20"/>
                <w:szCs w:val="20"/>
                <w:u w:val="none"/>
                <w:highlight w:val="auto"/>
              </w:rPr>
            </w:pPr>
          </w:p>
        </w:tc>
        <w:tc>
          <w:tcPr>
            <w:tcW w:w="1248" w:type="dxa"/>
            <w:gridSpan w:val="3"/>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宋体" w:eastAsia="宋体" w:cs="宋体" w:hint="eastAsia"/>
                <w:i w:val="0"/>
                <w:color w:val="000000"/>
                <w:sz w:val="20"/>
                <w:szCs w:val="20"/>
                <w:u w:val="none"/>
                <w:highlight w:val="auto"/>
              </w:rPr>
            </w:pPr>
          </w:p>
        </w:tc>
        <w:tc>
          <w:tcPr>
            <w:tcW w:w="875" w:type="dxa"/>
            <w:gridSpan w:val="2"/>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宋体" w:eastAsia="宋体" w:cs="宋体" w:hint="eastAsia"/>
                <w:i w:val="0"/>
                <w:color w:val="000000"/>
                <w:sz w:val="20"/>
                <w:szCs w:val="20"/>
                <w:u w:val="none"/>
                <w:highlight w:val="auto"/>
              </w:rPr>
            </w:pPr>
          </w:p>
        </w:tc>
        <w:tc>
          <w:tcPr>
            <w:tcW w:w="731" w:type="dxa"/>
            <w:gridSpan w:val="2"/>
            <w:tcBorders>
              <w:top w:val="nil"/>
              <w:left w:val="nil"/>
              <w:bottom w:val="nil"/>
              <w:right w:val="nil"/>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center"/>
              <w:rPr>
                <w:rFonts w:ascii="宋体" w:eastAsia="宋体" w:cs="宋体" w:hint="eastAsia"/>
                <w:i w:val="0"/>
                <w:color w:val="000000"/>
                <w:sz w:val="20"/>
                <w:szCs w:val="20"/>
                <w:u w:val="none"/>
                <w:highlight w:val="auto"/>
              </w:rPr>
            </w:pPr>
          </w:p>
        </w:tc>
      </w:tr>
      <w:tr>
        <w:trPr>
          <w:trHeight w:val="495"/>
          <w:gridAfter w:val="1"/>
          <w:wAfter w:w="1973" w:type="dxa"/>
        </w:trPr>
        <w:tc>
          <w:tcPr>
            <w:tcW w:w="450"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序号</w:t>
            </w:r>
          </w:p>
        </w:tc>
        <w:tc>
          <w:tcPr>
            <w:tcW w:w="2955" w:type="dxa"/>
            <w:gridSpan w:val="2"/>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项目名称</w:t>
            </w:r>
          </w:p>
        </w:tc>
        <w:tc>
          <w:tcPr>
            <w:tcW w:w="6195" w:type="dxa"/>
            <w:gridSpan w:val="1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金额</w:t>
              <w:br/>
              <w:t>（万元）</w:t>
            </w:r>
          </w:p>
        </w:tc>
      </w:tr>
      <w:tr>
        <w:trPr>
          <w:trHeight w:val="495"/>
          <w:gridAfter w:val="1"/>
          <w:wAfter w:w="1973" w:type="dxa"/>
        </w:trPr>
        <w:tc>
          <w:tcPr>
            <w:tcW w:w="450"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2955" w:type="dxa"/>
            <w:gridSpan w:val="2"/>
            <w:vMerge/>
            <w:tcBorders>
              <w:top w:val="single" w:sz="4" w:space="0" w:color="000000"/>
              <w:left w:val="single" w:sz="4" w:space="0" w:color="000000"/>
              <w:bottom w:val="single" w:sz="4" w:space="0" w:color="000000"/>
              <w:right w:val="single" w:sz="4" w:space="0" w:color="000000"/>
            </w:tcBorders>
            <w:noWrap/>
            <w:vAlign w:val="center"/>
          </w:tcP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小计</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中央</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省</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州</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县</w:t>
            </w:r>
          </w:p>
        </w:tc>
      </w:tr>
      <w:tr>
        <w:trPr>
          <w:trHeight w:val="495"/>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val="0"/>
              <w:kinsoku/>
              <w:wordWrap/>
              <w:overflowPunct/>
              <w:topLinePunct w:val="0"/>
              <w:autoSpaceDE/>
              <w:autoSpaceDN/>
              <w:bidi w:val="0"/>
              <w:adjustRightInd/>
              <w:snapToGrid/>
              <w:spacing w:line="560" w:lineRule="exact"/>
              <w:jc w:val="center"/>
              <w:rPr>
                <w:rFonts w:ascii="宋体" w:eastAsia="宋体" w:cs="宋体" w:hint="eastAsia"/>
                <w:b/>
                <w:i w:val="0"/>
                <w:color w:val="000000"/>
                <w:sz w:val="20"/>
                <w:szCs w:val="20"/>
                <w:u w:val="none"/>
                <w:highlight w:val="auto"/>
              </w:rPr>
            </w:pP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left"/>
              <w:rPr>
                <w:rFonts w:ascii="宋体" w:eastAsia="宋体" w:cs="宋体" w:hint="eastAsia"/>
                <w:b/>
                <w:i w:val="0"/>
                <w:color w:val="000000"/>
                <w:sz w:val="20"/>
                <w:szCs w:val="20"/>
                <w:u w:val="none"/>
                <w:highlight w:val="auto"/>
              </w:rPr>
            </w:pP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33,288.77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17,702.32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13,233.78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140.19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2,212.49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2020年省级财政现代农业发展工程共同财政事权转移支付资金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57.00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57.00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2020年中央财政农业资源及生态保护补助资金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1,013.75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1,013.75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脱贫攻坚短板综合财力补助资金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28.00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28.00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2020年县级扶贫资金（脱贫攻坚工作经费）</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33.30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33.30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2020年中央和省级财政水利发展资金预算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2,485.00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2,485.00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2020年中央专项彩票公益金支持贫困革命老区脱贫攻坚资金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2020年省级财政乡村振兴转移支付资金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60.00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2020年中央财政农业资源及生态保护补助资金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2020年中央财政农业生产发展资金       （农机购置补贴）</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2020年州级农机购置补贴资金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54.69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54.69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2020年中央财政农业生产发展资金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355.00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355.00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2020年中央财政土地指标跨省域调剂收入安排的支出预算（农村侧所革命）</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64.00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64.00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2020年第二批中央财政土地指标跨省域调剂收入安排的支出预算（农村侧所革命）</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2020年中央专项彩票公益金支持贫困革命老区脱贫攻坚资金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196.00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196.00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2020省级财政现代农业发展工程共同财政事权转移支付资金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1,130.00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1,130.00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2020年中央专项彩票公益金支持贫困革命老区脱贫攻坚资金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1,734.00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1,734.00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2020年县级扶贫资金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320.00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320.00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2020年中央财政农业生产发展资金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600.00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19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2020年农村综合改革支付预算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2020年中央农村综合改革转移支付预算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308.00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308.00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2020年省级农村综合改革转移支付预算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12.00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12.00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2020年农村综合改革转移支付预算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62.00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62.00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2020年农村综合改革支付预算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96.00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96.00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两馆一站免费开放经费</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150.00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120.00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13.50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3.30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13.20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高中免费政策县级配套资金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76.73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76.73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学前免费县级配套资金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190.66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190.66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关于下达2020年中央城乡义务教育补助经费预算的通知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807.00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807.00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提前下达2020年中央城乡义务教育补助经费预算（营养餐部分）</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210.00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210.00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关于提前下达2020年教育类政策性项目省级补助资金预算的通知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587.41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587.41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关于下达2020年中央、省和州级支持学前教育发展专项资金（幼儿资助部分）的通知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47.14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11.00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31.14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关于下达2020年省级学前教育发展专项资金（民族地区村级辅导员）预算的通知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492.80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492.80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关于下达2020年省级公共文化服务体系建设专项资金预算（文化扶贫）的通知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152.00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152.00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关于下达2020年城乡义务教育补助经费预算的通知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116.00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49.00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67.00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关于下达2019年中央自然灾害救灾资金的通知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68.00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68.00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关于下达2020年中央自然灾害防治体系建设补助资金预算的通知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430.00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430.00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关于下达2020年农业综合防灾减灾能力建设专项中央预算内建设投资预算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409.10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409.10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关于下达2020年教育现代化推进工程第一批中央预算内基建投资预算的通知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1,840.00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1,840.00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关于下达2020年省预算内基本建设资金支出预算的通知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200.00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39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关于转下达2020年文化旅游提升工程第一批中央预算内基建投资预算的通知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1,000.00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1,000.00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关于转下达2020年农业生产发展专项中央预算内基建设投资预算的通知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511.00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511.00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关于转达2020年卫生领域中央预算内投资支出预算的通知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1,100.00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1,100.00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就业创业补助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645.00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645.00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贫困地区定向医学专科生引进</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深度贫困地区乡村医生定向委培</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37.40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37.40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校毕业生“三支一扶”补助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110.98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49.36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22.41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39.21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临时救助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244.61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207.84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36.77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特困供养人员补助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716.54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310.17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406.37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农村低保</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153.97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21.78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132.19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49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基本公共卫生</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723.38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607.72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60.16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16.65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38.85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高海拔（村医生活补助）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48.62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6.62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42.00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高海拔（维修维护费）</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30.00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卫生扶贫救助基金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200.00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计划生育对象提供计划生育扶助保障</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988.07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757.04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231.03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城乡居民基本医疗保险财政补助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144.37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144.37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建档立卡贫困户医疗保险补助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42.35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42.35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用于城乡居民医疗救助（二次救助）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282.77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246.00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36.77 </w:t>
            </w: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财政对建档立卡贫困户大病商业补充保险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106.15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106.15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城乡居民基本养老保险财政补助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1,406.84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1,167.56 </w:t>
            </w: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195.11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17.00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27.17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59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建档立卡贫困户养老保险补助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38.52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3.87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34.65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被征地农民生活保障出口补助</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71.13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71.13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职业技能行动计划</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100.00 </w:t>
            </w: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残疾人扶贫对象生活费补贴</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47.58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18.96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10.79 </w:t>
            </w: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17.83 </w:t>
            </w:r>
          </w:p>
        </w:tc>
      </w:tr>
      <w:tr>
        <w:trPr>
          <w:trHeight w:val="14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返还2019年第二批森林植被恢复费（防火阻隔系统建设，新建瞭望塔，地方专业扑火队队伍车辆装备，新建地方专业队伍营房（含物资储备库），新建林火视频监控系统及运行平台）</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349.00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349.00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2020年省级林业草原改革发展专项资金（第一批）（长江上游干旱河谷地区生态治理</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537.02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537.02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65</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草原生态修复治理资金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1,390.00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1,390.00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120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66</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2020年生态环境保护专项资金（第二批）的通知（集中式饮用水水源地保护资源，水污染激励金，空气激励资金，省级“千村示范工程”以奖代补资金吗）</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174.44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174.44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67</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2020年中央财政林业改革发展资金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3,813.54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3,813.54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24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68</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2019年森林植被恢复分成</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533.13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533.13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96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69</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关于下达2020年省级林业草原改革发展专项资金（第二批）预算的通知产业基地建设；防火阻隔带建设资金</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426.00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426.00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70</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关于解决金川县国土空间规划编制项目资金的请示</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72.78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72.78 </w:t>
            </w:r>
          </w:p>
        </w:tc>
      </w:tr>
      <w:tr>
        <w:trPr>
          <w:trHeight w:val="72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71</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关于预下达2020年国家重点生态功能区转移支付生态扶贫资金的通知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1,361.00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1,361.00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72</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关于提前下达2020年重点生态功能区转移支付资金的通知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1,000.00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1,000.00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73</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关于提前下达2020年重点生态功能区转移支付资金的通知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229.30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229.30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480"/>
          <w:gridAfter w:val="1"/>
          <w:wAfter w:w="1973" w:type="dxa"/>
        </w:trPr>
        <w:tc>
          <w:tcPr>
            <w:tcW w:w="450" w:type="dxa"/>
            <w:gridSpan w:val="2"/>
            <w:tcBorders>
              <w:top w:val="single" w:sz="4" w:space="0" w:color="000000"/>
              <w:left w:val="single" w:sz="4" w:space="0" w:color="000000"/>
              <w:bottom w:val="single" w:sz="4" w:space="0" w:color="000000"/>
              <w:right w:val="single" w:sz="4" w:space="0" w:color="00000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bottom"/>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74</w:t>
            </w:r>
          </w:p>
        </w:tc>
        <w:tc>
          <w:tcPr>
            <w:tcW w:w="295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关于提前下达2020年重点生态功能区转移支付资金的通知</w:t>
            </w:r>
          </w:p>
        </w:tc>
        <w:tc>
          <w:tcPr>
            <w:tcW w:w="121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b/>
                <w:i w:val="0"/>
                <w:color w:val="000000"/>
                <w:sz w:val="20"/>
                <w:szCs w:val="20"/>
                <w:u w:val="none"/>
                <w:highlight w:val="auto"/>
              </w:rPr>
            </w:pPr>
            <w:r>
              <w:rPr>
                <w:rFonts w:ascii="宋体" w:eastAsia="宋体" w:cs="宋体" w:hint="eastAsia"/>
                <w:b/>
                <w:i w:val="0"/>
                <w:color w:val="000000"/>
                <w:kern w:val="0"/>
                <w:sz w:val="20"/>
                <w:szCs w:val="20"/>
                <w:u w:val="none"/>
                <w:lang w:val="en-US" w:eastAsia="zh-CN"/>
                <w:highlight w:val="auto"/>
              </w:rPr>
              <w:t xml:space="preserve">41.70 </w:t>
            </w:r>
          </w:p>
        </w:tc>
        <w:tc>
          <w:tcPr>
            <w:tcW w:w="1350"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60"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right"/>
              <w:textAlignment w:val="center"/>
              <w:rPr>
                <w:rFonts w:ascii="宋体" w:eastAsia="宋体" w:cs="宋体" w:hint="eastAsia"/>
                <w:i w:val="0"/>
                <w:color w:val="000000"/>
                <w:sz w:val="20"/>
                <w:szCs w:val="20"/>
                <w:u w:val="none"/>
                <w:highlight w:val="auto"/>
              </w:rPr>
            </w:pPr>
            <w:r>
              <w:rPr>
                <w:rFonts w:ascii="宋体" w:eastAsia="宋体" w:cs="宋体" w:hint="eastAsia"/>
                <w:i w:val="0"/>
                <w:color w:val="000000"/>
                <w:kern w:val="0"/>
                <w:sz w:val="20"/>
                <w:szCs w:val="20"/>
                <w:u w:val="none"/>
                <w:lang w:val="en-US" w:eastAsia="zh-CN"/>
                <w:highlight w:val="auto"/>
              </w:rPr>
              <w:t xml:space="preserve">41.70 </w:t>
            </w:r>
          </w:p>
        </w:tc>
        <w:tc>
          <w:tcPr>
            <w:tcW w:w="1095" w:type="dxa"/>
            <w:gridSpan w:val="2"/>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c>
          <w:tcPr>
            <w:tcW w:w="1275" w:type="dxa"/>
            <w:gridSpan w:val="3"/>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val="0"/>
              <w:kinsoku/>
              <w:wordWrap/>
              <w:overflowPunct/>
              <w:topLinePunct w:val="0"/>
              <w:autoSpaceDE/>
              <w:autoSpaceDN/>
              <w:bidi w:val="0"/>
              <w:adjustRightInd/>
              <w:snapToGrid/>
              <w:spacing w:line="560" w:lineRule="exact"/>
              <w:jc w:val="right"/>
              <w:rPr>
                <w:rFonts w:ascii="宋体" w:eastAsia="宋体" w:cs="宋体" w:hint="eastAsia"/>
                <w:i w:val="0"/>
                <w:color w:val="000000"/>
                <w:sz w:val="20"/>
                <w:szCs w:val="20"/>
                <w:u w:val="none"/>
                <w:highlight w:val="auto"/>
              </w:rPr>
            </w:pPr>
          </w:p>
        </w:tc>
      </w:tr>
      <w:tr>
        <w:trPr>
          <w:trHeight w:val="630"/>
          <w:gridBefore w:val="1"/>
          <w:wBefore w:w="390" w:type="dxa"/>
          <w:gridAfter w:val="2"/>
          <w:wAfter w:w="2393" w:type="dxa"/>
        </w:trPr>
        <w:tc>
          <w:tcPr>
            <w:tcW w:w="8790" w:type="dxa"/>
            <w:gridSpan w:val="14"/>
            <w:tcBorders>
              <w:top w:val="nil"/>
              <w:left w:val="nil"/>
              <w:bottom w:val="nil"/>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hint="eastAsia"/>
                <w:i w:val="0"/>
                <w:color w:val="000000"/>
                <w:kern w:val="0"/>
                <w:sz w:val="28"/>
                <w:szCs w:val="28"/>
                <w:u w:val="none"/>
                <w:lang w:val="en-US" w:eastAsia="zh-CN"/>
                <w:highlight w:val="auto"/>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hint="eastAsia"/>
                <w:i w:val="0"/>
                <w:color w:val="000000"/>
                <w:kern w:val="0"/>
                <w:sz w:val="28"/>
                <w:szCs w:val="28"/>
                <w:u w:val="none"/>
                <w:lang w:val="en-US" w:eastAsia="zh-CN"/>
                <w:highlight w:val="auto"/>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hint="eastAsia"/>
                <w:i w:val="0"/>
                <w:color w:val="000000"/>
                <w:kern w:val="0"/>
                <w:sz w:val="28"/>
                <w:szCs w:val="28"/>
                <w:u w:val="none"/>
                <w:lang w:val="en-US" w:eastAsia="zh-CN"/>
                <w:highlight w:val="auto"/>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方正小标宋简体" w:eastAsia="方正小标宋简体" w:cs="方正小标宋简体"/>
                <w:i w:val="0"/>
                <w:color w:val="000000"/>
                <w:sz w:val="28"/>
                <w:szCs w:val="28"/>
                <w:u w:val="none"/>
                <w:highlight w:val="auto"/>
              </w:rPr>
            </w:pPr>
            <w:r>
              <w:rPr>
                <w:rFonts w:ascii="方正小标宋简体" w:eastAsia="方正小标宋简体" w:cs="方正小标宋简体" w:hint="eastAsia"/>
                <w:i w:val="0"/>
                <w:color w:val="000000"/>
                <w:kern w:val="0"/>
                <w:sz w:val="28"/>
                <w:szCs w:val="28"/>
                <w:u w:val="none"/>
                <w:lang w:val="en-US" w:eastAsia="zh-CN"/>
                <w:highlight w:val="auto"/>
              </w:rPr>
              <w:t>金川县2021年财政预算绩效管理部门整体支出绩效评价重点抽评单位</w:t>
            </w:r>
          </w:p>
        </w:tc>
      </w:tr>
      <w:tr>
        <w:trPr>
          <w:trHeight w:val="285"/>
          <w:gridBefore w:val="1"/>
          <w:wBefore w:w="390" w:type="dxa"/>
          <w:gridAfter w:val="2"/>
          <w:wAfter w:w="2393" w:type="dxa"/>
        </w:trPr>
        <w:tc>
          <w:tcPr>
            <w:tcW w:w="2412" w:type="dxa"/>
            <w:gridSpan w:val="2"/>
            <w:vMerge w:val="restart"/>
            <w:tcBorders>
              <w:top w:val="single" w:sz="4" w:space="0" w:color="000000"/>
              <w:left w:val="single" w:sz="4" w:space="0" w:color="000000"/>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2"/>
                <w:szCs w:val="22"/>
                <w:u w:val="none"/>
                <w:highlight w:val="auto"/>
              </w:rPr>
            </w:pPr>
            <w:r>
              <w:rPr>
                <w:rFonts w:ascii="宋体" w:eastAsia="宋体" w:cs="宋体" w:hint="eastAsia"/>
                <w:b/>
                <w:i w:val="0"/>
                <w:color w:val="000000"/>
                <w:kern w:val="0"/>
                <w:sz w:val="22"/>
                <w:szCs w:val="22"/>
                <w:u w:val="none"/>
                <w:lang w:val="en-US" w:eastAsia="zh-CN"/>
                <w:highlight w:val="auto"/>
              </w:rPr>
              <w:t>科室</w:t>
            </w:r>
          </w:p>
        </w:tc>
        <w:tc>
          <w:tcPr>
            <w:tcW w:w="1230" w:type="dxa"/>
            <w:gridSpan w:val="2"/>
            <w:vMerge w:val="restart"/>
            <w:tcBorders>
              <w:top w:val="single" w:sz="4" w:space="0" w:color="000000"/>
              <w:left w:val="single" w:sz="4" w:space="0" w:color="000000"/>
              <w:bottom w:val="single" w:sz="4" w:space="0" w:color="00000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b/>
                <w:i w:val="0"/>
                <w:color w:val="000000"/>
                <w:sz w:val="22"/>
                <w:szCs w:val="22"/>
                <w:u w:val="none"/>
                <w:highlight w:val="auto"/>
              </w:rPr>
            </w:pPr>
            <w:r>
              <w:rPr>
                <w:rFonts w:ascii="Courier New" w:eastAsia="宋体" w:cs="Courier New" w:hAnsi="Courier New"/>
                <w:b/>
                <w:i w:val="0"/>
                <w:color w:val="000000"/>
                <w:kern w:val="0"/>
                <w:sz w:val="22"/>
                <w:szCs w:val="22"/>
                <w:u w:val="none"/>
                <w:lang w:val="en-US" w:eastAsia="zh-CN"/>
                <w:highlight w:val="auto"/>
              </w:rPr>
              <w:t>序号</w:t>
            </w:r>
          </w:p>
        </w:tc>
        <w:tc>
          <w:tcPr>
            <w:tcW w:w="2940" w:type="dxa"/>
            <w:gridSpan w:val="5"/>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2"/>
                <w:szCs w:val="22"/>
                <w:u w:val="none"/>
                <w:highlight w:val="auto"/>
              </w:rPr>
            </w:pPr>
            <w:r>
              <w:rPr>
                <w:rFonts w:ascii="宋体" w:eastAsia="宋体" w:cs="宋体" w:hint="eastAsia"/>
                <w:b/>
                <w:i w:val="0"/>
                <w:color w:val="000000"/>
                <w:kern w:val="0"/>
                <w:sz w:val="22"/>
                <w:szCs w:val="22"/>
                <w:u w:val="none"/>
                <w:lang w:val="en-US" w:eastAsia="zh-CN"/>
                <w:highlight w:val="auto"/>
              </w:rPr>
              <w:t>单位名称</w:t>
            </w:r>
          </w:p>
        </w:tc>
        <w:tc>
          <w:tcPr>
            <w:tcW w:w="2208" w:type="dxa"/>
            <w:gridSpan w:val="5"/>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b/>
                <w:i w:val="0"/>
                <w:color w:val="000000"/>
                <w:sz w:val="22"/>
                <w:szCs w:val="22"/>
                <w:u w:val="none"/>
                <w:highlight w:val="auto"/>
              </w:rPr>
            </w:pPr>
            <w:r>
              <w:rPr>
                <w:rFonts w:ascii="宋体" w:eastAsia="宋体" w:cs="宋体" w:hint="eastAsia"/>
                <w:b/>
                <w:i w:val="0"/>
                <w:color w:val="000000"/>
                <w:kern w:val="0"/>
                <w:sz w:val="22"/>
                <w:szCs w:val="22"/>
                <w:u w:val="none"/>
                <w:lang w:val="en-US" w:eastAsia="zh-CN"/>
                <w:highlight w:val="auto"/>
              </w:rPr>
              <w:t>评价内容</w:t>
            </w:r>
          </w:p>
        </w:tc>
      </w:tr>
      <w:tr>
        <w:trPr>
          <w:trHeight w:val="285"/>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nil"/>
            </w:tcBorders>
            <w:noWrap/>
            <w:vAlign w:val="center"/>
          </w:tcPr>
          <w:p/>
        </w:tc>
        <w:tc>
          <w:tcPr>
            <w:tcW w:w="1230" w:type="dxa"/>
            <w:gridSpan w:val="2"/>
            <w:vMerge/>
            <w:tcBorders>
              <w:top w:val="single" w:sz="4" w:space="0" w:color="000000"/>
              <w:left w:val="single" w:sz="4" w:space="0" w:color="000000"/>
              <w:bottom w:val="single" w:sz="4" w:space="0" w:color="000000"/>
              <w:right w:val="nil"/>
            </w:tcBorders>
            <w:noWrap/>
            <w:vAlign w:val="center"/>
          </w:tcPr>
          <w:p/>
        </w:tc>
        <w:tc>
          <w:tcPr>
            <w:tcW w:w="2940" w:type="dxa"/>
            <w:gridSpan w:val="5"/>
            <w:vMerge/>
            <w:tcBorders>
              <w:top w:val="single" w:sz="4" w:space="0" w:color="000000"/>
              <w:left w:val="single" w:sz="4" w:space="0" w:color="000000"/>
              <w:bottom w:val="single" w:sz="4" w:space="0" w:color="000000"/>
              <w:right w:val="single" w:sz="4" w:space="0" w:color="000000"/>
            </w:tcBorders>
            <w:noWrap/>
            <w:vAlign w:val="center"/>
          </w:tcP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经济建设股</w:t>
            </w: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总工会</w:t>
            </w:r>
          </w:p>
        </w:tc>
        <w:tc>
          <w:tcPr>
            <w:tcW w:w="2208" w:type="dxa"/>
            <w:gridSpan w:val="5"/>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2020年全年部门整体支出绩效评价</w:t>
            </w:r>
          </w:p>
        </w:tc>
      </w:tr>
      <w:tr>
        <w:trPr>
          <w:trHeight w:val="405"/>
          <w:gridBefore w:val="1"/>
          <w:wBefore w:w="390" w:type="dxa"/>
          <w:gridAfter w:val="2"/>
          <w:wAfter w:w="2393" w:type="dxa"/>
        </w:trPr>
        <w:tc>
          <w:tcPr>
            <w:tcW w:w="2412" w:type="dxa"/>
            <w:gridSpan w:val="2"/>
            <w:vMerge/>
            <w:tcBorders>
              <w:top w:val="nil"/>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发改经信局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nil"/>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观音桥景区管理局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行政政法和科教文化股</w:t>
            </w: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4</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县委办</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5</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人大办</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6</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政府办</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7</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政协办</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8</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行政审批局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9</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科学技术协会</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10</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宣传部</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11</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公安局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12</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文体旅局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13</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融媒体中心</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14</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教育局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15</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团县委</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16</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检察院</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17</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法院</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18</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司法局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19</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统计局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05"/>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20</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市场监督管理局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nil"/>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21</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档案馆</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社会保障股</w:t>
            </w: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22</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红十字会</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23</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残联</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24</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民政局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25</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医保局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54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26</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人力资源和社会保障局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54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27</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卫生健康局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28</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退役军人事务局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自然资源与生态环境股</w:t>
            </w: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29</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俄热乡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30</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二嘎里</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31</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集沐乡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32</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庆宁乡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33</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曾达乡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34</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勒乌镇</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35</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咯尔乡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36</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撒瓦脚乡</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4"/>
                <w:szCs w:val="24"/>
                <w:u w:val="none"/>
                <w:highlight w:val="auto"/>
              </w:rPr>
            </w:pPr>
            <w:r>
              <w:rPr>
                <w:rFonts w:ascii="宋体" w:eastAsia="宋体" w:cs="宋体" w:hint="eastAsia"/>
                <w:i w:val="0"/>
                <w:color w:val="000000"/>
                <w:kern w:val="0"/>
                <w:sz w:val="24"/>
                <w:szCs w:val="24"/>
                <w:u w:val="none"/>
                <w:lang w:val="en-US" w:eastAsia="zh-CN"/>
                <w:highlight w:val="auto"/>
              </w:rPr>
              <w:t>农业农村股</w:t>
            </w: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37</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科学技术和农业局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r>
        <w:trPr>
          <w:trHeight w:val="420"/>
          <w:gridBefore w:val="1"/>
          <w:wBefore w:w="390" w:type="dxa"/>
          <w:gridAfter w:val="2"/>
          <w:wAfter w:w="2393" w:type="dxa"/>
        </w:trPr>
        <w:tc>
          <w:tcPr>
            <w:tcW w:w="2412"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30" w:type="dxa"/>
            <w:gridSpan w:val="2"/>
            <w:tcBorders>
              <w:top w:val="single" w:sz="4" w:space="0" w:color="000000"/>
              <w:left w:val="nil"/>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Courier New" w:eastAsia="宋体" w:cs="Courier New" w:hAnsi="Courier New"/>
                <w:i w:val="0"/>
                <w:color w:val="000000"/>
                <w:sz w:val="22"/>
                <w:szCs w:val="22"/>
                <w:u w:val="none"/>
                <w:highlight w:val="auto"/>
              </w:rPr>
            </w:pPr>
            <w:r>
              <w:rPr>
                <w:rFonts w:ascii="Courier New" w:eastAsia="宋体" w:cs="Courier New" w:hAnsi="Courier New"/>
                <w:i w:val="0"/>
                <w:color w:val="000000"/>
                <w:kern w:val="0"/>
                <w:sz w:val="22"/>
                <w:szCs w:val="22"/>
                <w:u w:val="none"/>
                <w:lang w:val="en-US" w:eastAsia="zh-CN"/>
                <w:highlight w:val="auto"/>
              </w:rPr>
              <w:t>38</w:t>
            </w:r>
          </w:p>
        </w:tc>
        <w:tc>
          <w:tcPr>
            <w:tcW w:w="2940" w:type="dxa"/>
            <w:gridSpan w:val="5"/>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宋体" w:eastAsia="宋体" w:cs="宋体" w:hint="eastAsia"/>
                <w:i w:val="0"/>
                <w:color w:val="000000"/>
                <w:sz w:val="22"/>
                <w:szCs w:val="22"/>
                <w:u w:val="none"/>
                <w:highlight w:val="auto"/>
              </w:rPr>
            </w:pPr>
            <w:r>
              <w:rPr>
                <w:rFonts w:ascii="宋体" w:eastAsia="宋体" w:cs="宋体" w:hint="eastAsia"/>
                <w:i w:val="0"/>
                <w:color w:val="000000"/>
                <w:kern w:val="0"/>
                <w:sz w:val="22"/>
                <w:szCs w:val="22"/>
                <w:u w:val="none"/>
                <w:lang w:val="en-US" w:eastAsia="zh-CN"/>
                <w:highlight w:val="auto"/>
              </w:rPr>
              <w:t>扶贫开发局</w:t>
            </w:r>
          </w:p>
        </w:tc>
        <w:tc>
          <w:tcPr>
            <w:tcW w:w="2208" w:type="dxa"/>
            <w:gridSpan w:val="5"/>
            <w:vMerge/>
            <w:tcBorders>
              <w:top w:val="single" w:sz="4" w:space="0" w:color="000000"/>
              <w:left w:val="single" w:sz="4" w:space="0" w:color="000000"/>
              <w:bottom w:val="single" w:sz="4" w:space="0" w:color="000000"/>
              <w:right w:val="single" w:sz="4" w:space="0" w:color="000000"/>
            </w:tcBorders>
            <w:noWrap/>
            <w:vAlign w:val="center"/>
          </w:tcPr>
          <w:p/>
        </w:tc>
      </w:tr>
    </w:tbl>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eastAsia="仿宋_GB2312" w:cs="Times New Roman" w:hAnsi="Times New Roman"/>
          <w:color w:val="000000"/>
          <w:kern w:val="0"/>
          <w:sz w:val="32"/>
          <w:szCs w:val="32"/>
          <w:shd w:val="clear" w:color="auto" w:fill="FFFFFF"/>
          <w:highlight w:val="auto"/>
        </w:rPr>
      </w:pPr>
      <w:r>
        <w:rPr>
          <w:rFonts w:ascii="Times New Roman" w:eastAsia="仿宋_GB2312" w:cs="Times New Roman" w:hAnsi="Times New Roman"/>
          <w:color w:val="000000"/>
          <w:kern w:val="0"/>
          <w:sz w:val="32"/>
          <w:szCs w:val="32"/>
          <w:shd w:val="clear" w:color="auto" w:fill="FFFFFF"/>
          <w:highlight w:val="auto"/>
        </w:rPr>
        <w:t>按照时间安排，各</w:t>
      </w:r>
      <w:r>
        <w:rPr>
          <w:rFonts w:ascii="Times New Roman" w:eastAsia="仿宋_GB2312" w:cs="Times New Roman" w:hAnsi="Times New Roman"/>
          <w:color w:val="000000"/>
          <w:kern w:val="0"/>
          <w:sz w:val="32"/>
          <w:szCs w:val="32"/>
          <w:shd w:val="clear" w:color="auto" w:fill="FFFFFF"/>
          <w:lang w:eastAsia="zh-CN"/>
          <w:highlight w:val="auto"/>
        </w:rPr>
        <w:t>单位</w:t>
      </w:r>
      <w:r>
        <w:rPr>
          <w:rFonts w:ascii="Times New Roman" w:eastAsia="仿宋_GB2312" w:cs="Times New Roman" w:hAnsi="Times New Roman"/>
          <w:color w:val="000000"/>
          <w:kern w:val="0"/>
          <w:sz w:val="32"/>
          <w:szCs w:val="32"/>
          <w:shd w:val="clear" w:color="auto" w:fill="FFFFFF"/>
          <w:highlight w:val="auto"/>
        </w:rPr>
        <w:t>于</w:t>
      </w:r>
      <w:r>
        <w:rPr>
          <w:rFonts w:ascii="Times New Roman" w:eastAsia="仿宋_GB2312" w:cs="Times New Roman" w:hAnsi="Times New Roman"/>
          <w:color w:val="000000"/>
          <w:kern w:val="0"/>
          <w:sz w:val="32"/>
          <w:szCs w:val="32"/>
          <w:shd w:val="clear" w:color="auto" w:fill="FFFFFF"/>
          <w:lang w:val="en-US" w:eastAsia="zh-CN"/>
          <w:highlight w:val="auto"/>
        </w:rPr>
        <w:t>8</w:t>
      </w:r>
      <w:r>
        <w:rPr>
          <w:rFonts w:ascii="Times New Roman" w:eastAsia="仿宋_GB2312" w:cs="Times New Roman" w:hAnsi="Times New Roman"/>
          <w:color w:val="000000"/>
          <w:kern w:val="0"/>
          <w:sz w:val="32"/>
          <w:szCs w:val="32"/>
          <w:shd w:val="clear" w:color="auto" w:fill="FFFFFF"/>
          <w:highlight w:val="auto"/>
        </w:rPr>
        <w:t>月</w:t>
      </w:r>
      <w:r>
        <w:rPr>
          <w:rFonts w:ascii="Times New Roman" w:eastAsia="仿宋_GB2312" w:cs="Times New Roman" w:hAnsi="Times New Roman"/>
          <w:color w:val="000000"/>
          <w:kern w:val="0"/>
          <w:sz w:val="32"/>
          <w:szCs w:val="32"/>
          <w:shd w:val="clear" w:color="auto" w:fill="FFFFFF"/>
          <w:lang w:eastAsia="zh-CN"/>
          <w:highlight w:val="auto"/>
        </w:rPr>
        <w:t>上旬向</w:t>
      </w:r>
      <w:r>
        <w:rPr>
          <w:rFonts w:ascii="Times New Roman" w:eastAsia="仿宋_GB2312" w:cs="Times New Roman" w:hAnsi="Times New Roman"/>
          <w:sz w:val="32"/>
          <w:szCs w:val="32"/>
          <w:highlight w:val="auto"/>
        </w:rPr>
        <w:t>归口支出管理</w:t>
      </w:r>
      <w:r>
        <w:rPr>
          <w:rFonts w:ascii="Times New Roman" w:eastAsia="仿宋_GB2312" w:cs="Times New Roman" w:hAnsi="Times New Roman"/>
          <w:sz w:val="32"/>
          <w:szCs w:val="32"/>
          <w:lang w:eastAsia="zh-CN"/>
          <w:highlight w:val="auto"/>
        </w:rPr>
        <w:t>股</w:t>
      </w:r>
      <w:r>
        <w:rPr>
          <w:rFonts w:ascii="Times New Roman" w:eastAsia="仿宋_GB2312" w:cs="Times New Roman" w:hAnsi="Times New Roman"/>
          <w:sz w:val="32"/>
          <w:szCs w:val="32"/>
          <w:highlight w:val="auto"/>
        </w:rPr>
        <w:t>室</w:t>
      </w:r>
      <w:r>
        <w:rPr>
          <w:rFonts w:ascii="Times New Roman" w:eastAsia="仿宋_GB2312" w:cs="Times New Roman" w:hAnsi="Times New Roman"/>
          <w:color w:val="000000"/>
          <w:kern w:val="0"/>
          <w:sz w:val="32"/>
          <w:szCs w:val="32"/>
          <w:shd w:val="clear" w:color="auto" w:fill="FFFFFF"/>
          <w:highlight w:val="auto"/>
        </w:rPr>
        <w:t>提交了自评报告，</w:t>
      </w:r>
      <w:r>
        <w:rPr>
          <w:rFonts w:ascii="Times New Roman" w:eastAsia="仿宋_GB2312" w:cs="Times New Roman" w:hAnsi="Times New Roman"/>
          <w:color w:val="000000"/>
          <w:kern w:val="0"/>
          <w:sz w:val="32"/>
          <w:szCs w:val="32"/>
          <w:shd w:val="clear" w:color="auto" w:fill="FFFFFF"/>
          <w:lang w:val="en-US" w:eastAsia="zh-CN"/>
          <w:highlight w:val="auto"/>
        </w:rPr>
        <w:t>11</w:t>
      </w:r>
      <w:r>
        <w:rPr>
          <w:rFonts w:ascii="Times New Roman" w:eastAsia="仿宋_GB2312" w:cs="Times New Roman" w:hAnsi="Times New Roman"/>
          <w:color w:val="000000"/>
          <w:kern w:val="0"/>
          <w:sz w:val="32"/>
          <w:szCs w:val="32"/>
          <w:shd w:val="clear" w:color="auto" w:fill="FFFFFF"/>
          <w:highlight w:val="auto"/>
        </w:rPr>
        <w:t>月</w:t>
      </w:r>
      <w:r>
        <w:rPr>
          <w:rFonts w:ascii="Times New Roman" w:eastAsia="仿宋_GB2312" w:cs="Times New Roman" w:hAnsi="Times New Roman"/>
          <w:color w:val="000000"/>
          <w:kern w:val="0"/>
          <w:sz w:val="32"/>
          <w:szCs w:val="32"/>
          <w:shd w:val="clear" w:color="auto" w:fill="FFFFFF"/>
          <w:lang w:eastAsia="zh-CN"/>
          <w:highlight w:val="auto"/>
        </w:rPr>
        <w:t>下旬第三方</w:t>
      </w:r>
      <w:r>
        <w:rPr>
          <w:rFonts w:ascii="Times New Roman" w:eastAsia="仿宋_GB2312" w:cs="Times New Roman" w:hAnsi="Times New Roman"/>
          <w:color w:val="000000"/>
          <w:kern w:val="0"/>
          <w:sz w:val="32"/>
          <w:szCs w:val="32"/>
          <w:shd w:val="clear" w:color="auto" w:fill="FFFFFF"/>
          <w:highlight w:val="auto"/>
        </w:rPr>
        <w:t>工作组结合被评价项目的实际情况，</w:t>
      </w:r>
      <w:r>
        <w:rPr>
          <w:rFonts w:ascii="Times New Roman" w:eastAsia="仿宋_GB2312" w:cs="Times New Roman" w:hAnsi="Times New Roman"/>
          <w:color w:val="000000"/>
          <w:kern w:val="0"/>
          <w:sz w:val="32"/>
          <w:szCs w:val="32"/>
          <w:shd w:val="clear" w:color="auto" w:fill="FFFFFF"/>
          <w:lang w:eastAsia="zh-CN"/>
          <w:highlight w:val="auto"/>
        </w:rPr>
        <w:t>通过</w:t>
      </w:r>
      <w:r>
        <w:rPr>
          <w:rFonts w:ascii="Times New Roman" w:eastAsia="仿宋_GB2312" w:cs="Times New Roman" w:hAnsi="Times New Roman"/>
          <w:color w:val="000000"/>
          <w:kern w:val="0"/>
          <w:sz w:val="32"/>
          <w:szCs w:val="32"/>
          <w:shd w:val="clear" w:color="auto" w:fill="FFFFFF"/>
          <w:highlight w:val="auto"/>
        </w:rPr>
        <w:t>查阅资料、实地察看等评价程序完成</w:t>
      </w:r>
      <w:r>
        <w:rPr>
          <w:rFonts w:ascii="Times New Roman" w:eastAsia="仿宋_GB2312" w:cs="Times New Roman" w:hAnsi="Times New Roman"/>
          <w:color w:val="000000"/>
          <w:kern w:val="0"/>
          <w:sz w:val="32"/>
          <w:szCs w:val="32"/>
          <w:shd w:val="clear" w:color="auto" w:fill="FFFFFF"/>
          <w:lang w:val="en-US" w:eastAsia="zh-CN"/>
          <w:highlight w:val="auto"/>
        </w:rPr>
        <w:t>了74</w:t>
      </w:r>
      <w:r>
        <w:rPr>
          <w:rFonts w:ascii="Times New Roman" w:eastAsia="仿宋_GB2312" w:cs="Times New Roman" w:hAnsi="Times New Roman"/>
          <w:color w:val="000000"/>
          <w:kern w:val="0"/>
          <w:sz w:val="32"/>
          <w:szCs w:val="32"/>
          <w:shd w:val="clear" w:color="auto" w:fill="FFFFFF"/>
          <w:highlight w:val="auto"/>
        </w:rPr>
        <w:t>个项目</w:t>
      </w:r>
      <w:r>
        <w:rPr>
          <w:rFonts w:ascii="Times New Roman" w:eastAsia="仿宋_GB2312" w:cs="Times New Roman" w:hAnsi="Times New Roman"/>
          <w:color w:val="000000"/>
          <w:kern w:val="0"/>
          <w:sz w:val="32"/>
          <w:szCs w:val="32"/>
          <w:shd w:val="clear" w:color="auto" w:fill="FFFFFF"/>
          <w:lang w:eastAsia="zh-CN"/>
          <w:highlight w:val="auto"/>
        </w:rPr>
        <w:t>与</w:t>
      </w:r>
      <w:r>
        <w:rPr>
          <w:rFonts w:ascii="Times New Roman" w:eastAsia="仿宋_GB2312" w:cs="Times New Roman" w:hAnsi="Times New Roman"/>
          <w:color w:val="000000"/>
          <w:kern w:val="0"/>
          <w:sz w:val="32"/>
          <w:szCs w:val="32"/>
          <w:shd w:val="clear" w:color="auto" w:fill="FFFFFF"/>
          <w:lang w:val="en-US" w:eastAsia="zh-CN"/>
          <w:highlight w:val="auto"/>
        </w:rPr>
        <w:t>38个部门整体</w:t>
      </w:r>
      <w:r>
        <w:rPr>
          <w:rFonts w:ascii="Times New Roman" w:eastAsia="仿宋_GB2312" w:cs="Times New Roman" w:hAnsi="Times New Roman"/>
          <w:color w:val="000000"/>
          <w:kern w:val="0"/>
          <w:sz w:val="32"/>
          <w:szCs w:val="32"/>
          <w:shd w:val="clear" w:color="auto" w:fill="FFFFFF"/>
          <w:highlight w:val="auto"/>
        </w:rPr>
        <w:t>的</w:t>
      </w:r>
      <w:r>
        <w:rPr>
          <w:rFonts w:ascii="Times New Roman" w:eastAsia="仿宋_GB2312" w:cs="Times New Roman" w:hAnsi="Times New Roman"/>
          <w:color w:val="000000"/>
          <w:kern w:val="0"/>
          <w:sz w:val="32"/>
          <w:szCs w:val="32"/>
          <w:shd w:val="clear" w:color="auto" w:fill="FFFFFF"/>
          <w:lang w:eastAsia="zh-CN"/>
          <w:highlight w:val="auto"/>
        </w:rPr>
        <w:t>绩效</w:t>
      </w:r>
      <w:r>
        <w:rPr>
          <w:rFonts w:ascii="Times New Roman" w:eastAsia="仿宋_GB2312" w:cs="Times New Roman" w:hAnsi="Times New Roman"/>
          <w:color w:val="000000"/>
          <w:kern w:val="0"/>
          <w:sz w:val="32"/>
          <w:szCs w:val="32"/>
          <w:shd w:val="clear" w:color="auto" w:fill="FFFFFF"/>
          <w:highlight w:val="auto"/>
        </w:rPr>
        <w:t>评价工作</w:t>
      </w:r>
      <w:r>
        <w:rPr>
          <w:rFonts w:ascii="Times New Roman" w:eastAsia="仿宋_GB2312" w:cs="Times New Roman" w:hAnsi="Times New Roman"/>
          <w:color w:val="000000"/>
          <w:kern w:val="0"/>
          <w:sz w:val="32"/>
          <w:szCs w:val="32"/>
          <w:shd w:val="clear" w:color="auto" w:fill="FFFFFF"/>
          <w:lang w:eastAsia="zh-CN"/>
          <w:highlight w:val="auto"/>
        </w:rPr>
        <w:t>，</w:t>
      </w:r>
      <w:r>
        <w:rPr>
          <w:rFonts w:ascii="Times New Roman" w:eastAsia="仿宋_GB2312" w:cs="Times New Roman" w:hAnsi="Times New Roman"/>
          <w:color w:val="000000"/>
          <w:kern w:val="0"/>
          <w:sz w:val="32"/>
          <w:szCs w:val="32"/>
          <w:shd w:val="clear" w:color="auto" w:fill="FFFFFF"/>
          <w:highlight w:val="auto"/>
        </w:rPr>
        <w:t>并根据指标体系中的样本指标完成了现场评价工作，填列了《绩效评价工作记录》，发放回收了《满意度调查问卷表》，对工作底稿进行了整理归档</w:t>
      </w:r>
      <w:r>
        <w:rPr>
          <w:rFonts w:ascii="Times New Roman" w:eastAsia="仿宋_GB2312" w:cs="Times New Roman" w:hAnsi="Times New Roman"/>
          <w:color w:val="000000"/>
          <w:kern w:val="0"/>
          <w:sz w:val="32"/>
          <w:szCs w:val="32"/>
          <w:shd w:val="clear" w:color="auto" w:fill="FFFFFF"/>
          <w:lang w:eastAsia="zh-CN"/>
          <w:highlight w:val="auto"/>
        </w:rPr>
        <w:t>并形成各项目绩效评价报告初稿</w:t>
      </w:r>
      <w:r>
        <w:rPr>
          <w:rFonts w:ascii="Times New Roman" w:eastAsia="仿宋_GB2312" w:cs="Times New Roman" w:hAnsi="Times New Roman"/>
          <w:color w:val="000000"/>
          <w:kern w:val="0"/>
          <w:sz w:val="32"/>
          <w:szCs w:val="32"/>
          <w:shd w:val="clear" w:color="auto" w:fill="FFFFFF"/>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黑体" w:eastAsia="黑体" w:hint="eastAsia"/>
          <w:sz w:val="32"/>
          <w:szCs w:val="32"/>
          <w:highlight w:val="auto"/>
        </w:rPr>
      </w:pPr>
      <w:r>
        <w:rPr>
          <w:rFonts w:ascii="黑体" w:eastAsia="黑体" w:hint="eastAsia"/>
          <w:sz w:val="32"/>
          <w:szCs w:val="32"/>
          <w:highlight w:val="auto"/>
        </w:rPr>
        <w:t>二、评价结果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楷体_GB2312" w:eastAsia="楷体_GB2312" w:cs="楷体_GB2312" w:hint="eastAsia"/>
          <w:b/>
          <w:bCs w:val="0"/>
          <w:sz w:val="32"/>
          <w:szCs w:val="32"/>
          <w:lang w:eastAsia="zh-CN"/>
          <w:highlight w:val="auto"/>
        </w:rPr>
      </w:pPr>
      <w:r>
        <w:rPr>
          <w:rFonts w:ascii="楷体_GB2312" w:eastAsia="楷体_GB2312" w:cs="楷体_GB2312" w:hint="eastAsia"/>
          <w:b/>
          <w:bCs w:val="0"/>
          <w:sz w:val="32"/>
          <w:szCs w:val="32"/>
          <w:lang w:eastAsia="zh-CN"/>
          <w:highlight w:val="auto"/>
        </w:rPr>
        <w:t>（一）项目支出评价结果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Times New Roman" w:eastAsia="仿宋_GB2312" w:cs="Times New Roman" w:hAnsi="Times New Roman"/>
          <w:b w:val="0"/>
          <w:bCs/>
          <w:sz w:val="32"/>
          <w:szCs w:val="32"/>
          <w:lang w:eastAsia="zh-CN"/>
          <w:highlight w:val="auto"/>
        </w:rPr>
      </w:pPr>
      <w:r>
        <w:rPr>
          <w:rFonts w:ascii="Times New Roman" w:eastAsia="仿宋_GB2312" w:cs="Times New Roman" w:hAnsi="Times New Roman"/>
          <w:b w:val="0"/>
          <w:bCs/>
          <w:sz w:val="32"/>
          <w:szCs w:val="32"/>
          <w:lang w:eastAsia="zh-CN"/>
          <w:highlight w:val="auto"/>
        </w:rPr>
        <w:t>本次绩效评价</w:t>
      </w:r>
      <w:r>
        <w:rPr>
          <w:rFonts w:ascii="Times New Roman" w:eastAsia="仿宋_GB2312" w:cs="Times New Roman" w:hAnsi="Times New Roman"/>
          <w:b w:val="0"/>
          <w:bCs/>
          <w:sz w:val="32"/>
          <w:szCs w:val="32"/>
          <w:lang w:val="en-US" w:eastAsia="zh-CN"/>
          <w:highlight w:val="auto"/>
        </w:rPr>
        <w:t>74个项目，平均得分96.26分，其中：俄热乡依斗村通村路提升6公里与二嘎里乡雅夏村通村路提升2公里得分最高，为100分；金川县国土空间规划编制项目得分最低，为75分。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仿宋_GB2312" w:eastAsia="仿宋_GB2312" w:cs="仿宋_GB2312" w:hint="eastAsia"/>
          <w:b/>
          <w:sz w:val="32"/>
          <w:szCs w:val="32"/>
          <w:highlight w:val="auto"/>
        </w:rPr>
      </w:pPr>
      <w:r>
        <w:rPr>
          <w:rFonts w:ascii="仿宋_GB2312" w:eastAsia="仿宋_GB2312" w:cs="仿宋_GB2312" w:hint="eastAsia"/>
          <w:b/>
          <w:sz w:val="32"/>
          <w:szCs w:val="32"/>
          <w:lang w:val="en-US" w:eastAsia="zh-CN"/>
          <w:highlight w:val="auto"/>
        </w:rPr>
        <w:t>1.</w:t>
      </w:r>
      <w:r>
        <w:rPr>
          <w:rFonts w:ascii="仿宋_GB2312" w:eastAsia="仿宋_GB2312" w:cs="仿宋_GB2312" w:hint="eastAsia"/>
          <w:b/>
          <w:sz w:val="32"/>
          <w:szCs w:val="32"/>
          <w:lang w:eastAsia="zh-CN"/>
          <w:highlight w:val="auto"/>
        </w:rPr>
        <w:t>通用指标得分情况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仿宋_GB2312" w:eastAsia="仿宋_GB2312" w:cs="仿宋_GB2312" w:hint="eastAsia"/>
          <w:b/>
          <w:sz w:val="32"/>
          <w:szCs w:val="32"/>
          <w:highlight w:val="auto"/>
        </w:rPr>
      </w:pPr>
      <w:r>
        <w:rPr>
          <w:rFonts w:ascii="仿宋_GB2312" w:eastAsia="仿宋_GB2312" w:cs="仿宋_GB2312" w:hint="eastAsia"/>
          <w:b/>
          <w:sz w:val="32"/>
          <w:szCs w:val="32"/>
          <w:lang w:val="en-US" w:eastAsia="zh-CN"/>
          <w:highlight w:val="auto"/>
        </w:rPr>
        <w:t>（1）</w:t>
      </w:r>
      <w:r>
        <w:rPr>
          <w:rFonts w:ascii="仿宋_GB2312" w:eastAsia="仿宋_GB2312" w:cs="仿宋_GB2312" w:hint="eastAsia"/>
          <w:b/>
          <w:sz w:val="32"/>
          <w:szCs w:val="32"/>
          <w:highlight w:val="auto"/>
        </w:rPr>
        <w:t>项目决策</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Times New Roman" w:eastAsia="仿宋_GB2312" w:cs="Times New Roman" w:hAnsi="Times New Roman"/>
          <w:sz w:val="32"/>
          <w:szCs w:val="32"/>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12</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，实得</w:t>
      </w:r>
      <w:r>
        <w:rPr>
          <w:rFonts w:ascii="Times New Roman" w:eastAsia="仿宋_GB2312" w:cs="Times New Roman" w:hAnsi="Times New Roman"/>
          <w:color w:val="000000"/>
          <w:kern w:val="0"/>
          <w:sz w:val="32"/>
          <w:szCs w:val="32"/>
          <w:shd w:val="clear" w:color="auto" w:fill="FFFFFF"/>
          <w:lang w:val="en-US" w:eastAsia="zh-CN"/>
          <w:highlight w:val="auto"/>
        </w:rPr>
        <w:t>11.29分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为：未经过事前评估或可行性论证；未制定专项资金管理办法和项目管理办法；未执行政府采购；</w:t>
      </w:r>
      <w:r>
        <w:rPr>
          <w:rFonts w:ascii="Times New Roman" w:eastAsia="仿宋_GB2312" w:cs="Times New Roman" w:hAnsi="Times New Roman"/>
          <w:sz w:val="32"/>
          <w:szCs w:val="32"/>
          <w:lang w:val="en-US" w:eastAsia="zh-CN"/>
          <w:highlight w:val="auto"/>
        </w:rPr>
        <w:t>项目绩效目标不够细化；项目未制定可行性研究报告或具体的实施方案等。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仿宋_GB2312" w:eastAsia="仿宋_GB2312" w:cs="仿宋_GB2312" w:hint="eastAsia"/>
          <w:b/>
          <w:sz w:val="32"/>
          <w:szCs w:val="32"/>
          <w:lang w:val="en-US" w:eastAsia="zh-CN"/>
          <w:highlight w:val="auto"/>
        </w:rPr>
      </w:pPr>
      <w:r>
        <w:rPr>
          <w:rFonts w:ascii="仿宋_GB2312" w:eastAsia="仿宋_GB2312" w:cs="仿宋_GB2312" w:hint="eastAsia"/>
          <w:b/>
          <w:sz w:val="32"/>
          <w:szCs w:val="32"/>
          <w:lang w:val="en-US" w:eastAsia="zh-CN"/>
          <w:highlight w:val="auto"/>
        </w:rPr>
        <w:t>（2）项目实施</w:t>
      </w:r>
    </w:p>
    <w:p>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eastAsia="仿宋_GB2312"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11</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，实得</w:t>
      </w:r>
      <w:r>
        <w:rPr>
          <w:rFonts w:ascii="Times New Roman" w:eastAsia="仿宋_GB2312" w:cs="Times New Roman" w:hAnsi="Times New Roman"/>
          <w:color w:val="000000"/>
          <w:kern w:val="0"/>
          <w:sz w:val="32"/>
          <w:szCs w:val="32"/>
          <w:shd w:val="clear" w:color="auto" w:fill="FFFFFF"/>
          <w:lang w:val="en-US" w:eastAsia="zh-CN"/>
          <w:highlight w:val="auto"/>
        </w:rPr>
        <w:t>10.36分</w:t>
      </w:r>
      <w:r>
        <w:rPr>
          <w:rFonts w:ascii="Times New Roman" w:eastAsia="仿宋_GB2312" w:cs="Times New Roman" w:hAnsi="Times New Roman"/>
          <w:sz w:val="32"/>
          <w:szCs w:val="32"/>
          <w:lang w:eastAsia="zh-CN"/>
          <w:highlight w:val="auto"/>
        </w:rPr>
        <w:t>。扣分原因主要为：项目资金拨付审核不严；项目资金使用监管不严；未按照规范制度执行项目；资金支付管理不规范；合同管理不规范；项目进度缓慢；设计合同签订不规范；存在项目建设时间滞后；项目验收时间滞后；项目资料管理不完善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仿宋_GB2312" w:eastAsia="仿宋_GB2312" w:cs="仿宋_GB2312" w:hint="eastAsia"/>
          <w:b/>
          <w:sz w:val="32"/>
          <w:szCs w:val="32"/>
          <w:lang w:val="en-US" w:eastAsia="zh-CN"/>
          <w:highlight w:val="auto"/>
        </w:rPr>
      </w:pPr>
      <w:r>
        <w:rPr>
          <w:rFonts w:ascii="仿宋_GB2312" w:eastAsia="仿宋_GB2312" w:cs="仿宋_GB2312" w:hint="eastAsia"/>
          <w:b/>
          <w:sz w:val="32"/>
          <w:szCs w:val="32"/>
          <w:lang w:val="en-US" w:eastAsia="zh-CN"/>
          <w:highlight w:val="auto"/>
        </w:rPr>
        <w:t>（3）完成结果</w:t>
      </w:r>
    </w:p>
    <w:p>
      <w:pPr>
        <w:keepNext w:val="0"/>
        <w:keepLines w:val="0"/>
        <w:pageBreakBefore w:val="0"/>
        <w:widowControl w:val="0"/>
        <w:kinsoku/>
        <w:wordWrap/>
        <w:overflowPunct/>
        <w:topLinePunct w:val="0"/>
        <w:autoSpaceDE/>
        <w:autoSpaceDN/>
        <w:bidi w:val="0"/>
        <w:adjustRightInd/>
        <w:snapToGrid/>
        <w:spacing w:line="560" w:lineRule="exact"/>
        <w:ind w:firstLine="660"/>
        <w:rPr>
          <w:rFonts w:ascii="Times New Roman" w:eastAsia="仿宋_GB2312"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17</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，实得</w:t>
      </w:r>
      <w:r>
        <w:rPr>
          <w:rFonts w:ascii="Times New Roman" w:eastAsia="仿宋_GB2312" w:cs="Times New Roman" w:hAnsi="Times New Roman"/>
          <w:color w:val="000000"/>
          <w:kern w:val="0"/>
          <w:sz w:val="32"/>
          <w:szCs w:val="32"/>
          <w:shd w:val="clear" w:color="auto" w:fill="FFFFFF"/>
          <w:lang w:val="en-US" w:eastAsia="zh-CN"/>
          <w:highlight w:val="auto"/>
        </w:rPr>
        <w:t>15.17分</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lang w:eastAsia="zh-CN"/>
          <w:highlight w:val="auto"/>
        </w:rPr>
        <w:t>扣分原因主要为：未按要求完成项目预算；项目推进缓慢；项目完成数量与计划数量不一致、完成质量不达标等。</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2.</w:t>
      </w:r>
      <w:r>
        <w:rPr>
          <w:rFonts w:ascii="Times New Roman" w:eastAsia="仿宋_GB2312" w:cs="Times New Roman" w:hAnsi="Times New Roman"/>
          <w:b/>
          <w:bCs/>
          <w:sz w:val="32"/>
          <w:szCs w:val="32"/>
          <w:lang w:eastAsia="zh-CN"/>
          <w:highlight w:val="auto"/>
        </w:rPr>
        <w:t>共性指标得分情况（项目效果）</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firstLineChars="0" w:firstLine="0"/>
        <w:rPr>
          <w:rFonts w:ascii="Times New Roman" w:cs="Times New Roman" w:hAnsi="Times New Roman"/>
          <w:lang w:eastAsia="zh-CN"/>
          <w:highlight w:val="auto"/>
        </w:rPr>
      </w:pPr>
      <w:r>
        <w:rPr>
          <w:rFonts w:ascii="Times New Roman" w:eastAsia="仿宋_GB2312" w:cs="Times New Roman" w:hAnsi="Times New Roman"/>
          <w:color w:val="000000"/>
          <w:kern w:val="0"/>
          <w:sz w:val="32"/>
          <w:szCs w:val="32"/>
          <w:shd w:val="clear" w:color="auto" w:fill="FFFFFF"/>
          <w:lang w:val="en-US" w:eastAsia="zh-CN"/>
          <w:highlight w:val="auto"/>
        </w:rPr>
        <w:t xml:space="preserve">    </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20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，实得</w:t>
      </w:r>
      <w:r>
        <w:rPr>
          <w:rFonts w:ascii="Times New Roman" w:eastAsia="仿宋_GB2312" w:cs="Times New Roman" w:hAnsi="Times New Roman"/>
          <w:color w:val="000000"/>
          <w:kern w:val="0"/>
          <w:sz w:val="32"/>
          <w:szCs w:val="32"/>
          <w:shd w:val="clear" w:color="auto" w:fill="FFFFFF"/>
          <w:lang w:val="en-US" w:eastAsia="zh-CN"/>
          <w:highlight w:val="auto"/>
        </w:rPr>
        <w:t>19.49分。</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（1）产业发展类项目。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项目共6个，</w:t>
      </w:r>
      <w:r>
        <w:rPr>
          <w:rFonts w:ascii="Times New Roman" w:eastAsia="仿宋_GB2312" w:cs="Times New Roman" w:hAnsi="Times New Roman"/>
          <w:color w:val="000000"/>
          <w:kern w:val="0"/>
          <w:sz w:val="32"/>
          <w:szCs w:val="32"/>
          <w:shd w:val="clear" w:color="auto" w:fill="FFFFFF"/>
          <w:lang w:eastAsia="zh-CN"/>
          <w:highlight w:val="auto"/>
        </w:rPr>
        <w:t>无扣分</w:t>
      </w:r>
      <w:r>
        <w:rPr>
          <w:rFonts w:ascii="Times New Roman" w:eastAsia="仿宋_GB2312" w:cs="Times New Roman" w:hAnsi="Times New Roman"/>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（2）</w:t>
      </w: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项目共39个，2个项目共扣4.5分</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sz w:val="32"/>
          <w:szCs w:val="32"/>
          <w:lang w:eastAsia="zh-CN"/>
          <w:highlight w:val="auto"/>
        </w:rPr>
        <w:t>扣分原因主要为：群众满意度不高。</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w:t>
      </w:r>
      <w:r>
        <w:rPr>
          <w:rFonts w:ascii="Times New Roman" w:eastAsia="仿宋_GB2312" w:cs="Times New Roman" w:hAnsi="Times New Roman"/>
          <w:b/>
          <w:bCs/>
          <w:sz w:val="32"/>
          <w:szCs w:val="32"/>
          <w:lang w:eastAsia="zh-CN"/>
          <w:highlight w:val="auto"/>
        </w:rPr>
        <w:t>（</w:t>
      </w:r>
      <w:r>
        <w:rPr>
          <w:rFonts w:ascii="Times New Roman" w:eastAsia="仿宋_GB2312" w:cs="Times New Roman" w:hAnsi="Times New Roman"/>
          <w:b/>
          <w:bCs/>
          <w:sz w:val="32"/>
          <w:szCs w:val="32"/>
          <w:lang w:val="en-US" w:eastAsia="zh-CN"/>
          <w:highlight w:val="auto"/>
        </w:rPr>
        <w:t>3）</w:t>
      </w: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项目共64个，12个项目共扣30分。</w:t>
      </w:r>
      <w:r>
        <w:rPr>
          <w:rFonts w:ascii="Times New Roman" w:eastAsia="仿宋_GB2312" w:cs="Times New Roman" w:hAnsi="Times New Roman"/>
          <w:sz w:val="32"/>
          <w:szCs w:val="32"/>
          <w:lang w:eastAsia="zh-CN"/>
          <w:highlight w:val="auto"/>
        </w:rPr>
        <w:t>扣分原因主要为：项目尚未完工，未全面衔接并发挥整体效益等。</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楷体_GB2312" w:cs="Times New Roman" w:hAnsi="Times New Roman"/>
          <w:b/>
          <w:bCs/>
          <w:sz w:val="32"/>
          <w:szCs w:val="32"/>
          <w:lang w:eastAsia="zh-CN"/>
          <w:highlight w:val="auto"/>
        </w:rPr>
      </w:pPr>
      <w:r>
        <w:rPr>
          <w:rFonts w:ascii="Times New Roman" w:eastAsia="楷体_GB2312" w:cs="Times New Roman" w:hAnsi="Times New Roman"/>
          <w:b/>
          <w:bCs/>
          <w:color w:val="000000"/>
          <w:kern w:val="0"/>
          <w:sz w:val="32"/>
          <w:szCs w:val="32"/>
          <w:lang w:val="en-US" w:eastAsia="zh-CN"/>
          <w:highlight w:val="auto"/>
        </w:rPr>
        <w:t xml:space="preserve"> </w:t>
      </w:r>
      <w:r>
        <w:rPr>
          <w:rFonts w:ascii="Times New Roman" w:eastAsia="仿宋_GB2312" w:cs="Times New Roman" w:hAnsi="Times New Roman"/>
          <w:b/>
          <w:bCs/>
          <w:color w:val="000000"/>
          <w:kern w:val="0"/>
          <w:sz w:val="32"/>
          <w:szCs w:val="32"/>
          <w:lang w:val="en-US" w:eastAsia="zh-CN"/>
          <w:highlight w:val="auto"/>
        </w:rPr>
        <w:t xml:space="preserve">   3.</w:t>
      </w:r>
      <w:r>
        <w:rPr>
          <w:rFonts w:ascii="Times New Roman" w:eastAsia="仿宋_GB2312" w:cs="Times New Roman" w:hAnsi="Times New Roman"/>
          <w:b/>
          <w:bCs/>
          <w:color w:val="000000"/>
          <w:kern w:val="0"/>
          <w:sz w:val="32"/>
          <w:szCs w:val="32"/>
          <w:lang w:eastAsia="zh-CN"/>
          <w:highlight w:val="auto"/>
        </w:rPr>
        <w:t>特性指标</w:t>
      </w:r>
      <w:r>
        <w:rPr>
          <w:rFonts w:ascii="Times New Roman" w:eastAsia="仿宋_GB2312" w:cs="Times New Roman" w:hAnsi="Times New Roman"/>
          <w:b/>
          <w:bCs/>
          <w:sz w:val="32"/>
          <w:szCs w:val="32"/>
          <w:lang w:eastAsia="zh-CN"/>
          <w:highlight w:val="auto"/>
        </w:rPr>
        <w:t>得分情况</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bCs/>
          <w:sz w:val="32"/>
          <w:szCs w:val="32"/>
          <w:lang w:val="en-US" w:eastAsia="zh-CN"/>
          <w:highlight w:val="auto"/>
        </w:rPr>
      </w:pPr>
      <w:r>
        <w:rPr>
          <w:rFonts w:ascii="Times New Roman" w:eastAsia="仿宋_GB2312" w:cs="Times New Roman" w:hAnsi="Times New Roman"/>
          <w:b/>
          <w:bCs/>
          <w:sz w:val="32"/>
          <w:szCs w:val="32"/>
          <w:lang w:val="en-US" w:eastAsia="zh-CN"/>
          <w:highlight w:val="auto"/>
        </w:rPr>
        <w:t>（1）产业发展类项目</w:t>
      </w:r>
    </w:p>
    <w:p>
      <w:pPr>
        <w:keepNext w:val="0"/>
        <w:keepLines w:val="0"/>
        <w:pageBreakBefore w:val="0"/>
        <w:widowControl w:val="0"/>
        <w:kinsoku/>
        <w:wordWrap/>
        <w:overflowPunct/>
        <w:topLinePunct w:val="0"/>
        <w:autoSpaceDE/>
        <w:autoSpaceDN/>
        <w:bidi w:val="0"/>
        <w:adjustRightInd/>
        <w:snapToGrid/>
        <w:spacing w:line="560" w:lineRule="exact"/>
        <w:rPr>
          <w:rFonts w:ascii="仿宋_GB2312" w:eastAsia="仿宋_GB2312" w:cs="仿宋_GB2312" w:hint="eastAsia"/>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社会效益：</w:t>
      </w: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40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，实得</w:t>
      </w:r>
      <w:r>
        <w:rPr>
          <w:rFonts w:ascii="Times New Roman" w:eastAsia="仿宋_GB2312" w:cs="Times New Roman" w:hAnsi="Times New Roman"/>
          <w:color w:val="000000"/>
          <w:kern w:val="0"/>
          <w:sz w:val="32"/>
          <w:szCs w:val="32"/>
          <w:shd w:val="clear" w:color="auto" w:fill="FFFFFF"/>
          <w:lang w:val="en-US" w:eastAsia="zh-CN"/>
          <w:highlight w:val="auto"/>
        </w:rPr>
        <w:t>39.17分，</w:t>
      </w:r>
      <w:r>
        <w:rPr>
          <w:rFonts w:ascii="Times New Roman" w:eastAsia="仿宋_GB2312" w:cs="Times New Roman" w:hAnsi="Times New Roman"/>
          <w:b w:val="0"/>
          <w:bCs w:val="0"/>
          <w:sz w:val="32"/>
          <w:szCs w:val="32"/>
          <w:lang w:val="en-US" w:eastAsia="zh-CN"/>
          <w:highlight w:val="auto"/>
        </w:rPr>
        <w:t>扣分原因主要为：</w:t>
      </w:r>
      <w:r>
        <w:rPr>
          <w:rFonts w:ascii="仿宋_GB2312" w:eastAsia="仿宋_GB2312" w:cs="仿宋_GB2312" w:hint="eastAsia"/>
          <w:sz w:val="32"/>
          <w:szCs w:val="32"/>
          <w:highlight w:val="auto"/>
        </w:rPr>
        <w:t>未统计未统计受益贫困村数量</w:t>
      </w:r>
      <w:r>
        <w:rPr>
          <w:rFonts w:ascii="仿宋_GB2312" w:eastAsia="仿宋_GB2312" w:cs="仿宋_GB2312" w:hint="eastAsia"/>
          <w:sz w:val="32"/>
          <w:szCs w:val="32"/>
          <w:lang w:eastAsia="zh-CN"/>
          <w:highlight w:val="auto"/>
        </w:rPr>
        <w:t>；未统计</w:t>
      </w:r>
      <w:r>
        <w:rPr>
          <w:rFonts w:ascii="仿宋_GB2312" w:eastAsia="仿宋_GB2312" w:cs="仿宋_GB2312" w:hint="eastAsia"/>
          <w:sz w:val="32"/>
          <w:szCs w:val="32"/>
          <w:highlight w:val="auto"/>
        </w:rPr>
        <w:t>受益</w:t>
      </w:r>
      <w:r>
        <w:rPr>
          <w:rFonts w:ascii="仿宋_GB2312" w:eastAsia="仿宋_GB2312" w:cs="仿宋_GB2312" w:hint="eastAsia"/>
          <w:sz w:val="32"/>
          <w:szCs w:val="32"/>
          <w:lang w:eastAsia="zh-CN"/>
          <w:highlight w:val="auto"/>
        </w:rPr>
        <w:t>贫困户数量；</w:t>
      </w:r>
      <w:r>
        <w:rPr>
          <w:rFonts w:ascii="仿宋_GB2312" w:eastAsia="仿宋_GB2312" w:cs="仿宋_GB2312" w:hint="eastAsia"/>
          <w:sz w:val="32"/>
          <w:szCs w:val="32"/>
          <w:highlight w:val="auto"/>
        </w:rPr>
        <w:t>未统计受益建档立卡贫困人口数量</w:t>
      </w:r>
      <w:r>
        <w:rPr>
          <w:rFonts w:ascii="仿宋_GB2312" w:eastAsia="仿宋_GB2312" w:cs="仿宋_GB2312" w:hint="eastAsia"/>
          <w:b w:val="0"/>
          <w:bCs w:val="0"/>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bCs/>
          <w:sz w:val="32"/>
          <w:szCs w:val="32"/>
          <w:lang w:eastAsia="zh-CN"/>
          <w:highlight w:val="auto"/>
        </w:rPr>
      </w:pPr>
      <w:r>
        <w:rPr>
          <w:rFonts w:ascii="Times New Roman" w:eastAsia="仿宋_GB2312" w:cs="Times New Roman" w:hAnsi="Times New Roman"/>
          <w:b/>
          <w:bCs/>
          <w:sz w:val="32"/>
          <w:szCs w:val="32"/>
          <w:lang w:val="en-US" w:eastAsia="zh-CN"/>
          <w:highlight w:val="auto"/>
        </w:rPr>
        <w:t>（2）</w:t>
      </w: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eastAsia="zh-CN"/>
          <w:highlight w:val="auto"/>
        </w:rPr>
        <w:t>基础管理：</w:t>
      </w:r>
      <w:r>
        <w:rPr>
          <w:rFonts w:ascii="Times New Roman" w:eastAsia="仿宋_GB2312" w:cs="Times New Roman" w:hAnsi="Times New Roman"/>
          <w:b w:val="0"/>
          <w:bCs w:val="0"/>
          <w:sz w:val="32"/>
          <w:szCs w:val="32"/>
          <w:lang w:val="en-US" w:eastAsia="zh-CN"/>
          <w:highlight w:val="auto"/>
        </w:rPr>
        <w:t>3个项目扣5.32分，扣分原因主要为：补助对象档案不完善、补助资金出现漏发、滞后发放的情况、项目资料的归档较零乱，不便于查找相关资料以及覆盖对象不全面。</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社会效益：</w:t>
      </w:r>
      <w:r>
        <w:rPr>
          <w:rFonts w:ascii="Times New Roman" w:eastAsia="仿宋_GB2312" w:cs="Times New Roman" w:hAnsi="Times New Roman"/>
          <w:b w:val="0"/>
          <w:bCs w:val="0"/>
          <w:sz w:val="32"/>
          <w:szCs w:val="32"/>
          <w:lang w:val="en-US" w:eastAsia="zh-CN"/>
          <w:highlight w:val="auto"/>
        </w:rPr>
        <w:t>2个项目扣8分，扣分原因主要为：发放资金准确性不高，发生错发、漏发的情况、完成数量未达目标、资金使用率低等。</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（3）</w:t>
      </w: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完成质量：</w:t>
      </w:r>
      <w:r>
        <w:rPr>
          <w:rFonts w:ascii="Times New Roman" w:eastAsia="仿宋_GB2312" w:cs="Times New Roman" w:hAnsi="Times New Roman"/>
          <w:b w:val="0"/>
          <w:bCs w:val="0"/>
          <w:sz w:val="32"/>
          <w:szCs w:val="32"/>
          <w:lang w:val="en-US" w:eastAsia="zh-CN"/>
          <w:highlight w:val="auto"/>
        </w:rPr>
        <w:t>1个项目扣2分，扣分原因主要为：项目尚未完工。</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社会效益：</w:t>
      </w:r>
      <w:r>
        <w:rPr>
          <w:rFonts w:ascii="Times New Roman" w:eastAsia="仿宋_GB2312" w:cs="Times New Roman" w:hAnsi="Times New Roman"/>
          <w:b w:val="0"/>
          <w:bCs w:val="0"/>
          <w:sz w:val="32"/>
          <w:szCs w:val="32"/>
          <w:lang w:val="en-US" w:eastAsia="zh-CN"/>
          <w:highlight w:val="auto"/>
        </w:rPr>
        <w:t>2个项目扣4分，扣分原因主要为：未对防洪治理工程做评估，不能判定使用年限是否大于10年；经济效益量化指标不足，整体经济效益评估不够全面以及具体。</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（二）整体支出评价结果</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val="0"/>
          <w:bCs/>
          <w:sz w:val="32"/>
          <w:szCs w:val="32"/>
          <w:lang w:eastAsia="zh-CN"/>
          <w:highlight w:val="auto"/>
        </w:rPr>
      </w:pPr>
      <w:r>
        <w:rPr>
          <w:rFonts w:ascii="Times New Roman" w:eastAsia="仿宋_GB2312" w:cs="Times New Roman" w:hAnsi="Times New Roman"/>
          <w:b w:val="0"/>
          <w:bCs/>
          <w:sz w:val="32"/>
          <w:szCs w:val="32"/>
          <w:lang w:val="en-US" w:eastAsia="zh-CN"/>
          <w:highlight w:val="auto"/>
        </w:rPr>
        <w:t xml:space="preserve">    </w:t>
      </w:r>
      <w:r>
        <w:rPr>
          <w:rFonts w:ascii="Times New Roman" w:eastAsia="仿宋_GB2312" w:cs="Times New Roman" w:hAnsi="Times New Roman"/>
          <w:b w:val="0"/>
          <w:bCs/>
          <w:sz w:val="32"/>
          <w:szCs w:val="32"/>
          <w:lang w:eastAsia="zh-CN"/>
          <w:highlight w:val="auto"/>
        </w:rPr>
        <w:t>本次绩效评价</w:t>
      </w:r>
      <w:r>
        <w:rPr>
          <w:rFonts w:ascii="Times New Roman" w:eastAsia="仿宋_GB2312" w:cs="Times New Roman" w:hAnsi="Times New Roman"/>
          <w:b w:val="0"/>
          <w:bCs/>
          <w:sz w:val="32"/>
          <w:szCs w:val="32"/>
          <w:lang w:val="en-US" w:eastAsia="zh-CN"/>
          <w:highlight w:val="auto"/>
        </w:rPr>
        <w:t>38个单位，平均得分82.22分，其中：政府办得分最高，为95.12分；发改经信局得分最低，为68.16分。</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 xml:space="preserve">    1.部门预算管理得分情况</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（1）无专项预算的部门。</w:t>
      </w:r>
      <w:r>
        <w:rPr>
          <w:rFonts w:ascii="Times New Roman" w:eastAsia="仿宋_GB2312" w:cs="Times New Roman" w:hAnsi="Times New Roman"/>
          <w:b w:val="0"/>
          <w:bCs w:val="0"/>
          <w:sz w:val="32"/>
          <w:szCs w:val="32"/>
          <w:lang w:val="en-US" w:eastAsia="zh-CN"/>
          <w:highlight w:val="auto"/>
        </w:rPr>
        <w:t>该类单位共24个，该指标权重为80分，实得62.28分，</w:t>
      </w:r>
      <w:r>
        <w:rPr>
          <w:rFonts w:ascii="Times New Roman" w:eastAsia="仿宋_GB2312" w:cs="Times New Roman" w:hAnsi="Times New Roman"/>
          <w:sz w:val="32"/>
          <w:szCs w:val="32"/>
          <w:lang w:eastAsia="zh-CN"/>
          <w:highlight w:val="auto"/>
        </w:rPr>
        <w:t>扣分原因主要为：预算编制不准确，执行进度缓慢。</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firstLineChars="0" w:firstLine="642"/>
        <w:jc w:val="lef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（2）专项预算小于1亿的部门。</w:t>
      </w:r>
      <w:r>
        <w:rPr>
          <w:rFonts w:ascii="Times New Roman" w:eastAsia="仿宋_GB2312" w:cs="Times New Roman" w:hAnsi="Times New Roman"/>
          <w:b w:val="0"/>
          <w:bCs w:val="0"/>
          <w:sz w:val="32"/>
          <w:szCs w:val="32"/>
          <w:lang w:val="en-US" w:eastAsia="zh-CN"/>
          <w:highlight w:val="auto"/>
        </w:rPr>
        <w:t>该类单位共12个，该指标权重为60分，实得49.71分，</w:t>
      </w:r>
      <w:r>
        <w:rPr>
          <w:rFonts w:ascii="Times New Roman" w:eastAsia="仿宋_GB2312" w:cs="Times New Roman" w:hAnsi="Times New Roman"/>
          <w:sz w:val="32"/>
          <w:szCs w:val="32"/>
          <w:lang w:eastAsia="zh-CN"/>
          <w:highlight w:val="auto"/>
        </w:rPr>
        <w:t>扣分原因主要为：预算编制不准确，执行进度缓慢。</w:t>
      </w:r>
    </w:p>
    <w:p>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（3）专项预算大于1亿的部门。</w:t>
      </w:r>
      <w:r>
        <w:rPr>
          <w:rFonts w:ascii="Times New Roman" w:eastAsia="仿宋_GB2312" w:cs="Times New Roman" w:hAnsi="Times New Roman"/>
          <w:b w:val="0"/>
          <w:bCs w:val="0"/>
          <w:sz w:val="32"/>
          <w:szCs w:val="32"/>
          <w:lang w:val="en-US" w:eastAsia="zh-CN"/>
          <w:highlight w:val="auto"/>
        </w:rPr>
        <w:t>该类单位共2个，该指标权重为30分，实得21.35分，</w:t>
      </w:r>
      <w:r>
        <w:rPr>
          <w:rFonts w:ascii="Times New Roman" w:eastAsia="仿宋_GB2312" w:cs="Times New Roman" w:hAnsi="Times New Roman"/>
          <w:sz w:val="32"/>
          <w:szCs w:val="32"/>
          <w:lang w:eastAsia="zh-CN"/>
          <w:highlight w:val="auto"/>
        </w:rPr>
        <w:t>扣分原因主要为：预算编制不准确，执行进度缓慢。</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 xml:space="preserve">    2.专项预算管理得分情况</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firstLineChars="0" w:firstLine="642"/>
        <w:jc w:val="lef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（1）专项预算小于1亿的部门。</w:t>
      </w:r>
      <w:r>
        <w:rPr>
          <w:rFonts w:ascii="Times New Roman" w:eastAsia="仿宋_GB2312" w:cs="Times New Roman" w:hAnsi="Times New Roman"/>
          <w:b w:val="0"/>
          <w:bCs w:val="0"/>
          <w:sz w:val="32"/>
          <w:szCs w:val="32"/>
          <w:lang w:val="en-US" w:eastAsia="zh-CN"/>
          <w:highlight w:val="auto"/>
        </w:rPr>
        <w:t>该指标权重为20分，实得17.42分，</w:t>
      </w:r>
      <w:r>
        <w:rPr>
          <w:rFonts w:ascii="Times New Roman" w:eastAsia="仿宋_GB2312" w:cs="Times New Roman" w:hAnsi="Times New Roman"/>
          <w:sz w:val="32"/>
          <w:szCs w:val="32"/>
          <w:lang w:eastAsia="zh-CN"/>
          <w:highlight w:val="auto"/>
        </w:rPr>
        <w:t>扣分原因主要为：项目实际完成任务量和效果未达到规划预期。</w:t>
      </w:r>
    </w:p>
    <w:p>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（2）专项预算大于1亿的部门。</w:t>
      </w:r>
      <w:r>
        <w:rPr>
          <w:rFonts w:ascii="Times New Roman" w:eastAsia="仿宋_GB2312" w:cs="Times New Roman" w:hAnsi="Times New Roman"/>
          <w:b w:val="0"/>
          <w:bCs w:val="0"/>
          <w:sz w:val="32"/>
          <w:szCs w:val="32"/>
          <w:lang w:val="en-US" w:eastAsia="zh-CN"/>
          <w:highlight w:val="auto"/>
        </w:rPr>
        <w:t>该指标权重为50分，实得45.61分，</w:t>
      </w:r>
      <w:r>
        <w:rPr>
          <w:rFonts w:ascii="Times New Roman" w:eastAsia="仿宋_GB2312" w:cs="Times New Roman" w:hAnsi="Times New Roman"/>
          <w:sz w:val="32"/>
          <w:szCs w:val="32"/>
          <w:lang w:eastAsia="zh-CN"/>
          <w:highlight w:val="auto"/>
        </w:rPr>
        <w:t>扣分原因主要为：项目实际完成任务量和效果未达到规划预期。</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 xml:space="preserve">    3.绩效结果运用得分情况</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val="0"/>
          <w:bCs w:val="0"/>
          <w:sz w:val="32"/>
          <w:szCs w:val="32"/>
          <w:lang w:val="en-US" w:eastAsia="zh-CN"/>
          <w:highlight w:val="auto"/>
        </w:rPr>
        <w:t>该指标权重为10分，实得9.97分，</w:t>
      </w:r>
      <w:r>
        <w:rPr>
          <w:rFonts w:ascii="Times New Roman" w:eastAsia="仿宋_GB2312" w:cs="Times New Roman" w:hAnsi="Times New Roman"/>
          <w:sz w:val="32"/>
          <w:szCs w:val="32"/>
          <w:lang w:eastAsia="zh-CN"/>
          <w:highlight w:val="auto"/>
        </w:rPr>
        <w:t>扣分原因主要为：公开不及时。</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 xml:space="preserve">    4.自评质量得分情况</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cs="Times New Roman" w:hAnsi="Times New Roman"/>
          <w:lang w:eastAsia="zh-CN"/>
          <w:highlight w:val="auto"/>
        </w:rPr>
      </w:pPr>
      <w:r>
        <w:rPr>
          <w:rFonts w:ascii="Times New Roman" w:eastAsia="仿宋_GB2312" w:cs="Times New Roman" w:hAnsi="Times New Roman"/>
          <w:b/>
          <w:bCs/>
          <w:sz w:val="32"/>
          <w:szCs w:val="32"/>
          <w:lang w:val="en-US" w:eastAsia="zh-CN"/>
          <w:highlight w:val="auto"/>
        </w:rPr>
        <w:t xml:space="preserve">    </w:t>
      </w:r>
      <w:r>
        <w:rPr>
          <w:rFonts w:ascii="Times New Roman" w:eastAsia="仿宋_GB2312" w:cs="Times New Roman" w:hAnsi="Times New Roman"/>
          <w:b w:val="0"/>
          <w:bCs w:val="0"/>
          <w:sz w:val="32"/>
          <w:szCs w:val="32"/>
          <w:lang w:val="en-US" w:eastAsia="zh-CN"/>
          <w:highlight w:val="auto"/>
        </w:rPr>
        <w:t>该指标权重为10分，实得8分，扣分原因主要为：自评打分不准确。</w:t>
      </w:r>
    </w:p>
    <w:p>
      <w:pPr>
        <w:keepNext w:val="0"/>
        <w:keepLines w:val="0"/>
        <w:pageBreakBefore w:val="0"/>
        <w:widowControl w:val="0"/>
        <w:kinsoku/>
        <w:wordWrap/>
        <w:overflowPunct/>
        <w:topLinePunct w:val="0"/>
        <w:autoSpaceDE/>
        <w:autoSpaceDN/>
        <w:bidi w:val="0"/>
        <w:adjustRightInd/>
        <w:snapToGrid/>
        <w:spacing w:line="560" w:lineRule="exact"/>
        <w:ind w:left="0" w:firstLine="640"/>
        <w:rPr>
          <w:rFonts w:ascii="Times New Roman" w:eastAsia="黑体" w:cs="Times New Roman" w:hAnsi="Times New Roman"/>
          <w:color w:val="000000"/>
          <w:kern w:val="0"/>
          <w:sz w:val="32"/>
          <w:szCs w:val="32"/>
          <w:highlight w:val="auto"/>
        </w:rPr>
      </w:pPr>
      <w:r>
        <w:rPr>
          <w:rFonts w:ascii="Times New Roman" w:eastAsia="黑体" w:cs="Times New Roman" w:hAnsi="Times New Roman"/>
          <w:color w:val="000000"/>
          <w:kern w:val="0"/>
          <w:sz w:val="32"/>
          <w:szCs w:val="32"/>
          <w:highlight w:val="auto"/>
        </w:rPr>
        <w:t>三、主要问题</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Times New Roman" w:eastAsia="楷体_GB2312" w:cs="Times New Roman" w:hAnsi="Times New Roman"/>
          <w:b/>
          <w:bCs w:val="0"/>
          <w:sz w:val="32"/>
          <w:szCs w:val="32"/>
          <w:lang w:val="en-US" w:eastAsia="zh-CN"/>
          <w:highlight w:val="auto"/>
        </w:rPr>
      </w:pPr>
      <w:r>
        <w:rPr>
          <w:rFonts w:ascii="Times New Roman" w:eastAsia="楷体_GB2312" w:cs="Times New Roman" w:hAnsi="Times New Roman"/>
          <w:b/>
          <w:bCs w:val="0"/>
          <w:sz w:val="32"/>
          <w:szCs w:val="32"/>
          <w:highlight w:val="auto"/>
        </w:rPr>
        <w:t>（一）</w:t>
      </w:r>
      <w:r>
        <w:rPr>
          <w:rFonts w:ascii="Times New Roman" w:eastAsia="楷体_GB2312" w:cs="Times New Roman" w:hAnsi="Times New Roman"/>
          <w:b/>
          <w:bCs w:val="0"/>
          <w:sz w:val="32"/>
          <w:szCs w:val="32"/>
          <w:lang w:eastAsia="zh-CN"/>
          <w:highlight w:val="auto"/>
        </w:rPr>
        <w:t>共性</w:t>
      </w:r>
      <w:r>
        <w:rPr>
          <w:rFonts w:ascii="Times New Roman" w:eastAsia="楷体_GB2312" w:cs="Times New Roman" w:hAnsi="Times New Roman"/>
          <w:b/>
          <w:bCs w:val="0"/>
          <w:sz w:val="32"/>
          <w:szCs w:val="32"/>
          <w:highlight w:val="auto"/>
        </w:rPr>
        <w:t>问题</w:t>
      </w:r>
      <w:r>
        <w:rPr>
          <w:rFonts w:ascii="Times New Roman" w:eastAsia="楷体_GB2312" w:cs="Times New Roman" w:hAnsi="Times New Roman"/>
          <w:b/>
          <w:bCs w:val="0"/>
          <w:sz w:val="32"/>
          <w:szCs w:val="32"/>
          <w:lang w:eastAsia="zh-CN"/>
          <w:highlight w:val="auto"/>
        </w:rPr>
        <w:t>。</w:t>
      </w:r>
      <w:r>
        <w:rPr>
          <w:rFonts w:ascii="Times New Roman" w:eastAsia="楷体_GB2312" w:cs="Times New Roman" w:hAnsi="Times New Roman"/>
          <w:b/>
          <w:bCs w:val="0"/>
          <w:sz w:val="32"/>
          <w:szCs w:val="32"/>
          <w:lang w:val="en-US"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lang w:val="en-US" w:eastAsia="zh-CN"/>
          <w:highlight w:val="auto"/>
        </w:rPr>
        <w:t>1.各单位对财政支出绩效评价工作</w:t>
      </w:r>
      <w:r>
        <w:rPr>
          <w:rFonts w:ascii="Times New Roman" w:eastAsia="仿宋_GB2312" w:cs="Times New Roman" w:hAnsi="Times New Roman"/>
          <w:sz w:val="32"/>
          <w:szCs w:val="32"/>
          <w:highlight w:val="auto"/>
        </w:rPr>
        <w:t>重视程度不够，在撰写绩效评价报告时图应付，没有真实的反应项目的具体实施情况和实施过程中存在的一些问题，在决策依据、资金管理情况、财务管理情况、组织实施情况等方面没有系统的说明，多数采用生搬硬套的方法，简单的几句话进行概括。</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2.</w:t>
      </w:r>
      <w:r>
        <w:rPr>
          <w:rFonts w:ascii="Times New Roman" w:eastAsia="仿宋_GB2312" w:cs="Times New Roman" w:hAnsi="Times New Roman"/>
          <w:sz w:val="32"/>
          <w:szCs w:val="32"/>
          <w:highlight w:val="auto"/>
        </w:rPr>
        <w:t>会计基础工作较差</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highlight w:val="auto"/>
        </w:rPr>
        <w:t>核算不规范，</w:t>
      </w:r>
      <w:r>
        <w:rPr>
          <w:rFonts w:ascii="Times New Roman" w:eastAsia="仿宋_GB2312" w:cs="Times New Roman" w:hAnsi="Times New Roman"/>
          <w:sz w:val="32"/>
          <w:szCs w:val="32"/>
          <w:lang w:eastAsia="zh-CN"/>
          <w:highlight w:val="auto"/>
        </w:rPr>
        <w:t>报账材料不齐全，发票不规范，项目资料审核不严谨，部分</w:t>
      </w:r>
      <w:r>
        <w:rPr>
          <w:rFonts w:ascii="Times New Roman" w:eastAsia="仿宋_GB2312" w:cs="Times New Roman" w:hAnsi="Times New Roman"/>
          <w:sz w:val="32"/>
          <w:szCs w:val="32"/>
          <w:highlight w:val="auto"/>
        </w:rPr>
        <w:t>项目资金</w:t>
      </w:r>
      <w:r>
        <w:rPr>
          <w:rFonts w:ascii="Times New Roman" w:eastAsia="仿宋_GB2312" w:cs="Times New Roman" w:hAnsi="Times New Roman"/>
          <w:sz w:val="32"/>
          <w:szCs w:val="32"/>
          <w:lang w:eastAsia="zh-CN"/>
          <w:highlight w:val="auto"/>
        </w:rPr>
        <w:t>未</w:t>
      </w:r>
      <w:r>
        <w:rPr>
          <w:rFonts w:ascii="Times New Roman" w:eastAsia="仿宋_GB2312" w:cs="Times New Roman" w:hAnsi="Times New Roman"/>
          <w:sz w:val="32"/>
          <w:szCs w:val="32"/>
          <w:highlight w:val="auto"/>
        </w:rPr>
        <w:t>单独</w:t>
      </w:r>
      <w:r>
        <w:rPr>
          <w:rFonts w:ascii="Times New Roman" w:eastAsia="仿宋_GB2312" w:cs="Times New Roman" w:hAnsi="Times New Roman"/>
          <w:sz w:val="32"/>
          <w:szCs w:val="32"/>
          <w:lang w:eastAsia="zh-CN"/>
          <w:highlight w:val="auto"/>
        </w:rPr>
        <w:t>设立专账核算。</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3.大部分项目主管部门未制定项目管理办法与专项资金管理办法，项目资金的使用范围、申报条件不明确，管理制度不完善。</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 xml:space="preserve">    4.项目档案管理不完善。第三方评价组在现场查看相关项目资料时，发现部分项目资料的归档较零乱，不便于查找相关资料。</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 xml:space="preserve">    5.在项目实施过程中，单位未根据实际情况制定对应的项目实施方案，没有细化项目目标及计划实施进度，未明确完成时限、分步实施步骤和分步完成时间。</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 xml:space="preserve">    6.部分补贴类资金存在因信息核对不及时，导致发放资金准确性不高，发生错发、漏发的情况。</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 xml:space="preserve">    7.部分项目</w:t>
      </w:r>
      <w:r>
        <w:rPr>
          <w:rFonts w:ascii="Times New Roman" w:eastAsia="仿宋_GB2312" w:cs="Times New Roman" w:hAnsi="Times New Roman"/>
          <w:b w:val="0"/>
          <w:bCs w:val="0"/>
          <w:sz w:val="32"/>
          <w:szCs w:val="32"/>
          <w:lang w:val="en-US" w:eastAsia="zh-CN"/>
          <w:highlight w:val="auto"/>
        </w:rPr>
        <w:t>绩效目标不够细化。未明确项目完成时效、完成质量、经济效益、环境效益和可持续效益等。</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val="0"/>
          <w:bCs w:val="0"/>
          <w:sz w:val="32"/>
          <w:szCs w:val="32"/>
          <w:lang w:val="en-US" w:eastAsia="zh-CN"/>
          <w:highlight w:val="auto"/>
        </w:rPr>
        <w:t>8.部分补助类项目未在规定时间内发放，出现滞后数月的情况；部分建设类项目未在合同约定时间内完工，造成资金结余。部分项目未按要求进度及时支付并完成，资金拨付进度缓慢，资金支付管理不规范。</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outlineLvl w:val="9"/>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sz w:val="32"/>
          <w:szCs w:val="32"/>
          <w:lang w:val="en-US" w:eastAsia="zh-CN"/>
          <w:highlight w:val="auto"/>
        </w:rPr>
        <w:t>自2017年至今，大部分单位在评价过程中都出现以上的部分问题，说明单位整改落实不到位，整改报告流于形式，导致问题每年延续出现。</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sz w:val="32"/>
          <w:szCs w:val="32"/>
          <w:lang w:eastAsia="zh-CN"/>
          <w:highlight w:val="auto"/>
        </w:rPr>
      </w:pPr>
      <w:r>
        <w:rPr>
          <w:rFonts w:ascii="Times New Roman" w:eastAsia="楷体_GB2312" w:cs="Times New Roman" w:hAnsi="Times New Roman"/>
          <w:b/>
          <w:sz w:val="32"/>
          <w:szCs w:val="32"/>
          <w:lang w:val="en-US" w:eastAsia="zh-CN"/>
          <w:highlight w:val="auto"/>
        </w:rPr>
        <w:t xml:space="preserve">    （二）</w:t>
      </w:r>
      <w:r>
        <w:rPr>
          <w:rFonts w:ascii="Times New Roman" w:eastAsia="楷体_GB2312" w:cs="Times New Roman" w:hAnsi="Times New Roman"/>
          <w:b/>
          <w:sz w:val="32"/>
          <w:szCs w:val="32"/>
          <w:lang w:eastAsia="zh-CN"/>
          <w:highlight w:val="auto"/>
        </w:rPr>
        <w:t>个性问题</w:t>
      </w:r>
    </w:p>
    <w:p>
      <w:pPr>
        <w:keepNext w:val="0"/>
        <w:keepLines w:val="0"/>
        <w:pageBreakBefore w:val="0"/>
        <w:widowControl w:val="0"/>
        <w:kinsoku/>
        <w:wordWrap/>
        <w:overflowPunct/>
        <w:topLinePunct w:val="0"/>
        <w:autoSpaceDE/>
        <w:autoSpaceDN/>
        <w:bidi w:val="0"/>
        <w:adjustRightInd/>
        <w:snapToGrid/>
        <w:spacing w:line="560" w:lineRule="exact"/>
        <w:ind w:left="0" w:right="0" w:firstLineChars="200" w:firstLine="640"/>
        <w:jc w:val="both"/>
        <w:textAlignment w:val="auto"/>
        <w:rPr>
          <w:rFonts w:ascii="Times New Roman" w:eastAsia="仿宋_GB2312" w:cs="Times New Roman" w:hAnsi="Times New Roman"/>
          <w:sz w:val="32"/>
          <w:szCs w:val="32"/>
          <w:highlight w:val="auto"/>
        </w:rPr>
      </w:pPr>
      <w:r>
        <w:rPr>
          <w:rFonts w:ascii="Times New Roman" w:eastAsia="仿宋_GB2312" w:cs="Times New Roman" w:hAnsi="Times New Roman"/>
          <w:b/>
          <w:sz w:val="32"/>
          <w:szCs w:val="32"/>
          <w:lang w:val="en-US" w:eastAsia="zh-CN"/>
          <w:highlight w:val="auto"/>
        </w:rPr>
        <w:t xml:space="preserve"> </w:t>
      </w:r>
      <w:r>
        <w:rPr>
          <w:rFonts w:ascii="Times New Roman" w:eastAsia="仿宋_GB2312" w:cs="Times New Roman" w:hAnsi="Times New Roman"/>
          <w:b/>
          <w:bCs w:val="0"/>
          <w:sz w:val="32"/>
          <w:szCs w:val="32"/>
          <w:lang w:val="en-US" w:eastAsia="zh-CN"/>
          <w:highlight w:val="auto"/>
        </w:rPr>
        <w:t>1.安宁镇莫莫扎村示范村建设项目:</w:t>
      </w:r>
      <w:r>
        <w:rPr>
          <w:rFonts w:ascii="Times New Roman" w:eastAsia="仿宋_GB2312" w:cs="Times New Roman" w:hAnsi="Times New Roman"/>
          <w:b/>
          <w:bCs/>
          <w:sz w:val="32"/>
          <w:szCs w:val="32"/>
          <w:lang w:val="en-US" w:eastAsia="zh-CN"/>
          <w:highlight w:val="auto"/>
        </w:rPr>
        <w:t>一是</w:t>
      </w:r>
      <w:r>
        <w:rPr>
          <w:rFonts w:ascii="Times New Roman" w:eastAsia="仿宋_GB2312" w:cs="Times New Roman" w:hAnsi="Times New Roman"/>
          <w:sz w:val="32"/>
          <w:szCs w:val="32"/>
          <w:lang w:eastAsia="zh-CN"/>
          <w:highlight w:val="auto"/>
        </w:rPr>
        <w:t>未完成绩效目标。未按照绩效目标申报表修建1个旅游厕所。</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b w:val="0"/>
          <w:bCs w:val="0"/>
          <w:sz w:val="32"/>
          <w:szCs w:val="32"/>
          <w:lang w:eastAsia="zh-CN"/>
          <w:highlight w:val="auto"/>
        </w:rPr>
        <w:t>完成时效不达标。未在2021年6月之前投入使用。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right="0" w:firstLineChars="200" w:firstLine="640"/>
        <w:jc w:val="both"/>
        <w:textAlignment w:val="auto"/>
        <w:outlineLvl w:val="0"/>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金川县观音桥麦斯卡村人居环境整治项目：一是</w:t>
      </w:r>
      <w:r>
        <w:rPr>
          <w:rFonts w:ascii="Times New Roman" w:eastAsia="仿宋_GB2312" w:cs="Times New Roman" w:hAnsi="Times New Roman"/>
          <w:b w:val="0"/>
          <w:bCs w:val="0"/>
          <w:sz w:val="32"/>
          <w:szCs w:val="32"/>
          <w:lang w:val="en-US" w:eastAsia="zh-CN"/>
          <w:highlight w:val="auto"/>
        </w:rPr>
        <w:t>未经过事前评估论证。该项目未经过事前评估或可行性论证。</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b w:val="0"/>
          <w:bCs w:val="0"/>
          <w:sz w:val="32"/>
          <w:szCs w:val="32"/>
          <w:lang w:val="en-US" w:eastAsia="zh-CN"/>
          <w:highlight w:val="auto"/>
        </w:rPr>
        <w:t>未按要求使用资金。根据金财建〔2020〕156号控制价评审批复文件，批复工程监理费22,000元，项目实际运行中，未聘请监理单位对该项目实施监理。</w:t>
      </w:r>
    </w:p>
    <w:p>
      <w:pPr>
        <w:keepNext w:val="0"/>
        <w:keepLines w:val="0"/>
        <w:pageBreakBefore w:val="0"/>
        <w:widowControl w:val="0"/>
        <w:kinsoku/>
        <w:wordWrap/>
        <w:overflowPunct/>
        <w:topLinePunct w:val="0"/>
        <w:autoSpaceDE/>
        <w:autoSpaceDN/>
        <w:bidi w:val="0"/>
        <w:adjustRightInd/>
        <w:snapToGrid/>
        <w:spacing w:line="560" w:lineRule="exact"/>
        <w:ind w:right="0"/>
        <w:jc w:val="left"/>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3.农村厕所革命:一是</w:t>
      </w:r>
      <w:r>
        <w:rPr>
          <w:rFonts w:ascii="Times New Roman" w:eastAsia="仿宋_GB2312" w:cs="Times New Roman" w:hAnsi="Times New Roman"/>
          <w:b w:val="0"/>
          <w:bCs w:val="0"/>
          <w:sz w:val="32"/>
          <w:szCs w:val="32"/>
          <w:lang w:val="en-US" w:eastAsia="zh-CN"/>
          <w:highlight w:val="auto"/>
        </w:rPr>
        <w:t>项目支出审核不严谨，如：（1）根据项目实施方案，水冲式三格化粪池厕所应补助2,000元，金川县勒乌镇前锋村王志福(身份证号：513226196710221612)、张正国（身份证号：51322619500703161X）两人补助金额为1,900元；（2）卡拉脚乡二普鲁村验收水冲式三格化粪池厕所59户，按照标准应补助118,000元，实际支出为120,000元。</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4.现代种业建设项目：一是</w:t>
      </w:r>
      <w:r>
        <w:rPr>
          <w:rFonts w:ascii="Times New Roman" w:eastAsia="仿宋_GB2312" w:cs="Times New Roman" w:hAnsi="Times New Roman"/>
          <w:b w:val="0"/>
          <w:bCs w:val="0"/>
          <w:sz w:val="32"/>
          <w:szCs w:val="32"/>
          <w:lang w:val="en-US" w:eastAsia="zh-CN"/>
          <w:highlight w:val="auto"/>
        </w:rPr>
        <w:t>合同管理不规范。审计检查发现，合同签订时未严格按照招标文件签订合同，同时，招标文件对实质性条款约定不明确，如“竞争性磋商文件对付款方式约定为:施工人员、设备、材料进场及前期资料完工后，采购人查验合格，按照财政扶贫资金使用管理规定支付启动资金，后续根据工程进度拨付，在竣工验收合格后，采购人向成交供应商支付合同总价款的80%”的条款中，“后续根据工程进度拨付”未明确具体拨付款项，造成合同签订时与招标文件不符。</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b w:val="0"/>
          <w:bCs w:val="0"/>
          <w:sz w:val="32"/>
          <w:szCs w:val="32"/>
          <w:lang w:val="en-US" w:eastAsia="zh-CN"/>
          <w:highlight w:val="auto"/>
        </w:rPr>
        <w:t>资金支付管理不规范。审计检查发现，资金拨付未按照合同约定方式进行。</w:t>
      </w:r>
      <w:r>
        <w:rPr>
          <w:rFonts w:ascii="Times New Roman" w:eastAsia="仿宋_GB2312" w:cs="Times New Roman" w:hAnsi="Times New Roman"/>
          <w:b/>
          <w:bCs/>
          <w:sz w:val="32"/>
          <w:szCs w:val="32"/>
          <w:lang w:val="en-US" w:eastAsia="zh-CN"/>
          <w:highlight w:val="auto"/>
        </w:rPr>
        <w:t>三是</w:t>
      </w:r>
      <w:r>
        <w:rPr>
          <w:rFonts w:ascii="Times New Roman" w:eastAsia="仿宋_GB2312" w:cs="Times New Roman" w:hAnsi="Times New Roman"/>
          <w:b w:val="0"/>
          <w:bCs w:val="0"/>
          <w:sz w:val="32"/>
          <w:szCs w:val="32"/>
          <w:lang w:val="en-US" w:eastAsia="zh-CN"/>
          <w:highlight w:val="auto"/>
        </w:rPr>
        <w:t>项目推进缓慢。审计检查发现，该项目建设内容90%的内容与季节性因素无关，在项目实施时未对建设内容进行因素划分，如提前建设完工基础设施内容，导致项目推进缓慢，未能及时发挥项目效益。</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sz w:val="32"/>
          <w:szCs w:val="32"/>
          <w:highlight w:val="auto"/>
        </w:rPr>
      </w:pPr>
      <w:r>
        <w:rPr>
          <w:rFonts w:ascii="Times New Roman" w:eastAsia="仿宋_GB2312" w:cs="Times New Roman" w:hAnsi="Times New Roman"/>
          <w:b/>
          <w:bCs/>
          <w:sz w:val="32"/>
          <w:szCs w:val="32"/>
          <w:lang w:val="en-US" w:eastAsia="zh-CN"/>
          <w:highlight w:val="auto"/>
        </w:rPr>
        <w:t xml:space="preserve">    5.金观音桥斯玛都村人居环境整治项目：</w:t>
      </w:r>
      <w:r>
        <w:rPr>
          <w:rFonts w:ascii="Times New Roman" w:eastAsia="仿宋_GB2312" w:cs="Times New Roman" w:hAnsi="Times New Roman"/>
          <w:b w:val="0"/>
          <w:bCs w:val="0"/>
          <w:sz w:val="32"/>
          <w:szCs w:val="32"/>
          <w:lang w:val="en-US" w:eastAsia="zh-CN"/>
          <w:highlight w:val="auto"/>
        </w:rPr>
        <w:t>未进行竣工结算审核。该项目四川企强建设有限公司取得承建，2020年11月10日主管单位验收完成，截止2021年8月底尚未进行竣工结算，经检查，该公司不属于中小企业，应当按照要求进行竣工结算审核。</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sz w:val="32"/>
          <w:szCs w:val="32"/>
          <w:highlight w:val="auto"/>
        </w:rPr>
      </w:pPr>
      <w:r>
        <w:rPr>
          <w:rFonts w:ascii="Times New Roman" w:eastAsia="仿宋_GB2312" w:cs="Times New Roman" w:hAnsi="Times New Roman"/>
          <w:b/>
          <w:bCs/>
          <w:sz w:val="32"/>
          <w:szCs w:val="32"/>
          <w:lang w:val="en-US" w:eastAsia="zh-CN"/>
          <w:highlight w:val="auto"/>
        </w:rPr>
        <w:t xml:space="preserve">    6.金川县2020年农牧民补助奖励政策项目：</w:t>
      </w:r>
      <w:r>
        <w:rPr>
          <w:rFonts w:ascii="Times New Roman" w:eastAsia="仿宋_GB2312" w:cs="Times New Roman" w:hAnsi="Times New Roman"/>
          <w:b w:val="0"/>
          <w:bCs w:val="0"/>
          <w:sz w:val="32"/>
          <w:szCs w:val="32"/>
          <w:lang w:val="en-US" w:eastAsia="zh-CN"/>
          <w:highlight w:val="auto"/>
        </w:rPr>
        <w:t>未统计贫困户相关信息（1）资料中未统计受益贫困村数量。（2）资料中未统计受益贫困户数量。（3）资料中未统计受益建档立卡贫困人口数量。</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sz w:val="32"/>
          <w:szCs w:val="32"/>
          <w:highlight w:val="auto"/>
        </w:rPr>
      </w:pPr>
      <w:r>
        <w:rPr>
          <w:rFonts w:ascii="Times New Roman" w:eastAsia="仿宋_GB2312" w:cs="Times New Roman" w:hAnsi="Times New Roman"/>
          <w:b/>
          <w:bCs/>
          <w:sz w:val="32"/>
          <w:szCs w:val="32"/>
          <w:lang w:val="en-US" w:eastAsia="zh-CN"/>
          <w:highlight w:val="auto"/>
        </w:rPr>
        <w:t xml:space="preserve">    7.安全饮水工程：</w:t>
      </w:r>
      <w:r>
        <w:rPr>
          <w:rFonts w:ascii="Times New Roman" w:eastAsia="仿宋_GB2312" w:cs="Times New Roman" w:hAnsi="Times New Roman"/>
          <w:b w:val="0"/>
          <w:bCs w:val="0"/>
          <w:sz w:val="32"/>
          <w:szCs w:val="32"/>
          <w:lang w:val="en-US" w:eastAsia="zh-CN"/>
          <w:highlight w:val="auto"/>
        </w:rPr>
        <w:t>项目公示滞后。审计检查发现，金川县二嘎里乡2020年维修养护农村安全饮水项目实施前公示，公示时间为2020年5月18日至2020年5月25日，开工时间为2020年5月18日</w:t>
      </w:r>
      <w:r>
        <w:rPr>
          <w:rFonts w:ascii="Times New Roman" w:eastAsia="仿宋_GB2312" w:cs="Times New Roman" w:hAnsi="Times New Roman"/>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8.撒瓦脚乡防洪治理：</w:t>
      </w:r>
      <w:r>
        <w:rPr>
          <w:rFonts w:ascii="Times New Roman" w:eastAsia="仿宋_GB2312" w:cs="Times New Roman" w:hAnsi="Times New Roman"/>
          <w:b w:val="0"/>
          <w:bCs w:val="0"/>
          <w:sz w:val="32"/>
          <w:szCs w:val="32"/>
          <w:lang w:val="en-US" w:eastAsia="zh-CN"/>
          <w:highlight w:val="auto"/>
        </w:rPr>
        <w:t>未对后续使用做评估。未对防洪治理工程做评估，不能判定使用年限是否大于10年。</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9.阿坝州金川县第二中学改造提升项目：</w:t>
      </w:r>
      <w:r>
        <w:rPr>
          <w:rFonts w:ascii="Times New Roman" w:eastAsia="仿宋_GB2312" w:cs="Times New Roman" w:hAnsi="Times New Roman"/>
          <w:sz w:val="32"/>
          <w:szCs w:val="32"/>
          <w:highlight w:val="auto"/>
        </w:rPr>
        <w:t>审计检查发现，项目实施遵守涉农整合文件的相关规定；项目实施的人员条件、场地设备、信息支撑等落实到位，但也存在不足之处。一是项目进展缓慢，未及时发挥项目效益：该项目招标文件及合同要求2021年7月完成工程建设，截止2021年9月，尚未完工，不满足项目实施方案及招标文件工期进度要求；二是项目资料后补：如该项目2020年8月开工建设，2021年4月21日取得建设工程施工许可证。</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10.阿坝州金川县万林中心校教学楼改扩建项目:</w:t>
      </w:r>
      <w:r>
        <w:rPr>
          <w:rFonts w:ascii="Times New Roman" w:eastAsia="仿宋_GB2312" w:cs="Times New Roman" w:hAnsi="Times New Roman"/>
          <w:b w:val="0"/>
          <w:bCs w:val="0"/>
          <w:sz w:val="32"/>
          <w:szCs w:val="32"/>
          <w:lang w:val="en-US" w:eastAsia="zh-CN"/>
          <w:highlight w:val="auto"/>
        </w:rPr>
        <w:t>审计检查发现，竞争性磋商文件对付款方式约定为:双方签订合同后按工程进度款拨款，每月支付已完工程量的80%的工程款，竣工验收合格后15日内支付支已完工程量的80%，审计结算后支付至审计金额的95%，质保金为审计金额的5%,剩余5%作为质保金在工程结算无质量问题后支付，该支付条款为实质性条款。实际签订合同时未按照招标文件签订，其中12.4.1付款周期约定为：工程审计结算完成并档移交后支付至审计结算价的97%，3%为质保金，该条款对招标文件进行了实质性修改，为新要约，不符合政府采购相关管理办法。</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eastAsia="zh-CN"/>
          <w:highlight w:val="auto"/>
        </w:rPr>
      </w:pPr>
      <w:r>
        <w:rPr>
          <w:rFonts w:ascii="Times New Roman" w:eastAsia="仿宋_GB2312" w:cs="Times New Roman" w:hAnsi="Times New Roman"/>
          <w:b/>
          <w:bCs/>
          <w:sz w:val="32"/>
          <w:szCs w:val="32"/>
          <w:lang w:val="en-US" w:eastAsia="zh-CN"/>
          <w:highlight w:val="auto"/>
        </w:rPr>
        <w:t>11.村卫生室维修：</w:t>
      </w:r>
      <w:r>
        <w:rPr>
          <w:rFonts w:ascii="Times New Roman" w:eastAsia="仿宋_GB2312" w:cs="Times New Roman" w:hAnsi="Times New Roman"/>
          <w:b w:val="0"/>
          <w:bCs w:val="0"/>
          <w:sz w:val="32"/>
          <w:szCs w:val="32"/>
          <w:lang w:val="en-US" w:eastAsia="zh-CN"/>
          <w:highlight w:val="auto"/>
        </w:rPr>
        <w:t>曾达木尔都村卫生室维修项目资料存在逻辑混乱，建设公示时间中建设时间为2019年11月1日-2020年11月30日与施工合同工期2020年11月1日-2020年11月30日不符，村民会议“一事一议”时间为2020年11月29日与工程建设时间2020年11月30日竣工逻辑不符。</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12.卫生扶贫项目：</w:t>
      </w:r>
      <w:r>
        <w:rPr>
          <w:rFonts w:ascii="Times New Roman" w:eastAsia="仿宋_GB2312" w:cs="Times New Roman" w:hAnsi="Times New Roman"/>
          <w:b w:val="0"/>
          <w:bCs w:val="0"/>
          <w:sz w:val="32"/>
          <w:szCs w:val="32"/>
          <w:lang w:val="en-US" w:eastAsia="zh-CN"/>
          <w:highlight w:val="auto"/>
        </w:rPr>
        <w:t>未按卫生扶贫基金实施细则的规定，超过30天才将补助资金下达患者个人账户。</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13.金川县2020年长江上游干旱河谷地区生态综合治理项目：</w:t>
      </w:r>
      <w:r>
        <w:rPr>
          <w:rFonts w:ascii="Times New Roman" w:eastAsia="仿宋_GB2312" w:cs="Times New Roman" w:hAnsi="Times New Roman"/>
          <w:b w:val="0"/>
          <w:bCs w:val="0"/>
          <w:sz w:val="32"/>
          <w:szCs w:val="32"/>
          <w:lang w:val="en-US" w:eastAsia="zh-CN"/>
          <w:highlight w:val="auto"/>
        </w:rPr>
        <w:t>审计检查发现，根据金川县2020年长江上游干旱河谷地区生态综合治理项目的建设工程施工合同规定发包人：金川县林业和草原局，承包人：金川县马尔邦嘎达山造林专业合作社，工程地点位于金川县马奈镇八角塘村，立项文件为：金发改经信行审〔2020〕426号，资金来源为2020年省级林业草原改革发展专项资金（第一批），项目资金500万元专项用于2020年长江上游干旱河谷地区生态综合治理，合同工期：计划开公日期：2021年1月26日，计划竣工日期：2025年1月25日；工程质量及验收:(一)金川县2020年长江上游干旱河谷地区生态综合治理项目作业设计及施工图纸设计要求（二）苗场进场合格率达到100%并具两证一签，造林当年成活率达到85%以上，管护期及竣工验收保存率达到80%以上，围栏、宣传碑、灌溉设施材料合格率100%，基础设施建设期和竣工验收时完好无损，未见评审资料。</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14.有害生物防治：</w:t>
      </w:r>
      <w:r>
        <w:rPr>
          <w:rFonts w:ascii="Times New Roman" w:eastAsia="仿宋_GB2312" w:cs="Times New Roman" w:hAnsi="Times New Roman"/>
          <w:b w:val="0"/>
          <w:bCs w:val="0"/>
          <w:sz w:val="32"/>
          <w:szCs w:val="32"/>
          <w:lang w:val="en-US" w:eastAsia="zh-CN"/>
          <w:highlight w:val="auto"/>
        </w:rPr>
        <w:t>针对制作林业有害生物防控宣传、培训材料协议，规定甲方为：金川县林业和草原局，乙方为：金川县亮点广告设计有限公司，合同规定宣传培训资料内容，1、有害生物防控宣传标语：具体内容由甲方提供，每条标语20字以内，不同内容标语5条，尺寸规格：宽25cm长80cm材质：背胶，自带粘胶，每条标语60张总计300张；2、松材线虫病防控宣传册：具体内容由甲方提供，尺寸规格，14cm*21cm，纸张材质170克铜版纸，总计200本，3、林业植物检疫宣传材料，具体油甲方提供，尺寸规格9.5cm*13cm，纸张材质A4纸张，封面描纹纸总计200本，合同内容规定规范，但是在合同签订上，未见签订日期，合同签订不规范。</w:t>
      </w:r>
    </w:p>
    <w:p>
      <w:pPr>
        <w:keepNext w:val="0"/>
        <w:keepLines w:val="0"/>
        <w:pageBreakBefore w:val="0"/>
        <w:widowControl w:val="0"/>
        <w:kinsoku/>
        <w:wordWrap/>
        <w:overflowPunct/>
        <w:topLinePunct w:val="0"/>
        <w:autoSpaceDE/>
        <w:autoSpaceDN/>
        <w:bidi w:val="0"/>
        <w:adjustRightInd/>
        <w:snapToGrid/>
        <w:spacing w:line="560" w:lineRule="exact"/>
        <w:ind w:left="0" w:right="0" w:firstLine="642"/>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15.2020年四川省食用林产品质量安全监测项目：</w:t>
      </w:r>
      <w:r>
        <w:rPr>
          <w:rFonts w:ascii="Times New Roman" w:eastAsia="仿宋_GB2312" w:cs="Times New Roman" w:hAnsi="Times New Roman"/>
          <w:b w:val="0"/>
          <w:bCs w:val="0"/>
          <w:sz w:val="32"/>
          <w:szCs w:val="32"/>
          <w:lang w:val="en-US" w:eastAsia="zh-CN"/>
          <w:highlight w:val="auto"/>
        </w:rPr>
        <w:t>审计检查发现，针对四川省林产品质量安全监测项目合同任务书要求：项目执行期为一年，项目进度安排及成果：2020年1-2月：年度项目建设申报，2020年3-4月：上级下达本年度监测任务，2020年5月：完成项目合同任务书签订，2020年6-10月：完成数据采集和现场抽样，并进行样品初步处理，2020年11月：完成样品检测工作，2020年12月：提交年度林产品安全监测总结报告，其中该合同任务书，四川省林业和草原局数字林草与科技处签章日期晚于合同规定时间，建议在合同约定时间内完成该项工作，采购样本收条，李益兵、苟华、蔡平未达到签署要求。</w:t>
      </w: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16.</w:t>
      </w:r>
      <w:r>
        <w:rPr>
          <w:rFonts w:ascii="Times New Roman" w:eastAsia="仿宋_GB2312" w:cs="Times New Roman" w:hAnsi="Times New Roman"/>
          <w:b/>
          <w:bCs/>
          <w:sz w:val="32"/>
          <w:szCs w:val="32"/>
          <w:lang w:eastAsia="zh-CN"/>
          <w:highlight w:val="auto"/>
        </w:rPr>
        <w:t>2020年森林生态效益补偿资金项目</w:t>
      </w:r>
      <w:r>
        <w:rPr>
          <w:rFonts w:ascii="Times New Roman" w:eastAsia="仿宋_GB2312" w:cs="Times New Roman" w:hAnsi="Times New Roman"/>
          <w:b/>
          <w:bCs/>
          <w:sz w:val="32"/>
          <w:szCs w:val="32"/>
          <w:lang w:val="en-US" w:eastAsia="zh-CN"/>
          <w:highlight w:val="auto"/>
        </w:rPr>
        <w:t>：</w:t>
      </w:r>
      <w:r>
        <w:rPr>
          <w:rFonts w:ascii="Times New Roman" w:eastAsia="仿宋_GB2312" w:cs="Times New Roman" w:hAnsi="Times New Roman"/>
          <w:sz w:val="32"/>
          <w:szCs w:val="32"/>
          <w:lang w:val="en-US" w:eastAsia="zh-CN"/>
          <w:highlight w:val="auto"/>
        </w:rPr>
        <w:t>未经检查现场项目资料，发现金川县综合林场森林管护考核内容表验收人员与被考评人员为同一人陆斌，存在验收人员为合同承包方情况。</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17.乡镇开展文化活动：一是</w:t>
      </w:r>
      <w:r>
        <w:rPr>
          <w:rFonts w:ascii="Times New Roman" w:eastAsia="仿宋_GB2312" w:cs="Times New Roman" w:hAnsi="Times New Roman"/>
          <w:sz w:val="32"/>
          <w:szCs w:val="32"/>
          <w:lang w:val="en-US" w:eastAsia="zh-CN"/>
          <w:highlight w:val="auto"/>
        </w:rPr>
        <w:t>资金分配制度不完善。勒乌镇、观音桥镇、马奈镇资金分配与《中央补助地方美术馆 公共图书馆 文化馆（站）免费开放专项资金管理暂行办法》（财教〔2013〕98号）文件中所规定的标准不一致。</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sz w:val="32"/>
          <w:szCs w:val="32"/>
          <w:lang w:val="en-US" w:eastAsia="zh-CN"/>
          <w:highlight w:val="auto"/>
        </w:rPr>
        <w:t>项目资金分配不合理。如：勒乌镇、观音桥镇、马奈镇分配资金各为100,000元，超出《中央补助地方美术馆 公共图书馆 文化馆（站）免费开放专项资金管理暂行办法》（财教〔2013〕98号）文件第六条所规定的“三馆一站”免费开放基本补助标准：乡镇综合文化站每站每年5万元，且无情况说明。</w:t>
      </w:r>
      <w:r>
        <w:rPr>
          <w:rFonts w:ascii="Times New Roman" w:eastAsia="仿宋_GB2312" w:cs="Times New Roman" w:hAnsi="Times New Roman"/>
          <w:b/>
          <w:bCs/>
          <w:sz w:val="32"/>
          <w:szCs w:val="32"/>
          <w:lang w:val="en-US" w:eastAsia="zh-CN"/>
          <w:highlight w:val="auto"/>
        </w:rPr>
        <w:t>三是</w:t>
      </w:r>
      <w:r>
        <w:rPr>
          <w:rFonts w:ascii="Times New Roman" w:eastAsia="仿宋_GB2312" w:cs="Times New Roman" w:hAnsi="Times New Roman"/>
          <w:sz w:val="32"/>
          <w:szCs w:val="32"/>
          <w:lang w:val="en-US" w:eastAsia="zh-CN"/>
          <w:highlight w:val="auto"/>
        </w:rPr>
        <w:t>项目资金拨付审核不严。如：勒乌镇申请“两馆一站”项目资金共计100,000元，所提供的方案中明确使用范围的金额为70,000元，另有30,000元在方案中未体现。</w:t>
      </w:r>
      <w:r>
        <w:rPr>
          <w:rFonts w:ascii="Times New Roman" w:eastAsia="仿宋_GB2312" w:cs="Times New Roman" w:hAnsi="Times New Roman"/>
          <w:b/>
          <w:bCs/>
          <w:sz w:val="32"/>
          <w:szCs w:val="32"/>
          <w:lang w:val="en-US" w:eastAsia="zh-CN"/>
          <w:highlight w:val="auto"/>
        </w:rPr>
        <w:t>四是</w:t>
      </w:r>
      <w:r>
        <w:rPr>
          <w:rFonts w:ascii="Times New Roman" w:eastAsia="仿宋_GB2312" w:cs="Times New Roman" w:hAnsi="Times New Roman"/>
          <w:sz w:val="32"/>
          <w:szCs w:val="32"/>
          <w:lang w:val="en-US" w:eastAsia="zh-CN"/>
          <w:highlight w:val="auto"/>
        </w:rPr>
        <w:t>项目资金使用监管不严。根据各乡镇提供的项目实施方案，项目资金共计230,000元用于日常工作经费（其中包括卡拉脚乡20,000元；勒乌镇20,000元；庆宁乡40,000元；阿科里乡20,000元；河西乡20,000元；河东乡20,000元；撒瓦脚乡20,000元；卡撒乡50,000元；二嘎里乡20,000元）。根据《中央补助地方美术馆 公共图书馆 文化馆（站）免费开放专项资金管理暂行办法》（财教〔2013〕98号）文件第九条 专项资金用于“三馆一站”免费开展基本公共文化服务项目所需支出，其中：乡镇综合文化站：组织公益性群众文化活动，举办公益性讲座和展览宣传，村级文化骨干辅导，文化信息资源共享工程、公共电子阅览室服务及设备运行维护，业务活动用房小型修缮及零星业务设备更新等。</w:t>
      </w:r>
      <w:r>
        <w:rPr>
          <w:rFonts w:ascii="Times New Roman" w:eastAsia="仿宋_GB2312" w:cs="Times New Roman" w:hAnsi="Times New Roman"/>
          <w:b/>
          <w:bCs/>
          <w:sz w:val="32"/>
          <w:szCs w:val="32"/>
          <w:lang w:val="en-US" w:eastAsia="zh-CN"/>
          <w:highlight w:val="auto"/>
        </w:rPr>
        <w:t>五是</w:t>
      </w:r>
      <w:r>
        <w:rPr>
          <w:rFonts w:ascii="Times New Roman" w:eastAsia="仿宋_GB2312" w:cs="Times New Roman" w:hAnsi="Times New Roman"/>
          <w:sz w:val="32"/>
          <w:szCs w:val="32"/>
          <w:lang w:val="en-US" w:eastAsia="zh-CN"/>
          <w:highlight w:val="auto"/>
        </w:rPr>
        <w:t>勒乌镇、观音桥镇、马奈镇补助发放金额为10万元，且无情况说明。</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18.图书馆、文化馆免费开放项目:</w:t>
      </w:r>
      <w:r>
        <w:rPr>
          <w:rFonts w:ascii="Times New Roman" w:eastAsia="仿宋_GB2312" w:cs="Times New Roman" w:hAnsi="Times New Roman"/>
          <w:b w:val="0"/>
          <w:bCs w:val="0"/>
          <w:sz w:val="32"/>
          <w:szCs w:val="32"/>
          <w:lang w:val="en-US" w:eastAsia="zh-CN"/>
          <w:highlight w:val="auto"/>
        </w:rPr>
        <w:t>项目资金使用与项目资金支出范围不一致，如：项目资金用于公务用车支出10,000元，日常办公费支出3,631元，合计支出13,631元；根据《中央补助地方美术馆 公共图书馆 文化馆（站）免费开放专项资金管理暂行办法》（财教[2013]98号）第九条 专项资金用于“三馆一站”免费开展基本公共文化服务项目所需支出，其中：美术馆：举办展览、公益性讲座，开展公共教育和观众体验拓展活动，业务活动用房小型修缮及零星业务设备更新等。图书馆：文献资源借阅、检索与咨询，举办公益性讲座、展览，开展阅读推广、宣传活动，基层文化骨干业务辅导，文化信息资源共享工程、公共电子阅览室服务及设备运行维护，流动图书借阅与送书下乡服务，业务活动用房小型修缮及零星业务设备更新等。文化馆：举办普及性文化艺术类培训项目，举办公益性讲座、展览，开展宣传活动，组织公益性群众文化活动，基层文化骨干业务辅导，民间文化传承活动，业务活动用房小型修缮及零星业务设备更新等。</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19.就业创业补助资金项目:</w:t>
      </w:r>
      <w:r>
        <w:rPr>
          <w:rFonts w:ascii="Times New Roman" w:eastAsia="仿宋_GB2312" w:cs="Times New Roman" w:hAnsi="Times New Roman"/>
          <w:b w:val="0"/>
          <w:bCs w:val="0"/>
          <w:sz w:val="32"/>
          <w:szCs w:val="32"/>
          <w:lang w:val="en-US" w:eastAsia="zh-CN"/>
          <w:highlight w:val="auto"/>
        </w:rPr>
        <w:t>项目资金申报不够精准。2020年《金川县财政局〈关于下达2020年就业创业补助资金〉的通知》（金财社〔2020〕21号）文件下达资金289万元；《金川县财政局〈关于下达2020年中央财政就业创业补助资金参照直达管理资金〉的通知》（金财社〔2020〕42号）文件下达资金356万元，共计下达项目资金645万元。2019年结转结余资金570.456708元，因该项目资金为滚存使用，因此2020年项目资金共计1215.456708万元。2020年支出高校毕业生见习补贴264,165元，补贴81人；社保补贴353,462.10元，补贴44人；创业补贴310,000元，补贴31人；公益性岗位补贴6,679,300元，补贴1693人；驾驶补贴639,500元，补贴374人；务工交通补贴3,600元，补贴6人；品牌培训59,500元；基层平台补助资金250,000元。共计支出8,559,527.10元，资金结余359.503998万元。</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20.千村示范工程：</w:t>
      </w:r>
      <w:r>
        <w:rPr>
          <w:rFonts w:ascii="Times New Roman" w:eastAsia="仿宋_GB2312" w:cs="Times New Roman" w:hAnsi="Times New Roman"/>
          <w:b w:val="0"/>
          <w:bCs w:val="0"/>
          <w:sz w:val="32"/>
          <w:szCs w:val="32"/>
          <w:lang w:val="en-US" w:eastAsia="zh-CN"/>
          <w:highlight w:val="auto"/>
        </w:rPr>
        <w:t>政府采购流程缺少，无采购流程会议纪要。</w:t>
      </w:r>
    </w:p>
    <w:p>
      <w:pPr>
        <w:keepNext w:val="0"/>
        <w:keepLines w:val="0"/>
        <w:pageBreakBefore w:val="0"/>
        <w:widowControl w:val="0"/>
        <w:kinsoku/>
        <w:wordWrap/>
        <w:overflowPunct/>
        <w:topLinePunct w:val="0"/>
        <w:autoSpaceDE/>
        <w:autoSpaceDN/>
        <w:bidi w:val="0"/>
        <w:adjustRightInd/>
        <w:snapToGrid/>
        <w:spacing w:line="560" w:lineRule="exact"/>
        <w:ind w:left="0" w:right="0"/>
        <w:jc w:val="both"/>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 xml:space="preserve">    21.</w:t>
      </w:r>
      <w:r>
        <w:rPr>
          <w:rFonts w:ascii="Times New Roman" w:eastAsia="仿宋" w:cs="Times New Roman" w:hAnsi="Times New Roman"/>
          <w:b/>
          <w:bCs/>
          <w:sz w:val="32"/>
          <w:szCs w:val="32"/>
          <w:lang w:eastAsia="zh-CN"/>
          <w:highlight w:val="auto"/>
        </w:rPr>
        <w:t>金川县救灾物资仓库建设项目：</w:t>
      </w:r>
      <w:r>
        <w:rPr>
          <w:rFonts w:ascii="Times New Roman" w:eastAsia="仿宋_GB2312" w:cs="Times New Roman" w:hAnsi="Times New Roman"/>
          <w:b w:val="0"/>
          <w:bCs w:val="0"/>
          <w:sz w:val="32"/>
          <w:szCs w:val="32"/>
          <w:lang w:eastAsia="zh-CN"/>
          <w:highlight w:val="auto"/>
        </w:rPr>
        <w:t>竣工结算审核滞后。该项目2020年12月底竣工完成验收，截止2021年8月尚未完成竣工结算审核，工程结算管理不完善</w:t>
      </w:r>
      <w:r>
        <w:rPr>
          <w:rFonts w:ascii="Times New Roman" w:eastAsia="仿宋_GB2312" w:cs="Times New Roman" w:hAnsi="Times New Roman"/>
          <w:b w:val="0"/>
          <w:bCs w:val="0"/>
          <w:sz w:val="32"/>
          <w:szCs w:val="32"/>
          <w:lang w:val="en-US" w:eastAsia="zh-CN"/>
          <w:highlight w:val="auto"/>
        </w:rPr>
        <w:t>。</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firstLineChars="0" w:firstLine="642"/>
        <w:rPr>
          <w:rFonts w:ascii="Times New Roman" w:eastAsia="仿宋_GB2312" w:cs="Times New Roman" w:hAnsi="Times New Roman"/>
          <w:b w:val="0"/>
          <w:bCs w:val="0"/>
          <w:kern w:val="2"/>
          <w:sz w:val="32"/>
          <w:szCs w:val="32"/>
          <w:lang w:val="en-US" w:eastAsia="zh-CN" w:bidi="ar-SA"/>
          <w:highlight w:val="auto"/>
        </w:rPr>
      </w:pPr>
      <w:r>
        <w:rPr>
          <w:rFonts w:ascii="Times New Roman" w:eastAsia="仿宋" w:cs="Times New Roman" w:hAnsi="Times New Roman"/>
          <w:b/>
          <w:bCs/>
          <w:kern w:val="2"/>
          <w:sz w:val="32"/>
          <w:szCs w:val="32"/>
          <w:lang w:val="en-US" w:eastAsia="zh-CN" w:bidi="ar-SA"/>
          <w:highlight w:val="auto"/>
        </w:rPr>
        <w:t>22.金川县传染病区业务用房建设：一是</w:t>
      </w:r>
      <w:r>
        <w:rPr>
          <w:rFonts w:ascii="Times New Roman" w:eastAsia="仿宋_GB2312" w:cs="Times New Roman" w:hAnsi="Times New Roman"/>
          <w:b w:val="0"/>
          <w:bCs w:val="0"/>
          <w:kern w:val="2"/>
          <w:sz w:val="32"/>
          <w:szCs w:val="32"/>
          <w:lang w:val="en-US" w:eastAsia="zh-CN" w:bidi="ar-SA"/>
          <w:highlight w:val="auto"/>
        </w:rPr>
        <w:t>项目施工变更无变更方案。金川县人民医院负压隔离病房及传染病业务用房建设过程中，涉及到的变更，无变更方案，变更方案在建设完成后后补。</w:t>
      </w:r>
      <w:r>
        <w:rPr>
          <w:rFonts w:ascii="Times New Roman" w:eastAsia="仿宋_GB2312" w:cs="Times New Roman" w:hAnsi="Times New Roman"/>
          <w:b/>
          <w:bCs/>
          <w:kern w:val="2"/>
          <w:sz w:val="32"/>
          <w:szCs w:val="32"/>
          <w:lang w:val="en-US" w:eastAsia="zh-CN" w:bidi="ar-SA"/>
          <w:highlight w:val="auto"/>
        </w:rPr>
        <w:t>二是</w:t>
      </w:r>
      <w:r>
        <w:rPr>
          <w:rFonts w:ascii="Times New Roman" w:eastAsia="仿宋_GB2312" w:cs="Times New Roman" w:hAnsi="Times New Roman"/>
          <w:b w:val="0"/>
          <w:bCs w:val="0"/>
          <w:kern w:val="2"/>
          <w:sz w:val="32"/>
          <w:szCs w:val="32"/>
          <w:lang w:val="en-US" w:eastAsia="zh-CN" w:bidi="ar-SA"/>
          <w:highlight w:val="auto"/>
        </w:rPr>
        <w:t>资金拨付资料不齐全。代为支付40万元工资，无用工考勤资料或其他发放依据。</w:t>
      </w:r>
    </w:p>
    <w:p>
      <w:pPr>
        <w:keepNext w:val="0"/>
        <w:keepLines w:val="0"/>
        <w:pageBreakBefore w:val="0"/>
        <w:widowControl w:val="0"/>
        <w:kinsoku/>
        <w:wordWrap/>
        <w:overflowPunct/>
        <w:topLinePunct w:val="0"/>
        <w:autoSpaceDE/>
        <w:autoSpaceDN/>
        <w:bidi w:val="0"/>
        <w:adjustRightInd/>
        <w:snapToGrid/>
        <w:spacing w:line="560" w:lineRule="exact"/>
        <w:ind w:firstLine="642"/>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bCs/>
          <w:sz w:val="32"/>
          <w:szCs w:val="32"/>
          <w:lang w:val="en-US" w:eastAsia="zh-CN"/>
          <w:highlight w:val="auto"/>
        </w:rPr>
        <w:t>23.金川县勒乌镇二甲河堤堡坎建设项目：一是</w:t>
      </w:r>
      <w:r>
        <w:rPr>
          <w:rFonts w:ascii="Times New Roman" w:eastAsia="仿宋_GB2312" w:cs="Times New Roman" w:hAnsi="Times New Roman"/>
          <w:sz w:val="32"/>
          <w:szCs w:val="32"/>
          <w:lang w:val="en-US" w:eastAsia="zh-CN"/>
          <w:highlight w:val="auto"/>
        </w:rPr>
        <w:t>审计检查发现，①竞争性磋商文件对付款方式约定为：付款方式：款项分为三次支付： 1</w:t>
      </w:r>
      <w:r>
        <w:rPr>
          <w:rFonts w:ascii="Times New Roman" w:eastAsia="仿宋_GB2312" w:cs="Times New Roman" w:hAnsi="Times New Roman" w:hint="eastAsia"/>
          <w:sz w:val="32"/>
          <w:szCs w:val="32"/>
          <w:lang w:val="en-US" w:eastAsia="zh-CN"/>
          <w:highlight w:val="auto"/>
        </w:rPr>
        <w:t>.</w:t>
      </w:r>
      <w:r>
        <w:rPr>
          <w:rFonts w:ascii="Times New Roman" w:eastAsia="仿宋_GB2312" w:cs="Times New Roman" w:hAnsi="Times New Roman"/>
          <w:sz w:val="32"/>
          <w:szCs w:val="32"/>
          <w:lang w:val="en-US" w:eastAsia="zh-CN"/>
          <w:highlight w:val="auto"/>
        </w:rPr>
        <w:t>合同签订后支付合同总价的25%; 2</w:t>
      </w:r>
      <w:r>
        <w:rPr>
          <w:rFonts w:ascii="Times New Roman" w:eastAsia="仿宋_GB2312" w:cs="Times New Roman" w:hAnsi="Times New Roman" w:hint="eastAsia"/>
          <w:sz w:val="32"/>
          <w:szCs w:val="32"/>
          <w:lang w:val="en-US" w:eastAsia="zh-CN"/>
          <w:highlight w:val="auto"/>
        </w:rPr>
        <w:t>.</w:t>
      </w:r>
      <w:r>
        <w:rPr>
          <w:rFonts w:ascii="Times New Roman" w:eastAsia="仿宋_GB2312" w:cs="Times New Roman" w:hAnsi="Times New Roman"/>
          <w:sz w:val="32"/>
          <w:szCs w:val="32"/>
          <w:lang w:val="en-US" w:eastAsia="zh-CN"/>
          <w:highlight w:val="auto"/>
        </w:rPr>
        <w:t>工程完毕并验收合格之日起，甲方接到乙方通知付款并交齐资料后的15日内向乙方支付合同总价的72%; 剩余合同总价的3%在缺陷责任期（自验收合格之日起一年）满后，无质量缺陷后支付。实际签订合同时未按照招标文件签订，约定为：工程进度应付款按招标工程量清单量（扣除工程备用金）内经验收合格的工程量的80%拨付。扣留款项中含质量保证金。工程验收达到质量要求，完成竣工结算经审计，发包人公示核实无民工工资纠纷，颁发合同工程完工鉴定证书后14天内，支付至审计部门审定工程结算总价的97%。经审定的结算价款总额的3%扣作工程质量保证金，在质保期满后无工程质量缺陷，全部无息付清。该条款对招标文件进行了实质性修改，为新要约，不符合政府采购相关管理办法。②合同签订没有签订日期。</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sz w:val="32"/>
          <w:szCs w:val="32"/>
          <w:lang w:val="en-US" w:eastAsia="zh-CN"/>
          <w:highlight w:val="auto"/>
        </w:rPr>
        <w:t>项目手续不完备。审计检查发现，没有进行行洪论证，没有水务局行洪论证的批复。</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rPr>
          <w:rFonts w:ascii="Times New Roman" w:eastAsia="黑体" w:cs="Times New Roman" w:hAnsi="Times New Roman"/>
          <w:sz w:val="32"/>
          <w:szCs w:val="32"/>
          <w:highlight w:val="auto"/>
        </w:rPr>
      </w:pPr>
      <w:r>
        <w:rPr>
          <w:rFonts w:ascii="Times New Roman" w:eastAsia="黑体" w:cs="Times New Roman" w:hAnsi="Times New Roman"/>
          <w:sz w:val="32"/>
          <w:szCs w:val="32"/>
          <w:highlight w:val="auto"/>
        </w:rPr>
        <w:t>四、整改建议</w:t>
      </w:r>
    </w:p>
    <w:p>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eastAsia="楷体_GB2312" w:cs="Times New Roman" w:hAnsi="Times New Roman"/>
          <w:b/>
          <w:bCs w:val="0"/>
          <w:sz w:val="32"/>
          <w:szCs w:val="32"/>
          <w:highlight w:val="auto"/>
        </w:rPr>
      </w:pPr>
      <w:r>
        <w:rPr>
          <w:rFonts w:ascii="Times New Roman" w:eastAsia="楷体_GB2312" w:cs="Times New Roman" w:hAnsi="Times New Roman"/>
          <w:b/>
          <w:bCs w:val="0"/>
          <w:sz w:val="32"/>
          <w:szCs w:val="32"/>
          <w:highlight w:val="auto"/>
        </w:rPr>
        <w:t>（一）</w:t>
      </w:r>
      <w:r>
        <w:rPr>
          <w:rFonts w:ascii="Times New Roman" w:eastAsia="楷体_GB2312" w:cs="Times New Roman" w:hAnsi="Times New Roman"/>
          <w:b/>
          <w:bCs w:val="0"/>
          <w:sz w:val="32"/>
          <w:szCs w:val="32"/>
          <w:lang w:eastAsia="zh-CN"/>
          <w:highlight w:val="auto"/>
        </w:rPr>
        <w:t>提高</w:t>
      </w:r>
      <w:r>
        <w:rPr>
          <w:rFonts w:ascii="Times New Roman" w:eastAsia="楷体_GB2312" w:cs="Times New Roman" w:hAnsi="Times New Roman"/>
          <w:b/>
          <w:bCs w:val="0"/>
          <w:sz w:val="32"/>
          <w:szCs w:val="32"/>
          <w:highlight w:val="auto"/>
        </w:rPr>
        <w:t>会计基础</w:t>
      </w:r>
    </w:p>
    <w:p>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eastAsia="仿宋_GB2312" w:cs="Times New Roman" w:hAnsi="Times New Roman"/>
          <w:b w:val="0"/>
          <w:bCs/>
          <w:sz w:val="32"/>
          <w:szCs w:val="32"/>
          <w:highlight w:val="auto"/>
        </w:rPr>
      </w:pPr>
      <w:r>
        <w:rPr>
          <w:rFonts w:ascii="Times New Roman" w:eastAsia="仿宋_GB2312" w:cs="Times New Roman" w:hAnsi="Times New Roman"/>
          <w:b w:val="0"/>
          <w:bCs/>
          <w:sz w:val="32"/>
          <w:szCs w:val="32"/>
          <w:highlight w:val="auto"/>
        </w:rPr>
        <w:t>按照《中华人民共和国会计法》和国家统一会计制度的要求，各单位要明确单位主体责任，科学合理设置会计岗位，配备法规意识强、业务素质高、职业道德好的会计人员。要加强会计基础工作，保证会计资料的真实、完整。各单位要进一步明确会计岗位职责，设立会计、出纳岗位，并完善制定内控制度、稽核制度、会计和出纳岗位制度等相关财经制度</w:t>
      </w:r>
      <w:r>
        <w:rPr>
          <w:rFonts w:ascii="Times New Roman" w:eastAsia="仿宋_GB2312" w:cs="Times New Roman" w:hAnsi="Times New Roman"/>
          <w:b w:val="0"/>
          <w:bCs/>
          <w:sz w:val="32"/>
          <w:szCs w:val="32"/>
          <w:lang w:eastAsia="zh-CN"/>
          <w:highlight w:val="auto"/>
        </w:rPr>
        <w:t>，使项目事前、事中、事后均有据可循</w:t>
      </w:r>
      <w:r>
        <w:rPr>
          <w:rFonts w:ascii="Times New Roman" w:eastAsia="仿宋_GB2312" w:cs="Times New Roman" w:hAnsi="Times New Roman"/>
          <w:b w:val="0"/>
          <w:bCs/>
          <w:sz w:val="32"/>
          <w:szCs w:val="32"/>
          <w:highlight w:val="auto"/>
        </w:rPr>
        <w:t>。各单位对重大财务事项必须集体决策，并严格按照各项财经制度进行审核、审批和执行，依法办理会计事项和核算各类经济业务。</w:t>
      </w:r>
    </w:p>
    <w:p>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（二）加强项目资金管理，提高资金使用绩效。</w:t>
      </w:r>
    </w:p>
    <w:p>
      <w:pPr>
        <w:keepNext w:val="0"/>
        <w:keepLines w:val="0"/>
        <w:pageBreakBefore w:val="0"/>
        <w:widowControl w:val="0"/>
        <w:kinsoku/>
        <w:wordWrap/>
        <w:overflowPunct/>
        <w:topLinePunct w:val="0"/>
        <w:autoSpaceDE/>
        <w:autoSpaceDN/>
        <w:bidi w:val="0"/>
        <w:adjustRightInd/>
        <w:snapToGrid/>
        <w:spacing w:line="560" w:lineRule="exact"/>
        <w:ind w:firstLine="645"/>
        <w:rPr>
          <w:rFonts w:ascii="Times New Roman" w:eastAsia="仿宋_GB2312" w:cs="Times New Roman" w:hAnsi="Times New Roman"/>
          <w:b w:val="0"/>
          <w:bCs/>
          <w:sz w:val="32"/>
          <w:szCs w:val="32"/>
          <w:lang w:eastAsia="zh-CN"/>
          <w:highlight w:val="auto"/>
        </w:rPr>
      </w:pPr>
      <w:r>
        <w:rPr>
          <w:rFonts w:ascii="Times New Roman" w:eastAsia="仿宋_GB2312" w:cs="Times New Roman" w:hAnsi="Times New Roman"/>
          <w:b w:val="0"/>
          <w:bCs/>
          <w:sz w:val="32"/>
          <w:szCs w:val="32"/>
          <w:lang w:eastAsia="zh-CN"/>
          <w:highlight w:val="auto"/>
        </w:rPr>
        <w:t>各单位应</w:t>
      </w:r>
      <w:r>
        <w:rPr>
          <w:rFonts w:ascii="Times New Roman" w:eastAsia="仿宋_GB2312" w:cs="Times New Roman" w:hAnsi="Times New Roman"/>
          <w:b w:val="0"/>
          <w:bCs/>
          <w:sz w:val="32"/>
          <w:szCs w:val="32"/>
          <w:highlight w:val="auto"/>
        </w:rPr>
        <w:t>建立健全</w:t>
      </w:r>
      <w:r>
        <w:rPr>
          <w:rFonts w:ascii="Times New Roman" w:eastAsia="仿宋_GB2312" w:cs="Times New Roman" w:hAnsi="Times New Roman"/>
          <w:b w:val="0"/>
          <w:bCs/>
          <w:sz w:val="32"/>
          <w:szCs w:val="32"/>
          <w:lang w:eastAsia="zh-CN"/>
          <w:highlight w:val="auto"/>
        </w:rPr>
        <w:t>本单位</w:t>
      </w:r>
      <w:r>
        <w:rPr>
          <w:rFonts w:ascii="Times New Roman" w:eastAsia="仿宋_GB2312" w:cs="Times New Roman" w:hAnsi="Times New Roman"/>
          <w:b w:val="0"/>
          <w:bCs/>
          <w:sz w:val="32"/>
          <w:szCs w:val="32"/>
          <w:highlight w:val="auto"/>
        </w:rPr>
        <w:t>资金管理制度，制定项目管理办法与专项资金管理办法</w:t>
      </w:r>
      <w:r>
        <w:rPr>
          <w:rFonts w:ascii="Times New Roman" w:eastAsia="仿宋_GB2312" w:cs="Times New Roman" w:hAnsi="Times New Roman"/>
          <w:b w:val="0"/>
          <w:bCs/>
          <w:sz w:val="32"/>
          <w:szCs w:val="32"/>
          <w:lang w:eastAsia="zh-CN"/>
          <w:highlight w:val="auto"/>
        </w:rPr>
        <w:t>，</w:t>
      </w:r>
      <w:r>
        <w:rPr>
          <w:rFonts w:ascii="Times New Roman" w:eastAsia="仿宋_GB2312" w:cs="Times New Roman" w:hAnsi="Times New Roman"/>
          <w:b w:val="0"/>
          <w:bCs/>
          <w:sz w:val="32"/>
          <w:szCs w:val="32"/>
          <w:highlight w:val="auto"/>
        </w:rPr>
        <w:t>规范资金用途，做</w:t>
      </w:r>
      <w:r>
        <w:rPr>
          <w:rFonts w:ascii="Times New Roman" w:eastAsia="仿宋_GB2312" w:cs="Times New Roman" w:hAnsi="Times New Roman"/>
          <w:b w:val="0"/>
          <w:bCs/>
          <w:sz w:val="32"/>
          <w:szCs w:val="32"/>
          <w:lang w:eastAsia="zh-CN"/>
          <w:highlight w:val="auto"/>
        </w:rPr>
        <w:t>到</w:t>
      </w:r>
      <w:r>
        <w:rPr>
          <w:rFonts w:ascii="Times New Roman" w:eastAsia="仿宋_GB2312" w:cs="Times New Roman" w:hAnsi="Times New Roman"/>
          <w:b w:val="0"/>
          <w:bCs/>
          <w:sz w:val="32"/>
          <w:szCs w:val="32"/>
          <w:highlight w:val="auto"/>
        </w:rPr>
        <w:t>专款专用，切实发挥好县级财政资金的最大效益。</w:t>
      </w:r>
      <w:r>
        <w:rPr>
          <w:rFonts w:ascii="Times New Roman" w:eastAsia="仿宋_GB2312" w:cs="Times New Roman" w:hAnsi="Times New Roman"/>
          <w:b w:val="0"/>
          <w:bCs/>
          <w:sz w:val="32"/>
          <w:szCs w:val="32"/>
          <w:lang w:eastAsia="zh-CN"/>
          <w:highlight w:val="auto"/>
        </w:rPr>
        <w:t>完善项目资金使用方案，明确资金使用方向、分配方式，对覆盖对象充分论证研究，做到公平公正。</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5"/>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严格预算编制</w:t>
      </w:r>
    </w:p>
    <w:p>
      <w:pPr>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val="en-US" w:eastAsia="zh-CN"/>
          <w:highlight w:val="auto"/>
        </w:rPr>
        <w:t xml:space="preserve">    项目资金预算在做到应纳尽纳的同时，应充分考虑项目实际，结合项目可行性、覆盖对象等可预见因素，严格控制预算，减少资金结存浪费，提升资金使用效益。</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1"/>
        <w:rPr>
          <w:rFonts w:ascii="Times New Roman" w:eastAsia="楷体_GB2312" w:cs="Times New Roman" w:hAnsi="Times New Roman"/>
          <w:b/>
          <w:bCs w:val="0"/>
          <w:sz w:val="32"/>
          <w:szCs w:val="32"/>
          <w:lang w:val="en-US" w:eastAsia="zh-CN"/>
          <w:highlight w:val="auto"/>
        </w:rPr>
      </w:pPr>
      <w:r>
        <w:rPr>
          <w:rFonts w:ascii="Times New Roman" w:eastAsia="楷体_GB2312" w:cs="Times New Roman" w:hAnsi="Times New Roman"/>
          <w:b/>
          <w:bCs w:val="0"/>
          <w:sz w:val="32"/>
          <w:szCs w:val="32"/>
          <w:lang w:val="en-US" w:eastAsia="zh-CN"/>
          <w:highlight w:val="auto"/>
        </w:rPr>
        <w:t>强化绩效目标编制</w:t>
      </w:r>
    </w:p>
    <w:p>
      <w:pPr>
        <w:pStyle w:val="18"/>
        <w:keepNext w:val="0"/>
        <w:keepLines w:val="0"/>
        <w:pageBreakBefore w:val="0"/>
        <w:widowControl w:val="0"/>
        <w:kinsoku/>
        <w:wordWrap/>
        <w:overflowPunct/>
        <w:topLinePunct w:val="0"/>
        <w:autoSpaceDE/>
        <w:autoSpaceDN/>
        <w:bidi w:val="0"/>
        <w:adjustRightInd/>
        <w:snapToGrid/>
        <w:spacing w:line="560" w:lineRule="exact"/>
        <w:ind w:leftChars="0" w:left="0" w:right="0" w:firstLineChars="0" w:firstLine="604"/>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val="0"/>
          <w:bCs/>
          <w:sz w:val="32"/>
          <w:szCs w:val="32"/>
          <w:lang w:val="en-US" w:eastAsia="zh-CN"/>
          <w:highlight w:val="auto"/>
        </w:rPr>
        <w:t xml:space="preserve"> 各单位应严格按照《中共四川省委四川省人民政府关于全面实施预算绩效管理的实施意见》、《全省预算绩效管理工作推进方案》、《金川县2021年预算绩效管理工作要点》、《金川县财政局预算绩效管理工作实施方案》等文件要求，提高资金绩效管理意识，强化绩效目标编制，做到“目标切实可行、指标精准可量化”，开展项目绩效监控，并对有问题的项目及时分类处置，绩效评价应落到实处，</w:t>
      </w:r>
      <w:r>
        <w:rPr>
          <w:rFonts w:ascii="Times New Roman" w:eastAsia="仿宋_GB2312" w:cs="Times New Roman" w:hAnsi="Times New Roman"/>
          <w:sz w:val="32"/>
          <w:szCs w:val="32"/>
          <w:lang w:val="en-US" w:eastAsia="zh-CN"/>
          <w:highlight w:val="auto"/>
        </w:rPr>
        <w:t>对各项指标完成情况认真研判，找出自身问题所在。</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楷体_GB2312" w:cs="Times New Roman" w:hAnsi="Times New Roman"/>
          <w:b/>
          <w:bCs w:val="0"/>
          <w:sz w:val="32"/>
          <w:szCs w:val="32"/>
          <w:lang w:val="en-US" w:eastAsia="zh-CN"/>
          <w:highlight w:val="auto"/>
        </w:rPr>
      </w:pPr>
      <w:r>
        <w:rPr>
          <w:rFonts w:ascii="Times New Roman" w:eastAsia="楷体_GB2312" w:cs="Times New Roman" w:hAnsi="Times New Roman"/>
          <w:b/>
          <w:bCs w:val="0"/>
          <w:sz w:val="32"/>
          <w:szCs w:val="32"/>
          <w:lang w:val="en-US" w:eastAsia="zh-CN"/>
          <w:highlight w:val="auto"/>
        </w:rPr>
        <w:t>（五）严格预算约束</w:t>
      </w:r>
    </w:p>
    <w:p>
      <w:pPr>
        <w:keepNext w:val="0"/>
        <w:keepLines w:val="0"/>
        <w:pageBreakBefore w:val="0"/>
        <w:widowControl w:val="0"/>
        <w:kinsoku/>
        <w:wordWrap/>
        <w:overflowPunct/>
        <w:topLinePunct w:val="0"/>
        <w:autoSpaceDE/>
        <w:autoSpaceDN/>
        <w:bidi w:val="0"/>
        <w:adjustRightInd/>
        <w:snapToGrid/>
        <w:spacing w:line="560" w:lineRule="exact"/>
        <w:ind w:left="0" w:firstLine="642"/>
        <w:rPr>
          <w:rFonts w:ascii="Times New Roman" w:eastAsia="仿宋_GB2312" w:cs="Times New Roman" w:hAnsi="Times New Roman"/>
          <w:kern w:val="2"/>
          <w:sz w:val="32"/>
          <w:szCs w:val="32"/>
          <w:lang w:val="en-US" w:eastAsia="zh-CN" w:bidi="ar-SA"/>
          <w:highlight w:val="auto"/>
        </w:rPr>
      </w:pPr>
      <w:r>
        <w:rPr>
          <w:rFonts w:ascii="Times New Roman" w:eastAsia="仿宋_GB2312" w:cs="Times New Roman" w:hAnsi="Times New Roman"/>
          <w:kern w:val="2"/>
          <w:sz w:val="32"/>
          <w:szCs w:val="32"/>
          <w:lang w:val="en-US" w:eastAsia="zh-CN" w:bidi="ar-SA"/>
          <w:highlight w:val="auto"/>
        </w:rPr>
        <w:t>预算一旦被确定下来，任何人不得进行更改、增删，预算“突破”需经人民代表大会讨论通过并且预算按照严格的审批程序进行。</w:t>
      </w: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eastAsia="楷体_GB2312" w:cs="Times New Roman" w:hAnsi="Times New Roman"/>
          <w:b/>
          <w:bCs/>
          <w:kern w:val="2"/>
          <w:sz w:val="32"/>
          <w:szCs w:val="32"/>
          <w:lang w:val="en-US" w:eastAsia="zh-CN" w:bidi="ar-SA"/>
          <w:highlight w:val="auto"/>
        </w:rPr>
      </w:pPr>
      <w:r>
        <w:rPr>
          <w:rFonts w:ascii="Times New Roman" w:eastAsia="楷体_GB2312" w:cs="Times New Roman" w:hAnsi="Times New Roman"/>
          <w:b/>
          <w:bCs/>
          <w:kern w:val="2"/>
          <w:sz w:val="32"/>
          <w:szCs w:val="32"/>
          <w:lang w:val="en-US" w:eastAsia="zh-CN" w:bidi="ar-SA"/>
          <w:highlight w:val="auto"/>
        </w:rPr>
        <w:t>（六）积极完善经济合同管理</w:t>
      </w:r>
    </w:p>
    <w:p>
      <w:pPr>
        <w:keepNext w:val="0"/>
        <w:keepLines w:val="0"/>
        <w:pageBreakBefore w:val="0"/>
        <w:widowControl w:val="0"/>
        <w:kinsoku/>
        <w:wordWrap/>
        <w:overflowPunct/>
        <w:topLinePunct w:val="0"/>
        <w:autoSpaceDE/>
        <w:autoSpaceDN/>
        <w:bidi w:val="0"/>
        <w:adjustRightInd/>
        <w:snapToGrid/>
        <w:spacing w:line="560" w:lineRule="exact"/>
        <w:ind w:firstLine="640"/>
        <w:rPr>
          <w:rFonts w:ascii="Times New Roman" w:eastAsia="仿宋_GB2312" w:cs="Times New Roman" w:hAnsi="Times New Roman"/>
          <w:kern w:val="2"/>
          <w:sz w:val="32"/>
          <w:szCs w:val="32"/>
          <w:lang w:val="en-US" w:eastAsia="zh-CN" w:bidi="ar-SA"/>
          <w:highlight w:val="auto"/>
        </w:rPr>
      </w:pPr>
      <w:r>
        <w:rPr>
          <w:rFonts w:ascii="Times New Roman" w:eastAsia="仿宋_GB2312" w:cs="Times New Roman" w:hAnsi="Times New Roman"/>
          <w:b/>
          <w:bCs/>
          <w:kern w:val="2"/>
          <w:sz w:val="32"/>
          <w:szCs w:val="32"/>
          <w:lang w:val="en-US" w:eastAsia="zh-CN" w:bidi="ar-SA"/>
          <w:highlight w:val="auto"/>
        </w:rPr>
        <w:t>一是</w:t>
      </w:r>
      <w:r>
        <w:rPr>
          <w:rFonts w:ascii="Times New Roman" w:eastAsia="仿宋_GB2312" w:cs="Times New Roman" w:hAnsi="Times New Roman"/>
          <w:kern w:val="2"/>
          <w:sz w:val="32"/>
          <w:szCs w:val="32"/>
          <w:lang w:val="en-US" w:eastAsia="zh-CN" w:bidi="ar-SA"/>
          <w:highlight w:val="auto"/>
        </w:rPr>
        <w:t>建立健全合同的决策、监督、管理机制，加强合同管理，做好合同的登记、管理和存档工作，对贵单位经济合同建立台账，对应签未签的经济合同进行补漏；</w:t>
      </w:r>
      <w:r>
        <w:rPr>
          <w:rFonts w:ascii="Times New Roman" w:eastAsia="仿宋_GB2312" w:cs="Times New Roman" w:hAnsi="Times New Roman"/>
          <w:b/>
          <w:bCs/>
          <w:kern w:val="2"/>
          <w:sz w:val="32"/>
          <w:szCs w:val="32"/>
          <w:lang w:val="en-US" w:eastAsia="zh-CN" w:bidi="ar-SA"/>
          <w:highlight w:val="auto"/>
        </w:rPr>
        <w:t>二是</w:t>
      </w:r>
      <w:r>
        <w:rPr>
          <w:rFonts w:ascii="Times New Roman" w:eastAsia="仿宋_GB2312" w:cs="Times New Roman" w:hAnsi="Times New Roman"/>
          <w:kern w:val="2"/>
          <w:sz w:val="32"/>
          <w:szCs w:val="32"/>
          <w:lang w:val="en-US" w:eastAsia="zh-CN" w:bidi="ar-SA"/>
          <w:highlight w:val="auto"/>
        </w:rPr>
        <w:t>对已签定的经济合同进行梳理，完善合同要素，确定需补充事项，明确双方权利、义务、责任，保证经济合同安全有效，防范合同风险；</w:t>
      </w:r>
      <w:r>
        <w:rPr>
          <w:rFonts w:ascii="Times New Roman" w:eastAsia="仿宋_GB2312" w:cs="Times New Roman" w:hAnsi="Times New Roman"/>
          <w:b/>
          <w:bCs/>
          <w:kern w:val="2"/>
          <w:sz w:val="32"/>
          <w:szCs w:val="32"/>
          <w:lang w:val="en-US" w:eastAsia="zh-CN" w:bidi="ar-SA"/>
          <w:highlight w:val="auto"/>
        </w:rPr>
        <w:t>三是</w:t>
      </w:r>
      <w:r>
        <w:rPr>
          <w:rFonts w:ascii="Times New Roman" w:eastAsia="仿宋_GB2312" w:cs="Times New Roman" w:hAnsi="Times New Roman"/>
          <w:kern w:val="2"/>
          <w:sz w:val="32"/>
          <w:szCs w:val="32"/>
          <w:lang w:val="en-US" w:eastAsia="zh-CN" w:bidi="ar-SA"/>
          <w:highlight w:val="auto"/>
        </w:rPr>
        <w:t>对相关合同管理人员进行培训，增强其业务水平及责任意识。</w:t>
      </w:r>
    </w:p>
    <w:p>
      <w:pPr>
        <w:pStyle w:val="18"/>
        <w:keepNext w:val="0"/>
        <w:keepLines w:val="0"/>
        <w:pageBreakBefore w:val="0"/>
        <w:widowControl w:val="0"/>
        <w:kinsoku/>
        <w:wordWrap/>
        <w:overflowPunct/>
        <w:topLinePunct w:val="0"/>
        <w:autoSpaceDE/>
        <w:autoSpaceDN/>
        <w:bidi w:val="0"/>
        <w:adjustRightInd/>
        <w:snapToGrid/>
        <w:spacing w:line="560" w:lineRule="exact"/>
        <w:rPr>
          <w:rFonts w:ascii="Times New Roman" w:eastAsia="仿宋_GB2312" w:cs="Times New Roman" w:hAnsi="Times New Roman"/>
          <w:kern w:val="2"/>
          <w:sz w:val="32"/>
          <w:szCs w:val="32"/>
          <w:lang w:val="en-US" w:eastAsia="zh-CN" w:bidi="ar-SA"/>
          <w:highlight w:val="auto"/>
        </w:rPr>
      </w:pPr>
    </w:p>
    <w:p>
      <w:pPr>
        <w:keepNext w:val="0"/>
        <w:keepLines w:val="0"/>
        <w:pageBreakBefore w:val="0"/>
        <w:widowControl w:val="0"/>
        <w:kinsoku/>
        <w:wordWrap/>
        <w:overflowPunct/>
        <w:topLinePunct w:val="0"/>
        <w:autoSpaceDE/>
        <w:autoSpaceDN/>
        <w:bidi w:val="0"/>
        <w:adjustRightInd/>
        <w:snapToGrid/>
        <w:spacing w:line="560" w:lineRule="exact"/>
      </w:pPr>
    </w:p>
    <w:sectPr>
      <w:footerReference w:type="default" r:id="rId2"/>
      <w:pgSz w:w="11906" w:h="16838"/>
      <w:pgMar w:top="2098" w:right="1474" w:bottom="1984" w:left="1587"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panose1 w:val="02010601030101010101"/>
    <w:charset w:val="86"/>
    <w:family w:val="auto"/>
    <w:pitch w:val="variable"/>
    <w:sig w:usb0="00000001" w:usb1="080E0000" w:usb2="00000000" w:usb3="00000000" w:csb0="00040000" w:csb1="00000000"/>
  </w:font>
  <w:font w:name="Times New Roman">
    <w:panose1 w:val="02020603050405020304"/>
    <w:charset w:val="86"/>
    <w:family w:val="auto"/>
    <w:pitch w:val="variable"/>
    <w:sig w:usb0="E0002AFF" w:usb1="C0007841"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Courier New">
    <w:altName w:val="DejaVu Sans"/>
    <w:panose1 w:val="02070309020205020404"/>
    <w:charset w:val="01"/>
    <w:family w:val="modern"/>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Luxi Sans">
    <w:altName w:val="DejaVu Sans"/>
    <w:panose1 w:val="00000000000000000000"/>
    <w:charset w:val="00"/>
    <w:family w:val="auto"/>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499" cy="230251"/>
                      </a:xfrm>
                      <a:prstGeom prst="rect"/>
                      <a:noFill/>
                      <a:ln w="9525" cmpd="sng" cap="flat">
                        <a:noFill/>
                        <a:prstDash val="solid"/>
                        <a:round/>
                      </a:ln>
                    </wps:spPr>
                    <wps:txbx id="2">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1</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yle="position:absolute;margin-left:407.24805pt;margin-top:0.0pt;width:34.999985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6"/>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1</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FABA38C"/>
    <w:multiLevelType w:val="singleLevel"/>
    <w:tmpl w:val="5FABA38C"/>
    <w:lvl w:ilvl="0">
      <w:start w:val="2"/>
      <w:numFmt w:val="decimal"/>
      <w:lvlRestart w:val="0"/>
      <w:suff w:val="nothing"/>
      <w:lvlText w:val="%1."/>
      <w:lvlJc w:val="left"/>
      <w:pPr>
        <w:tabs>
          <w:tab w:val="num" w:pos="0"/>
        </w:tabs>
        <w:ind w:left="0" w:hanging="0"/>
      </w:pPr>
    </w:lvl>
  </w:abstractNum>
  <w:abstractNum w:abstractNumId="1">
    <w:nsid w:val="5FAF5837"/>
    <w:multiLevelType w:val="singleLevel"/>
    <w:tmpl w:val="5FAF5837"/>
    <w:lvl w:ilvl="0">
      <w:start w:val="3"/>
      <w:numFmt w:val="chineseCounting"/>
      <w:lvlRestart w:val="0"/>
      <w:suff w:val="nothing"/>
      <w:lvlText w:val="（%1）"/>
      <w:lvlJc w:val="left"/>
      <w:pPr>
        <w:tabs>
          <w:tab w:val="num" w:pos="0"/>
        </w:tabs>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zQ0N2YwNGQ1MzVhYzU5OTgwOGFjOWE1MWI5YjA1MW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Normal Indent"/>
    <w:basedOn w:val="0"/>
    <w:pPr>
      <w:ind w:firstLineChars="200" w:firstLine="200"/>
    </w:pPr>
  </w:style>
  <w:style w:type="paragraph" w:styleId="16">
    <w:name w:val="footer"/>
    <w:basedOn w:val="0"/>
    <w:pPr>
      <w:tabs>
        <w:tab w:val="center" w:pos="4153"/>
        <w:tab w:val="right" w:pos="8306"/>
      </w:tabs>
      <w:snapToGrid w:val="0"/>
      <w:jc w:val="left"/>
    </w:pPr>
    <w:rPr>
      <w:sz w:val="18"/>
    </w:rPr>
  </w:style>
  <w:style w:type="paragraph" w:styleId="17">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8">
    <w:name w:val="table of figures"/>
    <w:basedOn w:val="0"/>
    <w:next w:val="0"/>
    <w:pPr>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26</Pages>
  <Words>10383</Words>
  <Characters>12211</Characters>
  <Lines>1066</Lines>
  <Paragraphs>515</Paragraphs>
  <CharactersWithSpaces>12537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2022-07-20T08:53:00Z</dcterms:created>
  <dcterms:modified xsi:type="dcterms:W3CDTF">2022-08-02T08:17:12Z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2052-11.1.0.11830</vt:lpwstr>
  </property>
  <property fmtid="{D5CDD505-2E9C-101B-9397-08002B2CF9AE}" pid="3" name="ICV">
    <vt:lpwstr>170583FFCAA444DA83DF15EFC41E8535</vt:lpwstr>
  </property>
</Properties>
</file>