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2000" w:type="dxa"/>
        <w:jc w:val="center"/>
        <w:tblCellSpacing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jc w:val="center"/>
        </w:trPr>
        <w:tc>
          <w:tcPr>
            <w:tcW w:w="12000" w:type="dxa"/>
            <w:shd w:val="clear" w:color="auto" w:fill="FFFFFF"/>
          </w:tcPr>
          <w:tbl>
            <w:tblPr>
              <w:tblStyle w:val="5"/>
              <w:tblW w:w="12000" w:type="dxa"/>
              <w:tblCellSpacing w:w="0" w:type="dxa"/>
              <w:tblInd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trPr>
              <w:tc>
                <w:tcPr>
                  <w:tcW w:w="12000" w:type="dxa"/>
                </w:tcPr>
                <w:tbl>
                  <w:tblPr>
                    <w:tblStyle w:val="5"/>
                    <w:tblW w:w="12000" w:type="dxa"/>
                    <w:tblCellSpacing w:w="0" w:type="dxa"/>
                    <w:tblInd w:w="0" w:type="dxa"/>
                    <w:tblLayout w:type="fixed"/>
                    <w:tblCellMar>
                      <w:top w:w="0" w:type="dxa"/>
                      <w:left w:w="0" w:type="dxa"/>
                      <w:bottom w:w="0" w:type="dxa"/>
                      <w:right w:w="0" w:type="dxa"/>
                    </w:tblCellMar>
                  </w:tblPr>
                  <w:tblGrid>
                    <w:gridCol w:w="10650"/>
                    <w:gridCol w:w="1350"/>
                  </w:tblGrid>
                  <w:tr>
                    <w:tblPrEx>
                      <w:tblCellMar>
                        <w:top w:w="0" w:type="dxa"/>
                        <w:left w:w="0" w:type="dxa"/>
                        <w:bottom w:w="0" w:type="dxa"/>
                        <w:right w:w="0" w:type="dxa"/>
                      </w:tblCellMar>
                    </w:tblPrEx>
                    <w:trPr>
                      <w:tblCellSpacing w:w="0" w:type="dxa"/>
                    </w:trPr>
                    <w:tc>
                      <w:tcPr>
                        <w:tcW w:w="10650" w:type="dxa"/>
                        <w:tcMar>
                          <w:top w:w="0" w:type="dxa"/>
                          <w:left w:w="30" w:type="dxa"/>
                          <w:bottom w:w="30" w:type="dxa"/>
                          <w:right w:w="30" w:type="dxa"/>
                        </w:tcMar>
                      </w:tcPr>
                      <w:tbl>
                        <w:tblPr>
                          <w:tblStyle w:val="5"/>
                          <w:tblW w:w="10590" w:type="dxa"/>
                          <w:tblCellSpacing w:w="0" w:type="dxa"/>
                          <w:tblInd w:w="0" w:type="dxa"/>
                          <w:shd w:val="clear" w:color="auto" w:fill="FFFFFF"/>
                          <w:tblLayout w:type="fixed"/>
                          <w:tblCellMar>
                            <w:top w:w="0" w:type="dxa"/>
                            <w:left w:w="0" w:type="dxa"/>
                            <w:bottom w:w="0" w:type="dxa"/>
                            <w:right w:w="0" w:type="dxa"/>
                          </w:tblCellMar>
                        </w:tblPr>
                        <w:tblGrid>
                          <w:gridCol w:w="10590"/>
                        </w:tblGrid>
                        <w:tr>
                          <w:tblPrEx>
                            <w:shd w:val="clear" w:color="auto" w:fill="FFFFFF"/>
                            <w:tblCellMar>
                              <w:top w:w="0" w:type="dxa"/>
                              <w:left w:w="0" w:type="dxa"/>
                              <w:bottom w:w="0" w:type="dxa"/>
                              <w:right w:w="0" w:type="dxa"/>
                            </w:tblCellMar>
                          </w:tblPrEx>
                          <w:trPr>
                            <w:tblCellSpacing w:w="0" w:type="dxa"/>
                          </w:trPr>
                          <w:tc>
                            <w:tcPr>
                              <w:tcW w:w="10590" w:type="dxa"/>
                              <w:shd w:val="clear" w:color="auto" w:fill="FFFFFF"/>
                            </w:tcPr>
                            <w:tbl>
                              <w:tblPr>
                                <w:tblStyle w:val="5"/>
                                <w:tblW w:w="8775" w:type="dxa"/>
                                <w:jc w:val="center"/>
                                <w:tblCellSpacing w:w="0" w:type="dxa"/>
                                <w:tblLayout w:type="fixed"/>
                                <w:tblCellMar>
                                  <w:top w:w="0" w:type="dxa"/>
                                  <w:left w:w="0" w:type="dxa"/>
                                  <w:bottom w:w="0" w:type="dxa"/>
                                  <w:right w:w="0" w:type="dxa"/>
                                </w:tblCellMar>
                              </w:tblPr>
                              <w:tblGrid>
                                <w:gridCol w:w="8775"/>
                              </w:tblGrid>
                              <w:tr>
                                <w:tblPrEx>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spacing w:line="120" w:lineRule="auto"/>
                                      <w:rPr>
                                        <w:rFonts w:cs="宋体" w:asciiTheme="minorEastAsia" w:hAnsiTheme="minorEastAsia"/>
                                        <w:b/>
                                        <w:sz w:val="28"/>
                                        <w:szCs w:val="28"/>
                                      </w:rPr>
                                    </w:pPr>
                                    <w:r>
                                      <w:rPr>
                                        <w:rFonts w:hint="eastAsia" w:cs="宋体" w:asciiTheme="minorEastAsia" w:hAnsiTheme="minorEastAsia"/>
                                        <w:b/>
                                        <w:color w:val="333333"/>
                                        <w:kern w:val="0"/>
                                        <w:sz w:val="28"/>
                                        <w:szCs w:val="28"/>
                                      </w:rPr>
                                      <w:t xml:space="preserve">　            </w:t>
                                    </w:r>
                                    <w:r>
                                      <w:rPr>
                                        <w:rFonts w:hint="eastAsia" w:cs="宋体" w:asciiTheme="minorEastAsia" w:hAnsiTheme="minorEastAsia"/>
                                        <w:b/>
                                        <w:kern w:val="0"/>
                                        <w:sz w:val="36"/>
                                        <w:szCs w:val="36"/>
                                      </w:rPr>
                                      <w:t>金川县纪委</w:t>
                                    </w:r>
                                    <w:r>
                                      <w:rPr>
                                        <w:rFonts w:hint="eastAsia" w:cs="宋体" w:asciiTheme="minorEastAsia" w:hAnsiTheme="minorEastAsia"/>
                                        <w:b/>
                                        <w:kern w:val="0"/>
                                        <w:sz w:val="36"/>
                                        <w:szCs w:val="36"/>
                                        <w:lang w:val="en-US" w:eastAsia="zh-CN"/>
                                      </w:rPr>
                                      <w:t>2021</w:t>
                                    </w:r>
                                    <w:r>
                                      <w:rPr>
                                        <w:rFonts w:hint="eastAsia" w:cs="宋体" w:asciiTheme="minorEastAsia" w:hAnsiTheme="minorEastAsia"/>
                                        <w:b/>
                                        <w:kern w:val="0"/>
                                        <w:sz w:val="36"/>
                                        <w:szCs w:val="36"/>
                                      </w:rPr>
                                      <w:t>年部门预算编制说明</w:t>
                                    </w:r>
                                    <w:r>
                                      <w:rPr>
                                        <w:rFonts w:hint="eastAsia" w:cs="宋体" w:asciiTheme="minorEastAsia" w:hAnsiTheme="minorEastAsia"/>
                                        <w:b/>
                                        <w:kern w:val="0"/>
                                        <w:sz w:val="36"/>
                                        <w:szCs w:val="36"/>
                                      </w:rPr>
                                      <w:br w:type="textWrapping"/>
                                    </w:r>
                                    <w:r>
                                      <w:rPr>
                                        <w:rFonts w:hint="eastAsia" w:cs="宋体" w:asciiTheme="minorEastAsia" w:hAnsiTheme="minorEastAsia"/>
                                        <w:b/>
                                        <w:color w:val="333333"/>
                                        <w:kern w:val="0"/>
                                        <w:sz w:val="28"/>
                                        <w:szCs w:val="28"/>
                                      </w:rPr>
                                      <w:t>　　一、基本职能及主要工作</w:t>
                                    </w:r>
                                    <w:r>
                                      <w:rPr>
                                        <w:rFonts w:hint="eastAsia" w:cs="宋体" w:asciiTheme="minorEastAsia" w:hAnsiTheme="minorEastAsia"/>
                                        <w:b/>
                                        <w:color w:val="333333"/>
                                        <w:kern w:val="0"/>
                                        <w:sz w:val="28"/>
                                        <w:szCs w:val="28"/>
                                      </w:rPr>
                                      <w:br w:type="textWrapping"/>
                                    </w:r>
                                    <w:r>
                                      <w:rPr>
                                        <w:rFonts w:hint="eastAsia" w:cs="宋体" w:asciiTheme="minorEastAsia" w:hAnsiTheme="minorEastAsia"/>
                                        <w:b/>
                                        <w:bCs/>
                                        <w:color w:val="333333"/>
                                        <w:kern w:val="0"/>
                                        <w:sz w:val="28"/>
                                        <w:szCs w:val="28"/>
                                      </w:rPr>
                                      <w:t xml:space="preserve">　   </w:t>
                                    </w:r>
                                    <w:r>
                                      <w:rPr>
                                        <w:rFonts w:hint="eastAsia" w:cs="宋体" w:asciiTheme="minorEastAsia" w:hAnsiTheme="minorEastAsia"/>
                                        <w:b/>
                                        <w:sz w:val="28"/>
                                        <w:szCs w:val="28"/>
                                      </w:rPr>
                                      <w:t>（一）职能简介和主要职责</w:t>
                                    </w:r>
                                  </w:p>
                                  <w:p>
                                    <w:pPr>
                                      <w:spacing w:line="120" w:lineRule="auto"/>
                                      <w:ind w:firstLine="759" w:firstLineChars="300"/>
                                      <w:rPr>
                                        <w:rFonts w:cs="宋体" w:asciiTheme="minorEastAsia" w:hAnsiTheme="minorEastAsia"/>
                                        <w:b/>
                                        <w:color w:val="333333"/>
                                        <w:sz w:val="28"/>
                                        <w:szCs w:val="28"/>
                                      </w:rPr>
                                    </w:pPr>
                                    <w:r>
                                      <w:rPr>
                                        <w:rFonts w:hint="eastAsia" w:cs="宋体" w:asciiTheme="minorEastAsia" w:hAnsiTheme="minorEastAsia"/>
                                        <w:b/>
                                        <w:color w:val="000000"/>
                                        <w:spacing w:val="-14"/>
                                        <w:kern w:val="0"/>
                                        <w:sz w:val="28"/>
                                        <w:szCs w:val="28"/>
                                      </w:rPr>
                                      <w:t>主要职能：</w:t>
                                    </w:r>
                                    <w:r>
                                      <w:rPr>
                                        <w:rFonts w:hint="eastAsia" w:cs="宋体" w:asciiTheme="minorEastAsia" w:hAnsiTheme="minorEastAsia"/>
                                        <w:b/>
                                        <w:snapToGrid w:val="0"/>
                                        <w:kern w:val="0"/>
                                        <w:sz w:val="28"/>
                                        <w:szCs w:val="28"/>
                                      </w:rPr>
                                      <w:t>县纪委和县监委实行合署办公，履行纪检、监察两项职能，实行一套工作机构、两个机关名称。</w:t>
                                    </w:r>
                                    <w:r>
                                      <w:rPr>
                                        <w:rFonts w:hint="eastAsia" w:cs="宋体" w:asciiTheme="minorEastAsia" w:hAnsiTheme="minorEastAsia"/>
                                        <w:b/>
                                        <w:color w:val="333333"/>
                                        <w:sz w:val="28"/>
                                        <w:szCs w:val="28"/>
                                        <w:shd w:val="clear" w:color="auto" w:fill="FFFFFF"/>
                                      </w:rPr>
                                      <w:t xml:space="preserve">  </w:t>
                                    </w:r>
                                  </w:p>
                                  <w:p>
                                    <w:pPr>
                                      <w:spacing w:line="120" w:lineRule="auto"/>
                                      <w:rPr>
                                        <w:rFonts w:cs="宋体" w:asciiTheme="minorEastAsia" w:hAnsiTheme="minorEastAsia"/>
                                        <w:b/>
                                        <w:sz w:val="28"/>
                                        <w:szCs w:val="28"/>
                                      </w:rPr>
                                    </w:pPr>
                                    <w:r>
                                      <w:rPr>
                                        <w:rFonts w:hint="eastAsia" w:cs="宋体" w:asciiTheme="minorEastAsia" w:hAnsiTheme="minorEastAsia"/>
                                        <w:b/>
                                        <w:color w:val="333333"/>
                                        <w:kern w:val="0"/>
                                        <w:sz w:val="28"/>
                                        <w:szCs w:val="28"/>
                                      </w:rPr>
                                      <w:t>　　　</w:t>
                                    </w:r>
                                    <w:r>
                                      <w:rPr>
                                        <w:rFonts w:hint="eastAsia" w:cs="宋体" w:asciiTheme="minorEastAsia" w:hAnsiTheme="minorEastAsia"/>
                                        <w:b/>
                                        <w:sz w:val="28"/>
                                        <w:szCs w:val="28"/>
                                      </w:rPr>
                                      <w:t>（二）202</w:t>
                                    </w:r>
                                    <w:r>
                                      <w:rPr>
                                        <w:rFonts w:hint="eastAsia" w:cs="宋体" w:asciiTheme="minorEastAsia" w:hAnsiTheme="minorEastAsia"/>
                                        <w:b/>
                                        <w:sz w:val="28"/>
                                        <w:szCs w:val="28"/>
                                        <w:lang w:val="en-US" w:eastAsia="zh-CN"/>
                                      </w:rPr>
                                      <w:t>1</w:t>
                                    </w:r>
                                    <w:r>
                                      <w:rPr>
                                        <w:rFonts w:hint="eastAsia" w:cs="宋体" w:asciiTheme="minorEastAsia" w:hAnsiTheme="minorEastAsia"/>
                                        <w:b/>
                                        <w:sz w:val="28"/>
                                        <w:szCs w:val="28"/>
                                      </w:rPr>
                                      <w:t>年重点工作</w:t>
                                    </w:r>
                                  </w:p>
                                  <w:p>
                                    <w:pPr>
                                      <w:spacing w:line="12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1.</w:t>
                                    </w:r>
                                    <w:r>
                                      <w:rPr>
                                        <w:rFonts w:hint="eastAsia" w:cs="宋体" w:asciiTheme="minorEastAsia" w:hAnsiTheme="minorEastAsia"/>
                                        <w:b/>
                                        <w:bCs/>
                                        <w:sz w:val="28"/>
                                        <w:szCs w:val="28"/>
                                      </w:rPr>
                                      <w:t>全面贯彻十九大精神，强化监督检查，确保重大决策部署落实。</w:t>
                                    </w:r>
                                  </w:p>
                                  <w:p>
                                    <w:pPr>
                                      <w:spacing w:line="120" w:lineRule="auto"/>
                                      <w:ind w:firstLine="562" w:firstLineChars="200"/>
                                      <w:rPr>
                                        <w:rFonts w:cs="宋体" w:asciiTheme="minorEastAsia" w:hAnsiTheme="minorEastAsia"/>
                                        <w:b/>
                                        <w:sz w:val="28"/>
                                        <w:szCs w:val="28"/>
                                      </w:rPr>
                                    </w:pPr>
                                    <w:r>
                                      <w:rPr>
                                        <w:rFonts w:hint="eastAsia" w:cs="宋体" w:asciiTheme="minorEastAsia" w:hAnsiTheme="minorEastAsia"/>
                                        <w:b/>
                                        <w:bCs/>
                                        <w:sz w:val="28"/>
                                        <w:szCs w:val="28"/>
                                      </w:rPr>
                                      <w:t>2</w:t>
                                    </w:r>
                                    <w:r>
                                      <w:rPr>
                                        <w:rFonts w:hint="eastAsia" w:cs="宋体" w:asciiTheme="minorEastAsia" w:hAnsiTheme="minorEastAsia"/>
                                        <w:b/>
                                        <w:sz w:val="28"/>
                                        <w:szCs w:val="28"/>
                                      </w:rPr>
                                      <w:t>.</w:t>
                                    </w:r>
                                    <w:r>
                                      <w:rPr>
                                        <w:rFonts w:hint="eastAsia" w:cs="宋体" w:asciiTheme="minorEastAsia" w:hAnsiTheme="minorEastAsia"/>
                                        <w:b/>
                                        <w:bCs/>
                                        <w:sz w:val="28"/>
                                        <w:szCs w:val="28"/>
                                      </w:rPr>
                                      <w:t>坚持思想建党和制度治党相结合，提高管党治党能力和水平</w:t>
                                    </w:r>
                                    <w:r>
                                      <w:rPr>
                                        <w:rFonts w:hint="eastAsia" w:cs="宋体" w:asciiTheme="minorEastAsia" w:hAnsiTheme="minorEastAsia"/>
                                        <w:b/>
                                        <w:sz w:val="28"/>
                                        <w:szCs w:val="28"/>
                                      </w:rPr>
                                      <w:t>。</w:t>
                                    </w:r>
                                  </w:p>
                                  <w:p>
                                    <w:pPr>
                                      <w:spacing w:line="120" w:lineRule="auto"/>
                                      <w:ind w:firstLine="562" w:firstLineChars="200"/>
                                      <w:rPr>
                                        <w:rFonts w:cs="宋体" w:asciiTheme="minorEastAsia" w:hAnsiTheme="minorEastAsia"/>
                                        <w:b/>
                                        <w:sz w:val="28"/>
                                        <w:szCs w:val="28"/>
                                      </w:rPr>
                                    </w:pPr>
                                    <w:r>
                                      <w:rPr>
                                        <w:rFonts w:hint="eastAsia" w:cs="宋体" w:asciiTheme="minorEastAsia" w:hAnsiTheme="minorEastAsia"/>
                                        <w:b/>
                                        <w:bCs/>
                                        <w:sz w:val="28"/>
                                        <w:szCs w:val="28"/>
                                      </w:rPr>
                                      <w:t>3</w:t>
                                    </w:r>
                                    <w:r>
                                      <w:rPr>
                                        <w:rFonts w:hint="eastAsia" w:cs="宋体" w:asciiTheme="minorEastAsia" w:hAnsiTheme="minorEastAsia"/>
                                        <w:b/>
                                        <w:sz w:val="28"/>
                                        <w:szCs w:val="28"/>
                                      </w:rPr>
                                      <w:t>.</w:t>
                                    </w:r>
                                    <w:r>
                                      <w:rPr>
                                        <w:rFonts w:hint="eastAsia" w:cs="宋体" w:asciiTheme="minorEastAsia" w:hAnsiTheme="minorEastAsia"/>
                                        <w:b/>
                                        <w:bCs/>
                                        <w:sz w:val="28"/>
                                        <w:szCs w:val="28"/>
                                      </w:rPr>
                                      <w:t>认真贯彻落实中央八项规定精神，坚持不懈改进作风。</w:t>
                                    </w:r>
                                  </w:p>
                                  <w:p>
                                    <w:pPr>
                                      <w:spacing w:line="120" w:lineRule="auto"/>
                                      <w:ind w:firstLine="562" w:firstLineChars="200"/>
                                      <w:rPr>
                                        <w:rFonts w:cs="宋体" w:asciiTheme="minorEastAsia" w:hAnsiTheme="minorEastAsia"/>
                                        <w:b/>
                                        <w:bCs/>
                                        <w:sz w:val="28"/>
                                        <w:szCs w:val="28"/>
                                      </w:rPr>
                                    </w:pPr>
                                    <w:r>
                                      <w:rPr>
                                        <w:rFonts w:hint="eastAsia" w:cs="宋体" w:asciiTheme="minorEastAsia" w:hAnsiTheme="minorEastAsia"/>
                                        <w:b/>
                                        <w:bCs/>
                                        <w:sz w:val="28"/>
                                        <w:szCs w:val="28"/>
                                      </w:rPr>
                                      <w:t>4</w:t>
                                    </w:r>
                                    <w:r>
                                      <w:rPr>
                                        <w:rFonts w:hint="eastAsia" w:cs="宋体" w:asciiTheme="minorEastAsia" w:hAnsiTheme="minorEastAsia"/>
                                        <w:b/>
                                        <w:sz w:val="28"/>
                                        <w:szCs w:val="28"/>
                                      </w:rPr>
                                      <w:t>.</w:t>
                                    </w:r>
                                    <w:r>
                                      <w:rPr>
                                        <w:rFonts w:hint="eastAsia" w:cs="宋体" w:asciiTheme="minorEastAsia" w:hAnsiTheme="minorEastAsia"/>
                                        <w:b/>
                                        <w:bCs/>
                                        <w:sz w:val="28"/>
                                        <w:szCs w:val="28"/>
                                      </w:rPr>
                                      <w:t>完善党内监督体制机制，全面落实国家监察体制改革部署。</w:t>
                                    </w:r>
                                  </w:p>
                                  <w:p>
                                    <w:pPr>
                                      <w:spacing w:line="120" w:lineRule="auto"/>
                                      <w:ind w:firstLine="562" w:firstLineChars="200"/>
                                      <w:rPr>
                                        <w:rFonts w:cs="宋体" w:asciiTheme="minorEastAsia" w:hAnsiTheme="minorEastAsia"/>
                                        <w:b/>
                                        <w:sz w:val="28"/>
                                        <w:szCs w:val="28"/>
                                      </w:rPr>
                                    </w:pPr>
                                    <w:r>
                                      <w:rPr>
                                        <w:rFonts w:hint="eastAsia" w:cs="宋体" w:asciiTheme="minorEastAsia" w:hAnsiTheme="minorEastAsia"/>
                                        <w:b/>
                                        <w:bCs/>
                                        <w:sz w:val="28"/>
                                        <w:szCs w:val="28"/>
                                      </w:rPr>
                                      <w:t>5</w:t>
                                    </w:r>
                                    <w:r>
                                      <w:rPr>
                                        <w:rFonts w:hint="eastAsia" w:cs="宋体" w:asciiTheme="minorEastAsia" w:hAnsiTheme="minorEastAsia"/>
                                        <w:b/>
                                        <w:sz w:val="28"/>
                                        <w:szCs w:val="28"/>
                                      </w:rPr>
                                      <w:t>.</w:t>
                                    </w:r>
                                    <w:r>
                                      <w:rPr>
                                        <w:rFonts w:hint="eastAsia" w:cs="宋体" w:asciiTheme="minorEastAsia" w:hAnsiTheme="minorEastAsia"/>
                                        <w:b/>
                                        <w:bCs/>
                                        <w:sz w:val="28"/>
                                        <w:szCs w:val="28"/>
                                      </w:rPr>
                                      <w:t>强化不敢腐的震慑，扎牢不能腐的笼子，增强不想腐的自觉，营造风清气正的政治环境。</w:t>
                                    </w:r>
                                  </w:p>
                                  <w:p>
                                    <w:pPr>
                                      <w:pStyle w:val="15"/>
                                      <w:spacing w:line="12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bCs/>
                                        <w:sz w:val="28"/>
                                        <w:szCs w:val="28"/>
                                      </w:rPr>
                                      <w:t>6</w:t>
                                    </w:r>
                                    <w:r>
                                      <w:rPr>
                                        <w:rFonts w:hint="eastAsia" w:cs="宋体" w:asciiTheme="minorEastAsia" w:hAnsiTheme="minorEastAsia" w:eastAsiaTheme="minorEastAsia"/>
                                        <w:b/>
                                        <w:sz w:val="28"/>
                                        <w:szCs w:val="28"/>
                                      </w:rPr>
                                      <w:t>.</w:t>
                                    </w:r>
                                    <w:r>
                                      <w:rPr>
                                        <w:rFonts w:hint="eastAsia" w:cs="宋体" w:asciiTheme="minorEastAsia" w:hAnsiTheme="minorEastAsia" w:eastAsiaTheme="minorEastAsia"/>
                                        <w:b/>
                                        <w:bCs/>
                                        <w:sz w:val="28"/>
                                        <w:szCs w:val="28"/>
                                      </w:rPr>
                                      <w:t>建设让党放心、人民信赖的纪检监察队伍。</w:t>
                                    </w:r>
                                    <w:r>
                                      <w:rPr>
                                        <w:rFonts w:hint="eastAsia" w:cs="宋体" w:asciiTheme="minorEastAsia" w:hAnsiTheme="minorEastAsia" w:eastAsiaTheme="minorEastAsia"/>
                                        <w:b/>
                                        <w:sz w:val="28"/>
                                        <w:szCs w:val="28"/>
                                      </w:rPr>
                                      <w:t>扎实开展以学习实践习近平新时代中国特色社会主义思想为重点的“不忘初心、牢记使命”主题教育。</w:t>
                                    </w:r>
                                  </w:p>
                                  <w:p>
                                    <w:pPr>
                                      <w:spacing w:line="120" w:lineRule="auto"/>
                                      <w:rPr>
                                        <w:rFonts w:cs="宋体" w:asciiTheme="minorEastAsia" w:hAnsiTheme="minorEastAsia"/>
                                        <w:b/>
                                        <w:sz w:val="28"/>
                                        <w:szCs w:val="28"/>
                                      </w:rPr>
                                    </w:pPr>
                                    <w:r>
                                      <w:rPr>
                                        <w:rFonts w:hint="eastAsia" w:cs="宋体" w:asciiTheme="minorEastAsia" w:hAnsiTheme="minorEastAsia"/>
                                        <w:b/>
                                        <w:color w:val="333333"/>
                                        <w:kern w:val="0"/>
                                        <w:sz w:val="28"/>
                                        <w:szCs w:val="28"/>
                                      </w:rPr>
                                      <w:t>　</w:t>
                                    </w:r>
                                    <w:r>
                                      <w:rPr>
                                        <w:rFonts w:hint="eastAsia" w:cs="宋体" w:asciiTheme="minorEastAsia" w:hAnsiTheme="minorEastAsia"/>
                                        <w:b/>
                                        <w:sz w:val="28"/>
                                        <w:szCs w:val="28"/>
                                      </w:rPr>
                                      <w:t>　二、部门预算单位构成</w:t>
                                    </w:r>
                                  </w:p>
                                  <w:p>
                                    <w:pPr>
                                      <w:spacing w:line="120" w:lineRule="auto"/>
                                      <w:ind w:firstLine="281" w:firstLineChars="100"/>
                                      <w:rPr>
                                        <w:rFonts w:cs="宋体" w:asciiTheme="minorEastAsia" w:hAnsiTheme="minorEastAsia"/>
                                        <w:b/>
                                        <w:color w:val="000000"/>
                                        <w:spacing w:val="-14"/>
                                        <w:kern w:val="0"/>
                                        <w:sz w:val="28"/>
                                        <w:szCs w:val="28"/>
                                      </w:rPr>
                                    </w:pPr>
                                    <w:r>
                                      <w:rPr>
                                        <w:rFonts w:hint="eastAsia" w:cs="宋体" w:asciiTheme="minorEastAsia" w:hAnsiTheme="minorEastAsia"/>
                                        <w:b/>
                                        <w:sz w:val="28"/>
                                        <w:szCs w:val="28"/>
                                      </w:rPr>
                                      <w:t>　</w:t>
                                    </w:r>
                                    <w:r>
                                      <w:rPr>
                                        <w:rFonts w:hint="eastAsia" w:cs="宋体" w:asciiTheme="minorEastAsia" w:hAnsiTheme="minorEastAsia"/>
                                        <w:b/>
                                        <w:color w:val="000000"/>
                                        <w:spacing w:val="-14"/>
                                        <w:sz w:val="28"/>
                                        <w:szCs w:val="28"/>
                                      </w:rPr>
                                      <w:t>202</w:t>
                                    </w:r>
                                    <w:r>
                                      <w:rPr>
                                        <w:rFonts w:hint="eastAsia" w:cs="宋体" w:asciiTheme="minorEastAsia" w:hAnsiTheme="minorEastAsia"/>
                                        <w:b/>
                                        <w:color w:val="000000"/>
                                        <w:spacing w:val="-14"/>
                                        <w:sz w:val="28"/>
                                        <w:szCs w:val="28"/>
                                        <w:lang w:val="en-US" w:eastAsia="zh-CN"/>
                                      </w:rPr>
                                      <w:t>1</w:t>
                                    </w:r>
                                    <w:r>
                                      <w:rPr>
                                        <w:rFonts w:hint="eastAsia" w:cs="宋体" w:asciiTheme="minorEastAsia" w:hAnsiTheme="minorEastAsia"/>
                                        <w:b/>
                                        <w:color w:val="000000"/>
                                        <w:spacing w:val="-14"/>
                                        <w:sz w:val="28"/>
                                        <w:szCs w:val="28"/>
                                      </w:rPr>
                                      <w:t xml:space="preserve">年独立编制单位机构数为 1个，财政供养人员编制为 </w:t>
                                    </w:r>
                                    <w:r>
                                      <w:rPr>
                                        <w:rFonts w:hint="eastAsia" w:cs="宋体" w:asciiTheme="minorEastAsia" w:hAnsiTheme="minorEastAsia"/>
                                        <w:b/>
                                        <w:color w:val="000000"/>
                                        <w:spacing w:val="-14"/>
                                        <w:sz w:val="28"/>
                                        <w:szCs w:val="28"/>
                                        <w:lang w:val="en-US" w:eastAsia="zh-CN"/>
                                      </w:rPr>
                                      <w:t>59</w:t>
                                    </w:r>
                                    <w:r>
                                      <w:rPr>
                                        <w:rFonts w:hint="eastAsia" w:cs="宋体" w:asciiTheme="minorEastAsia" w:hAnsiTheme="minorEastAsia"/>
                                        <w:b/>
                                        <w:color w:val="000000"/>
                                        <w:spacing w:val="-14"/>
                                        <w:sz w:val="28"/>
                                        <w:szCs w:val="28"/>
                                      </w:rPr>
                                      <w:t xml:space="preserve">名，其中行政编制 </w:t>
                                    </w:r>
                                    <w:r>
                                      <w:rPr>
                                        <w:rFonts w:hint="eastAsia" w:cs="宋体" w:asciiTheme="minorEastAsia" w:hAnsiTheme="minorEastAsia"/>
                                        <w:b/>
                                        <w:color w:val="000000"/>
                                        <w:spacing w:val="-14"/>
                                        <w:sz w:val="28"/>
                                        <w:szCs w:val="28"/>
                                        <w:lang w:val="en-US" w:eastAsia="zh-CN"/>
                                      </w:rPr>
                                      <w:t>54</w:t>
                                    </w:r>
                                    <w:r>
                                      <w:rPr>
                                        <w:rFonts w:hint="eastAsia" w:cs="宋体" w:asciiTheme="minorEastAsia" w:hAnsiTheme="minorEastAsia"/>
                                        <w:b/>
                                        <w:color w:val="000000"/>
                                        <w:spacing w:val="-14"/>
                                        <w:sz w:val="28"/>
                                        <w:szCs w:val="28"/>
                                      </w:rPr>
                                      <w:t xml:space="preserve">名，行政工勤编制 3名，事业编制 </w:t>
                                    </w:r>
                                    <w:r>
                                      <w:rPr>
                                        <w:rFonts w:hint="eastAsia" w:cs="宋体" w:asciiTheme="minorEastAsia" w:hAnsiTheme="minorEastAsia"/>
                                        <w:b/>
                                        <w:color w:val="000000"/>
                                        <w:spacing w:val="-14"/>
                                        <w:sz w:val="28"/>
                                        <w:szCs w:val="28"/>
                                        <w:lang w:val="en-US" w:eastAsia="zh-CN"/>
                                      </w:rPr>
                                      <w:t>2</w:t>
                                    </w:r>
                                    <w:r>
                                      <w:rPr>
                                        <w:rFonts w:hint="eastAsia" w:cs="宋体" w:asciiTheme="minorEastAsia" w:hAnsiTheme="minorEastAsia"/>
                                        <w:b/>
                                        <w:color w:val="000000"/>
                                        <w:spacing w:val="-14"/>
                                        <w:sz w:val="28"/>
                                        <w:szCs w:val="28"/>
                                      </w:rPr>
                                      <w:t xml:space="preserve">名（其中参照公务员法管理人员编制 </w:t>
                                    </w:r>
                                    <w:r>
                                      <w:rPr>
                                        <w:rFonts w:hint="eastAsia" w:cs="宋体" w:asciiTheme="minorEastAsia" w:hAnsiTheme="minorEastAsia"/>
                                        <w:b/>
                                        <w:color w:val="000000"/>
                                        <w:spacing w:val="-14"/>
                                        <w:sz w:val="28"/>
                                        <w:szCs w:val="28"/>
                                        <w:lang w:val="en-US" w:eastAsia="zh-CN"/>
                                      </w:rPr>
                                      <w:t>0</w:t>
                                    </w:r>
                                    <w:r>
                                      <w:rPr>
                                        <w:rFonts w:hint="eastAsia" w:cs="宋体" w:asciiTheme="minorEastAsia" w:hAnsiTheme="minorEastAsia"/>
                                        <w:b/>
                                        <w:color w:val="000000"/>
                                        <w:spacing w:val="-14"/>
                                        <w:sz w:val="28"/>
                                        <w:szCs w:val="28"/>
                                      </w:rPr>
                                      <w:t>人）；202</w:t>
                                    </w:r>
                                    <w:r>
                                      <w:rPr>
                                        <w:rFonts w:hint="eastAsia" w:cs="宋体" w:asciiTheme="minorEastAsia" w:hAnsiTheme="minorEastAsia"/>
                                        <w:b/>
                                        <w:color w:val="000000"/>
                                        <w:spacing w:val="-14"/>
                                        <w:sz w:val="28"/>
                                        <w:szCs w:val="28"/>
                                        <w:lang w:val="en-US" w:eastAsia="zh-CN"/>
                                      </w:rPr>
                                      <w:t>1</w:t>
                                    </w:r>
                                    <w:r>
                                      <w:rPr>
                                        <w:rFonts w:hint="eastAsia" w:cs="宋体" w:asciiTheme="minorEastAsia" w:hAnsiTheme="minorEastAsia"/>
                                        <w:b/>
                                        <w:color w:val="000000"/>
                                        <w:spacing w:val="-14"/>
                                        <w:sz w:val="28"/>
                                        <w:szCs w:val="28"/>
                                      </w:rPr>
                                      <w:t xml:space="preserve">年实际财政供养人员 </w:t>
                                    </w:r>
                                    <w:r>
                                      <w:rPr>
                                        <w:rFonts w:hint="eastAsia" w:cs="宋体" w:asciiTheme="minorEastAsia" w:hAnsiTheme="minorEastAsia"/>
                                        <w:b/>
                                        <w:color w:val="000000"/>
                                        <w:spacing w:val="-14"/>
                                        <w:sz w:val="28"/>
                                        <w:szCs w:val="28"/>
                                        <w:lang w:val="en-US" w:eastAsia="zh-CN"/>
                                      </w:rPr>
                                      <w:t>52</w:t>
                                    </w:r>
                                    <w:r>
                                      <w:rPr>
                                        <w:rFonts w:hint="eastAsia" w:cs="宋体" w:asciiTheme="minorEastAsia" w:hAnsiTheme="minorEastAsia"/>
                                        <w:b/>
                                        <w:color w:val="000000"/>
                                        <w:spacing w:val="-14"/>
                                        <w:sz w:val="28"/>
                                        <w:szCs w:val="28"/>
                                      </w:rPr>
                                      <w:t>人，较上年增加</w:t>
                                    </w:r>
                                    <w:r>
                                      <w:rPr>
                                        <w:rFonts w:hint="eastAsia" w:cs="宋体" w:asciiTheme="minorEastAsia" w:hAnsiTheme="minorEastAsia"/>
                                        <w:b/>
                                        <w:color w:val="000000"/>
                                        <w:spacing w:val="-14"/>
                                        <w:sz w:val="28"/>
                                        <w:szCs w:val="28"/>
                                        <w:lang w:val="en-US" w:eastAsia="zh-CN"/>
                                      </w:rPr>
                                      <w:t>8</w:t>
                                    </w:r>
                                    <w:r>
                                      <w:rPr>
                                        <w:rFonts w:hint="eastAsia" w:cs="宋体" w:asciiTheme="minorEastAsia" w:hAnsiTheme="minorEastAsia"/>
                                        <w:b/>
                                        <w:color w:val="000000"/>
                                        <w:spacing w:val="-14"/>
                                        <w:sz w:val="28"/>
                                        <w:szCs w:val="28"/>
                                      </w:rPr>
                                      <w:t>人（不含退休人员），其中：行政</w:t>
                                    </w:r>
                                    <w:r>
                                      <w:rPr>
                                        <w:rFonts w:hint="eastAsia" w:cs="宋体" w:asciiTheme="minorEastAsia" w:hAnsiTheme="minorEastAsia"/>
                                        <w:b/>
                                        <w:color w:val="000000"/>
                                        <w:spacing w:val="-14"/>
                                        <w:sz w:val="28"/>
                                        <w:szCs w:val="28"/>
                                        <w:lang w:val="en-US" w:eastAsia="zh-CN"/>
                                      </w:rPr>
                                      <w:t>8</w:t>
                                    </w:r>
                                    <w:r>
                                      <w:rPr>
                                        <w:rFonts w:hint="eastAsia" w:cs="宋体" w:asciiTheme="minorEastAsia" w:hAnsiTheme="minorEastAsia"/>
                                        <w:b/>
                                        <w:color w:val="000000"/>
                                        <w:spacing w:val="-14"/>
                                        <w:sz w:val="28"/>
                                        <w:szCs w:val="28"/>
                                      </w:rPr>
                                      <w:t>人，行政工勤</w:t>
                                    </w:r>
                                    <w:r>
                                      <w:rPr>
                                        <w:rFonts w:hint="eastAsia" w:cs="宋体" w:asciiTheme="minorEastAsia" w:hAnsiTheme="minorEastAsia"/>
                                        <w:b/>
                                        <w:color w:val="000000"/>
                                        <w:spacing w:val="-14"/>
                                        <w:sz w:val="28"/>
                                        <w:szCs w:val="28"/>
                                        <w:lang w:val="en-US" w:eastAsia="zh-CN"/>
                                      </w:rPr>
                                      <w:t>0</w:t>
                                    </w:r>
                                    <w:r>
                                      <w:rPr>
                                        <w:rFonts w:hint="eastAsia" w:cs="宋体" w:asciiTheme="minorEastAsia" w:hAnsiTheme="minorEastAsia"/>
                                        <w:b/>
                                        <w:color w:val="000000"/>
                                        <w:spacing w:val="-14"/>
                                        <w:sz w:val="28"/>
                                        <w:szCs w:val="28"/>
                                      </w:rPr>
                                      <w:t>人，</w:t>
                                    </w:r>
                                    <w:r>
                                      <w:rPr>
                                        <w:rStyle w:val="14"/>
                                        <w:rFonts w:hint="eastAsia" w:cs="宋体" w:asciiTheme="minorEastAsia" w:hAnsiTheme="minorEastAsia"/>
                                        <w:b/>
                                        <w:color w:val="000000"/>
                                        <w:spacing w:val="-14"/>
                                        <w:sz w:val="28"/>
                                        <w:szCs w:val="28"/>
                                      </w:rPr>
                                      <w:t> </w:t>
                                    </w:r>
                                    <w:r>
                                      <w:rPr>
                                        <w:rFonts w:hint="eastAsia" w:cs="宋体" w:asciiTheme="minorEastAsia" w:hAnsiTheme="minorEastAsia"/>
                                        <w:b/>
                                        <w:color w:val="000000"/>
                                        <w:spacing w:val="-14"/>
                                        <w:sz w:val="28"/>
                                        <w:szCs w:val="28"/>
                                      </w:rPr>
                                      <w:t>事业</w:t>
                                    </w:r>
                                    <w:r>
                                      <w:rPr>
                                        <w:rFonts w:hint="eastAsia" w:cs="宋体" w:asciiTheme="minorEastAsia" w:hAnsiTheme="minorEastAsia"/>
                                        <w:b/>
                                        <w:color w:val="000000"/>
                                        <w:spacing w:val="-14"/>
                                        <w:sz w:val="28"/>
                                        <w:szCs w:val="28"/>
                                        <w:lang w:val="en-US" w:eastAsia="zh-CN"/>
                                      </w:rPr>
                                      <w:t>0</w:t>
                                    </w:r>
                                    <w:r>
                                      <w:rPr>
                                        <w:rFonts w:hint="eastAsia" w:cs="宋体" w:asciiTheme="minorEastAsia" w:hAnsiTheme="minorEastAsia"/>
                                        <w:b/>
                                        <w:color w:val="000000"/>
                                        <w:spacing w:val="-14"/>
                                        <w:sz w:val="28"/>
                                        <w:szCs w:val="28"/>
                                      </w:rPr>
                                      <w:t>人。</w:t>
                                    </w:r>
                                    <w:r>
                                      <w:rPr>
                                        <w:rFonts w:hint="eastAsia" w:cs="宋体" w:asciiTheme="minorEastAsia" w:hAnsiTheme="minorEastAsia"/>
                                        <w:b/>
                                        <w:spacing w:val="-14"/>
                                        <w:sz w:val="28"/>
                                        <w:szCs w:val="28"/>
                                      </w:rPr>
                                      <w:t xml:space="preserve"> </w:t>
                                    </w:r>
                                  </w:p>
                                  <w:p>
                                    <w:pPr>
                                      <w:widowControl/>
                                      <w:spacing w:line="480" w:lineRule="atLeast"/>
                                      <w:ind w:firstLine="60"/>
                                      <w:rPr>
                                        <w:rFonts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三、收支预算情况说明</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按照综合预算的原则，我委所有收入和支出均纳入部门预算管理。收入包括：一般公共预算拨款收入、项目收入；支出包括：工资性支出、社会保障缴费支出、日常公用经费支出、独子费支出、其他补助支出，住房保障支出，部门纪检组公务经费支出，22个乡镇纪委书记及部门纪检组长津贴补贴支出。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年收支总预算</w:t>
                                    </w:r>
                                    <w:r>
                                      <w:rPr>
                                        <w:rFonts w:hint="eastAsia" w:cs="宋体" w:asciiTheme="minorEastAsia" w:hAnsiTheme="minorEastAsia"/>
                                        <w:b/>
                                        <w:color w:val="333333"/>
                                        <w:kern w:val="0"/>
                                        <w:sz w:val="28"/>
                                        <w:szCs w:val="28"/>
                                        <w:lang w:val="en-US" w:eastAsia="zh-CN"/>
                                      </w:rPr>
                                      <w:t>936.29</w:t>
                                    </w:r>
                                    <w:r>
                                      <w:rPr>
                                        <w:rFonts w:hint="eastAsia" w:cs="宋体" w:asciiTheme="minorEastAsia" w:hAnsiTheme="minorEastAsia"/>
                                        <w:b/>
                                        <w:color w:val="333333"/>
                                        <w:kern w:val="0"/>
                                        <w:sz w:val="28"/>
                                        <w:szCs w:val="28"/>
                                      </w:rPr>
                                      <w:t>万元,比20</w:t>
                                    </w:r>
                                    <w:r>
                                      <w:rPr>
                                        <w:rFonts w:hint="eastAsia" w:cs="宋体" w:asciiTheme="minorEastAsia" w:hAnsiTheme="minorEastAsia"/>
                                        <w:b/>
                                        <w:color w:val="333333"/>
                                        <w:kern w:val="0"/>
                                        <w:sz w:val="28"/>
                                        <w:szCs w:val="28"/>
                                        <w:lang w:val="en-US" w:eastAsia="zh-CN"/>
                                      </w:rPr>
                                      <w:t>20</w:t>
                                    </w:r>
                                    <w:r>
                                      <w:rPr>
                                        <w:rFonts w:hint="eastAsia" w:cs="宋体" w:asciiTheme="minorEastAsia" w:hAnsiTheme="minorEastAsia"/>
                                        <w:b/>
                                        <w:color w:val="333333"/>
                                        <w:kern w:val="0"/>
                                        <w:sz w:val="28"/>
                                        <w:szCs w:val="28"/>
                                      </w:rPr>
                                      <w:t>年收支预算总数增加</w:t>
                                    </w:r>
                                    <w:r>
                                      <w:rPr>
                                        <w:rFonts w:hint="eastAsia" w:cs="宋体" w:asciiTheme="minorEastAsia" w:hAnsiTheme="minorEastAsia"/>
                                        <w:b/>
                                        <w:color w:val="333333"/>
                                        <w:kern w:val="0"/>
                                        <w:sz w:val="28"/>
                                        <w:szCs w:val="28"/>
                                        <w:lang w:val="en-US" w:eastAsia="zh-CN"/>
                                      </w:rPr>
                                      <w:t>152.77</w:t>
                                    </w:r>
                                    <w:r>
                                      <w:rPr>
                                        <w:rFonts w:hint="eastAsia" w:cs="宋体" w:asciiTheme="minorEastAsia" w:hAnsiTheme="minorEastAsia"/>
                                        <w:b/>
                                        <w:color w:val="333333"/>
                                        <w:kern w:val="0"/>
                                        <w:sz w:val="28"/>
                                        <w:szCs w:val="28"/>
                                      </w:rPr>
                                      <w:t>万元，主要是</w:t>
                                    </w:r>
                                    <w:r>
                                      <w:rPr>
                                        <w:rFonts w:hint="eastAsia" w:cs="宋体" w:asciiTheme="minorEastAsia" w:hAnsiTheme="minorEastAsia"/>
                                        <w:b/>
                                        <w:color w:val="333333"/>
                                        <w:kern w:val="0"/>
                                        <w:sz w:val="28"/>
                                        <w:szCs w:val="28"/>
                                        <w:lang w:eastAsia="zh-CN"/>
                                      </w:rPr>
                                      <w:t>人员增加且人员经费及办公经费同时增加</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（一）收入预算情况。</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年收入预算</w:t>
                                    </w:r>
                                    <w:r>
                                      <w:rPr>
                                        <w:rFonts w:hint="eastAsia" w:cs="宋体" w:asciiTheme="minorEastAsia" w:hAnsiTheme="minorEastAsia"/>
                                        <w:b/>
                                        <w:color w:val="333333"/>
                                        <w:kern w:val="0"/>
                                        <w:sz w:val="28"/>
                                        <w:szCs w:val="28"/>
                                        <w:lang w:val="en-US" w:eastAsia="zh-CN"/>
                                      </w:rPr>
                                      <w:t>936.29</w:t>
                                    </w:r>
                                    <w:r>
                                      <w:rPr>
                                        <w:rFonts w:hint="eastAsia" w:cs="宋体" w:asciiTheme="minorEastAsia" w:hAnsiTheme="minorEastAsia"/>
                                        <w:b/>
                                        <w:color w:val="333333"/>
                                        <w:kern w:val="0"/>
                                        <w:sz w:val="28"/>
                                        <w:szCs w:val="28"/>
                                      </w:rPr>
                                      <w:t>万元，其中：一般公共预算拨款收入</w:t>
                                    </w:r>
                                    <w:r>
                                      <w:rPr>
                                        <w:rFonts w:hint="eastAsia" w:cs="宋体" w:asciiTheme="minorEastAsia" w:hAnsiTheme="minorEastAsia"/>
                                        <w:b/>
                                        <w:color w:val="333333"/>
                                        <w:kern w:val="0"/>
                                        <w:sz w:val="28"/>
                                        <w:szCs w:val="28"/>
                                        <w:lang w:val="en-US" w:eastAsia="zh-CN"/>
                                      </w:rPr>
                                      <w:t>936.29</w:t>
                                    </w:r>
                                    <w:r>
                                      <w:rPr>
                                        <w:rFonts w:hint="eastAsia" w:cs="宋体" w:asciiTheme="minorEastAsia" w:hAnsiTheme="minorEastAsia"/>
                                        <w:b/>
                                        <w:color w:val="333333"/>
                                        <w:kern w:val="0"/>
                                        <w:sz w:val="28"/>
                                        <w:szCs w:val="28"/>
                                      </w:rPr>
                                      <w:t>万元，占100%。</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（二）支出预算情况。</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年支出预算</w:t>
                                    </w:r>
                                    <w:r>
                                      <w:rPr>
                                        <w:rFonts w:hint="eastAsia" w:cs="宋体" w:asciiTheme="minorEastAsia" w:hAnsiTheme="minorEastAsia"/>
                                        <w:b/>
                                        <w:color w:val="333333"/>
                                        <w:kern w:val="0"/>
                                        <w:sz w:val="28"/>
                                        <w:szCs w:val="28"/>
                                        <w:lang w:val="en-US" w:eastAsia="zh-CN"/>
                                      </w:rPr>
                                      <w:t>936.29</w:t>
                                    </w:r>
                                    <w:r>
                                      <w:rPr>
                                        <w:rFonts w:hint="eastAsia" w:cs="宋体" w:asciiTheme="minorEastAsia" w:hAnsiTheme="minorEastAsia"/>
                                        <w:b/>
                                        <w:color w:val="333333"/>
                                        <w:kern w:val="0"/>
                                        <w:sz w:val="28"/>
                                        <w:szCs w:val="28"/>
                                      </w:rPr>
                                      <w:t>万元，其中：基本支出</w:t>
                                    </w:r>
                                    <w:r>
                                      <w:rPr>
                                        <w:rFonts w:hint="eastAsia" w:cs="宋体" w:asciiTheme="minorEastAsia" w:hAnsiTheme="minorEastAsia"/>
                                        <w:b/>
                                        <w:color w:val="333333"/>
                                        <w:kern w:val="0"/>
                                        <w:sz w:val="28"/>
                                        <w:szCs w:val="28"/>
                                        <w:lang w:val="en-US" w:eastAsia="zh-CN"/>
                                      </w:rPr>
                                      <w:t>886.29</w:t>
                                    </w:r>
                                    <w:r>
                                      <w:rPr>
                                        <w:rFonts w:hint="eastAsia" w:cs="宋体" w:asciiTheme="minorEastAsia" w:hAnsiTheme="minorEastAsia"/>
                                        <w:b/>
                                        <w:color w:val="333333"/>
                                        <w:kern w:val="0"/>
                                        <w:sz w:val="28"/>
                                        <w:szCs w:val="28"/>
                                      </w:rPr>
                                      <w:t>万元，占</w:t>
                                    </w:r>
                                    <w:r>
                                      <w:rPr>
                                        <w:rFonts w:hint="eastAsia" w:cs="宋体" w:asciiTheme="minorEastAsia" w:hAnsiTheme="minorEastAsia"/>
                                        <w:b/>
                                        <w:color w:val="333333"/>
                                        <w:kern w:val="0"/>
                                        <w:sz w:val="28"/>
                                        <w:szCs w:val="28"/>
                                        <w:lang w:val="en-US" w:eastAsia="zh-CN"/>
                                      </w:rPr>
                                      <w:t>94.66</w:t>
                                    </w:r>
                                    <w:r>
                                      <w:rPr>
                                        <w:rFonts w:hint="eastAsia" w:cs="宋体" w:asciiTheme="minorEastAsia" w:hAnsiTheme="minorEastAsia"/>
                                        <w:b/>
                                        <w:color w:val="333333"/>
                                        <w:kern w:val="0"/>
                                        <w:sz w:val="28"/>
                                        <w:szCs w:val="28"/>
                                      </w:rPr>
                                      <w:t>%；项目支出</w:t>
                                    </w:r>
                                    <w:r>
                                      <w:rPr>
                                        <w:rFonts w:hint="eastAsia" w:cs="宋体" w:asciiTheme="minorEastAsia" w:hAnsiTheme="minorEastAsia"/>
                                        <w:b/>
                                        <w:color w:val="333333"/>
                                        <w:kern w:val="0"/>
                                        <w:sz w:val="28"/>
                                        <w:szCs w:val="28"/>
                                        <w:lang w:val="en-US" w:eastAsia="zh-CN"/>
                                      </w:rPr>
                                      <w:t>50</w:t>
                                    </w:r>
                                    <w:r>
                                      <w:rPr>
                                        <w:rFonts w:hint="eastAsia" w:cs="宋体" w:asciiTheme="minorEastAsia" w:hAnsiTheme="minorEastAsia"/>
                                        <w:b/>
                                        <w:color w:val="333333"/>
                                        <w:kern w:val="0"/>
                                        <w:sz w:val="28"/>
                                        <w:szCs w:val="28"/>
                                      </w:rPr>
                                      <w:t>万元，占</w:t>
                                    </w:r>
                                    <w:r>
                                      <w:rPr>
                                        <w:rFonts w:hint="eastAsia" w:cs="宋体" w:asciiTheme="minorEastAsia" w:hAnsiTheme="minorEastAsia"/>
                                        <w:b/>
                                        <w:color w:val="333333"/>
                                        <w:kern w:val="0"/>
                                        <w:sz w:val="28"/>
                                        <w:szCs w:val="28"/>
                                        <w:lang w:val="en-US" w:eastAsia="zh-CN"/>
                                      </w:rPr>
                                      <w:t>5.34</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四、财政拨款收支预算情况说明</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xml:space="preserve">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年财政拨款收支总预算</w:t>
                                    </w:r>
                                    <w:r>
                                      <w:rPr>
                                        <w:rFonts w:hint="eastAsia" w:cs="宋体" w:asciiTheme="minorEastAsia" w:hAnsiTheme="minorEastAsia"/>
                                        <w:b/>
                                        <w:color w:val="333333"/>
                                        <w:kern w:val="0"/>
                                        <w:sz w:val="28"/>
                                        <w:szCs w:val="28"/>
                                        <w:lang w:val="en-US" w:eastAsia="zh-CN"/>
                                      </w:rPr>
                                      <w:t>936.29</w:t>
                                    </w:r>
                                    <w:r>
                                      <w:rPr>
                                        <w:rFonts w:hint="eastAsia" w:cs="宋体" w:asciiTheme="minorEastAsia" w:hAnsiTheme="minorEastAsia"/>
                                        <w:b/>
                                        <w:color w:val="333333"/>
                                        <w:kern w:val="0"/>
                                        <w:sz w:val="28"/>
                                        <w:szCs w:val="28"/>
                                      </w:rPr>
                                      <w:t>万元,比20</w:t>
                                    </w:r>
                                    <w:r>
                                      <w:rPr>
                                        <w:rFonts w:hint="eastAsia" w:cs="宋体" w:asciiTheme="minorEastAsia" w:hAnsiTheme="minorEastAsia"/>
                                        <w:b/>
                                        <w:color w:val="333333"/>
                                        <w:kern w:val="0"/>
                                        <w:sz w:val="28"/>
                                        <w:szCs w:val="28"/>
                                        <w:lang w:val="en-US" w:eastAsia="zh-CN"/>
                                      </w:rPr>
                                      <w:t>20</w:t>
                                    </w:r>
                                    <w:r>
                                      <w:rPr>
                                        <w:rFonts w:hint="eastAsia" w:cs="宋体" w:asciiTheme="minorEastAsia" w:hAnsiTheme="minorEastAsia"/>
                                        <w:b/>
                                        <w:color w:val="333333"/>
                                        <w:kern w:val="0"/>
                                        <w:sz w:val="28"/>
                                        <w:szCs w:val="28"/>
                                      </w:rPr>
                                      <w:t>年财政拨款收支总预算增加</w:t>
                                    </w:r>
                                    <w:r>
                                      <w:rPr>
                                        <w:rFonts w:hint="eastAsia" w:cs="宋体" w:asciiTheme="minorEastAsia" w:hAnsiTheme="minorEastAsia"/>
                                        <w:b/>
                                        <w:color w:val="333333"/>
                                        <w:kern w:val="0"/>
                                        <w:sz w:val="28"/>
                                        <w:szCs w:val="28"/>
                                        <w:lang w:val="en-US" w:eastAsia="zh-CN"/>
                                      </w:rPr>
                                      <w:t>152.77</w:t>
                                    </w:r>
                                    <w:r>
                                      <w:rPr>
                                        <w:rFonts w:hint="eastAsia" w:cs="宋体" w:asciiTheme="minorEastAsia" w:hAnsiTheme="minorEastAsia"/>
                                        <w:b/>
                                        <w:color w:val="333333"/>
                                        <w:kern w:val="0"/>
                                        <w:sz w:val="28"/>
                                        <w:szCs w:val="28"/>
                                      </w:rPr>
                                      <w:t>万元，主要是</w:t>
                                    </w:r>
                                    <w:r>
                                      <w:rPr>
                                        <w:rFonts w:hint="eastAsia" w:cs="宋体" w:asciiTheme="minorEastAsia" w:hAnsiTheme="minorEastAsia"/>
                                        <w:b/>
                                        <w:color w:val="333333"/>
                                        <w:kern w:val="0"/>
                                        <w:sz w:val="28"/>
                                        <w:szCs w:val="28"/>
                                        <w:lang w:eastAsia="zh-CN"/>
                                      </w:rPr>
                                      <w:t>人员增加且人员经费及办公经费同时增加</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cs="宋体" w:asciiTheme="minorEastAsia" w:hAnsiTheme="minorEastAsia"/>
                                        <w:b/>
                                        <w:color w:val="333333"/>
                                        <w:kern w:val="0"/>
                                        <w:sz w:val="28"/>
                                        <w:szCs w:val="28"/>
                                      </w:rPr>
                                      <w:t>　收入包括：本年一般公共预算拨款收入</w:t>
                                    </w:r>
                                    <w:r>
                                      <w:rPr>
                                        <w:rFonts w:hint="eastAsia" w:cs="宋体" w:asciiTheme="minorEastAsia" w:hAnsiTheme="minorEastAsia"/>
                                        <w:b/>
                                        <w:color w:val="333333"/>
                                        <w:kern w:val="0"/>
                                        <w:sz w:val="28"/>
                                        <w:szCs w:val="28"/>
                                        <w:lang w:val="en-US" w:eastAsia="zh-CN"/>
                                      </w:rPr>
                                      <w:t>936.29</w:t>
                                    </w:r>
                                    <w:r>
                                      <w:rPr>
                                        <w:rFonts w:cs="宋体" w:asciiTheme="minorEastAsia" w:hAnsiTheme="minorEastAsia"/>
                                        <w:b/>
                                        <w:color w:val="333333"/>
                                        <w:kern w:val="0"/>
                                        <w:sz w:val="28"/>
                                        <w:szCs w:val="28"/>
                                      </w:rPr>
                                      <w:t>万元</w:t>
                                    </w:r>
                                    <w:r>
                                      <w:rPr>
                                        <w:rFonts w:hint="eastAsia" w:cs="宋体" w:asciiTheme="minorEastAsia" w:hAnsiTheme="minorEastAsia"/>
                                        <w:b/>
                                        <w:color w:val="333333"/>
                                        <w:kern w:val="0"/>
                                        <w:sz w:val="28"/>
                                        <w:szCs w:val="28"/>
                                        <w:lang w:eastAsia="zh-CN"/>
                                      </w:rPr>
                                      <w:t>；</w:t>
                                    </w:r>
                                    <w:r>
                                      <w:rPr>
                                        <w:rFonts w:cs="宋体" w:asciiTheme="minorEastAsia" w:hAnsiTheme="minorEastAsia"/>
                                        <w:b/>
                                        <w:color w:val="333333"/>
                                        <w:kern w:val="0"/>
                                        <w:sz w:val="28"/>
                                        <w:szCs w:val="28"/>
                                      </w:rPr>
                                      <w:t>支出包括：一般公共服务支出</w:t>
                                    </w:r>
                                    <w:r>
                                      <w:rPr>
                                        <w:rFonts w:hint="eastAsia" w:cs="宋体" w:asciiTheme="minorEastAsia" w:hAnsiTheme="minorEastAsia"/>
                                        <w:b/>
                                        <w:color w:val="333333"/>
                                        <w:kern w:val="0"/>
                                        <w:sz w:val="28"/>
                                        <w:szCs w:val="28"/>
                                        <w:lang w:val="en-US" w:eastAsia="zh-CN"/>
                                      </w:rPr>
                                      <w:t>653.42</w:t>
                                    </w:r>
                                    <w:r>
                                      <w:rPr>
                                        <w:rFonts w:cs="宋体" w:asciiTheme="minorEastAsia" w:hAnsiTheme="minorEastAsia"/>
                                        <w:b/>
                                        <w:color w:val="333333"/>
                                        <w:kern w:val="0"/>
                                        <w:sz w:val="28"/>
                                        <w:szCs w:val="28"/>
                                      </w:rPr>
                                      <w:t>万元，</w:t>
                                    </w:r>
                                    <w:r>
                                      <w:rPr>
                                        <w:rFonts w:hint="eastAsia" w:cs="宋体" w:asciiTheme="minorEastAsia" w:hAnsiTheme="minorEastAsia"/>
                                        <w:b/>
                                        <w:color w:val="333333"/>
                                        <w:kern w:val="0"/>
                                        <w:sz w:val="28"/>
                                        <w:szCs w:val="28"/>
                                        <w:lang w:eastAsia="zh-CN"/>
                                      </w:rPr>
                                      <w:t>教育支出</w:t>
                                    </w:r>
                                    <w:r>
                                      <w:rPr>
                                        <w:rFonts w:hint="eastAsia" w:cs="宋体" w:asciiTheme="minorEastAsia" w:hAnsiTheme="minorEastAsia"/>
                                        <w:b/>
                                        <w:color w:val="333333"/>
                                        <w:kern w:val="0"/>
                                        <w:sz w:val="28"/>
                                        <w:szCs w:val="28"/>
                                        <w:lang w:val="en-US" w:eastAsia="zh-CN"/>
                                      </w:rPr>
                                      <w:t>2.3万元，</w:t>
                                    </w:r>
                                    <w:r>
                                      <w:rPr>
                                        <w:rFonts w:cs="宋体" w:asciiTheme="minorEastAsia" w:hAnsiTheme="minorEastAsia"/>
                                        <w:b/>
                                        <w:color w:val="333333"/>
                                        <w:kern w:val="0"/>
                                        <w:sz w:val="28"/>
                                        <w:szCs w:val="28"/>
                                      </w:rPr>
                                      <w:t>社会保障和就业支出</w:t>
                                    </w:r>
                                    <w:r>
                                      <w:rPr>
                                        <w:rFonts w:hint="eastAsia" w:cs="宋体" w:asciiTheme="minorEastAsia" w:hAnsiTheme="minorEastAsia"/>
                                        <w:b/>
                                        <w:color w:val="333333"/>
                                        <w:kern w:val="0"/>
                                        <w:sz w:val="28"/>
                                        <w:szCs w:val="28"/>
                                        <w:lang w:val="en-US" w:eastAsia="zh-CN"/>
                                      </w:rPr>
                                      <w:t>122.62</w:t>
                                    </w:r>
                                    <w:r>
                                      <w:rPr>
                                        <w:rFonts w:cs="宋体" w:asciiTheme="minorEastAsia" w:hAnsiTheme="minorEastAsia"/>
                                        <w:b/>
                                        <w:color w:val="333333"/>
                                        <w:kern w:val="0"/>
                                        <w:sz w:val="28"/>
                                        <w:szCs w:val="28"/>
                                      </w:rPr>
                                      <w:t>万元、医疗卫生与计划生育支出</w:t>
                                    </w:r>
                                    <w:r>
                                      <w:rPr>
                                        <w:rFonts w:hint="eastAsia" w:cs="宋体" w:asciiTheme="minorEastAsia" w:hAnsiTheme="minorEastAsia"/>
                                        <w:b/>
                                        <w:color w:val="333333"/>
                                        <w:kern w:val="0"/>
                                        <w:sz w:val="28"/>
                                        <w:szCs w:val="28"/>
                                        <w:lang w:val="en-US" w:eastAsia="zh-CN"/>
                                      </w:rPr>
                                      <w:t>46.63</w:t>
                                    </w:r>
                                    <w:r>
                                      <w:rPr>
                                        <w:rFonts w:cs="宋体" w:asciiTheme="minorEastAsia" w:hAnsiTheme="minorEastAsia"/>
                                        <w:b/>
                                        <w:color w:val="333333"/>
                                        <w:kern w:val="0"/>
                                        <w:sz w:val="28"/>
                                        <w:szCs w:val="28"/>
                                      </w:rPr>
                                      <w:t>万元、住房保障支出</w:t>
                                    </w:r>
                                    <w:r>
                                      <w:rPr>
                                        <w:rFonts w:hint="eastAsia" w:cs="宋体" w:asciiTheme="minorEastAsia" w:hAnsiTheme="minorEastAsia"/>
                                        <w:b/>
                                        <w:color w:val="333333"/>
                                        <w:kern w:val="0"/>
                                        <w:sz w:val="28"/>
                                        <w:szCs w:val="28"/>
                                        <w:lang w:val="en-US" w:eastAsia="zh-CN"/>
                                      </w:rPr>
                                      <w:t>61.32</w:t>
                                    </w:r>
                                    <w:r>
                                      <w:rPr>
                                        <w:rFonts w:cs="宋体" w:asciiTheme="minorEastAsia" w:hAnsiTheme="minorEastAsia"/>
                                        <w:b/>
                                        <w:color w:val="333333"/>
                                        <w:kern w:val="0"/>
                                        <w:sz w:val="28"/>
                                        <w:szCs w:val="28"/>
                                      </w:rPr>
                                      <w:t>万元</w:t>
                                    </w:r>
                                    <w:r>
                                      <w:rPr>
                                        <w:rFonts w:hint="eastAsia" w:cs="宋体" w:asciiTheme="minorEastAsia" w:hAnsiTheme="minorEastAsia"/>
                                        <w:b/>
                                        <w:color w:val="333333"/>
                                        <w:kern w:val="0"/>
                                        <w:sz w:val="28"/>
                                        <w:szCs w:val="28"/>
                                        <w:lang w:val="en-US" w:eastAsia="zh-CN"/>
                                      </w:rPr>
                                      <w:t>,项目支出50万元</w:t>
                                    </w:r>
                                    <w:r>
                                      <w:rPr>
                                        <w:rFonts w:cs="宋体" w:asciiTheme="minorEastAsia" w:hAnsiTheme="minorEastAsia"/>
                                        <w:b/>
                                        <w:color w:val="333333"/>
                                        <w:kern w:val="0"/>
                                        <w:sz w:val="28"/>
                                        <w:szCs w:val="28"/>
                                      </w:rPr>
                                      <w:t>。</w:t>
                                    </w:r>
                                  </w:p>
                                  <w:p>
                                    <w:pPr>
                                      <w:widowControl/>
                                      <w:spacing w:line="480" w:lineRule="atLeast"/>
                                      <w:ind w:firstLine="60"/>
                                      <w:rPr>
                                        <w:rFonts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t>　　五、一般公共预算当年拨款情况说明</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（一）一般公共预算当年拨款规模变化情况。</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年财政拨款收支总预算</w:t>
                                    </w:r>
                                    <w:r>
                                      <w:rPr>
                                        <w:rFonts w:hint="eastAsia" w:cs="宋体" w:asciiTheme="minorEastAsia" w:hAnsiTheme="minorEastAsia"/>
                                        <w:b/>
                                        <w:color w:val="333333"/>
                                        <w:kern w:val="0"/>
                                        <w:sz w:val="28"/>
                                        <w:szCs w:val="28"/>
                                        <w:lang w:val="en-US" w:eastAsia="zh-CN"/>
                                      </w:rPr>
                                      <w:t>936.29</w:t>
                                    </w:r>
                                    <w:r>
                                      <w:rPr>
                                        <w:rFonts w:hint="eastAsia" w:cs="宋体" w:asciiTheme="minorEastAsia" w:hAnsiTheme="minorEastAsia"/>
                                        <w:b/>
                                        <w:color w:val="333333"/>
                                        <w:kern w:val="0"/>
                                        <w:sz w:val="28"/>
                                        <w:szCs w:val="28"/>
                                      </w:rPr>
                                      <w:t>万元,比20</w:t>
                                    </w:r>
                                    <w:r>
                                      <w:rPr>
                                        <w:rFonts w:hint="eastAsia" w:cs="宋体" w:asciiTheme="minorEastAsia" w:hAnsiTheme="minorEastAsia"/>
                                        <w:b/>
                                        <w:color w:val="333333"/>
                                        <w:kern w:val="0"/>
                                        <w:sz w:val="28"/>
                                        <w:szCs w:val="28"/>
                                        <w:lang w:val="en-US" w:eastAsia="zh-CN"/>
                                      </w:rPr>
                                      <w:t>20</w:t>
                                    </w:r>
                                    <w:r>
                                      <w:rPr>
                                        <w:rFonts w:hint="eastAsia" w:cs="宋体" w:asciiTheme="minorEastAsia" w:hAnsiTheme="minorEastAsia"/>
                                        <w:b/>
                                        <w:color w:val="333333"/>
                                        <w:kern w:val="0"/>
                                        <w:sz w:val="28"/>
                                        <w:szCs w:val="28"/>
                                      </w:rPr>
                                      <w:t>年财政拨款收支总预算增加</w:t>
                                    </w:r>
                                    <w:r>
                                      <w:rPr>
                                        <w:rFonts w:hint="eastAsia" w:cs="宋体" w:asciiTheme="minorEastAsia" w:hAnsiTheme="minorEastAsia"/>
                                        <w:b/>
                                        <w:color w:val="333333"/>
                                        <w:kern w:val="0"/>
                                        <w:sz w:val="28"/>
                                        <w:szCs w:val="28"/>
                                        <w:lang w:val="en-US" w:eastAsia="zh-CN"/>
                                      </w:rPr>
                                      <w:t>152.77</w:t>
                                    </w:r>
                                    <w:r>
                                      <w:rPr>
                                        <w:rFonts w:hint="eastAsia" w:cs="宋体" w:asciiTheme="minorEastAsia" w:hAnsiTheme="minorEastAsia"/>
                                        <w:b/>
                                        <w:color w:val="333333"/>
                                        <w:kern w:val="0"/>
                                        <w:sz w:val="28"/>
                                        <w:szCs w:val="28"/>
                                      </w:rPr>
                                      <w:t>万元，主要是</w:t>
                                    </w:r>
                                    <w:r>
                                      <w:rPr>
                                        <w:rFonts w:hint="eastAsia" w:cs="宋体" w:asciiTheme="minorEastAsia" w:hAnsiTheme="minorEastAsia"/>
                                        <w:b/>
                                        <w:color w:val="333333"/>
                                        <w:kern w:val="0"/>
                                        <w:sz w:val="28"/>
                                        <w:szCs w:val="28"/>
                                        <w:lang w:eastAsia="zh-CN"/>
                                      </w:rPr>
                                      <w:t>人员增加且人员经费及办公经费同时增加</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（二）一般公共预算当年拨款结构情况。</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一般公共服务支出</w:t>
                                    </w:r>
                                    <w:r>
                                      <w:rPr>
                                        <w:rFonts w:hint="eastAsia" w:cs="宋体" w:asciiTheme="minorEastAsia" w:hAnsiTheme="minorEastAsia"/>
                                        <w:b/>
                                        <w:color w:val="333333"/>
                                        <w:kern w:val="0"/>
                                        <w:sz w:val="28"/>
                                        <w:szCs w:val="28"/>
                                        <w:lang w:val="en-US" w:eastAsia="zh-CN"/>
                                      </w:rPr>
                                      <w:t>653.42</w:t>
                                    </w:r>
                                    <w:r>
                                      <w:rPr>
                                        <w:rFonts w:hint="eastAsia" w:cs="宋体" w:asciiTheme="minorEastAsia" w:hAnsiTheme="minorEastAsia"/>
                                        <w:b/>
                                        <w:color w:val="333333"/>
                                        <w:kern w:val="0"/>
                                        <w:sz w:val="28"/>
                                        <w:szCs w:val="28"/>
                                      </w:rPr>
                                      <w:t>万元，占7</w:t>
                                    </w:r>
                                    <w:r>
                                      <w:rPr>
                                        <w:rFonts w:hint="eastAsia" w:cs="宋体" w:asciiTheme="minorEastAsia" w:hAnsiTheme="minorEastAsia"/>
                                        <w:b/>
                                        <w:color w:val="333333"/>
                                        <w:kern w:val="0"/>
                                        <w:sz w:val="28"/>
                                        <w:szCs w:val="28"/>
                                        <w:lang w:val="en-US" w:eastAsia="zh-CN"/>
                                      </w:rPr>
                                      <w:t>3</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lang w:val="en-US" w:eastAsia="zh-CN"/>
                                      </w:rPr>
                                      <w:t>72</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lang w:eastAsia="zh-CN"/>
                                      </w:rPr>
                                      <w:t>教育支出</w:t>
                                    </w:r>
                                    <w:r>
                                      <w:rPr>
                                        <w:rFonts w:hint="eastAsia" w:cs="宋体" w:asciiTheme="minorEastAsia" w:hAnsiTheme="minorEastAsia"/>
                                        <w:b/>
                                        <w:color w:val="333333"/>
                                        <w:kern w:val="0"/>
                                        <w:sz w:val="28"/>
                                        <w:szCs w:val="28"/>
                                        <w:lang w:val="en-US" w:eastAsia="zh-CN"/>
                                      </w:rPr>
                                      <w:t>2.3万元，</w:t>
                                    </w:r>
                                    <w:r>
                                      <w:rPr>
                                        <w:rFonts w:hint="eastAsia" w:cs="宋体" w:asciiTheme="minorEastAsia" w:hAnsiTheme="minorEastAsia"/>
                                        <w:b/>
                                        <w:color w:val="333333"/>
                                        <w:kern w:val="0"/>
                                        <w:sz w:val="28"/>
                                        <w:szCs w:val="28"/>
                                      </w:rPr>
                                      <w:t>占</w:t>
                                    </w:r>
                                    <w:r>
                                      <w:rPr>
                                        <w:rFonts w:hint="eastAsia" w:cs="宋体" w:asciiTheme="minorEastAsia" w:hAnsiTheme="minorEastAsia"/>
                                        <w:b/>
                                        <w:color w:val="333333"/>
                                        <w:kern w:val="0"/>
                                        <w:sz w:val="28"/>
                                        <w:szCs w:val="28"/>
                                        <w:lang w:val="en-US" w:eastAsia="zh-CN"/>
                                      </w:rPr>
                                      <w:t>0.03</w:t>
                                    </w:r>
                                    <w:r>
                                      <w:rPr>
                                        <w:rFonts w:hint="eastAsia" w:cs="宋体" w:asciiTheme="minorEastAsia" w:hAnsiTheme="minorEastAsia"/>
                                        <w:b/>
                                        <w:color w:val="333333"/>
                                        <w:kern w:val="0"/>
                                        <w:sz w:val="28"/>
                                        <w:szCs w:val="28"/>
                                      </w:rPr>
                                      <w:t>%，社会保障和就业支出</w:t>
                                    </w:r>
                                    <w:r>
                                      <w:rPr>
                                        <w:rFonts w:hint="eastAsia" w:cs="宋体" w:asciiTheme="minorEastAsia" w:hAnsiTheme="minorEastAsia"/>
                                        <w:b/>
                                        <w:color w:val="333333"/>
                                        <w:kern w:val="0"/>
                                        <w:sz w:val="28"/>
                                        <w:szCs w:val="28"/>
                                        <w:lang w:val="en-US" w:eastAsia="zh-CN"/>
                                      </w:rPr>
                                      <w:t>122.62</w:t>
                                    </w:r>
                                    <w:r>
                                      <w:rPr>
                                        <w:rFonts w:hint="eastAsia" w:cs="宋体" w:asciiTheme="minorEastAsia" w:hAnsiTheme="minorEastAsia"/>
                                        <w:b/>
                                        <w:color w:val="333333"/>
                                        <w:kern w:val="0"/>
                                        <w:sz w:val="28"/>
                                        <w:szCs w:val="28"/>
                                      </w:rPr>
                                      <w:t>万元，占</w:t>
                                    </w:r>
                                    <w:r>
                                      <w:rPr>
                                        <w:rFonts w:hint="eastAsia" w:cs="宋体" w:asciiTheme="minorEastAsia" w:hAnsiTheme="minorEastAsia"/>
                                        <w:b/>
                                        <w:color w:val="333333"/>
                                        <w:kern w:val="0"/>
                                        <w:sz w:val="28"/>
                                        <w:szCs w:val="28"/>
                                        <w:lang w:val="en-US" w:eastAsia="zh-CN"/>
                                      </w:rPr>
                                      <w:t>13.82</w:t>
                                    </w:r>
                                    <w:r>
                                      <w:rPr>
                                        <w:rFonts w:hint="eastAsia" w:cs="宋体" w:asciiTheme="minorEastAsia" w:hAnsiTheme="minorEastAsia"/>
                                        <w:b/>
                                        <w:color w:val="333333"/>
                                        <w:kern w:val="0"/>
                                        <w:sz w:val="28"/>
                                        <w:szCs w:val="28"/>
                                      </w:rPr>
                                      <w:t>%，医疗卫生与计划生育支出</w:t>
                                    </w:r>
                                    <w:r>
                                      <w:rPr>
                                        <w:rFonts w:hint="eastAsia" w:cs="宋体" w:asciiTheme="minorEastAsia" w:hAnsiTheme="minorEastAsia"/>
                                        <w:b/>
                                        <w:color w:val="333333"/>
                                        <w:kern w:val="0"/>
                                        <w:sz w:val="28"/>
                                        <w:szCs w:val="28"/>
                                        <w:lang w:val="en-US" w:eastAsia="zh-CN"/>
                                      </w:rPr>
                                      <w:t>46.63</w:t>
                                    </w:r>
                                    <w:r>
                                      <w:rPr>
                                        <w:rFonts w:hint="eastAsia" w:cs="宋体" w:asciiTheme="minorEastAsia" w:hAnsiTheme="minorEastAsia"/>
                                        <w:b/>
                                        <w:color w:val="333333"/>
                                        <w:kern w:val="0"/>
                                        <w:sz w:val="28"/>
                                        <w:szCs w:val="28"/>
                                      </w:rPr>
                                      <w:t>万元，占</w:t>
                                    </w:r>
                                    <w:r>
                                      <w:rPr>
                                        <w:rFonts w:hint="eastAsia" w:cs="宋体" w:asciiTheme="minorEastAsia" w:hAnsiTheme="minorEastAsia"/>
                                        <w:b/>
                                        <w:color w:val="333333"/>
                                        <w:kern w:val="0"/>
                                        <w:sz w:val="28"/>
                                        <w:szCs w:val="28"/>
                                        <w:lang w:val="en-US" w:eastAsia="zh-CN"/>
                                      </w:rPr>
                                      <w:t>5.37</w:t>
                                    </w:r>
                                    <w:r>
                                      <w:rPr>
                                        <w:rFonts w:hint="eastAsia" w:cs="宋体" w:asciiTheme="minorEastAsia" w:hAnsiTheme="minorEastAsia"/>
                                        <w:b/>
                                        <w:color w:val="333333"/>
                                        <w:kern w:val="0"/>
                                        <w:sz w:val="28"/>
                                        <w:szCs w:val="28"/>
                                      </w:rPr>
                                      <w:t>%；住房保障支出</w:t>
                                    </w:r>
                                    <w:r>
                                      <w:rPr>
                                        <w:rFonts w:hint="eastAsia" w:cs="宋体" w:asciiTheme="minorEastAsia" w:hAnsiTheme="minorEastAsia"/>
                                        <w:b/>
                                        <w:color w:val="333333"/>
                                        <w:kern w:val="0"/>
                                        <w:sz w:val="28"/>
                                        <w:szCs w:val="28"/>
                                        <w:lang w:val="en-US" w:eastAsia="zh-CN"/>
                                      </w:rPr>
                                      <w:t>61.32</w:t>
                                    </w:r>
                                    <w:r>
                                      <w:rPr>
                                        <w:rFonts w:hint="eastAsia" w:cs="宋体" w:asciiTheme="minorEastAsia" w:hAnsiTheme="minorEastAsia"/>
                                        <w:b/>
                                        <w:color w:val="333333"/>
                                        <w:kern w:val="0"/>
                                        <w:sz w:val="28"/>
                                        <w:szCs w:val="28"/>
                                      </w:rPr>
                                      <w:t>万元，占</w:t>
                                    </w:r>
                                    <w:r>
                                      <w:rPr>
                                        <w:rFonts w:hint="eastAsia" w:cs="宋体" w:asciiTheme="minorEastAsia" w:hAnsiTheme="minorEastAsia"/>
                                        <w:b/>
                                        <w:color w:val="333333"/>
                                        <w:kern w:val="0"/>
                                        <w:sz w:val="28"/>
                                        <w:szCs w:val="28"/>
                                        <w:lang w:val="en-US" w:eastAsia="zh-CN"/>
                                      </w:rPr>
                                      <w:t>7.07</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lang w:eastAsia="zh-CN"/>
                                      </w:rPr>
                                      <w:t>。</w:t>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（三）一般公共预算当年拨款具体使用情况。</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1.一般公共服务（类）纪检事务（款）行政运行（项）</w:t>
                                    </w:r>
                                    <w:r>
                                      <w:rPr>
                                        <w:rFonts w:hint="eastAsia" w:cs="宋体" w:asciiTheme="minorEastAsia" w:hAnsiTheme="minorEastAsia"/>
                                        <w:b/>
                                        <w:color w:val="333333"/>
                                        <w:kern w:val="0"/>
                                        <w:sz w:val="28"/>
                                        <w:szCs w:val="28"/>
                                      </w:rPr>
                                      <w:t>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年预算数为</w:t>
                                    </w:r>
                                    <w:r>
                                      <w:rPr>
                                        <w:rFonts w:hint="eastAsia" w:cs="宋体" w:asciiTheme="minorEastAsia" w:hAnsiTheme="minorEastAsia"/>
                                        <w:b/>
                                        <w:color w:val="333333"/>
                                        <w:kern w:val="0"/>
                                        <w:sz w:val="28"/>
                                        <w:szCs w:val="28"/>
                                        <w:lang w:val="en-US" w:eastAsia="zh-CN"/>
                                      </w:rPr>
                                      <w:t>653.42</w:t>
                                    </w:r>
                                    <w:r>
                                      <w:rPr>
                                        <w:rFonts w:hint="eastAsia" w:cs="宋体" w:asciiTheme="minorEastAsia" w:hAnsiTheme="minorEastAsia"/>
                                        <w:b/>
                                        <w:color w:val="333333"/>
                                        <w:kern w:val="0"/>
                                        <w:sz w:val="28"/>
                                        <w:szCs w:val="28"/>
                                      </w:rPr>
                                      <w:t>万元，主要用于：单位正常运转的基本支出，包括基本工资、津贴补贴等人员经费以及办公费、印刷费、水电费等日常公用经费。</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2.社会保障和就业（类）行政事业单位离退休（款）机关事业单位基本养老保险缴费支出（项）</w:t>
                                    </w:r>
                                    <w:r>
                                      <w:rPr>
                                        <w:rFonts w:hint="eastAsia" w:cs="宋体" w:asciiTheme="minorEastAsia" w:hAnsiTheme="minorEastAsia"/>
                                        <w:b/>
                                        <w:color w:val="333333"/>
                                        <w:kern w:val="0"/>
                                        <w:sz w:val="28"/>
                                        <w:szCs w:val="28"/>
                                        <w:lang w:val="en-US" w:eastAsia="zh-CN"/>
                                      </w:rPr>
                                      <w:t>2021</w:t>
                                    </w:r>
                                    <w:r>
                                      <w:rPr>
                                        <w:rFonts w:hint="eastAsia" w:cs="宋体" w:asciiTheme="minorEastAsia" w:hAnsiTheme="minorEastAsia"/>
                                        <w:b/>
                                        <w:color w:val="333333"/>
                                        <w:kern w:val="0"/>
                                        <w:sz w:val="28"/>
                                        <w:szCs w:val="28"/>
                                      </w:rPr>
                                      <w:t>年预算数为</w:t>
                                    </w:r>
                                    <w:r>
                                      <w:rPr>
                                        <w:rFonts w:hint="eastAsia" w:cs="宋体" w:asciiTheme="minorEastAsia" w:hAnsiTheme="minorEastAsia"/>
                                        <w:b/>
                                        <w:color w:val="333333"/>
                                        <w:kern w:val="0"/>
                                        <w:sz w:val="28"/>
                                        <w:szCs w:val="28"/>
                                        <w:lang w:val="en-US" w:eastAsia="zh-CN"/>
                                      </w:rPr>
                                      <w:t>81.72</w:t>
                                    </w:r>
                                    <w:r>
                                      <w:rPr>
                                        <w:rFonts w:hint="eastAsia" w:cs="宋体" w:asciiTheme="minorEastAsia" w:hAnsiTheme="minorEastAsia"/>
                                        <w:b/>
                                        <w:color w:val="333333"/>
                                        <w:kern w:val="0"/>
                                        <w:sz w:val="28"/>
                                        <w:szCs w:val="28"/>
                                      </w:rPr>
                                      <w:t>万元，主要用于：实施养老保险制度后，部门按规定由单位缴纳的基本养老保险费支出。</w:t>
                                    </w:r>
                                    <w:r>
                                      <w:rPr>
                                        <w:rFonts w:hint="eastAsia" w:cs="宋体" w:asciiTheme="minorEastAsia" w:hAnsiTheme="minorEastAsia"/>
                                        <w:b/>
                                        <w:color w:val="333333"/>
                                        <w:kern w:val="0"/>
                                        <w:sz w:val="28"/>
                                        <w:szCs w:val="28"/>
                                      </w:rPr>
                                      <w:br w:type="textWrapping"/>
                                    </w:r>
                                    <w:r>
                                      <w:rPr>
                                        <w:rFonts w:hint="eastAsia" w:cs="宋体" w:asciiTheme="minorEastAsia" w:hAnsiTheme="minorEastAsia"/>
                                        <w:color w:val="333333"/>
                                        <w:kern w:val="0"/>
                                        <w:sz w:val="28"/>
                                        <w:szCs w:val="28"/>
                                      </w:rPr>
                                      <w:t xml:space="preserve">　 </w:t>
                                    </w:r>
                                    <w:r>
                                      <w:rPr>
                                        <w:rFonts w:hint="eastAsia" w:cs="宋体" w:asciiTheme="minorEastAsia" w:hAnsiTheme="minorEastAsia"/>
                                        <w:b/>
                                        <w:bCs/>
                                        <w:color w:val="333333"/>
                                        <w:kern w:val="0"/>
                                        <w:sz w:val="28"/>
                                        <w:szCs w:val="28"/>
                                      </w:rPr>
                                      <w:t>3.社会保障和就业（类）行政事业单位离退休（款）机关事业单位职业年金缴费支出（项）</w:t>
                                    </w:r>
                                    <w:r>
                                      <w:rPr>
                                        <w:rFonts w:hint="eastAsia" w:cs="宋体" w:asciiTheme="minorEastAsia" w:hAnsiTheme="minorEastAsia"/>
                                        <w:b/>
                                        <w:color w:val="333333"/>
                                        <w:kern w:val="0"/>
                                        <w:sz w:val="28"/>
                                        <w:szCs w:val="28"/>
                                      </w:rPr>
                                      <w:t>20</w:t>
                                    </w:r>
                                    <w:r>
                                      <w:rPr>
                                        <w:rFonts w:hint="eastAsia" w:cs="宋体" w:asciiTheme="minorEastAsia" w:hAnsiTheme="minorEastAsia"/>
                                        <w:b/>
                                        <w:color w:val="333333"/>
                                        <w:kern w:val="0"/>
                                        <w:sz w:val="28"/>
                                        <w:szCs w:val="28"/>
                                        <w:lang w:val="en-US" w:eastAsia="zh-CN"/>
                                      </w:rPr>
                                      <w:t>21</w:t>
                                    </w:r>
                                    <w:r>
                                      <w:rPr>
                                        <w:rFonts w:hint="eastAsia" w:cs="宋体" w:asciiTheme="minorEastAsia" w:hAnsiTheme="minorEastAsia"/>
                                        <w:b/>
                                        <w:color w:val="333333"/>
                                        <w:kern w:val="0"/>
                                        <w:sz w:val="28"/>
                                        <w:szCs w:val="28"/>
                                      </w:rPr>
                                      <w:t>年预算数为</w:t>
                                    </w:r>
                                    <w:r>
                                      <w:rPr>
                                        <w:rFonts w:hint="eastAsia" w:cs="宋体" w:asciiTheme="minorEastAsia" w:hAnsiTheme="minorEastAsia"/>
                                        <w:b/>
                                        <w:color w:val="333333"/>
                                        <w:kern w:val="0"/>
                                        <w:sz w:val="28"/>
                                        <w:szCs w:val="28"/>
                                        <w:lang w:val="en-US" w:eastAsia="zh-CN"/>
                                      </w:rPr>
                                      <w:t>40.87</w:t>
                                    </w:r>
                                    <w:r>
                                      <w:rPr>
                                        <w:rFonts w:hint="eastAsia" w:cs="宋体" w:asciiTheme="minorEastAsia" w:hAnsiTheme="minorEastAsia"/>
                                        <w:b/>
                                        <w:color w:val="333333"/>
                                        <w:kern w:val="0"/>
                                        <w:sz w:val="28"/>
                                        <w:szCs w:val="28"/>
                                      </w:rPr>
                                      <w:t>万元，主要用于：实施养老保险制度后，部门按规定由单位缴纳的职业年金支出。</w:t>
                                    </w:r>
                                  </w:p>
                                  <w:p>
                                    <w:pPr>
                                      <w:widowControl/>
                                      <w:spacing w:line="480" w:lineRule="atLeast"/>
                                      <w:ind w:firstLine="422" w:firstLineChars="150"/>
                                      <w:rPr>
                                        <w:rFonts w:cs="宋体" w:asciiTheme="minorEastAsia" w:hAnsiTheme="minorEastAsia"/>
                                        <w:b/>
                                        <w:color w:val="333333"/>
                                        <w:kern w:val="0"/>
                                        <w:sz w:val="28"/>
                                        <w:szCs w:val="28"/>
                                      </w:rPr>
                                    </w:pPr>
                                    <w:r>
                                      <w:rPr>
                                        <w:rFonts w:hint="eastAsia" w:cs="宋体" w:asciiTheme="minorEastAsia" w:hAnsiTheme="minorEastAsia"/>
                                        <w:b/>
                                        <w:bCs/>
                                        <w:color w:val="333333"/>
                                        <w:kern w:val="0"/>
                                        <w:sz w:val="28"/>
                                        <w:szCs w:val="28"/>
                                      </w:rPr>
                                      <w:t>4.医疗卫生与计划生育（类）行政事业单位医疗（款）行政单位医疗（项）</w:t>
                                    </w:r>
                                    <w:r>
                                      <w:rPr>
                                        <w:rFonts w:hint="eastAsia" w:cs="宋体" w:asciiTheme="minorEastAsia" w:hAnsiTheme="minorEastAsia"/>
                                        <w:b/>
                                        <w:color w:val="333333"/>
                                        <w:kern w:val="0"/>
                                        <w:sz w:val="28"/>
                                        <w:szCs w:val="28"/>
                                      </w:rPr>
                                      <w:t>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年预算数为</w:t>
                                    </w:r>
                                    <w:r>
                                      <w:rPr>
                                        <w:rFonts w:hint="eastAsia" w:cs="宋体" w:asciiTheme="minorEastAsia" w:hAnsiTheme="minorEastAsia"/>
                                        <w:b/>
                                        <w:color w:val="333333"/>
                                        <w:kern w:val="0"/>
                                        <w:sz w:val="28"/>
                                        <w:szCs w:val="28"/>
                                        <w:lang w:val="en-US" w:eastAsia="zh-CN"/>
                                      </w:rPr>
                                      <w:t>35.76</w:t>
                                    </w:r>
                                    <w:r>
                                      <w:rPr>
                                        <w:rFonts w:hint="eastAsia" w:cs="宋体" w:asciiTheme="minorEastAsia" w:hAnsiTheme="minorEastAsia"/>
                                        <w:b/>
                                        <w:color w:val="333333"/>
                                        <w:kern w:val="0"/>
                                        <w:sz w:val="28"/>
                                        <w:szCs w:val="28"/>
                                      </w:rPr>
                                      <w:t>万元，主要用于：单位基本医疗保险缴费支出。</w:t>
                                    </w:r>
                                    <w:r>
                                      <w:rPr>
                                        <w:rFonts w:hint="eastAsia" w:cs="宋体" w:asciiTheme="minorEastAsia" w:hAnsiTheme="minorEastAsia"/>
                                        <w:color w:val="333333"/>
                                        <w:kern w:val="0"/>
                                        <w:sz w:val="28"/>
                                        <w:szCs w:val="28"/>
                                      </w:rPr>
                                      <w:br w:type="textWrapping"/>
                                    </w:r>
                                    <w:r>
                                      <w:rPr>
                                        <w:rFonts w:hint="eastAsia" w:cs="宋体" w:asciiTheme="minorEastAsia" w:hAnsiTheme="minorEastAsia"/>
                                        <w:color w:val="333333"/>
                                        <w:kern w:val="0"/>
                                        <w:sz w:val="28"/>
                                        <w:szCs w:val="28"/>
                                      </w:rPr>
                                      <w:t xml:space="preserve">　 </w:t>
                                    </w:r>
                                    <w:r>
                                      <w:rPr>
                                        <w:rFonts w:hint="eastAsia" w:cs="宋体" w:asciiTheme="minorEastAsia" w:hAnsiTheme="minorEastAsia"/>
                                        <w:b/>
                                        <w:bCs/>
                                        <w:color w:val="333333"/>
                                        <w:kern w:val="0"/>
                                        <w:sz w:val="28"/>
                                        <w:szCs w:val="28"/>
                                      </w:rPr>
                                      <w:t>5.医疗卫生与计划生育（类）行政事业单位医疗（款）公务员医疗补助（项）</w:t>
                                    </w:r>
                                    <w:r>
                                      <w:rPr>
                                        <w:rFonts w:hint="eastAsia" w:cs="宋体" w:asciiTheme="minorEastAsia" w:hAnsiTheme="minorEastAsia"/>
                                        <w:b/>
                                        <w:color w:val="333333"/>
                                        <w:kern w:val="0"/>
                                        <w:sz w:val="28"/>
                                        <w:szCs w:val="28"/>
                                      </w:rPr>
                                      <w:t>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年预算数为</w:t>
                                    </w:r>
                                    <w:r>
                                      <w:rPr>
                                        <w:rFonts w:hint="eastAsia" w:cs="宋体" w:asciiTheme="minorEastAsia" w:hAnsiTheme="minorEastAsia"/>
                                        <w:b/>
                                        <w:color w:val="333333"/>
                                        <w:kern w:val="0"/>
                                        <w:sz w:val="28"/>
                                        <w:szCs w:val="28"/>
                                        <w:lang w:val="en-US" w:eastAsia="zh-CN"/>
                                      </w:rPr>
                                      <w:t>10.87</w:t>
                                    </w:r>
                                    <w:r>
                                      <w:rPr>
                                        <w:rFonts w:hint="eastAsia" w:cs="宋体" w:asciiTheme="minorEastAsia" w:hAnsiTheme="minorEastAsia"/>
                                        <w:b/>
                                        <w:color w:val="333333"/>
                                        <w:kern w:val="0"/>
                                        <w:sz w:val="28"/>
                                        <w:szCs w:val="28"/>
                                      </w:rPr>
                                      <w:t>万元，主要用于：单位集中缴纳公务员医疗补助支出。</w:t>
                                    </w:r>
                                    <w:r>
                                      <w:rPr>
                                        <w:rFonts w:hint="eastAsia" w:cs="宋体" w:asciiTheme="minorEastAsia" w:hAnsiTheme="minorEastAsia"/>
                                        <w:b/>
                                        <w:color w:val="333333"/>
                                        <w:kern w:val="0"/>
                                        <w:sz w:val="28"/>
                                        <w:szCs w:val="28"/>
                                      </w:rPr>
                                      <w:br w:type="textWrapping"/>
                                    </w:r>
                                    <w:r>
                                      <w:rPr>
                                        <w:rFonts w:hint="eastAsia" w:cs="宋体" w:asciiTheme="minorEastAsia" w:hAnsiTheme="minorEastAsia"/>
                                        <w:b/>
                                        <w:bCs/>
                                        <w:color w:val="333333"/>
                                        <w:kern w:val="0"/>
                                        <w:sz w:val="28"/>
                                        <w:szCs w:val="28"/>
                                      </w:rPr>
                                      <w:t xml:space="preserve">   6.住房保障（类）住房改革支出（款）住房公积金（项）</w:t>
                                    </w:r>
                                    <w:r>
                                      <w:rPr>
                                        <w:rFonts w:hint="eastAsia" w:cs="宋体" w:asciiTheme="minorEastAsia" w:hAnsiTheme="minorEastAsia"/>
                                        <w:b/>
                                        <w:color w:val="333333"/>
                                        <w:kern w:val="0"/>
                                        <w:sz w:val="28"/>
                                        <w:szCs w:val="28"/>
                                      </w:rPr>
                                      <w:t>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年预算数为</w:t>
                                    </w:r>
                                    <w:r>
                                      <w:rPr>
                                        <w:rFonts w:hint="eastAsia" w:cs="宋体" w:asciiTheme="minorEastAsia" w:hAnsiTheme="minorEastAsia"/>
                                        <w:b/>
                                        <w:color w:val="333333"/>
                                        <w:kern w:val="0"/>
                                        <w:sz w:val="28"/>
                                        <w:szCs w:val="28"/>
                                        <w:lang w:val="en-US" w:eastAsia="zh-CN"/>
                                      </w:rPr>
                                      <w:t>61.32</w:t>
                                    </w:r>
                                    <w:r>
                                      <w:rPr>
                                        <w:rFonts w:hint="eastAsia" w:cs="宋体" w:asciiTheme="minorEastAsia" w:hAnsiTheme="minorEastAsia"/>
                                        <w:b/>
                                        <w:color w:val="333333"/>
                                        <w:kern w:val="0"/>
                                        <w:sz w:val="28"/>
                                        <w:szCs w:val="28"/>
                                      </w:rPr>
                                      <w:t>万元，主要用于：单位按人力资源和社会保障部、财政部规定的基本工资和津贴补贴以及规定比例为职工缴纳的住房公积金支出。</w:t>
                                    </w:r>
                                  </w:p>
                                  <w:p>
                                    <w:pPr>
                                      <w:widowControl/>
                                      <w:spacing w:line="480" w:lineRule="atLeast"/>
                                      <w:ind w:firstLine="562" w:firstLineChars="200"/>
                                      <w:rPr>
                                        <w:rFonts w:hint="eastAsia" w:cs="宋体" w:asciiTheme="minorEastAsia" w:hAnsiTheme="minorEastAsia"/>
                                        <w:b/>
                                        <w:color w:val="333333"/>
                                        <w:kern w:val="0"/>
                                        <w:sz w:val="28"/>
                                        <w:szCs w:val="28"/>
                                      </w:rPr>
                                    </w:pPr>
                                    <w:r>
                                      <w:rPr>
                                        <w:rFonts w:hint="eastAsia" w:cs="宋体" w:asciiTheme="minorEastAsia" w:hAnsiTheme="minorEastAsia"/>
                                        <w:b/>
                                        <w:bCs/>
                                        <w:color w:val="333333"/>
                                        <w:kern w:val="0"/>
                                        <w:sz w:val="28"/>
                                        <w:szCs w:val="28"/>
                                        <w:lang w:val="en-US" w:eastAsia="zh-CN"/>
                                      </w:rPr>
                                      <w:t>7</w:t>
                                    </w:r>
                                    <w:r>
                                      <w:rPr>
                                        <w:rFonts w:hint="eastAsia" w:cs="宋体" w:asciiTheme="minorEastAsia" w:hAnsiTheme="minorEastAsia"/>
                                        <w:b/>
                                        <w:bCs/>
                                        <w:color w:val="333333"/>
                                        <w:kern w:val="0"/>
                                        <w:sz w:val="28"/>
                                        <w:szCs w:val="28"/>
                                      </w:rPr>
                                      <w:t>. 教育（类）进修及培训（款）培训支出（项）</w:t>
                                    </w:r>
                                    <w:r>
                                      <w:rPr>
                                        <w:rFonts w:hint="eastAsia" w:cs="宋体" w:asciiTheme="minorEastAsia" w:hAnsiTheme="minorEastAsia"/>
                                        <w:b/>
                                        <w:color w:val="333333"/>
                                        <w:kern w:val="0"/>
                                        <w:sz w:val="28"/>
                                        <w:szCs w:val="28"/>
                                      </w:rPr>
                                      <w:t>2020年预算数为</w:t>
                                    </w:r>
                                    <w:r>
                                      <w:rPr>
                                        <w:rFonts w:hint="eastAsia" w:cs="宋体" w:asciiTheme="minorEastAsia" w:hAnsiTheme="minorEastAsia"/>
                                        <w:b/>
                                        <w:color w:val="333333"/>
                                        <w:kern w:val="0"/>
                                        <w:sz w:val="28"/>
                                        <w:szCs w:val="28"/>
                                        <w:lang w:val="en-US" w:eastAsia="zh-CN"/>
                                      </w:rPr>
                                      <w:t>2.3</w:t>
                                    </w:r>
                                    <w:r>
                                      <w:rPr>
                                        <w:rFonts w:hint="eastAsia" w:cs="宋体" w:asciiTheme="minorEastAsia" w:hAnsiTheme="minorEastAsia"/>
                                        <w:b/>
                                        <w:color w:val="333333"/>
                                        <w:kern w:val="0"/>
                                        <w:sz w:val="28"/>
                                        <w:szCs w:val="28"/>
                                      </w:rPr>
                                      <w:t>万元，主要用于：单位干部系统内培训及在职人员参加外部培训等经费支出。</w:t>
                                    </w:r>
                                  </w:p>
                                  <w:p>
                                    <w:pPr>
                                      <w:widowControl/>
                                      <w:spacing w:line="480" w:lineRule="atLeast"/>
                                      <w:ind w:firstLine="422" w:firstLineChars="150"/>
                                      <w:rPr>
                                        <w:rFonts w:hint="eastAsia" w:cs="宋体" w:asciiTheme="minorEastAsia" w:hAnsiTheme="minorEastAsia"/>
                                        <w:b/>
                                        <w:color w:val="333333"/>
                                        <w:kern w:val="0"/>
                                        <w:sz w:val="28"/>
                                        <w:szCs w:val="28"/>
                                      </w:rPr>
                                    </w:pPr>
                                    <w:r>
                                      <w:rPr>
                                        <w:rFonts w:hint="eastAsia" w:cs="宋体" w:asciiTheme="minorEastAsia" w:hAnsiTheme="minorEastAsia"/>
                                        <w:b/>
                                        <w:bCs/>
                                        <w:color w:val="333333"/>
                                        <w:kern w:val="0"/>
                                        <w:sz w:val="28"/>
                                        <w:szCs w:val="28"/>
                                      </w:rPr>
                                      <w:t xml:space="preserve"> </w:t>
                                    </w:r>
                                    <w:r>
                                      <w:rPr>
                                        <w:rFonts w:hint="eastAsia" w:cs="宋体" w:asciiTheme="minorEastAsia" w:hAnsiTheme="minorEastAsia"/>
                                        <w:b/>
                                        <w:bCs/>
                                        <w:color w:val="333333"/>
                                        <w:kern w:val="0"/>
                                        <w:sz w:val="28"/>
                                        <w:szCs w:val="28"/>
                                        <w:lang w:val="en-US" w:eastAsia="zh-CN"/>
                                      </w:rPr>
                                      <w:t>8</w:t>
                                    </w:r>
                                    <w:r>
                                      <w:rPr>
                                        <w:rFonts w:hint="eastAsia" w:cs="宋体" w:asciiTheme="minorEastAsia" w:hAnsiTheme="minorEastAsia"/>
                                        <w:b/>
                                        <w:bCs/>
                                        <w:color w:val="333333"/>
                                        <w:kern w:val="0"/>
                                        <w:sz w:val="28"/>
                                        <w:szCs w:val="28"/>
                                      </w:rPr>
                                      <w:t>.一般公共服务（类）纪检事务（款）一般行政管理事务（项）</w:t>
                                    </w:r>
                                    <w:r>
                                      <w:rPr>
                                        <w:rFonts w:hint="eastAsia" w:cs="宋体" w:asciiTheme="minorEastAsia" w:hAnsiTheme="minorEastAsia"/>
                                        <w:b/>
                                        <w:color w:val="333333"/>
                                        <w:kern w:val="0"/>
                                        <w:sz w:val="28"/>
                                        <w:szCs w:val="28"/>
                                      </w:rPr>
                                      <w:t>2020年预算数为50万元，主要用于：单位正常运转的办案产生的办公费、差旅费，其他交通费用等日常公用经费。　</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六、一般公共预算基本支出情况说明</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年一般公共预算基本支出</w:t>
                                    </w:r>
                                    <w:r>
                                      <w:rPr>
                                        <w:rFonts w:hint="eastAsia" w:cs="宋体" w:asciiTheme="minorEastAsia" w:hAnsiTheme="minorEastAsia"/>
                                        <w:b/>
                                        <w:color w:val="333333"/>
                                        <w:kern w:val="0"/>
                                        <w:sz w:val="28"/>
                                        <w:szCs w:val="28"/>
                                        <w:lang w:val="en-US" w:eastAsia="zh-CN"/>
                                      </w:rPr>
                                      <w:t>936.29</w:t>
                                    </w:r>
                                    <w:r>
                                      <w:rPr>
                                        <w:rFonts w:hint="eastAsia" w:cs="宋体" w:asciiTheme="minorEastAsia" w:hAnsiTheme="minorEastAsia"/>
                                        <w:b/>
                                        <w:color w:val="333333"/>
                                        <w:kern w:val="0"/>
                                        <w:sz w:val="28"/>
                                        <w:szCs w:val="28"/>
                                      </w:rPr>
                                      <w:t>万元，其中：</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人员经费</w:t>
                                    </w:r>
                                    <w:r>
                                      <w:rPr>
                                        <w:rFonts w:hint="eastAsia" w:cs="宋体" w:asciiTheme="minorEastAsia" w:hAnsiTheme="minorEastAsia"/>
                                        <w:b/>
                                        <w:color w:val="333333"/>
                                        <w:kern w:val="0"/>
                                        <w:sz w:val="28"/>
                                        <w:szCs w:val="28"/>
                                        <w:lang w:val="en-US" w:eastAsia="zh-CN"/>
                                      </w:rPr>
                                      <w:t>748.55</w:t>
                                    </w:r>
                                    <w:r>
                                      <w:rPr>
                                        <w:rFonts w:hint="eastAsia" w:cs="宋体" w:asciiTheme="minorEastAsia" w:hAnsiTheme="minorEastAsia"/>
                                        <w:b/>
                                        <w:color w:val="333333"/>
                                        <w:kern w:val="0"/>
                                        <w:sz w:val="28"/>
                                        <w:szCs w:val="28"/>
                                      </w:rPr>
                                      <w:t>万元，主要包括：基本工资、津贴补贴、奖金、社会保险缴费等支出。</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公用经费</w:t>
                                    </w:r>
                                    <w:r>
                                      <w:rPr>
                                        <w:rFonts w:hint="eastAsia" w:cs="宋体" w:asciiTheme="minorEastAsia" w:hAnsiTheme="minorEastAsia"/>
                                        <w:b/>
                                        <w:color w:val="333333"/>
                                        <w:kern w:val="0"/>
                                        <w:sz w:val="28"/>
                                        <w:szCs w:val="28"/>
                                        <w:lang w:val="en-US" w:eastAsia="zh-CN"/>
                                      </w:rPr>
                                      <w:t>135.8</w:t>
                                    </w:r>
                                    <w:r>
                                      <w:rPr>
                                        <w:rFonts w:hint="eastAsia" w:cs="宋体" w:asciiTheme="minorEastAsia" w:hAnsiTheme="minorEastAsia"/>
                                        <w:b/>
                                        <w:color w:val="333333"/>
                                        <w:kern w:val="0"/>
                                        <w:sz w:val="28"/>
                                        <w:szCs w:val="28"/>
                                      </w:rPr>
                                      <w:t>万元，主要包括：办公费、水费、电费、邮电费、印刷费、</w:t>
                                    </w:r>
                                    <w:r>
                                      <w:rPr>
                                        <w:rFonts w:hint="eastAsia" w:cs="宋体" w:asciiTheme="minorEastAsia" w:hAnsiTheme="minorEastAsia"/>
                                        <w:b/>
                                        <w:color w:val="333333"/>
                                        <w:kern w:val="0"/>
                                        <w:sz w:val="28"/>
                                        <w:szCs w:val="28"/>
                                        <w:lang w:eastAsia="zh-CN"/>
                                      </w:rPr>
                                      <w:t>会议费、</w:t>
                                    </w:r>
                                    <w:r>
                                      <w:rPr>
                                        <w:rFonts w:hint="eastAsia" w:cs="宋体" w:asciiTheme="minorEastAsia" w:hAnsiTheme="minorEastAsia"/>
                                        <w:b/>
                                        <w:color w:val="333333"/>
                                        <w:kern w:val="0"/>
                                        <w:sz w:val="28"/>
                                        <w:szCs w:val="28"/>
                                      </w:rPr>
                                      <w:t>差旅费、维修（护）费、劳务费</w:t>
                                    </w:r>
                                    <w:r>
                                      <w:rPr>
                                        <w:rFonts w:hint="eastAsia" w:cs="宋体" w:asciiTheme="minorEastAsia" w:hAnsiTheme="minorEastAsia"/>
                                        <w:b/>
                                        <w:color w:val="333333"/>
                                        <w:kern w:val="0"/>
                                        <w:sz w:val="28"/>
                                        <w:szCs w:val="28"/>
                                        <w:lang w:eastAsia="zh-CN"/>
                                      </w:rPr>
                                      <w:t>、公务用车运行维护费</w:t>
                                    </w:r>
                                    <w:r>
                                      <w:rPr>
                                        <w:rFonts w:hint="eastAsia" w:cs="宋体" w:asciiTheme="minorEastAsia" w:hAnsiTheme="minorEastAsia"/>
                                        <w:b/>
                                        <w:color w:val="333333"/>
                                        <w:kern w:val="0"/>
                                        <w:sz w:val="28"/>
                                        <w:szCs w:val="28"/>
                                      </w:rPr>
                                      <w:t>等支出。</w:t>
                                    </w:r>
                                  </w:p>
                                  <w:p>
                                    <w:pPr>
                                      <w:widowControl/>
                                      <w:spacing w:line="480" w:lineRule="atLeast"/>
                                      <w:ind w:firstLine="422" w:firstLineChars="150"/>
                                      <w:rPr>
                                        <w:rFonts w:hint="eastAsia"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t>项目一般公共预算支出50万元，主要包括</w:t>
                                    </w:r>
                                    <w:r>
                                      <w:rPr>
                                        <w:rFonts w:hint="eastAsia" w:cs="宋体" w:asciiTheme="minorEastAsia" w:hAnsiTheme="minorEastAsia"/>
                                        <w:b/>
                                        <w:bCs/>
                                        <w:color w:val="333333"/>
                                        <w:kern w:val="0"/>
                                        <w:sz w:val="28"/>
                                        <w:szCs w:val="28"/>
                                      </w:rPr>
                                      <w:t>部门纪检组长公务经费，乡镇纪委书记及纪检组长津贴补贴，办案专项经费等支出。</w:t>
                                    </w:r>
                                  </w:p>
                                  <w:p>
                                    <w:pPr>
                                      <w:widowControl/>
                                      <w:spacing w:line="480" w:lineRule="atLeast"/>
                                      <w:ind w:firstLine="562" w:firstLineChars="200"/>
                                      <w:rPr>
                                        <w:rFonts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t>对个人和家庭的补助</w:t>
                                    </w:r>
                                    <w:r>
                                      <w:rPr>
                                        <w:rFonts w:hint="eastAsia" w:cs="宋体" w:asciiTheme="minorEastAsia" w:hAnsiTheme="minorEastAsia"/>
                                        <w:b/>
                                        <w:color w:val="333333"/>
                                        <w:kern w:val="0"/>
                                        <w:sz w:val="28"/>
                                        <w:szCs w:val="28"/>
                                        <w:lang w:val="en-US" w:eastAsia="zh-CN"/>
                                      </w:rPr>
                                      <w:t>1.93</w:t>
                                    </w:r>
                                    <w:r>
                                      <w:rPr>
                                        <w:rFonts w:hint="eastAsia" w:cs="宋体" w:asciiTheme="minorEastAsia" w:hAnsiTheme="minorEastAsia"/>
                                        <w:b/>
                                        <w:color w:val="333333"/>
                                        <w:kern w:val="0"/>
                                        <w:sz w:val="28"/>
                                        <w:szCs w:val="28"/>
                                      </w:rPr>
                                      <w:t>万元，主要包括遗属生活补贴和退休职工春慰费。</w:t>
                                    </w:r>
                                  </w:p>
                                  <w:p>
                                    <w:pPr>
                                      <w:spacing w:line="120" w:lineRule="auto"/>
                                      <w:rPr>
                                        <w:rFonts w:cs="宋体" w:asciiTheme="minorEastAsia" w:hAnsiTheme="minorEastAsia"/>
                                        <w:b/>
                                        <w:sz w:val="28"/>
                                        <w:szCs w:val="28"/>
                                      </w:rPr>
                                    </w:pPr>
                                    <w:r>
                                      <w:rPr>
                                        <w:rFonts w:hint="eastAsia" w:cs="宋体" w:asciiTheme="minorEastAsia" w:hAnsiTheme="minorEastAsia"/>
                                        <w:b/>
                                        <w:color w:val="333333"/>
                                        <w:kern w:val="0"/>
                                        <w:sz w:val="28"/>
                                        <w:szCs w:val="28"/>
                                      </w:rPr>
                                      <w:t>　　七、“三公”经费财政拨款预算安排情况说明</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xml:space="preserve">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年“三公”经费财政拨款预算数</w:t>
                                    </w:r>
                                    <w:r>
                                      <w:rPr>
                                        <w:rFonts w:hint="eastAsia" w:cs="宋体" w:asciiTheme="minorEastAsia" w:hAnsiTheme="minorEastAsia"/>
                                        <w:b/>
                                        <w:color w:val="333333"/>
                                        <w:kern w:val="0"/>
                                        <w:sz w:val="28"/>
                                        <w:szCs w:val="28"/>
                                        <w:lang w:val="en-US" w:eastAsia="zh-CN"/>
                                      </w:rPr>
                                      <w:t>21.1</w:t>
                                    </w:r>
                                    <w:r>
                                      <w:rPr>
                                        <w:rFonts w:hint="eastAsia" w:cs="宋体" w:asciiTheme="minorEastAsia" w:hAnsiTheme="minorEastAsia"/>
                                        <w:b/>
                                        <w:color w:val="333333"/>
                                        <w:kern w:val="0"/>
                                        <w:sz w:val="28"/>
                                        <w:szCs w:val="28"/>
                                      </w:rPr>
                                      <w:t>万元，其中：因公出国（境）经费0万元，公务接待费</w:t>
                                    </w:r>
                                    <w:r>
                                      <w:rPr>
                                        <w:rFonts w:hint="eastAsia" w:cs="宋体" w:asciiTheme="minorEastAsia" w:hAnsiTheme="minorEastAsia"/>
                                        <w:b/>
                                        <w:color w:val="333333"/>
                                        <w:kern w:val="0"/>
                                        <w:sz w:val="28"/>
                                        <w:szCs w:val="28"/>
                                        <w:lang w:val="en-US" w:eastAsia="zh-CN"/>
                                      </w:rPr>
                                      <w:t>1.1</w:t>
                                    </w:r>
                                    <w:r>
                                      <w:rPr>
                                        <w:rFonts w:hint="eastAsia" w:cs="宋体" w:asciiTheme="minorEastAsia" w:hAnsiTheme="minorEastAsia"/>
                                        <w:b/>
                                        <w:color w:val="333333"/>
                                        <w:kern w:val="0"/>
                                        <w:sz w:val="28"/>
                                        <w:szCs w:val="28"/>
                                      </w:rPr>
                                      <w:t>万元，公务用车购置及运行维护费20万元。</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（一）因公出国（境）经费与2020年预算持平。</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根据省外侨办批准的202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年因公临时出国（境）安排，拟安排出国（境）0人。</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（二）公务接待费较20</w:t>
                                    </w:r>
                                    <w:r>
                                      <w:rPr>
                                        <w:rFonts w:hint="eastAsia" w:cs="宋体" w:asciiTheme="minorEastAsia" w:hAnsiTheme="minorEastAsia"/>
                                        <w:b/>
                                        <w:bCs/>
                                        <w:color w:val="333333"/>
                                        <w:kern w:val="0"/>
                                        <w:sz w:val="28"/>
                                        <w:szCs w:val="28"/>
                                        <w:lang w:val="en-US" w:eastAsia="zh-CN"/>
                                      </w:rPr>
                                      <w:t>20</w:t>
                                    </w:r>
                                    <w:r>
                                      <w:rPr>
                                        <w:rFonts w:hint="eastAsia" w:cs="宋体" w:asciiTheme="minorEastAsia" w:hAnsiTheme="minorEastAsia"/>
                                        <w:b/>
                                        <w:bCs/>
                                        <w:color w:val="333333"/>
                                        <w:kern w:val="0"/>
                                        <w:sz w:val="28"/>
                                        <w:szCs w:val="28"/>
                                      </w:rPr>
                                      <w:t>年预算</w:t>
                                    </w:r>
                                    <w:r>
                                      <w:rPr>
                                        <w:rFonts w:hint="eastAsia" w:cs="宋体" w:asciiTheme="minorEastAsia" w:hAnsiTheme="minorEastAsia"/>
                                        <w:b/>
                                        <w:bCs/>
                                        <w:color w:val="333333"/>
                                        <w:kern w:val="0"/>
                                        <w:sz w:val="28"/>
                                        <w:szCs w:val="28"/>
                                        <w:lang w:eastAsia="zh-CN"/>
                                      </w:rPr>
                                      <w:t>减少</w:t>
                                    </w:r>
                                    <w:r>
                                      <w:rPr>
                                        <w:rFonts w:hint="eastAsia" w:cs="宋体" w:asciiTheme="minorEastAsia" w:hAnsiTheme="minorEastAsia"/>
                                        <w:b/>
                                        <w:bCs/>
                                        <w:color w:val="333333"/>
                                        <w:kern w:val="0"/>
                                        <w:sz w:val="28"/>
                                        <w:szCs w:val="28"/>
                                        <w:lang w:val="en-US" w:eastAsia="zh-CN"/>
                                      </w:rPr>
                                      <w:t>4.36</w:t>
                                    </w:r>
                                    <w:r>
                                      <w:rPr>
                                        <w:rFonts w:hint="eastAsia" w:cs="宋体" w:asciiTheme="minorEastAsia" w:hAnsiTheme="minorEastAsia"/>
                                        <w:b/>
                                        <w:bCs/>
                                        <w:color w:val="333333"/>
                                        <w:kern w:val="0"/>
                                        <w:sz w:val="28"/>
                                        <w:szCs w:val="28"/>
                                      </w:rPr>
                                      <w:t>%。</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年公务接待费计划用于执行公务、考察调研、检查指导等公务活动开支的交通费、</w:t>
                                    </w:r>
                                    <w:r>
                                      <w:rPr>
                                        <w:rFonts w:hint="eastAsia" w:cs="宋体" w:asciiTheme="minorEastAsia" w:hAnsiTheme="minorEastAsia"/>
                                        <w:b/>
                                        <w:color w:val="333333"/>
                                        <w:kern w:val="0"/>
                                        <w:sz w:val="28"/>
                                        <w:szCs w:val="28"/>
                                        <w:lang w:eastAsia="zh-CN"/>
                                      </w:rPr>
                                      <w:t>邮费、维修费、接待</w:t>
                                    </w:r>
                                    <w:r>
                                      <w:rPr>
                                        <w:rFonts w:hint="eastAsia" w:cs="宋体" w:asciiTheme="minorEastAsia" w:hAnsiTheme="minorEastAsia"/>
                                        <w:b/>
                                        <w:color w:val="333333"/>
                                        <w:kern w:val="0"/>
                                        <w:sz w:val="28"/>
                                        <w:szCs w:val="28"/>
                                      </w:rPr>
                                      <w:t>用餐等。</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（三）公务用车购置及运行维护费与20</w:t>
                                    </w:r>
                                    <w:r>
                                      <w:rPr>
                                        <w:rFonts w:hint="eastAsia" w:cs="宋体" w:asciiTheme="minorEastAsia" w:hAnsiTheme="minorEastAsia"/>
                                        <w:b/>
                                        <w:bCs/>
                                        <w:color w:val="333333"/>
                                        <w:kern w:val="0"/>
                                        <w:sz w:val="28"/>
                                        <w:szCs w:val="28"/>
                                        <w:lang w:val="en-US" w:eastAsia="zh-CN"/>
                                      </w:rPr>
                                      <w:t>20</w:t>
                                    </w:r>
                                    <w:r>
                                      <w:rPr>
                                        <w:rFonts w:hint="eastAsia" w:cs="宋体" w:asciiTheme="minorEastAsia" w:hAnsiTheme="minorEastAsia"/>
                                        <w:b/>
                                        <w:bCs/>
                                        <w:color w:val="333333"/>
                                        <w:kern w:val="0"/>
                                        <w:sz w:val="28"/>
                                        <w:szCs w:val="28"/>
                                      </w:rPr>
                                      <w:t>年预算</w:t>
                                    </w:r>
                                    <w:r>
                                      <w:rPr>
                                        <w:rFonts w:hint="eastAsia" w:cs="宋体" w:asciiTheme="minorEastAsia" w:hAnsiTheme="minorEastAsia"/>
                                        <w:b/>
                                        <w:bCs/>
                                        <w:color w:val="333333"/>
                                        <w:kern w:val="0"/>
                                        <w:sz w:val="28"/>
                                        <w:szCs w:val="28"/>
                                        <w:lang w:eastAsia="zh-CN"/>
                                      </w:rPr>
                                      <w:t>减少</w:t>
                                    </w:r>
                                    <w:r>
                                      <w:rPr>
                                        <w:rFonts w:hint="eastAsia" w:cs="宋体" w:asciiTheme="minorEastAsia" w:hAnsiTheme="minorEastAsia"/>
                                        <w:b/>
                                        <w:bCs/>
                                        <w:color w:val="333333"/>
                                        <w:kern w:val="0"/>
                                        <w:sz w:val="28"/>
                                        <w:szCs w:val="28"/>
                                        <w:lang w:val="en-US" w:eastAsia="zh-CN"/>
                                      </w:rPr>
                                      <w:t>4.36</w:t>
                                    </w:r>
                                    <w:r>
                                      <w:rPr>
                                        <w:rFonts w:hint="eastAsia" w:cs="宋体" w:asciiTheme="minorEastAsia" w:hAnsiTheme="minorEastAsia"/>
                                        <w:b/>
                                        <w:bCs/>
                                        <w:color w:val="333333"/>
                                        <w:kern w:val="0"/>
                                        <w:sz w:val="28"/>
                                        <w:szCs w:val="28"/>
                                      </w:rPr>
                                      <w:t>%。</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单位现有公务用车</w:t>
                                    </w:r>
                                    <w:r>
                                      <w:rPr>
                                        <w:rFonts w:hint="eastAsia" w:cs="宋体" w:asciiTheme="minorEastAsia" w:hAnsiTheme="minorEastAsia"/>
                                        <w:b/>
                                        <w:color w:val="333333"/>
                                        <w:kern w:val="0"/>
                                        <w:sz w:val="28"/>
                                        <w:szCs w:val="28"/>
                                        <w:lang w:val="en-US" w:eastAsia="zh-CN"/>
                                      </w:rPr>
                                      <w:t>3</w:t>
                                    </w:r>
                                    <w:r>
                                      <w:rPr>
                                        <w:rFonts w:hint="eastAsia" w:cs="宋体" w:asciiTheme="minorEastAsia" w:hAnsiTheme="minorEastAsia"/>
                                        <w:b/>
                                        <w:color w:val="333333"/>
                                        <w:kern w:val="0"/>
                                        <w:sz w:val="28"/>
                                        <w:szCs w:val="28"/>
                                      </w:rPr>
                                      <w:t>辆，其中：轿车1辆、越野车</w:t>
                                    </w:r>
                                    <w:r>
                                      <w:rPr>
                                        <w:rFonts w:hint="eastAsia" w:cs="宋体" w:asciiTheme="minorEastAsia" w:hAnsiTheme="minorEastAsia"/>
                                        <w:b/>
                                        <w:color w:val="333333"/>
                                        <w:kern w:val="0"/>
                                        <w:sz w:val="28"/>
                                        <w:szCs w:val="28"/>
                                        <w:lang w:val="en-US" w:eastAsia="zh-CN"/>
                                      </w:rPr>
                                      <w:t>2</w:t>
                                    </w:r>
                                    <w:r>
                                      <w:rPr>
                                        <w:rFonts w:hint="eastAsia" w:cs="宋体" w:asciiTheme="minorEastAsia" w:hAnsiTheme="minorEastAsia"/>
                                        <w:b/>
                                        <w:color w:val="333333"/>
                                        <w:kern w:val="0"/>
                                        <w:sz w:val="28"/>
                                        <w:szCs w:val="28"/>
                                      </w:rPr>
                                      <w:t>辆、多功能乘用车0辆。</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年未安排公务用车购置费。</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年安排公务用车运行维护费20万元，用于</w:t>
                                    </w:r>
                                    <w:r>
                                      <w:rPr>
                                        <w:rFonts w:hint="eastAsia" w:cs="宋体" w:asciiTheme="minorEastAsia" w:hAnsiTheme="minorEastAsia"/>
                                        <w:b/>
                                        <w:color w:val="333333"/>
                                        <w:kern w:val="0"/>
                                        <w:sz w:val="28"/>
                                        <w:szCs w:val="28"/>
                                        <w:lang w:val="en-US" w:eastAsia="zh-CN"/>
                                      </w:rPr>
                                      <w:t>3</w:t>
                                    </w:r>
                                    <w:r>
                                      <w:rPr>
                                        <w:rFonts w:hint="eastAsia" w:cs="宋体" w:asciiTheme="minorEastAsia" w:hAnsiTheme="minorEastAsia"/>
                                        <w:b/>
                                        <w:color w:val="333333"/>
                                        <w:kern w:val="0"/>
                                        <w:sz w:val="28"/>
                                        <w:szCs w:val="28"/>
                                      </w:rPr>
                                      <w:t>辆公务用车燃油、过路（桥）、维修、保险等方面支出，主要保障单位财政改革工作调研、脱贫攻坚、财政监督检查及周转金清理、财政支出绩效评价等工作开展。</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八、政府性基金预算支出情况说明</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20</w:t>
                                    </w:r>
                                    <w:r>
                                      <w:rPr>
                                        <w:rFonts w:hint="eastAsia" w:cs="宋体" w:asciiTheme="minorEastAsia" w:hAnsiTheme="minorEastAsia"/>
                                        <w:b/>
                                        <w:color w:val="333333"/>
                                        <w:kern w:val="0"/>
                                        <w:sz w:val="28"/>
                                        <w:szCs w:val="28"/>
                                        <w:lang w:val="en-US" w:eastAsia="zh-CN"/>
                                      </w:rPr>
                                      <w:t>21</w:t>
                                    </w:r>
                                    <w:r>
                                      <w:rPr>
                                        <w:rFonts w:hint="eastAsia" w:cs="宋体" w:asciiTheme="minorEastAsia" w:hAnsiTheme="minorEastAsia"/>
                                        <w:b/>
                                        <w:color w:val="333333"/>
                                        <w:kern w:val="0"/>
                                        <w:sz w:val="28"/>
                                        <w:szCs w:val="28"/>
                                      </w:rPr>
                                      <w:t>年没有使用政府性基金预算拨款安排的支出。</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九、国有资本经营预算支出情况说明</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20</w:t>
                                    </w:r>
                                    <w:r>
                                      <w:rPr>
                                        <w:rFonts w:hint="eastAsia" w:cs="宋体" w:asciiTheme="minorEastAsia" w:hAnsiTheme="minorEastAsia"/>
                                        <w:b/>
                                        <w:color w:val="333333"/>
                                        <w:kern w:val="0"/>
                                        <w:sz w:val="28"/>
                                        <w:szCs w:val="28"/>
                                        <w:lang w:val="en-US" w:eastAsia="zh-CN"/>
                                      </w:rPr>
                                      <w:t>21</w:t>
                                    </w:r>
                                    <w:r>
                                      <w:rPr>
                                        <w:rFonts w:hint="eastAsia" w:cs="宋体" w:asciiTheme="minorEastAsia" w:hAnsiTheme="minorEastAsia"/>
                                        <w:b/>
                                        <w:color w:val="333333"/>
                                        <w:kern w:val="0"/>
                                        <w:sz w:val="28"/>
                                        <w:szCs w:val="28"/>
                                      </w:rPr>
                                      <w:t>年没有使用国有资本经营预算拨款安排的支出。</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十、其他重要事项的情况说明</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（一）机关运行经费。</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年，机关运行经费财政拨款预算为</w:t>
                                    </w:r>
                                    <w:r>
                                      <w:rPr>
                                        <w:rFonts w:hint="eastAsia" w:cs="宋体" w:asciiTheme="minorEastAsia" w:hAnsiTheme="minorEastAsia"/>
                                        <w:b/>
                                        <w:color w:val="333333"/>
                                        <w:kern w:val="0"/>
                                        <w:sz w:val="28"/>
                                        <w:szCs w:val="28"/>
                                        <w:lang w:val="en-US" w:eastAsia="zh-CN"/>
                                      </w:rPr>
                                      <w:t>886.29</w:t>
                                    </w:r>
                                    <w:r>
                                      <w:rPr>
                                        <w:rFonts w:hint="eastAsia" w:cs="宋体" w:asciiTheme="minorEastAsia" w:hAnsiTheme="minorEastAsia"/>
                                        <w:b/>
                                        <w:color w:val="333333"/>
                                        <w:kern w:val="0"/>
                                        <w:sz w:val="28"/>
                                        <w:szCs w:val="28"/>
                                      </w:rPr>
                                      <w:t>万元，比20</w:t>
                                    </w:r>
                                    <w:r>
                                      <w:rPr>
                                        <w:rFonts w:hint="eastAsia" w:cs="宋体" w:asciiTheme="minorEastAsia" w:hAnsiTheme="minorEastAsia"/>
                                        <w:b/>
                                        <w:color w:val="333333"/>
                                        <w:kern w:val="0"/>
                                        <w:sz w:val="28"/>
                                        <w:szCs w:val="28"/>
                                        <w:lang w:val="en-US" w:eastAsia="zh-CN"/>
                                      </w:rPr>
                                      <w:t>21</w:t>
                                    </w:r>
                                    <w:r>
                                      <w:rPr>
                                        <w:rFonts w:hint="eastAsia" w:cs="宋体" w:asciiTheme="minorEastAsia" w:hAnsiTheme="minorEastAsia"/>
                                        <w:b/>
                                        <w:color w:val="333333"/>
                                        <w:kern w:val="0"/>
                                        <w:sz w:val="28"/>
                                        <w:szCs w:val="28"/>
                                      </w:rPr>
                                      <w:t>年预算增长</w:t>
                                    </w:r>
                                    <w:r>
                                      <w:rPr>
                                        <w:rFonts w:hint="eastAsia" w:cs="宋体" w:asciiTheme="minorEastAsia" w:hAnsiTheme="minorEastAsia"/>
                                        <w:b/>
                                        <w:color w:val="333333"/>
                                        <w:kern w:val="0"/>
                                        <w:sz w:val="28"/>
                                        <w:szCs w:val="28"/>
                                        <w:lang w:val="en-US" w:eastAsia="zh-CN"/>
                                      </w:rPr>
                                      <w:t>102.77</w:t>
                                    </w:r>
                                    <w:r>
                                      <w:rPr>
                                        <w:rFonts w:hint="eastAsia" w:cs="宋体" w:asciiTheme="minorEastAsia" w:hAnsiTheme="minorEastAsia"/>
                                        <w:b/>
                                        <w:color w:val="333333"/>
                                        <w:kern w:val="0"/>
                                        <w:sz w:val="28"/>
                                        <w:szCs w:val="28"/>
                                      </w:rPr>
                                      <w:t>万元，增长</w:t>
                                    </w:r>
                                    <w:r>
                                      <w:rPr>
                                        <w:rFonts w:hint="eastAsia" w:cs="宋体" w:asciiTheme="minorEastAsia" w:hAnsiTheme="minorEastAsia"/>
                                        <w:b/>
                                        <w:color w:val="333333"/>
                                        <w:kern w:val="0"/>
                                        <w:sz w:val="28"/>
                                        <w:szCs w:val="28"/>
                                        <w:lang w:val="en-US" w:eastAsia="zh-CN"/>
                                      </w:rPr>
                                      <w:t>11.6</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（二）政府采购情况。</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年，安排政府采购预算 0万元。</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（三）国有资产占有使用情况。</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截至20</w:t>
                                    </w:r>
                                    <w:r>
                                      <w:rPr>
                                        <w:rFonts w:hint="eastAsia" w:cs="宋体" w:asciiTheme="minorEastAsia" w:hAnsiTheme="minorEastAsia"/>
                                        <w:b/>
                                        <w:color w:val="333333"/>
                                        <w:kern w:val="0"/>
                                        <w:sz w:val="28"/>
                                        <w:szCs w:val="28"/>
                                        <w:lang w:val="en-US" w:eastAsia="zh-CN"/>
                                      </w:rPr>
                                      <w:t>21</w:t>
                                    </w:r>
                                    <w:r>
                                      <w:rPr>
                                        <w:rFonts w:hint="eastAsia" w:cs="宋体" w:asciiTheme="minorEastAsia" w:hAnsiTheme="minorEastAsia"/>
                                        <w:b/>
                                        <w:color w:val="333333"/>
                                        <w:kern w:val="0"/>
                                        <w:sz w:val="28"/>
                                        <w:szCs w:val="28"/>
                                      </w:rPr>
                                      <w:t>年底，所属各预算单位共有车辆</w:t>
                                    </w:r>
                                    <w:r>
                                      <w:rPr>
                                        <w:rFonts w:hint="eastAsia" w:cs="宋体" w:asciiTheme="minorEastAsia" w:hAnsiTheme="minorEastAsia"/>
                                        <w:b/>
                                        <w:color w:val="333333"/>
                                        <w:kern w:val="0"/>
                                        <w:sz w:val="28"/>
                                        <w:szCs w:val="28"/>
                                        <w:lang w:val="en-US" w:eastAsia="zh-CN"/>
                                      </w:rPr>
                                      <w:t>3</w:t>
                                    </w:r>
                                    <w:r>
                                      <w:rPr>
                                        <w:rFonts w:hint="eastAsia" w:cs="宋体" w:asciiTheme="minorEastAsia" w:hAnsiTheme="minorEastAsia"/>
                                        <w:b/>
                                        <w:color w:val="333333"/>
                                        <w:kern w:val="0"/>
                                        <w:sz w:val="28"/>
                                        <w:szCs w:val="28"/>
                                      </w:rPr>
                                      <w:t>辆，其中，省部级领导干部用车0辆、定向保障用车</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辆、执法执勤用车</w:t>
                                    </w:r>
                                    <w:r>
                                      <w:rPr>
                                        <w:rFonts w:hint="eastAsia" w:cs="宋体" w:asciiTheme="minorEastAsia" w:hAnsiTheme="minorEastAsia"/>
                                        <w:b/>
                                        <w:color w:val="333333"/>
                                        <w:kern w:val="0"/>
                                        <w:sz w:val="28"/>
                                        <w:szCs w:val="28"/>
                                        <w:lang w:val="en-US" w:eastAsia="zh-CN"/>
                                      </w:rPr>
                                      <w:t>2</w:t>
                                    </w:r>
                                    <w:r>
                                      <w:rPr>
                                        <w:rFonts w:hint="eastAsia" w:cs="宋体" w:asciiTheme="minorEastAsia" w:hAnsiTheme="minorEastAsia"/>
                                        <w:b/>
                                        <w:color w:val="333333"/>
                                        <w:kern w:val="0"/>
                                        <w:sz w:val="28"/>
                                        <w:szCs w:val="28"/>
                                      </w:rPr>
                                      <w:t>辆。单位价值200万元以上大型设备0台（套）。</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年部门预算未安排购置车辆及单位价值200万元以上大型设备。</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w:t>
                                    </w:r>
                                    <w:r>
                                      <w:rPr>
                                        <w:rFonts w:hint="eastAsia" w:cs="宋体" w:asciiTheme="minorEastAsia" w:hAnsiTheme="minorEastAsia"/>
                                        <w:b/>
                                        <w:bCs/>
                                        <w:color w:val="333333"/>
                                        <w:kern w:val="0"/>
                                        <w:sz w:val="28"/>
                                        <w:szCs w:val="28"/>
                                      </w:rPr>
                                      <w:t>（四）绩效目标设置情况。</w:t>
                                    </w:r>
                                    <w:r>
                                      <w:rPr>
                                        <w:rFonts w:hint="eastAsia" w:cs="宋体" w:asciiTheme="minorEastAsia" w:hAnsiTheme="minorEastAsia"/>
                                        <w:b/>
                                        <w:bCs/>
                                        <w:color w:val="333333"/>
                                        <w:kern w:val="0"/>
                                        <w:sz w:val="28"/>
                                        <w:szCs w:val="28"/>
                                      </w:rPr>
                                      <w:br w:type="textWrapping"/>
                                    </w:r>
                                    <w:r>
                                      <w:rPr>
                                        <w:rFonts w:hint="eastAsia" w:cs="宋体" w:asciiTheme="minorEastAsia" w:hAnsiTheme="minorEastAsia"/>
                                        <w:b/>
                                        <w:color w:val="333333"/>
                                        <w:kern w:val="0"/>
                                        <w:sz w:val="28"/>
                                        <w:szCs w:val="28"/>
                                      </w:rPr>
                                      <w:t>　　绩效目标是预算编制的前提和基础，按照“费随事定”的原则，202</w:t>
                                    </w:r>
                                    <w:r>
                                      <w:rPr>
                                        <w:rFonts w:hint="eastAsia" w:cs="宋体" w:asciiTheme="minorEastAsia" w:hAnsiTheme="minorEastAsia"/>
                                        <w:b/>
                                        <w:color w:val="333333"/>
                                        <w:kern w:val="0"/>
                                        <w:sz w:val="28"/>
                                        <w:szCs w:val="28"/>
                                        <w:lang w:val="en-US" w:eastAsia="zh-CN"/>
                                      </w:rPr>
                                      <w:t>1</w:t>
                                    </w:r>
                                    <w:r>
                                      <w:rPr>
                                        <w:rFonts w:hint="eastAsia" w:cs="宋体" w:asciiTheme="minorEastAsia" w:hAnsiTheme="minorEastAsia"/>
                                        <w:b/>
                                        <w:color w:val="333333"/>
                                        <w:kern w:val="0"/>
                                        <w:sz w:val="28"/>
                                        <w:szCs w:val="28"/>
                                      </w:rPr>
                                      <w:t>年100万元以上专用项目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十一、名词解释</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1.一般公共预算拨款收入：指财政当年拨付的资金。</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2.上年结转：指以前年度尚未完成，结转到本年仍按原规定用途继续使用的资金。</w:t>
                                    </w:r>
                                    <w:r>
                                      <w:rPr>
                                        <w:rFonts w:hint="eastAsia" w:cs="宋体" w:asciiTheme="minorEastAsia" w:hAnsiTheme="minorEastAsia"/>
                                        <w:b/>
                                        <w:color w:val="333333"/>
                                        <w:kern w:val="0"/>
                                        <w:sz w:val="28"/>
                                        <w:szCs w:val="28"/>
                                      </w:rPr>
                                      <w:br w:type="textWrapping"/>
                                    </w:r>
                                    <w:r>
                                      <w:rPr>
                                        <w:rFonts w:hint="eastAsia" w:cs="宋体" w:asciiTheme="minorEastAsia" w:hAnsiTheme="minorEastAsia"/>
                                        <w:b/>
                                        <w:color w:val="333333"/>
                                        <w:kern w:val="0"/>
                                        <w:sz w:val="28"/>
                                        <w:szCs w:val="28"/>
                                      </w:rPr>
                                      <w:t>　　3.</w:t>
                                    </w:r>
                                    <w:r>
                                      <w:rPr>
                                        <w:rFonts w:hint="eastAsia" w:cs="宋体" w:asciiTheme="minorEastAsia" w:hAnsiTheme="minorEastAsia"/>
                                        <w:b/>
                                        <w:sz w:val="28"/>
                                        <w:szCs w:val="28"/>
                                      </w:rPr>
                                      <w:t xml:space="preserve"> 3.一般公共服务（类）</w:t>
                                    </w:r>
                                    <w:r>
                                      <w:rPr>
                                        <w:rFonts w:hint="eastAsia" w:cs="宋体" w:asciiTheme="minorEastAsia" w:hAnsiTheme="minorEastAsia"/>
                                        <w:b/>
                                        <w:sz w:val="28"/>
                                        <w:szCs w:val="28"/>
                                        <w:lang w:eastAsia="zh-CN"/>
                                      </w:rPr>
                                      <w:t>纪检监察</w:t>
                                    </w:r>
                                    <w:r>
                                      <w:rPr>
                                        <w:rFonts w:hint="eastAsia" w:cs="宋体" w:asciiTheme="minorEastAsia" w:hAnsiTheme="minorEastAsia"/>
                                        <w:b/>
                                        <w:sz w:val="28"/>
                                        <w:szCs w:val="28"/>
                                      </w:rPr>
                                      <w:t>事务（款）行政运行（项）：指机关单位用于保障机构正常运行、开展日常工作的基本支出。　　　</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4.社会保障和就业（类）行政事业单位离退休（款）事业单位离退</w:t>
                                    </w:r>
                                    <w:bookmarkStart w:id="0" w:name="_GoBack"/>
                                    <w:bookmarkEnd w:id="0"/>
                                    <w:r>
                                      <w:rPr>
                                        <w:rFonts w:hint="eastAsia" w:cs="宋体" w:asciiTheme="minorEastAsia" w:hAnsiTheme="minorEastAsia"/>
                                        <w:b/>
                                        <w:sz w:val="28"/>
                                        <w:szCs w:val="28"/>
                                      </w:rPr>
                                      <w:t>休（项）：指离退休人员的支出。</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5.社会保障和就业（类）行政事业单位离退休（款）机关事业单位基本养老保险缴费支出（项）：指部门实施养老保险制度由单位缴纳的养老保险费的支出。</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6.社会保障和就业（类）行政事业单位离退休（款）机关事业单位职业年金缴费支出（项）：指部门实施养老保险制度由单位缴纳的职业年金的支出。</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7.医疗卫生与计划生育（类）行政事业单位医疗（款）行政单位医疗（项）：指单位用于缴纳单位基本医疗保险支出。</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8.医疗卫生与计划生育（类）行政事业单位医疗（款）公务员医疗补助（项）：指单位用于集中缴纳公务员医疗补助支出。</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9.住房保障（类）住房改革支出（款）住房公积金（项）：指按照《住房公积金管理条例》的规定，由单位及其在职职工缴存的长期住房储金。</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10.基本支出：指为保证机构正常运转，完成日常工作任务而发生的人员支出和公用支出。</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11.“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120" w:lineRule="auto"/>
                                      <w:rPr>
                                        <w:rFonts w:cs="宋体" w:asciiTheme="minorEastAsia" w:hAnsiTheme="minorEastAsia"/>
                                        <w:b/>
                                        <w:sz w:val="28"/>
                                        <w:szCs w:val="28"/>
                                      </w:rPr>
                                    </w:pPr>
                                    <w:r>
                                      <w:rPr>
                                        <w:rFonts w:hint="eastAsia" w:cs="宋体" w:asciiTheme="minorEastAsia" w:hAnsiTheme="minorEastAsia"/>
                                        <w:b/>
                                        <w:sz w:val="28"/>
                                        <w:szCs w:val="28"/>
                                      </w:rPr>
                                      <w:t>　　12.机关运行经费：为保障行政单位（包含参照公务员法管理的事业单位）运行用于购买货物和服务的各项资金。包括办公及印刷费、邮电费、差旅费、会议费一般设备购置费等费用开支。</w:t>
                                    </w:r>
                                  </w:p>
                                  <w:p>
                                    <w:pPr>
                                      <w:widowControl/>
                                      <w:spacing w:line="480" w:lineRule="atLeast"/>
                                      <w:ind w:firstLine="703" w:firstLineChars="250"/>
                                      <w:rPr>
                                        <w:rFonts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t>　</w:t>
                                    </w:r>
                                  </w:p>
                                </w:tc>
                              </w:tr>
                            </w:tbl>
                            <w:p>
                              <w:pPr>
                                <w:widowControl/>
                                <w:spacing w:after="240"/>
                                <w:jc w:val="center"/>
                                <w:rPr>
                                  <w:rFonts w:cs="宋体" w:asciiTheme="minorEastAsia" w:hAnsiTheme="minorEastAsia"/>
                                  <w:b/>
                                  <w:kern w:val="0"/>
                                  <w:sz w:val="28"/>
                                  <w:szCs w:val="28"/>
                                </w:rPr>
                              </w:pPr>
                            </w:p>
                          </w:tc>
                        </w:tr>
                        <w:tr>
                          <w:tblPrEx>
                            <w:shd w:val="clear" w:color="auto" w:fill="FFFFFF"/>
                            <w:tblCellMar>
                              <w:top w:w="0" w:type="dxa"/>
                              <w:left w:w="0" w:type="dxa"/>
                              <w:bottom w:w="0" w:type="dxa"/>
                              <w:right w:w="0" w:type="dxa"/>
                            </w:tblCellMar>
                          </w:tblPrEx>
                          <w:trPr>
                            <w:tblCellSpacing w:w="0" w:type="dxa"/>
                          </w:trPr>
                          <w:tc>
                            <w:tcPr>
                              <w:tcW w:w="10590" w:type="dxa"/>
                              <w:shd w:val="clear" w:color="auto" w:fill="FFFFFF"/>
                            </w:tcPr>
                            <w:p>
                              <w:pPr>
                                <w:widowControl/>
                                <w:spacing w:after="240"/>
                                <w:jc w:val="center"/>
                                <w:rPr>
                                  <w:rFonts w:cs="宋体" w:asciiTheme="minorEastAsia" w:hAnsiTheme="minorEastAsia"/>
                                  <w:b/>
                                  <w:kern w:val="0"/>
                                  <w:sz w:val="28"/>
                                  <w:szCs w:val="28"/>
                                </w:rPr>
                              </w:pPr>
                            </w:p>
                          </w:tc>
                        </w:tr>
                      </w:tbl>
                      <w:p>
                        <w:pPr>
                          <w:widowControl/>
                          <w:jc w:val="left"/>
                          <w:rPr>
                            <w:rFonts w:cs="宋体" w:asciiTheme="minorEastAsia" w:hAnsiTheme="minorEastAsia"/>
                            <w:b/>
                            <w:kern w:val="0"/>
                            <w:sz w:val="28"/>
                            <w:szCs w:val="28"/>
                          </w:rPr>
                        </w:pPr>
                      </w:p>
                    </w:tc>
                    <w:tc>
                      <w:tcPr>
                        <w:tcW w:w="1350" w:type="dxa"/>
                        <w:vAlign w:val="center"/>
                      </w:tcPr>
                      <w:p>
                        <w:pPr>
                          <w:widowControl/>
                          <w:jc w:val="left"/>
                          <w:rPr>
                            <w:rFonts w:cs="宋体" w:asciiTheme="minorEastAsia" w:hAnsiTheme="minorEastAsia"/>
                            <w:b/>
                            <w:kern w:val="0"/>
                            <w:sz w:val="28"/>
                            <w:szCs w:val="28"/>
                          </w:rPr>
                        </w:pPr>
                        <w:r>
                          <w:rPr>
                            <w:rFonts w:cs="宋体" w:asciiTheme="minorEastAsia" w:hAnsiTheme="minorEastAsia"/>
                            <w:b/>
                            <w:kern w:val="0"/>
                            <w:sz w:val="28"/>
                            <w:szCs w:val="28"/>
                          </w:rPr>
                          <w:t> </w:t>
                        </w:r>
                      </w:p>
                    </w:tc>
                  </w:tr>
                  <w:tr>
                    <w:tblPrEx>
                      <w:tblCellMar>
                        <w:top w:w="0" w:type="dxa"/>
                        <w:left w:w="0" w:type="dxa"/>
                        <w:bottom w:w="0" w:type="dxa"/>
                        <w:right w:w="0" w:type="dxa"/>
                      </w:tblCellMar>
                    </w:tblPrEx>
                    <w:trPr>
                      <w:trHeight w:val="450" w:hRule="atLeast"/>
                      <w:tblCellSpacing w:w="0" w:type="dxa"/>
                    </w:trPr>
                    <w:tc>
                      <w:tcPr>
                        <w:tcW w:w="12000" w:type="dxa"/>
                        <w:gridSpan w:val="2"/>
                        <w:tcMar>
                          <w:top w:w="0" w:type="dxa"/>
                          <w:left w:w="0" w:type="dxa"/>
                          <w:bottom w:w="0" w:type="dxa"/>
                          <w:right w:w="1950" w:type="dxa"/>
                        </w:tcMar>
                        <w:vAlign w:val="center"/>
                      </w:tcPr>
                      <w:p>
                        <w:pPr>
                          <w:widowControl/>
                          <w:jc w:val="right"/>
                          <w:rPr>
                            <w:rFonts w:cs="宋体" w:asciiTheme="minorEastAsia" w:hAnsiTheme="minorEastAsia"/>
                            <w:b/>
                            <w:kern w:val="0"/>
                            <w:sz w:val="28"/>
                            <w:szCs w:val="28"/>
                          </w:rPr>
                        </w:pPr>
                      </w:p>
                    </w:tc>
                  </w:tr>
                </w:tbl>
                <w:p>
                  <w:pPr>
                    <w:widowControl/>
                    <w:jc w:val="left"/>
                    <w:rPr>
                      <w:rFonts w:cs="宋体" w:asciiTheme="minorEastAsia" w:hAnsiTheme="minorEastAsia"/>
                      <w:kern w:val="0"/>
                      <w:sz w:val="28"/>
                      <w:szCs w:val="28"/>
                    </w:rPr>
                  </w:pPr>
                </w:p>
              </w:tc>
            </w:tr>
          </w:tbl>
          <w:p>
            <w:pPr>
              <w:widowControl/>
              <w:jc w:val="left"/>
              <w:rPr>
                <w:rFonts w:cs="宋体" w:asciiTheme="minorEastAsia" w:hAnsiTheme="minorEastAsia"/>
                <w:kern w:val="0"/>
                <w:sz w:val="28"/>
                <w:szCs w:val="28"/>
              </w:rPr>
            </w:pPr>
          </w:p>
        </w:tc>
      </w:tr>
      <w:tr>
        <w:tblPrEx>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rPr>
                <w:rFonts w:cs="宋体" w:asciiTheme="minorEastAsia" w:hAnsiTheme="minorEastAsia"/>
                <w:kern w:val="0"/>
                <w:sz w:val="28"/>
                <w:szCs w:val="28"/>
              </w:rPr>
            </w:pPr>
          </w:p>
        </w:tc>
      </w:tr>
    </w:tbl>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4CCC"/>
    <w:rsid w:val="0000671D"/>
    <w:rsid w:val="00094FCA"/>
    <w:rsid w:val="000953F1"/>
    <w:rsid w:val="000A6C50"/>
    <w:rsid w:val="00170BC9"/>
    <w:rsid w:val="00201261"/>
    <w:rsid w:val="0020660E"/>
    <w:rsid w:val="00243787"/>
    <w:rsid w:val="00293C24"/>
    <w:rsid w:val="002A2042"/>
    <w:rsid w:val="002D26C3"/>
    <w:rsid w:val="00302927"/>
    <w:rsid w:val="00307D4B"/>
    <w:rsid w:val="003122D4"/>
    <w:rsid w:val="00324739"/>
    <w:rsid w:val="0033600C"/>
    <w:rsid w:val="00344643"/>
    <w:rsid w:val="0038456A"/>
    <w:rsid w:val="00416756"/>
    <w:rsid w:val="00421CDB"/>
    <w:rsid w:val="00491254"/>
    <w:rsid w:val="004D4BC7"/>
    <w:rsid w:val="004D68FD"/>
    <w:rsid w:val="004F14F4"/>
    <w:rsid w:val="00510ACA"/>
    <w:rsid w:val="00521B36"/>
    <w:rsid w:val="005357BE"/>
    <w:rsid w:val="005C5667"/>
    <w:rsid w:val="006309CD"/>
    <w:rsid w:val="006403D3"/>
    <w:rsid w:val="0065733F"/>
    <w:rsid w:val="00692725"/>
    <w:rsid w:val="006C0C53"/>
    <w:rsid w:val="006E7200"/>
    <w:rsid w:val="0071185C"/>
    <w:rsid w:val="0079144A"/>
    <w:rsid w:val="007B2D0E"/>
    <w:rsid w:val="008455A8"/>
    <w:rsid w:val="00882ED9"/>
    <w:rsid w:val="008B4D84"/>
    <w:rsid w:val="009157A3"/>
    <w:rsid w:val="00943BD8"/>
    <w:rsid w:val="009816BD"/>
    <w:rsid w:val="0099666A"/>
    <w:rsid w:val="009A1CC4"/>
    <w:rsid w:val="009C45A1"/>
    <w:rsid w:val="009E235F"/>
    <w:rsid w:val="009F3E1C"/>
    <w:rsid w:val="00A45A60"/>
    <w:rsid w:val="00A644BE"/>
    <w:rsid w:val="00AA5279"/>
    <w:rsid w:val="00AE187D"/>
    <w:rsid w:val="00B7769E"/>
    <w:rsid w:val="00BA6735"/>
    <w:rsid w:val="00C50BE8"/>
    <w:rsid w:val="00C63C68"/>
    <w:rsid w:val="00C81864"/>
    <w:rsid w:val="00C81C1D"/>
    <w:rsid w:val="00C87E1C"/>
    <w:rsid w:val="00CF4AA6"/>
    <w:rsid w:val="00D04CCC"/>
    <w:rsid w:val="00DC3864"/>
    <w:rsid w:val="00DD39C8"/>
    <w:rsid w:val="00E2323A"/>
    <w:rsid w:val="00E6317F"/>
    <w:rsid w:val="00EB4A5A"/>
    <w:rsid w:val="00ED49DD"/>
    <w:rsid w:val="00EE01B5"/>
    <w:rsid w:val="00EF5B55"/>
    <w:rsid w:val="00F63586"/>
    <w:rsid w:val="00F70060"/>
    <w:rsid w:val="00F77612"/>
    <w:rsid w:val="00FD6D64"/>
    <w:rsid w:val="01BE197D"/>
    <w:rsid w:val="04055A97"/>
    <w:rsid w:val="043B7982"/>
    <w:rsid w:val="0AE43F20"/>
    <w:rsid w:val="0E70023B"/>
    <w:rsid w:val="0F031BA5"/>
    <w:rsid w:val="0FE33A0B"/>
    <w:rsid w:val="11530896"/>
    <w:rsid w:val="15781162"/>
    <w:rsid w:val="1A131C88"/>
    <w:rsid w:val="1A7B19B6"/>
    <w:rsid w:val="26D96422"/>
    <w:rsid w:val="2A507B54"/>
    <w:rsid w:val="3189706E"/>
    <w:rsid w:val="3981003F"/>
    <w:rsid w:val="443A7E2B"/>
    <w:rsid w:val="468D1D0B"/>
    <w:rsid w:val="4792081B"/>
    <w:rsid w:val="493B7AAD"/>
    <w:rsid w:val="496D66BE"/>
    <w:rsid w:val="4C7A11C6"/>
    <w:rsid w:val="4F3254DD"/>
    <w:rsid w:val="530A5DDE"/>
    <w:rsid w:val="54106F54"/>
    <w:rsid w:val="553871FC"/>
    <w:rsid w:val="57845819"/>
    <w:rsid w:val="5F58716F"/>
    <w:rsid w:val="5FD03015"/>
    <w:rsid w:val="60A643B1"/>
    <w:rsid w:val="67C9081F"/>
    <w:rsid w:val="68C400A5"/>
    <w:rsid w:val="6B0644E2"/>
    <w:rsid w:val="75724887"/>
    <w:rsid w:val="772C3878"/>
    <w:rsid w:val="79AE2158"/>
    <w:rsid w:val="7A5A241A"/>
    <w:rsid w:val="7C1C3CF2"/>
    <w:rsid w:val="7C61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endnote reference"/>
    <w:basedOn w:val="6"/>
    <w:unhideWhenUsed/>
    <w:qFormat/>
    <w:uiPriority w:val="99"/>
    <w:rPr>
      <w:vertAlign w:val="superscript"/>
    </w:rPr>
  </w:style>
  <w:style w:type="character" w:customStyle="1" w:styleId="9">
    <w:name w:val="pagetext0031"/>
    <w:basedOn w:val="6"/>
    <w:uiPriority w:val="0"/>
    <w:rPr>
      <w:rFonts w:hint="eastAsia" w:ascii="宋体" w:hAnsi="宋体" w:eastAsia="宋体"/>
      <w:color w:val="555555"/>
      <w:sz w:val="21"/>
      <w:szCs w:val="21"/>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uiPriority w:val="99"/>
    <w:rPr>
      <w:sz w:val="18"/>
      <w:szCs w:val="18"/>
    </w:rPr>
  </w:style>
  <w:style w:type="paragraph" w:customStyle="1" w:styleId="12">
    <w:name w:val="Char Char Char Char"/>
    <w:basedOn w:val="1"/>
    <w:qFormat/>
    <w:uiPriority w:val="0"/>
    <w:rPr>
      <w:rFonts w:ascii="Times New Roman" w:hAnsi="Times New Roman" w:eastAsia="宋体" w:cs="Times New Roman"/>
      <w:szCs w:val="21"/>
    </w:rPr>
  </w:style>
  <w:style w:type="character" w:customStyle="1" w:styleId="13">
    <w:name w:val="尾注文本 Char"/>
    <w:basedOn w:val="6"/>
    <w:link w:val="2"/>
    <w:semiHidden/>
    <w:uiPriority w:val="99"/>
  </w:style>
  <w:style w:type="character" w:customStyle="1" w:styleId="14">
    <w:name w:val="apple-converted-space"/>
    <w:basedOn w:val="6"/>
    <w:uiPriority w:val="0"/>
  </w:style>
  <w:style w:type="paragraph" w:customStyle="1" w:styleId="15">
    <w:name w:val="Char Char Char Char1"/>
    <w:basedOn w:val="1"/>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AAAB8-F406-44EA-97AC-05CC0C981CC9}">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615</Words>
  <Characters>3510</Characters>
  <Lines>29</Lines>
  <Paragraphs>8</Paragraphs>
  <TotalTime>1</TotalTime>
  <ScaleCrop>false</ScaleCrop>
  <LinksUpToDate>false</LinksUpToDate>
  <CharactersWithSpaces>4117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2020-12-21T01:38:00Z</dcterms:created>
  <dc:creator>Lenovo User</dc:creator>
  <cp:lastModifiedBy>平淡无奇</cp:lastModifiedBy>
  <dcterms:modified xsi:type="dcterms:W3CDTF">2021-04-15T09:04:35Z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F0B751476D0146098059F30166D84C17</vt:lpwstr>
  </property>
</Properties>
</file>