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000" w:type="dxa"/>
        <w:jc w:val="center"/>
        <w:tblCellSpacing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12000" w:type="dxa"/>
            <w:shd w:val="clear" w:color="auto" w:fill="FFFFFF"/>
          </w:tcPr>
          <w:tbl>
            <w:tblPr>
              <w:tblStyle w:val="4"/>
              <w:tblW w:w="12000" w:type="dxa"/>
              <w:tblCellSpacing w:w="0" w:type="dxa"/>
              <w:tblInd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12000" w:type="dxa"/>
                </w:tcPr>
                <w:tbl>
                  <w:tblPr>
                    <w:tblStyle w:val="4"/>
                    <w:tblW w:w="12000" w:type="dxa"/>
                    <w:tblCellSpacing w:w="0" w:type="dxa"/>
                    <w:tblInd w:w="0" w:type="dxa"/>
                    <w:tblLayout w:type="fixed"/>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4"/>
                          <w:tblW w:w="10590" w:type="dxa"/>
                          <w:tblCellSpacing w:w="0" w:type="dxa"/>
                          <w:tblInd w:w="0" w:type="dxa"/>
                          <w:shd w:val="clear" w:color="auto" w:fill="FFFFFF"/>
                          <w:tblLayout w:type="fixed"/>
                          <w:tblCellMar>
                            <w:top w:w="0" w:type="dxa"/>
                            <w:left w:w="0" w:type="dxa"/>
                            <w:bottom w:w="0" w:type="dxa"/>
                            <w:right w:w="0" w:type="dxa"/>
                          </w:tblCellMar>
                        </w:tblPr>
                        <w:tblGrid>
                          <w:gridCol w:w="10590"/>
                        </w:tblGrid>
                        <w:tr>
                          <w:tblPrEx>
                            <w:shd w:val="clear" w:color="auto" w:fill="FFFFFF"/>
                            <w:tblCellMar>
                              <w:top w:w="0" w:type="dxa"/>
                              <w:left w:w="0" w:type="dxa"/>
                              <w:bottom w:w="0" w:type="dxa"/>
                              <w:right w:w="0" w:type="dxa"/>
                            </w:tblCellMar>
                          </w:tblPrEx>
                          <w:trPr>
                            <w:tblCellSpacing w:w="0" w:type="dxa"/>
                          </w:trPr>
                          <w:tc>
                            <w:tcPr>
                              <w:tcW w:w="10590" w:type="dxa"/>
                              <w:shd w:val="clear" w:color="auto" w:fill="FFFFFF"/>
                            </w:tcPr>
                            <w:tbl>
                              <w:tblPr>
                                <w:tblStyle w:val="4"/>
                                <w:tblW w:w="8775" w:type="dxa"/>
                                <w:jc w:val="center"/>
                                <w:tblCellSpacing w:w="0" w:type="dxa"/>
                                <w:tblLayout w:type="fixed"/>
                                <w:tblCellMar>
                                  <w:top w:w="0" w:type="dxa"/>
                                  <w:left w:w="0" w:type="dxa"/>
                                  <w:bottom w:w="0" w:type="dxa"/>
                                  <w:right w:w="0" w:type="dxa"/>
                                </w:tblCellMar>
                              </w:tblPr>
                              <w:tblGrid>
                                <w:gridCol w:w="8775"/>
                              </w:tblGrid>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spacing w:line="560" w:lineRule="exact"/>
                                      <w:ind w:firstLine="2200" w:firstLineChars="500"/>
                                      <w:jc w:val="left"/>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金川县卡撒乡财政所</w:t>
                                    </w:r>
                                  </w:p>
                                  <w:p>
                                    <w:pPr>
                                      <w:spacing w:line="560" w:lineRule="exact"/>
                                      <w:ind w:left="878" w:leftChars="418" w:firstLine="880" w:firstLineChars="200"/>
                                      <w:jc w:val="left"/>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2021年部门预算编制说明</w:t>
                                    </w:r>
                                  </w:p>
                                  <w:p>
                                    <w:pPr>
                                      <w:spacing w:line="560" w:lineRule="exact"/>
                                      <w:jc w:val="left"/>
                                      <w:rPr>
                                        <w:rFonts w:ascii="方正小标宋简体" w:hAnsi="宋体" w:eastAsia="方正小标宋简体" w:cs="宋体"/>
                                        <w:kern w:val="0"/>
                                        <w:sz w:val="44"/>
                                        <w:szCs w:val="44"/>
                                      </w:rPr>
                                    </w:pPr>
                                  </w:p>
                                  <w:p>
                                    <w:pPr>
                                      <w:widowControl/>
                                      <w:spacing w:line="480" w:lineRule="atLeast"/>
                                      <w:ind w:firstLine="726" w:firstLineChars="227"/>
                                      <w:rPr>
                                        <w:rFonts w:ascii="黑体" w:hAnsi="宋体" w:eastAsia="黑体" w:cs="宋体"/>
                                        <w:kern w:val="0"/>
                                        <w:sz w:val="32"/>
                                        <w:szCs w:val="32"/>
                                      </w:rPr>
                                    </w:pPr>
                                    <w:r>
                                      <w:rPr>
                                        <w:rFonts w:hint="eastAsia" w:ascii="黑体" w:hAnsi="宋体" w:eastAsia="黑体" w:cs="宋体"/>
                                        <w:kern w:val="0"/>
                                        <w:sz w:val="32"/>
                                        <w:szCs w:val="32"/>
                                      </w:rPr>
                                      <w:t>一、基本职能及主要工作</w:t>
                                    </w:r>
                                  </w:p>
                                  <w:p>
                                    <w:pPr>
                                      <w:spacing w:line="560" w:lineRule="exact"/>
                                      <w:ind w:firstLine="321" w:firstLineChars="100"/>
                                      <w:jc w:val="left"/>
                                      <w:rPr>
                                        <w:rFonts w:ascii="宋体" w:hAnsi="宋体" w:eastAsia="仿宋_GB2312" w:cs="宋体"/>
                                        <w:b/>
                                        <w:bCs/>
                                        <w:spacing w:val="-14"/>
                                        <w:kern w:val="0"/>
                                        <w:sz w:val="32"/>
                                        <w:szCs w:val="32"/>
                                      </w:rPr>
                                    </w:pPr>
                                    <w:r>
                                      <w:rPr>
                                        <w:rFonts w:hint="eastAsia" w:ascii="楷体_GB2312" w:hAnsi="宋体" w:eastAsia="楷体_GB2312" w:cs="宋体"/>
                                        <w:b/>
                                        <w:bCs/>
                                        <w:kern w:val="0"/>
                                        <w:sz w:val="32"/>
                                        <w:szCs w:val="32"/>
                                      </w:rPr>
                                      <w:t>（一）主要职责。</w:t>
                                    </w:r>
                                  </w:p>
                                  <w:p>
                                    <w:pPr>
                                      <w:spacing w:line="560" w:lineRule="exact"/>
                                      <w:ind w:firstLine="584" w:firstLineChars="200"/>
                                      <w:jc w:val="left"/>
                                      <w:rPr>
                                        <w:rFonts w:eastAsia="仿宋_GB2312"/>
                                        <w:bCs/>
                                        <w:spacing w:val="-14"/>
                                        <w:sz w:val="32"/>
                                        <w:szCs w:val="32"/>
                                      </w:rPr>
                                    </w:pPr>
                                    <w:r>
                                      <w:rPr>
                                        <w:rFonts w:hint="eastAsia" w:eastAsia="仿宋_GB2312"/>
                                        <w:bCs/>
                                        <w:spacing w:val="-14"/>
                                        <w:sz w:val="32"/>
                                        <w:szCs w:val="32"/>
                                      </w:rPr>
                                      <w:t>1.参与制定乡各项经济政策；提出运用财税政策调节经济和综合使用预算内外财力的建议。 </w:t>
                                    </w:r>
                                  </w:p>
                                  <w:p>
                                    <w:pPr>
                                      <w:spacing w:line="560" w:lineRule="exact"/>
                                      <w:ind w:firstLine="584" w:firstLineChars="200"/>
                                      <w:jc w:val="left"/>
                                      <w:rPr>
                                        <w:rFonts w:eastAsia="仿宋_GB2312"/>
                                        <w:bCs/>
                                        <w:spacing w:val="-14"/>
                                        <w:sz w:val="32"/>
                                        <w:szCs w:val="32"/>
                                      </w:rPr>
                                    </w:pPr>
                                    <w:r>
                                      <w:rPr>
                                        <w:rFonts w:hint="eastAsia" w:eastAsia="仿宋_GB2312"/>
                                        <w:bCs/>
                                        <w:spacing w:val="-14"/>
                                        <w:sz w:val="32"/>
                                        <w:szCs w:val="32"/>
                                      </w:rPr>
                                      <w:t>2.编制年度乡财政预决算草案并组织执行；受乡政府委托，向乡人大主席团报告预算执行情况。 </w:t>
                                    </w:r>
                                  </w:p>
                                  <w:p>
                                    <w:pPr>
                                      <w:spacing w:line="560" w:lineRule="exact"/>
                                      <w:ind w:firstLine="584" w:firstLineChars="200"/>
                                      <w:jc w:val="left"/>
                                      <w:rPr>
                                        <w:rFonts w:eastAsia="仿宋_GB2312"/>
                                        <w:bCs/>
                                        <w:spacing w:val="-14"/>
                                        <w:sz w:val="32"/>
                                        <w:szCs w:val="32"/>
                                      </w:rPr>
                                    </w:pPr>
                                    <w:r>
                                      <w:rPr>
                                        <w:rFonts w:hint="eastAsia" w:eastAsia="仿宋_GB2312"/>
                                        <w:bCs/>
                                        <w:spacing w:val="-14"/>
                                        <w:sz w:val="32"/>
                                        <w:szCs w:val="32"/>
                                      </w:rPr>
                                      <w:t>3.制定乡财政收入计划，依法组织乡各项财政收入，确保财政收入及时足额入库。 </w:t>
                                    </w:r>
                                  </w:p>
                                  <w:p>
                                    <w:pPr>
                                      <w:spacing w:line="560" w:lineRule="exact"/>
                                      <w:ind w:firstLine="584" w:firstLineChars="200"/>
                                      <w:jc w:val="left"/>
                                      <w:rPr>
                                        <w:rFonts w:eastAsia="仿宋_GB2312"/>
                                        <w:bCs/>
                                        <w:spacing w:val="-14"/>
                                        <w:sz w:val="32"/>
                                        <w:szCs w:val="32"/>
                                      </w:rPr>
                                    </w:pPr>
                                    <w:r>
                                      <w:rPr>
                                        <w:rFonts w:hint="eastAsia" w:eastAsia="仿宋_GB2312"/>
                                        <w:bCs/>
                                        <w:spacing w:val="-14"/>
                                        <w:sz w:val="32"/>
                                        <w:szCs w:val="32"/>
                                      </w:rPr>
                                      <w:t>4.加强乡财政支出管理。贯彻“厉行节约，量入为出”的原则，进一步优化支出结构，集中财力，保证乡镇工资支出、政府组织正常运转支出和社会公共需要支出的资金需要，确保本级财政收支平衡。</w:t>
                                    </w:r>
                                  </w:p>
                                  <w:p>
                                    <w:pPr>
                                      <w:spacing w:line="560" w:lineRule="exact"/>
                                      <w:ind w:firstLine="584" w:firstLineChars="200"/>
                                      <w:jc w:val="left"/>
                                      <w:rPr>
                                        <w:rFonts w:eastAsia="仿宋_GB2312"/>
                                        <w:bCs/>
                                        <w:spacing w:val="-14"/>
                                        <w:sz w:val="32"/>
                                        <w:szCs w:val="32"/>
                                      </w:rPr>
                                    </w:pPr>
                                    <w:r>
                                      <w:rPr>
                                        <w:rFonts w:hint="eastAsia" w:eastAsia="仿宋_GB2312"/>
                                        <w:bCs/>
                                        <w:spacing w:val="-14"/>
                                        <w:sz w:val="32"/>
                                        <w:szCs w:val="32"/>
                                      </w:rPr>
                                      <w:t>5.实行综合财政预算，加强乡行政事业单位财务统一管理，实行收支两条线，办理乡预算内外资金和各项专项资金拨款，监督资金的使用，进一步强化预算约束力，提高资金使用效率。</w:t>
                                    </w:r>
                                  </w:p>
                                  <w:p>
                                    <w:pPr>
                                      <w:spacing w:line="560" w:lineRule="exact"/>
                                      <w:ind w:firstLine="584" w:firstLineChars="200"/>
                                      <w:jc w:val="left"/>
                                      <w:rPr>
                                        <w:rFonts w:eastAsia="仿宋_GB2312"/>
                                        <w:bCs/>
                                        <w:spacing w:val="-14"/>
                                        <w:sz w:val="32"/>
                                        <w:szCs w:val="32"/>
                                      </w:rPr>
                                    </w:pPr>
                                    <w:r>
                                      <w:rPr>
                                        <w:rFonts w:hint="eastAsia" w:eastAsia="仿宋_GB2312"/>
                                        <w:bCs/>
                                        <w:spacing w:val="-14"/>
                                        <w:sz w:val="32"/>
                                        <w:szCs w:val="32"/>
                                      </w:rPr>
                                      <w:t>6.加强乡债务管理，防范化解财政风险。对乡的债务进行清理，分清债务性质和责任，相应制定偿债计划，从严控制新增债务，建立举债项目论证、报批制度</w:t>
                                    </w:r>
                                  </w:p>
                                  <w:p>
                                    <w:pPr>
                                      <w:spacing w:line="560" w:lineRule="exact"/>
                                      <w:ind w:firstLine="584" w:firstLineChars="200"/>
                                      <w:jc w:val="left"/>
                                      <w:rPr>
                                        <w:rFonts w:ascii="宋体" w:hAnsi="宋体" w:eastAsia="仿宋_GB2312" w:cs="宋体"/>
                                        <w:b/>
                                        <w:bCs/>
                                        <w:spacing w:val="-14"/>
                                        <w:kern w:val="0"/>
                                        <w:sz w:val="32"/>
                                        <w:szCs w:val="32"/>
                                      </w:rPr>
                                    </w:pPr>
                                    <w:r>
                                      <w:rPr>
                                        <w:rFonts w:hint="eastAsia" w:eastAsia="仿宋_GB2312"/>
                                        <w:bCs/>
                                        <w:spacing w:val="-14"/>
                                        <w:sz w:val="32"/>
                                        <w:szCs w:val="32"/>
                                      </w:rPr>
                                      <w:t>7.承办乡党委、政府交办的其他事项。</w:t>
                                    </w:r>
                                    <w:r>
                                      <w:rPr>
                                        <w:rFonts w:hint="eastAsia" w:ascii="宋体" w:hAnsi="宋体" w:eastAsia="仿宋_GB2312" w:cs="宋体"/>
                                        <w:b/>
                                        <w:bCs/>
                                        <w:spacing w:val="-14"/>
                                        <w:kern w:val="0"/>
                                        <w:sz w:val="32"/>
                                        <w:szCs w:val="32"/>
                                      </w:rPr>
                                      <w:t> </w:t>
                                    </w:r>
                                  </w:p>
                                  <w:p>
                                    <w:pPr>
                                      <w:widowControl/>
                                      <w:spacing w:line="480" w:lineRule="atLeast"/>
                                      <w:ind w:firstLine="411" w:firstLineChars="128"/>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（二）2021年主要工作安排情况</w:t>
                                    </w:r>
                                  </w:p>
                                  <w:p>
                                    <w:pPr>
                                      <w:spacing w:line="560" w:lineRule="exact"/>
                                      <w:ind w:firstLine="584" w:firstLineChars="200"/>
                                      <w:rPr>
                                        <w:rFonts w:ascii="仿宋_GB2312" w:hAnsi="宋体" w:eastAsia="仿宋_GB2312" w:cs="宋体"/>
                                        <w:kern w:val="0"/>
                                        <w:sz w:val="32"/>
                                        <w:szCs w:val="32"/>
                                      </w:rPr>
                                    </w:pPr>
                                    <w:r>
                                      <w:rPr>
                                        <w:rFonts w:hint="eastAsia" w:ascii="宋体" w:hAnsi="宋体" w:eastAsia="仿宋_GB2312" w:cs="宋体"/>
                                        <w:spacing w:val="-14"/>
                                        <w:kern w:val="0"/>
                                        <w:sz w:val="32"/>
                                        <w:szCs w:val="32"/>
                                      </w:rPr>
                                      <w:t>2021年主要工作任务是严格按照2021年的预算数和县财政局下达的预算进行</w:t>
                                    </w:r>
                                    <w:r>
                                      <w:rPr>
                                        <w:rFonts w:hint="eastAsia" w:ascii="宋体" w:hAnsi="宋体" w:eastAsia="仿宋_GB2312" w:cs="宋体"/>
                                        <w:spacing w:val="-14"/>
                                        <w:kern w:val="0"/>
                                        <w:sz w:val="32"/>
                                        <w:szCs w:val="32"/>
                                        <w:lang w:eastAsia="zh-CN"/>
                                      </w:rPr>
                                      <w:t>拨付</w:t>
                                    </w:r>
                                    <w:r>
                                      <w:rPr>
                                        <w:rFonts w:hint="eastAsia" w:ascii="宋体" w:hAnsi="宋体" w:eastAsia="仿宋_GB2312" w:cs="宋体"/>
                                        <w:spacing w:val="-14"/>
                                        <w:kern w:val="0"/>
                                        <w:sz w:val="32"/>
                                        <w:szCs w:val="32"/>
                                      </w:rPr>
                                      <w:t>，主要支出如下：1.工资福利包括基本工资、津贴补贴、奖金、绩效工资、社会保险费等。2.对个人和家庭的补助支出包括村干部生活补助、遗属生活费等。3.商品和服务的支出。按照县财政局下达公务经费定额标准、分类科目、结合实际开支，尽量不超预算。</w:t>
                                    </w:r>
                                  </w:p>
                                  <w:p>
                                    <w:pPr>
                                      <w:spacing w:line="560" w:lineRule="exact"/>
                                      <w:ind w:firstLine="640" w:firstLineChars="200"/>
                                      <w:jc w:val="left"/>
                                      <w:rPr>
                                        <w:rFonts w:ascii="宋体" w:hAnsi="宋体" w:eastAsia="仿宋_GB2312" w:cs="宋体"/>
                                        <w:spacing w:val="-14"/>
                                        <w:kern w:val="0"/>
                                        <w:sz w:val="32"/>
                                        <w:szCs w:val="32"/>
                                      </w:rPr>
                                    </w:pPr>
                                    <w:r>
                                      <w:rPr>
                                        <w:rFonts w:hint="eastAsia" w:ascii="黑体" w:hAnsi="宋体" w:eastAsia="黑体" w:cs="宋体"/>
                                        <w:kern w:val="0"/>
                                        <w:sz w:val="32"/>
                                        <w:szCs w:val="32"/>
                                      </w:rPr>
                                      <w:t>二、部门预算单位构成</w:t>
                                    </w:r>
                                    <w:r>
                                      <w:rPr>
                                        <w:rFonts w:hint="eastAsia" w:ascii="宋体" w:hAnsi="宋体" w:eastAsia="仿宋_GB2312" w:cs="宋体"/>
                                        <w:spacing w:val="-14"/>
                                        <w:kern w:val="0"/>
                                        <w:sz w:val="32"/>
                                        <w:szCs w:val="32"/>
                                      </w:rPr>
                                      <w:br w:type="textWrapping"/>
                                    </w:r>
                                    <w:r>
                                      <w:rPr>
                                        <w:rFonts w:hint="eastAsia" w:ascii="宋体" w:hAnsi="宋体" w:eastAsia="仿宋_GB2312" w:cs="宋体"/>
                                        <w:spacing w:val="-14"/>
                                        <w:kern w:val="0"/>
                                        <w:sz w:val="32"/>
                                        <w:szCs w:val="32"/>
                                      </w:rPr>
                                      <w:t>　   2021年独立编制单位机构数为 1个，财政供养人员编制为 37名，其中行政编制 21名，行政工勤编制2名，事业编制14名（其中参照公务员法管理人员编制 0人）；2021年实际财政供养人员32人，较上年增加4人（不含退休人员），其中：行政编制 19名，行政工勤编制 1名，事业编制 12名。</w:t>
                                    </w:r>
                                  </w:p>
                                  <w:p>
                                    <w:pPr>
                                      <w:widowControl/>
                                      <w:spacing w:line="480" w:lineRule="atLeast"/>
                                      <w:ind w:firstLine="60"/>
                                      <w:rPr>
                                        <w:rFonts w:ascii="宋体" w:hAnsi="宋体" w:eastAsia="仿宋_GB2312" w:cs="宋体"/>
                                        <w:spacing w:val="-14"/>
                                        <w:kern w:val="0"/>
                                        <w:sz w:val="32"/>
                                        <w:szCs w:val="32"/>
                                      </w:rPr>
                                    </w:pPr>
                                    <w:r>
                                      <w:rPr>
                                        <w:rFonts w:hint="eastAsia" w:ascii="宋体" w:hAnsi="宋体" w:eastAsia="仿宋_GB2312" w:cs="宋体"/>
                                        <w:b/>
                                        <w:spacing w:val="-14"/>
                                        <w:kern w:val="0"/>
                                        <w:sz w:val="32"/>
                                        <w:szCs w:val="32"/>
                                      </w:rPr>
                                      <w:t>　　</w:t>
                                    </w:r>
                                    <w:r>
                                      <w:rPr>
                                        <w:rFonts w:hint="eastAsia" w:ascii="黑体" w:hAnsi="宋体" w:eastAsia="黑体" w:cs="宋体"/>
                                        <w:kern w:val="0"/>
                                        <w:sz w:val="32"/>
                                        <w:szCs w:val="32"/>
                                      </w:rPr>
                                      <w:t>三、收支预算情况说明</w:t>
                                    </w:r>
                                    <w:r>
                                      <w:rPr>
                                        <w:rFonts w:hint="eastAsia" w:ascii="宋体" w:hAnsi="宋体" w:eastAsia="仿宋_GB2312" w:cs="宋体"/>
                                        <w:spacing w:val="-14"/>
                                        <w:kern w:val="0"/>
                                        <w:sz w:val="32"/>
                                        <w:szCs w:val="32"/>
                                      </w:rPr>
                                      <w:br w:type="textWrapping"/>
                                    </w:r>
                                    <w:r>
                                      <w:rPr>
                                        <w:rFonts w:hint="eastAsia" w:ascii="宋体" w:hAnsi="宋体" w:eastAsia="仿宋_GB2312" w:cs="宋体"/>
                                        <w:spacing w:val="-14"/>
                                        <w:kern w:val="0"/>
                                        <w:sz w:val="32"/>
                                        <w:szCs w:val="32"/>
                                      </w:rPr>
                                      <w:t>　　按照综合预算的原则，财政所所</w:t>
                                    </w:r>
                                    <w:bookmarkStart w:id="0" w:name="_GoBack"/>
                                    <w:bookmarkEnd w:id="0"/>
                                    <w:r>
                                      <w:rPr>
                                        <w:rFonts w:hint="eastAsia" w:ascii="宋体" w:hAnsi="宋体" w:eastAsia="仿宋_GB2312" w:cs="宋体"/>
                                        <w:spacing w:val="-14"/>
                                        <w:kern w:val="0"/>
                                        <w:sz w:val="32"/>
                                        <w:szCs w:val="32"/>
                                      </w:rPr>
                                      <w:t>有收入和支出均纳入部门预算管理。收入包括：一般公共预算拨款收入；支出包括：一般公共服务支出、社会保障和就业支出、卫生健康支出、农林水支出、住房保障支出、其他支出。卡撒乡财政所2021年收支总预算665.43万元，比2020年收支预算总数增加66.11万元，主要是因为经费标准变更及社会保障和就业支出增加。</w:t>
                                    </w:r>
                                    <w:r>
                                      <w:rPr>
                                        <w:rFonts w:hint="eastAsia" w:ascii="宋体" w:hAnsi="宋体" w:eastAsia="仿宋_GB2312" w:cs="宋体"/>
                                        <w:spacing w:val="-14"/>
                                        <w:kern w:val="0"/>
                                        <w:sz w:val="32"/>
                                        <w:szCs w:val="32"/>
                                      </w:rPr>
                                      <w:br w:type="textWrapping"/>
                                    </w:r>
                                    <w:r>
                                      <w:rPr>
                                        <w:rFonts w:hint="eastAsia" w:ascii="宋体" w:hAnsi="宋体" w:eastAsia="仿宋_GB2312" w:cs="宋体"/>
                                        <w:spacing w:val="-14"/>
                                        <w:kern w:val="0"/>
                                        <w:sz w:val="32"/>
                                        <w:szCs w:val="32"/>
                                      </w:rPr>
                                      <w:t>　　</w:t>
                                    </w:r>
                                    <w:r>
                                      <w:rPr>
                                        <w:rFonts w:hint="eastAsia" w:ascii="楷体_GB2312" w:hAnsi="宋体" w:eastAsia="楷体_GB2312" w:cs="宋体"/>
                                        <w:b/>
                                        <w:bCs/>
                                        <w:kern w:val="0"/>
                                        <w:sz w:val="32"/>
                                        <w:szCs w:val="32"/>
                                      </w:rPr>
                                      <w:t>（一）收入预算情况。</w:t>
                                    </w:r>
                                    <w:r>
                                      <w:rPr>
                                        <w:rFonts w:hint="eastAsia" w:ascii="宋体" w:hAnsi="宋体" w:eastAsia="仿宋_GB2312" w:cs="宋体"/>
                                        <w:spacing w:val="-14"/>
                                        <w:kern w:val="0"/>
                                        <w:sz w:val="32"/>
                                        <w:szCs w:val="32"/>
                                      </w:rPr>
                                      <w:br w:type="textWrapping"/>
                                    </w:r>
                                    <w:r>
                                      <w:rPr>
                                        <w:rFonts w:hint="eastAsia" w:ascii="宋体" w:hAnsi="宋体" w:eastAsia="仿宋_GB2312" w:cs="宋体"/>
                                        <w:spacing w:val="-14"/>
                                        <w:kern w:val="0"/>
                                        <w:sz w:val="32"/>
                                        <w:szCs w:val="32"/>
                                      </w:rPr>
                                      <w:t>　　卡撒乡财政所2021年收入预算665.43万元，其中：一般公共预算拨款收入665.43万元，占100%。</w:t>
                                    </w:r>
                                  </w:p>
                                  <w:p>
                                    <w:pPr>
                                      <w:widowControl/>
                                      <w:spacing w:line="480" w:lineRule="atLeast"/>
                                      <w:ind w:firstLine="60"/>
                                      <w:rPr>
                                        <w:rFonts w:ascii="宋体" w:hAnsi="宋体" w:eastAsia="仿宋_GB2312" w:cs="宋体"/>
                                        <w:spacing w:val="-14"/>
                                        <w:kern w:val="0"/>
                                        <w:sz w:val="32"/>
                                        <w:szCs w:val="32"/>
                                      </w:rPr>
                                    </w:pPr>
                                    <w:r>
                                      <w:rPr>
                                        <w:rFonts w:hint="eastAsia" w:ascii="宋体" w:hAnsi="宋体" w:eastAsia="仿宋_GB2312" w:cs="宋体"/>
                                        <w:spacing w:val="-14"/>
                                        <w:kern w:val="0"/>
                                        <w:sz w:val="32"/>
                                        <w:szCs w:val="32"/>
                                      </w:rPr>
                                      <w:t>　</w:t>
                                    </w:r>
                                    <w:r>
                                      <w:rPr>
                                        <w:rFonts w:hint="eastAsia" w:ascii="宋体" w:hAnsi="宋体" w:eastAsia="仿宋_GB2312" w:cs="宋体"/>
                                        <w:b/>
                                        <w:bCs/>
                                        <w:spacing w:val="-14"/>
                                        <w:kern w:val="0"/>
                                        <w:sz w:val="32"/>
                                        <w:szCs w:val="32"/>
                                      </w:rPr>
                                      <w:t>　</w:t>
                                    </w:r>
                                    <w:r>
                                      <w:rPr>
                                        <w:rFonts w:hint="eastAsia" w:ascii="楷体_GB2312" w:hAnsi="宋体" w:eastAsia="楷体_GB2312" w:cs="宋体"/>
                                        <w:b/>
                                        <w:bCs/>
                                        <w:kern w:val="0"/>
                                        <w:sz w:val="32"/>
                                        <w:szCs w:val="32"/>
                                      </w:rPr>
                                      <w:t>（二）支出预算情况。</w:t>
                                    </w:r>
                                    <w:r>
                                      <w:rPr>
                                        <w:rFonts w:hint="eastAsia" w:ascii="宋体" w:hAnsi="宋体" w:eastAsia="仿宋_GB2312" w:cs="宋体"/>
                                        <w:spacing w:val="-14"/>
                                        <w:kern w:val="0"/>
                                        <w:sz w:val="32"/>
                                        <w:szCs w:val="32"/>
                                      </w:rPr>
                                      <w:br w:type="textWrapping"/>
                                    </w:r>
                                    <w:r>
                                      <w:rPr>
                                        <w:rFonts w:hint="eastAsia" w:ascii="宋体" w:hAnsi="宋体" w:eastAsia="仿宋_GB2312" w:cs="宋体"/>
                                        <w:spacing w:val="-14"/>
                                        <w:kern w:val="0"/>
                                        <w:sz w:val="32"/>
                                        <w:szCs w:val="32"/>
                                      </w:rPr>
                                      <w:t>　　卡撒乡财政所2021年支出预算665.43万元，其中：基本支出665.43万元，占100%。</w:t>
                                    </w:r>
                                  </w:p>
                                  <w:p>
                                    <w:pPr>
                                      <w:widowControl/>
                                      <w:spacing w:line="480" w:lineRule="atLeast"/>
                                      <w:ind w:firstLine="60"/>
                                      <w:rPr>
                                        <w:rFonts w:ascii="宋体" w:hAnsi="宋体" w:eastAsia="仿宋_GB2312" w:cs="宋体"/>
                                        <w:spacing w:val="-14"/>
                                        <w:kern w:val="0"/>
                                        <w:sz w:val="32"/>
                                        <w:szCs w:val="32"/>
                                      </w:rPr>
                                    </w:pPr>
                                    <w:r>
                                      <w:rPr>
                                        <w:rFonts w:hint="eastAsia" w:ascii="仿宋_GB2312" w:hAnsi="宋体" w:eastAsia="仿宋_GB2312" w:cs="宋体"/>
                                        <w:kern w:val="0"/>
                                        <w:sz w:val="32"/>
                                        <w:szCs w:val="32"/>
                                      </w:rPr>
                                      <w:t>　</w:t>
                                    </w:r>
                                    <w:r>
                                      <w:rPr>
                                        <w:rFonts w:hint="eastAsia" w:ascii="宋体" w:hAnsi="宋体" w:eastAsia="仿宋_GB2312" w:cs="宋体"/>
                                        <w:b/>
                                        <w:spacing w:val="-14"/>
                                        <w:kern w:val="0"/>
                                        <w:sz w:val="32"/>
                                        <w:szCs w:val="32"/>
                                      </w:rPr>
                                      <w:t>　</w:t>
                                    </w:r>
                                    <w:r>
                                      <w:rPr>
                                        <w:rFonts w:hint="eastAsia" w:ascii="黑体" w:hAnsi="宋体" w:eastAsia="黑体" w:cs="宋体"/>
                                        <w:kern w:val="0"/>
                                        <w:sz w:val="32"/>
                                        <w:szCs w:val="32"/>
                                      </w:rPr>
                                      <w:t>四、财政拨款收支预算情况说明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宋体" w:hAnsi="宋体" w:eastAsia="仿宋_GB2312" w:cs="宋体"/>
                                        <w:spacing w:val="-14"/>
                                        <w:kern w:val="0"/>
                                        <w:sz w:val="32"/>
                                        <w:szCs w:val="32"/>
                                      </w:rPr>
                                      <w:t>卡撒乡2021年财政拨款收支总预算665.43万元,比2020年收支预算总数增加66.11万元，主要是因为经费标准变更及社会保障和就业支出增加。</w:t>
                                    </w:r>
                                    <w:r>
                                      <w:rPr>
                                        <w:rFonts w:hint="eastAsia" w:ascii="宋体" w:hAnsi="宋体" w:eastAsia="仿宋_GB2312" w:cs="宋体"/>
                                        <w:spacing w:val="-14"/>
                                        <w:kern w:val="0"/>
                                        <w:sz w:val="32"/>
                                        <w:szCs w:val="32"/>
                                      </w:rPr>
                                      <w:br w:type="textWrapping"/>
                                    </w:r>
                                    <w:r>
                                      <w:rPr>
                                        <w:rFonts w:hint="eastAsia" w:ascii="仿宋_GB2312" w:hAnsi="宋体" w:eastAsia="仿宋_GB2312" w:cs="宋体"/>
                                        <w:kern w:val="0"/>
                                        <w:sz w:val="32"/>
                                        <w:szCs w:val="32"/>
                                      </w:rPr>
                                      <w:t>　　</w:t>
                                    </w:r>
                                    <w:r>
                                      <w:rPr>
                                        <w:rFonts w:hint="eastAsia" w:ascii="宋体" w:hAnsi="宋体" w:eastAsia="仿宋_GB2312" w:cs="宋体"/>
                                        <w:spacing w:val="-14"/>
                                        <w:kern w:val="0"/>
                                        <w:sz w:val="32"/>
                                        <w:szCs w:val="32"/>
                                      </w:rPr>
                                      <w:t>收入包括：本年一般公共预算拨款收入665.43万元，支出包括：一般公共服务支出247.51万元、社会保障和就业支出74.14万元、卫生健康支出27.64万元，农林水支出273.30万元，住房保障支出37.07万元，其他支出5.76万元。</w:t>
                                    </w:r>
                                  </w:p>
                                  <w:p>
                                    <w:pPr>
                                      <w:widowControl/>
                                      <w:spacing w:line="480" w:lineRule="atLeast"/>
                                      <w:ind w:firstLine="60"/>
                                      <w:rPr>
                                        <w:rFonts w:ascii="宋体" w:hAnsi="宋体" w:eastAsia="仿宋_GB2312" w:cs="宋体"/>
                                        <w:spacing w:val="-14"/>
                                        <w:kern w:val="0"/>
                                        <w:sz w:val="32"/>
                                        <w:szCs w:val="32"/>
                                      </w:rPr>
                                    </w:pPr>
                                    <w:r>
                                      <w:rPr>
                                        <w:rFonts w:hint="eastAsia" w:ascii="仿宋_GB2312" w:hAnsi="宋体" w:eastAsia="仿宋_GB2312" w:cs="宋体"/>
                                        <w:kern w:val="0"/>
                                        <w:sz w:val="32"/>
                                        <w:szCs w:val="32"/>
                                      </w:rPr>
                                      <w:t>　　</w:t>
                                    </w:r>
                                    <w:r>
                                      <w:rPr>
                                        <w:rFonts w:hint="eastAsia" w:ascii="黑体" w:hAnsi="宋体" w:eastAsia="黑体" w:cs="宋体"/>
                                        <w:kern w:val="0"/>
                                        <w:sz w:val="32"/>
                                        <w:szCs w:val="32"/>
                                      </w:rPr>
                                      <w:t>五、一般公共预算当年拨款情况说明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（一）一般公共预算当年拨款规模变化情况。</w:t>
                                    </w:r>
                                    <w:r>
                                      <w:rPr>
                                        <w:rFonts w:hint="eastAsia" w:ascii="仿宋_GB2312" w:hAnsi="宋体" w:eastAsia="仿宋_GB2312" w:cs="宋体"/>
                                        <w:kern w:val="0"/>
                                        <w:sz w:val="32"/>
                                        <w:szCs w:val="32"/>
                                      </w:rPr>
                                      <w:br w:type="textWrapping"/>
                                    </w:r>
                                    <w:r>
                                      <w:rPr>
                                        <w:rFonts w:hint="eastAsia" w:ascii="宋体" w:hAnsi="宋体" w:eastAsia="仿宋_GB2312" w:cs="宋体"/>
                                        <w:spacing w:val="-14"/>
                                        <w:kern w:val="0"/>
                                        <w:sz w:val="32"/>
                                        <w:szCs w:val="32"/>
                                      </w:rPr>
                                      <w:t>　　卡撒乡2021年财政拨款收支总预算665.43万元,比2020年收支预算总数增加66.11万元，主要是因为经费标准变更及社会保障和就业支出增加。</w:t>
                                    </w:r>
                                    <w:r>
                                      <w:rPr>
                                        <w:rFonts w:hint="eastAsia" w:ascii="宋体" w:hAnsi="宋体" w:eastAsia="仿宋_GB2312" w:cs="宋体"/>
                                        <w:spacing w:val="-14"/>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（二）一般公共预算当年拨款结构情况。</w:t>
                                    </w:r>
                                    <w:r>
                                      <w:rPr>
                                        <w:rFonts w:hint="eastAsia" w:ascii="楷体_GB2312" w:hAnsi="宋体" w:eastAsia="楷体_GB2312" w:cs="宋体"/>
                                        <w:b/>
                                        <w:bCs/>
                                        <w:kern w:val="0"/>
                                        <w:sz w:val="32"/>
                                        <w:szCs w:val="32"/>
                                      </w:rPr>
                                      <w:br w:type="textWrapping"/>
                                    </w:r>
                                    <w:r>
                                      <w:rPr>
                                        <w:rFonts w:hint="eastAsia" w:ascii="仿宋_GB2312" w:hAnsi="宋体" w:eastAsia="仿宋_GB2312" w:cs="宋体"/>
                                        <w:color w:val="FF0000"/>
                                        <w:kern w:val="0"/>
                                        <w:sz w:val="32"/>
                                        <w:szCs w:val="32"/>
                                      </w:rPr>
                                      <w:t xml:space="preserve">　  </w:t>
                                    </w:r>
                                    <w:r>
                                      <w:rPr>
                                        <w:rFonts w:hint="eastAsia" w:ascii="宋体" w:hAnsi="宋体" w:eastAsia="仿宋_GB2312" w:cs="宋体"/>
                                        <w:spacing w:val="-14"/>
                                        <w:kern w:val="0"/>
                                        <w:sz w:val="32"/>
                                        <w:szCs w:val="32"/>
                                      </w:rPr>
                                      <w:t>一般公共服务支出247.51万元，占37.20%；社会保障和就业支出74.14万元，占11.14%；卫生健康支出27.64万元，占4.15%；农林水支出273.30万元，占41.07%；住房保障支出37.07万元，占5.57%；其他支出5.76万元,占0.87%。</w:t>
                                    </w:r>
                                  </w:p>
                                  <w:p>
                                    <w:pPr>
                                      <w:widowControl/>
                                      <w:spacing w:line="480" w:lineRule="atLeast"/>
                                      <w:ind w:firstLine="60"/>
                                      <w:rPr>
                                        <w:rFonts w:ascii="楷体_GB2312" w:hAnsi="宋体" w:eastAsia="楷体_GB2312" w:cs="宋体"/>
                                        <w:b/>
                                        <w:bCs/>
                                        <w:kern w:val="0"/>
                                        <w:sz w:val="32"/>
                                        <w:szCs w:val="32"/>
                                      </w:rPr>
                                    </w:pPr>
                                    <w:r>
                                      <w:rPr>
                                        <w:rFonts w:hint="eastAsia" w:ascii="仿宋_GB2312" w:hAnsi="宋体" w:eastAsia="仿宋_GB2312" w:cs="宋体"/>
                                        <w:color w:val="FF0000"/>
                                        <w:kern w:val="0"/>
                                        <w:sz w:val="32"/>
                                        <w:szCs w:val="32"/>
                                      </w:rPr>
                                      <w:t>　</w:t>
                                    </w:r>
                                    <w:r>
                                      <w:rPr>
                                        <w:rFonts w:hint="eastAsia" w:ascii="楷体_GB2312" w:hAnsi="宋体" w:eastAsia="楷体_GB2312" w:cs="宋体"/>
                                        <w:b/>
                                        <w:bCs/>
                                        <w:kern w:val="0"/>
                                        <w:sz w:val="32"/>
                                        <w:szCs w:val="32"/>
                                      </w:rPr>
                                      <w:t>（三）一般公共预算当年拨款具体使用情况。</w:t>
                                    </w:r>
                                  </w:p>
                                  <w:p>
                                    <w:pPr>
                                      <w:spacing w:line="560" w:lineRule="exact"/>
                                      <w:ind w:firstLine="587" w:firstLineChars="200"/>
                                      <w:rPr>
                                        <w:rFonts w:ascii="楷体_GB2312" w:hAnsi="宋体" w:eastAsia="仿宋_GB2312" w:cs="宋体"/>
                                        <w:b/>
                                        <w:bCs/>
                                        <w:spacing w:val="-14"/>
                                        <w:kern w:val="0"/>
                                        <w:sz w:val="32"/>
                                        <w:szCs w:val="32"/>
                                      </w:rPr>
                                    </w:pPr>
                                    <w:r>
                                      <w:rPr>
                                        <w:rFonts w:hint="eastAsia" w:ascii="楷体_GB2312" w:hAnsi="宋体" w:eastAsia="仿宋_GB2312" w:cs="宋体"/>
                                        <w:b/>
                                        <w:bCs/>
                                        <w:spacing w:val="-14"/>
                                        <w:kern w:val="0"/>
                                        <w:sz w:val="32"/>
                                        <w:szCs w:val="32"/>
                                      </w:rPr>
                                      <w:t>1.201一般公共服务(类）：247.51万元</w:t>
                                    </w:r>
                                  </w:p>
                                  <w:p>
                                    <w:pPr>
                                      <w:numPr>
                                        <w:ilvl w:val="0"/>
                                        <w:numId w:val="1"/>
                                      </w:numPr>
                                      <w:spacing w:line="560" w:lineRule="exact"/>
                                      <w:ind w:firstLine="640" w:firstLineChars="200"/>
                                      <w:rPr>
                                        <w:rFonts w:ascii="仿宋_GB2312" w:hAnsi="宋体" w:eastAsia="仿宋_GB2312" w:cs="宋体"/>
                                        <w:spacing w:val="-14"/>
                                        <w:kern w:val="0"/>
                                        <w:sz w:val="32"/>
                                        <w:szCs w:val="32"/>
                                      </w:rPr>
                                    </w:pPr>
                                    <w:r>
                                      <w:rPr>
                                        <w:rFonts w:hint="eastAsia" w:ascii="仿宋_GB2312" w:eastAsia="仿宋_GB2312"/>
                                        <w:sz w:val="32"/>
                                        <w:szCs w:val="32"/>
                                      </w:rPr>
                                      <w:t>一般公共服务201（类）人大事务01（款）行政运行01（项）：</w:t>
                                    </w:r>
                                    <w:r>
                                      <w:rPr>
                                        <w:rFonts w:hint="eastAsia" w:ascii="仿宋_GB2312" w:hAnsi="宋体" w:eastAsia="仿宋_GB2312" w:cs="宋体"/>
                                        <w:spacing w:val="-14"/>
                                        <w:kern w:val="0"/>
                                        <w:sz w:val="32"/>
                                        <w:szCs w:val="32"/>
                                      </w:rPr>
                                      <w:t>日常人员经费11.21万元。</w:t>
                                    </w:r>
                                  </w:p>
                                  <w:p>
                                    <w:pPr>
                                      <w:numPr>
                                        <w:ilvl w:val="0"/>
                                        <w:numId w:val="1"/>
                                      </w:numPr>
                                      <w:spacing w:line="560" w:lineRule="exact"/>
                                      <w:ind w:firstLine="640" w:firstLineChars="200"/>
                                      <w:rPr>
                                        <w:rFonts w:ascii="仿宋_GB2312" w:hAnsi="宋体" w:eastAsia="仿宋_GB2312" w:cs="宋体"/>
                                        <w:spacing w:val="-14"/>
                                        <w:kern w:val="0"/>
                                        <w:sz w:val="32"/>
                                        <w:szCs w:val="32"/>
                                      </w:rPr>
                                    </w:pPr>
                                    <w:r>
                                      <w:rPr>
                                        <w:rFonts w:hint="eastAsia" w:ascii="仿宋_GB2312" w:eastAsia="仿宋_GB2312"/>
                                        <w:sz w:val="32"/>
                                        <w:szCs w:val="32"/>
                                      </w:rPr>
                                      <w:t>一般公共服务201（类）人大事务01（款）人大会议04（项）：</w:t>
                                    </w:r>
                                    <w:r>
                                      <w:rPr>
                                        <w:rFonts w:hint="eastAsia" w:ascii="仿宋_GB2312" w:hAnsi="宋体" w:eastAsia="仿宋_GB2312" w:cs="宋体"/>
                                        <w:spacing w:val="-14"/>
                                        <w:kern w:val="0"/>
                                        <w:sz w:val="32"/>
                                        <w:szCs w:val="32"/>
                                      </w:rPr>
                                      <w:t>公用经费 0.1万元。</w:t>
                                    </w:r>
                                  </w:p>
                                  <w:p>
                                    <w:pPr>
                                      <w:spacing w:line="560" w:lineRule="exact"/>
                                      <w:ind w:firstLine="640" w:firstLineChars="200"/>
                                      <w:rPr>
                                        <w:rFonts w:ascii="仿宋_GB2312" w:hAnsi="宋体" w:eastAsia="仿宋_GB2312" w:cs="宋体"/>
                                        <w:spacing w:val="-14"/>
                                        <w:kern w:val="0"/>
                                        <w:sz w:val="32"/>
                                        <w:szCs w:val="32"/>
                                      </w:rPr>
                                    </w:pPr>
                                    <w:r>
                                      <w:rPr>
                                        <w:rFonts w:hint="eastAsia" w:ascii="仿宋_GB2312" w:eastAsia="仿宋_GB2312"/>
                                        <w:sz w:val="32"/>
                                        <w:szCs w:val="32"/>
                                      </w:rPr>
                                      <w:t>（3）一般公共服务201（类）政府办公厅及相关机构事务03（款）行政运行01（项）</w:t>
                                    </w:r>
                                    <w:r>
                                      <w:rPr>
                                        <w:rFonts w:hint="eastAsia" w:ascii="楷体_GB2312" w:hAnsi="宋体" w:eastAsia="仿宋_GB2312" w:cs="宋体"/>
                                        <w:spacing w:val="-14"/>
                                        <w:kern w:val="0"/>
                                        <w:sz w:val="32"/>
                                        <w:szCs w:val="32"/>
                                      </w:rPr>
                                      <w:t>：</w:t>
                                    </w:r>
                                    <w:r>
                                      <w:rPr>
                                        <w:rFonts w:hint="eastAsia" w:ascii="仿宋_GB2312" w:hAnsi="宋体" w:eastAsia="仿宋_GB2312" w:cs="宋体"/>
                                        <w:spacing w:val="-14"/>
                                        <w:kern w:val="0"/>
                                        <w:sz w:val="32"/>
                                        <w:szCs w:val="32"/>
                                      </w:rPr>
                                      <w:t>日常人员经费224.61万元。</w:t>
                                    </w:r>
                                  </w:p>
                                  <w:p>
                                    <w:pPr>
                                      <w:spacing w:line="560" w:lineRule="exact"/>
                                      <w:ind w:firstLine="584" w:firstLineChars="200"/>
                                      <w:rPr>
                                        <w:rFonts w:ascii="仿宋_GB2312" w:hAnsi="宋体" w:eastAsia="仿宋_GB2312" w:cs="宋体"/>
                                        <w:spacing w:val="-14"/>
                                        <w:kern w:val="0"/>
                                        <w:sz w:val="32"/>
                                        <w:szCs w:val="32"/>
                                      </w:rPr>
                                    </w:pPr>
                                    <w:r>
                                      <w:rPr>
                                        <w:rFonts w:hint="eastAsia" w:ascii="仿宋_GB2312" w:hAnsi="宋体" w:eastAsia="仿宋_GB2312" w:cs="宋体"/>
                                        <w:spacing w:val="-14"/>
                                        <w:kern w:val="0"/>
                                        <w:sz w:val="32"/>
                                        <w:szCs w:val="32"/>
                                      </w:rPr>
                                      <w:t>（4）</w:t>
                                    </w:r>
                                    <w:r>
                                      <w:rPr>
                                        <w:rFonts w:hint="eastAsia" w:ascii="仿宋_GB2312" w:eastAsia="仿宋_GB2312"/>
                                        <w:sz w:val="32"/>
                                        <w:szCs w:val="32"/>
                                      </w:rPr>
                                      <w:t>一般公共服务201（类）政府办公厅及相关机构事务31（款）行政运行01（项）</w:t>
                                    </w:r>
                                    <w:r>
                                      <w:rPr>
                                        <w:rFonts w:hint="eastAsia" w:ascii="楷体_GB2312" w:hAnsi="宋体" w:eastAsia="仿宋_GB2312" w:cs="宋体"/>
                                        <w:spacing w:val="-14"/>
                                        <w:kern w:val="0"/>
                                        <w:sz w:val="32"/>
                                        <w:szCs w:val="32"/>
                                      </w:rPr>
                                      <w:t>：</w:t>
                                    </w:r>
                                    <w:r>
                                      <w:rPr>
                                        <w:rFonts w:hint="eastAsia" w:ascii="仿宋_GB2312" w:hAnsi="宋体" w:eastAsia="仿宋_GB2312" w:cs="宋体"/>
                                        <w:spacing w:val="-14"/>
                                        <w:kern w:val="0"/>
                                        <w:sz w:val="32"/>
                                        <w:szCs w:val="32"/>
                                      </w:rPr>
                                      <w:t>日常人员经费11.60万元。</w:t>
                                    </w:r>
                                  </w:p>
                                  <w:p>
                                    <w:pPr>
                                      <w:spacing w:line="560" w:lineRule="exact"/>
                                      <w:ind w:firstLine="587" w:firstLineChars="200"/>
                                      <w:rPr>
                                        <w:rFonts w:ascii="仿宋_GB2312" w:eastAsia="仿宋_GB2312"/>
                                        <w:b/>
                                        <w:bCs/>
                                        <w:sz w:val="32"/>
                                        <w:szCs w:val="32"/>
                                      </w:rPr>
                                    </w:pPr>
                                    <w:r>
                                      <w:rPr>
                                        <w:rFonts w:hint="eastAsia" w:ascii="楷体_GB2312" w:hAnsi="宋体" w:eastAsia="仿宋_GB2312" w:cs="宋体"/>
                                        <w:b/>
                                        <w:bCs/>
                                        <w:spacing w:val="-14"/>
                                        <w:kern w:val="0"/>
                                        <w:sz w:val="32"/>
                                        <w:szCs w:val="32"/>
                                      </w:rPr>
                                      <w:t>2.208</w:t>
                                    </w:r>
                                    <w:r>
                                      <w:rPr>
                                        <w:rFonts w:hint="eastAsia" w:ascii="仿宋_GB2312" w:eastAsia="仿宋_GB2312"/>
                                        <w:b/>
                                        <w:bCs/>
                                        <w:sz w:val="32"/>
                                        <w:szCs w:val="32"/>
                                      </w:rPr>
                                      <w:t>社会保障和就业支出（类）:74.14万元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（1）社会保障和就业支出208（类）行政事业单位离退休05（款)机关事业单位基本养老保险缴费支出05（项）：</w:t>
                                    </w:r>
                                    <w:r>
                                      <w:rPr>
                                        <w:rFonts w:hint="eastAsia" w:ascii="仿宋_GB2312" w:hAnsi="宋体" w:eastAsia="仿宋_GB2312" w:cs="宋体"/>
                                        <w:spacing w:val="-14"/>
                                        <w:kern w:val="0"/>
                                        <w:sz w:val="32"/>
                                        <w:szCs w:val="32"/>
                                      </w:rPr>
                                      <w:t>日常人员经费49.43万元</w:t>
                                    </w:r>
                                    <w:r>
                                      <w:rPr>
                                        <w:rFonts w:hint="eastAsia" w:ascii="仿宋_GB2312" w:eastAsia="仿宋_GB2312"/>
                                        <w:sz w:val="32"/>
                                        <w:szCs w:val="32"/>
                                      </w:rPr>
                                      <w:t>。</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（2）社会保障和就业支出208（类）行政事业单位离退休05（款)机关事业单位职业年金缴费支出06（项）：</w:t>
                                    </w:r>
                                    <w:r>
                                      <w:rPr>
                                        <w:rFonts w:hint="eastAsia" w:ascii="仿宋_GB2312" w:hAnsi="宋体" w:eastAsia="仿宋_GB2312" w:cs="宋体"/>
                                        <w:spacing w:val="-14"/>
                                        <w:kern w:val="0"/>
                                        <w:sz w:val="32"/>
                                        <w:szCs w:val="32"/>
                                      </w:rPr>
                                      <w:t>日常人员经费 24.71万元</w:t>
                                    </w:r>
                                    <w:r>
                                      <w:rPr>
                                        <w:rFonts w:hint="eastAsia" w:ascii="仿宋_GB2312" w:eastAsia="仿宋_GB2312"/>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3.210医疗卫生与计划生育支出（类）：</w:t>
                                    </w:r>
                                    <w:r>
                                      <w:rPr>
                                        <w:rFonts w:hint="eastAsia" w:ascii="宋体" w:hAnsi="宋体" w:eastAsia="仿宋_GB2312" w:cs="宋体"/>
                                        <w:spacing w:val="-14"/>
                                        <w:kern w:val="0"/>
                                        <w:sz w:val="32"/>
                                        <w:szCs w:val="32"/>
                                      </w:rPr>
                                      <w:t>27.64</w:t>
                                    </w:r>
                                    <w:r>
                                      <w:rPr>
                                        <w:rFonts w:hint="eastAsia" w:ascii="仿宋_GB2312" w:eastAsia="仿宋_GB2312"/>
                                        <w:b/>
                                        <w:bCs/>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（1）医疗卫生与计划生育支出210（类）行政事业单位医疗11（款）行政单位医疗01（项）：</w:t>
                                    </w:r>
                                    <w:r>
                                      <w:rPr>
                                        <w:rFonts w:hint="eastAsia" w:ascii="仿宋_GB2312" w:hAnsi="宋体" w:eastAsia="仿宋_GB2312" w:cs="宋体"/>
                                        <w:spacing w:val="-14"/>
                                        <w:kern w:val="0"/>
                                        <w:sz w:val="32"/>
                                        <w:szCs w:val="32"/>
                                      </w:rPr>
                                      <w:t>日常人员经费 21.62万元。</w:t>
                                    </w:r>
                                  </w:p>
                                  <w:p>
                                    <w:pPr>
                                      <w:spacing w:line="560" w:lineRule="exact"/>
                                      <w:ind w:firstLine="640" w:firstLineChars="200"/>
                                      <w:rPr>
                                        <w:rFonts w:ascii="仿宋_GB2312" w:eastAsia="仿宋_GB2312"/>
                                        <w:b/>
                                        <w:bCs/>
                                        <w:color w:val="FF0000"/>
                                        <w:sz w:val="32"/>
                                        <w:szCs w:val="32"/>
                                      </w:rPr>
                                    </w:pPr>
                                    <w:r>
                                      <w:rPr>
                                        <w:rFonts w:hint="eastAsia" w:ascii="仿宋_GB2312" w:eastAsia="仿宋_GB2312"/>
                                        <w:sz w:val="32"/>
                                        <w:szCs w:val="32"/>
                                      </w:rPr>
                                      <w:t>（2）医疗卫生与计划生育支出210（类）行政事业单位医疗11（款）公务员医疗补助03（项）:</w:t>
                                    </w:r>
                                    <w:r>
                                      <w:rPr>
                                        <w:rFonts w:hint="eastAsia" w:ascii="仿宋_GB2312" w:hAnsi="宋体" w:eastAsia="仿宋_GB2312" w:cs="宋体"/>
                                        <w:spacing w:val="-14"/>
                                        <w:kern w:val="0"/>
                                        <w:sz w:val="32"/>
                                        <w:szCs w:val="32"/>
                                      </w:rPr>
                                      <w:t xml:space="preserve">日常人员经费6.02万元。       </w:t>
                                    </w:r>
                                    <w:r>
                                      <w:rPr>
                                        <w:rFonts w:hint="eastAsia" w:ascii="仿宋_GB2312" w:eastAsia="仿宋_GB2312"/>
                                        <w:b/>
                                        <w:bCs/>
                                        <w:sz w:val="32"/>
                                        <w:szCs w:val="32"/>
                                      </w:rPr>
                                      <w:t xml:space="preserve">      </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4.213</w:t>
                                    </w:r>
                                    <w:r>
                                      <w:rPr>
                                        <w:rFonts w:hint="eastAsia" w:ascii="仿宋_GB2312" w:eastAsia="仿宋_GB2312"/>
                                        <w:b/>
                                        <w:bCs/>
                                        <w:color w:val="000000"/>
                                        <w:sz w:val="32"/>
                                        <w:szCs w:val="32"/>
                                      </w:rPr>
                                      <w:t>农林水支出（类）:273.30万元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（1）农林水支出213（类）农业01（款）事业运行04（项）:</w:t>
                                    </w:r>
                                    <w:r>
                                      <w:rPr>
                                        <w:rFonts w:hint="eastAsia" w:ascii="仿宋_GB2312" w:hAnsi="宋体" w:eastAsia="仿宋_GB2312" w:cs="宋体"/>
                                        <w:spacing w:val="-14"/>
                                        <w:kern w:val="0"/>
                                        <w:sz w:val="32"/>
                                        <w:szCs w:val="32"/>
                                      </w:rPr>
                                      <w:t>日常人员经费105.63万元。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（2）农林水支出213（类）农村综合改革07（款）对村民委员会和村党支部的补助05（项）:日常人员</w:t>
                                    </w:r>
                                    <w:r>
                                      <w:rPr>
                                        <w:rFonts w:hint="eastAsia" w:ascii="仿宋_GB2312" w:hAnsi="宋体" w:eastAsia="仿宋_GB2312" w:cs="宋体"/>
                                        <w:spacing w:val="-14"/>
                                        <w:kern w:val="0"/>
                                        <w:sz w:val="32"/>
                                        <w:szCs w:val="32"/>
                                      </w:rPr>
                                      <w:t>经费167.67万元。</w:t>
                                    </w:r>
                                  </w:p>
                                  <w:p>
                                    <w:pPr>
                                      <w:spacing w:line="560" w:lineRule="exact"/>
                                      <w:ind w:firstLine="643" w:firstLineChars="200"/>
                                      <w:rPr>
                                        <w:rFonts w:ascii="方正小标宋简体" w:hAnsi="宋体" w:eastAsia="仿宋_GB2312" w:cs="宋体"/>
                                        <w:b/>
                                        <w:bCs/>
                                        <w:color w:val="FF0000"/>
                                        <w:spacing w:val="-14"/>
                                        <w:kern w:val="0"/>
                                        <w:sz w:val="32"/>
                                        <w:szCs w:val="32"/>
                                      </w:rPr>
                                    </w:pPr>
                                    <w:r>
                                      <w:rPr>
                                        <w:rFonts w:hint="eastAsia" w:ascii="仿宋_GB2312" w:eastAsia="仿宋_GB2312"/>
                                        <w:b/>
                                        <w:bCs/>
                                        <w:sz w:val="32"/>
                                        <w:szCs w:val="32"/>
                                      </w:rPr>
                                      <w:t>5.221住房保障支出（类）：37.07万元</w:t>
                                    </w:r>
                                  </w:p>
                                  <w:p>
                                    <w:pPr>
                                      <w:spacing w:line="560" w:lineRule="exact"/>
                                      <w:ind w:firstLine="640" w:firstLineChars="200"/>
                                      <w:rPr>
                                        <w:rFonts w:ascii="仿宋_GB2312" w:hAnsi="宋体" w:eastAsia="仿宋_GB2312" w:cs="宋体"/>
                                        <w:spacing w:val="-14"/>
                                        <w:kern w:val="0"/>
                                        <w:sz w:val="32"/>
                                        <w:szCs w:val="32"/>
                                      </w:rPr>
                                    </w:pPr>
                                    <w:r>
                                      <w:rPr>
                                        <w:rFonts w:hint="eastAsia" w:ascii="仿宋_GB2312" w:eastAsia="仿宋_GB2312"/>
                                        <w:sz w:val="32"/>
                                        <w:szCs w:val="32"/>
                                      </w:rPr>
                                      <w:t>住房保障支出221（类）住房改革支出02（款）住房公积金01（项）</w:t>
                                    </w:r>
                                    <w:r>
                                      <w:rPr>
                                        <w:rFonts w:hint="eastAsia" w:ascii="楷体_GB2312" w:hAnsi="宋体" w:eastAsia="仿宋_GB2312" w:cs="宋体"/>
                                        <w:spacing w:val="-14"/>
                                        <w:kern w:val="0"/>
                                        <w:sz w:val="32"/>
                                        <w:szCs w:val="32"/>
                                      </w:rPr>
                                      <w:t>：全乡职工住房公积金</w:t>
                                    </w:r>
                                    <w:r>
                                      <w:rPr>
                                        <w:rFonts w:hint="eastAsia" w:ascii="仿宋_GB2312" w:eastAsia="仿宋_GB2312"/>
                                        <w:sz w:val="32"/>
                                        <w:szCs w:val="32"/>
                                      </w:rPr>
                                      <w:t>37.07万元</w:t>
                                    </w:r>
                                    <w:r>
                                      <w:rPr>
                                        <w:rFonts w:hint="eastAsia" w:ascii="仿宋_GB2312" w:hAnsi="宋体" w:eastAsia="仿宋_GB2312" w:cs="宋体"/>
                                        <w:spacing w:val="-14"/>
                                        <w:kern w:val="0"/>
                                        <w:sz w:val="32"/>
                                        <w:szCs w:val="32"/>
                                      </w:rPr>
                                      <w:t>。</w:t>
                                    </w:r>
                                  </w:p>
                                  <w:p>
                                    <w:pPr>
                                      <w:spacing w:line="560" w:lineRule="exact"/>
                                      <w:ind w:firstLine="587" w:firstLineChars="200"/>
                                      <w:rPr>
                                        <w:rFonts w:ascii="仿宋_GB2312" w:hAnsi="宋体" w:eastAsia="仿宋_GB2312" w:cs="宋体"/>
                                        <w:b/>
                                        <w:bCs/>
                                        <w:spacing w:val="-14"/>
                                        <w:kern w:val="0"/>
                                        <w:sz w:val="32"/>
                                        <w:szCs w:val="32"/>
                                      </w:rPr>
                                    </w:pPr>
                                    <w:r>
                                      <w:rPr>
                                        <w:rFonts w:hint="eastAsia" w:ascii="仿宋_GB2312" w:hAnsi="宋体" w:eastAsia="仿宋_GB2312" w:cs="宋体"/>
                                        <w:b/>
                                        <w:bCs/>
                                        <w:spacing w:val="-14"/>
                                        <w:kern w:val="0"/>
                                        <w:sz w:val="32"/>
                                        <w:szCs w:val="32"/>
                                      </w:rPr>
                                      <w:t>6.229</w:t>
                                    </w:r>
                                    <w:r>
                                      <w:rPr>
                                        <w:rFonts w:hint="eastAsia" w:ascii="仿宋_GB2312" w:eastAsia="仿宋_GB2312"/>
                                        <w:b/>
                                        <w:bCs/>
                                        <w:sz w:val="32"/>
                                        <w:szCs w:val="32"/>
                                      </w:rPr>
                                      <w:t>其他支出（类）：5.76万元</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eastAsia="仿宋_GB2312"/>
                                        <w:sz w:val="32"/>
                                        <w:szCs w:val="32"/>
                                      </w:rPr>
                                      <w:t>其他支出229（类）其他支出99（款）其他支出99（项）:日常人员</w:t>
                                    </w:r>
                                    <w:r>
                                      <w:rPr>
                                        <w:rFonts w:hint="eastAsia" w:ascii="仿宋_GB2312" w:hAnsi="宋体" w:eastAsia="仿宋_GB2312" w:cs="宋体"/>
                                        <w:spacing w:val="-14"/>
                                        <w:kern w:val="0"/>
                                        <w:sz w:val="32"/>
                                        <w:szCs w:val="32"/>
                                      </w:rPr>
                                      <w:t>经费5.76万元。</w:t>
                                    </w:r>
                                  </w:p>
                                  <w:p>
                                    <w:pPr>
                                      <w:widowControl/>
                                      <w:spacing w:line="480" w:lineRule="atLeast"/>
                                      <w:ind w:firstLine="60"/>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黑体" w:hAnsi="宋体" w:eastAsia="黑体" w:cs="宋体"/>
                                        <w:kern w:val="0"/>
                                        <w:sz w:val="32"/>
                                        <w:szCs w:val="32"/>
                                      </w:rPr>
                                      <w:t>六、一般公共预算基本支出情况说明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宋体" w:hAnsi="宋体" w:eastAsia="仿宋_GB2312" w:cs="宋体"/>
                                        <w:spacing w:val="-14"/>
                                        <w:kern w:val="0"/>
                                        <w:sz w:val="32"/>
                                        <w:szCs w:val="32"/>
                                      </w:rPr>
                                      <w:t>卡撒乡财政所</w:t>
                                    </w:r>
                                    <w:r>
                                      <w:rPr>
                                        <w:rFonts w:hint="eastAsia" w:ascii="仿宋_GB2312" w:hAnsi="宋体" w:eastAsia="仿宋_GB2312" w:cs="宋体"/>
                                        <w:kern w:val="0"/>
                                        <w:sz w:val="32"/>
                                        <w:szCs w:val="32"/>
                                      </w:rPr>
                                      <w:t>2021年一般公共预算基本支出665.43万元，其中：人员经费547.39万元，主要包括：基本工资、津贴补贴、奖金、社会保险缴费等支出。</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公用经费118.04万元，主要包括：办公费、水费、电费、邮电费、印刷费、差旅费、维修（护）费、劳务费等支出。</w:t>
                                    </w:r>
                                  </w:p>
                                  <w:p>
                                    <w:pPr>
                                      <w:spacing w:line="560" w:lineRule="exact"/>
                                      <w:ind w:firstLine="640" w:firstLineChars="200"/>
                                      <w:rPr>
                                        <w:rFonts w:ascii="方正小标宋简体" w:hAnsi="宋体" w:eastAsia="楷体_GB2312" w:cs="宋体"/>
                                        <w:spacing w:val="-14"/>
                                        <w:kern w:val="0"/>
                                        <w:sz w:val="32"/>
                                        <w:szCs w:val="32"/>
                                      </w:rPr>
                                    </w:pPr>
                                    <w:r>
                                      <w:rPr>
                                        <w:rFonts w:hint="eastAsia" w:ascii="黑体" w:hAnsi="宋体" w:eastAsia="黑体" w:cs="宋体"/>
                                        <w:kern w:val="0"/>
                                        <w:sz w:val="32"/>
                                        <w:szCs w:val="32"/>
                                      </w:rPr>
                                      <w:t>七、“三公”经费财政拨款预算安排情况说明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宋体" w:hAnsi="宋体" w:eastAsia="仿宋_GB2312" w:cs="宋体"/>
                                        <w:spacing w:val="-14"/>
                                        <w:kern w:val="0"/>
                                        <w:sz w:val="32"/>
                                        <w:szCs w:val="32"/>
                                      </w:rPr>
                                      <w:t>卡撒乡财政所</w:t>
                                    </w:r>
                                    <w:r>
                                      <w:rPr>
                                        <w:rFonts w:hint="eastAsia" w:ascii="仿宋_GB2312" w:hAnsi="宋体" w:eastAsia="仿宋_GB2312" w:cs="宋体"/>
                                        <w:kern w:val="0"/>
                                        <w:sz w:val="32"/>
                                        <w:szCs w:val="32"/>
                                      </w:rPr>
                                      <w:t>2021年“三公”经费财政拨款预算数9.4万元，其中：因公出国（境）经费0万元，公务接待费0.4万元，公务用车购置及运行维护费9万元。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（一）因公出国（境）经费与2020年预算持平。</w:t>
                                    </w:r>
                                    <w:r>
                                      <w:rPr>
                                        <w:rFonts w:hint="eastAsia" w:ascii="楷体_GB2312" w:hAnsi="宋体" w:eastAsia="楷体_GB2312" w:cs="宋体"/>
                                        <w:b/>
                                        <w:bCs/>
                                        <w:kern w:val="0"/>
                                        <w:sz w:val="32"/>
                                        <w:szCs w:val="32"/>
                                      </w:rPr>
                                      <w:br w:type="textWrapping"/>
                                    </w:r>
                                    <w:r>
                                      <w:rPr>
                                        <w:rFonts w:hint="eastAsia" w:ascii="仿宋_GB2312" w:hAnsi="宋体" w:eastAsia="仿宋_GB2312" w:cs="宋体"/>
                                        <w:kern w:val="0"/>
                                        <w:sz w:val="32"/>
                                        <w:szCs w:val="32"/>
                                      </w:rPr>
                                      <w:t>　　2020年与2021年均无因公出国（境）经费。</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（二）公务接待费较2020年预算增加。</w:t>
                                    </w:r>
                                    <w:r>
                                      <w:rPr>
                                        <w:rFonts w:hint="eastAsia" w:ascii="楷体_GB2312" w:hAnsi="宋体" w:eastAsia="楷体_GB2312" w:cs="宋体"/>
                                        <w:b/>
                                        <w:bCs/>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spacing w:val="-14"/>
                                        <w:kern w:val="0"/>
                                        <w:sz w:val="32"/>
                                        <w:szCs w:val="32"/>
                                      </w:rPr>
                                      <w:t>卡撒乡2021年预算安排0.4万元。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（三）公务用车购置及运行维护费比2020年预算增加万元。</w:t>
                                    </w:r>
                                  </w:p>
                                  <w:p>
                                    <w:pPr>
                                      <w:spacing w:line="560" w:lineRule="exact"/>
                                      <w:ind w:firstLine="584" w:firstLineChars="200"/>
                                      <w:rPr>
                                        <w:rFonts w:ascii="仿宋_GB2312" w:hAnsi="宋体" w:eastAsia="仿宋_GB2312" w:cs="宋体"/>
                                        <w:kern w:val="0"/>
                                        <w:sz w:val="32"/>
                                        <w:szCs w:val="32"/>
                                      </w:rPr>
                                    </w:pPr>
                                    <w:r>
                                      <w:rPr>
                                        <w:rFonts w:hint="eastAsia" w:ascii="楷体_GB2312" w:hAnsi="宋体" w:eastAsia="仿宋_GB2312" w:cs="宋体"/>
                                        <w:spacing w:val="-14"/>
                                        <w:kern w:val="0"/>
                                        <w:sz w:val="32"/>
                                        <w:szCs w:val="32"/>
                                      </w:rPr>
                                      <w:t>2021年预算安排9万元，与上年预算相比增加5.2元，单位共有公务用车2辆，主要用于公务用车燃油、维修、保险等方面支出。主要保障单位日常运转等工作。</w:t>
                                    </w:r>
                                  </w:p>
                                  <w:p>
                                    <w:pPr>
                                      <w:spacing w:line="560" w:lineRule="exact"/>
                                      <w:ind w:firstLine="640" w:firstLineChars="200"/>
                                      <w:rPr>
                                        <w:rFonts w:ascii="方正小标宋简体" w:hAnsi="宋体" w:eastAsia="仿宋_GB2312" w:cs="宋体"/>
                                        <w:spacing w:val="-14"/>
                                        <w:kern w:val="0"/>
                                        <w:sz w:val="32"/>
                                        <w:szCs w:val="32"/>
                                      </w:rPr>
                                    </w:pPr>
                                    <w:r>
                                      <w:rPr>
                                        <w:rFonts w:hint="eastAsia" w:ascii="黑体" w:hAnsi="宋体" w:eastAsia="黑体" w:cs="宋体"/>
                                        <w:bCs/>
                                        <w:kern w:val="0"/>
                                        <w:sz w:val="32"/>
                                        <w:szCs w:val="32"/>
                                      </w:rPr>
                                      <w:t>八、政府性基金预算支出情况说明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宋体" w:hAnsi="宋体" w:eastAsia="仿宋_GB2312" w:cs="宋体"/>
                                        <w:spacing w:val="-14"/>
                                        <w:kern w:val="0"/>
                                        <w:sz w:val="32"/>
                                        <w:szCs w:val="32"/>
                                      </w:rPr>
                                      <w:t>卡撒乡财政所</w:t>
                                    </w:r>
                                    <w:r>
                                      <w:rPr>
                                        <w:rFonts w:hint="eastAsia" w:ascii="仿宋_GB2312" w:hAnsi="宋体" w:eastAsia="仿宋_GB2312" w:cs="宋体"/>
                                        <w:kern w:val="0"/>
                                        <w:sz w:val="32"/>
                                        <w:szCs w:val="32"/>
                                      </w:rPr>
                                      <w:t>2021年没有使用政府性基金预算拨款安排的支出。</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宋体" w:eastAsia="黑体" w:cs="宋体"/>
                                        <w:kern w:val="0"/>
                                        <w:sz w:val="32"/>
                                        <w:szCs w:val="32"/>
                                      </w:rPr>
                                      <w:t>九、国有资本经营预算支出情况说明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宋体" w:hAnsi="宋体" w:eastAsia="仿宋_GB2312" w:cs="宋体"/>
                                        <w:spacing w:val="-14"/>
                                        <w:kern w:val="0"/>
                                        <w:sz w:val="32"/>
                                        <w:szCs w:val="32"/>
                                      </w:rPr>
                                      <w:t>卡撒乡财政所</w:t>
                                    </w:r>
                                    <w:r>
                                      <w:rPr>
                                        <w:rFonts w:hint="eastAsia" w:ascii="仿宋_GB2312" w:hAnsi="宋体" w:eastAsia="仿宋_GB2312" w:cs="宋体"/>
                                        <w:kern w:val="0"/>
                                        <w:sz w:val="32"/>
                                        <w:szCs w:val="32"/>
                                      </w:rPr>
                                      <w:t>2021年没有使用国有资本经营预算拨款安排的支出。</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宋体" w:eastAsia="黑体" w:cs="宋体"/>
                                        <w:kern w:val="0"/>
                                        <w:sz w:val="32"/>
                                        <w:szCs w:val="32"/>
                                      </w:rPr>
                                      <w:t>十、其他重要事项的情况说明</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（一）机关运行经费。</w:t>
                                    </w:r>
                                    <w:r>
                                      <w:rPr>
                                        <w:rFonts w:hint="eastAsia" w:ascii="楷体_GB2312" w:hAnsi="宋体" w:eastAsia="楷体_GB2312" w:cs="宋体"/>
                                        <w:b/>
                                        <w:bCs/>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spacing w:val="-14"/>
                                        <w:kern w:val="0"/>
                                        <w:sz w:val="32"/>
                                        <w:szCs w:val="32"/>
                                      </w:rPr>
                                      <w:t>2021年度，卡撒乡机关运行经费支出41.04万元。</w:t>
                                    </w:r>
                                  </w:p>
                                  <w:p>
                                    <w:pPr>
                                      <w:spacing w:line="560" w:lineRule="exact"/>
                                      <w:ind w:firstLine="643" w:firstLineChars="200"/>
                                      <w:rPr>
                                        <w:rFonts w:ascii="方正小标宋简体" w:hAnsi="宋体" w:eastAsia="仿宋_GB2312" w:cs="宋体"/>
                                        <w:spacing w:val="-14"/>
                                        <w:kern w:val="0"/>
                                        <w:sz w:val="32"/>
                                        <w:szCs w:val="32"/>
                                      </w:rPr>
                                    </w:pPr>
                                    <w:r>
                                      <w:rPr>
                                        <w:rFonts w:hint="eastAsia" w:ascii="楷体_GB2312" w:hAnsi="宋体" w:eastAsia="楷体_GB2312" w:cs="宋体"/>
                                        <w:b/>
                                        <w:bCs/>
                                        <w:kern w:val="0"/>
                                        <w:sz w:val="32"/>
                                        <w:szCs w:val="32"/>
                                      </w:rPr>
                                      <w:t>（二）政府采购情况。</w:t>
                                    </w:r>
                                    <w:r>
                                      <w:rPr>
                                        <w:rFonts w:hint="eastAsia" w:ascii="楷体_GB2312" w:hAnsi="宋体" w:eastAsia="楷体_GB2312" w:cs="宋体"/>
                                        <w:b/>
                                        <w:bCs/>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spacing w:val="-14"/>
                                        <w:kern w:val="0"/>
                                        <w:sz w:val="32"/>
                                        <w:szCs w:val="32"/>
                                      </w:rPr>
                                      <w:t>2021年度，卡撒乡政府采购支出总额0万元</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楷体_GB2312" w:cs="宋体"/>
                                        <w:b/>
                                        <w:bCs/>
                                        <w:kern w:val="0"/>
                                        <w:sz w:val="32"/>
                                        <w:szCs w:val="32"/>
                                      </w:rPr>
                                      <w:t>（三）国有资产占有使用情况。</w:t>
                                    </w:r>
                                    <w:r>
                                      <w:rPr>
                                        <w:rFonts w:hint="eastAsia" w:ascii="楷体_GB2312" w:hAnsi="宋体" w:eastAsia="楷体_GB2312" w:cs="宋体"/>
                                        <w:b/>
                                        <w:bCs/>
                                        <w:kern w:val="0"/>
                                        <w:sz w:val="32"/>
                                        <w:szCs w:val="32"/>
                                      </w:rPr>
                                      <w:br w:type="textWrapping"/>
                                    </w:r>
                                    <w:r>
                                      <w:rPr>
                                        <w:rFonts w:hint="eastAsia" w:ascii="仿宋_GB2312" w:hAnsi="宋体" w:eastAsia="仿宋_GB2312" w:cs="宋体"/>
                                        <w:kern w:val="0"/>
                                        <w:sz w:val="32"/>
                                        <w:szCs w:val="32"/>
                                      </w:rPr>
                                      <w:t>　　</w:t>
                                    </w:r>
                                    <w:r>
                                      <w:rPr>
                                        <w:rFonts w:hint="eastAsia" w:ascii="楷体_GB2312" w:hAnsi="宋体" w:eastAsia="仿宋_GB2312" w:cs="宋体"/>
                                        <w:spacing w:val="-14"/>
                                        <w:kern w:val="0"/>
                                        <w:sz w:val="32"/>
                                        <w:szCs w:val="32"/>
                                      </w:rPr>
                                      <w:t>截至2021年，卡撒乡共有公务用车2辆，其中：一般公务用车2辆；无单价50万元以上通用设备及单价100万元以上专用设备。</w:t>
                                    </w:r>
                                  </w:p>
                                  <w:p>
                                    <w:pPr>
                                      <w:spacing w:line="560" w:lineRule="exact"/>
                                      <w:ind w:firstLine="640" w:firstLineChars="200"/>
                                      <w:rPr>
                                        <w:rFonts w:ascii="方正小标宋简体" w:hAnsi="宋体" w:eastAsia="仿宋_GB2312" w:cs="宋体"/>
                                        <w:spacing w:val="-14"/>
                                        <w:kern w:val="0"/>
                                        <w:sz w:val="32"/>
                                        <w:szCs w:val="32"/>
                                      </w:rPr>
                                    </w:pPr>
                                    <w:r>
                                      <w:rPr>
                                        <w:rFonts w:hint="eastAsia" w:ascii="黑体" w:hAnsi="宋体" w:eastAsia="黑体" w:cs="宋体"/>
                                        <w:kern w:val="0"/>
                                        <w:sz w:val="32"/>
                                        <w:szCs w:val="32"/>
                                      </w:rPr>
                                      <w:t>十一、名词解释</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spacing w:val="-14"/>
                                        <w:kern w:val="0"/>
                                        <w:sz w:val="32"/>
                                        <w:szCs w:val="32"/>
                                      </w:rPr>
                                      <w:t>1.财政拨款收入：指县级财政当年拨付的资金。</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2.事业收入：指事业单位开展专业业务活动及辅助活动所取得的收入。</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3.经营收入：指事业单位在专业业务活动及其辅助活动之外开展非独立核算经营活动取得的收入。</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4.其他收入：指除上述“财政拨款收入”、“事业收入”、“经营收入”等以外的收入。</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6.年初结转和结余：指以前年度尚未完成、结转到本年按有关规定继续使用的资金。</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7.一般公共服务201：指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以及公用经费，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8.医疗卫生与计划生育2100501:指职工的医疗保险。</w:t>
                                    </w:r>
                                  </w:p>
                                  <w:p>
                                    <w:pPr>
                                      <w:spacing w:line="560" w:lineRule="exact"/>
                                      <w:ind w:firstLine="584" w:firstLineChars="200"/>
                                      <w:rPr>
                                        <w:rFonts w:ascii="仿宋_GB2312" w:hAnsi="宋体" w:eastAsia="仿宋_GB2312" w:cs="宋体"/>
                                        <w:spacing w:val="-14"/>
                                        <w:kern w:val="0"/>
                                        <w:sz w:val="32"/>
                                        <w:szCs w:val="32"/>
                                      </w:rPr>
                                    </w:pPr>
                                    <w:r>
                                      <w:rPr>
                                        <w:rFonts w:hint="eastAsia" w:ascii="仿宋_GB2312" w:hAnsi="宋体" w:eastAsia="仿宋_GB2312" w:cs="宋体"/>
                                        <w:spacing w:val="-14"/>
                                        <w:kern w:val="0"/>
                                        <w:sz w:val="32"/>
                                        <w:szCs w:val="32"/>
                                      </w:rPr>
                                      <w:t>9.住房保障支出2210201：指职工的住房公积金。</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10、其他支出2299999：指退休干部春节慰问金、三老干部生活补助。</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11.结余分配：指事业单位按规定提取的职工福利基金、事业基金和缴纳的所得税，以及建设单位按规定应交回的基本建设竣工项目结余资金。</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12.年末结转和结余：指本年度或以前年度预算安排、因客观条件发生变化无法按原计划实施，需延迟到以后年度按有关规定继续使用的资金。</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13.基本支出：指为保障机构正常运转、完成日常工作任务而发生的人员支出和公用支出。</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14.项目支出：指在基本支出之外为完成特定行政任务和事业发展目标所发生的支出。</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15.经营支出：指事业单位在专业业务活动及其辅助活动之外开展非独立核算经营活动发生的支出。</w:t>
                                    </w:r>
                                  </w:p>
                                  <w:p>
                                    <w:pPr>
                                      <w:spacing w:line="560" w:lineRule="exact"/>
                                      <w:ind w:firstLine="584" w:firstLineChars="200"/>
                                      <w:rPr>
                                        <w:rFonts w:ascii="方正小标宋简体" w:hAnsi="宋体" w:eastAsia="仿宋_GB2312" w:cs="宋体"/>
                                        <w:spacing w:val="-14"/>
                                        <w:kern w:val="0"/>
                                        <w:sz w:val="32"/>
                                        <w:szCs w:val="32"/>
                                      </w:rPr>
                                    </w:pPr>
                                    <w:r>
                                      <w:rPr>
                                        <w:rFonts w:hint="eastAsia" w:ascii="仿宋_GB2312" w:hAnsi="宋体" w:eastAsia="仿宋_GB2312" w:cs="宋体"/>
                                        <w:spacing w:val="-14"/>
                                        <w:kern w:val="0"/>
                                        <w:sz w:val="32"/>
                                        <w:szCs w:val="32"/>
                                      </w:rPr>
                                      <w:t>16.“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584" w:firstLineChars="200"/>
                                      <w:rPr>
                                        <w:sz w:val="32"/>
                                        <w:szCs w:val="32"/>
                                      </w:rPr>
                                    </w:pPr>
                                    <w:r>
                                      <w:rPr>
                                        <w:rFonts w:hint="eastAsia" w:ascii="仿宋_GB2312" w:hAnsi="宋体" w:eastAsia="仿宋_GB2312" w:cs="宋体"/>
                                        <w:spacing w:val="-14"/>
                                        <w:kern w:val="0"/>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sz w:val="32"/>
                                        <w:szCs w:val="32"/>
                                      </w:rPr>
                                      <w:t xml:space="preserve">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p>
                                </w:tc>
                              </w:tr>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spacing w:line="560" w:lineRule="exact"/>
                                      <w:rPr>
                                        <w:rFonts w:ascii="仿宋_GB2312" w:hAnsi="宋体" w:eastAsia="仿宋_GB2312" w:cs="宋体"/>
                                        <w:kern w:val="0"/>
                                        <w:sz w:val="32"/>
                                        <w:szCs w:val="32"/>
                                      </w:rPr>
                                    </w:pPr>
                                  </w:p>
                                </w:tc>
                              </w:tr>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spacing w:line="560" w:lineRule="exact"/>
                                      <w:rPr>
                                        <w:rFonts w:ascii="仿宋_GB2312" w:hAnsi="宋体" w:eastAsia="仿宋_GB2312" w:cs="宋体"/>
                                        <w:kern w:val="0"/>
                                        <w:sz w:val="32"/>
                                        <w:szCs w:val="32"/>
                                      </w:rPr>
                                    </w:pPr>
                                  </w:p>
                                </w:tc>
                              </w:tr>
                            </w:tbl>
                            <w:p>
                              <w:pPr>
                                <w:widowControl/>
                                <w:spacing w:after="240"/>
                                <w:jc w:val="center"/>
                                <w:rPr>
                                  <w:rFonts w:ascii="宋体" w:hAnsi="宋体" w:eastAsia="宋体" w:cs="宋体"/>
                                  <w:kern w:val="0"/>
                                  <w:sz w:val="32"/>
                                  <w:szCs w:val="32"/>
                                </w:rPr>
                              </w:pPr>
                            </w:p>
                          </w:tc>
                        </w:tr>
                        <w:tr>
                          <w:tblPrEx>
                            <w:tblCellMar>
                              <w:top w:w="0" w:type="dxa"/>
                              <w:left w:w="0" w:type="dxa"/>
                              <w:bottom w:w="0" w:type="dxa"/>
                              <w:right w:w="0" w:type="dxa"/>
                            </w:tblCellMar>
                          </w:tblPrEx>
                          <w:trPr>
                            <w:tblCellSpacing w:w="0" w:type="dxa"/>
                          </w:trPr>
                          <w:tc>
                            <w:tcPr>
                              <w:tcW w:w="10590" w:type="dxa"/>
                              <w:shd w:val="clear" w:color="auto" w:fill="FFFFFF"/>
                            </w:tcPr>
                            <w:tbl>
                              <w:tblPr>
                                <w:tblStyle w:val="4"/>
                                <w:tblW w:w="8685" w:type="dxa"/>
                                <w:jc w:val="center"/>
                                <w:tblCellSpacing w:w="0" w:type="dxa"/>
                                <w:tblLayout w:type="fixed"/>
                                <w:tblCellMar>
                                  <w:top w:w="0" w:type="dxa"/>
                                  <w:left w:w="0" w:type="dxa"/>
                                  <w:bottom w:w="0" w:type="dxa"/>
                                  <w:right w:w="0" w:type="dxa"/>
                                </w:tblCellMar>
                              </w:tblPr>
                              <w:tblGrid>
                                <w:gridCol w:w="1200"/>
                                <w:gridCol w:w="7485"/>
                              </w:tblGrid>
                              <w:tr>
                                <w:tblPrEx>
                                  <w:tblCellMar>
                                    <w:top w:w="0" w:type="dxa"/>
                                    <w:left w:w="0" w:type="dxa"/>
                                    <w:bottom w:w="0" w:type="dxa"/>
                                    <w:right w:w="0" w:type="dxa"/>
                                  </w:tblCellMar>
                                </w:tblPrEx>
                                <w:trPr>
                                  <w:tblCellSpacing w:w="0" w:type="dxa"/>
                                  <w:jc w:val="center"/>
                                </w:trPr>
                                <w:tc>
                                  <w:tcPr>
                                    <w:tcW w:w="1200" w:type="dxa"/>
                                  </w:tcPr>
                                  <w:p>
                                    <w:pPr>
                                      <w:widowControl/>
                                      <w:spacing w:line="390" w:lineRule="atLeast"/>
                                      <w:ind w:firstLine="60"/>
                                      <w:jc w:val="right"/>
                                      <w:rPr>
                                        <w:rFonts w:ascii="宋体" w:hAnsi="宋体" w:eastAsia="宋体" w:cs="宋体"/>
                                        <w:kern w:val="0"/>
                                        <w:sz w:val="32"/>
                                        <w:szCs w:val="32"/>
                                      </w:rPr>
                                    </w:pPr>
                                    <w:r>
                                      <w:rPr>
                                        <w:rFonts w:hint="eastAsia" w:ascii="宋体" w:hAnsi="宋体" w:eastAsia="宋体" w:cs="宋体"/>
                                        <w:kern w:val="0"/>
                                        <w:sz w:val="32"/>
                                        <w:szCs w:val="32"/>
                                      </w:rPr>
                                      <w:t>相关附件：</w:t>
                                    </w:r>
                                  </w:p>
                                </w:tc>
                                <w:tc>
                                  <w:tcPr>
                                    <w:tcW w:w="7485" w:type="dxa"/>
                                    <w:vAlign w:val="center"/>
                                  </w:tcPr>
                                  <w:p>
                                    <w:pPr>
                                      <w:widowControl/>
                                      <w:spacing w:line="390" w:lineRule="atLeast"/>
                                      <w:ind w:firstLine="60"/>
                                      <w:jc w:val="left"/>
                                      <w:rPr>
                                        <w:rFonts w:ascii="宋体" w:hAnsi="宋体" w:eastAsia="宋体" w:cs="宋体"/>
                                        <w:kern w:val="0"/>
                                        <w:sz w:val="32"/>
                                        <w:szCs w:val="32"/>
                                      </w:rPr>
                                    </w:pPr>
                                    <w:r>
                                      <w:fldChar w:fldCharType="begin"/>
                                    </w:r>
                                    <w:r>
                                      <w:instrText xml:space="preserve"> HYPERLINK "卡撒预算公开表.xls" </w:instrText>
                                    </w:r>
                                    <w:r>
                                      <w:fldChar w:fldCharType="separate"/>
                                    </w:r>
                                    <w:r>
                                      <w:rPr>
                                        <w:rStyle w:val="6"/>
                                        <w:rFonts w:ascii="宋体" w:hAnsi="宋体" w:eastAsia="宋体" w:cs="宋体"/>
                                        <w:kern w:val="0"/>
                                        <w:sz w:val="32"/>
                                        <w:szCs w:val="32"/>
                                      </w:rPr>
                                      <w:t>卡撒预算公开表.xls</w:t>
                                    </w:r>
                                    <w:r>
                                      <w:rPr>
                                        <w:rStyle w:val="6"/>
                                        <w:rFonts w:ascii="宋体" w:hAnsi="宋体" w:eastAsia="宋体" w:cs="宋体"/>
                                        <w:kern w:val="0"/>
                                        <w:sz w:val="32"/>
                                        <w:szCs w:val="32"/>
                                      </w:rPr>
                                      <w:fldChar w:fldCharType="end"/>
                                    </w:r>
                                  </w:p>
                                </w:tc>
                              </w:tr>
                            </w:tbl>
                            <w:p>
                              <w:pPr>
                                <w:widowControl/>
                                <w:spacing w:after="240"/>
                                <w:jc w:val="center"/>
                                <w:rPr>
                                  <w:rFonts w:ascii="宋体" w:hAnsi="宋体" w:eastAsia="宋体" w:cs="宋体"/>
                                  <w:kern w:val="0"/>
                                  <w:sz w:val="32"/>
                                  <w:szCs w:val="32"/>
                                </w:rPr>
                              </w:pPr>
                            </w:p>
                          </w:tc>
                        </w:tr>
                      </w:tbl>
                      <w:p>
                        <w:pPr>
                          <w:widowControl/>
                          <w:jc w:val="left"/>
                          <w:rPr>
                            <w:rFonts w:ascii="宋体" w:hAnsi="宋体" w:eastAsia="宋体" w:cs="宋体"/>
                            <w:kern w:val="0"/>
                            <w:sz w:val="32"/>
                            <w:szCs w:val="32"/>
                          </w:rPr>
                        </w:pPr>
                      </w:p>
                    </w:tc>
                    <w:tc>
                      <w:tcPr>
                        <w:tcW w:w="1350" w:type="dxa"/>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 </w:t>
                        </w:r>
                      </w:p>
                    </w:tc>
                  </w:tr>
                  <w:tr>
                    <w:tblPrEx>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tbl>
                        <w:tblPr>
                          <w:tblStyle w:val="4"/>
                          <w:tblW w:w="10050" w:type="dxa"/>
                          <w:jc w:val="right"/>
                          <w:tblCellSpacing w:w="0" w:type="dxa"/>
                          <w:tblLayout w:type="fixed"/>
                          <w:tblCellMar>
                            <w:top w:w="0" w:type="dxa"/>
                            <w:left w:w="0" w:type="dxa"/>
                            <w:bottom w:w="0" w:type="dxa"/>
                            <w:right w:w="0" w:type="dxa"/>
                          </w:tblCellMar>
                        </w:tblPr>
                        <w:tblGrid>
                          <w:gridCol w:w="10050"/>
                        </w:tblGrid>
                        <w:tr>
                          <w:tblPrEx>
                            <w:tblCellMar>
                              <w:top w:w="0" w:type="dxa"/>
                              <w:left w:w="0" w:type="dxa"/>
                              <w:bottom w:w="0" w:type="dxa"/>
                              <w:right w:w="0" w:type="dxa"/>
                            </w:tblCellMar>
                          </w:tblPrEx>
                          <w:trPr>
                            <w:tblCellSpacing w:w="0" w:type="dxa"/>
                            <w:jc w:val="right"/>
                          </w:trPr>
                          <w:tc>
                            <w:tcPr>
                              <w:tcW w:w="10050" w:type="dxa"/>
                              <w:vAlign w:val="center"/>
                            </w:tcPr>
                            <w:p>
                              <w:pPr>
                                <w:widowControl/>
                                <w:jc w:val="right"/>
                                <w:rPr>
                                  <w:rFonts w:ascii="宋体" w:hAnsi="宋体" w:eastAsia="宋体" w:cs="宋体"/>
                                  <w:kern w:val="0"/>
                                  <w:sz w:val="32"/>
                                  <w:szCs w:val="32"/>
                                </w:rPr>
                              </w:pPr>
                              <w:r>
                                <w:rPr>
                                  <w:rFonts w:ascii="宋体" w:hAnsi="宋体" w:eastAsia="宋体" w:cs="宋体"/>
                                  <w:kern w:val="0"/>
                                  <w:sz w:val="32"/>
                                  <w:szCs w:val="32"/>
                                </w:rPr>
                                <w:t xml:space="preserve">【关闭窗口】 </w:t>
                              </w:r>
                            </w:p>
                          </w:tc>
                        </w:tr>
                      </w:tbl>
                      <w:p>
                        <w:pPr>
                          <w:widowControl/>
                          <w:jc w:val="right"/>
                          <w:rPr>
                            <w:rFonts w:ascii="宋体" w:hAnsi="宋体" w:eastAsia="宋体" w:cs="宋体"/>
                            <w:kern w:val="0"/>
                            <w:sz w:val="32"/>
                            <w:szCs w:val="32"/>
                          </w:rPr>
                        </w:pPr>
                      </w:p>
                    </w:tc>
                  </w:tr>
                </w:tbl>
                <w:p>
                  <w:pPr>
                    <w:widowControl/>
                    <w:jc w:val="left"/>
                    <w:rPr>
                      <w:rFonts w:ascii="宋体" w:hAnsi="宋体" w:eastAsia="宋体" w:cs="宋体"/>
                      <w:kern w:val="0"/>
                      <w:sz w:val="32"/>
                      <w:szCs w:val="32"/>
                    </w:rPr>
                  </w:pPr>
                </w:p>
              </w:tc>
            </w:tr>
          </w:tbl>
          <w:p>
            <w:pPr>
              <w:widowControl/>
              <w:jc w:val="left"/>
              <w:rPr>
                <w:rFonts w:ascii="宋体" w:hAnsi="宋体" w:eastAsia="宋体" w:cs="宋体"/>
                <w:kern w:val="0"/>
                <w:sz w:val="32"/>
                <w:szCs w:val="32"/>
              </w:rPr>
            </w:pPr>
          </w:p>
        </w:tc>
      </w:tr>
      <w:tr>
        <w:tblPrEx>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hAnsi="宋体" w:eastAsia="宋体" w:cs="宋体"/>
                <w:kern w:val="0"/>
                <w:sz w:val="32"/>
                <w:szCs w:val="32"/>
              </w:rPr>
            </w:pPr>
          </w:p>
        </w:tc>
      </w:tr>
    </w:tbl>
    <w:p>
      <w:pPr>
        <w:rPr>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A8CCC"/>
    <w:multiLevelType w:val="singleLevel"/>
    <w:tmpl w:val="59FA8C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00D2"/>
    <w:rsid w:val="0018603C"/>
    <w:rsid w:val="001D7E24"/>
    <w:rsid w:val="002000D2"/>
    <w:rsid w:val="0023187A"/>
    <w:rsid w:val="00381F1D"/>
    <w:rsid w:val="0042759F"/>
    <w:rsid w:val="00483203"/>
    <w:rsid w:val="0075225E"/>
    <w:rsid w:val="00A57CB1"/>
    <w:rsid w:val="00BD3CF7"/>
    <w:rsid w:val="00C35045"/>
    <w:rsid w:val="00E03521"/>
    <w:rsid w:val="00ED1EE6"/>
    <w:rsid w:val="063B1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673</Words>
  <Characters>3838</Characters>
  <Lines>31</Lines>
  <Paragraphs>9</Paragraphs>
  <TotalTime>65</TotalTime>
  <ScaleCrop>false</ScaleCrop>
  <LinksUpToDate>false</LinksUpToDate>
  <CharactersWithSpaces>4502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2020-12-21T08:10:00Z</dcterms:created>
  <dc:creator>xzjd</dc:creator>
  <cp:lastModifiedBy>不改</cp:lastModifiedBy>
  <dcterms:modified xsi:type="dcterms:W3CDTF">2021-04-15T08:58:00Z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B9F8999CA17C4F26B05DCA6DAE93815D</vt:lpwstr>
  </property>
</Properties>
</file>