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2000" w:type="dxa"/>
        <w:jc w:val="center"/>
        <w:tblCellSpacing w:w="0" w:type="dxa"/>
        <w:tblLayout w:type="autofit"/>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jc w:val="center"/>
        </w:trPr>
        <w:tc>
          <w:tcPr>
            <w:tcW w:w="0" w:type="auto"/>
            <w:shd w:val="clear" w:color="auto" w:fill="FFFFFF"/>
          </w:tcPr>
          <w:tbl>
            <w:tblPr>
              <w:tblStyle w:val="5"/>
              <w:tblW w:w="5000" w:type="pct"/>
              <w:tblCellSpacing w:w="0" w:type="dxa"/>
              <w:tblInd w:w="0" w:type="dxa"/>
              <w:tblLayout w:type="autofit"/>
              <w:tblCellMar>
                <w:top w:w="0" w:type="dxa"/>
                <w:left w:w="0" w:type="dxa"/>
                <w:bottom w:w="0" w:type="dxa"/>
                <w:right w:w="0" w:type="dxa"/>
              </w:tblCellMar>
            </w:tblPr>
            <w:tblGrid>
              <w:gridCol w:w="12000"/>
            </w:tblGrid>
            <w:tr>
              <w:tblPrEx>
                <w:tblCellMar>
                  <w:top w:w="0" w:type="dxa"/>
                  <w:left w:w="0" w:type="dxa"/>
                  <w:bottom w:w="0" w:type="dxa"/>
                  <w:right w:w="0" w:type="dxa"/>
                </w:tblCellMar>
              </w:tblPrEx>
              <w:trPr>
                <w:tblCellSpacing w:w="0" w:type="dxa"/>
              </w:trPr>
              <w:tc>
                <w:tcPr>
                  <w:tcW w:w="0" w:type="auto"/>
                </w:tcPr>
                <w:tbl>
                  <w:tblPr>
                    <w:tblStyle w:val="5"/>
                    <w:tblW w:w="5000" w:type="pct"/>
                    <w:tblCellSpacing w:w="0" w:type="dxa"/>
                    <w:tblInd w:w="0" w:type="dxa"/>
                    <w:tblLayout w:type="autofit"/>
                    <w:tblCellMar>
                      <w:top w:w="0" w:type="dxa"/>
                      <w:left w:w="0" w:type="dxa"/>
                      <w:bottom w:w="0" w:type="dxa"/>
                      <w:right w:w="0" w:type="dxa"/>
                    </w:tblCellMar>
                  </w:tblPr>
                  <w:tblGrid>
                    <w:gridCol w:w="10650"/>
                    <w:gridCol w:w="1350"/>
                  </w:tblGrid>
                  <w:tr>
                    <w:tblPrEx>
                      <w:tblCellMar>
                        <w:top w:w="0" w:type="dxa"/>
                        <w:left w:w="0" w:type="dxa"/>
                        <w:bottom w:w="0" w:type="dxa"/>
                        <w:right w:w="0" w:type="dxa"/>
                      </w:tblCellMar>
                    </w:tblPrEx>
                    <w:trPr>
                      <w:tblCellSpacing w:w="0" w:type="dxa"/>
                    </w:trPr>
                    <w:tc>
                      <w:tcPr>
                        <w:tcW w:w="0" w:type="auto"/>
                        <w:tcMar>
                          <w:top w:w="0" w:type="dxa"/>
                          <w:left w:w="30" w:type="dxa"/>
                          <w:bottom w:w="30" w:type="dxa"/>
                          <w:right w:w="30" w:type="dxa"/>
                        </w:tcMar>
                      </w:tcPr>
                      <w:tbl>
                        <w:tblPr>
                          <w:tblStyle w:val="5"/>
                          <w:tblW w:w="5000" w:type="pct"/>
                          <w:tblCellSpacing w:w="0" w:type="dxa"/>
                          <w:tblInd w:w="0" w:type="dxa"/>
                          <w:shd w:val="clear" w:color="auto" w:fill="FFFFFF"/>
                          <w:tblLayout w:type="autofit"/>
                          <w:tblCellMar>
                            <w:top w:w="0" w:type="dxa"/>
                            <w:left w:w="0" w:type="dxa"/>
                            <w:bottom w:w="0" w:type="dxa"/>
                            <w:right w:w="0" w:type="dxa"/>
                          </w:tblCellMar>
                        </w:tblPr>
                        <w:tblGrid>
                          <w:gridCol w:w="10590"/>
                        </w:tblGrid>
                        <w:tr>
                          <w:tblPrEx>
                            <w:tblCellMar>
                              <w:top w:w="0" w:type="dxa"/>
                              <w:left w:w="0" w:type="dxa"/>
                              <w:bottom w:w="0" w:type="dxa"/>
                              <w:right w:w="0" w:type="dxa"/>
                            </w:tblCellMar>
                          </w:tblPrEx>
                          <w:trPr>
                            <w:tblCellSpacing w:w="0" w:type="dxa"/>
                          </w:trPr>
                          <w:tc>
                            <w:tcPr>
                              <w:tcW w:w="0" w:type="auto"/>
                              <w:shd w:val="clear" w:color="auto" w:fill="FFFFFF"/>
                            </w:tcPr>
                            <w:tbl>
                              <w:tblPr>
                                <w:tblStyle w:val="5"/>
                                <w:tblW w:w="8775" w:type="dxa"/>
                                <w:jc w:val="center"/>
                                <w:tblCellSpacing w:w="0" w:type="dxa"/>
                                <w:tblLayout w:type="autofit"/>
                                <w:tblCellMar>
                                  <w:top w:w="0" w:type="dxa"/>
                                  <w:left w:w="0" w:type="dxa"/>
                                  <w:bottom w:w="0" w:type="dxa"/>
                                  <w:right w:w="0" w:type="dxa"/>
                                </w:tblCellMar>
                              </w:tblPr>
                              <w:tblGrid>
                                <w:gridCol w:w="8775"/>
                              </w:tblGrid>
                              <w:tr>
                                <w:trPr>
                                  <w:tblCellSpacing w:w="0" w:type="dxa"/>
                                  <w:jc w:val="center"/>
                                </w:trPr>
                                <w:tc>
                                  <w:tcPr>
                                    <w:tcW w:w="8685" w:type="dxa"/>
                                    <w:tcMar>
                                      <w:top w:w="150" w:type="dxa"/>
                                      <w:left w:w="75" w:type="dxa"/>
                                      <w:bottom w:w="0" w:type="dxa"/>
                                      <w:right w:w="0" w:type="dxa"/>
                                    </w:tcMar>
                                  </w:tcPr>
                                  <w:p>
                                    <w:pPr>
                                      <w:widowControl/>
                                      <w:spacing w:line="480" w:lineRule="atLeast"/>
                                      <w:ind w:firstLine="60"/>
                                      <w:jc w:val="center"/>
                                      <w:rPr>
                                        <w:rFonts w:ascii="黑体" w:hAnsi="宋体" w:eastAsia="黑体" w:cs="宋体"/>
                                        <w:color w:val="333333"/>
                                        <w:kern w:val="0"/>
                                        <w:sz w:val="28"/>
                                        <w:szCs w:val="28"/>
                                      </w:rPr>
                                    </w:pPr>
                                    <w:bookmarkStart w:id="0" w:name="_GoBack"/>
                                    <w:r>
                                      <w:rPr>
                                        <w:rFonts w:hint="eastAsia" w:ascii="方正小标宋简体" w:hAnsi="宋体" w:eastAsia="方正小标宋简体" w:cs="宋体"/>
                                        <w:color w:val="0066CC"/>
                                        <w:kern w:val="0"/>
                                        <w:sz w:val="36"/>
                                        <w:szCs w:val="36"/>
                                      </w:rPr>
                                      <w:t>金川县人民医院2020年部门预算编制说明</w:t>
                                    </w:r>
                                    <w:r>
                                      <w:rPr>
                                        <w:rFonts w:hint="eastAsia" w:ascii="方正小标宋简体" w:hAnsi="宋体" w:eastAsia="方正小标宋简体" w:cs="宋体"/>
                                        <w:color w:val="0066CC"/>
                                        <w:kern w:val="0"/>
                                        <w:sz w:val="36"/>
                                        <w:szCs w:val="36"/>
                                      </w:rPr>
                                      <w:br w:type="textWrapping"/>
                                    </w:r>
                                    <w:bookmarkEnd w:id="0"/>
                                    <w:r>
                                      <w:rPr>
                                        <w:rFonts w:hint="eastAsia" w:ascii="黑体" w:hAnsi="宋体" w:eastAsia="黑体" w:cs="宋体"/>
                                        <w:color w:val="333333"/>
                                        <w:kern w:val="0"/>
                                        <w:sz w:val="28"/>
                                        <w:szCs w:val="28"/>
                                      </w:rPr>
                                      <w:t>　　</w:t>
                                    </w:r>
                                  </w:p>
                                  <w:p>
                                    <w:pPr>
                                      <w:spacing w:line="560" w:lineRule="exact"/>
                                      <w:rPr>
                                        <w:rFonts w:ascii="仿宋_GB2312" w:hAnsi="宋体" w:eastAsia="仿宋_GB2312" w:cs="宋体"/>
                                        <w:color w:val="333333"/>
                                        <w:kern w:val="0"/>
                                        <w:sz w:val="28"/>
                                        <w:szCs w:val="28"/>
                                      </w:rPr>
                                    </w:pPr>
                                    <w:r>
                                      <w:rPr>
                                        <w:rFonts w:hint="eastAsia" w:ascii="黑体" w:hAnsi="宋体" w:eastAsia="黑体" w:cs="宋体"/>
                                        <w:color w:val="333333"/>
                                        <w:kern w:val="0"/>
                                        <w:sz w:val="28"/>
                                        <w:szCs w:val="28"/>
                                      </w:rPr>
                                      <w:t>　一、基本职能及主要工作</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color w:val="333333"/>
                                        <w:kern w:val="0"/>
                                        <w:sz w:val="28"/>
                                        <w:szCs w:val="28"/>
                                      </w:rPr>
                                      <w:t>（一）职能简介</w:t>
                                    </w:r>
                                    <w:r>
                                      <w:rPr>
                                        <w:rFonts w:hint="eastAsia" w:ascii="仿宋_GB2312" w:hAnsi="宋体" w:eastAsia="仿宋_GB2312" w:cs="宋体"/>
                                        <w:color w:val="333333"/>
                                        <w:kern w:val="0"/>
                                        <w:sz w:val="28"/>
                                        <w:szCs w:val="28"/>
                                      </w:rPr>
                                      <w:t>。</w:t>
                                    </w:r>
                                  </w:p>
                                  <w:p>
                                    <w:pPr>
                                      <w:widowControl/>
                                      <w:adjustRightInd w:val="0"/>
                                      <w:snapToGrid w:val="0"/>
                                      <w:spacing w:line="480" w:lineRule="exact"/>
                                      <w:ind w:left="72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1、承担本县居民的预防、医疗和保健任务。</w:t>
                                    </w:r>
                                  </w:p>
                                  <w:p>
                                    <w:pPr>
                                      <w:widowControl/>
                                      <w:adjustRightInd w:val="0"/>
                                      <w:snapToGrid w:val="0"/>
                                      <w:spacing w:line="480" w:lineRule="exact"/>
                                      <w:ind w:left="72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2、本县内传染病、职业病和非传染性慢性病的防控。</w:t>
                                    </w:r>
                                  </w:p>
                                  <w:p>
                                    <w:pPr>
                                      <w:widowControl/>
                                      <w:adjustRightInd w:val="0"/>
                                      <w:snapToGrid w:val="0"/>
                                      <w:spacing w:line="480" w:lineRule="exact"/>
                                      <w:ind w:left="72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3、本县内人群的健康教育工作。</w:t>
                                    </w:r>
                                  </w:p>
                                  <w:p>
                                    <w:pPr>
                                      <w:widowControl/>
                                      <w:adjustRightInd w:val="0"/>
                                      <w:snapToGrid w:val="0"/>
                                      <w:spacing w:line="480" w:lineRule="exact"/>
                                      <w:ind w:left="720"/>
                                      <w:jc w:val="left"/>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4、强化本县内医疗救治体系，有效应对各种突发性公共卫生事件。 </w:t>
                                    </w:r>
                                  </w:p>
                                  <w:p>
                                    <w:pPr>
                                      <w:ind w:firstLine="562" w:firstLineChars="200"/>
                                      <w:rPr>
                                        <w:rFonts w:ascii="仿宋_GB2312" w:hAnsi="宋体" w:eastAsia="仿宋_GB2312" w:cs="宋体"/>
                                        <w:color w:val="333333"/>
                                        <w:kern w:val="0"/>
                                        <w:sz w:val="28"/>
                                        <w:szCs w:val="28"/>
                                      </w:rPr>
                                    </w:pPr>
                                    <w:r>
                                      <w:rPr>
                                        <w:rFonts w:hint="eastAsia" w:ascii="仿宋_GB2312" w:hAnsi="宋体" w:eastAsia="仿宋_GB2312" w:cs="宋体"/>
                                        <w:b/>
                                        <w:color w:val="333333"/>
                                        <w:kern w:val="0"/>
                                        <w:sz w:val="28"/>
                                        <w:szCs w:val="28"/>
                                      </w:rPr>
                                      <w:t>（二）2020年重点工作。</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xml:space="preserve">　   医院在县委、县政府的正确领导下，在上级主管部门的指导下,2019年医院将进一步落实科学发展观，认真学习宣；1、进一步解放思想，深化改革，加快医院发展步伐；2、进一步强化管理、理顺机制，深化医院改革；我们将继续加强制度建设，进一步完善规章制度；紧紧围绕“以病人为中心，以质量为核心，为患者提供安全、温馨的就医环境”的活动主题，提高医疗质量，强化医疗服务;进一步加快信息化建设进程，实现管理科学化、现代化;构建医院信息化系统，使之成为管理科学化、现代化管理的一个重要手段，成为患者与社会沟通的交流平台. </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　二、部门预算单位构成</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xml:space="preserve">　　 </w:t>
                                    </w:r>
                                    <w:r>
                                      <w:rPr>
                                        <w:rFonts w:hint="eastAsia" w:ascii="仿宋_GB2312" w:hAnsi="宋体" w:eastAsia="仿宋_GB2312"/>
                                        <w:color w:val="000000"/>
                                        <w:spacing w:val="-14"/>
                                        <w:sz w:val="28"/>
                                        <w:szCs w:val="28"/>
                                      </w:rPr>
                                      <w:t>2020年独立编制单位机构数为1 个，财政供养人员编制为164 名，其中行政编制 0名，行政工勤编制 0名，事业编制164 名（其中参照公务员法管理人员编制 0人）；2019年实际财政供养人员161人，较上年增加4人（不含退休人员），其中：行政 0人，行政工勤 0人，事业 161</w:t>
                                    </w:r>
                                    <w:r>
                                      <w:rPr>
                                        <w:rFonts w:hint="eastAsia" w:ascii="宋体" w:hAnsi="宋体"/>
                                        <w:color w:val="000000"/>
                                        <w:spacing w:val="-14"/>
                                        <w:sz w:val="30"/>
                                        <w:szCs w:val="30"/>
                                      </w:rPr>
                                      <w:t>人</w:t>
                                    </w:r>
                                    <w:r>
                                      <w:rPr>
                                        <w:rFonts w:hint="eastAsia" w:ascii="仿宋_GB2312" w:hAnsi="宋体" w:eastAsia="仿宋_GB2312" w:cs="宋体"/>
                                        <w:color w:val="000000"/>
                                        <w:kern w:val="0"/>
                                        <w:sz w:val="32"/>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三、收支预算情况说明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按照综合预算的原则，金川县人民医院所有收入和支出均纳入部门预算管理。收入包括：一般公共预算拨款收入；支出包括：工资性支出、社会保障缴费、住房保障支出、其他补助支出。我单位2020年收支总预算2088.3268万元, 比2019年收支预算总数增加83.92万元，主要是因为人员增加。</w:t>
                                    </w:r>
                                  </w:p>
                                  <w:p>
                                    <w:pPr>
                                      <w:ind w:firstLine="562" w:firstLineChars="200"/>
                                      <w:rPr>
                                        <w:rFonts w:ascii="仿宋_GB2312" w:hAnsi="宋体" w:eastAsia="仿宋_GB2312" w:cs="宋体"/>
                                        <w:color w:val="333333"/>
                                        <w:kern w:val="0"/>
                                        <w:sz w:val="28"/>
                                        <w:szCs w:val="28"/>
                                      </w:rPr>
                                    </w:pPr>
                                    <w:r>
                                      <w:rPr>
                                        <w:rFonts w:hint="eastAsia" w:ascii="楷体_GB2312" w:hAnsi="宋体" w:eastAsia="楷体_GB2312" w:cs="宋体"/>
                                        <w:b/>
                                        <w:bCs/>
                                        <w:color w:val="333333"/>
                                        <w:kern w:val="0"/>
                                        <w:sz w:val="28"/>
                                      </w:rPr>
                                      <w:t>（一）收入预算情况。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我单位2020年收入预算</w:t>
                                    </w:r>
                                    <w:r>
                                      <w:rPr>
                                        <w:rFonts w:ascii="仿宋_GB2312" w:hAnsi="宋体" w:eastAsia="仿宋_GB2312" w:cs="宋体"/>
                                        <w:color w:val="333333"/>
                                        <w:kern w:val="0"/>
                                        <w:sz w:val="28"/>
                                        <w:szCs w:val="28"/>
                                      </w:rPr>
                                      <w:t>2088.3</w:t>
                                    </w:r>
                                    <w:r>
                                      <w:rPr>
                                        <w:rFonts w:hint="eastAsia" w:ascii="仿宋_GB2312" w:hAnsi="宋体" w:eastAsia="仿宋_GB2312" w:cs="宋体"/>
                                        <w:color w:val="333333"/>
                                        <w:kern w:val="0"/>
                                        <w:sz w:val="28"/>
                                        <w:szCs w:val="28"/>
                                      </w:rPr>
                                      <w:t>3万元，其中：上年结转0万元，占0%；一般公共预算拨款收入</w:t>
                                    </w:r>
                                    <w:r>
                                      <w:rPr>
                                        <w:rFonts w:ascii="仿宋_GB2312" w:hAnsi="宋体" w:eastAsia="仿宋_GB2312" w:cs="宋体"/>
                                        <w:color w:val="333333"/>
                                        <w:kern w:val="0"/>
                                        <w:sz w:val="28"/>
                                        <w:szCs w:val="28"/>
                                      </w:rPr>
                                      <w:t>2088.3</w:t>
                                    </w:r>
                                    <w:r>
                                      <w:rPr>
                                        <w:rFonts w:hint="eastAsia" w:ascii="仿宋_GB2312" w:hAnsi="宋体" w:eastAsia="仿宋_GB2312" w:cs="宋体"/>
                                        <w:color w:val="333333"/>
                                        <w:kern w:val="0"/>
                                        <w:sz w:val="28"/>
                                        <w:szCs w:val="28"/>
                                      </w:rPr>
                                      <w:t>3万元，占100%。</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（二）支出预算情况。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我单位2020年支出预算</w:t>
                                    </w:r>
                                    <w:r>
                                      <w:rPr>
                                        <w:rFonts w:ascii="仿宋_GB2312" w:hAnsi="宋体" w:eastAsia="仿宋_GB2312" w:cs="宋体"/>
                                        <w:color w:val="333333"/>
                                        <w:kern w:val="0"/>
                                        <w:sz w:val="28"/>
                                        <w:szCs w:val="28"/>
                                      </w:rPr>
                                      <w:t>2088.3</w:t>
                                    </w:r>
                                    <w:r>
                                      <w:rPr>
                                        <w:rFonts w:hint="eastAsia" w:ascii="仿宋_GB2312" w:hAnsi="宋体" w:eastAsia="仿宋_GB2312" w:cs="宋体"/>
                                        <w:color w:val="333333"/>
                                        <w:kern w:val="0"/>
                                        <w:sz w:val="28"/>
                                        <w:szCs w:val="28"/>
                                      </w:rPr>
                                      <w:t>3万元，其中：基本支出</w:t>
                                    </w:r>
                                    <w:r>
                                      <w:rPr>
                                        <w:rFonts w:ascii="仿宋_GB2312" w:hAnsi="宋体" w:eastAsia="仿宋_GB2312" w:cs="宋体"/>
                                        <w:color w:val="333333"/>
                                        <w:kern w:val="0"/>
                                        <w:sz w:val="28"/>
                                        <w:szCs w:val="28"/>
                                      </w:rPr>
                                      <w:t>2088.3</w:t>
                                    </w:r>
                                    <w:r>
                                      <w:rPr>
                                        <w:rFonts w:hint="eastAsia" w:ascii="仿宋_GB2312" w:hAnsi="宋体" w:eastAsia="仿宋_GB2312" w:cs="宋体"/>
                                        <w:color w:val="333333"/>
                                        <w:kern w:val="0"/>
                                        <w:sz w:val="28"/>
                                        <w:szCs w:val="28"/>
                                      </w:rPr>
                                      <w:t>3万元，占100%；项目支出0万元，占0%。</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四、财政拨款收支预算情况说明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我单位2020年财政拨款收支总预算</w:t>
                                    </w:r>
                                    <w:r>
                                      <w:rPr>
                                        <w:rFonts w:ascii="仿宋_GB2312" w:hAnsi="宋体" w:eastAsia="仿宋_GB2312" w:cs="宋体"/>
                                        <w:color w:val="333333"/>
                                        <w:kern w:val="0"/>
                                        <w:sz w:val="28"/>
                                        <w:szCs w:val="28"/>
                                      </w:rPr>
                                      <w:t>2088.3</w:t>
                                    </w:r>
                                    <w:r>
                                      <w:rPr>
                                        <w:rFonts w:hint="eastAsia" w:ascii="仿宋_GB2312" w:hAnsi="宋体" w:eastAsia="仿宋_GB2312" w:cs="宋体"/>
                                        <w:color w:val="333333"/>
                                        <w:kern w:val="0"/>
                                        <w:sz w:val="28"/>
                                        <w:szCs w:val="28"/>
                                      </w:rPr>
                                      <w:t>3万元,比2019年财政拨款收支总预算增加83.19万元，主要是因为人员增加。</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收入包括：本年一般公共预算拨款收入</w:t>
                                    </w:r>
                                    <w:r>
                                      <w:rPr>
                                        <w:rFonts w:ascii="仿宋_GB2312" w:hAnsi="宋体" w:eastAsia="仿宋_GB2312" w:cs="宋体"/>
                                        <w:color w:val="333333"/>
                                        <w:kern w:val="0"/>
                                        <w:sz w:val="28"/>
                                        <w:szCs w:val="28"/>
                                      </w:rPr>
                                      <w:t>2088.3</w:t>
                                    </w:r>
                                    <w:r>
                                      <w:rPr>
                                        <w:rFonts w:hint="eastAsia" w:ascii="仿宋_GB2312" w:hAnsi="宋体" w:eastAsia="仿宋_GB2312" w:cs="宋体"/>
                                        <w:color w:val="333333"/>
                                        <w:kern w:val="0"/>
                                        <w:sz w:val="28"/>
                                        <w:szCs w:val="28"/>
                                      </w:rPr>
                                      <w:t>3万元；支出包括：社会保障和就业支336.5万元、</w:t>
                                    </w:r>
                                    <w:r>
                                      <w:rPr>
                                        <w:rFonts w:hint="eastAsia" w:ascii="仿宋_GB2312" w:hAnsi="宋体" w:eastAsia="仿宋_GB2312" w:cs="宋体"/>
                                        <w:bCs/>
                                        <w:color w:val="333333"/>
                                        <w:kern w:val="0"/>
                                        <w:sz w:val="28"/>
                                      </w:rPr>
                                      <w:t>医疗卫生与计划生育1583.56</w:t>
                                    </w:r>
                                    <w:r>
                                      <w:rPr>
                                        <w:rFonts w:hint="eastAsia" w:ascii="仿宋_GB2312" w:hAnsi="宋体" w:eastAsia="仿宋_GB2312" w:cs="宋体"/>
                                        <w:color w:val="333333"/>
                                        <w:kern w:val="0"/>
                                        <w:sz w:val="28"/>
                                        <w:szCs w:val="28"/>
                                      </w:rPr>
                                      <w:t>万元、住房保障支出168.27万元。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五、一般公共预算当年拨款情况说明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（一）一般公共预算当年拨款规模变化情况。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我单位2020年财政拨款收支总预算</w:t>
                                    </w:r>
                                    <w:r>
                                      <w:rPr>
                                        <w:rFonts w:ascii="仿宋_GB2312" w:hAnsi="宋体" w:eastAsia="仿宋_GB2312" w:cs="宋体"/>
                                        <w:color w:val="333333"/>
                                        <w:kern w:val="0"/>
                                        <w:sz w:val="28"/>
                                        <w:szCs w:val="28"/>
                                      </w:rPr>
                                      <w:t>2088.3</w:t>
                                    </w:r>
                                    <w:r>
                                      <w:rPr>
                                        <w:rFonts w:hint="eastAsia" w:ascii="仿宋_GB2312" w:hAnsi="宋体" w:eastAsia="仿宋_GB2312" w:cs="宋体"/>
                                        <w:color w:val="333333"/>
                                        <w:kern w:val="0"/>
                                        <w:sz w:val="28"/>
                                        <w:szCs w:val="28"/>
                                      </w:rPr>
                                      <w:t>3万元,比2019年财政拨款收支总预算增加83.19万元，主要是因为人员增加。</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（二）一般公共预算当年拨款结构情况。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社会保障和就业支</w:t>
                                    </w:r>
                                    <w:r>
                                      <w:rPr>
                                        <w:rFonts w:ascii="仿宋_GB2312" w:hAnsi="宋体" w:eastAsia="仿宋_GB2312" w:cs="宋体"/>
                                        <w:color w:val="333333"/>
                                        <w:kern w:val="0"/>
                                        <w:sz w:val="28"/>
                                        <w:szCs w:val="28"/>
                                      </w:rPr>
                                      <w:t>336.</w:t>
                                    </w:r>
                                    <w:r>
                                      <w:rPr>
                                        <w:rFonts w:hint="eastAsia" w:ascii="仿宋_GB2312" w:hAnsi="宋体" w:eastAsia="仿宋_GB2312" w:cs="宋体"/>
                                        <w:color w:val="333333"/>
                                        <w:kern w:val="0"/>
                                        <w:sz w:val="28"/>
                                        <w:szCs w:val="28"/>
                                      </w:rPr>
                                      <w:t>5万元、占16.11%。</w:t>
                                    </w:r>
                                    <w:r>
                                      <w:rPr>
                                        <w:rFonts w:hint="eastAsia" w:ascii="仿宋_GB2312" w:hAnsi="宋体" w:eastAsia="仿宋_GB2312" w:cs="宋体"/>
                                        <w:b/>
                                        <w:bCs/>
                                        <w:color w:val="333333"/>
                                        <w:kern w:val="0"/>
                                        <w:sz w:val="28"/>
                                      </w:rPr>
                                      <w:t>医疗卫生与计划生育1583.56</w:t>
                                    </w:r>
                                    <w:r>
                                      <w:rPr>
                                        <w:rFonts w:hint="eastAsia" w:ascii="仿宋_GB2312" w:hAnsi="宋体" w:eastAsia="仿宋_GB2312" w:cs="宋体"/>
                                        <w:color w:val="333333"/>
                                        <w:kern w:val="0"/>
                                        <w:sz w:val="28"/>
                                        <w:szCs w:val="28"/>
                                      </w:rPr>
                                      <w:t>万元、占75.83%。住房保障支出</w:t>
                                    </w:r>
                                    <w:r>
                                      <w:rPr>
                                        <w:rFonts w:ascii="仿宋_GB2312" w:hAnsi="宋体" w:eastAsia="仿宋_GB2312" w:cs="宋体"/>
                                        <w:color w:val="333333"/>
                                        <w:kern w:val="0"/>
                                        <w:sz w:val="28"/>
                                        <w:szCs w:val="28"/>
                                      </w:rPr>
                                      <w:t>168.2</w:t>
                                    </w:r>
                                    <w:r>
                                      <w:rPr>
                                        <w:rFonts w:hint="eastAsia" w:ascii="仿宋_GB2312" w:hAnsi="宋体" w:eastAsia="仿宋_GB2312" w:cs="宋体"/>
                                        <w:color w:val="333333"/>
                                        <w:kern w:val="0"/>
                                        <w:sz w:val="28"/>
                                        <w:szCs w:val="28"/>
                                      </w:rPr>
                                      <w:t>7万元、占8.06%。</w:t>
                                    </w:r>
                                  </w:p>
                                  <w:p>
                                    <w:pPr>
                                      <w:widowControl/>
                                      <w:spacing w:line="480" w:lineRule="atLeast"/>
                                      <w:ind w:firstLine="422" w:firstLineChars="150"/>
                                      <w:rPr>
                                        <w:rFonts w:hint="eastAsia" w:ascii="仿宋_GB2312" w:hAnsi="宋体" w:eastAsia="仿宋_GB2312" w:cs="宋体"/>
                                        <w:color w:val="333333"/>
                                        <w:kern w:val="0"/>
                                        <w:sz w:val="28"/>
                                        <w:szCs w:val="28"/>
                                      </w:rPr>
                                    </w:pPr>
                                    <w:r>
                                      <w:rPr>
                                        <w:rFonts w:hint="eastAsia" w:ascii="楷体_GB2312" w:hAnsi="宋体" w:eastAsia="楷体_GB2312" w:cs="宋体"/>
                                        <w:b/>
                                        <w:bCs/>
                                        <w:color w:val="333333"/>
                                        <w:kern w:val="0"/>
                                        <w:sz w:val="28"/>
                                      </w:rPr>
                                      <w:t>（三）一般公共预算当年拨款具体使用情况。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xml:space="preserve">　   </w:t>
                                    </w:r>
                                    <w:r>
                                      <w:rPr>
                                        <w:rFonts w:hint="eastAsia" w:ascii="仿宋_GB2312" w:hAnsi="宋体" w:eastAsia="仿宋_GB2312" w:cs="宋体"/>
                                        <w:b/>
                                        <w:bCs/>
                                        <w:color w:val="333333"/>
                                        <w:kern w:val="0"/>
                                        <w:sz w:val="28"/>
                                        <w:szCs w:val="28"/>
                                      </w:rPr>
                                      <w:t>1.</w:t>
                                    </w:r>
                                    <w:r>
                                      <w:rPr>
                                        <w:rFonts w:hint="eastAsia" w:ascii="仿宋_GB2312" w:hAnsi="宋体" w:eastAsia="仿宋_GB2312" w:cs="宋体"/>
                                        <w:b/>
                                        <w:bCs/>
                                        <w:color w:val="333333"/>
                                        <w:kern w:val="0"/>
                                        <w:sz w:val="28"/>
                                      </w:rPr>
                                      <w:t>社会保障和就业（类）行政事业单位离休（款）机关事业单位基本养老保险缴费支出（项）</w:t>
                                    </w:r>
                                    <w:r>
                                      <w:rPr>
                                        <w:rFonts w:hint="eastAsia" w:ascii="仿宋_GB2312" w:hAnsi="宋体" w:eastAsia="仿宋_GB2312" w:cs="宋体"/>
                                        <w:color w:val="333333"/>
                                        <w:kern w:val="0"/>
                                        <w:sz w:val="28"/>
                                        <w:szCs w:val="28"/>
                                      </w:rPr>
                                      <w:t>2020年预算数为224.33万元，用于：职工缴纳养老保险缴费支出。　</w:t>
                                    </w:r>
                                  </w:p>
                                  <w:p>
                                    <w:pPr>
                                      <w:widowControl/>
                                      <w:spacing w:line="480" w:lineRule="atLeast"/>
                                      <w:ind w:firstLine="562" w:firstLineChars="200"/>
                                      <w:rPr>
                                        <w:rFonts w:ascii="仿宋_GB2312" w:hAnsi="宋体" w:eastAsia="仿宋_GB2312" w:cs="宋体"/>
                                        <w:color w:val="333333"/>
                                        <w:kern w:val="0"/>
                                        <w:sz w:val="28"/>
                                        <w:szCs w:val="28"/>
                                      </w:rPr>
                                    </w:pPr>
                                    <w:r>
                                      <w:rPr>
                                        <w:rFonts w:hint="eastAsia" w:ascii="仿宋_GB2312" w:hAnsi="宋体" w:eastAsia="仿宋_GB2312" w:cs="宋体"/>
                                        <w:b/>
                                        <w:bCs/>
                                        <w:color w:val="333333"/>
                                        <w:kern w:val="0"/>
                                        <w:sz w:val="28"/>
                                        <w:szCs w:val="28"/>
                                      </w:rPr>
                                      <w:t>2.</w:t>
                                    </w:r>
                                    <w:r>
                                      <w:rPr>
                                        <w:rFonts w:hint="eastAsia" w:ascii="仿宋_GB2312" w:hAnsi="宋体" w:eastAsia="仿宋_GB2312" w:cs="宋体"/>
                                        <w:b/>
                                        <w:bCs/>
                                        <w:color w:val="333333"/>
                                        <w:kern w:val="0"/>
                                        <w:sz w:val="28"/>
                                      </w:rPr>
                                      <w:t>社会保障和就业（类）行政事业单位离休（款）机关事业单位职业缴费支出（项）</w:t>
                                    </w:r>
                                    <w:r>
                                      <w:rPr>
                                        <w:rFonts w:hint="eastAsia" w:ascii="仿宋_GB2312" w:hAnsi="宋体" w:eastAsia="仿宋_GB2312" w:cs="宋体"/>
                                        <w:color w:val="333333"/>
                                        <w:kern w:val="0"/>
                                        <w:sz w:val="28"/>
                                        <w:szCs w:val="28"/>
                                      </w:rPr>
                                      <w:t>2020年预算数为112.17万元，用于职业年金</w:t>
                                    </w:r>
                                    <w:r>
                                      <w:rPr>
                                        <w:rFonts w:hint="eastAsia" w:ascii="仿宋_GB2312" w:hAnsi="宋体" w:eastAsia="仿宋_GB2312" w:cs="宋体"/>
                                        <w:b/>
                                        <w:bCs/>
                                        <w:color w:val="333333"/>
                                        <w:kern w:val="0"/>
                                        <w:sz w:val="28"/>
                                        <w:szCs w:val="28"/>
                                      </w:rPr>
                                      <w:t>缴</w:t>
                                    </w:r>
                                    <w:r>
                                      <w:rPr>
                                        <w:rFonts w:hint="eastAsia" w:ascii="仿宋_GB2312" w:hAnsi="宋体" w:eastAsia="仿宋_GB2312" w:cs="宋体"/>
                                        <w:color w:val="333333"/>
                                        <w:kern w:val="0"/>
                                        <w:sz w:val="28"/>
                                        <w:szCs w:val="28"/>
                                      </w:rPr>
                                      <w:t>费支出。</w:t>
                                    </w:r>
                                  </w:p>
                                  <w:p>
                                    <w:pPr>
                                      <w:widowControl/>
                                      <w:spacing w:line="480" w:lineRule="atLeast"/>
                                      <w:ind w:firstLine="420" w:firstLineChars="15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rPr>
                                      <w:t>3. 医疗卫生与计划生育（类）公立医院（款） 综合医院（项）</w:t>
                                    </w:r>
                                    <w:r>
                                      <w:rPr>
                                        <w:rFonts w:hint="eastAsia" w:ascii="仿宋_GB2312" w:hAnsi="宋体" w:eastAsia="仿宋_GB2312" w:cs="宋体"/>
                                        <w:color w:val="333333"/>
                                        <w:kern w:val="0"/>
                                        <w:sz w:val="28"/>
                                        <w:szCs w:val="28"/>
                                      </w:rPr>
                                      <w:t>2020年预算数为1444.42元，主要用于：部门下属事业单位机构正常运行、开展日常工作的基本支出。</w:t>
                                    </w:r>
                                  </w:p>
                                  <w:p>
                                    <w:pPr>
                                      <w:ind w:firstLine="551" w:firstLineChars="196"/>
                                      <w:rPr>
                                        <w:rFonts w:ascii="仿宋_GB2312" w:hAnsi="宋体" w:eastAsia="仿宋_GB2312" w:cs="宋体"/>
                                        <w:color w:val="333333"/>
                                        <w:kern w:val="0"/>
                                        <w:sz w:val="28"/>
                                        <w:szCs w:val="28"/>
                                      </w:rPr>
                                    </w:pPr>
                                    <w:r>
                                      <w:rPr>
                                        <w:rFonts w:hint="eastAsia" w:ascii="仿宋_GB2312" w:hAnsi="宋体" w:eastAsia="仿宋_GB2312" w:cs="宋体"/>
                                        <w:b/>
                                        <w:bCs/>
                                        <w:color w:val="333333"/>
                                        <w:kern w:val="0"/>
                                        <w:sz w:val="28"/>
                                        <w:szCs w:val="28"/>
                                      </w:rPr>
                                      <w:t>4</w:t>
                                    </w:r>
                                    <w:r>
                                      <w:rPr>
                                        <w:rFonts w:hint="eastAsia" w:ascii="仿宋_GB2312" w:hAnsi="宋体" w:eastAsia="仿宋_GB2312" w:cs="宋体"/>
                                        <w:b/>
                                        <w:bCs/>
                                        <w:color w:val="333333"/>
                                        <w:kern w:val="0"/>
                                        <w:sz w:val="28"/>
                                      </w:rPr>
                                      <w:t>.医疗卫生与计划生育（类）行政事业单位医疗（款）事业单位医疗（项）</w:t>
                                    </w:r>
                                    <w:r>
                                      <w:rPr>
                                        <w:rFonts w:hint="eastAsia" w:ascii="仿宋_GB2312" w:hAnsi="宋体" w:eastAsia="仿宋_GB2312" w:cs="宋体"/>
                                        <w:color w:val="333333"/>
                                        <w:kern w:val="0"/>
                                        <w:sz w:val="28"/>
                                        <w:szCs w:val="28"/>
                                      </w:rPr>
                                      <w:t>2020年预算数为98.15万元，主要用于：部门事业单位基本医疗保险缴费支出。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szCs w:val="28"/>
                                      </w:rPr>
                                      <w:t>5</w:t>
                                    </w:r>
                                    <w:r>
                                      <w:rPr>
                                        <w:rFonts w:hint="eastAsia" w:ascii="仿宋_GB2312" w:hAnsi="宋体" w:eastAsia="仿宋_GB2312" w:cs="宋体"/>
                                        <w:b/>
                                        <w:bCs/>
                                        <w:color w:val="333333"/>
                                        <w:kern w:val="0"/>
                                        <w:sz w:val="28"/>
                                      </w:rPr>
                                      <w:t>.医疗卫生与计划生育（类）行政事业单位医疗（款）公务员医疗补助（项）</w:t>
                                    </w:r>
                                    <w:r>
                                      <w:rPr>
                                        <w:rFonts w:hint="eastAsia" w:ascii="仿宋_GB2312" w:hAnsi="宋体" w:eastAsia="仿宋_GB2312" w:cs="宋体"/>
                                        <w:color w:val="333333"/>
                                        <w:kern w:val="0"/>
                                        <w:sz w:val="28"/>
                                        <w:szCs w:val="28"/>
                                      </w:rPr>
                                      <w:t>2020年预算数为40.99万元，主要用于：事业单位集中缴纳公务员医疗补助支出。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b/>
                                        <w:bCs/>
                                        <w:color w:val="333333"/>
                                        <w:kern w:val="0"/>
                                        <w:sz w:val="28"/>
                                        <w:szCs w:val="28"/>
                                      </w:rPr>
                                      <w:t>　6</w:t>
                                    </w:r>
                                    <w:r>
                                      <w:rPr>
                                        <w:rFonts w:hint="eastAsia" w:ascii="仿宋_GB2312" w:hAnsi="宋体" w:eastAsia="仿宋_GB2312" w:cs="宋体"/>
                                        <w:b/>
                                        <w:bCs/>
                                        <w:color w:val="333333"/>
                                        <w:kern w:val="0"/>
                                        <w:sz w:val="28"/>
                                      </w:rPr>
                                      <w:t>.住房保障（类）住房改革支出（款）住房公积金（项）</w:t>
                                    </w:r>
                                    <w:r>
                                      <w:rPr>
                                        <w:rFonts w:hint="eastAsia" w:ascii="仿宋_GB2312" w:hAnsi="宋体" w:eastAsia="仿宋_GB2312" w:cs="宋体"/>
                                        <w:color w:val="333333"/>
                                        <w:kern w:val="0"/>
                                        <w:sz w:val="28"/>
                                        <w:szCs w:val="28"/>
                                      </w:rPr>
                                      <w:t>2020年预算数为168.27万元，主要用于：部门按人力资源和社会保障部、财政部规定的基本工资和津贴补贴以及规定比例为职工缴纳的住房公积金支出。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六、一般公共预算基本支出情况说明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我单位2020年一般公共预算基本支出</w:t>
                                    </w:r>
                                    <w:r>
                                      <w:rPr>
                                        <w:rFonts w:ascii="仿宋_GB2312" w:hAnsi="宋体" w:eastAsia="仿宋_GB2312" w:cs="宋体"/>
                                        <w:color w:val="333333"/>
                                        <w:kern w:val="0"/>
                                        <w:sz w:val="28"/>
                                        <w:szCs w:val="28"/>
                                      </w:rPr>
                                      <w:t>2088.3</w:t>
                                    </w:r>
                                    <w:r>
                                      <w:rPr>
                                        <w:rFonts w:hint="eastAsia" w:ascii="仿宋_GB2312" w:hAnsi="宋体" w:eastAsia="仿宋_GB2312" w:cs="宋体"/>
                                        <w:color w:val="333333"/>
                                        <w:kern w:val="0"/>
                                        <w:sz w:val="28"/>
                                        <w:szCs w:val="28"/>
                                      </w:rPr>
                                      <w:t>3万元，其中：</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人员经费</w:t>
                                    </w:r>
                                    <w:r>
                                      <w:rPr>
                                        <w:rFonts w:ascii="仿宋_GB2312" w:hAnsi="宋体" w:eastAsia="仿宋_GB2312" w:cs="宋体"/>
                                        <w:color w:val="333333"/>
                                        <w:kern w:val="0"/>
                                        <w:sz w:val="28"/>
                                        <w:szCs w:val="28"/>
                                      </w:rPr>
                                      <w:t>2088.3</w:t>
                                    </w:r>
                                    <w:r>
                                      <w:rPr>
                                        <w:rFonts w:hint="eastAsia" w:ascii="仿宋_GB2312" w:hAnsi="宋体" w:eastAsia="仿宋_GB2312" w:cs="宋体"/>
                                        <w:color w:val="333333"/>
                                        <w:kern w:val="0"/>
                                        <w:sz w:val="28"/>
                                        <w:szCs w:val="28"/>
                                      </w:rPr>
                                      <w:t>3万元，用于基本工资、津贴补贴、奖金、社会保险缴费等支出。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七、“三公”经费财政拨款预算安排情况说明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我单位2020年“三公”经费财政拨款预算数0万元，其中：公务用车购置及运行维护费0万元</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（一）因公出国（境）经费无。</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（二）公务接待费无。</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（三）公务用车购置及运行维护费无。</w:t>
                                    </w:r>
                                    <w:r>
                                      <w:rPr>
                                        <w:rFonts w:hint="eastAsia" w:ascii="仿宋_GB2312" w:hAnsi="宋体" w:eastAsia="仿宋_GB2312" w:cs="宋体"/>
                                        <w:color w:val="333333"/>
                                        <w:kern w:val="0"/>
                                        <w:sz w:val="28"/>
                                        <w:szCs w:val="28"/>
                                      </w:rPr>
                                      <w:t>　</w:t>
                                    </w:r>
                                  </w:p>
                                  <w:p>
                                    <w:pPr>
                                      <w:ind w:firstLine="280" w:firstLineChars="100"/>
                                      <w:rPr>
                                        <w:rFonts w:hint="eastAsia" w:ascii="仿宋_GB2312" w:hAnsi="宋体" w:eastAsia="仿宋_GB2312" w:cs="宋体"/>
                                        <w:b/>
                                        <w:color w:val="333333"/>
                                        <w:kern w:val="0"/>
                                        <w:sz w:val="28"/>
                                        <w:szCs w:val="28"/>
                                      </w:rPr>
                                    </w:pPr>
                                    <w:r>
                                      <w:rPr>
                                        <w:rFonts w:hint="eastAsia" w:ascii="黑体" w:hAnsi="宋体" w:eastAsia="黑体" w:cs="宋体"/>
                                        <w:color w:val="333333"/>
                                        <w:kern w:val="0"/>
                                        <w:sz w:val="28"/>
                                        <w:szCs w:val="28"/>
                                      </w:rPr>
                                      <w:t>　八、政府性基金预算支出情况说明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2019年没有使用政府性基金预算拨款安排的支出。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九、国有资本经营预算支出情况说明</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val="en-US" w:eastAsia="zh-CN"/>
                                      </w:rPr>
                                      <w:t xml:space="preserve">  </w:t>
                                    </w:r>
                                    <w:r>
                                      <w:rPr>
                                        <w:rFonts w:hint="eastAsia" w:ascii="仿宋_GB2312" w:hAnsi="宋体" w:eastAsia="仿宋_GB2312" w:cs="宋体"/>
                                        <w:color w:val="333333"/>
                                        <w:kern w:val="0"/>
                                        <w:sz w:val="28"/>
                                        <w:szCs w:val="28"/>
                                      </w:rPr>
                                      <w:t>2019年没有使用国有资本经营预算拨款安排的支出。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十、其他重要事项的情况说</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lang w:val="en-US" w:eastAsia="zh-CN"/>
                                      </w:rPr>
                                      <w:t xml:space="preserve">      </w:t>
                                    </w:r>
                                    <w:r>
                                      <w:rPr>
                                        <w:rFonts w:hint="eastAsia" w:ascii="仿宋_GB2312" w:hAnsi="宋体" w:eastAsia="仿宋_GB2312" w:cs="宋体"/>
                                        <w:b/>
                                        <w:color w:val="333333"/>
                                        <w:kern w:val="0"/>
                                        <w:sz w:val="28"/>
                                        <w:szCs w:val="28"/>
                                      </w:rPr>
                                      <w:t>（一）机关运行经费</w:t>
                                    </w:r>
                                  </w:p>
                                  <w:p>
                                    <w:pPr>
                                      <w:ind w:firstLine="700" w:firstLineChars="25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无</w:t>
                                    </w:r>
                                  </w:p>
                                  <w:p>
                                    <w:pPr>
                                      <w:ind w:firstLine="843" w:firstLineChars="300"/>
                                      <w:rPr>
                                        <w:rFonts w:hint="eastAsia" w:ascii="仿宋_GB2312" w:hAnsi="宋体" w:eastAsia="仿宋_GB2312" w:cs="宋体"/>
                                        <w:color w:val="333333"/>
                                        <w:kern w:val="0"/>
                                        <w:sz w:val="28"/>
                                        <w:szCs w:val="28"/>
                                      </w:rPr>
                                    </w:pPr>
                                    <w:r>
                                      <w:rPr>
                                        <w:rFonts w:hint="eastAsia" w:ascii="仿宋_GB2312" w:hAnsi="宋体" w:eastAsia="仿宋_GB2312" w:cs="宋体"/>
                                        <w:b/>
                                        <w:color w:val="333333"/>
                                        <w:kern w:val="0"/>
                                        <w:sz w:val="28"/>
                                        <w:szCs w:val="28"/>
                                      </w:rPr>
                                      <w:t>（二</w:t>
                                    </w:r>
                                    <w:r>
                                      <w:rPr>
                                        <w:rFonts w:ascii="仿宋_GB2312" w:hAnsi="宋体" w:eastAsia="仿宋_GB2312" w:cs="宋体"/>
                                        <w:b/>
                                        <w:color w:val="333333"/>
                                        <w:kern w:val="0"/>
                                        <w:sz w:val="28"/>
                                        <w:szCs w:val="28"/>
                                      </w:rPr>
                                      <w:t>）</w:t>
                                    </w:r>
                                    <w:r>
                                      <w:rPr>
                                        <w:rFonts w:hint="eastAsia" w:ascii="仿宋_GB2312" w:hAnsi="宋体" w:eastAsia="仿宋_GB2312" w:cs="宋体"/>
                                        <w:b/>
                                        <w:color w:val="333333"/>
                                        <w:kern w:val="0"/>
                                        <w:sz w:val="28"/>
                                        <w:szCs w:val="28"/>
                                      </w:rPr>
                                      <w:t>政府采购情况</w:t>
                                    </w:r>
                                  </w:p>
                                  <w:p>
                                    <w:pPr>
                                      <w:ind w:left="838" w:leftChars="399" w:firstLine="0" w:firstLineChars="0"/>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无</w:t>
                                    </w:r>
                                  </w:p>
                                  <w:p>
                                    <w:pPr>
                                      <w:ind w:left="838" w:leftChars="399" w:firstLine="0" w:firstLineChars="0"/>
                                      <w:rPr>
                                        <w:rFonts w:hint="eastAsia" w:ascii="仿宋_GB2312" w:hAnsi="宋体" w:eastAsia="仿宋_GB2312" w:cs="宋体"/>
                                        <w:color w:val="333333"/>
                                        <w:kern w:val="0"/>
                                        <w:sz w:val="28"/>
                                        <w:szCs w:val="28"/>
                                      </w:rPr>
                                    </w:pPr>
                                    <w:r>
                                      <w:rPr>
                                        <w:rFonts w:hint="eastAsia" w:ascii="楷体_GB2312" w:hAnsi="宋体" w:eastAsia="楷体_GB2312" w:cs="宋体"/>
                                        <w:b/>
                                        <w:bCs/>
                                        <w:color w:val="333333"/>
                                        <w:kern w:val="0"/>
                                        <w:sz w:val="28"/>
                                      </w:rPr>
                                      <w:t>（三）国有资产占有使用情况。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截至2019年底，我单位所属各预算单位共有车辆10辆，其中，越野车2辆、应急用车8辆。单位价值200万元以上大型设备1台（套）。</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楷体_GB2312" w:hAnsi="宋体" w:eastAsia="楷体_GB2312" w:cs="宋体"/>
                                        <w:b/>
                                        <w:bCs/>
                                        <w:color w:val="333333"/>
                                        <w:kern w:val="0"/>
                                        <w:sz w:val="28"/>
                                      </w:rPr>
                                      <w:t>（四）绩效目标设置情况。</w:t>
                                    </w:r>
                                    <w:r>
                                      <w:rPr>
                                        <w:rFonts w:hint="eastAsia" w:ascii="楷体_GB2312" w:hAnsi="宋体" w:eastAsia="楷体_GB2312" w:cs="宋体"/>
                                        <w:b/>
                                        <w:bCs/>
                                        <w:color w:val="333333"/>
                                        <w:kern w:val="0"/>
                                        <w:sz w:val="28"/>
                                        <w:szCs w:val="28"/>
                                      </w:rPr>
                                      <w:br w:type="textWrapping"/>
                                    </w:r>
                                    <w:r>
                                      <w:rPr>
                                        <w:rFonts w:hint="eastAsia" w:ascii="仿宋_GB2312" w:hAnsi="宋体" w:eastAsia="仿宋_GB2312" w:cs="宋体"/>
                                        <w:color w:val="333333"/>
                                        <w:kern w:val="0"/>
                                        <w:sz w:val="28"/>
                                        <w:szCs w:val="28"/>
                                      </w:rPr>
                                      <w:t>　　绩效目标是预算编制的前提和基础，按照“费随事定”的原则，我院按要求将2020年部门预算全额纳入绩效目标管理,从项目完成、项目效益、满意度等方面设置了绩效指标，综合反映项目预期完成的数量、成本、时效、质量，预期达到的社会效益、经济效益、生态效益、可持续影响以及服务对象满意度等情况。</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黑体" w:hAnsi="宋体" w:eastAsia="黑体" w:cs="宋体"/>
                                        <w:color w:val="333333"/>
                                        <w:kern w:val="0"/>
                                        <w:sz w:val="28"/>
                                        <w:szCs w:val="28"/>
                                      </w:rPr>
                                      <w:t>十一、名词解释</w:t>
                                    </w:r>
                                    <w:r>
                                      <w:rPr>
                                        <w:rFonts w:hint="eastAsia" w:ascii="黑体" w:hAnsi="宋体" w:eastAsia="黑体" w:cs="宋体"/>
                                        <w:color w:val="333333"/>
                                        <w:kern w:val="0"/>
                                        <w:sz w:val="28"/>
                                        <w:szCs w:val="28"/>
                                      </w:rPr>
                                      <w:br w:type="textWrapping"/>
                                    </w:r>
                                    <w:r>
                                      <w:rPr>
                                        <w:rFonts w:hint="eastAsia" w:ascii="仿宋_GB2312" w:hAnsi="宋体" w:eastAsia="仿宋_GB2312" w:cs="宋体"/>
                                        <w:color w:val="333333"/>
                                        <w:kern w:val="0"/>
                                        <w:sz w:val="28"/>
                                        <w:szCs w:val="28"/>
                                      </w:rPr>
                                      <w:t>　　1.一般公共预算拨款收入：指省级财政当年拨付的资金。</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2.上年结转：指以前年度尚未完成，结转到本年仍按原规定用途继续使用的资金。</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3.社会保障和就业（类）行政事业单位离退休（款）机关事业单位基本养老保险缴费支出（项）：指部门实施养老保险制度由单位缴纳的养老保险费的支出。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4.社会保障和就业（类）行政事业单位离退休（款）机关事业单位职业年金缴费支出（项）：指部门实施养老保险制度由单位缴纳的职业年金的支出。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5.社会保障和就业（类）其他社会保障和就业（款）其他社会保障和就业支出（项）：指除上述项目外，其他用于行政事业单位离退休方面的支出。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6.卫生健康支出（类）公立医院（款）综合医院（项）：指卫生健康、中医部门所属的城市综合医院、独立门诊、教学医院、疗养院和县医院支出。</w:t>
                                    </w:r>
                                  </w:p>
                                  <w:p>
                                    <w:pPr>
                                      <w:ind w:firstLine="420" w:firstLineChars="150"/>
                                      <w:rPr>
                                        <w:rFonts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7.医疗卫生与计划生育（类）行政事业单位医疗（款）行政单位医疗（项）：指厅机关及参公管理事业单位用于缴纳单位基本医疗保险支出。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8.医疗卫生与计划生育（类）行政事业单位医疗（款）事业单位医疗（项）：指事业单位用于缴纳单位基本医疗保险支出。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9.医疗卫生与计划生育（类）行政事业单位医疗（款）公务员医疗补助（项）：指厅机关及参公管理事业单位用于集中缴纳公务员医疗补助支出。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10.住房保障（类）住房改革支出（款）住房公积金（项）：指按照《住房公积金管理条例》的规定，由单位及其在职职工缴存的长期住房储金。</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11.住房保障（类）住房改革支出（款）购房补贴（项）：指按房改政策规定的标准，向符合条件职工发放的用于购买住房的补贴。</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12.基本支出：指为保证机构正常运转，完成日常工作任务而发生的人员支出和公用支出。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13.项目支出：指在基本支出之外为完成特定行政任务和事业发展目标所发生的支出。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14“三公”经费：纳入财政厅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15.机关运行经费：为保障行政单位（包含参照公务员法管理的事业单位）运行用于购买货物和服务的各项资金。包括办公及办公费、水费、电费、印刷费、邮电费、差旅费、会议费等费用开支。</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rPr>
                                      <w:br w:type="textWrapping"/>
                                    </w:r>
                                  </w:p>
                                </w:tc>
                              </w:tr>
                            </w:tbl>
                            <w:p>
                              <w:pPr>
                                <w:widowControl/>
                                <w:spacing w:after="240"/>
                                <w:jc w:val="center"/>
                                <w:rPr>
                                  <w:rFonts w:ascii="宋体" w:hAnsi="宋体" w:eastAsia="宋体" w:cs="宋体"/>
                                  <w:kern w:val="0"/>
                                  <w:szCs w:val="21"/>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Pr>
                            <w:tbl>
                              <w:tblPr>
                                <w:tblStyle w:val="5"/>
                                <w:tblW w:w="8685" w:type="dxa"/>
                                <w:jc w:val="center"/>
                                <w:tblCellSpacing w:w="0" w:type="dxa"/>
                                <w:tblLayout w:type="autofit"/>
                                <w:tblCellMar>
                                  <w:top w:w="0" w:type="dxa"/>
                                  <w:left w:w="0" w:type="dxa"/>
                                  <w:bottom w:w="0" w:type="dxa"/>
                                  <w:right w:w="0" w:type="dxa"/>
                                </w:tblCellMar>
                              </w:tblPr>
                              <w:tblGrid>
                                <w:gridCol w:w="1200"/>
                                <w:gridCol w:w="7485"/>
                              </w:tblGrid>
                              <w:tr>
                                <w:trPr>
                                  <w:tblCellSpacing w:w="0" w:type="dxa"/>
                                  <w:jc w:val="center"/>
                                </w:trPr>
                                <w:tc>
                                  <w:tcPr>
                                    <w:tcW w:w="1200" w:type="dxa"/>
                                  </w:tcPr>
                                  <w:p>
                                    <w:pPr>
                                      <w:widowControl/>
                                      <w:spacing w:line="390" w:lineRule="atLeast"/>
                                      <w:ind w:firstLine="60"/>
                                      <w:jc w:val="right"/>
                                      <w:rPr>
                                        <w:rFonts w:ascii="宋体" w:hAnsi="宋体" w:eastAsia="宋体" w:cs="宋体"/>
                                        <w:color w:val="333333"/>
                                        <w:kern w:val="0"/>
                                        <w:szCs w:val="21"/>
                                      </w:rPr>
                                    </w:pPr>
                                  </w:p>
                                </w:tc>
                                <w:tc>
                                  <w:tcPr>
                                    <w:tcW w:w="0" w:type="auto"/>
                                    <w:vAlign w:val="center"/>
                                  </w:tcPr>
                                  <w:p>
                                    <w:pPr>
                                      <w:widowControl/>
                                      <w:spacing w:line="390" w:lineRule="atLeast"/>
                                      <w:ind w:firstLine="60"/>
                                      <w:jc w:val="left"/>
                                      <w:rPr>
                                        <w:rFonts w:ascii="宋体" w:hAnsi="宋体" w:eastAsia="宋体" w:cs="宋体"/>
                                        <w:color w:val="333333"/>
                                        <w:kern w:val="0"/>
                                        <w:szCs w:val="21"/>
                                      </w:rPr>
                                    </w:pPr>
                                  </w:p>
                                </w:tc>
                              </w:tr>
                            </w:tbl>
                            <w:p>
                              <w:pPr>
                                <w:widowControl/>
                                <w:spacing w:after="240"/>
                                <w:jc w:val="center"/>
                                <w:rPr>
                                  <w:rFonts w:ascii="宋体" w:hAnsi="宋体" w:eastAsia="宋体" w:cs="宋体"/>
                                  <w:kern w:val="0"/>
                                  <w:szCs w:val="21"/>
                                </w:rPr>
                              </w:pPr>
                            </w:p>
                          </w:tc>
                        </w:tr>
                      </w:tbl>
                      <w:p>
                        <w:pPr>
                          <w:widowControl/>
                          <w:jc w:val="left"/>
                          <w:rPr>
                            <w:rFonts w:ascii="宋体" w:hAnsi="宋体" w:eastAsia="宋体" w:cs="宋体"/>
                            <w:kern w:val="0"/>
                            <w:szCs w:val="21"/>
                          </w:rPr>
                        </w:pPr>
                      </w:p>
                    </w:tc>
                    <w:tc>
                      <w:tcPr>
                        <w:tcW w:w="1350" w:type="dxa"/>
                        <w:vAlign w:val="center"/>
                      </w:tcPr>
                      <w:p>
                        <w:pPr>
                          <w:widowControl/>
                          <w:jc w:val="left"/>
                          <w:rPr>
                            <w:rFonts w:ascii="宋体" w:hAnsi="宋体" w:eastAsia="宋体" w:cs="宋体"/>
                            <w:kern w:val="0"/>
                            <w:szCs w:val="21"/>
                          </w:rPr>
                        </w:pPr>
                        <w:r>
                          <w:rPr>
                            <w:rFonts w:ascii="宋体" w:hAnsi="宋体" w:eastAsia="宋体" w:cs="宋体"/>
                            <w:kern w:val="0"/>
                            <w:szCs w:val="21"/>
                          </w:rPr>
                          <w:t> </w:t>
                        </w:r>
                      </w:p>
                    </w:tc>
                  </w:tr>
                  <w:tr>
                    <w:tblPrEx>
                      <w:tblCellMar>
                        <w:top w:w="0" w:type="dxa"/>
                        <w:left w:w="0" w:type="dxa"/>
                        <w:bottom w:w="0" w:type="dxa"/>
                        <w:right w:w="0" w:type="dxa"/>
                      </w:tblCellMar>
                    </w:tblPrEx>
                    <w:trPr>
                      <w:trHeight w:val="450" w:hRule="atLeast"/>
                      <w:tblCellSpacing w:w="0" w:type="dxa"/>
                    </w:trPr>
                    <w:tc>
                      <w:tcPr>
                        <w:tcW w:w="0" w:type="auto"/>
                        <w:gridSpan w:val="2"/>
                        <w:tcMar>
                          <w:top w:w="0" w:type="dxa"/>
                          <w:left w:w="0" w:type="dxa"/>
                          <w:bottom w:w="0" w:type="dxa"/>
                          <w:right w:w="1950" w:type="dxa"/>
                        </w:tcMar>
                        <w:vAlign w:val="center"/>
                      </w:tcPr>
                      <w:tbl>
                        <w:tblPr>
                          <w:tblStyle w:val="5"/>
                          <w:tblW w:w="5000" w:type="pct"/>
                          <w:jc w:val="right"/>
                          <w:tblCellSpacing w:w="0" w:type="dxa"/>
                          <w:tblLayout w:type="autofit"/>
                          <w:tblCellMar>
                            <w:top w:w="0" w:type="dxa"/>
                            <w:left w:w="0" w:type="dxa"/>
                            <w:bottom w:w="0" w:type="dxa"/>
                            <w:right w:w="0" w:type="dxa"/>
                          </w:tblCellMar>
                        </w:tblPr>
                        <w:tblGrid>
                          <w:gridCol w:w="10050"/>
                        </w:tblGrid>
                        <w:tr>
                          <w:trPr>
                            <w:tblCellSpacing w:w="0" w:type="dxa"/>
                            <w:jc w:val="right"/>
                          </w:trPr>
                          <w:tc>
                            <w:tcPr>
                              <w:tcW w:w="0" w:type="auto"/>
                              <w:vAlign w:val="center"/>
                            </w:tcPr>
                            <w:p>
                              <w:pPr>
                                <w:widowControl/>
                                <w:jc w:val="right"/>
                                <w:rPr>
                                  <w:rFonts w:ascii="宋体" w:hAnsi="宋体" w:eastAsia="宋体" w:cs="宋体"/>
                                  <w:kern w:val="0"/>
                                  <w:szCs w:val="21"/>
                                </w:rPr>
                              </w:pPr>
                            </w:p>
                          </w:tc>
                        </w:tr>
                      </w:tbl>
                      <w:p>
                        <w:pPr>
                          <w:widowControl/>
                          <w:jc w:val="right"/>
                          <w:rPr>
                            <w:rFonts w:ascii="宋体" w:hAnsi="宋体" w:eastAsia="宋体" w:cs="宋体"/>
                            <w:kern w:val="0"/>
                            <w:szCs w:val="21"/>
                          </w:rPr>
                        </w:pPr>
                      </w:p>
                    </w:tc>
                  </w:tr>
                </w:tbl>
                <w:p>
                  <w:pPr>
                    <w:widowControl/>
                    <w:jc w:val="left"/>
                    <w:rPr>
                      <w:rFonts w:ascii="宋体" w:hAnsi="宋体" w:eastAsia="宋体" w:cs="宋体"/>
                      <w:kern w:val="0"/>
                      <w:szCs w:val="21"/>
                    </w:rPr>
                  </w:pPr>
                </w:p>
              </w:tc>
            </w:tr>
          </w:tbl>
          <w:p>
            <w:pPr>
              <w:widowControl/>
              <w:jc w:val="left"/>
              <w:rPr>
                <w:rFonts w:ascii="宋体" w:hAnsi="宋体" w:eastAsia="宋体" w:cs="宋体"/>
                <w:kern w:val="0"/>
                <w:szCs w:val="21"/>
              </w:rPr>
            </w:pPr>
          </w:p>
        </w:tc>
      </w:tr>
      <w:tr>
        <w:tblPrEx>
          <w:tblCellMar>
            <w:top w:w="0" w:type="dxa"/>
            <w:left w:w="0" w:type="dxa"/>
            <w:bottom w:w="0" w:type="dxa"/>
            <w:right w:w="0" w:type="dxa"/>
          </w:tblCellMar>
        </w:tblPrEx>
        <w:trPr>
          <w:trHeight w:val="75" w:hRule="atLeast"/>
          <w:tblCellSpacing w:w="0" w:type="dxa"/>
          <w:jc w:val="center"/>
        </w:trPr>
        <w:tc>
          <w:tcPr>
            <w:tcW w:w="0" w:type="auto"/>
            <w:vAlign w:val="center"/>
          </w:tcPr>
          <w:p>
            <w:pPr>
              <w:widowControl/>
              <w:jc w:val="left"/>
              <w:rPr>
                <w:rFonts w:ascii="宋体" w:hAnsi="宋体" w:eastAsia="宋体" w:cs="宋体"/>
                <w:kern w:val="0"/>
                <w:sz w:val="8"/>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4CCC"/>
    <w:rsid w:val="00023D3B"/>
    <w:rsid w:val="00033B84"/>
    <w:rsid w:val="00084ED7"/>
    <w:rsid w:val="000B5537"/>
    <w:rsid w:val="000C5AB6"/>
    <w:rsid w:val="001D453B"/>
    <w:rsid w:val="00201DEC"/>
    <w:rsid w:val="002802B1"/>
    <w:rsid w:val="00284FAC"/>
    <w:rsid w:val="002A2534"/>
    <w:rsid w:val="002E12AC"/>
    <w:rsid w:val="00305242"/>
    <w:rsid w:val="00386B1B"/>
    <w:rsid w:val="003A09A8"/>
    <w:rsid w:val="003B25E5"/>
    <w:rsid w:val="003F6E55"/>
    <w:rsid w:val="00487EE5"/>
    <w:rsid w:val="004E4DC9"/>
    <w:rsid w:val="005328BE"/>
    <w:rsid w:val="00540F0A"/>
    <w:rsid w:val="005553ED"/>
    <w:rsid w:val="00587007"/>
    <w:rsid w:val="005F43F6"/>
    <w:rsid w:val="0063420F"/>
    <w:rsid w:val="00657CC1"/>
    <w:rsid w:val="00662B1B"/>
    <w:rsid w:val="006F013F"/>
    <w:rsid w:val="00726459"/>
    <w:rsid w:val="00780FDE"/>
    <w:rsid w:val="0079144A"/>
    <w:rsid w:val="007C507B"/>
    <w:rsid w:val="00861E1A"/>
    <w:rsid w:val="00862934"/>
    <w:rsid w:val="008817C2"/>
    <w:rsid w:val="00886C21"/>
    <w:rsid w:val="008C725D"/>
    <w:rsid w:val="009025A2"/>
    <w:rsid w:val="00A028E7"/>
    <w:rsid w:val="00A10528"/>
    <w:rsid w:val="00AE3E46"/>
    <w:rsid w:val="00AE6502"/>
    <w:rsid w:val="00C0537B"/>
    <w:rsid w:val="00C064ED"/>
    <w:rsid w:val="00C96D9F"/>
    <w:rsid w:val="00D04CCC"/>
    <w:rsid w:val="00D45A9E"/>
    <w:rsid w:val="00D67F51"/>
    <w:rsid w:val="00D80C19"/>
    <w:rsid w:val="00D846BF"/>
    <w:rsid w:val="00D86878"/>
    <w:rsid w:val="00DB13E1"/>
    <w:rsid w:val="00DE42B0"/>
    <w:rsid w:val="00EA0C99"/>
    <w:rsid w:val="00F303A1"/>
    <w:rsid w:val="00F84D2B"/>
    <w:rsid w:val="461306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character" w:styleId="7">
    <w:name w:val="Strong"/>
    <w:basedOn w:val="6"/>
    <w:qFormat/>
    <w:uiPriority w:val="22"/>
    <w:rPr>
      <w:b/>
      <w:bCs/>
    </w:rPr>
  </w:style>
  <w:style w:type="character" w:customStyle="1" w:styleId="8">
    <w:name w:val="pagetext0031"/>
    <w:basedOn w:val="6"/>
    <w:qFormat/>
    <w:uiPriority w:val="0"/>
    <w:rPr>
      <w:rFonts w:hint="eastAsia" w:ascii="宋体" w:hAnsi="宋体" w:eastAsia="宋体"/>
      <w:color w:val="555555"/>
      <w:sz w:val="21"/>
      <w:szCs w:val="21"/>
    </w:rPr>
  </w:style>
  <w:style w:type="character" w:customStyle="1" w:styleId="9">
    <w:name w:val="HTML 预设格式 Char"/>
    <w:basedOn w:val="6"/>
    <w:link w:val="4"/>
    <w:semiHidden/>
    <w:qFormat/>
    <w:uiPriority w:val="0"/>
    <w:rPr>
      <w:rFonts w:ascii="宋体" w:hAnsi="宋体" w:eastAsia="宋体" w:cs="Times New Roman"/>
      <w:kern w:val="0"/>
      <w:sz w:val="24"/>
      <w:szCs w:val="24"/>
    </w:rPr>
  </w:style>
  <w:style w:type="character" w:customStyle="1" w:styleId="10">
    <w:name w:val="页眉 Char"/>
    <w:basedOn w:val="6"/>
    <w:link w:val="3"/>
    <w:uiPriority w:val="99"/>
    <w:rPr>
      <w:sz w:val="18"/>
      <w:szCs w:val="18"/>
    </w:rPr>
  </w:style>
  <w:style w:type="character" w:customStyle="1" w:styleId="11">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508</Words>
  <Characters>2901</Characters>
  <Lines>24</Lines>
  <Paragraphs>6</Paragraphs>
  <TotalTime>1</TotalTime>
  <ScaleCrop>false</ScaleCrop>
  <LinksUpToDate>false</LinksUpToDate>
  <CharactersWithSpaces>3403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2019-12-17T05:28:00Z</dcterms:created>
  <dc:creator>Lenovo User</dc:creator>
  <cp:lastModifiedBy>wino</cp:lastModifiedBy>
  <dcterms:modified xsi:type="dcterms:W3CDTF">2021-05-28T01:45:45Z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09BACEEB8F004BD28C50B8E6B3EB9B79</vt:lpwstr>
  </property>
</Properties>
</file>