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120" w:firstLineChars="600"/>
        <w:textAlignment w:val="auto"/>
        <w:outlineLvl w:val="9"/>
        <w:rPr>
          <w:rFonts w:hint="default" w:ascii="Times New Roman" w:hAnsi="Times New Roman" w:eastAsia="黑体" w:cs="Times New Roman"/>
          <w:sz w:val="52"/>
          <w:szCs w:val="52"/>
        </w:rPr>
      </w:pPr>
      <w:r>
        <w:rPr>
          <w:rFonts w:hint="default" w:ascii="Times New Roman" w:hAnsi="Times New Roman" w:eastAsia="黑体" w:cs="Times New Roman"/>
          <w:sz w:val="52"/>
          <w:szCs w:val="52"/>
        </w:rPr>
        <w:t>目 录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3080" w:firstLineChars="700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基本职能及主要工作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（一）部门职能简介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年重点工作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一）收入预算情况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（二）支出预算情况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四、财政拨款收支预算情况说明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五、一般公共预算当年拨款情况说明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Times New Roman" w:hAnsi="Times New Roman" w:eastAsia="宋体" w:cs="Times New Roman"/>
          <w:kern w:val="0"/>
          <w:sz w:val="12"/>
          <w:szCs w:val="1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（一）一般公共预算当年拨款规模变化情况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（二）一般公共预算当年拨款结构情况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（三）一般公共预算当年拨款具体使用情况</w:t>
      </w:r>
      <w:r>
        <w:rPr>
          <w:rFonts w:hint="default" w:ascii="Times New Roman" w:hAnsi="Times New Roman" w:cs="Times New Roman"/>
          <w:color w:val="auto"/>
          <w:kern w:val="0"/>
          <w:sz w:val="16"/>
          <w:szCs w:val="16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六、一般公共预算基本支出情况说明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七、“三公”经费财政拨款预算安排情况说明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八、政府性基金预算支出情况说明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九、其他重要事项的情况说明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黑体" w:cs="Times New Roman"/>
          <w:sz w:val="32"/>
          <w:szCs w:val="32"/>
        </w:rPr>
        <w:t>十、名称解释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5176"/>
    <w:rsid w:val="034D5176"/>
    <w:rsid w:val="59D334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szCs w:val="24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2021-05-24T02:13:00Z</dcterms:created>
  <dc:creator>Administrator</dc:creator>
  <cp:lastModifiedBy>Administrator</cp:lastModifiedBy>
  <dcterms:modified xsi:type="dcterms:W3CDTF">2021-05-24T02:15:27Z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