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tbl>
      <w:tblPr>
        <w:tblStyle w:val="10"/>
        <w:tblW w:w="12000" w:type="dxa"/>
        <w:jc w:val="center"/>
        <w:tblCellSpacing w:w="0" w:type="dxa"/>
        <w:tblLayout w:type="fixed"/>
        <w:tblCellMar>
          <w:top w:w="0" w:type="dxa"/>
          <w:left w:w="0" w:type="dxa"/>
          <w:bottom w:w="0" w:type="dxa"/>
          <w:right w:w="0" w:type="dxa"/>
        </w:tblCellMar>
      </w:tblPr>
      <w:tblGrid>
        <w:gridCol w:w="12000"/>
      </w:tblGrid>
      <w:tr>
        <w:tblPrEx>
          <w:tblCellMar>
            <w:top w:w="0" w:type="dxa"/>
            <w:left w:w="0" w:type="dxa"/>
            <w:bottom w:w="0" w:type="dxa"/>
            <w:right w:w="0" w:type="dxa"/>
          </w:tblCellMar>
        </w:tblPrEx>
        <w:trPr>
          <w:tblCellSpacing w:w="0" w:type="dxa"/>
          <w:jc w:val="center"/>
        </w:trPr>
        <w:tc>
          <w:tcPr>
            <w:tcW w:w="12000" w:type="dxa"/>
            <w:shd w:val="clear" w:color="auto" w:fill="FFFFFF"/>
          </w:tcPr>
          <w:p/>
          <w:tbl>
            <w:tblPr>
              <w:tblStyle w:val="10"/>
              <w:tblW w:w="12000" w:type="dxa"/>
              <w:tblCellSpacing w:w="0" w:type="dxa"/>
              <w:tblInd w:w="0" w:type="dxa"/>
              <w:tblLayout w:type="fixed"/>
              <w:tblCellMar>
                <w:top w:w="0" w:type="dxa"/>
                <w:left w:w="0" w:type="dxa"/>
                <w:bottom w:w="0" w:type="dxa"/>
                <w:right w:w="0" w:type="dxa"/>
              </w:tblCellMar>
            </w:tblPr>
            <w:tblGrid>
              <w:gridCol w:w="12000"/>
            </w:tblGrid>
            <w:tr>
              <w:tblPrEx>
                <w:tblCellMar>
                  <w:top w:w="0" w:type="dxa"/>
                  <w:left w:w="0" w:type="dxa"/>
                  <w:bottom w:w="0" w:type="dxa"/>
                  <w:right w:w="0" w:type="dxa"/>
                </w:tblCellMar>
              </w:tblPrEx>
              <w:trPr>
                <w:tblCellSpacing w:w="0" w:type="dxa"/>
              </w:trPr>
              <w:tc>
                <w:tcPr>
                  <w:tcW w:w="12000" w:type="dxa"/>
                </w:tcPr>
                <w:p/>
                <w:tbl>
                  <w:tblPr>
                    <w:tblStyle w:val="10"/>
                    <w:tblW w:w="12000" w:type="dxa"/>
                    <w:tblCellSpacing w:w="0" w:type="dxa"/>
                    <w:tblInd w:w="0" w:type="dxa"/>
                    <w:tblLayout w:type="fixed"/>
                    <w:tblCellMar>
                      <w:top w:w="0" w:type="dxa"/>
                      <w:left w:w="0" w:type="dxa"/>
                      <w:bottom w:w="0" w:type="dxa"/>
                      <w:right w:w="0" w:type="dxa"/>
                    </w:tblCellMar>
                  </w:tblPr>
                  <w:tblGrid>
                    <w:gridCol w:w="10650"/>
                    <w:gridCol w:w="1350"/>
                  </w:tblGrid>
                  <w:tr>
                    <w:tblPrEx>
                      <w:tblCellMar>
                        <w:top w:w="0" w:type="dxa"/>
                        <w:left w:w="0" w:type="dxa"/>
                        <w:bottom w:w="0" w:type="dxa"/>
                        <w:right w:w="0" w:type="dxa"/>
                      </w:tblCellMar>
                    </w:tblPrEx>
                    <w:trPr>
                      <w:tblCellSpacing w:w="0" w:type="dxa"/>
                    </w:trPr>
                    <w:tc>
                      <w:tcPr>
                        <w:tcW w:w="10650" w:type="dxa"/>
                        <w:tcMar>
                          <w:top w:w="0" w:type="dxa"/>
                          <w:left w:w="30" w:type="dxa"/>
                          <w:bottom w:w="30" w:type="dxa"/>
                          <w:right w:w="30" w:type="dxa"/>
                        </w:tcMar>
                      </w:tcPr>
                      <w:p/>
                      <w:tbl>
                        <w:tblPr>
                          <w:tblStyle w:val="10"/>
                          <w:tblW w:w="10590" w:type="dxa"/>
                          <w:tblCellSpacing w:w="0" w:type="dxa"/>
                          <w:tblInd w:w="0" w:type="dxa"/>
                          <w:shd w:val="clear" w:color="auto" w:fill="FFFFFF"/>
                          <w:tblLayout w:type="fixed"/>
                          <w:tblCellMar>
                            <w:top w:w="0" w:type="dxa"/>
                            <w:left w:w="0" w:type="dxa"/>
                            <w:bottom w:w="0" w:type="dxa"/>
                            <w:right w:w="0" w:type="dxa"/>
                          </w:tblCellMar>
                        </w:tblPr>
                        <w:tblGrid>
                          <w:gridCol w:w="10590"/>
                        </w:tblGrid>
                        <w:tr>
                          <w:tblPrEx>
                            <w:shd w:val="clear" w:color="auto" w:fill="FFFFFF"/>
                            <w:tblCellMar>
                              <w:top w:w="0" w:type="dxa"/>
                              <w:left w:w="0" w:type="dxa"/>
                              <w:bottom w:w="0" w:type="dxa"/>
                              <w:right w:w="0" w:type="dxa"/>
                            </w:tblCellMar>
                          </w:tblPrEx>
                          <w:trPr>
                            <w:tblCellSpacing w:w="0" w:type="dxa"/>
                          </w:trPr>
                          <w:tc>
                            <w:tcPr>
                              <w:tcW w:w="10590" w:type="dxa"/>
                              <w:shd w:val="clear" w:color="auto" w:fill="FFFFFF"/>
                            </w:tcPr>
                            <w:p/>
                            <w:tbl>
                              <w:tblPr>
                                <w:tblStyle w:val="10"/>
                                <w:tblW w:w="8775" w:type="dxa"/>
                                <w:jc w:val="center"/>
                                <w:tblCellSpacing w:w="0" w:type="dxa"/>
                                <w:tblLayout w:type="fixed"/>
                                <w:tblCellMar>
                                  <w:top w:w="0" w:type="dxa"/>
                                  <w:left w:w="0" w:type="dxa"/>
                                  <w:bottom w:w="0" w:type="dxa"/>
                                  <w:right w:w="0" w:type="dxa"/>
                                </w:tblCellMar>
                              </w:tblPr>
                              <w:tblGrid>
                                <w:gridCol w:w="8775"/>
                              </w:tblGrid>
                              <w:tr>
                                <w:tblPrEx>
                                  <w:tblCellMar>
                                    <w:top w:w="0" w:type="dxa"/>
                                    <w:left w:w="0" w:type="dxa"/>
                                    <w:bottom w:w="0" w:type="dxa"/>
                                    <w:right w:w="0" w:type="dxa"/>
                                  </w:tblCellMar>
                                </w:tblPrEx>
                                <w:trPr>
                                  <w:tblCellSpacing w:w="0" w:type="dxa"/>
                                  <w:jc w:val="center"/>
                                </w:trPr>
                                <w:tc>
                                  <w:tcPr>
                                    <w:tcW w:w="8775" w:type="dxa"/>
                                    <w:tcMar>
                                      <w:top w:w="150" w:type="dxa"/>
                                      <w:left w:w="75" w:type="dxa"/>
                                      <w:bottom w:w="0" w:type="dxa"/>
                                      <w:right w:w="0" w:type="dxa"/>
                                    </w:tcMar>
                                  </w:tcPr>
                                  <w:p>
                                    <w:pPr>
                                      <w:pStyle w:val="3"/>
                                      <w:adjustRightInd w:val="0"/>
                                      <w:snapToGrid w:val="0"/>
                                      <w:spacing w:line="600" w:lineRule="exact"/>
                                      <w:ind w:firstLine="928" w:firstLineChars="210"/>
                                      <w:jc w:val="center"/>
                                      <w:outlineLvl w:val="0"/>
                                      <w:rPr>
                                        <w:rFonts w:hAnsi="宋体" w:cs="宋体"/>
                                        <w:b/>
                                        <w:color w:val="333333"/>
                                        <w:sz w:val="44"/>
                                        <w:szCs w:val="44"/>
                                      </w:rPr>
                                    </w:pPr>
                                    <w:bookmarkStart w:id="0" w:name="_Toc72766491"/>
                                  </w:p>
                                  <w:p>
                                    <w:pPr>
                                      <w:pStyle w:val="3"/>
                                      <w:adjustRightInd w:val="0"/>
                                      <w:snapToGrid w:val="0"/>
                                      <w:spacing w:line="600" w:lineRule="exact"/>
                                      <w:ind w:firstLine="928" w:firstLineChars="210"/>
                                      <w:jc w:val="center"/>
                                      <w:outlineLvl w:val="0"/>
                                      <w:rPr>
                                        <w:rFonts w:hAnsi="宋体" w:cs="宋体"/>
                                        <w:b/>
                                        <w:color w:val="333333"/>
                                        <w:sz w:val="44"/>
                                        <w:szCs w:val="44"/>
                                      </w:rPr>
                                    </w:pPr>
                                  </w:p>
                                  <w:p>
                                    <w:pPr>
                                      <w:pStyle w:val="3"/>
                                      <w:adjustRightInd w:val="0"/>
                                      <w:snapToGrid w:val="0"/>
                                      <w:spacing w:line="600" w:lineRule="exact"/>
                                      <w:ind w:firstLine="928" w:firstLineChars="210"/>
                                      <w:jc w:val="center"/>
                                      <w:outlineLvl w:val="0"/>
                                      <w:rPr>
                                        <w:rFonts w:hAnsi="宋体" w:cs="宋体"/>
                                        <w:b/>
                                        <w:color w:val="333333"/>
                                        <w:sz w:val="44"/>
                                        <w:szCs w:val="44"/>
                                      </w:rPr>
                                    </w:pPr>
                                  </w:p>
                                  <w:p>
                                    <w:pPr>
                                      <w:pStyle w:val="3"/>
                                      <w:adjustRightInd w:val="0"/>
                                      <w:snapToGrid w:val="0"/>
                                      <w:spacing w:line="600" w:lineRule="exact"/>
                                      <w:ind w:firstLine="928" w:firstLineChars="210"/>
                                      <w:jc w:val="center"/>
                                      <w:outlineLvl w:val="0"/>
                                      <w:rPr>
                                        <w:rFonts w:hAnsi="宋体" w:cs="宋体"/>
                                        <w:b/>
                                        <w:color w:val="333333"/>
                                        <w:sz w:val="44"/>
                                        <w:szCs w:val="44"/>
                                      </w:rPr>
                                    </w:pPr>
                                  </w:p>
                                  <w:p>
                                    <w:pPr>
                                      <w:pStyle w:val="3"/>
                                      <w:adjustRightInd w:val="0"/>
                                      <w:snapToGrid w:val="0"/>
                                      <w:spacing w:line="600" w:lineRule="exact"/>
                                      <w:ind w:firstLine="928" w:firstLineChars="210"/>
                                      <w:jc w:val="center"/>
                                      <w:outlineLvl w:val="0"/>
                                      <w:rPr>
                                        <w:rFonts w:hAnsi="宋体" w:cs="宋体"/>
                                        <w:b/>
                                        <w:color w:val="333333"/>
                                        <w:sz w:val="44"/>
                                        <w:szCs w:val="44"/>
                                      </w:rPr>
                                    </w:pPr>
                                  </w:p>
                                  <w:p>
                                    <w:pPr>
                                      <w:pStyle w:val="3"/>
                                      <w:adjustRightInd w:val="0"/>
                                      <w:snapToGrid w:val="0"/>
                                      <w:spacing w:line="600" w:lineRule="exact"/>
                                      <w:ind w:firstLine="928" w:firstLineChars="210"/>
                                      <w:jc w:val="center"/>
                                      <w:outlineLvl w:val="0"/>
                                      <w:rPr>
                                        <w:rFonts w:hAnsi="宋体" w:cs="宋体"/>
                                        <w:b/>
                                        <w:color w:val="333333"/>
                                        <w:sz w:val="44"/>
                                        <w:szCs w:val="44"/>
                                      </w:rPr>
                                    </w:pPr>
                                    <w:r>
                                      <w:rPr>
                                        <w:rFonts w:hint="eastAsia" w:hAnsi="宋体" w:cs="宋体"/>
                                        <w:b/>
                                        <w:color w:val="333333"/>
                                        <w:sz w:val="44"/>
                                        <w:szCs w:val="44"/>
                                      </w:rPr>
                                      <w:t>金川县人民政府办公室</w:t>
                                    </w:r>
                                  </w:p>
                                  <w:p>
                                    <w:pPr>
                                      <w:pStyle w:val="3"/>
                                      <w:adjustRightInd w:val="0"/>
                                      <w:snapToGrid w:val="0"/>
                                      <w:spacing w:line="600" w:lineRule="exact"/>
                                      <w:ind w:firstLine="928" w:firstLineChars="210"/>
                                      <w:jc w:val="center"/>
                                      <w:outlineLvl w:val="0"/>
                                      <w:rPr>
                                        <w:rFonts w:hAnsi="宋体" w:cs="宋体"/>
                                        <w:b/>
                                        <w:color w:val="333333"/>
                                        <w:sz w:val="44"/>
                                        <w:szCs w:val="44"/>
                                      </w:rPr>
                                    </w:pPr>
                                    <w:r>
                                      <w:rPr>
                                        <w:rFonts w:hint="eastAsia" w:hAnsi="宋体" w:cs="宋体"/>
                                        <w:b/>
                                        <w:color w:val="333333"/>
                                        <w:sz w:val="44"/>
                                        <w:szCs w:val="44"/>
                                      </w:rPr>
                                      <w:t>2019年部门预算编制</w:t>
                                    </w:r>
                                    <w:bookmarkEnd w:id="0"/>
                                    <w:r>
                                      <w:rPr>
                                        <w:rFonts w:hint="eastAsia" w:hAnsi="宋体" w:cs="宋体"/>
                                        <w:b/>
                                        <w:color w:val="333333"/>
                                        <w:sz w:val="44"/>
                                        <w:szCs w:val="44"/>
                                      </w:rPr>
                                      <w:t>公示</w:t>
                                    </w:r>
                                  </w:p>
                                  <w:p>
                                    <w:pPr>
                                      <w:pStyle w:val="17"/>
                                      <w:outlineLvl w:val="0"/>
                                      <w:rPr>
                                        <w:rFonts w:ascii="仿宋_GB2312" w:hAnsi="宋体" w:eastAsia="仿宋_GB2312" w:cs="宋体"/>
                                        <w:color w:val="333333"/>
                                        <w:sz w:val="44"/>
                                        <w:szCs w:val="44"/>
                                      </w:rPr>
                                    </w:pPr>
                                  </w:p>
                                  <w:p/>
                                  <w:p/>
                                  <w:p/>
                                  <w:p/>
                                  <w:p/>
                                  <w:p/>
                                  <w:p/>
                                  <w:p/>
                                  <w:p/>
                                  <w:p/>
                                  <w:p/>
                                  <w:p/>
                                  <w:p/>
                                  <w:p/>
                                  <w:p/>
                                  <w:p/>
                                  <w:p/>
                                  <w:p/>
                                  <w:p>
                                    <w:pPr>
                                      <w:pStyle w:val="3"/>
                                      <w:adjustRightInd w:val="0"/>
                                      <w:snapToGrid w:val="0"/>
                                      <w:spacing w:line="600" w:lineRule="exact"/>
                                      <w:outlineLvl w:val="0"/>
                                      <w:rPr>
                                        <w:rFonts w:hAnsi="宋体" w:cs="宋体"/>
                                        <w:color w:val="333333"/>
                                        <w:sz w:val="28"/>
                                        <w:szCs w:val="28"/>
                                      </w:rPr>
                                    </w:pPr>
                                  </w:p>
                                  <w:sdt>
                                    <w:sdtPr>
                                      <w:rPr>
                                        <w:rFonts w:ascii="仿宋_GB2312" w:hAnsi="宋体" w:eastAsia="仿宋_GB2312" w:cs="宋体"/>
                                        <w:color w:val="333333"/>
                                      </w:rPr>
                                      <w:id w:val="1979647092"/>
                                      <w:docPartObj>
                                        <w:docPartGallery w:val="Table of Contents"/>
                                        <w:docPartUnique/>
                                      </w:docPartObj>
                                    </w:sdtPr>
                                    <w:sdtEndPr>
                                      <w:rPr>
                                        <w:rFonts w:asciiTheme="minorHAnsi" w:hAnsiTheme="minorHAnsi" w:eastAsiaTheme="minorEastAsia" w:cstheme="minorBidi"/>
                                        <w:b/>
                                        <w:bCs/>
                                        <w:color w:val="auto"/>
                                        <w:lang w:val="zh-CN"/>
                                      </w:rPr>
                                    </w:sdtEndPr>
                                    <w:sdtContent>
                                      <w:p>
                                        <w:pPr>
                                          <w:jc w:val="center"/>
                                          <w:rPr>
                                            <w:sz w:val="32"/>
                                            <w:szCs w:val="32"/>
                                          </w:rPr>
                                        </w:pPr>
                                        <w:r>
                                          <w:rPr>
                                            <w:rFonts w:ascii="宋体" w:hAnsi="宋体"/>
                                            <w:sz w:val="32"/>
                                            <w:szCs w:val="32"/>
                                          </w:rPr>
                                          <w:t>目</w:t>
                                        </w:r>
                                        <w:r>
                                          <w:rPr>
                                            <w:rFonts w:hint="eastAsia" w:ascii="宋体" w:hAnsi="宋体"/>
                                            <w:sz w:val="32"/>
                                            <w:szCs w:val="32"/>
                                          </w:rPr>
                                          <w:t xml:space="preserve">   </w:t>
                                        </w:r>
                                        <w:r>
                                          <w:rPr>
                                            <w:rFonts w:ascii="宋体" w:hAnsi="宋体"/>
                                            <w:sz w:val="32"/>
                                            <w:szCs w:val="32"/>
                                          </w:rPr>
                                          <w:t>录</w:t>
                                        </w:r>
                                      </w:p>
                                      <w:p>
                                        <w:pPr>
                                          <w:pStyle w:val="22"/>
                                          <w:tabs>
                                            <w:tab w:val="right" w:leader="dot" w:pos="8306"/>
                                          </w:tabs>
                                          <w:rPr>
                                            <w:b/>
                                            <w:sz w:val="24"/>
                                            <w:szCs w:val="24"/>
                                          </w:rPr>
                                        </w:pPr>
                                        <w:r>
                                          <w:rPr>
                                            <w:rFonts w:ascii="宋体" w:hAnsi="宋体" w:cs="方正小标宋简体"/>
                                            <w:b/>
                                            <w:sz w:val="24"/>
                                            <w:szCs w:val="24"/>
                                          </w:rPr>
                                          <w:fldChar w:fldCharType="begin"/>
                                        </w:r>
                                        <w:r>
                                          <w:rPr>
                                            <w:rFonts w:ascii="宋体" w:hAnsi="宋体" w:cs="方正小标宋简体"/>
                                            <w:b/>
                                            <w:sz w:val="24"/>
                                            <w:szCs w:val="24"/>
                                          </w:rPr>
                                          <w:instrText xml:space="preserve">TOC \o "1-2" \h \u </w:instrText>
                                        </w:r>
                                        <w:r>
                                          <w:rPr>
                                            <w:rFonts w:ascii="宋体" w:hAnsi="宋体" w:cs="方正小标宋简体"/>
                                            <w:b/>
                                            <w:sz w:val="24"/>
                                            <w:szCs w:val="24"/>
                                          </w:rPr>
                                          <w:fldChar w:fldCharType="separate"/>
                                        </w:r>
                                        <w:r>
                                          <w:fldChar w:fldCharType="begin"/>
                                        </w:r>
                                        <w:r>
                                          <w:instrText xml:space="preserve"> HYPERLINK \l "_Toc15721" </w:instrText>
                                        </w:r>
                                        <w:r>
                                          <w:fldChar w:fldCharType="separate"/>
                                        </w:r>
                                        <w:r>
                                          <w:rPr>
                                            <w:rFonts w:hint="eastAsia" w:ascii="宋体" w:hAnsi="宋体" w:cs="方正小标宋简体"/>
                                            <w:b/>
                                            <w:sz w:val="24"/>
                                            <w:szCs w:val="24"/>
                                          </w:rPr>
                                          <w:t>金川县政府办公室</w:t>
                                        </w:r>
                                        <w:r>
                                          <w:rPr>
                                            <w:b/>
                                            <w:sz w:val="24"/>
                                            <w:szCs w:val="24"/>
                                          </w:rPr>
                                          <w:tab/>
                                        </w:r>
                                        <w:r>
                                          <w:rPr>
                                            <w:b/>
                                            <w:sz w:val="24"/>
                                            <w:szCs w:val="24"/>
                                          </w:rPr>
                                          <w:fldChar w:fldCharType="begin"/>
                                        </w:r>
                                        <w:r>
                                          <w:rPr>
                                            <w:b/>
                                            <w:sz w:val="24"/>
                                            <w:szCs w:val="24"/>
                                          </w:rPr>
                                          <w:instrText xml:space="preserve"> PAGEREF _Toc15721 \h </w:instrText>
                                        </w:r>
                                        <w:r>
                                          <w:rPr>
                                            <w:b/>
                                            <w:sz w:val="24"/>
                                            <w:szCs w:val="24"/>
                                          </w:rPr>
                                          <w:fldChar w:fldCharType="separate"/>
                                        </w:r>
                                        <w:r>
                                          <w:rPr>
                                            <w:b/>
                                            <w:sz w:val="24"/>
                                            <w:szCs w:val="24"/>
                                          </w:rPr>
                                          <w:t>1</w:t>
                                        </w:r>
                                        <w:r>
                                          <w:rPr>
                                            <w:b/>
                                            <w:sz w:val="24"/>
                                            <w:szCs w:val="24"/>
                                          </w:rPr>
                                          <w:fldChar w:fldCharType="end"/>
                                        </w:r>
                                        <w:r>
                                          <w:rPr>
                                            <w:b/>
                                            <w:sz w:val="24"/>
                                            <w:szCs w:val="24"/>
                                          </w:rPr>
                                          <w:fldChar w:fldCharType="end"/>
                                        </w:r>
                                      </w:p>
                                      <w:p>
                                        <w:pPr>
                                          <w:pStyle w:val="22"/>
                                          <w:tabs>
                                            <w:tab w:val="right" w:leader="dot" w:pos="8306"/>
                                          </w:tabs>
                                          <w:rPr>
                                            <w:b/>
                                            <w:sz w:val="24"/>
                                            <w:szCs w:val="24"/>
                                          </w:rPr>
                                        </w:pPr>
                                        <w:r>
                                          <w:fldChar w:fldCharType="begin"/>
                                        </w:r>
                                        <w:r>
                                          <w:instrText xml:space="preserve"> HYPERLINK \l "_Toc4688" </w:instrText>
                                        </w:r>
                                        <w:r>
                                          <w:fldChar w:fldCharType="separate"/>
                                        </w:r>
                                        <w:r>
                                          <w:rPr>
                                            <w:rFonts w:hint="eastAsia" w:ascii="宋体" w:hAnsi="宋体" w:cs="方正小标宋简体"/>
                                            <w:b/>
                                            <w:sz w:val="24"/>
                                            <w:szCs w:val="24"/>
                                          </w:rPr>
                                          <w:t>20</w:t>
                                        </w:r>
                                        <w:r>
                                          <w:rPr>
                                            <w:rFonts w:hint="eastAsia" w:ascii="宋体" w:hAnsi="宋体" w:cs="方正小标宋简体"/>
                                            <w:b/>
                                            <w:sz w:val="24"/>
                                            <w:szCs w:val="24"/>
                                            <w:lang w:val="en-US" w:eastAsia="zh-CN"/>
                                          </w:rPr>
                                          <w:t>19</w:t>
                                        </w:r>
                                        <w:r>
                                          <w:rPr>
                                            <w:rFonts w:hint="eastAsia" w:ascii="宋体" w:hAnsi="宋体" w:cs="方正小标宋简体"/>
                                            <w:b/>
                                            <w:sz w:val="24"/>
                                            <w:szCs w:val="24"/>
                                          </w:rPr>
                                          <w:t>年部门预算编制公开</w:t>
                                        </w:r>
                                        <w:r>
                                          <w:rPr>
                                            <w:b/>
                                            <w:sz w:val="24"/>
                                            <w:szCs w:val="24"/>
                                          </w:rPr>
                                          <w:tab/>
                                        </w:r>
                                        <w:r>
                                          <w:rPr>
                                            <w:b/>
                                            <w:sz w:val="24"/>
                                            <w:szCs w:val="24"/>
                                          </w:rPr>
                                          <w:fldChar w:fldCharType="begin"/>
                                        </w:r>
                                        <w:r>
                                          <w:rPr>
                                            <w:b/>
                                            <w:sz w:val="24"/>
                                            <w:szCs w:val="24"/>
                                          </w:rPr>
                                          <w:instrText xml:space="preserve"> PAGEREF _Toc4688 \h </w:instrText>
                                        </w:r>
                                        <w:r>
                                          <w:rPr>
                                            <w:b/>
                                            <w:sz w:val="24"/>
                                            <w:szCs w:val="24"/>
                                          </w:rPr>
                                          <w:fldChar w:fldCharType="separate"/>
                                        </w:r>
                                        <w:r>
                                          <w:rPr>
                                            <w:b/>
                                            <w:sz w:val="24"/>
                                            <w:szCs w:val="24"/>
                                          </w:rPr>
                                          <w:t>1</w:t>
                                        </w:r>
                                        <w:r>
                                          <w:rPr>
                                            <w:b/>
                                            <w:sz w:val="24"/>
                                            <w:szCs w:val="24"/>
                                          </w:rPr>
                                          <w:fldChar w:fldCharType="end"/>
                                        </w:r>
                                        <w:r>
                                          <w:rPr>
                                            <w:b/>
                                            <w:sz w:val="24"/>
                                            <w:szCs w:val="24"/>
                                          </w:rPr>
                                          <w:fldChar w:fldCharType="end"/>
                                        </w:r>
                                      </w:p>
                                      <w:p>
                                        <w:pPr>
                                          <w:pStyle w:val="22"/>
                                          <w:tabs>
                                            <w:tab w:val="right" w:leader="dot" w:pos="8306"/>
                                          </w:tabs>
                                          <w:rPr>
                                            <w:b/>
                                            <w:sz w:val="24"/>
                                            <w:szCs w:val="24"/>
                                          </w:rPr>
                                        </w:pPr>
                                        <w:r>
                                          <w:fldChar w:fldCharType="begin"/>
                                        </w:r>
                                        <w:r>
                                          <w:instrText xml:space="preserve"> HYPERLINK \l "_Toc27690" </w:instrText>
                                        </w:r>
                                        <w:r>
                                          <w:fldChar w:fldCharType="separate"/>
                                        </w:r>
                                        <w:r>
                                          <w:rPr>
                                            <w:rFonts w:hint="eastAsia" w:ascii="黑体" w:hAnsi="黑体" w:eastAsia="黑体" w:cs="黑体"/>
                                            <w:b/>
                                            <w:sz w:val="24"/>
                                            <w:szCs w:val="24"/>
                                          </w:rPr>
                                          <w:t>一、基本职能及主要工作</w:t>
                                        </w:r>
                                        <w:r>
                                          <w:rPr>
                                            <w:b/>
                                            <w:sz w:val="24"/>
                                            <w:szCs w:val="24"/>
                                          </w:rPr>
                                          <w:tab/>
                                        </w:r>
                                        <w:r>
                                          <w:rPr>
                                            <w:rFonts w:hint="eastAsia"/>
                                            <w:b/>
                                            <w:sz w:val="24"/>
                                            <w:szCs w:val="24"/>
                                          </w:rPr>
                                          <w:t>3</w:t>
                                        </w:r>
                                        <w:r>
                                          <w:rPr>
                                            <w:rFonts w:hint="eastAsia"/>
                                            <w:b/>
                                            <w:sz w:val="24"/>
                                            <w:szCs w:val="24"/>
                                          </w:rPr>
                                          <w:fldChar w:fldCharType="end"/>
                                        </w:r>
                                      </w:p>
                                      <w:p>
                                        <w:pPr>
                                          <w:pStyle w:val="23"/>
                                          <w:tabs>
                                            <w:tab w:val="right" w:leader="dot" w:pos="8306"/>
                                          </w:tabs>
                                          <w:spacing w:before="93"/>
                                          <w:ind w:left="420"/>
                                          <w:rPr>
                                            <w:sz w:val="24"/>
                                            <w:szCs w:val="24"/>
                                          </w:rPr>
                                        </w:pPr>
                                        <w:r>
                                          <w:fldChar w:fldCharType="begin"/>
                                        </w:r>
                                        <w:r>
                                          <w:instrText xml:space="preserve"> HYPERLINK \l "_Toc28763" </w:instrText>
                                        </w:r>
                                        <w:r>
                                          <w:fldChar w:fldCharType="separate"/>
                                        </w:r>
                                        <w:r>
                                          <w:rPr>
                                            <w:rFonts w:hint="eastAsia" w:ascii="仿宋" w:hAnsi="仿宋" w:eastAsia="仿宋" w:cs="宋体"/>
                                            <w:spacing w:val="-14"/>
                                            <w:sz w:val="24"/>
                                            <w:szCs w:val="24"/>
                                          </w:rPr>
                                          <w:t>（一）主要职能。</w:t>
                                        </w:r>
                                        <w:r>
                                          <w:rPr>
                                            <w:sz w:val="24"/>
                                            <w:szCs w:val="24"/>
                                          </w:rPr>
                                          <w:tab/>
                                        </w:r>
                                        <w:r>
                                          <w:rPr>
                                            <w:rFonts w:hint="eastAsia"/>
                                            <w:sz w:val="24"/>
                                            <w:szCs w:val="24"/>
                                          </w:rPr>
                                          <w:t>3</w:t>
                                        </w:r>
                                        <w:r>
                                          <w:rPr>
                                            <w:rFonts w:hint="eastAsia"/>
                                            <w:sz w:val="24"/>
                                            <w:szCs w:val="24"/>
                                          </w:rPr>
                                          <w:fldChar w:fldCharType="end"/>
                                        </w:r>
                                      </w:p>
                                      <w:p>
                                        <w:pPr>
                                          <w:pStyle w:val="23"/>
                                          <w:tabs>
                                            <w:tab w:val="right" w:leader="dot" w:pos="8306"/>
                                          </w:tabs>
                                          <w:spacing w:before="93"/>
                                          <w:ind w:left="420"/>
                                          <w:rPr>
                                            <w:sz w:val="24"/>
                                            <w:szCs w:val="24"/>
                                          </w:rPr>
                                        </w:pPr>
                                        <w:r>
                                          <w:fldChar w:fldCharType="begin"/>
                                        </w:r>
                                        <w:r>
                                          <w:instrText xml:space="preserve"> HYPERLINK \l "_Toc7225" </w:instrText>
                                        </w:r>
                                        <w:r>
                                          <w:fldChar w:fldCharType="separate"/>
                                        </w:r>
                                        <w:r>
                                          <w:rPr>
                                            <w:rFonts w:hint="eastAsia" w:ascii="楷体_GB2312" w:hAnsi="楷体_GB2312" w:eastAsia="楷体_GB2312" w:cs="楷体_GB2312"/>
                                            <w:bCs/>
                                            <w:sz w:val="24"/>
                                            <w:szCs w:val="24"/>
                                          </w:rPr>
                                          <w:t>（二）20</w:t>
                                        </w:r>
                                        <w:r>
                                          <w:rPr>
                                            <w:rFonts w:hint="eastAsia" w:ascii="楷体_GB2312" w:hAnsi="楷体_GB2312" w:eastAsia="楷体_GB2312" w:cs="楷体_GB2312"/>
                                            <w:bCs/>
                                            <w:sz w:val="24"/>
                                            <w:szCs w:val="24"/>
                                            <w:lang w:val="en-US" w:eastAsia="zh-CN"/>
                                          </w:rPr>
                                          <w:t>19</w:t>
                                        </w:r>
                                        <w:r>
                                          <w:rPr>
                                            <w:rFonts w:hint="eastAsia" w:ascii="楷体_GB2312" w:hAnsi="楷体_GB2312" w:eastAsia="楷体_GB2312" w:cs="楷体_GB2312"/>
                                            <w:bCs/>
                                            <w:sz w:val="24"/>
                                            <w:szCs w:val="24"/>
                                          </w:rPr>
                                          <w:t>年重点工作</w:t>
                                        </w:r>
                                        <w:r>
                                          <w:rPr>
                                            <w:sz w:val="24"/>
                                            <w:szCs w:val="24"/>
                                          </w:rPr>
                                          <w:tab/>
                                        </w:r>
                                        <w:r>
                                          <w:rPr>
                                            <w:rFonts w:hint="eastAsia"/>
                                            <w:sz w:val="24"/>
                                            <w:szCs w:val="24"/>
                                          </w:rPr>
                                          <w:t>3</w:t>
                                        </w:r>
                                        <w:r>
                                          <w:rPr>
                                            <w:rFonts w:hint="eastAsia"/>
                                            <w:sz w:val="24"/>
                                            <w:szCs w:val="24"/>
                                          </w:rPr>
                                          <w:fldChar w:fldCharType="end"/>
                                        </w:r>
                                      </w:p>
                                      <w:p>
                                        <w:pPr>
                                          <w:pStyle w:val="22"/>
                                          <w:tabs>
                                            <w:tab w:val="right" w:leader="dot" w:pos="8306"/>
                                          </w:tabs>
                                          <w:rPr>
                                            <w:b/>
                                            <w:sz w:val="24"/>
                                            <w:szCs w:val="24"/>
                                          </w:rPr>
                                        </w:pPr>
                                        <w:r>
                                          <w:fldChar w:fldCharType="begin"/>
                                        </w:r>
                                        <w:r>
                                          <w:instrText xml:space="preserve"> HYPERLINK \l "_Toc26173" </w:instrText>
                                        </w:r>
                                        <w:r>
                                          <w:fldChar w:fldCharType="separate"/>
                                        </w:r>
                                        <w:r>
                                          <w:rPr>
                                            <w:rFonts w:hint="eastAsia" w:ascii="黑体" w:hAnsi="黑体" w:eastAsia="黑体" w:cs="黑体"/>
                                            <w:b/>
                                            <w:sz w:val="24"/>
                                            <w:szCs w:val="24"/>
                                          </w:rPr>
                                          <w:t>二、部门预算单位构成</w:t>
                                        </w:r>
                                        <w:r>
                                          <w:rPr>
                                            <w:b/>
                                            <w:sz w:val="24"/>
                                            <w:szCs w:val="24"/>
                                          </w:rPr>
                                          <w:tab/>
                                        </w:r>
                                        <w:r>
                                          <w:rPr>
                                            <w:rFonts w:hint="eastAsia"/>
                                            <w:b/>
                                            <w:sz w:val="24"/>
                                            <w:szCs w:val="24"/>
                                          </w:rPr>
                                          <w:t>4</w:t>
                                        </w:r>
                                        <w:r>
                                          <w:rPr>
                                            <w:rFonts w:hint="eastAsia"/>
                                            <w:b/>
                                            <w:sz w:val="24"/>
                                            <w:szCs w:val="24"/>
                                          </w:rPr>
                                          <w:fldChar w:fldCharType="end"/>
                                        </w:r>
                                      </w:p>
                                      <w:p>
                                        <w:pPr>
                                          <w:pStyle w:val="22"/>
                                          <w:tabs>
                                            <w:tab w:val="right" w:leader="dot" w:pos="8306"/>
                                          </w:tabs>
                                          <w:rPr>
                                            <w:b/>
                                            <w:sz w:val="24"/>
                                            <w:szCs w:val="24"/>
                                          </w:rPr>
                                        </w:pPr>
                                        <w:r>
                                          <w:fldChar w:fldCharType="begin"/>
                                        </w:r>
                                        <w:r>
                                          <w:instrText xml:space="preserve"> HYPERLINK \l "_Toc31371" </w:instrText>
                                        </w:r>
                                        <w:r>
                                          <w:fldChar w:fldCharType="separate"/>
                                        </w:r>
                                        <w:r>
                                          <w:rPr>
                                            <w:rFonts w:hint="eastAsia" w:ascii="黑体" w:hAnsi="黑体" w:eastAsia="黑体" w:cs="黑体"/>
                                            <w:b/>
                                            <w:sz w:val="24"/>
                                            <w:szCs w:val="24"/>
                                          </w:rPr>
                                          <w:t>三、收支预算情况说明</w:t>
                                        </w:r>
                                        <w:r>
                                          <w:rPr>
                                            <w:b/>
                                            <w:sz w:val="24"/>
                                            <w:szCs w:val="24"/>
                                          </w:rPr>
                                          <w:tab/>
                                        </w:r>
                                        <w:r>
                                          <w:rPr>
                                            <w:rFonts w:hint="eastAsia"/>
                                            <w:b/>
                                            <w:sz w:val="24"/>
                                            <w:szCs w:val="24"/>
                                          </w:rPr>
                                          <w:t>4</w:t>
                                        </w:r>
                                        <w:r>
                                          <w:rPr>
                                            <w:rFonts w:hint="eastAsia"/>
                                            <w:b/>
                                            <w:sz w:val="24"/>
                                            <w:szCs w:val="24"/>
                                          </w:rPr>
                                          <w:fldChar w:fldCharType="end"/>
                                        </w:r>
                                      </w:p>
                                      <w:p>
                                        <w:pPr>
                                          <w:pStyle w:val="23"/>
                                          <w:tabs>
                                            <w:tab w:val="right" w:leader="dot" w:pos="8306"/>
                                          </w:tabs>
                                          <w:spacing w:before="93"/>
                                          <w:ind w:left="420"/>
                                          <w:rPr>
                                            <w:sz w:val="24"/>
                                            <w:szCs w:val="24"/>
                                          </w:rPr>
                                        </w:pPr>
                                        <w:r>
                                          <w:fldChar w:fldCharType="begin"/>
                                        </w:r>
                                        <w:r>
                                          <w:instrText xml:space="preserve"> HYPERLINK \l "_Toc5382" </w:instrText>
                                        </w:r>
                                        <w:r>
                                          <w:fldChar w:fldCharType="separate"/>
                                        </w:r>
                                        <w:r>
                                          <w:rPr>
                                            <w:rFonts w:hint="eastAsia" w:ascii="楷体_GB2312" w:hAnsi="楷体_GB2312" w:eastAsia="楷体_GB2312" w:cs="楷体_GB2312"/>
                                            <w:bCs/>
                                            <w:sz w:val="24"/>
                                            <w:szCs w:val="24"/>
                                          </w:rPr>
                                          <w:t>（一）收入预算情况</w:t>
                                        </w:r>
                                        <w:r>
                                          <w:rPr>
                                            <w:sz w:val="24"/>
                                            <w:szCs w:val="24"/>
                                          </w:rPr>
                                          <w:tab/>
                                        </w:r>
                                        <w:r>
                                          <w:rPr>
                                            <w:rFonts w:hint="eastAsia"/>
                                            <w:sz w:val="24"/>
                                            <w:szCs w:val="24"/>
                                          </w:rPr>
                                          <w:t>4</w:t>
                                        </w:r>
                                        <w:r>
                                          <w:rPr>
                                            <w:rFonts w:hint="eastAsia"/>
                                            <w:sz w:val="24"/>
                                            <w:szCs w:val="24"/>
                                          </w:rPr>
                                          <w:fldChar w:fldCharType="end"/>
                                        </w:r>
                                      </w:p>
                                      <w:p>
                                        <w:pPr>
                                          <w:pStyle w:val="23"/>
                                          <w:tabs>
                                            <w:tab w:val="right" w:leader="dot" w:pos="8306"/>
                                          </w:tabs>
                                          <w:spacing w:before="93"/>
                                          <w:ind w:left="420"/>
                                          <w:rPr>
                                            <w:sz w:val="24"/>
                                            <w:szCs w:val="24"/>
                                          </w:rPr>
                                        </w:pPr>
                                        <w:r>
                                          <w:fldChar w:fldCharType="begin"/>
                                        </w:r>
                                        <w:r>
                                          <w:instrText xml:space="preserve"> HYPERLINK \l "_Toc29715" </w:instrText>
                                        </w:r>
                                        <w:r>
                                          <w:fldChar w:fldCharType="separate"/>
                                        </w:r>
                                        <w:r>
                                          <w:rPr>
                                            <w:rFonts w:hint="eastAsia" w:ascii="楷体_GB2312" w:hAnsi="楷体_GB2312" w:eastAsia="楷体_GB2312" w:cs="楷体_GB2312"/>
                                            <w:bCs/>
                                            <w:sz w:val="24"/>
                                            <w:szCs w:val="24"/>
                                          </w:rPr>
                                          <w:t>（二）支出预算情况</w:t>
                                        </w:r>
                                        <w:r>
                                          <w:rPr>
                                            <w:sz w:val="24"/>
                                            <w:szCs w:val="24"/>
                                          </w:rPr>
                                          <w:tab/>
                                        </w:r>
                                        <w:r>
                                          <w:rPr>
                                            <w:rFonts w:hint="eastAsia"/>
                                            <w:sz w:val="24"/>
                                            <w:szCs w:val="24"/>
                                          </w:rPr>
                                          <w:t>5</w:t>
                                        </w:r>
                                        <w:r>
                                          <w:rPr>
                                            <w:rFonts w:hint="eastAsia"/>
                                            <w:sz w:val="24"/>
                                            <w:szCs w:val="24"/>
                                          </w:rPr>
                                          <w:fldChar w:fldCharType="end"/>
                                        </w:r>
                                      </w:p>
                                      <w:p>
                                        <w:pPr>
                                          <w:pStyle w:val="22"/>
                                          <w:tabs>
                                            <w:tab w:val="right" w:leader="dot" w:pos="8306"/>
                                          </w:tabs>
                                          <w:rPr>
                                            <w:b/>
                                            <w:sz w:val="24"/>
                                            <w:szCs w:val="24"/>
                                          </w:rPr>
                                        </w:pPr>
                                        <w:r>
                                          <w:fldChar w:fldCharType="begin"/>
                                        </w:r>
                                        <w:r>
                                          <w:instrText xml:space="preserve"> HYPERLINK \l "_Toc27998" </w:instrText>
                                        </w:r>
                                        <w:r>
                                          <w:fldChar w:fldCharType="separate"/>
                                        </w:r>
                                        <w:r>
                                          <w:rPr>
                                            <w:rFonts w:hint="eastAsia" w:ascii="黑体" w:hAnsi="黑体" w:eastAsia="黑体" w:cs="黑体"/>
                                            <w:b/>
                                            <w:sz w:val="24"/>
                                            <w:szCs w:val="24"/>
                                          </w:rPr>
                                          <w:t>四、财政拨款收支预算情况说明</w:t>
                                        </w:r>
                                        <w:r>
                                          <w:rPr>
                                            <w:b/>
                                            <w:sz w:val="24"/>
                                            <w:szCs w:val="24"/>
                                          </w:rPr>
                                          <w:tab/>
                                        </w:r>
                                        <w:r>
                                          <w:rPr>
                                            <w:rFonts w:hint="eastAsia"/>
                                            <w:b/>
                                            <w:sz w:val="24"/>
                                            <w:szCs w:val="24"/>
                                          </w:rPr>
                                          <w:t>5</w:t>
                                        </w:r>
                                        <w:r>
                                          <w:rPr>
                                            <w:rFonts w:hint="eastAsia"/>
                                            <w:b/>
                                            <w:sz w:val="24"/>
                                            <w:szCs w:val="24"/>
                                          </w:rPr>
                                          <w:fldChar w:fldCharType="end"/>
                                        </w:r>
                                      </w:p>
                                      <w:p>
                                        <w:pPr>
                                          <w:pStyle w:val="22"/>
                                          <w:tabs>
                                            <w:tab w:val="right" w:leader="dot" w:pos="8306"/>
                                          </w:tabs>
                                          <w:rPr>
                                            <w:b/>
                                            <w:sz w:val="24"/>
                                            <w:szCs w:val="24"/>
                                          </w:rPr>
                                        </w:pPr>
                                        <w:r>
                                          <w:fldChar w:fldCharType="begin"/>
                                        </w:r>
                                        <w:r>
                                          <w:instrText xml:space="preserve"> HYPERLINK \l "_Toc6233" </w:instrText>
                                        </w:r>
                                        <w:r>
                                          <w:fldChar w:fldCharType="separate"/>
                                        </w:r>
                                        <w:r>
                                          <w:rPr>
                                            <w:rFonts w:hint="eastAsia" w:ascii="黑体" w:hAnsi="黑体" w:eastAsia="黑体" w:cs="黑体"/>
                                            <w:b/>
                                            <w:sz w:val="24"/>
                                            <w:szCs w:val="24"/>
                                          </w:rPr>
                                          <w:t>五、一般公共预算当年拨款情况说明</w:t>
                                        </w:r>
                                        <w:r>
                                          <w:rPr>
                                            <w:b/>
                                            <w:sz w:val="24"/>
                                            <w:szCs w:val="24"/>
                                          </w:rPr>
                                          <w:tab/>
                                        </w:r>
                                        <w:r>
                                          <w:rPr>
                                            <w:rFonts w:hint="eastAsia"/>
                                            <w:b/>
                                            <w:sz w:val="24"/>
                                            <w:szCs w:val="24"/>
                                          </w:rPr>
                                          <w:t>5</w:t>
                                        </w:r>
                                        <w:r>
                                          <w:rPr>
                                            <w:rFonts w:hint="eastAsia"/>
                                            <w:b/>
                                            <w:sz w:val="24"/>
                                            <w:szCs w:val="24"/>
                                          </w:rPr>
                                          <w:fldChar w:fldCharType="end"/>
                                        </w:r>
                                      </w:p>
                                      <w:p>
                                        <w:pPr>
                                          <w:pStyle w:val="23"/>
                                          <w:tabs>
                                            <w:tab w:val="right" w:leader="dot" w:pos="8306"/>
                                          </w:tabs>
                                          <w:spacing w:before="93"/>
                                          <w:ind w:left="420"/>
                                          <w:rPr>
                                            <w:sz w:val="24"/>
                                            <w:szCs w:val="24"/>
                                          </w:rPr>
                                        </w:pPr>
                                        <w:r>
                                          <w:fldChar w:fldCharType="begin"/>
                                        </w:r>
                                        <w:r>
                                          <w:instrText xml:space="preserve"> HYPERLINK \l "_Toc1087" </w:instrText>
                                        </w:r>
                                        <w:r>
                                          <w:fldChar w:fldCharType="separate"/>
                                        </w:r>
                                        <w:r>
                                          <w:rPr>
                                            <w:rFonts w:hint="eastAsia" w:ascii="楷体_GB2312" w:hAnsi="楷体_GB2312" w:eastAsia="楷体_GB2312" w:cs="楷体_GB2312"/>
                                            <w:bCs/>
                                            <w:sz w:val="24"/>
                                            <w:szCs w:val="24"/>
                                          </w:rPr>
                                          <w:t>（一）一般公共预算当年拨款规模变化情况</w:t>
                                        </w:r>
                                        <w:r>
                                          <w:rPr>
                                            <w:sz w:val="24"/>
                                            <w:szCs w:val="24"/>
                                          </w:rPr>
                                          <w:tab/>
                                        </w:r>
                                        <w:r>
                                          <w:rPr>
                                            <w:rFonts w:hint="eastAsia"/>
                                            <w:sz w:val="24"/>
                                            <w:szCs w:val="24"/>
                                          </w:rPr>
                                          <w:t>6</w:t>
                                        </w:r>
                                        <w:r>
                                          <w:rPr>
                                            <w:rFonts w:hint="eastAsia"/>
                                            <w:sz w:val="24"/>
                                            <w:szCs w:val="24"/>
                                          </w:rPr>
                                          <w:fldChar w:fldCharType="end"/>
                                        </w:r>
                                      </w:p>
                                      <w:p>
                                        <w:pPr>
                                          <w:pStyle w:val="23"/>
                                          <w:tabs>
                                            <w:tab w:val="right" w:leader="dot" w:pos="8306"/>
                                          </w:tabs>
                                          <w:spacing w:before="93"/>
                                          <w:ind w:left="420"/>
                                          <w:rPr>
                                            <w:sz w:val="24"/>
                                            <w:szCs w:val="24"/>
                                          </w:rPr>
                                        </w:pPr>
                                        <w:r>
                                          <w:fldChar w:fldCharType="begin"/>
                                        </w:r>
                                        <w:r>
                                          <w:instrText xml:space="preserve"> HYPERLINK \l "_Toc9656" </w:instrText>
                                        </w:r>
                                        <w:r>
                                          <w:fldChar w:fldCharType="separate"/>
                                        </w:r>
                                        <w:r>
                                          <w:rPr>
                                            <w:rFonts w:hint="eastAsia" w:ascii="楷体_GB2312" w:hAnsi="楷体_GB2312" w:eastAsia="楷体_GB2312" w:cs="楷体_GB2312"/>
                                            <w:bCs/>
                                            <w:sz w:val="24"/>
                                            <w:szCs w:val="24"/>
                                          </w:rPr>
                                          <w:t>（二）一般公共预算当年拨款结构情况</w:t>
                                        </w:r>
                                        <w:r>
                                          <w:rPr>
                                            <w:sz w:val="24"/>
                                            <w:szCs w:val="24"/>
                                          </w:rPr>
                                          <w:tab/>
                                        </w:r>
                                        <w:r>
                                          <w:rPr>
                                            <w:rFonts w:hint="eastAsia"/>
                                            <w:sz w:val="24"/>
                                            <w:szCs w:val="24"/>
                                          </w:rPr>
                                          <w:t>6</w:t>
                                        </w:r>
                                        <w:r>
                                          <w:rPr>
                                            <w:rFonts w:hint="eastAsia"/>
                                            <w:sz w:val="24"/>
                                            <w:szCs w:val="24"/>
                                          </w:rPr>
                                          <w:fldChar w:fldCharType="end"/>
                                        </w:r>
                                      </w:p>
                                      <w:p>
                                        <w:pPr>
                                          <w:pStyle w:val="23"/>
                                          <w:tabs>
                                            <w:tab w:val="right" w:leader="dot" w:pos="8306"/>
                                          </w:tabs>
                                          <w:spacing w:before="93"/>
                                          <w:ind w:left="420"/>
                                          <w:rPr>
                                            <w:sz w:val="24"/>
                                            <w:szCs w:val="24"/>
                                          </w:rPr>
                                        </w:pPr>
                                        <w:r>
                                          <w:fldChar w:fldCharType="begin"/>
                                        </w:r>
                                        <w:r>
                                          <w:instrText xml:space="preserve"> HYPERLINK \l "_Toc20158" </w:instrText>
                                        </w:r>
                                        <w:r>
                                          <w:fldChar w:fldCharType="separate"/>
                                        </w:r>
                                        <w:r>
                                          <w:rPr>
                                            <w:rFonts w:hint="eastAsia" w:ascii="楷体_GB2312" w:hAnsi="楷体_GB2312" w:eastAsia="楷体_GB2312" w:cs="楷体_GB2312"/>
                                            <w:bCs/>
                                            <w:sz w:val="24"/>
                                            <w:szCs w:val="24"/>
                                          </w:rPr>
                                          <w:t>（三）一般公共预算当年拨款具体使用情况</w:t>
                                        </w:r>
                                        <w:r>
                                          <w:rPr>
                                            <w:sz w:val="24"/>
                                            <w:szCs w:val="24"/>
                                          </w:rPr>
                                          <w:tab/>
                                        </w:r>
                                        <w:r>
                                          <w:rPr>
                                            <w:rFonts w:hint="eastAsia"/>
                                            <w:sz w:val="24"/>
                                            <w:szCs w:val="24"/>
                                          </w:rPr>
                                          <w:t>6</w:t>
                                        </w:r>
                                        <w:r>
                                          <w:rPr>
                                            <w:rFonts w:hint="eastAsia"/>
                                            <w:sz w:val="24"/>
                                            <w:szCs w:val="24"/>
                                          </w:rPr>
                                          <w:fldChar w:fldCharType="end"/>
                                        </w:r>
                                      </w:p>
                                      <w:p>
                                        <w:pPr>
                                          <w:pStyle w:val="22"/>
                                          <w:tabs>
                                            <w:tab w:val="right" w:leader="dot" w:pos="8306"/>
                                          </w:tabs>
                                          <w:rPr>
                                            <w:b/>
                                            <w:sz w:val="24"/>
                                            <w:szCs w:val="24"/>
                                          </w:rPr>
                                        </w:pPr>
                                        <w:r>
                                          <w:fldChar w:fldCharType="begin"/>
                                        </w:r>
                                        <w:r>
                                          <w:instrText xml:space="preserve"> HYPERLINK \l "_Toc13449" </w:instrText>
                                        </w:r>
                                        <w:r>
                                          <w:fldChar w:fldCharType="separate"/>
                                        </w:r>
                                        <w:r>
                                          <w:rPr>
                                            <w:rFonts w:hint="eastAsia" w:ascii="黑体" w:hAnsi="黑体" w:eastAsia="黑体" w:cs="黑体"/>
                                            <w:b/>
                                            <w:sz w:val="24"/>
                                            <w:szCs w:val="24"/>
                                          </w:rPr>
                                          <w:t>六、一般公共预算基本支出情况说明</w:t>
                                        </w:r>
                                        <w:r>
                                          <w:rPr>
                                            <w:b/>
                                            <w:sz w:val="24"/>
                                            <w:szCs w:val="24"/>
                                          </w:rPr>
                                          <w:tab/>
                                        </w:r>
                                        <w:r>
                                          <w:rPr>
                                            <w:rFonts w:hint="eastAsia"/>
                                            <w:b/>
                                            <w:sz w:val="24"/>
                                            <w:szCs w:val="24"/>
                                          </w:rPr>
                                          <w:t>7</w:t>
                                        </w:r>
                                        <w:r>
                                          <w:rPr>
                                            <w:rFonts w:hint="eastAsia"/>
                                            <w:b/>
                                            <w:sz w:val="24"/>
                                            <w:szCs w:val="24"/>
                                          </w:rPr>
                                          <w:fldChar w:fldCharType="end"/>
                                        </w:r>
                                      </w:p>
                                      <w:p>
                                        <w:pPr>
                                          <w:pStyle w:val="22"/>
                                          <w:tabs>
                                            <w:tab w:val="right" w:leader="dot" w:pos="8306"/>
                                          </w:tabs>
                                          <w:rPr>
                                            <w:b/>
                                            <w:sz w:val="24"/>
                                            <w:szCs w:val="24"/>
                                          </w:rPr>
                                        </w:pPr>
                                        <w:r>
                                          <w:fldChar w:fldCharType="begin"/>
                                        </w:r>
                                        <w:r>
                                          <w:instrText xml:space="preserve"> HYPERLINK \l "_Toc1278" </w:instrText>
                                        </w:r>
                                        <w:r>
                                          <w:fldChar w:fldCharType="separate"/>
                                        </w:r>
                                        <w:r>
                                          <w:rPr>
                                            <w:rFonts w:hint="eastAsia" w:ascii="黑体" w:hAnsi="黑体" w:eastAsia="黑体" w:cs="黑体"/>
                                            <w:b/>
                                            <w:sz w:val="24"/>
                                            <w:szCs w:val="24"/>
                                          </w:rPr>
                                          <w:t>七、“三公”经费财政拨款预算安排情况说明</w:t>
                                        </w:r>
                                        <w:r>
                                          <w:rPr>
                                            <w:b/>
                                            <w:sz w:val="24"/>
                                            <w:szCs w:val="24"/>
                                          </w:rPr>
                                          <w:tab/>
                                        </w:r>
                                        <w:r>
                                          <w:rPr>
                                            <w:rFonts w:hint="eastAsia"/>
                                            <w:b/>
                                            <w:sz w:val="24"/>
                                            <w:szCs w:val="24"/>
                                          </w:rPr>
                                          <w:t>7</w:t>
                                        </w:r>
                                        <w:r>
                                          <w:rPr>
                                            <w:rFonts w:hint="eastAsia"/>
                                            <w:b/>
                                            <w:sz w:val="24"/>
                                            <w:szCs w:val="24"/>
                                          </w:rPr>
                                          <w:fldChar w:fldCharType="end"/>
                                        </w:r>
                                      </w:p>
                                      <w:p>
                                        <w:pPr>
                                          <w:pStyle w:val="23"/>
                                          <w:tabs>
                                            <w:tab w:val="right" w:leader="dot" w:pos="8306"/>
                                          </w:tabs>
                                          <w:spacing w:before="93"/>
                                          <w:ind w:left="420"/>
                                          <w:rPr>
                                            <w:sz w:val="24"/>
                                            <w:szCs w:val="24"/>
                                          </w:rPr>
                                        </w:pPr>
                                        <w:r>
                                          <w:fldChar w:fldCharType="begin"/>
                                        </w:r>
                                        <w:r>
                                          <w:instrText xml:space="preserve"> HYPERLINK \l "_Toc24785" </w:instrText>
                                        </w:r>
                                        <w:r>
                                          <w:fldChar w:fldCharType="separate"/>
                                        </w:r>
                                        <w:r>
                                          <w:rPr>
                                            <w:rFonts w:ascii="楷体_GB2312" w:hAnsi="楷体_GB2312" w:eastAsia="楷体_GB2312" w:cs="楷体_GB2312"/>
                                            <w:bCs/>
                                            <w:sz w:val="24"/>
                                            <w:szCs w:val="24"/>
                                          </w:rPr>
                                          <w:t xml:space="preserve">（一） </w:t>
                                        </w:r>
                                        <w:r>
                                          <w:rPr>
                                            <w:rFonts w:hint="eastAsia" w:ascii="楷体_GB2312" w:hAnsi="楷体_GB2312" w:eastAsia="楷体_GB2312" w:cs="楷体_GB2312"/>
                                            <w:bCs/>
                                            <w:sz w:val="24"/>
                                            <w:szCs w:val="24"/>
                                          </w:rPr>
                                          <w:t>因公出国（境）经费较2018年预算持平</w:t>
                                        </w:r>
                                        <w:r>
                                          <w:rPr>
                                            <w:sz w:val="24"/>
                                            <w:szCs w:val="24"/>
                                          </w:rPr>
                                          <w:tab/>
                                        </w:r>
                                        <w:r>
                                          <w:rPr>
                                            <w:rFonts w:hint="eastAsia"/>
                                            <w:sz w:val="24"/>
                                            <w:szCs w:val="24"/>
                                          </w:rPr>
                                          <w:t>8</w:t>
                                        </w:r>
                                        <w:r>
                                          <w:rPr>
                                            <w:rFonts w:hint="eastAsia"/>
                                            <w:sz w:val="24"/>
                                            <w:szCs w:val="24"/>
                                          </w:rPr>
                                          <w:fldChar w:fldCharType="end"/>
                                        </w:r>
                                      </w:p>
                                      <w:p>
                                        <w:pPr>
                                          <w:pStyle w:val="23"/>
                                          <w:tabs>
                                            <w:tab w:val="right" w:leader="dot" w:pos="8306"/>
                                          </w:tabs>
                                          <w:spacing w:before="93"/>
                                          <w:ind w:left="420"/>
                                          <w:rPr>
                                            <w:sz w:val="24"/>
                                            <w:szCs w:val="24"/>
                                          </w:rPr>
                                        </w:pPr>
                                        <w:r>
                                          <w:fldChar w:fldCharType="begin"/>
                                        </w:r>
                                        <w:r>
                                          <w:instrText xml:space="preserve"> HYPERLINK \l "_Toc11700" </w:instrText>
                                        </w:r>
                                        <w:r>
                                          <w:fldChar w:fldCharType="separate"/>
                                        </w:r>
                                        <w:r>
                                          <w:rPr>
                                            <w:rFonts w:ascii="楷体_GB2312" w:hAnsi="楷体_GB2312" w:eastAsia="楷体_GB2312" w:cs="楷体_GB2312"/>
                                            <w:bCs/>
                                            <w:sz w:val="24"/>
                                            <w:szCs w:val="24"/>
                                          </w:rPr>
                                          <w:t xml:space="preserve">（二） </w:t>
                                        </w:r>
                                        <w:r>
                                          <w:rPr>
                                            <w:rFonts w:hint="eastAsia" w:ascii="楷体_GB2312" w:hAnsi="楷体_GB2312" w:eastAsia="楷体_GB2312" w:cs="楷体_GB2312"/>
                                            <w:bCs/>
                                            <w:sz w:val="24"/>
                                            <w:szCs w:val="24"/>
                                          </w:rPr>
                                          <w:t>公务接待费与2018年预算持平。</w:t>
                                        </w:r>
                                        <w:r>
                                          <w:rPr>
                                            <w:sz w:val="24"/>
                                            <w:szCs w:val="24"/>
                                          </w:rPr>
                                          <w:tab/>
                                        </w:r>
                                        <w:r>
                                          <w:rPr>
                                            <w:rFonts w:hint="eastAsia"/>
                                            <w:sz w:val="24"/>
                                            <w:szCs w:val="24"/>
                                          </w:rPr>
                                          <w:t>8</w:t>
                                        </w:r>
                                        <w:r>
                                          <w:rPr>
                                            <w:rFonts w:hint="eastAsia"/>
                                            <w:sz w:val="24"/>
                                            <w:szCs w:val="24"/>
                                          </w:rPr>
                                          <w:fldChar w:fldCharType="end"/>
                                        </w:r>
                                      </w:p>
                                      <w:p>
                                        <w:pPr>
                                          <w:pStyle w:val="23"/>
                                          <w:tabs>
                                            <w:tab w:val="right" w:leader="dot" w:pos="8306"/>
                                          </w:tabs>
                                          <w:spacing w:before="93"/>
                                          <w:ind w:left="420"/>
                                          <w:rPr>
                                            <w:sz w:val="24"/>
                                            <w:szCs w:val="24"/>
                                          </w:rPr>
                                        </w:pPr>
                                        <w:r>
                                          <w:fldChar w:fldCharType="begin"/>
                                        </w:r>
                                        <w:r>
                                          <w:instrText xml:space="preserve"> HYPERLINK \l "_Toc3621" </w:instrText>
                                        </w:r>
                                        <w:r>
                                          <w:fldChar w:fldCharType="separate"/>
                                        </w:r>
                                        <w:r>
                                          <w:rPr>
                                            <w:rFonts w:hint="eastAsia" w:ascii="楷体_GB2312" w:hAnsi="楷体_GB2312" w:eastAsia="楷体_GB2312" w:cs="楷体_GB2312"/>
                                            <w:bCs/>
                                            <w:sz w:val="24"/>
                                            <w:szCs w:val="24"/>
                                          </w:rPr>
                                          <w:t>（三）公务用车购置及运行维护费较2018年预算</w:t>
                                        </w:r>
                                        <w:r>
                                          <w:rPr>
                                            <w:rFonts w:hint="eastAsia" w:ascii="楷体_GB2312" w:hAnsi="楷体_GB2312" w:eastAsia="楷体_GB2312" w:cs="楷体_GB2312"/>
                                            <w:bCs/>
                                            <w:sz w:val="24"/>
                                            <w:szCs w:val="24"/>
                                            <w:lang w:eastAsia="zh-CN"/>
                                          </w:rPr>
                                          <w:t>增加</w:t>
                                        </w:r>
                                        <w:r>
                                          <w:rPr>
                                            <w:sz w:val="24"/>
                                            <w:szCs w:val="24"/>
                                          </w:rPr>
                                          <w:tab/>
                                        </w:r>
                                        <w:r>
                                          <w:rPr>
                                            <w:rFonts w:hint="eastAsia"/>
                                            <w:sz w:val="24"/>
                                            <w:szCs w:val="24"/>
                                          </w:rPr>
                                          <w:t>8</w:t>
                                        </w:r>
                                        <w:r>
                                          <w:rPr>
                                            <w:rFonts w:hint="eastAsia"/>
                                            <w:sz w:val="24"/>
                                            <w:szCs w:val="24"/>
                                          </w:rPr>
                                          <w:fldChar w:fldCharType="end"/>
                                        </w:r>
                                      </w:p>
                                      <w:p>
                                        <w:pPr>
                                          <w:pStyle w:val="22"/>
                                          <w:tabs>
                                            <w:tab w:val="right" w:leader="dot" w:pos="8306"/>
                                          </w:tabs>
                                          <w:rPr>
                                            <w:rFonts w:ascii="宋体" w:hAnsi="宋体" w:cs="方正小标宋简体"/>
                                            <w:b/>
                                            <w:sz w:val="24"/>
                                            <w:szCs w:val="24"/>
                                          </w:rPr>
                                        </w:pPr>
                                        <w:r>
                                          <w:fldChar w:fldCharType="begin"/>
                                        </w:r>
                                        <w:r>
                                          <w:instrText xml:space="preserve"> HYPERLINK \l "_Toc7922" </w:instrText>
                                        </w:r>
                                        <w:r>
                                          <w:fldChar w:fldCharType="separate"/>
                                        </w:r>
                                        <w:r>
                                          <w:rPr>
                                            <w:rFonts w:hint="eastAsia" w:ascii="黑体" w:hAnsi="黑体" w:eastAsia="黑体" w:cs="黑体"/>
                                            <w:b/>
                                            <w:sz w:val="24"/>
                                            <w:szCs w:val="24"/>
                                          </w:rPr>
                                          <w:t>八、政府性基金预算支出情况说明</w:t>
                                        </w:r>
                                        <w:r>
                                          <w:rPr>
                                            <w:b/>
                                            <w:sz w:val="24"/>
                                            <w:szCs w:val="24"/>
                                          </w:rPr>
                                          <w:tab/>
                                        </w:r>
                                        <w:r>
                                          <w:rPr>
                                            <w:rFonts w:hint="eastAsia"/>
                                            <w:b/>
                                            <w:sz w:val="24"/>
                                            <w:szCs w:val="24"/>
                                          </w:rPr>
                                          <w:t>8</w:t>
                                        </w:r>
                                        <w:r>
                                          <w:rPr>
                                            <w:rFonts w:hint="eastAsia"/>
                                            <w:b/>
                                            <w:sz w:val="24"/>
                                            <w:szCs w:val="24"/>
                                          </w:rPr>
                                          <w:fldChar w:fldCharType="end"/>
                                        </w:r>
                                      </w:p>
                                      <w:p>
                                        <w:pPr>
                                          <w:pStyle w:val="22"/>
                                          <w:tabs>
                                            <w:tab w:val="right" w:leader="dot" w:pos="8306"/>
                                          </w:tabs>
                                          <w:rPr>
                                            <w:rFonts w:ascii="宋体" w:hAnsi="宋体" w:cs="方正小标宋简体"/>
                                            <w:b/>
                                            <w:sz w:val="24"/>
                                            <w:szCs w:val="24"/>
                                          </w:rPr>
                                        </w:pPr>
                                        <w:r>
                                          <w:rPr>
                                            <w:rFonts w:hint="eastAsia" w:ascii="黑体" w:hAnsi="宋体" w:eastAsia="黑体" w:cs="宋体"/>
                                            <w:color w:val="333333"/>
                                            <w:sz w:val="28"/>
                                            <w:szCs w:val="28"/>
                                          </w:rPr>
                                          <w:t>九、国有资本经营预算支出情况说明</w:t>
                                        </w:r>
                                        <w:r>
                                          <w:rPr>
                                            <w:b/>
                                            <w:sz w:val="24"/>
                                            <w:szCs w:val="24"/>
                                          </w:rPr>
                                          <w:tab/>
                                        </w:r>
                                        <w:r>
                                          <w:rPr>
                                            <w:rFonts w:hint="eastAsia"/>
                                            <w:b/>
                                            <w:sz w:val="24"/>
                                            <w:szCs w:val="24"/>
                                          </w:rPr>
                                          <w:t>8</w:t>
                                        </w:r>
                                      </w:p>
                                      <w:p>
                                        <w:pPr>
                                          <w:pStyle w:val="22"/>
                                          <w:tabs>
                                            <w:tab w:val="right" w:leader="dot" w:pos="8306"/>
                                          </w:tabs>
                                          <w:rPr>
                                            <w:b/>
                                            <w:sz w:val="24"/>
                                            <w:szCs w:val="24"/>
                                          </w:rPr>
                                        </w:pPr>
                                        <w:r>
                                          <w:fldChar w:fldCharType="begin"/>
                                        </w:r>
                                        <w:r>
                                          <w:instrText xml:space="preserve"> HYPERLINK \l "_Toc32736" </w:instrText>
                                        </w:r>
                                        <w:r>
                                          <w:fldChar w:fldCharType="separate"/>
                                        </w:r>
                                        <w:r>
                                          <w:rPr>
                                            <w:rFonts w:hint="eastAsia" w:ascii="宋体" w:hAnsi="宋体" w:cs="方正小标宋简体"/>
                                            <w:b/>
                                            <w:sz w:val="24"/>
                                            <w:szCs w:val="24"/>
                                          </w:rPr>
                                          <w:t>十</w:t>
                                        </w:r>
                                        <w:r>
                                          <w:rPr>
                                            <w:rFonts w:hint="eastAsia" w:ascii="黑体" w:hAnsi="黑体" w:eastAsia="黑体" w:cs="黑体"/>
                                            <w:b/>
                                            <w:sz w:val="24"/>
                                            <w:szCs w:val="24"/>
                                          </w:rPr>
                                          <w:t>、其他重要事项的情况说明</w:t>
                                        </w:r>
                                        <w:r>
                                          <w:rPr>
                                            <w:b/>
                                            <w:sz w:val="24"/>
                                            <w:szCs w:val="24"/>
                                          </w:rPr>
                                          <w:tab/>
                                        </w:r>
                                        <w:r>
                                          <w:rPr>
                                            <w:rFonts w:hint="eastAsia"/>
                                            <w:b/>
                                            <w:sz w:val="24"/>
                                            <w:szCs w:val="24"/>
                                          </w:rPr>
                                          <w:t>8</w:t>
                                        </w:r>
                                        <w:r>
                                          <w:rPr>
                                            <w:rFonts w:hint="eastAsia"/>
                                            <w:b/>
                                            <w:sz w:val="24"/>
                                            <w:szCs w:val="24"/>
                                          </w:rPr>
                                          <w:fldChar w:fldCharType="end"/>
                                        </w:r>
                                      </w:p>
                                      <w:p>
                                        <w:pPr>
                                          <w:pStyle w:val="23"/>
                                          <w:tabs>
                                            <w:tab w:val="right" w:leader="dot" w:pos="8306"/>
                                          </w:tabs>
                                          <w:spacing w:before="93"/>
                                          <w:ind w:left="420"/>
                                          <w:rPr>
                                            <w:sz w:val="24"/>
                                            <w:szCs w:val="24"/>
                                          </w:rPr>
                                        </w:pPr>
                                        <w:r>
                                          <w:fldChar w:fldCharType="begin"/>
                                        </w:r>
                                        <w:r>
                                          <w:instrText xml:space="preserve"> HYPERLINK \l "_Toc26120" </w:instrText>
                                        </w:r>
                                        <w:r>
                                          <w:fldChar w:fldCharType="separate"/>
                                        </w:r>
                                        <w:r>
                                          <w:rPr>
                                            <w:rFonts w:hint="eastAsia" w:ascii="楷体_GB2312" w:hAnsi="楷体_GB2312" w:eastAsia="楷体_GB2312" w:cs="楷体_GB2312"/>
                                            <w:bCs/>
                                            <w:sz w:val="24"/>
                                            <w:szCs w:val="24"/>
                                          </w:rPr>
                                          <w:t>（一）机关运行经费</w:t>
                                        </w:r>
                                        <w:r>
                                          <w:rPr>
                                            <w:sz w:val="24"/>
                                            <w:szCs w:val="24"/>
                                          </w:rPr>
                                          <w:tab/>
                                        </w:r>
                                        <w:r>
                                          <w:rPr>
                                            <w:rFonts w:hint="eastAsia"/>
                                            <w:sz w:val="24"/>
                                            <w:szCs w:val="24"/>
                                          </w:rPr>
                                          <w:t>8</w:t>
                                        </w:r>
                                        <w:r>
                                          <w:rPr>
                                            <w:rFonts w:hint="eastAsia"/>
                                            <w:sz w:val="24"/>
                                            <w:szCs w:val="24"/>
                                          </w:rPr>
                                          <w:fldChar w:fldCharType="end"/>
                                        </w:r>
                                      </w:p>
                                      <w:p>
                                        <w:pPr>
                                          <w:pStyle w:val="23"/>
                                          <w:tabs>
                                            <w:tab w:val="right" w:leader="dot" w:pos="8306"/>
                                          </w:tabs>
                                          <w:spacing w:before="93"/>
                                          <w:ind w:left="420"/>
                                          <w:rPr>
                                            <w:sz w:val="24"/>
                                            <w:szCs w:val="24"/>
                                          </w:rPr>
                                        </w:pPr>
                                        <w:r>
                                          <w:fldChar w:fldCharType="begin"/>
                                        </w:r>
                                        <w:r>
                                          <w:instrText xml:space="preserve"> HYPERLINK \l "_Toc4068" </w:instrText>
                                        </w:r>
                                        <w:r>
                                          <w:fldChar w:fldCharType="separate"/>
                                        </w:r>
                                        <w:r>
                                          <w:rPr>
                                            <w:rFonts w:hint="eastAsia" w:ascii="楷体_GB2312" w:hAnsi="楷体_GB2312" w:eastAsia="楷体_GB2312" w:cs="楷体_GB2312"/>
                                            <w:bCs/>
                                            <w:sz w:val="24"/>
                                            <w:szCs w:val="24"/>
                                          </w:rPr>
                                          <w:t>（二）政府采购情况</w:t>
                                        </w:r>
                                        <w:r>
                                          <w:rPr>
                                            <w:sz w:val="24"/>
                                            <w:szCs w:val="24"/>
                                          </w:rPr>
                                          <w:tab/>
                                        </w:r>
                                        <w:r>
                                          <w:rPr>
                                            <w:rFonts w:hint="eastAsia"/>
                                            <w:sz w:val="24"/>
                                            <w:szCs w:val="24"/>
                                          </w:rPr>
                                          <w:t>8</w:t>
                                        </w:r>
                                        <w:r>
                                          <w:rPr>
                                            <w:rFonts w:hint="eastAsia"/>
                                            <w:sz w:val="24"/>
                                            <w:szCs w:val="24"/>
                                          </w:rPr>
                                          <w:fldChar w:fldCharType="end"/>
                                        </w:r>
                                      </w:p>
                                      <w:p>
                                        <w:pPr>
                                          <w:pStyle w:val="23"/>
                                          <w:tabs>
                                            <w:tab w:val="right" w:leader="dot" w:pos="8306"/>
                                          </w:tabs>
                                          <w:spacing w:before="93"/>
                                          <w:ind w:left="420"/>
                                          <w:rPr>
                                            <w:sz w:val="24"/>
                                            <w:szCs w:val="24"/>
                                          </w:rPr>
                                        </w:pPr>
                                        <w:r>
                                          <w:fldChar w:fldCharType="begin"/>
                                        </w:r>
                                        <w:r>
                                          <w:instrText xml:space="preserve"> HYPERLINK \l "_Toc22468" </w:instrText>
                                        </w:r>
                                        <w:r>
                                          <w:fldChar w:fldCharType="separate"/>
                                        </w:r>
                                        <w:r>
                                          <w:rPr>
                                            <w:rFonts w:hint="eastAsia" w:ascii="楷体_GB2312" w:hAnsi="楷体_GB2312" w:eastAsia="楷体_GB2312" w:cs="楷体_GB2312"/>
                                            <w:bCs/>
                                            <w:sz w:val="24"/>
                                            <w:szCs w:val="24"/>
                                          </w:rPr>
                                          <w:t>（三）国有资产占有使用情况</w:t>
                                        </w:r>
                                        <w:r>
                                          <w:rPr>
                                            <w:sz w:val="24"/>
                                            <w:szCs w:val="24"/>
                                          </w:rPr>
                                          <w:tab/>
                                        </w:r>
                                        <w:r>
                                          <w:rPr>
                                            <w:rFonts w:hint="eastAsia"/>
                                            <w:sz w:val="24"/>
                                            <w:szCs w:val="24"/>
                                          </w:rPr>
                                          <w:t>8</w:t>
                                        </w:r>
                                        <w:r>
                                          <w:rPr>
                                            <w:rFonts w:hint="eastAsia"/>
                                            <w:sz w:val="24"/>
                                            <w:szCs w:val="24"/>
                                          </w:rPr>
                                          <w:fldChar w:fldCharType="end"/>
                                        </w:r>
                                      </w:p>
                                      <w:p>
                                        <w:pPr>
                                          <w:pStyle w:val="23"/>
                                          <w:tabs>
                                            <w:tab w:val="right" w:leader="dot" w:pos="8306"/>
                                          </w:tabs>
                                          <w:spacing w:before="93"/>
                                          <w:ind w:left="420"/>
                                          <w:rPr>
                                            <w:sz w:val="24"/>
                                            <w:szCs w:val="24"/>
                                          </w:rPr>
                                        </w:pPr>
                                        <w:r>
                                          <w:fldChar w:fldCharType="begin"/>
                                        </w:r>
                                        <w:r>
                                          <w:instrText xml:space="preserve"> HYPERLINK \l "_Toc24695" </w:instrText>
                                        </w:r>
                                        <w:r>
                                          <w:fldChar w:fldCharType="separate"/>
                                        </w:r>
                                        <w:r>
                                          <w:rPr>
                                            <w:rFonts w:hint="eastAsia" w:ascii="楷体_GB2312" w:hAnsi="楷体_GB2312" w:eastAsia="楷体_GB2312" w:cs="楷体_GB2312"/>
                                            <w:bCs/>
                                            <w:sz w:val="24"/>
                                            <w:szCs w:val="24"/>
                                          </w:rPr>
                                          <w:t>（四）绩效目标设置情况</w:t>
                                        </w:r>
                                        <w:r>
                                          <w:rPr>
                                            <w:sz w:val="24"/>
                                            <w:szCs w:val="24"/>
                                          </w:rPr>
                                          <w:tab/>
                                        </w:r>
                                        <w:r>
                                          <w:rPr>
                                            <w:rFonts w:hint="eastAsia"/>
                                            <w:sz w:val="24"/>
                                            <w:szCs w:val="24"/>
                                          </w:rPr>
                                          <w:t>8</w:t>
                                        </w:r>
                                        <w:r>
                                          <w:rPr>
                                            <w:rFonts w:hint="eastAsia"/>
                                            <w:sz w:val="24"/>
                                            <w:szCs w:val="24"/>
                                          </w:rPr>
                                          <w:fldChar w:fldCharType="end"/>
                                        </w:r>
                                      </w:p>
                                      <w:p>
                                        <w:pPr>
                                          <w:pStyle w:val="22"/>
                                          <w:tabs>
                                            <w:tab w:val="right" w:leader="dot" w:pos="8306"/>
                                          </w:tabs>
                                          <w:rPr>
                                            <w:b/>
                                            <w:sz w:val="24"/>
                                            <w:szCs w:val="24"/>
                                          </w:rPr>
                                        </w:pPr>
                                        <w:r>
                                          <w:fldChar w:fldCharType="begin"/>
                                        </w:r>
                                        <w:r>
                                          <w:instrText xml:space="preserve"> HYPERLINK \l "_Toc21335" </w:instrText>
                                        </w:r>
                                        <w:r>
                                          <w:fldChar w:fldCharType="separate"/>
                                        </w:r>
                                        <w:r>
                                          <w:rPr>
                                            <w:rFonts w:hint="eastAsia" w:ascii="仿宋_GB2312" w:hAnsi="仿宋_GB2312" w:eastAsia="仿宋_GB2312" w:cs="仿宋_GB2312"/>
                                            <w:b/>
                                            <w:bCs/>
                                            <w:sz w:val="24"/>
                                            <w:szCs w:val="24"/>
                                          </w:rPr>
                                          <w:t>十一、名词解释</w:t>
                                        </w:r>
                                        <w:r>
                                          <w:rPr>
                                            <w:b/>
                                            <w:sz w:val="24"/>
                                            <w:szCs w:val="24"/>
                                          </w:rPr>
                                          <w:tab/>
                                        </w:r>
                                        <w:r>
                                          <w:rPr>
                                            <w:rFonts w:hint="eastAsia"/>
                                            <w:b/>
                                            <w:sz w:val="24"/>
                                            <w:szCs w:val="24"/>
                                          </w:rPr>
                                          <w:t>10</w:t>
                                        </w:r>
                                        <w:r>
                                          <w:rPr>
                                            <w:rFonts w:hint="eastAsia"/>
                                            <w:b/>
                                            <w:sz w:val="24"/>
                                            <w:szCs w:val="24"/>
                                          </w:rPr>
                                          <w:fldChar w:fldCharType="end"/>
                                        </w:r>
                                      </w:p>
                                      <w:p>
                                        <w:pPr>
                                          <w:rPr>
                                            <w:b/>
                                            <w:bCs/>
                                            <w:lang w:val="zh-CN"/>
                                          </w:rPr>
                                        </w:pPr>
                                        <w:r>
                                          <w:rPr>
                                            <w:rFonts w:ascii="宋体" w:hAnsi="宋体" w:cs="方正小标宋简体"/>
                                            <w:b/>
                                            <w:kern w:val="0"/>
                                            <w:sz w:val="24"/>
                                            <w:szCs w:val="24"/>
                                          </w:rPr>
                                          <w:fldChar w:fldCharType="end"/>
                                        </w:r>
                                      </w:p>
                                    </w:sdtContent>
                                  </w:sdt>
                                  <w:p>
                                    <w:pPr>
                                      <w:pStyle w:val="3"/>
                                      <w:adjustRightInd w:val="0"/>
                                      <w:snapToGrid w:val="0"/>
                                      <w:spacing w:line="600" w:lineRule="exact"/>
                                      <w:ind w:left="1795" w:leftChars="855" w:firstLine="360" w:firstLineChars="100"/>
                                      <w:jc w:val="left"/>
                                      <w:rPr>
                                        <w:rFonts w:ascii="方正小标宋简体" w:hAnsi="宋体" w:eastAsia="方正小标宋简体" w:cs="宋体"/>
                                        <w:color w:val="0066CC"/>
                                        <w:sz w:val="36"/>
                                        <w:szCs w:val="36"/>
                                      </w:rPr>
                                    </w:pPr>
                                  </w:p>
                                  <w:p>
                                    <w:pPr>
                                      <w:pStyle w:val="3"/>
                                      <w:adjustRightInd w:val="0"/>
                                      <w:snapToGrid w:val="0"/>
                                      <w:spacing w:line="600" w:lineRule="exact"/>
                                      <w:ind w:left="1795" w:leftChars="855" w:firstLine="360" w:firstLineChars="100"/>
                                      <w:jc w:val="left"/>
                                      <w:rPr>
                                        <w:rFonts w:ascii="方正小标宋简体" w:hAnsi="宋体" w:eastAsia="方正小标宋简体" w:cs="宋体"/>
                                        <w:color w:val="0066CC"/>
                                        <w:sz w:val="36"/>
                                        <w:szCs w:val="36"/>
                                      </w:rPr>
                                    </w:pPr>
                                  </w:p>
                                  <w:p>
                                    <w:pPr>
                                      <w:pStyle w:val="3"/>
                                      <w:tabs>
                                        <w:tab w:val="left" w:pos="2700"/>
                                      </w:tabs>
                                      <w:adjustRightInd w:val="0"/>
                                      <w:snapToGrid w:val="0"/>
                                      <w:spacing w:line="600" w:lineRule="exact"/>
                                      <w:outlineLvl w:val="0"/>
                                      <w:rPr>
                                        <w:rFonts w:hAnsi="宋体" w:cs="宋体"/>
                                        <w:color w:val="333333"/>
                                        <w:sz w:val="28"/>
                                        <w:szCs w:val="28"/>
                                      </w:rPr>
                                    </w:pPr>
                                  </w:p>
                                  <w:p>
                                    <w:pPr>
                                      <w:pStyle w:val="3"/>
                                      <w:adjustRightInd w:val="0"/>
                                      <w:snapToGrid w:val="0"/>
                                      <w:spacing w:line="600" w:lineRule="exact"/>
                                      <w:ind w:firstLine="590" w:firstLineChars="210"/>
                                      <w:outlineLvl w:val="0"/>
                                      <w:rPr>
                                        <w:rFonts w:hAnsi="宋体" w:cs="宋体"/>
                                        <w:color w:val="333333"/>
                                        <w:sz w:val="28"/>
                                        <w:szCs w:val="28"/>
                                      </w:rPr>
                                    </w:pPr>
                                    <w:bookmarkStart w:id="1" w:name="_Toc72766492"/>
                                    <w:r>
                                      <w:rPr>
                                        <w:rFonts w:hint="eastAsia" w:hAnsi="宋体" w:cs="宋体"/>
                                        <w:b/>
                                        <w:color w:val="333333"/>
                                        <w:sz w:val="28"/>
                                        <w:szCs w:val="28"/>
                                      </w:rPr>
                                      <w:t>一、基本职能及主要工作</w:t>
                                    </w:r>
                                    <w:r>
                                      <w:rPr>
                                        <w:rFonts w:hint="eastAsia" w:hAnsi="宋体" w:cs="宋体"/>
                                        <w:color w:val="333333"/>
                                        <w:sz w:val="28"/>
                                        <w:szCs w:val="28"/>
                                      </w:rPr>
                                      <w:br w:type="textWrapping"/>
                                    </w:r>
                                    <w:r>
                                      <w:rPr>
                                        <w:rFonts w:hint="eastAsia" w:hAnsi="宋体" w:cs="宋体"/>
                                        <w:color w:val="333333"/>
                                        <w:sz w:val="28"/>
                                        <w:szCs w:val="28"/>
                                      </w:rPr>
                                      <w:t>　　（一）主要职能。</w:t>
                                    </w:r>
                                    <w:bookmarkEnd w:id="1"/>
                                  </w:p>
                                  <w:p>
                                    <w:pPr>
                                      <w:pStyle w:val="3"/>
                                      <w:adjustRightInd w:val="0"/>
                                      <w:snapToGrid w:val="0"/>
                                      <w:spacing w:line="600" w:lineRule="exact"/>
                                      <w:ind w:firstLine="588" w:firstLineChars="210"/>
                                      <w:outlineLvl w:val="0"/>
                                      <w:rPr>
                                        <w:rFonts w:hAnsi="宋体" w:cs="宋体"/>
                                        <w:color w:val="333333"/>
                                        <w:sz w:val="28"/>
                                        <w:szCs w:val="28"/>
                                      </w:rPr>
                                    </w:pPr>
                                    <w:bookmarkStart w:id="2" w:name="_Toc72766348"/>
                                    <w:bookmarkStart w:id="3" w:name="_Toc72766494"/>
                                    <w:r>
                                      <w:rPr>
                                        <w:rFonts w:hint="eastAsia" w:hAnsi="宋体" w:cs="宋体"/>
                                        <w:color w:val="333333"/>
                                        <w:sz w:val="28"/>
                                        <w:szCs w:val="28"/>
                                      </w:rPr>
                                      <w:t>（一）协助县政府领导同志组织起草或审核以县政府、县政府办公室名义发布的公文。办理州政府、州政府办公室及各部委局发送县政府的文电。指导全县行政机关公文处理工作。</w:t>
                                    </w:r>
                                    <w:bookmarkEnd w:id="2"/>
                                    <w:bookmarkEnd w:id="3"/>
                                  </w:p>
                                  <w:p>
                                    <w:pPr>
                                      <w:pStyle w:val="3"/>
                                      <w:adjustRightInd w:val="0"/>
                                      <w:snapToGrid w:val="0"/>
                                      <w:spacing w:line="600" w:lineRule="exact"/>
                                      <w:ind w:firstLine="588" w:firstLineChars="210"/>
                                      <w:outlineLvl w:val="0"/>
                                      <w:rPr>
                                        <w:rFonts w:hAnsi="宋体" w:cs="宋体"/>
                                        <w:color w:val="333333"/>
                                        <w:sz w:val="28"/>
                                        <w:szCs w:val="28"/>
                                      </w:rPr>
                                    </w:pPr>
                                    <w:bookmarkStart w:id="4" w:name="_Toc72766349"/>
                                    <w:bookmarkStart w:id="5" w:name="_Toc72766495"/>
                                    <w:r>
                                      <w:rPr>
                                        <w:rFonts w:hint="eastAsia" w:hAnsi="宋体" w:cs="宋体"/>
                                        <w:color w:val="333333"/>
                                        <w:sz w:val="28"/>
                                        <w:szCs w:val="28"/>
                                      </w:rPr>
                                      <w:t>（二）研究县政府部门和各乡镇人民政府请示县政府事项，提出审核意见，报县政府领导同志审批。</w:t>
                                    </w:r>
                                    <w:bookmarkEnd w:id="4"/>
                                    <w:bookmarkEnd w:id="5"/>
                                  </w:p>
                                  <w:p>
                                    <w:pPr>
                                      <w:pStyle w:val="3"/>
                                      <w:adjustRightInd w:val="0"/>
                                      <w:snapToGrid w:val="0"/>
                                      <w:spacing w:line="600" w:lineRule="exact"/>
                                      <w:ind w:firstLine="588" w:firstLineChars="210"/>
                                      <w:outlineLvl w:val="0"/>
                                      <w:rPr>
                                        <w:rFonts w:hAnsi="宋体" w:cs="宋体"/>
                                        <w:color w:val="333333"/>
                                        <w:sz w:val="28"/>
                                        <w:szCs w:val="28"/>
                                      </w:rPr>
                                    </w:pPr>
                                    <w:bookmarkStart w:id="6" w:name="_Toc72766496"/>
                                    <w:bookmarkStart w:id="7" w:name="_Toc72766350"/>
                                    <w:r>
                                      <w:rPr>
                                        <w:rFonts w:hint="eastAsia" w:hAnsi="宋体" w:cs="宋体"/>
                                        <w:color w:val="333333"/>
                                        <w:sz w:val="28"/>
                                        <w:szCs w:val="28"/>
                                      </w:rPr>
                                      <w:t>（三）负责县政府会议准备工作，协助县政府领导组织实施会议决定事项。</w:t>
                                    </w:r>
                                    <w:bookmarkEnd w:id="6"/>
                                    <w:bookmarkEnd w:id="7"/>
                                  </w:p>
                                  <w:p>
                                    <w:pPr>
                                      <w:pStyle w:val="3"/>
                                      <w:adjustRightInd w:val="0"/>
                                      <w:snapToGrid w:val="0"/>
                                      <w:spacing w:line="600" w:lineRule="exact"/>
                                      <w:ind w:firstLine="588" w:firstLineChars="210"/>
                                      <w:outlineLvl w:val="0"/>
                                      <w:rPr>
                                        <w:rFonts w:hAnsi="宋体" w:cs="宋体"/>
                                        <w:color w:val="333333"/>
                                        <w:sz w:val="28"/>
                                        <w:szCs w:val="28"/>
                                      </w:rPr>
                                    </w:pPr>
                                    <w:bookmarkStart w:id="8" w:name="_Toc72766351"/>
                                    <w:bookmarkStart w:id="9" w:name="_Toc72766497"/>
                                    <w:r>
                                      <w:rPr>
                                        <w:rFonts w:hint="eastAsia" w:hAnsi="宋体" w:cs="宋体"/>
                                        <w:color w:val="333333"/>
                                        <w:sz w:val="28"/>
                                        <w:szCs w:val="28"/>
                                      </w:rPr>
                                      <w:t>（四）根据县政府领导同志的指示，对县政府部门间争议问题提出处理意见和建议，报县政府领导同志决定。</w:t>
                                    </w:r>
                                    <w:bookmarkEnd w:id="8"/>
                                    <w:bookmarkEnd w:id="9"/>
                                  </w:p>
                                  <w:p>
                                    <w:pPr>
                                      <w:pStyle w:val="3"/>
                                      <w:adjustRightInd w:val="0"/>
                                      <w:snapToGrid w:val="0"/>
                                      <w:spacing w:line="600" w:lineRule="exact"/>
                                      <w:ind w:firstLine="588" w:firstLineChars="210"/>
                                      <w:outlineLvl w:val="0"/>
                                      <w:rPr>
                                        <w:rFonts w:hAnsi="宋体" w:cs="宋体"/>
                                        <w:color w:val="333333"/>
                                        <w:sz w:val="28"/>
                                        <w:szCs w:val="28"/>
                                      </w:rPr>
                                    </w:pPr>
                                    <w:bookmarkStart w:id="10" w:name="_Toc72766352"/>
                                    <w:bookmarkStart w:id="11" w:name="_Toc72766498"/>
                                    <w:r>
                                      <w:rPr>
                                        <w:rFonts w:hint="eastAsia" w:hAnsi="宋体" w:cs="宋体"/>
                                        <w:color w:val="333333"/>
                                        <w:sz w:val="28"/>
                                        <w:szCs w:val="28"/>
                                      </w:rPr>
                                      <w:t>（五）督促检查县政府各部门和各乡镇人民政府对县政府决定事项及县政府领导同志指示的贯彻落实情况，及时向县政府领导同志报告。</w:t>
                                    </w:r>
                                    <w:bookmarkEnd w:id="10"/>
                                    <w:bookmarkEnd w:id="11"/>
                                  </w:p>
                                  <w:p>
                                    <w:pPr>
                                      <w:pStyle w:val="3"/>
                                      <w:adjustRightInd w:val="0"/>
                                      <w:snapToGrid w:val="0"/>
                                      <w:spacing w:line="600" w:lineRule="exact"/>
                                      <w:ind w:firstLine="588" w:firstLineChars="210"/>
                                      <w:outlineLvl w:val="0"/>
                                      <w:rPr>
                                        <w:rFonts w:hAnsi="宋体" w:cs="宋体"/>
                                        <w:color w:val="333333"/>
                                        <w:sz w:val="28"/>
                                        <w:szCs w:val="28"/>
                                      </w:rPr>
                                    </w:pPr>
                                    <w:bookmarkStart w:id="12" w:name="_Toc72766353"/>
                                    <w:bookmarkStart w:id="13" w:name="_Toc72766499"/>
                                    <w:r>
                                      <w:rPr>
                                        <w:rFonts w:hint="eastAsia" w:hAnsi="宋体" w:cs="宋体"/>
                                        <w:color w:val="333333"/>
                                        <w:sz w:val="28"/>
                                        <w:szCs w:val="28"/>
                                      </w:rPr>
                                      <w:t>（六）负责县政府值班工作，指导乡镇人民政府和县政府部门值班工作，及时报告重要情况。</w:t>
                                    </w:r>
                                    <w:bookmarkEnd w:id="12"/>
                                    <w:bookmarkEnd w:id="13"/>
                                  </w:p>
                                  <w:p>
                                    <w:pPr>
                                      <w:pStyle w:val="3"/>
                                      <w:adjustRightInd w:val="0"/>
                                      <w:snapToGrid w:val="0"/>
                                      <w:spacing w:line="600" w:lineRule="exact"/>
                                      <w:ind w:firstLine="588" w:firstLineChars="210"/>
                                      <w:outlineLvl w:val="0"/>
                                      <w:rPr>
                                        <w:rFonts w:hAnsi="宋体" w:cs="宋体"/>
                                        <w:color w:val="333333"/>
                                        <w:sz w:val="28"/>
                                        <w:szCs w:val="28"/>
                                      </w:rPr>
                                    </w:pPr>
                                    <w:bookmarkStart w:id="14" w:name="_Toc72766354"/>
                                    <w:bookmarkStart w:id="15" w:name="_Toc72766500"/>
                                    <w:r>
                                      <w:rPr>
                                        <w:rFonts w:hint="eastAsia" w:hAnsi="宋体" w:cs="宋体"/>
                                        <w:color w:val="333333"/>
                                        <w:sz w:val="28"/>
                                        <w:szCs w:val="28"/>
                                      </w:rPr>
                                      <w:t>（七）指导、监督全县政府信息公开工作和机关行政效能建设工作，指导、监督全县政府系统电子政务工作和政府网站建设。</w:t>
                                    </w:r>
                                    <w:bookmarkEnd w:id="14"/>
                                    <w:bookmarkEnd w:id="15"/>
                                  </w:p>
                                  <w:p>
                                    <w:pPr>
                                      <w:pStyle w:val="3"/>
                                      <w:adjustRightInd w:val="0"/>
                                      <w:snapToGrid w:val="0"/>
                                      <w:spacing w:line="600" w:lineRule="exact"/>
                                      <w:ind w:firstLine="588" w:firstLineChars="210"/>
                                      <w:outlineLvl w:val="0"/>
                                      <w:rPr>
                                        <w:rFonts w:hAnsi="宋体" w:cs="宋体"/>
                                        <w:color w:val="333333"/>
                                        <w:sz w:val="28"/>
                                        <w:szCs w:val="28"/>
                                      </w:rPr>
                                    </w:pPr>
                                    <w:bookmarkStart w:id="16" w:name="_Toc72766355"/>
                                    <w:bookmarkStart w:id="17" w:name="_Toc72766501"/>
                                    <w:r>
                                      <w:rPr>
                                        <w:rFonts w:hint="eastAsia" w:hAnsi="宋体" w:cs="宋体"/>
                                        <w:color w:val="333333"/>
                                        <w:sz w:val="28"/>
                                        <w:szCs w:val="28"/>
                                      </w:rPr>
                                      <w:t>（八）组织办理涉及县政府工作的人大代表议案、批评、建议和政协委员提案、建议案工作。</w:t>
                                    </w:r>
                                    <w:bookmarkEnd w:id="16"/>
                                    <w:bookmarkEnd w:id="17"/>
                                  </w:p>
                                  <w:p>
                                    <w:pPr>
                                      <w:pStyle w:val="3"/>
                                      <w:adjustRightInd w:val="0"/>
                                      <w:snapToGrid w:val="0"/>
                                      <w:spacing w:line="600" w:lineRule="exact"/>
                                      <w:ind w:firstLine="588" w:firstLineChars="210"/>
                                      <w:outlineLvl w:val="0"/>
                                      <w:rPr>
                                        <w:rFonts w:hAnsi="宋体" w:cs="宋体"/>
                                        <w:color w:val="333333"/>
                                        <w:sz w:val="28"/>
                                        <w:szCs w:val="28"/>
                                      </w:rPr>
                                    </w:pPr>
                                    <w:bookmarkStart w:id="18" w:name="_Toc72766356"/>
                                    <w:bookmarkStart w:id="19" w:name="_Toc72766502"/>
                                    <w:r>
                                      <w:rPr>
                                        <w:rFonts w:hint="eastAsia" w:hAnsi="宋体" w:cs="宋体"/>
                                        <w:color w:val="333333"/>
                                        <w:sz w:val="28"/>
                                        <w:szCs w:val="28"/>
                                      </w:rPr>
                                      <w:t>（九）指导全县应急管理工作，协助县政府领导同志做好需由县政府组织处理的突发事件的应急处置工作。</w:t>
                                    </w:r>
                                    <w:bookmarkEnd w:id="18"/>
                                    <w:bookmarkEnd w:id="19"/>
                                  </w:p>
                                  <w:p>
                                    <w:pPr>
                                      <w:pStyle w:val="3"/>
                                      <w:adjustRightInd w:val="0"/>
                                      <w:snapToGrid w:val="0"/>
                                      <w:spacing w:line="600" w:lineRule="exact"/>
                                      <w:ind w:firstLine="588" w:firstLineChars="210"/>
                                      <w:outlineLvl w:val="0"/>
                                      <w:rPr>
                                        <w:rFonts w:hAnsi="宋体" w:cs="宋体"/>
                                        <w:color w:val="333333"/>
                                        <w:sz w:val="28"/>
                                        <w:szCs w:val="28"/>
                                      </w:rPr>
                                    </w:pPr>
                                    <w:bookmarkStart w:id="20" w:name="_Toc72766357"/>
                                    <w:bookmarkStart w:id="21" w:name="_Toc72766503"/>
                                    <w:r>
                                      <w:rPr>
                                        <w:rFonts w:hint="eastAsia" w:hAnsi="宋体" w:cs="宋体"/>
                                        <w:color w:val="333333"/>
                                        <w:sz w:val="28"/>
                                        <w:szCs w:val="28"/>
                                      </w:rPr>
                                      <w:t>（十）围绕县政府中心工作和县政府领导同志的指示，组织专题调查研究，及时反映情况，提出政策性建议。</w:t>
                                    </w:r>
                                    <w:bookmarkEnd w:id="20"/>
                                    <w:bookmarkEnd w:id="21"/>
                                  </w:p>
                                  <w:p>
                                    <w:pPr>
                                      <w:pStyle w:val="3"/>
                                      <w:adjustRightInd w:val="0"/>
                                      <w:snapToGrid w:val="0"/>
                                      <w:spacing w:line="600" w:lineRule="exact"/>
                                      <w:ind w:firstLine="588" w:firstLineChars="210"/>
                                      <w:outlineLvl w:val="0"/>
                                      <w:rPr>
                                        <w:rFonts w:hAnsi="宋体" w:cs="宋体"/>
                                        <w:color w:val="333333"/>
                                        <w:sz w:val="28"/>
                                        <w:szCs w:val="28"/>
                                      </w:rPr>
                                    </w:pPr>
                                    <w:bookmarkStart w:id="22" w:name="_Toc72766358"/>
                                    <w:bookmarkStart w:id="23" w:name="_Toc72766504"/>
                                    <w:r>
                                      <w:rPr>
                                        <w:rFonts w:hint="eastAsia" w:hAnsi="宋体" w:cs="宋体"/>
                                        <w:color w:val="333333"/>
                                        <w:sz w:val="28"/>
                                        <w:szCs w:val="28"/>
                                      </w:rPr>
                                      <w:t>（十一）指导县政务服务中心建设，组织县直部门集中开展行政审批和公共服务。</w:t>
                                    </w:r>
                                    <w:bookmarkEnd w:id="22"/>
                                    <w:bookmarkEnd w:id="23"/>
                                  </w:p>
                                  <w:p>
                                    <w:pPr>
                                      <w:pStyle w:val="3"/>
                                      <w:adjustRightInd w:val="0"/>
                                      <w:snapToGrid w:val="0"/>
                                      <w:spacing w:line="600" w:lineRule="exact"/>
                                      <w:ind w:firstLine="588" w:firstLineChars="210"/>
                                      <w:outlineLvl w:val="0"/>
                                      <w:rPr>
                                        <w:rFonts w:hAnsi="宋体" w:cs="宋体"/>
                                        <w:color w:val="333333"/>
                                        <w:sz w:val="28"/>
                                        <w:szCs w:val="28"/>
                                      </w:rPr>
                                    </w:pPr>
                                    <w:bookmarkStart w:id="24" w:name="_Toc72766359"/>
                                    <w:bookmarkStart w:id="25" w:name="_Toc72766505"/>
                                    <w:r>
                                      <w:rPr>
                                        <w:rFonts w:hint="eastAsia" w:hAnsi="宋体" w:cs="宋体"/>
                                        <w:color w:val="333333"/>
                                        <w:sz w:val="28"/>
                                        <w:szCs w:val="28"/>
                                      </w:rPr>
                                      <w:t>（十二）负责县政府人民防空和民防工作。</w:t>
                                    </w:r>
                                    <w:bookmarkEnd w:id="24"/>
                                    <w:bookmarkEnd w:id="25"/>
                                  </w:p>
                                  <w:p>
                                    <w:pPr>
                                      <w:pStyle w:val="3"/>
                                      <w:adjustRightInd w:val="0"/>
                                      <w:snapToGrid w:val="0"/>
                                      <w:spacing w:line="600" w:lineRule="exact"/>
                                      <w:ind w:firstLine="588" w:firstLineChars="210"/>
                                      <w:outlineLvl w:val="0"/>
                                      <w:rPr>
                                        <w:rFonts w:hAnsi="宋体" w:cs="宋体"/>
                                        <w:color w:val="333333"/>
                                        <w:sz w:val="28"/>
                                        <w:szCs w:val="28"/>
                                      </w:rPr>
                                    </w:pPr>
                                    <w:bookmarkStart w:id="26" w:name="_Toc72766360"/>
                                    <w:bookmarkStart w:id="27" w:name="_Toc72766506"/>
                                    <w:r>
                                      <w:rPr>
                                        <w:rFonts w:hint="eastAsia" w:hAnsi="宋体" w:cs="宋体"/>
                                        <w:color w:val="333333"/>
                                        <w:sz w:val="28"/>
                                        <w:szCs w:val="28"/>
                                      </w:rPr>
                                      <w:t>（十三）负责全县机关事业单位小汽车编制审批事项。</w:t>
                                    </w:r>
                                    <w:bookmarkEnd w:id="26"/>
                                    <w:bookmarkEnd w:id="27"/>
                                  </w:p>
                                  <w:p>
                                    <w:pPr>
                                      <w:pStyle w:val="3"/>
                                      <w:adjustRightInd w:val="0"/>
                                      <w:snapToGrid w:val="0"/>
                                      <w:spacing w:line="600" w:lineRule="exact"/>
                                      <w:ind w:firstLine="588" w:firstLineChars="210"/>
                                      <w:outlineLvl w:val="0"/>
                                      <w:rPr>
                                        <w:rFonts w:hAnsi="宋体" w:cs="宋体"/>
                                        <w:color w:val="333333"/>
                                        <w:sz w:val="28"/>
                                        <w:szCs w:val="28"/>
                                      </w:rPr>
                                    </w:pPr>
                                    <w:bookmarkStart w:id="28" w:name="_Toc72766361"/>
                                    <w:bookmarkStart w:id="29" w:name="_Toc72766507"/>
                                    <w:r>
                                      <w:rPr>
                                        <w:rFonts w:hint="eastAsia" w:hAnsi="宋体" w:cs="宋体"/>
                                        <w:color w:val="333333"/>
                                        <w:sz w:val="28"/>
                                        <w:szCs w:val="28"/>
                                      </w:rPr>
                                      <w:t>（十四）负责外事侨务工作。</w:t>
                                    </w:r>
                                    <w:bookmarkEnd w:id="28"/>
                                    <w:bookmarkEnd w:id="29"/>
                                  </w:p>
                                  <w:p>
                                    <w:pPr>
                                      <w:pStyle w:val="3"/>
                                      <w:adjustRightInd w:val="0"/>
                                      <w:snapToGrid w:val="0"/>
                                      <w:spacing w:line="600" w:lineRule="exact"/>
                                      <w:ind w:firstLine="588" w:firstLineChars="210"/>
                                      <w:outlineLvl w:val="0"/>
                                      <w:rPr>
                                        <w:rFonts w:hAnsi="宋体" w:cs="宋体"/>
                                        <w:color w:val="333333"/>
                                        <w:sz w:val="28"/>
                                        <w:szCs w:val="28"/>
                                      </w:rPr>
                                    </w:pPr>
                                    <w:bookmarkStart w:id="30" w:name="_Toc72766362"/>
                                    <w:bookmarkStart w:id="31" w:name="_Toc72766508"/>
                                    <w:r>
                                      <w:rPr>
                                        <w:rFonts w:hint="eastAsia" w:hAnsi="宋体" w:cs="宋体"/>
                                        <w:color w:val="333333"/>
                                        <w:sz w:val="28"/>
                                        <w:szCs w:val="28"/>
                                      </w:rPr>
                                      <w:t>（十五）组织实施县政府法制工作。</w:t>
                                    </w:r>
                                    <w:bookmarkEnd w:id="30"/>
                                    <w:bookmarkEnd w:id="31"/>
                                  </w:p>
                                  <w:p>
                                    <w:pPr>
                                      <w:pStyle w:val="3"/>
                                      <w:adjustRightInd w:val="0"/>
                                      <w:snapToGrid w:val="0"/>
                                      <w:spacing w:line="600" w:lineRule="exact"/>
                                      <w:ind w:firstLine="588" w:firstLineChars="210"/>
                                      <w:outlineLvl w:val="0"/>
                                      <w:rPr>
                                        <w:rFonts w:hAnsi="宋体" w:cs="宋体"/>
                                        <w:color w:val="333333"/>
                                        <w:sz w:val="28"/>
                                        <w:szCs w:val="28"/>
                                      </w:rPr>
                                    </w:pPr>
                                    <w:bookmarkStart w:id="32" w:name="_Toc72766363"/>
                                    <w:bookmarkStart w:id="33" w:name="_Toc72766509"/>
                                    <w:r>
                                      <w:rPr>
                                        <w:rFonts w:hint="eastAsia" w:hAnsi="宋体" w:cs="宋体"/>
                                        <w:color w:val="333333"/>
                                        <w:sz w:val="28"/>
                                        <w:szCs w:val="28"/>
                                      </w:rPr>
                                      <w:t>（十六）监督和指导政府采购工作。</w:t>
                                    </w:r>
                                    <w:bookmarkEnd w:id="32"/>
                                    <w:bookmarkEnd w:id="33"/>
                                  </w:p>
                                  <w:p>
                                    <w:pPr>
                                      <w:pStyle w:val="3"/>
                                      <w:adjustRightInd w:val="0"/>
                                      <w:snapToGrid w:val="0"/>
                                      <w:spacing w:line="600" w:lineRule="exact"/>
                                      <w:ind w:firstLine="588" w:firstLineChars="210"/>
                                      <w:outlineLvl w:val="0"/>
                                      <w:rPr>
                                        <w:rFonts w:hAnsi="宋体" w:cs="宋体"/>
                                        <w:color w:val="333333"/>
                                        <w:sz w:val="28"/>
                                        <w:szCs w:val="28"/>
                                      </w:rPr>
                                    </w:pPr>
                                    <w:bookmarkStart w:id="34" w:name="_Toc72766364"/>
                                    <w:bookmarkStart w:id="35" w:name="_Toc72766510"/>
                                    <w:r>
                                      <w:rPr>
                                        <w:rFonts w:hint="eastAsia" w:hAnsi="宋体" w:cs="宋体"/>
                                        <w:color w:val="333333"/>
                                        <w:sz w:val="28"/>
                                        <w:szCs w:val="28"/>
                                      </w:rPr>
                                      <w:t>（十七）监督、指导县人民政府驻成都办事处工作。</w:t>
                                    </w:r>
                                    <w:bookmarkEnd w:id="34"/>
                                    <w:bookmarkEnd w:id="35"/>
                                  </w:p>
                                  <w:p>
                                    <w:pPr>
                                      <w:pStyle w:val="3"/>
                                      <w:adjustRightInd w:val="0"/>
                                      <w:snapToGrid w:val="0"/>
                                      <w:spacing w:line="600" w:lineRule="exact"/>
                                      <w:ind w:left="638" w:leftChars="304" w:firstLine="25" w:firstLineChars="9"/>
                                      <w:outlineLvl w:val="0"/>
                                      <w:rPr>
                                        <w:rFonts w:hAnsi="宋体" w:cs="宋体"/>
                                        <w:b/>
                                        <w:color w:val="333333"/>
                                        <w:sz w:val="28"/>
                                        <w:szCs w:val="28"/>
                                      </w:rPr>
                                    </w:pPr>
                                    <w:bookmarkStart w:id="36" w:name="_Toc72766365"/>
                                    <w:bookmarkStart w:id="37" w:name="_Toc72766511"/>
                                    <w:r>
                                      <w:rPr>
                                        <w:rFonts w:hint="eastAsia" w:hAnsi="宋体" w:cs="宋体"/>
                                        <w:color w:val="333333"/>
                                        <w:sz w:val="28"/>
                                        <w:szCs w:val="28"/>
                                      </w:rPr>
                                      <w:t>（十八）承办县政府和县政府领导交办的其他事项。</w:t>
                                    </w:r>
                                    <w:bookmarkEnd w:id="36"/>
                                    <w:bookmarkEnd w:id="37"/>
                                  </w:p>
                                  <w:p>
                                    <w:pPr>
                                      <w:pStyle w:val="3"/>
                                      <w:adjustRightInd w:val="0"/>
                                      <w:snapToGrid w:val="0"/>
                                      <w:spacing w:line="600" w:lineRule="exact"/>
                                      <w:ind w:left="638" w:leftChars="304" w:firstLine="25" w:firstLineChars="9"/>
                                      <w:outlineLvl w:val="0"/>
                                      <w:rPr>
                                        <w:rFonts w:hAnsi="宋体" w:cs="宋体"/>
                                        <w:b/>
                                        <w:color w:val="333333"/>
                                        <w:sz w:val="28"/>
                                        <w:szCs w:val="28"/>
                                      </w:rPr>
                                    </w:pPr>
                                    <w:bookmarkStart w:id="38" w:name="_Toc72766512"/>
                                    <w:r>
                                      <w:rPr>
                                        <w:rFonts w:hint="eastAsia" w:hAnsi="宋体" w:cs="宋体"/>
                                        <w:b/>
                                        <w:color w:val="333333"/>
                                        <w:sz w:val="28"/>
                                        <w:szCs w:val="28"/>
                                      </w:rPr>
                                      <w:t>（二）、2019年重点工作完成情况</w:t>
                                    </w:r>
                                    <w:bookmarkEnd w:id="38"/>
                                  </w:p>
                                  <w:p>
                                    <w:pPr>
                                      <w:pStyle w:val="3"/>
                                      <w:adjustRightInd w:val="0"/>
                                      <w:snapToGrid w:val="0"/>
                                      <w:spacing w:line="600" w:lineRule="exact"/>
                                      <w:ind w:firstLine="868" w:firstLineChars="310"/>
                                      <w:outlineLvl w:val="0"/>
                                      <w:rPr>
                                        <w:rFonts w:hAnsi="宋体" w:cs="宋体"/>
                                        <w:color w:val="333333"/>
                                        <w:sz w:val="28"/>
                                        <w:szCs w:val="28"/>
                                      </w:rPr>
                                    </w:pPr>
                                    <w:bookmarkStart w:id="39" w:name="_Toc72766367"/>
                                    <w:bookmarkStart w:id="40" w:name="_Toc72766513"/>
                                    <w:r>
                                      <w:rPr>
                                        <w:rFonts w:hint="eastAsia" w:hAnsi="宋体" w:cs="宋体"/>
                                        <w:color w:val="333333"/>
                                        <w:sz w:val="28"/>
                                        <w:szCs w:val="28"/>
                                      </w:rPr>
                                      <w:t>2019年我办围绕全县中心工作，不断拓宽思路，创新机制，强化措施，切实履行职责全面完成了年度工作任务。坚持立足全局，协调工作成效明显；坚持精益求精，辅政能力明显提升；坚持依法行政，政务环境持续优化；坚持厉行节约，努力降低行政成本；坚持改革创新，着力提高财政绩效。全面完成2019年各项工作，取得了实效。</w:t>
                                    </w:r>
                                    <w:bookmarkEnd w:id="39"/>
                                    <w:bookmarkEnd w:id="40"/>
                                  </w:p>
                                  <w:p>
                                    <w:pPr>
                                      <w:pStyle w:val="21"/>
                                      <w:numPr>
                                        <w:ilvl w:val="0"/>
                                        <w:numId w:val="1"/>
                                      </w:numPr>
                                      <w:ind w:firstLineChars="0"/>
                                      <w:rPr>
                                        <w:rFonts w:ascii="仿宋_GB2312" w:hAnsi="仿宋_GB2312" w:eastAsia="仿宋_GB2312" w:cs="仿宋_GB2312"/>
                                        <w:sz w:val="32"/>
                                        <w:szCs w:val="32"/>
                                      </w:rPr>
                                    </w:pPr>
                                    <w:r>
                                      <w:rPr>
                                        <w:rFonts w:hint="eastAsia" w:ascii="黑体" w:hAnsi="黑体" w:eastAsia="黑体" w:cs="黑体"/>
                                        <w:sz w:val="32"/>
                                        <w:szCs w:val="32"/>
                                      </w:rPr>
                                      <w:t>部门预算单位构成</w:t>
                                    </w:r>
                                  </w:p>
                                  <w:p>
                                    <w:pPr>
                                      <w:ind w:firstLine="960" w:firstLineChars="300"/>
                                      <w:rPr>
                                        <w:rFonts w:ascii="仿宋_GB2312" w:eastAsia="仿宋_GB2312"/>
                                        <w:bCs/>
                                        <w:color w:val="000000"/>
                                        <w:kern w:val="0"/>
                                        <w:sz w:val="32"/>
                                        <w:szCs w:val="32"/>
                                      </w:rPr>
                                    </w:pPr>
                                    <w:r>
                                      <w:rPr>
                                        <w:rFonts w:hint="eastAsia" w:ascii="仿宋_GB2312" w:eastAsia="仿宋_GB2312"/>
                                        <w:bCs/>
                                        <w:color w:val="000000"/>
                                        <w:kern w:val="0"/>
                                        <w:sz w:val="32"/>
                                        <w:szCs w:val="32"/>
                                      </w:rPr>
                                      <w:t>政府办独立编制机构数1个，独立核算机构数1个，单位编制数44个，其中：公务员编制25个、行政工勤编制7个，事业编制12个；2019年单位实有人数48人，其中：在职48人（公务员23人、参公人员3人、行政工勤15人、事业人员7人），退休24人，（退休人员工资转由社保部门发放），遗嘱9人。</w:t>
                                    </w:r>
                                  </w:p>
                                  <w:p>
                                    <w:pPr>
                                      <w:pStyle w:val="15"/>
                                      <w:spacing w:line="560" w:lineRule="exact"/>
                                      <w:outlineLvl w:val="0"/>
                                      <w:rPr>
                                        <w:rFonts w:ascii="仿宋_GB2312" w:hAnsi="宋体" w:eastAsia="仿宋_GB2312" w:cs="宋体"/>
                                        <w:color w:val="333333"/>
                                        <w:sz w:val="28"/>
                                        <w:szCs w:val="28"/>
                                      </w:rPr>
                                    </w:pPr>
                                    <w:bookmarkStart w:id="41" w:name="_Toc72766514"/>
                                    <w:r>
                                      <w:rPr>
                                        <w:rFonts w:hint="eastAsia" w:ascii="仿宋_GB2312" w:hAnsi="宋体" w:eastAsia="仿宋_GB2312" w:cs="宋体"/>
                                        <w:b/>
                                        <w:color w:val="333333"/>
                                        <w:sz w:val="28"/>
                                        <w:szCs w:val="28"/>
                                      </w:rPr>
                                      <w:t>三、收支预算情况说明</w:t>
                                    </w:r>
                                    <w:r>
                                      <w:rPr>
                                        <w:rFonts w:hint="eastAsia" w:ascii="仿宋_GB2312" w:hAnsi="宋体" w:eastAsia="仿宋_GB2312" w:cs="宋体"/>
                                        <w:color w:val="333333"/>
                                        <w:sz w:val="28"/>
                                        <w:szCs w:val="28"/>
                                      </w:rPr>
                                      <w:br w:type="textWrapping"/>
                                    </w:r>
                                    <w:r>
                                      <w:rPr>
                                        <w:rFonts w:hint="eastAsia" w:ascii="仿宋_GB2312" w:hAnsi="宋体" w:eastAsia="仿宋_GB2312" w:cs="宋体"/>
                                        <w:color w:val="333333"/>
                                        <w:sz w:val="28"/>
                                        <w:szCs w:val="28"/>
                                      </w:rPr>
                                      <w:t>　　按照综合预算的原则，财政厅所有收入和支出均纳入部门预算管理。收入包括：一般公共预算拨款收入、上年结转；支出包括：一般公共服务支出、教育支出、社会保障和就业支出、医疗卫生与计划生育支出、住房保障支出。财政厅2019年收支总预算1022.79万元，比2017年收支预算总数增加312.87万元，主要是因为车辆运行的预算以往年度是作为保留预算，未下达部门预算批复，而今年均以纳入预算并下达预算批复。</w:t>
                                    </w:r>
                                    <w:r>
                                      <w:rPr>
                                        <w:rFonts w:hint="eastAsia" w:ascii="仿宋_GB2312" w:hAnsi="宋体" w:eastAsia="仿宋_GB2312" w:cs="宋体"/>
                                        <w:color w:val="333333"/>
                                        <w:sz w:val="28"/>
                                        <w:szCs w:val="28"/>
                                      </w:rPr>
                                      <w:br w:type="textWrapping"/>
                                    </w:r>
                                    <w:r>
                                      <w:rPr>
                                        <w:rFonts w:hint="eastAsia" w:ascii="仿宋_GB2312" w:hAnsi="宋体" w:eastAsia="仿宋_GB2312" w:cs="宋体"/>
                                        <w:color w:val="333333"/>
                                        <w:sz w:val="28"/>
                                        <w:szCs w:val="28"/>
                                      </w:rPr>
                                      <w:t>　（一）收入预算情况。</w:t>
                                    </w:r>
                                    <w:r>
                                      <w:rPr>
                                        <w:rFonts w:hint="eastAsia" w:ascii="仿宋_GB2312" w:hAnsi="宋体" w:eastAsia="仿宋_GB2312" w:cs="宋体"/>
                                        <w:color w:val="333333"/>
                                        <w:sz w:val="28"/>
                                        <w:szCs w:val="28"/>
                                      </w:rPr>
                                      <w:br w:type="textWrapping"/>
                                    </w:r>
                                    <w:r>
                                      <w:rPr>
                                        <w:rFonts w:hint="eastAsia" w:ascii="仿宋_GB2312" w:hAnsi="宋体" w:eastAsia="仿宋_GB2312" w:cs="宋体"/>
                                        <w:color w:val="333333"/>
                                        <w:sz w:val="28"/>
                                        <w:szCs w:val="28"/>
                                      </w:rPr>
                                      <w:t>　　财政厅2019年收入预算1022.79万元，一般公共预算拨款收入1022.79万元，占100%。</w:t>
                                    </w:r>
                                    <w:r>
                                      <w:rPr>
                                        <w:rFonts w:hint="eastAsia" w:ascii="仿宋_GB2312" w:hAnsi="宋体" w:eastAsia="仿宋_GB2312" w:cs="宋体"/>
                                        <w:color w:val="333333"/>
                                        <w:sz w:val="28"/>
                                        <w:szCs w:val="28"/>
                                      </w:rPr>
                                      <w:br w:type="textWrapping"/>
                                    </w:r>
                                    <w:r>
                                      <w:rPr>
                                        <w:rFonts w:hint="eastAsia" w:ascii="仿宋_GB2312" w:hAnsi="宋体" w:eastAsia="仿宋_GB2312" w:cs="宋体"/>
                                        <w:color w:val="333333"/>
                                        <w:sz w:val="28"/>
                                        <w:szCs w:val="28"/>
                                      </w:rPr>
                                      <w:t>　　（二）支出预算情况。</w:t>
                                    </w:r>
                                    <w:r>
                                      <w:rPr>
                                        <w:rFonts w:hint="eastAsia" w:ascii="仿宋_GB2312" w:hAnsi="宋体" w:eastAsia="仿宋_GB2312" w:cs="宋体"/>
                                        <w:color w:val="333333"/>
                                        <w:sz w:val="28"/>
                                        <w:szCs w:val="28"/>
                                      </w:rPr>
                                      <w:br w:type="textWrapping"/>
                                    </w:r>
                                    <w:r>
                                      <w:rPr>
                                        <w:rFonts w:hint="eastAsia" w:ascii="仿宋_GB2312" w:hAnsi="宋体" w:eastAsia="仿宋_GB2312" w:cs="宋体"/>
                                        <w:color w:val="333333"/>
                                        <w:sz w:val="28"/>
                                        <w:szCs w:val="28"/>
                                      </w:rPr>
                                      <w:t>　　财政厅2019年支出预算1022.79万元，其中：基本支出1022.79万元，占100%。</w:t>
                                    </w:r>
                                  </w:p>
                                  <w:p>
                                    <w:pPr>
                                      <w:pStyle w:val="15"/>
                                      <w:spacing w:line="560" w:lineRule="exact"/>
                                      <w:outlineLvl w:val="0"/>
                                      <w:rPr>
                                        <w:rFonts w:hint="eastAsia" w:ascii="仿宋_GB2312" w:hAnsi="宋体" w:eastAsia="仿宋_GB2312" w:cs="宋体"/>
                                        <w:color w:val="333333"/>
                                        <w:sz w:val="28"/>
                                        <w:szCs w:val="28"/>
                                      </w:rPr>
                                    </w:pPr>
                                    <w:r>
                                      <w:rPr>
                                        <w:rFonts w:hint="eastAsia" w:ascii="仿宋_GB2312" w:hAnsi="宋体" w:eastAsia="仿宋_GB2312" w:cs="宋体"/>
                                        <w:b/>
                                        <w:color w:val="333333"/>
                                        <w:sz w:val="28"/>
                                        <w:szCs w:val="28"/>
                                      </w:rPr>
                                      <w:t>四、财政拨款收支预算情况说明</w:t>
                                    </w:r>
                                    <w:r>
                                      <w:rPr>
                                        <w:rFonts w:hint="eastAsia" w:ascii="仿宋_GB2312" w:hAnsi="宋体" w:eastAsia="仿宋_GB2312" w:cs="宋体"/>
                                        <w:color w:val="333333"/>
                                        <w:sz w:val="28"/>
                                        <w:szCs w:val="28"/>
                                      </w:rPr>
                                      <w:br w:type="textWrapping"/>
                                    </w:r>
                                    <w:r>
                                      <w:rPr>
                                        <w:rFonts w:hint="eastAsia" w:ascii="仿宋_GB2312" w:hAnsi="宋体" w:eastAsia="仿宋_GB2312" w:cs="宋体"/>
                                        <w:color w:val="333333"/>
                                        <w:sz w:val="28"/>
                                        <w:szCs w:val="28"/>
                                      </w:rPr>
                                      <w:t>　　财政厅2019年财政拨款收支总预算1022.79万元，比2018年财政拨款收支总预算增加312.87万元，主要是因为车辆运行的预算以往年度是作为保留预算，未下达部门预算批复，而今年均以纳入预算并下达预算批复。</w:t>
                                    </w:r>
                                  </w:p>
                                  <w:p>
                                    <w:pPr>
                                      <w:pStyle w:val="15"/>
                                      <w:spacing w:line="560" w:lineRule="exact"/>
                                      <w:ind w:firstLine="560" w:firstLineChars="200"/>
                                      <w:outlineLvl w:val="0"/>
                                      <w:rPr>
                                        <w:rFonts w:ascii="仿宋_GB2312" w:hAnsi="宋体" w:eastAsia="仿宋_GB2312" w:cs="宋体"/>
                                        <w:color w:val="333333"/>
                                        <w:sz w:val="28"/>
                                        <w:szCs w:val="28"/>
                                      </w:rPr>
                                    </w:pPr>
                                    <w:r>
                                      <w:rPr>
                                        <w:rFonts w:hint="eastAsia" w:ascii="仿宋_GB2312" w:hAnsi="宋体" w:eastAsia="仿宋_GB2312" w:cs="宋体"/>
                                        <w:color w:val="333333"/>
                                        <w:sz w:val="28"/>
                                        <w:szCs w:val="28"/>
                                      </w:rPr>
                                      <w:t>收入包括：本年一般公共预算拨款收入1022.79万元。一般公共服务支出790.12万元、国防教育支出7万元、教育支出1万元、社会保障和就业支出118.02万元、医疗卫生与计划生育支出40.3万元、住房保障支出66.35万元。</w:t>
                                    </w:r>
                                  </w:p>
                                  <w:p>
                                    <w:pPr>
                                      <w:pStyle w:val="15"/>
                                      <w:spacing w:line="560" w:lineRule="exact"/>
                                      <w:outlineLvl w:val="0"/>
                                      <w:rPr>
                                        <w:rFonts w:hint="eastAsia" w:ascii="仿宋_GB2312" w:hAnsi="宋体" w:eastAsia="仿宋_GB2312" w:cs="宋体"/>
                                        <w:color w:val="333333"/>
                                        <w:sz w:val="28"/>
                                        <w:szCs w:val="28"/>
                                      </w:rPr>
                                    </w:pPr>
                                    <w:r>
                                      <w:rPr>
                                        <w:rFonts w:hint="eastAsia" w:ascii="仿宋_GB2312" w:hAnsi="宋体" w:eastAsia="仿宋_GB2312" w:cs="宋体"/>
                                        <w:b/>
                                        <w:color w:val="333333"/>
                                        <w:sz w:val="28"/>
                                        <w:szCs w:val="28"/>
                                      </w:rPr>
                                      <w:t>五、一般公共预算当年拨款情况说明</w:t>
                                    </w:r>
                                    <w:r>
                                      <w:rPr>
                                        <w:rFonts w:hint="eastAsia" w:ascii="仿宋_GB2312" w:hAnsi="宋体" w:eastAsia="仿宋_GB2312" w:cs="宋体"/>
                                        <w:color w:val="333333"/>
                                        <w:sz w:val="28"/>
                                        <w:szCs w:val="28"/>
                                      </w:rPr>
                                      <w:br w:type="textWrapping"/>
                                    </w:r>
                                    <w:r>
                                      <w:rPr>
                                        <w:rFonts w:hint="eastAsia" w:ascii="仿宋_GB2312" w:hAnsi="宋体" w:eastAsia="仿宋_GB2312" w:cs="宋体"/>
                                        <w:color w:val="333333"/>
                                        <w:sz w:val="28"/>
                                        <w:szCs w:val="28"/>
                                      </w:rPr>
                                      <w:t>　　（一）一般公共预算当年拨款规模变化情况。</w:t>
                                    </w:r>
                                    <w:r>
                                      <w:rPr>
                                        <w:rFonts w:hint="eastAsia" w:ascii="仿宋_GB2312" w:hAnsi="宋体" w:eastAsia="仿宋_GB2312" w:cs="宋体"/>
                                        <w:color w:val="333333"/>
                                        <w:sz w:val="28"/>
                                        <w:szCs w:val="28"/>
                                      </w:rPr>
                                      <w:br w:type="textWrapping"/>
                                    </w:r>
                                    <w:r>
                                      <w:rPr>
                                        <w:rFonts w:hint="eastAsia" w:ascii="仿宋_GB2312" w:hAnsi="宋体" w:eastAsia="仿宋_GB2312" w:cs="宋体"/>
                                        <w:color w:val="333333"/>
                                        <w:sz w:val="28"/>
                                        <w:szCs w:val="28"/>
                                      </w:rPr>
                                      <w:t>　　财政厅2019年一般公共预算当年拨款1022.79万元，比2018年财政拨款收支总预算增加312.87万元，主要是因为车辆运行的预算以往年度是作为保留预算，未下达部门预算批复，而今年均以纳入预算并下达预算批复。</w:t>
                                    </w:r>
                                  </w:p>
                                  <w:p>
                                    <w:pPr>
                                      <w:pStyle w:val="15"/>
                                      <w:spacing w:line="560" w:lineRule="exact"/>
                                      <w:ind w:firstLine="280" w:firstLineChars="100"/>
                                      <w:outlineLvl w:val="0"/>
                                      <w:rPr>
                                        <w:rFonts w:ascii="仿宋_GB2312" w:hAnsi="宋体" w:eastAsia="仿宋_GB2312" w:cs="宋体"/>
                                        <w:color w:val="333333"/>
                                        <w:sz w:val="28"/>
                                        <w:szCs w:val="28"/>
                                      </w:rPr>
                                    </w:pPr>
                                    <w:r>
                                      <w:rPr>
                                        <w:rFonts w:hint="eastAsia" w:ascii="仿宋_GB2312" w:hAnsi="宋体" w:eastAsia="仿宋_GB2312" w:cs="宋体"/>
                                        <w:color w:val="333333"/>
                                        <w:sz w:val="28"/>
                                        <w:szCs w:val="28"/>
                                      </w:rPr>
                                      <w:t>（二）一般公共预算当年拨款结构情况。</w:t>
                                    </w:r>
                                    <w:r>
                                      <w:rPr>
                                        <w:rFonts w:hint="eastAsia" w:ascii="仿宋_GB2312" w:hAnsi="宋体" w:eastAsia="仿宋_GB2312" w:cs="宋体"/>
                                        <w:color w:val="333333"/>
                                        <w:sz w:val="28"/>
                                        <w:szCs w:val="28"/>
                                      </w:rPr>
                                      <w:br w:type="textWrapping"/>
                                    </w:r>
                                    <w:r>
                                      <w:rPr>
                                        <w:rFonts w:hint="eastAsia" w:ascii="仿宋_GB2312" w:hAnsi="宋体" w:eastAsia="仿宋_GB2312" w:cs="宋体"/>
                                        <w:color w:val="333333"/>
                                        <w:sz w:val="28"/>
                                        <w:szCs w:val="28"/>
                                      </w:rPr>
                                      <w:t>　　一般公共服务支出790.12元，占77.25%；国防教育支出7万元，占0.69%、教育支出1万元，占0.09%；社会保障和就业支出118.02万元，占11.54%；医疗卫生与计划生育支出40.3万元，占3.94%；住房保障支出66.35万元，占6.49%。</w:t>
                                    </w:r>
                                    <w:r>
                                      <w:rPr>
                                        <w:rFonts w:hint="eastAsia" w:ascii="仿宋_GB2312" w:hAnsi="宋体" w:eastAsia="仿宋_GB2312" w:cs="宋体"/>
                                        <w:color w:val="333333"/>
                                        <w:sz w:val="28"/>
                                        <w:szCs w:val="28"/>
                                      </w:rPr>
                                      <w:br w:type="textWrapping"/>
                                    </w:r>
                                    <w:r>
                                      <w:rPr>
                                        <w:rFonts w:hint="eastAsia" w:ascii="仿宋_GB2312" w:hAnsi="宋体" w:eastAsia="仿宋_GB2312" w:cs="宋体"/>
                                        <w:color w:val="333333"/>
                                        <w:sz w:val="28"/>
                                        <w:szCs w:val="28"/>
                                      </w:rPr>
                                      <w:t>　　（三）一般公共预算当年拨款具体使用情况。</w:t>
                                    </w:r>
                                    <w:r>
                                      <w:rPr>
                                        <w:rFonts w:hint="eastAsia" w:ascii="仿宋_GB2312" w:hAnsi="宋体" w:eastAsia="仿宋_GB2312" w:cs="宋体"/>
                                        <w:color w:val="333333"/>
                                        <w:sz w:val="28"/>
                                        <w:szCs w:val="28"/>
                                      </w:rPr>
                                      <w:br w:type="textWrapping"/>
                                    </w:r>
                                    <w:r>
                                      <w:rPr>
                                        <w:rFonts w:hint="eastAsia" w:ascii="仿宋_GB2312" w:hAnsi="宋体" w:eastAsia="仿宋_GB2312" w:cs="宋体"/>
                                        <w:color w:val="333333"/>
                                        <w:sz w:val="28"/>
                                        <w:szCs w:val="28"/>
                                      </w:rPr>
                                      <w:t>　　1.一般公共服务（类）政府办公厅（款）行政运行（项）2019年预算数为790.12万元，主要用于：机关及参公管理事业单位正常运转的基本支出，包括基本工资、津贴补贴等人员经费以及办公费、印刷费、水电费等日常公用经费。</w:t>
                                    </w:r>
                                    <w:r>
                                      <w:rPr>
                                        <w:rFonts w:hint="eastAsia" w:ascii="仿宋_GB2312" w:hAnsi="宋体" w:eastAsia="仿宋_GB2312" w:cs="宋体"/>
                                        <w:color w:val="333333"/>
                                        <w:sz w:val="28"/>
                                        <w:szCs w:val="28"/>
                                      </w:rPr>
                                      <w:br w:type="textWrapping"/>
                                    </w:r>
                                    <w:r>
                                      <w:rPr>
                                        <w:rFonts w:hint="eastAsia" w:ascii="仿宋_GB2312" w:hAnsi="宋体" w:eastAsia="仿宋_GB2312" w:cs="宋体"/>
                                        <w:color w:val="333333"/>
                                        <w:sz w:val="28"/>
                                        <w:szCs w:val="28"/>
                                      </w:rPr>
                                      <w:t>　　2.一般公共服务（类）国防支出（款）人民防空（项）2019年预算数为7万元，主要用于：人防宣传等日常工作经费。</w:t>
                                    </w:r>
                                    <w:r>
                                      <w:rPr>
                                        <w:rFonts w:hint="eastAsia" w:ascii="仿宋_GB2312" w:hAnsi="宋体" w:eastAsia="仿宋_GB2312" w:cs="宋体"/>
                                        <w:color w:val="333333"/>
                                        <w:sz w:val="28"/>
                                        <w:szCs w:val="28"/>
                                      </w:rPr>
                                      <w:br w:type="textWrapping"/>
                                    </w:r>
                                    <w:r>
                                      <w:rPr>
                                        <w:rFonts w:hint="eastAsia" w:ascii="仿宋_GB2312" w:hAnsi="宋体" w:eastAsia="仿宋_GB2312" w:cs="宋体"/>
                                        <w:color w:val="333333"/>
                                        <w:sz w:val="28"/>
                                        <w:szCs w:val="28"/>
                                      </w:rPr>
                                      <w:t>　　3.教育（类）进修及培训（款）培训支出（项）2019年预算数为1万元，主要用于：在职人员参加外部培训等经费支出。</w:t>
                                    </w:r>
                                    <w:r>
                                      <w:rPr>
                                        <w:rFonts w:hint="eastAsia" w:ascii="仿宋_GB2312" w:hAnsi="宋体" w:eastAsia="仿宋_GB2312" w:cs="宋体"/>
                                        <w:color w:val="333333"/>
                                        <w:sz w:val="28"/>
                                        <w:szCs w:val="28"/>
                                      </w:rPr>
                                      <w:br w:type="textWrapping"/>
                                    </w:r>
                                    <w:r>
                                      <w:rPr>
                                        <w:rFonts w:hint="eastAsia" w:ascii="仿宋_GB2312" w:hAnsi="宋体" w:eastAsia="仿宋_GB2312" w:cs="宋体"/>
                                        <w:color w:val="333333"/>
                                        <w:sz w:val="28"/>
                                        <w:szCs w:val="28"/>
                                      </w:rPr>
                                      <w:t>　  4.社会保障和就业（类）行政事业单位离退休（款）机关事业单位基本养老保险缴费支出（项）2019年预算数为84.3万元，主要用于：实施养老保险制度后，部门按规定由单位缴纳的基本养老保险费支出。</w:t>
                                    </w:r>
                                    <w:r>
                                      <w:rPr>
                                        <w:rFonts w:hint="eastAsia" w:ascii="仿宋_GB2312" w:hAnsi="宋体" w:eastAsia="仿宋_GB2312" w:cs="宋体"/>
                                        <w:color w:val="333333"/>
                                        <w:sz w:val="28"/>
                                        <w:szCs w:val="28"/>
                                      </w:rPr>
                                      <w:br w:type="textWrapping"/>
                                    </w:r>
                                    <w:r>
                                      <w:rPr>
                                        <w:rFonts w:hint="eastAsia" w:ascii="仿宋_GB2312" w:hAnsi="宋体" w:eastAsia="仿宋_GB2312" w:cs="宋体"/>
                                        <w:color w:val="333333"/>
                                        <w:sz w:val="28"/>
                                        <w:szCs w:val="28"/>
                                      </w:rPr>
                                      <w:t>　　5.社会保障和就业（类）行政事业单位离退休（款）机关事业单位职业年金缴费支出（项）2019年预算数为33.72万元，主要用于：实施养老保险制度后，部门按规定由单位缴纳的职业年金支出。</w:t>
                                    </w:r>
                                    <w:r>
                                      <w:rPr>
                                        <w:rFonts w:hint="eastAsia" w:ascii="仿宋_GB2312" w:hAnsi="宋体" w:eastAsia="仿宋_GB2312" w:cs="宋体"/>
                                        <w:color w:val="333333"/>
                                        <w:sz w:val="28"/>
                                        <w:szCs w:val="28"/>
                                      </w:rPr>
                                      <w:br w:type="textWrapping"/>
                                    </w:r>
                                    <w:r>
                                      <w:rPr>
                                        <w:rFonts w:hint="eastAsia" w:ascii="仿宋_GB2312" w:hAnsi="宋体" w:eastAsia="仿宋_GB2312" w:cs="宋体"/>
                                        <w:color w:val="333333"/>
                                        <w:sz w:val="28"/>
                                        <w:szCs w:val="28"/>
                                      </w:rPr>
                                      <w:t>　　6.医疗卫生与计划生育（类）行政事业单位医疗（款）行政单位医疗（项）2019年预算数为29.73元，主要用于：厅机关及参公管理事业单位基本医疗保险缴费支出。</w:t>
                                    </w:r>
                                    <w:r>
                                      <w:rPr>
                                        <w:rFonts w:hint="eastAsia" w:ascii="仿宋_GB2312" w:hAnsi="宋体" w:eastAsia="仿宋_GB2312" w:cs="宋体"/>
                                        <w:color w:val="333333"/>
                                        <w:sz w:val="28"/>
                                        <w:szCs w:val="28"/>
                                      </w:rPr>
                                      <w:br w:type="textWrapping"/>
                                    </w:r>
                                    <w:r>
                                      <w:rPr>
                                        <w:rFonts w:hint="eastAsia" w:ascii="仿宋_GB2312" w:hAnsi="宋体" w:eastAsia="仿宋_GB2312" w:cs="宋体"/>
                                        <w:color w:val="333333"/>
                                        <w:sz w:val="28"/>
                                        <w:szCs w:val="28"/>
                                      </w:rPr>
                                      <w:t>　　7.医疗卫生与计划生育（类）行政事业单位医疗（款）公务员医疗补助（项）2019年预算数为10.57万元，主要用于：厅机关及参公管理事业单位集中缴纳公务员医疗补助支出。</w:t>
                                    </w:r>
                                    <w:r>
                                      <w:rPr>
                                        <w:rFonts w:hint="eastAsia" w:ascii="仿宋_GB2312" w:hAnsi="宋体" w:eastAsia="仿宋_GB2312" w:cs="宋体"/>
                                        <w:color w:val="333333"/>
                                        <w:sz w:val="28"/>
                                        <w:szCs w:val="28"/>
                                      </w:rPr>
                                      <w:br w:type="textWrapping"/>
                                    </w:r>
                                    <w:r>
                                      <w:rPr>
                                        <w:rFonts w:hint="eastAsia" w:ascii="仿宋_GB2312" w:hAnsi="宋体" w:eastAsia="仿宋_GB2312" w:cs="宋体"/>
                                        <w:color w:val="333333"/>
                                        <w:sz w:val="28"/>
                                        <w:szCs w:val="28"/>
                                      </w:rPr>
                                      <w:t>　  8.住房保障（类）住房改革支出（款）住房公积金（项）2019年预算数为66.35万元，主要用于：部门按人力资源和社会保障部、财政部规定的基本工资和津贴补贴以及规定比例为职工缴纳的住房公积金支出。</w:t>
                                    </w:r>
                                    <w:r>
                                      <w:rPr>
                                        <w:rFonts w:hint="eastAsia" w:ascii="仿宋_GB2312" w:hAnsi="宋体" w:eastAsia="仿宋_GB2312" w:cs="宋体"/>
                                        <w:color w:val="333333"/>
                                        <w:sz w:val="28"/>
                                        <w:szCs w:val="28"/>
                                      </w:rPr>
                                      <w:br w:type="textWrapping"/>
                                    </w:r>
                                    <w:r>
                                      <w:rPr>
                                        <w:rFonts w:hint="eastAsia" w:ascii="仿宋_GB2312" w:hAnsi="宋体" w:eastAsia="仿宋_GB2312" w:cs="宋体"/>
                                        <w:b/>
                                        <w:color w:val="333333"/>
                                        <w:sz w:val="28"/>
                                        <w:szCs w:val="28"/>
                                      </w:rPr>
                                      <w:t>六、一般公共预算基本支出情况说明</w:t>
                                    </w:r>
                                    <w:r>
                                      <w:rPr>
                                        <w:rFonts w:hint="eastAsia" w:ascii="仿宋_GB2312" w:hAnsi="宋体" w:eastAsia="仿宋_GB2312" w:cs="宋体"/>
                                        <w:color w:val="333333"/>
                                        <w:sz w:val="28"/>
                                        <w:szCs w:val="28"/>
                                      </w:rPr>
                                      <w:br w:type="textWrapping"/>
                                    </w:r>
                                    <w:r>
                                      <w:rPr>
                                        <w:rFonts w:hint="eastAsia" w:ascii="仿宋_GB2312" w:hAnsi="宋体" w:eastAsia="仿宋_GB2312" w:cs="宋体"/>
                                        <w:color w:val="333333"/>
                                        <w:sz w:val="28"/>
                                        <w:szCs w:val="28"/>
                                      </w:rPr>
                                      <w:t>　　财政厅2019年一般公共预算基本支出1022.79万元，其中：</w:t>
                                    </w:r>
                                    <w:r>
                                      <w:rPr>
                                        <w:rFonts w:hint="eastAsia" w:ascii="仿宋_GB2312" w:hAnsi="宋体" w:eastAsia="仿宋_GB2312" w:cs="宋体"/>
                                        <w:color w:val="333333"/>
                                        <w:sz w:val="28"/>
                                        <w:szCs w:val="28"/>
                                      </w:rPr>
                                      <w:br w:type="textWrapping"/>
                                    </w:r>
                                    <w:r>
                                      <w:rPr>
                                        <w:rFonts w:hint="eastAsia" w:ascii="仿宋_GB2312" w:hAnsi="宋体" w:eastAsia="仿宋_GB2312" w:cs="宋体"/>
                                        <w:color w:val="333333"/>
                                        <w:sz w:val="28"/>
                                        <w:szCs w:val="28"/>
                                      </w:rPr>
                                      <w:t>人员经费660.07万元，主要包括：基本工资、津贴补贴、奖金、社会保险缴费等支出。</w:t>
                                    </w:r>
                                    <w:r>
                                      <w:rPr>
                                        <w:rFonts w:hint="eastAsia" w:ascii="仿宋_GB2312" w:hAnsi="宋体" w:eastAsia="仿宋_GB2312" w:cs="宋体"/>
                                        <w:color w:val="333333"/>
                                        <w:sz w:val="28"/>
                                        <w:szCs w:val="28"/>
                                      </w:rPr>
                                      <w:br w:type="textWrapping"/>
                                    </w:r>
                                    <w:r>
                                      <w:rPr>
                                        <w:rFonts w:hint="eastAsia" w:ascii="仿宋_GB2312" w:hAnsi="宋体" w:eastAsia="仿宋_GB2312" w:cs="宋体"/>
                                        <w:color w:val="333333"/>
                                        <w:sz w:val="28"/>
                                        <w:szCs w:val="28"/>
                                      </w:rPr>
                                      <w:t>　　公用经费362.72万元，主要包括：办公费、水费、电费、邮电费、印刷费、差旅费、维修（护）费、劳务费等支出。</w:t>
                                    </w:r>
                                  </w:p>
                                  <w:p>
                                    <w:pPr>
                                      <w:pStyle w:val="15"/>
                                      <w:spacing w:line="560" w:lineRule="exact"/>
                                      <w:outlineLvl w:val="0"/>
                                      <w:rPr>
                                        <w:rFonts w:ascii="仿宋_GB2312" w:hAnsi="宋体" w:eastAsia="仿宋_GB2312" w:cs="宋体"/>
                                        <w:color w:val="333333"/>
                                        <w:sz w:val="28"/>
                                        <w:szCs w:val="28"/>
                                      </w:rPr>
                                    </w:pPr>
                                    <w:r>
                                      <w:rPr>
                                        <w:rFonts w:hint="eastAsia" w:ascii="仿宋_GB2312" w:hAnsi="宋体" w:eastAsia="仿宋_GB2312" w:cs="宋体"/>
                                        <w:b/>
                                        <w:color w:val="333333"/>
                                        <w:sz w:val="28"/>
                                        <w:szCs w:val="28"/>
                                      </w:rPr>
                                      <w:t>七、“三公”经费财政拨款预算安排情况说明</w:t>
                                    </w:r>
                                    <w:r>
                                      <w:rPr>
                                        <w:rFonts w:hint="eastAsia" w:ascii="仿宋_GB2312" w:hAnsi="宋体" w:eastAsia="仿宋_GB2312" w:cs="宋体"/>
                                        <w:color w:val="333333"/>
                                        <w:sz w:val="28"/>
                                        <w:szCs w:val="28"/>
                                      </w:rPr>
                                      <w:br w:type="textWrapping"/>
                                    </w:r>
                                    <w:r>
                                      <w:rPr>
                                        <w:rFonts w:hint="eastAsia" w:ascii="仿宋_GB2312" w:hAnsi="宋体" w:eastAsia="仿宋_GB2312" w:cs="宋体"/>
                                        <w:color w:val="333333"/>
                                        <w:sz w:val="28"/>
                                        <w:szCs w:val="28"/>
                                      </w:rPr>
                                      <w:t>　　财政厅2019年“三公”经费财政拨款预算数234.20万元，其中：因公出国（境）经费0万元，公务接待费0.8万元，公务用车购置及运行维护费188万元。</w:t>
                                    </w:r>
                                    <w:r>
                                      <w:rPr>
                                        <w:rFonts w:hint="eastAsia" w:ascii="仿宋_GB2312" w:hAnsi="宋体" w:eastAsia="仿宋_GB2312" w:cs="宋体"/>
                                        <w:color w:val="333333"/>
                                        <w:sz w:val="28"/>
                                        <w:szCs w:val="28"/>
                                      </w:rPr>
                                      <w:br w:type="textWrapping"/>
                                    </w:r>
                                    <w:r>
                                      <w:rPr>
                                        <w:rFonts w:hint="eastAsia" w:ascii="仿宋_GB2312" w:hAnsi="宋体" w:eastAsia="仿宋_GB2312" w:cs="宋体"/>
                                        <w:color w:val="333333"/>
                                        <w:sz w:val="28"/>
                                        <w:szCs w:val="28"/>
                                      </w:rPr>
                                      <w:t>　　（一）因公出国（境）经费与2018年预算无变化。</w:t>
                                    </w:r>
                                    <w:r>
                                      <w:rPr>
                                        <w:rFonts w:hint="eastAsia" w:ascii="仿宋_GB2312" w:hAnsi="宋体" w:eastAsia="仿宋_GB2312" w:cs="宋体"/>
                                        <w:color w:val="333333"/>
                                        <w:sz w:val="28"/>
                                        <w:szCs w:val="28"/>
                                      </w:rPr>
                                      <w:br w:type="textWrapping"/>
                                    </w:r>
                                    <w:r>
                                      <w:rPr>
                                        <w:rFonts w:hint="eastAsia" w:ascii="仿宋_GB2312" w:hAnsi="宋体" w:eastAsia="仿宋_GB2312" w:cs="宋体"/>
                                        <w:color w:val="333333"/>
                                        <w:sz w:val="28"/>
                                        <w:szCs w:val="28"/>
                                      </w:rPr>
                                      <w:t>　　 根据省外侨办批准的2019年因公临时出国（境）安排，拟安排出国（境）0人。</w:t>
                                    </w:r>
                                    <w:r>
                                      <w:rPr>
                                        <w:rFonts w:hint="eastAsia" w:ascii="仿宋_GB2312" w:hAnsi="宋体" w:eastAsia="仿宋_GB2312" w:cs="宋体"/>
                                        <w:color w:val="333333"/>
                                        <w:sz w:val="28"/>
                                        <w:szCs w:val="28"/>
                                      </w:rPr>
                                      <w:br w:type="textWrapping"/>
                                    </w:r>
                                    <w:r>
                                      <w:rPr>
                                        <w:rFonts w:hint="eastAsia" w:ascii="仿宋_GB2312" w:hAnsi="宋体" w:eastAsia="仿宋_GB2312" w:cs="宋体"/>
                                        <w:color w:val="333333"/>
                                        <w:sz w:val="28"/>
                                        <w:szCs w:val="28"/>
                                      </w:rPr>
                                      <w:t>　　（二）公务接待费较2018年预算持平。</w:t>
                                    </w:r>
                                    <w:r>
                                      <w:rPr>
                                        <w:rFonts w:hint="eastAsia" w:ascii="仿宋_GB2312" w:hAnsi="宋体" w:eastAsia="仿宋_GB2312" w:cs="宋体"/>
                                        <w:color w:val="333333"/>
                                        <w:sz w:val="28"/>
                                        <w:szCs w:val="28"/>
                                      </w:rPr>
                                      <w:br w:type="textWrapping"/>
                                    </w:r>
                                    <w:r>
                                      <w:rPr>
                                        <w:rFonts w:hint="eastAsia" w:ascii="仿宋_GB2312" w:hAnsi="宋体" w:eastAsia="仿宋_GB2312" w:cs="宋体"/>
                                        <w:color w:val="333333"/>
                                        <w:sz w:val="28"/>
                                        <w:szCs w:val="28"/>
                                      </w:rPr>
                                      <w:t>　　2019年公务接待费计划用于执行公务、考察调研、检查指导等公务活动开支的交通费、住宿费、用餐费等。</w:t>
                                    </w:r>
                                    <w:r>
                                      <w:rPr>
                                        <w:rFonts w:hint="eastAsia" w:ascii="仿宋_GB2312" w:hAnsi="宋体" w:eastAsia="仿宋_GB2312" w:cs="宋体"/>
                                        <w:color w:val="333333"/>
                                        <w:sz w:val="28"/>
                                        <w:szCs w:val="28"/>
                                      </w:rPr>
                                      <w:br w:type="textWrapping"/>
                                    </w:r>
                                    <w:r>
                                      <w:rPr>
                                        <w:rFonts w:hint="eastAsia" w:ascii="仿宋_GB2312" w:hAnsi="宋体" w:eastAsia="仿宋_GB2312" w:cs="宋体"/>
                                        <w:color w:val="333333"/>
                                        <w:sz w:val="28"/>
                                        <w:szCs w:val="28"/>
                                      </w:rPr>
                                      <w:t>　　（三）公务用车购置及运行维护费与201</w:t>
                                    </w:r>
                                    <w:r>
                                      <w:rPr>
                                        <w:rFonts w:hint="eastAsia" w:ascii="仿宋_GB2312" w:hAnsi="宋体" w:eastAsia="仿宋_GB2312" w:cs="宋体"/>
                                        <w:color w:val="333333"/>
                                        <w:sz w:val="28"/>
                                        <w:szCs w:val="28"/>
                                        <w:lang w:val="en-US" w:eastAsia="zh-CN"/>
                                      </w:rPr>
                                      <w:t>8</w:t>
                                    </w:r>
                                    <w:r>
                                      <w:rPr>
                                        <w:rFonts w:hint="eastAsia" w:ascii="仿宋_GB2312" w:hAnsi="宋体" w:eastAsia="仿宋_GB2312" w:cs="宋体"/>
                                        <w:color w:val="333333"/>
                                        <w:sz w:val="28"/>
                                        <w:szCs w:val="28"/>
                                      </w:rPr>
                                      <w:t>年预算</w:t>
                                    </w:r>
                                    <w:r>
                                      <w:rPr>
                                        <w:rFonts w:hint="eastAsia" w:ascii="仿宋_GB2312" w:hAnsi="宋体" w:eastAsia="仿宋_GB2312" w:cs="宋体"/>
                                        <w:color w:val="333333"/>
                                        <w:sz w:val="28"/>
                                        <w:szCs w:val="28"/>
                                        <w:lang w:eastAsia="zh-CN"/>
                                      </w:rPr>
                                      <w:t>增加</w:t>
                                    </w:r>
                                    <w:r>
                                      <w:rPr>
                                        <w:rFonts w:hint="eastAsia" w:ascii="仿宋_GB2312" w:hAnsi="宋体" w:eastAsia="仿宋_GB2312" w:cs="宋体"/>
                                        <w:color w:val="333333"/>
                                        <w:sz w:val="28"/>
                                        <w:szCs w:val="28"/>
                                      </w:rPr>
                                      <w:t>。</w:t>
                                    </w:r>
                                    <w:r>
                                      <w:rPr>
                                        <w:rFonts w:hint="eastAsia" w:ascii="仿宋_GB2312" w:hAnsi="宋体" w:eastAsia="仿宋_GB2312" w:cs="宋体"/>
                                        <w:color w:val="333333"/>
                                        <w:sz w:val="28"/>
                                        <w:szCs w:val="28"/>
                                      </w:rPr>
                                      <w:br w:type="textWrapping"/>
                                    </w:r>
                                    <w:r>
                                      <w:rPr>
                                        <w:rFonts w:hint="eastAsia" w:ascii="仿宋_GB2312" w:hAnsi="宋体" w:eastAsia="仿宋_GB2312" w:cs="宋体"/>
                                        <w:color w:val="333333"/>
                                        <w:sz w:val="28"/>
                                        <w:szCs w:val="28"/>
                                      </w:rPr>
                                      <w:t>　　单位现有公务用车15辆，其中：轿车2辆、越野车12辆、小型客车1辆。</w:t>
                                    </w:r>
                                    <w:r>
                                      <w:rPr>
                                        <w:rFonts w:hint="eastAsia" w:ascii="仿宋_GB2312" w:hAnsi="宋体" w:eastAsia="仿宋_GB2312" w:cs="宋体"/>
                                        <w:color w:val="333333"/>
                                        <w:sz w:val="28"/>
                                        <w:szCs w:val="28"/>
                                      </w:rPr>
                                      <w:br w:type="textWrapping"/>
                                    </w:r>
                                    <w:r>
                                      <w:rPr>
                                        <w:rFonts w:hint="eastAsia" w:ascii="仿宋_GB2312" w:hAnsi="宋体" w:eastAsia="仿宋_GB2312" w:cs="宋体"/>
                                        <w:color w:val="333333"/>
                                        <w:sz w:val="28"/>
                                        <w:szCs w:val="28"/>
                                      </w:rPr>
                                      <w:t>　　2019年未安排公务用车购置费。</w:t>
                                    </w:r>
                                    <w:r>
                                      <w:rPr>
                                        <w:rFonts w:hint="eastAsia" w:ascii="仿宋_GB2312" w:hAnsi="宋体" w:eastAsia="仿宋_GB2312" w:cs="宋体"/>
                                        <w:color w:val="333333"/>
                                        <w:sz w:val="28"/>
                                        <w:szCs w:val="28"/>
                                      </w:rPr>
                                      <w:br w:type="textWrapping"/>
                                    </w:r>
                                    <w:r>
                                      <w:rPr>
                                        <w:rFonts w:hint="eastAsia" w:ascii="仿宋_GB2312" w:hAnsi="宋体" w:eastAsia="仿宋_GB2312" w:cs="宋体"/>
                                        <w:color w:val="333333"/>
                                        <w:sz w:val="28"/>
                                        <w:szCs w:val="28"/>
                                      </w:rPr>
                                      <w:t>　　2019年安排公务用车运行维护费188万元，用于15辆公务用车燃油、过路（桥）、维修、保险等方面支出，主要保障县级领导工作调研，开会，脱贫攻坚、农林水、安全生产等全县工作开展。</w:t>
                                    </w:r>
                                    <w:r>
                                      <w:rPr>
                                        <w:rFonts w:hint="eastAsia" w:ascii="仿宋_GB2312" w:hAnsi="宋体" w:eastAsia="仿宋_GB2312" w:cs="宋体"/>
                                        <w:color w:val="333333"/>
                                        <w:sz w:val="28"/>
                                        <w:szCs w:val="28"/>
                                      </w:rPr>
                                      <w:br w:type="textWrapping"/>
                                    </w:r>
                                    <w:r>
                                      <w:rPr>
                                        <w:rFonts w:hint="eastAsia" w:ascii="仿宋_GB2312" w:hAnsi="宋体" w:eastAsia="仿宋_GB2312" w:cs="宋体"/>
                                        <w:b/>
                                        <w:color w:val="333333"/>
                                        <w:sz w:val="28"/>
                                        <w:szCs w:val="28"/>
                                      </w:rPr>
                                      <w:t>八、政府性基金预算支出情况说明</w:t>
                                    </w:r>
                                    <w:r>
                                      <w:rPr>
                                        <w:rFonts w:hint="eastAsia" w:ascii="仿宋_GB2312" w:hAnsi="宋体" w:eastAsia="仿宋_GB2312" w:cs="宋体"/>
                                        <w:color w:val="333333"/>
                                        <w:sz w:val="28"/>
                                        <w:szCs w:val="28"/>
                                      </w:rPr>
                                      <w:br w:type="textWrapping"/>
                                    </w:r>
                                    <w:r>
                                      <w:rPr>
                                        <w:rFonts w:hint="eastAsia" w:ascii="仿宋_GB2312" w:hAnsi="宋体" w:eastAsia="仿宋_GB2312" w:cs="宋体"/>
                                        <w:color w:val="333333"/>
                                        <w:sz w:val="28"/>
                                        <w:szCs w:val="28"/>
                                      </w:rPr>
                                      <w:t>　　财政厅2019年没有使用政府性基金预算拨款安排的支出。</w:t>
                                    </w:r>
                                    <w:r>
                                      <w:rPr>
                                        <w:rFonts w:hint="eastAsia" w:ascii="仿宋_GB2312" w:hAnsi="宋体" w:eastAsia="仿宋_GB2312" w:cs="宋体"/>
                                        <w:color w:val="333333"/>
                                        <w:sz w:val="28"/>
                                        <w:szCs w:val="28"/>
                                      </w:rPr>
                                      <w:br w:type="textWrapping"/>
                                    </w:r>
                                    <w:r>
                                      <w:rPr>
                                        <w:rFonts w:hint="eastAsia" w:ascii="仿宋_GB2312" w:hAnsi="宋体" w:eastAsia="仿宋_GB2312" w:cs="宋体"/>
                                        <w:b/>
                                        <w:color w:val="333333"/>
                                        <w:sz w:val="28"/>
                                        <w:szCs w:val="28"/>
                                      </w:rPr>
                                      <w:t>九、国有资本经营预算支出情况说明</w:t>
                                    </w:r>
                                    <w:r>
                                      <w:rPr>
                                        <w:rFonts w:hint="eastAsia" w:ascii="仿宋_GB2312" w:hAnsi="宋体" w:eastAsia="仿宋_GB2312" w:cs="宋体"/>
                                        <w:color w:val="333333"/>
                                        <w:sz w:val="28"/>
                                        <w:szCs w:val="28"/>
                                      </w:rPr>
                                      <w:br w:type="textWrapping"/>
                                    </w:r>
                                    <w:r>
                                      <w:rPr>
                                        <w:rFonts w:hint="eastAsia" w:ascii="仿宋_GB2312" w:hAnsi="宋体" w:eastAsia="仿宋_GB2312" w:cs="宋体"/>
                                        <w:color w:val="333333"/>
                                        <w:sz w:val="28"/>
                                        <w:szCs w:val="28"/>
                                      </w:rPr>
                                      <w:t>　　财政厅2019年没有使用国有资本经营预算拨款安排的支出。</w:t>
                                    </w:r>
                                    <w:r>
                                      <w:rPr>
                                        <w:rFonts w:hint="eastAsia" w:ascii="仿宋_GB2312" w:hAnsi="宋体" w:eastAsia="仿宋_GB2312" w:cs="宋体"/>
                                        <w:color w:val="333333"/>
                                        <w:sz w:val="28"/>
                                        <w:szCs w:val="28"/>
                                      </w:rPr>
                                      <w:br w:type="textWrapping"/>
                                    </w:r>
                                    <w:r>
                                      <w:rPr>
                                        <w:rFonts w:hint="eastAsia" w:ascii="仿宋_GB2312" w:hAnsi="宋体" w:eastAsia="仿宋_GB2312" w:cs="宋体"/>
                                        <w:b/>
                                        <w:color w:val="333333"/>
                                        <w:sz w:val="28"/>
                                        <w:szCs w:val="28"/>
                                      </w:rPr>
                                      <w:t>十、其他重要事项的情况说明</w:t>
                                    </w:r>
                                    <w:r>
                                      <w:rPr>
                                        <w:rFonts w:hint="eastAsia" w:ascii="仿宋_GB2312" w:hAnsi="宋体" w:eastAsia="仿宋_GB2312" w:cs="宋体"/>
                                        <w:color w:val="333333"/>
                                        <w:sz w:val="28"/>
                                        <w:szCs w:val="28"/>
                                      </w:rPr>
                                      <w:br w:type="textWrapping"/>
                                    </w:r>
                                    <w:r>
                                      <w:rPr>
                                        <w:rFonts w:hint="eastAsia" w:ascii="仿宋_GB2312" w:hAnsi="宋体" w:eastAsia="仿宋_GB2312" w:cs="宋体"/>
                                        <w:color w:val="333333"/>
                                        <w:sz w:val="28"/>
                                        <w:szCs w:val="28"/>
                                      </w:rPr>
                                      <w:t>　　（一）机关运行经费。</w:t>
                                    </w:r>
                                    <w:r>
                                      <w:rPr>
                                        <w:rFonts w:hint="eastAsia" w:ascii="仿宋_GB2312" w:hAnsi="宋体" w:eastAsia="仿宋_GB2312" w:cs="宋体"/>
                                        <w:color w:val="333333"/>
                                        <w:sz w:val="28"/>
                                        <w:szCs w:val="28"/>
                                      </w:rPr>
                                      <w:br w:type="textWrapping"/>
                                    </w:r>
                                    <w:r>
                                      <w:rPr>
                                        <w:rFonts w:hint="eastAsia" w:ascii="仿宋_GB2312" w:hAnsi="宋体" w:eastAsia="仿宋_GB2312" w:cs="宋体"/>
                                        <w:color w:val="333333"/>
                                        <w:sz w:val="28"/>
                                        <w:szCs w:val="28"/>
                                      </w:rPr>
                                      <w:t>　　2019年，财政厅下属厅机关</w:t>
                                    </w:r>
                                    <w:r>
                                      <w:rPr>
                                        <w:rFonts w:hint="eastAsia" w:ascii="仿宋_GB2312" w:hAnsi="宋体" w:eastAsia="仿宋_GB2312" w:cs="宋体"/>
                                        <w:color w:val="333333"/>
                                        <w:sz w:val="28"/>
                                        <w:szCs w:val="28"/>
                                        <w:lang w:eastAsia="zh-CN"/>
                                      </w:rPr>
                                      <w:t>信息、人防等</w:t>
                                    </w:r>
                                    <w:r>
                                      <w:rPr>
                                        <w:rFonts w:hint="eastAsia" w:ascii="仿宋_GB2312" w:hAnsi="宋体" w:eastAsia="仿宋_GB2312" w:cs="宋体"/>
                                        <w:color w:val="333333"/>
                                        <w:sz w:val="28"/>
                                        <w:szCs w:val="28"/>
                                      </w:rPr>
                                      <w:t>事业单位的机关运行经费财政拨款预算为362.72万元。</w:t>
                                    </w:r>
                                    <w:r>
                                      <w:rPr>
                                        <w:rFonts w:hint="eastAsia" w:ascii="仿宋_GB2312" w:hAnsi="宋体" w:eastAsia="仿宋_GB2312" w:cs="宋体"/>
                                        <w:color w:val="333333"/>
                                        <w:sz w:val="28"/>
                                        <w:szCs w:val="28"/>
                                      </w:rPr>
                                      <w:br w:type="textWrapping"/>
                                    </w:r>
                                    <w:r>
                                      <w:rPr>
                                        <w:rFonts w:hint="eastAsia" w:ascii="仿宋_GB2312" w:hAnsi="宋体" w:eastAsia="仿宋_GB2312" w:cs="宋体"/>
                                        <w:color w:val="333333"/>
                                        <w:sz w:val="28"/>
                                        <w:szCs w:val="28"/>
                                      </w:rPr>
                                      <w:t>　　（二）政府采购情况。</w:t>
                                    </w:r>
                                    <w:bookmarkStart w:id="51" w:name="_GoBack"/>
                                    <w:bookmarkEnd w:id="51"/>
                                    <w:r>
                                      <w:rPr>
                                        <w:rFonts w:hint="eastAsia" w:ascii="仿宋_GB2312" w:hAnsi="宋体" w:eastAsia="仿宋_GB2312" w:cs="宋体"/>
                                        <w:color w:val="333333"/>
                                        <w:sz w:val="28"/>
                                        <w:szCs w:val="28"/>
                                      </w:rPr>
                                      <w:br w:type="textWrapping"/>
                                    </w:r>
                                    <w:r>
                                      <w:rPr>
                                        <w:rFonts w:hint="eastAsia" w:ascii="仿宋_GB2312" w:hAnsi="宋体" w:eastAsia="仿宋_GB2312" w:cs="宋体"/>
                                        <w:color w:val="333333"/>
                                        <w:sz w:val="28"/>
                                        <w:szCs w:val="28"/>
                                      </w:rPr>
                                      <w:t>　　2019年，财政厅没有安排政府采购预算。</w:t>
                                    </w:r>
                                    <w:r>
                                      <w:rPr>
                                        <w:rFonts w:hint="eastAsia" w:ascii="仿宋_GB2312" w:hAnsi="宋体" w:eastAsia="仿宋_GB2312" w:cs="宋体"/>
                                        <w:color w:val="333333"/>
                                        <w:sz w:val="28"/>
                                        <w:szCs w:val="28"/>
                                      </w:rPr>
                                      <w:br w:type="textWrapping"/>
                                    </w:r>
                                    <w:r>
                                      <w:rPr>
                                        <w:rFonts w:hint="eastAsia" w:ascii="仿宋_GB2312" w:hAnsi="宋体" w:eastAsia="仿宋_GB2312" w:cs="宋体"/>
                                        <w:color w:val="333333"/>
                                        <w:sz w:val="28"/>
                                        <w:szCs w:val="28"/>
                                      </w:rPr>
                                      <w:t>　　（三）国有资产占有使用情况。</w:t>
                                    </w:r>
                                    <w:r>
                                      <w:rPr>
                                        <w:rFonts w:hint="eastAsia" w:ascii="仿宋_GB2312" w:hAnsi="宋体" w:eastAsia="仿宋_GB2312" w:cs="宋体"/>
                                        <w:color w:val="333333"/>
                                        <w:sz w:val="28"/>
                                        <w:szCs w:val="28"/>
                                      </w:rPr>
                                      <w:br w:type="textWrapping"/>
                                    </w:r>
                                    <w:r>
                                      <w:rPr>
                                        <w:rFonts w:hint="eastAsia" w:ascii="仿宋_GB2312" w:hAnsi="宋体" w:eastAsia="仿宋_GB2312" w:cs="宋体"/>
                                        <w:color w:val="333333"/>
                                        <w:sz w:val="28"/>
                                        <w:szCs w:val="28"/>
                                      </w:rPr>
                                      <w:t>　　截至2018年底，财政厅所属各预算单位共有车辆15辆，其中，省部级领导干部用车0辆、定向保障用车15辆、执法执勤用车0辆。单位价值200万元以上大型设备0台（套）。</w:t>
                                    </w:r>
                                    <w:r>
                                      <w:rPr>
                                        <w:rFonts w:hint="eastAsia" w:ascii="仿宋_GB2312" w:hAnsi="宋体" w:eastAsia="仿宋_GB2312" w:cs="宋体"/>
                                        <w:color w:val="333333"/>
                                        <w:sz w:val="28"/>
                                        <w:szCs w:val="28"/>
                                      </w:rPr>
                                      <w:br w:type="textWrapping"/>
                                    </w:r>
                                    <w:r>
                                      <w:rPr>
                                        <w:rFonts w:hint="eastAsia" w:ascii="仿宋_GB2312" w:hAnsi="宋体" w:eastAsia="仿宋_GB2312" w:cs="宋体"/>
                                        <w:color w:val="333333"/>
                                        <w:sz w:val="28"/>
                                        <w:szCs w:val="28"/>
                                      </w:rPr>
                                      <w:t>　　2019年部门预算未安排购置车辆及单位价值200万元以上大型设备。</w:t>
                                    </w:r>
                                    <w:r>
                                      <w:rPr>
                                        <w:rFonts w:hint="eastAsia" w:ascii="仿宋_GB2312" w:hAnsi="宋体" w:eastAsia="仿宋_GB2312" w:cs="宋体"/>
                                        <w:color w:val="333333"/>
                                        <w:sz w:val="28"/>
                                        <w:szCs w:val="28"/>
                                      </w:rPr>
                                      <w:br w:type="textWrapping"/>
                                    </w:r>
                                    <w:r>
                                      <w:rPr>
                                        <w:rFonts w:hint="eastAsia" w:ascii="仿宋_GB2312" w:hAnsi="宋体" w:eastAsia="仿宋_GB2312" w:cs="宋体"/>
                                        <w:color w:val="333333"/>
                                        <w:sz w:val="28"/>
                                        <w:szCs w:val="28"/>
                                      </w:rPr>
                                      <w:t>　　（四）绩效目标设置情况。</w:t>
                                    </w:r>
                                    <w:r>
                                      <w:rPr>
                                        <w:rFonts w:hint="eastAsia" w:ascii="仿宋_GB2312" w:hAnsi="宋体" w:eastAsia="仿宋_GB2312" w:cs="宋体"/>
                                        <w:color w:val="333333"/>
                                        <w:sz w:val="28"/>
                                        <w:szCs w:val="28"/>
                                      </w:rPr>
                                      <w:br w:type="textWrapping"/>
                                    </w:r>
                                    <w:r>
                                      <w:rPr>
                                        <w:rFonts w:hint="eastAsia" w:ascii="仿宋_GB2312" w:hAnsi="宋体" w:eastAsia="仿宋_GB2312" w:cs="宋体"/>
                                        <w:color w:val="333333"/>
                                        <w:sz w:val="28"/>
                                        <w:szCs w:val="28"/>
                                      </w:rPr>
                                      <w:t>　　绩效目标是预算编制的前提和基础，按照“费随事定”的原则，2019年财政厅100万元以上专用项目按要求编制了绩效目标，从项目完成、项目效益、满意度等方面设置了绩效指标，综合反映项目预期完成的数量、成本、时效、质量，预期达到的社会效益、经济效益、生态效益、可持续影响以及服务对象满意度等情况。</w:t>
                                    </w:r>
                                    <w:r>
                                      <w:rPr>
                                        <w:rFonts w:hint="eastAsia" w:ascii="仿宋_GB2312" w:hAnsi="宋体" w:eastAsia="仿宋_GB2312" w:cs="宋体"/>
                                        <w:color w:val="333333"/>
                                        <w:sz w:val="28"/>
                                        <w:szCs w:val="28"/>
                                      </w:rPr>
                                      <w:br w:type="textWrapping"/>
                                    </w:r>
                                    <w:r>
                                      <w:rPr>
                                        <w:rFonts w:hint="eastAsia" w:ascii="仿宋_GB2312" w:hAnsi="宋体" w:eastAsia="仿宋_GB2312" w:cs="宋体"/>
                                        <w:b/>
                                        <w:color w:val="333333"/>
                                        <w:sz w:val="28"/>
                                        <w:szCs w:val="28"/>
                                      </w:rPr>
                                      <w:t>十一、名词解释</w:t>
                                    </w:r>
                                    <w:r>
                                      <w:rPr>
                                        <w:rFonts w:hint="eastAsia" w:ascii="仿宋_GB2312" w:hAnsi="宋体" w:eastAsia="仿宋_GB2312" w:cs="宋体"/>
                                        <w:color w:val="333333"/>
                                        <w:sz w:val="28"/>
                                        <w:szCs w:val="28"/>
                                      </w:rPr>
                                      <w:br w:type="textWrapping"/>
                                    </w:r>
                                    <w:r>
                                      <w:rPr>
                                        <w:rFonts w:hint="eastAsia" w:ascii="仿宋_GB2312" w:hAnsi="宋体" w:eastAsia="仿宋_GB2312" w:cs="宋体"/>
                                        <w:color w:val="333333"/>
                                        <w:sz w:val="28"/>
                                        <w:szCs w:val="28"/>
                                      </w:rPr>
                                      <w:t>　　1.财政拨款收入：指县级财政当年拨付的资金。</w:t>
                                    </w:r>
                                    <w:bookmarkEnd w:id="41"/>
                                    <w:r>
                                      <w:rPr>
                                        <w:rFonts w:hint="eastAsia" w:ascii="仿宋_GB2312" w:hAnsi="宋体" w:eastAsia="仿宋_GB2312" w:cs="宋体"/>
                                        <w:color w:val="333333"/>
                                        <w:sz w:val="28"/>
                                        <w:szCs w:val="28"/>
                                      </w:rPr>
                                      <w:t xml:space="preserve"> </w:t>
                                    </w:r>
                                  </w:p>
                                  <w:p>
                                    <w:pPr>
                                      <w:pStyle w:val="15"/>
                                      <w:spacing w:line="560" w:lineRule="exact"/>
                                      <w:ind w:firstLine="560" w:firstLineChars="200"/>
                                      <w:outlineLvl w:val="0"/>
                                      <w:rPr>
                                        <w:rFonts w:ascii="仿宋_GB2312" w:hAnsi="宋体" w:eastAsia="仿宋_GB2312" w:cs="宋体"/>
                                        <w:color w:val="333333"/>
                                        <w:sz w:val="28"/>
                                        <w:szCs w:val="28"/>
                                      </w:rPr>
                                    </w:pPr>
                                    <w:bookmarkStart w:id="42" w:name="_Toc72766515"/>
                                    <w:r>
                                      <w:rPr>
                                        <w:rFonts w:hint="eastAsia" w:ascii="仿宋_GB2312" w:hAnsi="宋体" w:eastAsia="仿宋_GB2312" w:cs="宋体"/>
                                        <w:color w:val="333333"/>
                                        <w:sz w:val="28"/>
                                        <w:szCs w:val="28"/>
                                      </w:rPr>
                                      <w:t>2.其他收入：指除上述“财政拨款收入”、“事业收入”、“经营收入”等以外的收入。主要是利息收入。</w:t>
                                    </w:r>
                                    <w:bookmarkEnd w:id="42"/>
                                    <w:r>
                                      <w:rPr>
                                        <w:rFonts w:hint="eastAsia" w:ascii="仿宋_GB2312" w:hAnsi="宋体" w:eastAsia="仿宋_GB2312" w:cs="宋体"/>
                                        <w:color w:val="333333"/>
                                        <w:sz w:val="28"/>
                                        <w:szCs w:val="28"/>
                                      </w:rPr>
                                      <w:t xml:space="preserve"> </w:t>
                                    </w:r>
                                  </w:p>
                                  <w:p>
                                    <w:pPr>
                                      <w:pStyle w:val="15"/>
                                      <w:spacing w:line="560" w:lineRule="exact"/>
                                      <w:ind w:firstLine="560" w:firstLineChars="200"/>
                                      <w:outlineLvl w:val="0"/>
                                      <w:rPr>
                                        <w:rFonts w:ascii="仿宋_GB2312" w:hAnsi="宋体" w:eastAsia="仿宋_GB2312" w:cs="宋体"/>
                                        <w:color w:val="333333"/>
                                        <w:sz w:val="28"/>
                                        <w:szCs w:val="28"/>
                                      </w:rPr>
                                    </w:pPr>
                                    <w:bookmarkStart w:id="43" w:name="_Toc72766516"/>
                                    <w:r>
                                      <w:rPr>
                                        <w:rFonts w:hint="eastAsia" w:ascii="仿宋_GB2312" w:hAnsi="宋体" w:eastAsia="仿宋_GB2312" w:cs="宋体"/>
                                        <w:color w:val="333333"/>
                                        <w:sz w:val="28"/>
                                        <w:szCs w:val="28"/>
                                      </w:rPr>
                                      <w:t>3.年初结转和结余：指以前年度尚未完成、结转到本年按有关规定继续使用的资金。</w:t>
                                    </w:r>
                                    <w:bookmarkEnd w:id="43"/>
                                    <w:r>
                                      <w:rPr>
                                        <w:rFonts w:hint="eastAsia" w:ascii="仿宋_GB2312" w:hAnsi="宋体" w:eastAsia="仿宋_GB2312" w:cs="宋体"/>
                                        <w:color w:val="333333"/>
                                        <w:sz w:val="28"/>
                                        <w:szCs w:val="28"/>
                                      </w:rPr>
                                      <w:t xml:space="preserve"> </w:t>
                                    </w:r>
                                  </w:p>
                                  <w:p>
                                    <w:pPr>
                                      <w:ind w:firstLine="560" w:firstLineChars="200"/>
                                      <w:outlineLvl w:val="0"/>
                                      <w:rPr>
                                        <w:rFonts w:ascii="仿宋_GB2312" w:hAnsi="宋体" w:eastAsia="仿宋_GB2312" w:cs="宋体"/>
                                        <w:color w:val="333333"/>
                                        <w:kern w:val="0"/>
                                        <w:sz w:val="28"/>
                                        <w:szCs w:val="28"/>
                                      </w:rPr>
                                    </w:pPr>
                                    <w:bookmarkStart w:id="44" w:name="_Toc72766517"/>
                                    <w:r>
                                      <w:rPr>
                                        <w:rFonts w:hint="eastAsia" w:ascii="仿宋_GB2312" w:hAnsi="宋体" w:eastAsia="仿宋_GB2312" w:cs="宋体"/>
                                        <w:color w:val="333333"/>
                                        <w:kern w:val="0"/>
                                        <w:sz w:val="28"/>
                                        <w:szCs w:val="28"/>
                                      </w:rPr>
                                      <w:t>4．一般公共服务201（类）政府办公厅（室）及相关机构事务03（款）行政运行01（项）反映行政单位的基本支出</w:t>
                                    </w:r>
                                    <w:bookmarkEnd w:id="44"/>
                                  </w:p>
                                  <w:p>
                                    <w:pPr>
                                      <w:ind w:firstLine="560" w:firstLineChars="200"/>
                                      <w:outlineLvl w:val="0"/>
                                      <w:rPr>
                                        <w:rFonts w:ascii="仿宋_GB2312" w:hAnsi="宋体" w:eastAsia="仿宋_GB2312" w:cs="宋体"/>
                                        <w:color w:val="333333"/>
                                        <w:kern w:val="0"/>
                                        <w:sz w:val="28"/>
                                        <w:szCs w:val="28"/>
                                      </w:rPr>
                                    </w:pPr>
                                    <w:bookmarkStart w:id="45" w:name="_Toc72766518"/>
                                    <w:r>
                                      <w:rPr>
                                        <w:rFonts w:hint="eastAsia" w:ascii="仿宋_GB2312" w:hAnsi="宋体" w:eastAsia="仿宋_GB2312" w:cs="宋体"/>
                                        <w:color w:val="333333"/>
                                        <w:kern w:val="0"/>
                                        <w:sz w:val="28"/>
                                        <w:szCs w:val="28"/>
                                      </w:rPr>
                                      <w:t>5．一般公共服务201（类）政府办公厅（室）及相关机构事务03（款）事业运行50（项）反映事业单位的基本支出</w:t>
                                    </w:r>
                                    <w:bookmarkEnd w:id="45"/>
                                  </w:p>
                                  <w:p>
                                    <w:pPr>
                                      <w:ind w:firstLine="560" w:firstLineChars="200"/>
                                      <w:outlineLvl w:val="0"/>
                                      <w:rPr>
                                        <w:rFonts w:ascii="仿宋_GB2312" w:hAnsi="宋体" w:eastAsia="仿宋_GB2312" w:cs="宋体"/>
                                        <w:color w:val="333333"/>
                                        <w:kern w:val="0"/>
                                        <w:sz w:val="28"/>
                                        <w:szCs w:val="28"/>
                                      </w:rPr>
                                    </w:pPr>
                                    <w:bookmarkStart w:id="46" w:name="_Toc72766519"/>
                                    <w:r>
                                      <w:rPr>
                                        <w:rFonts w:hint="eastAsia" w:ascii="仿宋_GB2312" w:hAnsi="宋体" w:eastAsia="仿宋_GB2312" w:cs="宋体"/>
                                        <w:color w:val="333333"/>
                                        <w:kern w:val="0"/>
                                        <w:sz w:val="28"/>
                                        <w:szCs w:val="28"/>
                                      </w:rPr>
                                      <w:t>6．国防支出：国防支出203（类）国防动员06（款）人民防空03（项）反映用于人民防空工程建设、宣传等方面的支出。</w:t>
                                    </w:r>
                                    <w:bookmarkEnd w:id="46"/>
                                  </w:p>
                                  <w:p>
                                    <w:pPr>
                                      <w:ind w:firstLine="560" w:firstLineChars="200"/>
                                      <w:outlineLvl w:val="0"/>
                                      <w:rPr>
                                        <w:rFonts w:ascii="仿宋_GB2312" w:hAnsi="宋体" w:eastAsia="仿宋_GB2312" w:cs="宋体"/>
                                        <w:color w:val="333333"/>
                                        <w:kern w:val="0"/>
                                        <w:sz w:val="28"/>
                                        <w:szCs w:val="28"/>
                                      </w:rPr>
                                    </w:pPr>
                                    <w:bookmarkStart w:id="47" w:name="_Toc72766520"/>
                                    <w:r>
                                      <w:rPr>
                                        <w:rFonts w:hint="eastAsia" w:ascii="仿宋_GB2312" w:hAnsi="宋体" w:eastAsia="仿宋_GB2312" w:cs="宋体"/>
                                        <w:color w:val="333333"/>
                                        <w:kern w:val="0"/>
                                        <w:sz w:val="28"/>
                                        <w:szCs w:val="28"/>
                                      </w:rPr>
                                      <w:t>7．教育支出205（类）进修及培训08（款）培训支出03（项）反映且于培训的支出。</w:t>
                                    </w:r>
                                    <w:bookmarkEnd w:id="47"/>
                                  </w:p>
                                  <w:p>
                                    <w:pPr>
                                      <w:outlineLvl w:val="0"/>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w:t>
                                    </w:r>
                                    <w:bookmarkStart w:id="48" w:name="_Toc72766521"/>
                                    <w:r>
                                      <w:rPr>
                                        <w:rFonts w:hint="eastAsia" w:ascii="仿宋_GB2312" w:hAnsi="宋体" w:eastAsia="仿宋_GB2312" w:cs="宋体"/>
                                        <w:color w:val="333333"/>
                                        <w:kern w:val="0"/>
                                        <w:sz w:val="28"/>
                                        <w:szCs w:val="28"/>
                                      </w:rPr>
                                      <w:t>8.社会保障和就业（类）行政事业单位离退休（款）事业单位离退休（项）：指财政科学研究所的离退休人员的支出。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9.社会保障和就业（类）行政事业单位离退休（款）未归口管理的行政单位离退休（项）：指厅机关离退休人员的支出。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10.社会保障和就业（类）行政事业单位离退休（款）机关事业单位基本养老保险缴费支出（项）：指部门实施养老保险制度由单位缴纳的养老保险费的支出。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11.社会保障和就业（类）行政事业单位离退休（款）机关事业单位职业年金缴费支出（项）：指部门实施养老保险制度由单位缴纳的职业年金的支出。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12.社会保障和就业（类）其他社会保障和就业（款）其他社会保障和就业支出（项）：指除上述项目外，其他用于行政事业单位离退休方面的支出。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13.医疗卫生与计划生育（类）行政事业单位医疗（款）行政单位医疗（项）：指厅机关及参公管理事业单位用于缴纳单位基本医疗保险支出。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14.医疗卫生与计划生育（类）行政事业单位医疗（款）事业单位医疗（项）：指事业单位用于缴纳单位基本医疗保险支出。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15.医疗卫生与计划生育（类）行政事业单位医疗（款）公务员医疗补助（项）：指厅机关及参公管理事业单位用于集中缴纳公务员医疗补助支出。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16.住房保障（类）住房改革支出（款）住房公积金（项）：指按照《住房公积金管理条例》的规定，由单位及其在职职工缴存的长期住房储金。</w:t>
                                    </w:r>
                                    <w:bookmarkEnd w:id="48"/>
                                  </w:p>
                                  <w:p>
                                    <w:pPr>
                                      <w:ind w:firstLine="560" w:firstLineChars="200"/>
                                      <w:outlineLvl w:val="0"/>
                                      <w:rPr>
                                        <w:rFonts w:ascii="仿宋_GB2312" w:hAnsi="宋体" w:eastAsia="仿宋_GB2312" w:cs="宋体"/>
                                        <w:color w:val="333333"/>
                                        <w:kern w:val="0"/>
                                        <w:sz w:val="28"/>
                                        <w:szCs w:val="28"/>
                                      </w:rPr>
                                    </w:pPr>
                                    <w:bookmarkStart w:id="49" w:name="_Toc72766522"/>
                                    <w:r>
                                      <w:rPr>
                                        <w:rFonts w:hint="eastAsia" w:ascii="仿宋_GB2312" w:hAnsi="宋体" w:eastAsia="仿宋_GB2312" w:cs="宋体"/>
                                        <w:color w:val="333333"/>
                                        <w:kern w:val="0"/>
                                        <w:sz w:val="28"/>
                                        <w:szCs w:val="28"/>
                                      </w:rPr>
                                      <w:t>17．其他支出229其他支出99其他支出01：指其他不能划分到具体功能科目中的支出项目。</w:t>
                                    </w:r>
                                    <w:bookmarkEnd w:id="49"/>
                                  </w:p>
                                  <w:p>
                                    <w:pPr>
                                      <w:widowControl/>
                                      <w:spacing w:line="480" w:lineRule="atLeast"/>
                                      <w:ind w:firstLine="60"/>
                                      <w:outlineLvl w:val="0"/>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w:t>
                                    </w:r>
                                    <w:bookmarkStart w:id="50" w:name="_Toc72766523"/>
                                    <w:r>
                                      <w:rPr>
                                        <w:rFonts w:hint="eastAsia" w:ascii="仿宋_GB2312" w:hAnsi="宋体" w:eastAsia="仿宋_GB2312" w:cs="宋体"/>
                                        <w:color w:val="333333"/>
                                        <w:kern w:val="0"/>
                                        <w:sz w:val="28"/>
                                        <w:szCs w:val="28"/>
                                      </w:rPr>
                                      <w:t>18.基本支出：指为保证机构正常运转，完成日常工作任务而发生的人员支出和公用支出。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19.项目支出：指在基本支出之外为完成特定行政任务和事业发展目标所发生的支出。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20.“三公”经费：纳入财政厅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21.机关运行经费：为保障行政单位（包含参照公务员法管理的事业单位）运行用于购买货物和服务的各项资金。包括办公及办公费、水费、电费、印刷费、邮电费、差旅费、会议费等费用开支。</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bookmarkEnd w:id="50"/>
                                  </w:p>
                                </w:tc>
                              </w:tr>
                            </w:tbl>
                            <w:p>
                              <w:pPr>
                                <w:widowControl/>
                                <w:spacing w:after="240"/>
                                <w:jc w:val="center"/>
                                <w:outlineLvl w:val="0"/>
                                <w:rPr>
                                  <w:rFonts w:ascii="宋体" w:hAnsi="宋体" w:eastAsia="宋体" w:cs="宋体"/>
                                  <w:kern w:val="0"/>
                                  <w:szCs w:val="21"/>
                                </w:rPr>
                              </w:pPr>
                            </w:p>
                          </w:tc>
                        </w:tr>
                        <w:tr>
                          <w:tblPrEx>
                            <w:shd w:val="clear" w:color="auto" w:fill="FFFFFF"/>
                            <w:tblCellMar>
                              <w:top w:w="0" w:type="dxa"/>
                              <w:left w:w="0" w:type="dxa"/>
                              <w:bottom w:w="0" w:type="dxa"/>
                              <w:right w:w="0" w:type="dxa"/>
                            </w:tblCellMar>
                          </w:tblPrEx>
                          <w:trPr>
                            <w:tblCellSpacing w:w="0" w:type="dxa"/>
                          </w:trPr>
                          <w:tc>
                            <w:tcPr>
                              <w:tcW w:w="10590" w:type="dxa"/>
                              <w:shd w:val="clear" w:color="auto" w:fill="FFFFFF"/>
                            </w:tcPr>
                            <w:p>
                              <w:pPr>
                                <w:widowControl/>
                                <w:spacing w:after="240"/>
                                <w:jc w:val="center"/>
                                <w:outlineLvl w:val="0"/>
                                <w:rPr>
                                  <w:rFonts w:ascii="宋体" w:hAnsi="宋体" w:eastAsia="宋体" w:cs="宋体"/>
                                  <w:kern w:val="0"/>
                                  <w:szCs w:val="21"/>
                                </w:rPr>
                              </w:pPr>
                            </w:p>
                          </w:tc>
                        </w:tr>
                      </w:tbl>
                      <w:p>
                        <w:pPr>
                          <w:widowControl/>
                          <w:jc w:val="left"/>
                          <w:outlineLvl w:val="0"/>
                          <w:rPr>
                            <w:rFonts w:ascii="宋体" w:hAnsi="宋体" w:eastAsia="宋体" w:cs="宋体"/>
                            <w:kern w:val="0"/>
                            <w:szCs w:val="21"/>
                          </w:rPr>
                        </w:pPr>
                      </w:p>
                    </w:tc>
                    <w:tc>
                      <w:tcPr>
                        <w:tcW w:w="1350" w:type="dxa"/>
                        <w:vAlign w:val="center"/>
                      </w:tcPr>
                      <w:p>
                        <w:pPr>
                          <w:widowControl/>
                          <w:jc w:val="left"/>
                          <w:outlineLvl w:val="0"/>
                          <w:rPr>
                            <w:rFonts w:ascii="宋体" w:hAnsi="宋体" w:eastAsia="宋体" w:cs="宋体"/>
                            <w:kern w:val="0"/>
                            <w:szCs w:val="21"/>
                          </w:rPr>
                        </w:pPr>
                        <w:r>
                          <w:rPr>
                            <w:rFonts w:ascii="宋体" w:hAnsi="宋体" w:eastAsia="宋体" w:cs="宋体"/>
                            <w:kern w:val="0"/>
                            <w:szCs w:val="21"/>
                          </w:rPr>
                          <w:t> </w:t>
                        </w:r>
                      </w:p>
                    </w:tc>
                  </w:tr>
                  <w:tr>
                    <w:tblPrEx>
                      <w:tblCellMar>
                        <w:top w:w="0" w:type="dxa"/>
                        <w:left w:w="0" w:type="dxa"/>
                        <w:bottom w:w="0" w:type="dxa"/>
                        <w:right w:w="0" w:type="dxa"/>
                      </w:tblCellMar>
                    </w:tblPrEx>
                    <w:trPr>
                      <w:trHeight w:val="450" w:hRule="atLeast"/>
                      <w:tblCellSpacing w:w="0" w:type="dxa"/>
                    </w:trPr>
                    <w:tc>
                      <w:tcPr>
                        <w:tcW w:w="12000" w:type="dxa"/>
                        <w:gridSpan w:val="2"/>
                        <w:tcMar>
                          <w:top w:w="0" w:type="dxa"/>
                          <w:left w:w="0" w:type="dxa"/>
                          <w:bottom w:w="0" w:type="dxa"/>
                          <w:right w:w="1950" w:type="dxa"/>
                        </w:tcMar>
                        <w:vAlign w:val="center"/>
                      </w:tcPr>
                      <w:p>
                        <w:pPr>
                          <w:widowControl/>
                          <w:jc w:val="right"/>
                          <w:outlineLvl w:val="0"/>
                          <w:rPr>
                            <w:rFonts w:ascii="宋体" w:hAnsi="宋体" w:eastAsia="宋体" w:cs="宋体"/>
                            <w:kern w:val="0"/>
                            <w:szCs w:val="21"/>
                          </w:rPr>
                        </w:pPr>
                      </w:p>
                    </w:tc>
                  </w:tr>
                </w:tbl>
                <w:p>
                  <w:pPr>
                    <w:widowControl/>
                    <w:jc w:val="left"/>
                    <w:outlineLvl w:val="0"/>
                    <w:rPr>
                      <w:rFonts w:ascii="宋体" w:hAnsi="宋体" w:eastAsia="宋体" w:cs="宋体"/>
                      <w:kern w:val="0"/>
                      <w:szCs w:val="21"/>
                    </w:rPr>
                  </w:pPr>
                </w:p>
              </w:tc>
            </w:tr>
          </w:tbl>
          <w:p>
            <w:pPr>
              <w:widowControl/>
              <w:jc w:val="left"/>
              <w:outlineLvl w:val="0"/>
              <w:rPr>
                <w:rFonts w:ascii="宋体" w:hAnsi="宋体" w:eastAsia="宋体" w:cs="宋体"/>
                <w:kern w:val="0"/>
                <w:szCs w:val="21"/>
              </w:rPr>
            </w:pPr>
          </w:p>
        </w:tc>
      </w:tr>
      <w:tr>
        <w:tblPrEx>
          <w:tblCellMar>
            <w:top w:w="0" w:type="dxa"/>
            <w:left w:w="0" w:type="dxa"/>
            <w:bottom w:w="0" w:type="dxa"/>
            <w:right w:w="0" w:type="dxa"/>
          </w:tblCellMar>
        </w:tblPrEx>
        <w:trPr>
          <w:trHeight w:val="75" w:hRule="atLeast"/>
          <w:tblCellSpacing w:w="0" w:type="dxa"/>
          <w:jc w:val="center"/>
        </w:trPr>
        <w:tc>
          <w:tcPr>
            <w:tcW w:w="12000" w:type="dxa"/>
            <w:vAlign w:val="center"/>
          </w:tcPr>
          <w:p>
            <w:pPr>
              <w:widowControl/>
              <w:jc w:val="left"/>
              <w:outlineLvl w:val="0"/>
              <w:rPr>
                <w:rFonts w:ascii="宋体" w:hAnsi="宋体" w:eastAsia="宋体" w:cs="宋体"/>
                <w:kern w:val="0"/>
                <w:sz w:val="8"/>
                <w:szCs w:val="21"/>
              </w:rPr>
            </w:pPr>
          </w:p>
        </w:tc>
      </w:tr>
    </w:tbl>
    <w:p>
      <w:pPr>
        <w:outlineLvl w:val="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4F1D01"/>
    <w:multiLevelType w:val="multilevel"/>
    <w:tmpl w:val="494F1D01"/>
    <w:lvl w:ilvl="0" w:tentative="0">
      <w:start w:val="2"/>
      <w:numFmt w:val="japaneseCounting"/>
      <w:lvlText w:val="%1、"/>
      <w:lvlJc w:val="left"/>
      <w:pPr>
        <w:ind w:left="720" w:hanging="720"/>
      </w:pPr>
      <w:rPr>
        <w:rFonts w:hint="default"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CCC"/>
    <w:rsid w:val="000850C3"/>
    <w:rsid w:val="000A1E9F"/>
    <w:rsid w:val="001A2B62"/>
    <w:rsid w:val="002356ED"/>
    <w:rsid w:val="0023656B"/>
    <w:rsid w:val="004A0C87"/>
    <w:rsid w:val="00741016"/>
    <w:rsid w:val="0079144A"/>
    <w:rsid w:val="00806DD6"/>
    <w:rsid w:val="008E04CE"/>
    <w:rsid w:val="009F333F"/>
    <w:rsid w:val="00A32041"/>
    <w:rsid w:val="00C31948"/>
    <w:rsid w:val="00D04CCC"/>
    <w:rsid w:val="00D43B0E"/>
    <w:rsid w:val="00DD488D"/>
    <w:rsid w:val="00DE75B3"/>
    <w:rsid w:val="00E23699"/>
    <w:rsid w:val="00EB003E"/>
    <w:rsid w:val="00ED5ECA"/>
    <w:rsid w:val="00F81970"/>
    <w:rsid w:val="390A230C"/>
    <w:rsid w:val="408B345D"/>
    <w:rsid w:val="440C4574"/>
    <w:rsid w:val="48F80021"/>
    <w:rsid w:val="7105358A"/>
    <w:rsid w:val="7BCC2C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0"/>
    <w:pPr>
      <w:spacing w:before="93" w:beforeLines="30"/>
    </w:pPr>
    <w:rPr>
      <w:rFonts w:ascii="仿宋_GB2312" w:eastAsia="仿宋_GB2312"/>
      <w:kern w:val="0"/>
      <w:sz w:val="30"/>
    </w:rPr>
  </w:style>
  <w:style w:type="paragraph" w:styleId="4">
    <w:name w:val="toc 3"/>
    <w:basedOn w:val="1"/>
    <w:next w:val="1"/>
    <w:semiHidden/>
    <w:unhideWhenUsed/>
    <w:qFormat/>
    <w:uiPriority w:val="39"/>
    <w:pPr>
      <w:widowControl/>
      <w:spacing w:after="100" w:line="276" w:lineRule="auto"/>
      <w:ind w:left="440"/>
      <w:jc w:val="left"/>
    </w:pPr>
    <w:rPr>
      <w:kern w:val="0"/>
      <w:sz w:val="22"/>
    </w:rPr>
  </w:style>
  <w:style w:type="paragraph" w:styleId="5">
    <w:name w:val="Balloon Text"/>
    <w:basedOn w:val="1"/>
    <w:link w:val="18"/>
    <w:semiHidden/>
    <w:unhideWhenUsed/>
    <w:qFormat/>
    <w:uiPriority w:val="99"/>
    <w:rPr>
      <w:sz w:val="18"/>
      <w:szCs w:val="18"/>
    </w:rPr>
  </w:style>
  <w:style w:type="paragraph" w:styleId="6">
    <w:name w:val="footer"/>
    <w:basedOn w:val="1"/>
    <w:link w:val="20"/>
    <w:unhideWhenUsed/>
    <w:qFormat/>
    <w:uiPriority w:val="99"/>
    <w:pPr>
      <w:tabs>
        <w:tab w:val="center" w:pos="4153"/>
        <w:tab w:val="right" w:pos="8306"/>
      </w:tabs>
      <w:snapToGrid w:val="0"/>
      <w:jc w:val="left"/>
    </w:pPr>
    <w:rPr>
      <w:sz w:val="18"/>
      <w:szCs w:val="18"/>
    </w:rPr>
  </w:style>
  <w:style w:type="paragraph" w:styleId="7">
    <w:name w:val="header"/>
    <w:basedOn w:val="1"/>
    <w:link w:val="19"/>
    <w:unhideWhenUsed/>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widowControl/>
      <w:spacing w:after="100" w:line="276" w:lineRule="auto"/>
      <w:jc w:val="left"/>
    </w:pPr>
    <w:rPr>
      <w:kern w:val="0"/>
      <w:sz w:val="22"/>
    </w:rPr>
  </w:style>
  <w:style w:type="paragraph" w:styleId="9">
    <w:name w:val="toc 2"/>
    <w:basedOn w:val="1"/>
    <w:next w:val="1"/>
    <w:semiHidden/>
    <w:unhideWhenUsed/>
    <w:qFormat/>
    <w:uiPriority w:val="39"/>
    <w:pPr>
      <w:widowControl/>
      <w:spacing w:after="100" w:line="276" w:lineRule="auto"/>
      <w:ind w:left="220"/>
      <w:jc w:val="left"/>
    </w:pPr>
    <w:rPr>
      <w:kern w:val="0"/>
      <w:sz w:val="22"/>
    </w:rPr>
  </w:style>
  <w:style w:type="character" w:styleId="12">
    <w:name w:val="Strong"/>
    <w:basedOn w:val="11"/>
    <w:qFormat/>
    <w:uiPriority w:val="22"/>
    <w:rPr>
      <w:b/>
      <w:bCs/>
    </w:rPr>
  </w:style>
  <w:style w:type="character" w:styleId="13">
    <w:name w:val="Hyperlink"/>
    <w:basedOn w:val="11"/>
    <w:unhideWhenUsed/>
    <w:uiPriority w:val="99"/>
    <w:rPr>
      <w:color w:val="0000FF" w:themeColor="hyperlink"/>
      <w:u w:val="single"/>
      <w14:textFill>
        <w14:solidFill>
          <w14:schemeClr w14:val="hlink"/>
        </w14:solidFill>
      </w14:textFill>
    </w:rPr>
  </w:style>
  <w:style w:type="character" w:customStyle="1" w:styleId="14">
    <w:name w:val="pagetext0031"/>
    <w:basedOn w:val="11"/>
    <w:qFormat/>
    <w:uiPriority w:val="0"/>
    <w:rPr>
      <w:rFonts w:hint="eastAsia" w:ascii="宋体" w:hAnsi="宋体" w:eastAsia="宋体"/>
      <w:color w:val="555555"/>
      <w:sz w:val="21"/>
      <w:szCs w:val="21"/>
    </w:rPr>
  </w:style>
  <w:style w:type="paragraph" w:customStyle="1" w:styleId="15">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character" w:customStyle="1" w:styleId="16">
    <w:name w:val="标题 1 Char"/>
    <w:basedOn w:val="11"/>
    <w:link w:val="2"/>
    <w:qFormat/>
    <w:uiPriority w:val="9"/>
    <w:rPr>
      <w:rFonts w:asciiTheme="minorHAnsi" w:hAnsiTheme="minorHAnsi" w:eastAsiaTheme="minorEastAsia" w:cstheme="minorBidi"/>
      <w:b/>
      <w:bCs/>
      <w:kern w:val="44"/>
      <w:sz w:val="44"/>
      <w:szCs w:val="44"/>
    </w:rPr>
  </w:style>
  <w:style w:type="paragraph" w:customStyle="1" w:styleId="1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18">
    <w:name w:val="批注框文本 Char"/>
    <w:basedOn w:val="11"/>
    <w:link w:val="5"/>
    <w:semiHidden/>
    <w:qFormat/>
    <w:uiPriority w:val="99"/>
    <w:rPr>
      <w:rFonts w:asciiTheme="minorHAnsi" w:hAnsiTheme="minorHAnsi" w:eastAsiaTheme="minorEastAsia" w:cstheme="minorBidi"/>
      <w:kern w:val="2"/>
      <w:sz w:val="18"/>
      <w:szCs w:val="18"/>
    </w:rPr>
  </w:style>
  <w:style w:type="character" w:customStyle="1" w:styleId="19">
    <w:name w:val="页眉 Char"/>
    <w:basedOn w:val="11"/>
    <w:link w:val="7"/>
    <w:uiPriority w:val="99"/>
    <w:rPr>
      <w:rFonts w:asciiTheme="minorHAnsi" w:hAnsiTheme="minorHAnsi" w:eastAsiaTheme="minorEastAsia" w:cstheme="minorBidi"/>
      <w:kern w:val="2"/>
      <w:sz w:val="18"/>
      <w:szCs w:val="18"/>
    </w:rPr>
  </w:style>
  <w:style w:type="character" w:customStyle="1" w:styleId="20">
    <w:name w:val="页脚 Char"/>
    <w:basedOn w:val="11"/>
    <w:link w:val="6"/>
    <w:qFormat/>
    <w:uiPriority w:val="99"/>
    <w:rPr>
      <w:rFonts w:asciiTheme="minorHAnsi" w:hAnsiTheme="minorHAnsi" w:eastAsiaTheme="minorEastAsia" w:cstheme="minorBidi"/>
      <w:kern w:val="2"/>
      <w:sz w:val="18"/>
      <w:szCs w:val="18"/>
    </w:rPr>
  </w:style>
  <w:style w:type="paragraph" w:styleId="21">
    <w:name w:val="List Paragraph"/>
    <w:basedOn w:val="1"/>
    <w:unhideWhenUsed/>
    <w:qFormat/>
    <w:uiPriority w:val="99"/>
    <w:pPr>
      <w:ind w:firstLine="420" w:firstLineChars="200"/>
    </w:pPr>
  </w:style>
  <w:style w:type="paragraph" w:customStyle="1" w:styleId="22">
    <w:name w:val="WPSOffice手动目录 1"/>
    <w:qFormat/>
    <w:uiPriority w:val="0"/>
    <w:rPr>
      <w:rFonts w:ascii="Calibri" w:hAnsi="Calibri" w:eastAsia="宋体" w:cs="Times New Roman"/>
      <w:lang w:val="en-US" w:eastAsia="zh-CN" w:bidi="ar-SA"/>
    </w:rPr>
  </w:style>
  <w:style w:type="paragraph" w:customStyle="1" w:styleId="23">
    <w:name w:val="WPSOffice手动目录 2"/>
    <w:qFormat/>
    <w:uiPriority w:val="0"/>
    <w:pPr>
      <w:ind w:left="200" w:leftChars="200"/>
    </w:pPr>
    <w:rPr>
      <w:rFonts w:ascii="Calibri" w:hAnsi="Calibri" w:eastAsia="宋体" w:cs="Times New Roman"/>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A4E993-B36F-4B39-84BD-E7496ADF6AA6}">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12</Pages>
  <Words>4945</Words>
  <Characters>1484</Characters>
  <Lines>12</Lines>
  <Paragraphs>12</Paragraphs>
  <TotalTime>11</TotalTime>
  <ScaleCrop>false</ScaleCrop>
  <LinksUpToDate>false</LinksUpToDate>
  <CharactersWithSpaces>6417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2021-05-24T08:23:00Z</dcterms:created>
  <dc:creator>Lenovo User</dc:creator>
  <cp:lastModifiedBy>不改</cp:lastModifiedBy>
  <dcterms:modified xsi:type="dcterms:W3CDTF">2021-05-26T01:53:41Z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D2C94CD0046C4F31928C8C128428E64A</vt:lpwstr>
  </property>
</Properties>
</file>