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eastAsia="zh-CN"/>
        </w:rPr>
        <w:t>目</w:t>
      </w: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44"/>
          <w:szCs w:val="52"/>
          <w:lang w:eastAsia="zh-CN"/>
        </w:rPr>
        <w:t>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基本职能及主要工作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（一）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农业畜牧和水务局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职能简介。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（二）农业畜牧和水务局2019年重点工作。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三、收支预算情况说明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（一）收入预算情况。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（二）支出预算情况。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财政拨款收支预算情况说明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一般公共预算当年拨款情况说明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（一）一般公共预算当年拨款规模变化情况。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（二）一般公共预算当年拨款结构情况。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（三）一般公共预算当年拨款具体使用情况。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、一般公共预算基本支出情况说明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、“三公”经费财政拨款预算安排情况说明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、政府性基金预算支出情况说明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、国有资本经营预算支出情况说明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、名词解释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B137"/>
    <w:multiLevelType w:val="singleLevel"/>
    <w:tmpl w:val="59C9B1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B180E"/>
    <w:rsid w:val="29A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2021-05-24T08:51:00Z</dcterms:created>
  <dc:creator>皮不死克斯</dc:creator>
  <cp:lastModifiedBy>皮不死克斯</cp:lastModifiedBy>
  <dcterms:modified xsi:type="dcterms:W3CDTF">2021-05-24T08:54:58Z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