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2000" w:type="dxa"/>
        <w:jc w:val="center"/>
        <w:tblCellSpacing w:w="0" w:type="dxa"/>
        <w:tblLayout w:type="autofit"/>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0" w:type="auto"/>
            <w:shd w:val="clear" w:color="auto" w:fill="FFFFFF"/>
          </w:tcPr>
          <w:tbl>
            <w:tblPr>
              <w:tblStyle w:val="5"/>
              <w:tblW w:w="5000" w:type="pct"/>
              <w:tblCellSpacing w:w="0" w:type="dxa"/>
              <w:tblInd w:w="0" w:type="dxa"/>
              <w:tblLayout w:type="autofit"/>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0" w:type="auto"/>
                </w:tcPr>
                <w:tbl>
                  <w:tblPr>
                    <w:tblStyle w:val="5"/>
                    <w:tblW w:w="5000" w:type="pct"/>
                    <w:tblCellSpacing w:w="0" w:type="dxa"/>
                    <w:tblInd w:w="0" w:type="dxa"/>
                    <w:tblLayout w:type="autofit"/>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0" w:type="auto"/>
                        <w:tcMar>
                          <w:top w:w="0" w:type="dxa"/>
                          <w:left w:w="30" w:type="dxa"/>
                          <w:bottom w:w="30" w:type="dxa"/>
                          <w:right w:w="30" w:type="dxa"/>
                        </w:tcMar>
                      </w:tcPr>
                      <w:tbl>
                        <w:tblPr>
                          <w:tblStyle w:val="5"/>
                          <w:tblW w:w="5000" w:type="pct"/>
                          <w:tblCellSpacing w:w="0" w:type="dxa"/>
                          <w:tblInd w:w="0" w:type="dxa"/>
                          <w:tblLayout w:type="autofit"/>
                          <w:tblCellMar>
                            <w:top w:w="0" w:type="dxa"/>
                            <w:left w:w="0" w:type="dxa"/>
                            <w:bottom w:w="0" w:type="dxa"/>
                            <w:right w:w="0" w:type="dxa"/>
                          </w:tblCellMar>
                        </w:tblPr>
                        <w:tblGrid>
                          <w:gridCol w:w="10590"/>
                        </w:tblGrid>
                        <w:tr>
                          <w:tblPrEx>
                            <w:tblCellMar>
                              <w:top w:w="0" w:type="dxa"/>
                              <w:left w:w="0" w:type="dxa"/>
                              <w:bottom w:w="0" w:type="dxa"/>
                              <w:right w:w="0" w:type="dxa"/>
                            </w:tblCellMar>
                          </w:tblPrEx>
                          <w:trPr>
                            <w:tblCellSpacing w:w="0" w:type="dxa"/>
                          </w:trPr>
                          <w:tc>
                            <w:tcPr>
                              <w:tcW w:w="0" w:type="auto"/>
                              <w:shd w:val="clear" w:color="auto" w:fill="FFFFFF"/>
                            </w:tcPr>
                            <w:tbl>
                              <w:tblPr>
                                <w:tblStyle w:val="5"/>
                                <w:tblW w:w="877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685" w:type="dxa"/>
                                    <w:tcBorders>
                                      <w:tl2br w:val="nil"/>
                                      <w:tr2bl w:val="nil"/>
                                    </w:tcBorders>
                                    <w:tcMar>
                                      <w:top w:w="150" w:type="dxa"/>
                                      <w:left w:w="75" w:type="dxa"/>
                                      <w:bottom w:w="0" w:type="dxa"/>
                                      <w:right w:w="0" w:type="dxa"/>
                                    </w:tcMar>
                                  </w:tcPr>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jc w:val="center"/>
                                      <w:textAlignment w:val="auto"/>
                                      <w:outlineLvl w:val="9"/>
                                      <w:rPr>
                                        <w:rFonts w:hint="eastAsia" w:ascii="方正小标宋简体" w:hAnsi="宋体" w:eastAsia="方正小标宋简体" w:cs="宋体"/>
                                        <w:color w:val="333333"/>
                                        <w:kern w:val="0"/>
                                        <w:sz w:val="36"/>
                                        <w:szCs w:val="36"/>
                                      </w:rPr>
                                    </w:pPr>
                                    <w:r>
                                      <w:rPr>
                                        <w:rFonts w:hint="eastAsia" w:ascii="方正小标宋简体" w:hAnsi="宋体" w:eastAsia="方正小标宋简体" w:cs="宋体"/>
                                        <w:color w:val="333333"/>
                                        <w:kern w:val="0"/>
                                        <w:sz w:val="36"/>
                                        <w:szCs w:val="36"/>
                                      </w:rPr>
                                      <w:t>　</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jc w:val="center"/>
                                      <w:textAlignment w:val="auto"/>
                                      <w:outlineLvl w:val="9"/>
                                      <w:rPr>
                                        <w:rFonts w:hint="eastAsia" w:ascii="方正小标宋简体" w:hAnsi="宋体" w:eastAsia="方正小标宋简体" w:cs="宋体"/>
                                        <w:color w:val="auto"/>
                                        <w:kern w:val="0"/>
                                        <w:sz w:val="36"/>
                                        <w:szCs w:val="36"/>
                                      </w:rPr>
                                    </w:pPr>
                                    <w:r>
                                      <w:rPr>
                                        <w:rFonts w:hint="eastAsia" w:ascii="方正小标宋简体" w:hAnsi="宋体" w:eastAsia="方正小标宋简体" w:cs="宋体"/>
                                        <w:color w:val="auto"/>
                                        <w:kern w:val="0"/>
                                        <w:sz w:val="36"/>
                                        <w:szCs w:val="36"/>
                                      </w:rPr>
                                      <w:t>金川县畜牧兽医服务中心</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jc w:val="center"/>
                                      <w:textAlignment w:val="auto"/>
                                      <w:outlineLvl w:val="9"/>
                                      <w:rPr>
                                        <w:rFonts w:hint="eastAsia" w:ascii="方正小标宋简体" w:hAnsi="宋体" w:eastAsia="方正小标宋简体" w:cs="宋体"/>
                                        <w:color w:val="auto"/>
                                        <w:kern w:val="0"/>
                                        <w:sz w:val="36"/>
                                        <w:szCs w:val="36"/>
                                      </w:rPr>
                                    </w:pPr>
                                    <w:r>
                                      <w:rPr>
                                        <w:rFonts w:ascii="方正小标宋简体" w:hAnsi="宋体" w:eastAsia="方正小标宋简体" w:cs="宋体"/>
                                        <w:color w:val="auto"/>
                                        <w:kern w:val="0"/>
                                        <w:sz w:val="36"/>
                                        <w:szCs w:val="36"/>
                                      </w:rPr>
                                      <w:t>201</w:t>
                                    </w:r>
                                    <w:r>
                                      <w:rPr>
                                        <w:rFonts w:hint="eastAsia" w:ascii="方正小标宋简体" w:hAnsi="宋体" w:eastAsia="方正小标宋简体" w:cs="宋体"/>
                                        <w:color w:val="auto"/>
                                        <w:kern w:val="0"/>
                                        <w:sz w:val="36"/>
                                        <w:szCs w:val="36"/>
                                        <w:lang w:val="en-US" w:eastAsia="zh-CN"/>
                                      </w:rPr>
                                      <w:t>9</w:t>
                                    </w:r>
                                    <w:r>
                                      <w:rPr>
                                        <w:rFonts w:hint="eastAsia" w:ascii="方正小标宋简体" w:hAnsi="宋体" w:eastAsia="方正小标宋简体" w:cs="宋体"/>
                                        <w:color w:val="auto"/>
                                        <w:kern w:val="0"/>
                                        <w:sz w:val="36"/>
                                        <w:szCs w:val="36"/>
                                      </w:rPr>
                                      <w:t>年部门预算编制说明</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jc w:val="center"/>
                                      <w:textAlignment w:val="auto"/>
                                      <w:outlineLvl w:val="9"/>
                                      <w:rPr>
                                        <w:rFonts w:ascii="方正小标宋简体" w:hAnsi="宋体" w:eastAsia="方正小标宋简体" w:cs="宋体"/>
                                        <w:color w:val="0066CC"/>
                                        <w:kern w:val="0"/>
                                        <w:sz w:val="36"/>
                                        <w:szCs w:val="36"/>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sz w:val="44"/>
                                        <w:szCs w:val="44"/>
                                        <w:lang w:val="en-US" w:eastAsia="zh-CN"/>
                                      </w:rPr>
                                    </w:pPr>
                                    <w:r>
                                      <w:rPr>
                                        <w:rFonts w:ascii="方正小标宋简体" w:hAnsi="宋体" w:eastAsia="方正小标宋简体" w:cs="宋体"/>
                                        <w:color w:val="0066CC"/>
                                        <w:kern w:val="0"/>
                                        <w:sz w:val="36"/>
                                        <w:szCs w:val="36"/>
                                      </w:rPr>
                                      <w:br w:type="textWrapping"/>
                                    </w:r>
                                    <w:r>
                                      <w:rPr>
                                        <w:rFonts w:hint="eastAsia" w:ascii="黑体" w:hAnsi="宋体" w:eastAsia="黑体" w:cs="宋体"/>
                                        <w:color w:val="333333"/>
                                        <w:kern w:val="0"/>
                                        <w:sz w:val="28"/>
                                        <w:szCs w:val="28"/>
                                      </w:rPr>
                                      <w:t>　　</w:t>
                                    </w:r>
                                    <w:r>
                                      <w:rPr>
                                        <w:rFonts w:hint="eastAsia" w:ascii="宋体" w:hAnsi="宋体" w:cs="宋体"/>
                                        <w:b/>
                                        <w:bCs/>
                                        <w:sz w:val="44"/>
                                        <w:szCs w:val="44"/>
                                        <w:lang w:val="en-US" w:eastAsia="zh-CN"/>
                                      </w:rPr>
                                      <w:t>目      录</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_Toc5702_WPSOffice_Level1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一、基本职能及主要工作</w:t>
                                    </w:r>
                                    <w:r>
                                      <w:rPr>
                                        <w:rFonts w:hint="eastAsia" w:ascii="宋体" w:hAnsi="宋体" w:eastAsia="宋体" w:cs="宋体"/>
                                        <w:b/>
                                        <w:bCs/>
                                        <w:sz w:val="24"/>
                                        <w:szCs w:val="24"/>
                                      </w:rPr>
                                      <w:tab/>
                                    </w:r>
                                    <w:r>
                                      <w:rPr>
                                        <w:rFonts w:hint="eastAsia" w:ascii="宋体" w:hAnsi="宋体" w:cs="宋体"/>
                                        <w:b/>
                                        <w:bCs/>
                                        <w:sz w:val="24"/>
                                        <w:szCs w:val="24"/>
                                        <w:lang w:val="en-US" w:eastAsia="zh-CN"/>
                                      </w:rPr>
                                      <w:t>2</w:t>
                                    </w:r>
                                    <w:r>
                                      <w:rPr>
                                        <w:rFonts w:hint="eastAsia" w:ascii="宋体" w:hAnsi="宋体" w:eastAsia="宋体" w:cs="宋体"/>
                                        <w:b/>
                                        <w:bCs/>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_Toc3059_WPSOffice_Level2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（一）职能简介</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_Toc15855_WPSOffice_Level2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（二）20</w:t>
                                    </w:r>
                                    <w:r>
                                      <w:rPr>
                                        <w:rFonts w:hint="eastAsia" w:ascii="宋体" w:hAnsi="宋体" w:cs="宋体"/>
                                        <w:sz w:val="24"/>
                                        <w:szCs w:val="24"/>
                                        <w:lang w:val="en-US" w:eastAsia="zh-CN"/>
                                      </w:rPr>
                                      <w:t>19</w:t>
                                    </w:r>
                                    <w:r>
                                      <w:rPr>
                                        <w:rFonts w:hint="eastAsia" w:ascii="宋体" w:hAnsi="宋体" w:eastAsia="宋体" w:cs="宋体"/>
                                        <w:sz w:val="24"/>
                                        <w:szCs w:val="24"/>
                                      </w:rPr>
                                      <w:t>年重点工作</w:t>
                                    </w:r>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_Toc22397_WPSOffice_Level1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二、部门预算单位构成</w:t>
                                    </w:r>
                                    <w:r>
                                      <w:rPr>
                                        <w:rFonts w:hint="eastAsia" w:ascii="宋体" w:hAnsi="宋体" w:eastAsia="宋体" w:cs="宋体"/>
                                        <w:b/>
                                        <w:bCs/>
                                        <w:sz w:val="24"/>
                                        <w:szCs w:val="24"/>
                                      </w:rPr>
                                      <w:tab/>
                                    </w:r>
                                    <w:r>
                                      <w:rPr>
                                        <w:rFonts w:hint="eastAsia" w:ascii="宋体" w:hAnsi="宋体" w:cs="宋体"/>
                                        <w:b/>
                                        <w:bCs/>
                                        <w:sz w:val="24"/>
                                        <w:szCs w:val="24"/>
                                        <w:lang w:val="en-US" w:eastAsia="zh-CN"/>
                                      </w:rPr>
                                      <w:t>3</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_Toc16054_WPSOffice_Level1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三、收支预算情况说明</w:t>
                                    </w:r>
                                    <w:r>
                                      <w:rPr>
                                        <w:rFonts w:hint="eastAsia" w:ascii="宋体" w:hAnsi="宋体" w:eastAsia="宋体" w:cs="宋体"/>
                                        <w:b/>
                                        <w:bCs/>
                                        <w:sz w:val="24"/>
                                        <w:szCs w:val="24"/>
                                      </w:rPr>
                                      <w:tab/>
                                    </w:r>
                                    <w:r>
                                      <w:rPr>
                                        <w:rFonts w:hint="eastAsia" w:ascii="宋体" w:hAnsi="宋体" w:cs="宋体"/>
                                        <w:b/>
                                        <w:bCs/>
                                        <w:sz w:val="24"/>
                                        <w:szCs w:val="24"/>
                                        <w:lang w:val="en-US" w:eastAsia="zh-CN"/>
                                      </w:rPr>
                                      <w:t>5</w:t>
                                    </w:r>
                                    <w:r>
                                      <w:rPr>
                                        <w:rFonts w:hint="eastAsia" w:ascii="宋体" w:hAnsi="宋体" w:eastAsia="宋体" w:cs="宋体"/>
                                        <w:b/>
                                        <w:bCs/>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_Toc11178_WPSOffice_Level2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（一）收入预算情况</w:t>
                                    </w:r>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_Toc17895_WPSOffice_Level2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（二）支出预算情况</w:t>
                                    </w:r>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_Toc14616_WPSOffice_Level1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四、财政拨款收支预算情况说明</w:t>
                                    </w:r>
                                    <w:r>
                                      <w:rPr>
                                        <w:rFonts w:hint="eastAsia" w:ascii="宋体" w:hAnsi="宋体" w:eastAsia="宋体" w:cs="宋体"/>
                                        <w:b/>
                                        <w:bCs/>
                                        <w:sz w:val="24"/>
                                        <w:szCs w:val="24"/>
                                      </w:rPr>
                                      <w:tab/>
                                    </w:r>
                                    <w:r>
                                      <w:rPr>
                                        <w:rFonts w:hint="eastAsia" w:ascii="宋体" w:hAnsi="宋体" w:cs="宋体"/>
                                        <w:b/>
                                        <w:bCs/>
                                        <w:sz w:val="24"/>
                                        <w:szCs w:val="24"/>
                                        <w:lang w:val="en-US" w:eastAsia="zh-CN"/>
                                      </w:rPr>
                                      <w:t>6</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_Toc10808_WPSOffice_Level1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五、一般公共预算当年拨款情况说明</w:t>
                                    </w:r>
                                    <w:r>
                                      <w:rPr>
                                        <w:rFonts w:hint="eastAsia" w:ascii="宋体" w:hAnsi="宋体" w:eastAsia="宋体" w:cs="宋体"/>
                                        <w:b/>
                                        <w:bCs/>
                                        <w:sz w:val="24"/>
                                        <w:szCs w:val="24"/>
                                      </w:rPr>
                                      <w:tab/>
                                    </w:r>
                                    <w:r>
                                      <w:rPr>
                                        <w:rFonts w:hint="eastAsia" w:ascii="宋体" w:hAnsi="宋体" w:cs="宋体"/>
                                        <w:b/>
                                        <w:bCs/>
                                        <w:sz w:val="24"/>
                                        <w:szCs w:val="24"/>
                                        <w:lang w:val="en-US" w:eastAsia="zh-CN"/>
                                      </w:rPr>
                                      <w:t>6</w:t>
                                    </w:r>
                                    <w:r>
                                      <w:rPr>
                                        <w:rFonts w:hint="eastAsia" w:ascii="宋体" w:hAnsi="宋体" w:eastAsia="宋体" w:cs="宋体"/>
                                        <w:b/>
                                        <w:bCs/>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_Toc1389_WPSOffice_Level2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（一）一般公共预算当年拨款规模变化情况</w:t>
                                    </w:r>
                                    <w:r>
                                      <w:rPr>
                                        <w:rFonts w:hint="eastAsia" w:ascii="宋体" w:hAnsi="宋体" w:eastAsia="宋体" w:cs="宋体"/>
                                        <w:sz w:val="24"/>
                                        <w:szCs w:val="24"/>
                                      </w:rPr>
                                      <w:tab/>
                                    </w:r>
                                    <w:r>
                                      <w:rPr>
                                        <w:rFonts w:hint="eastAsia" w:ascii="宋体" w:hAnsi="宋体" w:cs="宋体"/>
                                        <w:sz w:val="24"/>
                                        <w:szCs w:val="24"/>
                                        <w:lang w:val="en-US" w:eastAsia="zh-CN"/>
                                      </w:rPr>
                                      <w:t>6</w:t>
                                    </w:r>
                                    <w:r>
                                      <w:rPr>
                                        <w:rFonts w:hint="eastAsia" w:ascii="宋体" w:hAnsi="宋体" w:eastAsia="宋体" w:cs="宋体"/>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_Toc31745_WPSOffice_Level2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（二）一般公共预算当年拨款结构情况</w:t>
                                    </w:r>
                                    <w:r>
                                      <w:rPr>
                                        <w:rFonts w:hint="eastAsia" w:ascii="宋体" w:hAnsi="宋体" w:eastAsia="宋体" w:cs="宋体"/>
                                        <w:sz w:val="24"/>
                                        <w:szCs w:val="24"/>
                                      </w:rPr>
                                      <w:tab/>
                                    </w:r>
                                    <w:r>
                                      <w:rPr>
                                        <w:rFonts w:hint="eastAsia" w:ascii="宋体" w:hAnsi="宋体" w:cs="宋体"/>
                                        <w:sz w:val="24"/>
                                        <w:szCs w:val="24"/>
                                        <w:lang w:val="en-US" w:eastAsia="zh-CN"/>
                                      </w:rPr>
                                      <w:t>6</w:t>
                                    </w:r>
                                    <w:r>
                                      <w:rPr>
                                        <w:rFonts w:hint="eastAsia" w:ascii="宋体" w:hAnsi="宋体" w:eastAsia="宋体" w:cs="宋体"/>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_Toc986_WPSOffice_Level2 </w:instrText>
                                    </w:r>
                                    <w:r>
                                      <w:rPr>
                                        <w:rFonts w:hint="eastAsia" w:ascii="宋体" w:hAnsi="宋体" w:eastAsia="宋体" w:cs="宋体"/>
                                        <w:sz w:val="24"/>
                                        <w:szCs w:val="24"/>
                                      </w:rPr>
                                      <w:fldChar w:fldCharType="separate"/>
                                    </w:r>
                                    <w:r>
                                      <w:rPr>
                                        <w:rFonts w:hint="eastAsia" w:ascii="宋体" w:hAnsi="宋体" w:eastAsia="宋体" w:cs="宋体"/>
                                        <w:sz w:val="24"/>
                                        <w:szCs w:val="24"/>
                                      </w:rPr>
                                      <w:t>（三）一般公共预算当年拨款具体使用情况</w:t>
                                    </w:r>
                                    <w:r>
                                      <w:rPr>
                                        <w:rFonts w:hint="eastAsia" w:ascii="宋体" w:hAnsi="宋体" w:eastAsia="宋体" w:cs="宋体"/>
                                        <w:sz w:val="24"/>
                                        <w:szCs w:val="24"/>
                                      </w:rPr>
                                      <w:tab/>
                                    </w:r>
                                    <w:r>
                                      <w:rPr>
                                        <w:rFonts w:hint="eastAsia" w:ascii="宋体" w:hAnsi="宋体" w:cs="宋体"/>
                                        <w:sz w:val="24"/>
                                        <w:szCs w:val="24"/>
                                        <w:lang w:val="en-US" w:eastAsia="zh-CN"/>
                                      </w:rPr>
                                      <w:t>6</w:t>
                                    </w:r>
                                    <w:r>
                                      <w:rPr>
                                        <w:rFonts w:hint="eastAsia" w:ascii="宋体" w:hAnsi="宋体" w:eastAsia="宋体" w:cs="宋体"/>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_Toc23805_WPSOffice_Level1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六、一般公共预算基本支出情况说明</w:t>
                                    </w:r>
                                    <w:r>
                                      <w:rPr>
                                        <w:rFonts w:hint="eastAsia" w:ascii="宋体" w:hAnsi="宋体" w:eastAsia="宋体" w:cs="宋体"/>
                                        <w:b/>
                                        <w:bCs/>
                                        <w:sz w:val="24"/>
                                        <w:szCs w:val="24"/>
                                      </w:rPr>
                                      <w:tab/>
                                    </w:r>
                                    <w:r>
                                      <w:rPr>
                                        <w:rFonts w:hint="eastAsia" w:ascii="宋体" w:hAnsi="宋体" w:cs="宋体"/>
                                        <w:b/>
                                        <w:bCs/>
                                        <w:sz w:val="24"/>
                                        <w:szCs w:val="24"/>
                                        <w:lang w:val="en-US" w:eastAsia="zh-CN"/>
                                      </w:rPr>
                                      <w:t>8</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_Toc9533_WPSOffice_Level1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七、“三公”经费财政拨款预算安排情况说明</w:t>
                                    </w:r>
                                    <w:r>
                                      <w:rPr>
                                        <w:rFonts w:hint="eastAsia" w:ascii="宋体" w:hAnsi="宋体" w:eastAsia="宋体" w:cs="宋体"/>
                                        <w:b/>
                                        <w:bCs/>
                                        <w:sz w:val="24"/>
                                        <w:szCs w:val="24"/>
                                      </w:rPr>
                                      <w:tab/>
                                    </w:r>
                                    <w:r>
                                      <w:rPr>
                                        <w:rFonts w:hint="eastAsia" w:ascii="宋体" w:hAnsi="宋体" w:cs="宋体"/>
                                        <w:b/>
                                        <w:bCs/>
                                        <w:sz w:val="24"/>
                                        <w:szCs w:val="24"/>
                                        <w:lang w:val="en-US" w:eastAsia="zh-CN"/>
                                      </w:rPr>
                                      <w:t>8</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_Toc8312_WPSOffice_Level1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八、政府性基金预算支出情况说明</w:t>
                                    </w:r>
                                    <w:r>
                                      <w:rPr>
                                        <w:rFonts w:hint="eastAsia" w:ascii="宋体" w:hAnsi="宋体" w:eastAsia="宋体" w:cs="宋体"/>
                                        <w:b/>
                                        <w:bCs/>
                                        <w:sz w:val="24"/>
                                        <w:szCs w:val="24"/>
                                      </w:rPr>
                                      <w:tab/>
                                    </w:r>
                                    <w:r>
                                      <w:rPr>
                                        <w:rFonts w:hint="eastAsia" w:ascii="宋体" w:hAnsi="宋体" w:cs="宋体"/>
                                        <w:b/>
                                        <w:bCs/>
                                        <w:sz w:val="24"/>
                                        <w:szCs w:val="24"/>
                                        <w:lang w:val="en-US" w:eastAsia="zh-CN"/>
                                      </w:rPr>
                                      <w:t>9</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_Toc1540_WPSOffice_Level1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九、其他重要事项的情况说明</w:t>
                                    </w:r>
                                    <w:r>
                                      <w:rPr>
                                        <w:rFonts w:hint="eastAsia" w:ascii="宋体" w:hAnsi="宋体" w:eastAsia="宋体" w:cs="宋体"/>
                                        <w:b/>
                                        <w:bCs/>
                                        <w:sz w:val="24"/>
                                        <w:szCs w:val="24"/>
                                      </w:rPr>
                                      <w:tab/>
                                    </w:r>
                                    <w:r>
                                      <w:rPr>
                                        <w:rFonts w:hint="eastAsia" w:ascii="宋体" w:hAnsi="宋体" w:cs="宋体"/>
                                        <w:b/>
                                        <w:bCs/>
                                        <w:sz w:val="24"/>
                                        <w:szCs w:val="24"/>
                                        <w:lang w:val="en-US" w:eastAsia="zh-CN"/>
                                      </w:rPr>
                                      <w:t>9</w:t>
                                    </w:r>
                                    <w:r>
                                      <w:rPr>
                                        <w:rFonts w:hint="eastAsia" w:ascii="宋体" w:hAnsi="宋体" w:eastAsia="宋体" w:cs="宋体"/>
                                        <w:b/>
                                        <w:bCs/>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_Toc13468_WPSOffice_Level1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十、名词解释</w:t>
                                    </w:r>
                                    <w:r>
                                      <w:rPr>
                                        <w:rFonts w:hint="eastAsia" w:ascii="宋体" w:hAnsi="宋体" w:eastAsia="宋体" w:cs="宋体"/>
                                        <w:b/>
                                        <w:bCs/>
                                        <w:sz w:val="24"/>
                                        <w:szCs w:val="24"/>
                                      </w:rPr>
                                      <w:tab/>
                                    </w:r>
                                    <w:r>
                                      <w:rPr>
                                        <w:rFonts w:hint="eastAsia" w:ascii="宋体" w:hAnsi="宋体" w:cs="宋体"/>
                                        <w:b/>
                                        <w:bCs/>
                                        <w:sz w:val="24"/>
                                        <w:szCs w:val="24"/>
                                        <w:lang w:val="en-US" w:eastAsia="zh-CN"/>
                                      </w:rPr>
                                      <w:t>9</w:t>
                                    </w:r>
                                    <w:r>
                                      <w:rPr>
                                        <w:rFonts w:hint="eastAsia" w:ascii="宋体" w:hAnsi="宋体" w:eastAsia="宋体" w:cs="宋体"/>
                                        <w:b/>
                                        <w:bCs/>
                                        <w:sz w:val="24"/>
                                        <w:szCs w:val="24"/>
                                      </w:rPr>
                                      <w:fldChar w:fldCharType="end"/>
                                    </w:r>
                                  </w:p>
                                  <w:p>
                                    <w:pPr>
                                      <w:pStyle w:val="4"/>
                                      <w:jc w:val="both"/>
                                      <w:rPr>
                                        <w:rFonts w:ascii="仿宋_GB2312" w:eastAsia="仿宋_GB2312"/>
                                        <w:sz w:val="32"/>
                                        <w:szCs w:val="32"/>
                                      </w:rPr>
                                    </w:pPr>
                                  </w:p>
                                  <w:p/>
                                  <w:p/>
                                  <w:p/>
                                  <w:p/>
                                  <w:p/>
                                  <w:p>
                                    <w:pPr>
                                      <w:spacing w:line="620" w:lineRule="exact"/>
                                      <w:ind w:firstLine="640" w:firstLineChars="200"/>
                                      <w:rPr>
                                        <w:rFonts w:ascii="仿宋_GB2312" w:eastAsia="仿宋_GB2312"/>
                                        <w:color w:val="000000"/>
                                        <w:sz w:val="32"/>
                                        <w:szCs w:val="32"/>
                                      </w:rPr>
                                    </w:pPr>
                                    <w:r>
                                      <w:rPr>
                                        <w:rFonts w:hint="eastAsia" w:ascii="仿宋_GB2312" w:eastAsia="仿宋_GB2312"/>
                                        <w:sz w:val="32"/>
                                        <w:szCs w:val="32"/>
                                      </w:rPr>
                                      <w:t>为强化兽医工作的政府职能，提升兽医工作水平，加强动物防疫能力建设，促进畜牧业健康稳定发展，根据阿坝州人民政府《关于兽医体制改革的实施意见》（阿府发</w:t>
                                    </w:r>
                                    <w:r>
                                      <w:rPr>
                                        <w:rFonts w:hint="eastAsia" w:ascii="仿宋_GB2312" w:eastAsia="仿宋_GB2312"/>
                                        <w:sz w:val="32"/>
                                        <w:szCs w:val="32"/>
                                        <w:lang w:eastAsia="zh-CN"/>
                                      </w:rPr>
                                      <w:t>〔</w:t>
                                    </w:r>
                                    <w:r>
                                      <w:rPr>
                                        <w:rFonts w:ascii="仿宋_GB2312" w:eastAsia="仿宋_GB2312"/>
                                        <w:sz w:val="32"/>
                                        <w:szCs w:val="32"/>
                                      </w:rPr>
                                      <w:t>2006</w:t>
                                    </w:r>
                                    <w:r>
                                      <w:rPr>
                                        <w:rFonts w:hint="eastAsia" w:ascii="仿宋_GB2312" w:eastAsia="仿宋_GB2312"/>
                                        <w:sz w:val="32"/>
                                        <w:szCs w:val="32"/>
                                        <w:lang w:eastAsia="zh-CN"/>
                                      </w:rPr>
                                      <w:t>〕</w:t>
                                    </w:r>
                                    <w:r>
                                      <w:rPr>
                                        <w:rFonts w:ascii="仿宋_GB2312" w:eastAsia="仿宋_GB2312"/>
                                        <w:sz w:val="32"/>
                                        <w:szCs w:val="32"/>
                                      </w:rPr>
                                      <w:t>38</w:t>
                                    </w:r>
                                    <w:r>
                                      <w:rPr>
                                        <w:rFonts w:hint="eastAsia" w:ascii="仿宋_GB2312" w:eastAsia="仿宋_GB2312"/>
                                        <w:sz w:val="32"/>
                                        <w:szCs w:val="32"/>
                                      </w:rPr>
                                      <w:t>号）、《关于单设各县畜牧兽医局的通知》（阿编发</w:t>
                                    </w:r>
                                    <w:r>
                                      <w:rPr>
                                        <w:rFonts w:hint="eastAsia" w:ascii="仿宋_GB2312" w:eastAsia="仿宋_GB2312"/>
                                        <w:sz w:val="32"/>
                                        <w:szCs w:val="32"/>
                                        <w:lang w:eastAsia="zh-CN"/>
                                      </w:rPr>
                                      <w:t>〔</w:t>
                                    </w:r>
                                    <w:r>
                                      <w:rPr>
                                        <w:rFonts w:ascii="仿宋_GB2312" w:eastAsia="仿宋_GB2312"/>
                                        <w:sz w:val="32"/>
                                        <w:szCs w:val="32"/>
                                      </w:rPr>
                                      <w:t>2006</w:t>
                                    </w:r>
                                    <w:r>
                                      <w:rPr>
                                        <w:rFonts w:hint="eastAsia" w:ascii="仿宋_GB2312" w:eastAsia="仿宋_GB2312"/>
                                        <w:sz w:val="32"/>
                                        <w:szCs w:val="32"/>
                                        <w:lang w:eastAsia="zh-CN"/>
                                      </w:rPr>
                                      <w:t>〕</w:t>
                                    </w:r>
                                    <w:r>
                                      <w:rPr>
                                        <w:rFonts w:ascii="仿宋_GB2312" w:eastAsia="仿宋_GB2312"/>
                                        <w:sz w:val="32"/>
                                        <w:szCs w:val="32"/>
                                      </w:rPr>
                                      <w:t>62</w:t>
                                    </w:r>
                                    <w:r>
                                      <w:rPr>
                                        <w:rFonts w:hint="eastAsia" w:ascii="仿宋_GB2312" w:eastAsia="仿宋_GB2312"/>
                                        <w:sz w:val="32"/>
                                        <w:szCs w:val="32"/>
                                      </w:rPr>
                                      <w:t>号）</w:t>
                                    </w:r>
                                    <w:r>
                                      <w:rPr>
                                        <w:rFonts w:hint="eastAsia" w:ascii="仿宋_GB2312" w:eastAsia="仿宋_GB2312"/>
                                        <w:color w:val="000000"/>
                                        <w:sz w:val="32"/>
                                        <w:szCs w:val="32"/>
                                      </w:rPr>
                                      <w:t>文件精神，畜牧兽医职能从原农牧水利局划出单设畜牧兽医局</w:t>
                                    </w:r>
                                    <w:r>
                                      <w:rPr>
                                        <w:rFonts w:hint="eastAsia" w:ascii="仿宋_GB2312" w:eastAsia="仿宋_GB2312"/>
                                        <w:sz w:val="32"/>
                                        <w:szCs w:val="32"/>
                                      </w:rPr>
                                      <w:t>。属县人民政府正科级事业机构，行政管理人员参照公务员制度管理。</w:t>
                                    </w:r>
                                    <w:r>
                                      <w:rPr>
                                        <w:rFonts w:hint="eastAsia" w:ascii="仿宋_GB2312" w:eastAsia="仿宋_GB2312"/>
                                        <w:color w:val="000000"/>
                                        <w:sz w:val="32"/>
                                        <w:szCs w:val="32"/>
                                      </w:rPr>
                                      <w:t>现就金川县畜牧兽医局职能配置、内设机构及人员配置提出如下实施方案：</w:t>
                                    </w:r>
                                  </w:p>
                                  <w:p>
                                    <w:pPr>
                                      <w:ind w:firstLine="640" w:firstLineChars="200"/>
                                      <w:rPr>
                                        <w:rFonts w:hint="eastAsia" w:ascii="仿宋_GB2312" w:hAnsi="仿宋_GB2312" w:eastAsia="仿宋_GB2312" w:cs="仿宋_GB2312"/>
                                        <w:color w:val="auto"/>
                                        <w:sz w:val="32"/>
                                        <w:szCs w:val="32"/>
                                        <w:lang w:val="en-US"/>
                                      </w:rPr>
                                    </w:pPr>
                                    <w:r>
                                      <w:rPr>
                                        <w:rFonts w:hint="eastAsia" w:ascii="黑体" w:hAnsi="黑体" w:eastAsia="黑体" w:cs="黑体"/>
                                        <w:color w:val="auto"/>
                                        <w:sz w:val="32"/>
                                        <w:szCs w:val="32"/>
                                        <w:lang w:val="en-US"/>
                                      </w:rPr>
                                      <w:t>一、基本职能及主要工作</w:t>
                                    </w:r>
                                  </w:p>
                                  <w:p>
                                    <w:pP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　　</w:t>
                                    </w:r>
                                    <w:r>
                                      <w:rPr>
                                        <w:rFonts w:hint="eastAsia" w:ascii="楷体_GB2312" w:hAnsi="楷体_GB2312" w:eastAsia="楷体_GB2312" w:cs="楷体_GB2312"/>
                                        <w:b/>
                                        <w:bCs/>
                                        <w:color w:val="auto"/>
                                        <w:sz w:val="32"/>
                                        <w:szCs w:val="32"/>
                                        <w:lang w:val="en-US"/>
                                      </w:rPr>
                                      <w:t>（一）职能简介</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1．宣传贯彻执行国家、省、州、县关于畜牧业发展的方针、政策、法律法规。</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2．对畜牧业生产进行调查研究、统计和分析，并</w:t>
                                    </w:r>
                                    <w:r>
                                      <w:rPr>
                                        <w:rFonts w:hint="eastAsia" w:ascii="仿宋_GB2312" w:eastAsia="仿宋_GB2312"/>
                                        <w:color w:val="000000"/>
                                        <w:sz w:val="32"/>
                                        <w:szCs w:val="32"/>
                                        <w:lang w:eastAsia="zh-CN"/>
                                      </w:rPr>
                                      <w:t>做好</w:t>
                                    </w:r>
                                    <w:r>
                                      <w:rPr>
                                        <w:rFonts w:hint="eastAsia" w:ascii="仿宋_GB2312" w:eastAsia="仿宋_GB2312"/>
                                        <w:color w:val="000000"/>
                                        <w:sz w:val="32"/>
                                        <w:szCs w:val="32"/>
                                      </w:rPr>
                                      <w:t>发展规划，为</w:t>
                                    </w:r>
                                    <w:r>
                                      <w:rPr>
                                        <w:rFonts w:hint="eastAsia" w:ascii="仿宋_GB2312" w:eastAsia="仿宋_GB2312"/>
                                        <w:color w:val="000000"/>
                                        <w:sz w:val="32"/>
                                        <w:szCs w:val="32"/>
                                        <w:lang w:eastAsia="zh-CN"/>
                                      </w:rPr>
                                      <w:t>县委、县政府</w:t>
                                    </w:r>
                                    <w:r>
                                      <w:rPr>
                                        <w:rFonts w:hint="eastAsia" w:ascii="仿宋_GB2312" w:eastAsia="仿宋_GB2312"/>
                                        <w:color w:val="000000"/>
                                        <w:sz w:val="32"/>
                                        <w:szCs w:val="32"/>
                                      </w:rPr>
                                      <w:t>决策提供依据。</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3．依照《中华人民共和国草原法》对全县草业规划、建设、生产使用实施监督管理。</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4．对全县草场建设、饲草、饲料生产进行技术指导。</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5．依照《中华人民共和国畜牧法》对全县种畜禽实施监督管理。</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6．对全县畜、禽品种改良、优良畜、禽品种引进和繁育实施技术指导。</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7．依照《中华人民共和国动物防疫法》负责本县动物防疫、检疫、动物产品安全监管和畜产品加工企业驻厂检疫等行政执法工作；负责兽医医政和兽药药政管理。</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8．计划并组织实施全县动物疫病预防工作。</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9．承担动物疫病监测、诊断、流行病学调查研究、技术推广工作，对全县动物疫病防、治进行技术指导和服务。</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10．负责乡镇畜牧兽医站的管理和指导。</w:t>
                                    </w:r>
                                  </w:p>
                                  <w:p>
                                    <w:pPr>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　　</w:t>
                                    </w:r>
                                    <w:r>
                                      <w:rPr>
                                        <w:rFonts w:hint="eastAsia" w:ascii="楷体_GB2312" w:hAnsi="宋体" w:eastAsia="楷体_GB2312" w:cs="宋体"/>
                                        <w:b/>
                                        <w:bCs/>
                                        <w:color w:val="333333"/>
                                        <w:kern w:val="0"/>
                                        <w:sz w:val="32"/>
                                        <w:szCs w:val="32"/>
                                        <w:lang w:val="en-US" w:eastAsia="zh-CN"/>
                                      </w:rPr>
                                      <w:t>（二）2020年重点工作</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1、完成</w:t>
                                    </w:r>
                                    <w:r>
                                      <w:rPr>
                                        <w:rFonts w:hint="eastAsia" w:ascii="仿宋_GB2312" w:eastAsia="仿宋_GB2312"/>
                                        <w:color w:val="000000"/>
                                        <w:sz w:val="32"/>
                                        <w:szCs w:val="32"/>
                                        <w:lang w:val="en-US" w:eastAsia="zh-CN"/>
                                      </w:rPr>
                                      <w:t>今年</w:t>
                                    </w:r>
                                    <w:r>
                                      <w:rPr>
                                        <w:rFonts w:hint="eastAsia" w:ascii="仿宋_GB2312" w:eastAsia="仿宋_GB2312"/>
                                        <w:color w:val="000000"/>
                                        <w:sz w:val="32"/>
                                        <w:szCs w:val="32"/>
                                      </w:rPr>
                                      <w:t>农业资源及生态保护</w:t>
                                    </w:r>
                                    <w:r>
                                      <w:rPr>
                                        <w:rFonts w:hint="eastAsia" w:ascii="仿宋_GB2312" w:eastAsia="仿宋_GB2312"/>
                                        <w:color w:val="000000"/>
                                        <w:sz w:val="32"/>
                                        <w:szCs w:val="32"/>
                                        <w:lang w:val="en-US" w:eastAsia="zh-CN"/>
                                      </w:rPr>
                                      <w:t>相关</w:t>
                                    </w:r>
                                    <w:r>
                                      <w:rPr>
                                        <w:rFonts w:hint="eastAsia" w:ascii="仿宋_GB2312" w:eastAsia="仿宋_GB2312"/>
                                        <w:color w:val="000000"/>
                                        <w:sz w:val="32"/>
                                        <w:szCs w:val="32"/>
                                      </w:rPr>
                                      <w:t>工作。</w:t>
                                    </w:r>
                                  </w:p>
                                  <w:p>
                                    <w:pPr>
                                      <w:spacing w:line="6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有效发展</w:t>
                                    </w:r>
                                    <w:r>
                                      <w:rPr>
                                        <w:rFonts w:hint="eastAsia" w:ascii="仿宋_GB2312" w:eastAsia="仿宋_GB2312"/>
                                        <w:color w:val="000000"/>
                                        <w:sz w:val="32"/>
                                        <w:szCs w:val="32"/>
                                      </w:rPr>
                                      <w:t>现代畜牧业</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指导和协调畜牧发展保障和服务体系建设</w:t>
                                    </w:r>
                                    <w:r>
                                      <w:rPr>
                                        <w:rFonts w:hint="eastAsia" w:ascii="仿宋_GB2312" w:eastAsia="仿宋_GB2312"/>
                                        <w:color w:val="000000"/>
                                        <w:sz w:val="32"/>
                                        <w:szCs w:val="32"/>
                                        <w:lang w:eastAsia="zh-CN"/>
                                      </w:rPr>
                                      <w:t>。</w:t>
                                    </w:r>
                                  </w:p>
                                  <w:p>
                                    <w:pPr>
                                      <w:spacing w:line="6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3、完成</w:t>
                                    </w:r>
                                    <w:r>
                                      <w:rPr>
                                        <w:rFonts w:hint="eastAsia" w:ascii="仿宋_GB2312" w:eastAsia="仿宋_GB2312"/>
                                        <w:color w:val="000000"/>
                                        <w:sz w:val="32"/>
                                        <w:szCs w:val="32"/>
                                      </w:rPr>
                                      <w:t>春防工作</w:t>
                                    </w:r>
                                    <w:r>
                                      <w:rPr>
                                        <w:rFonts w:hint="eastAsia" w:ascii="仿宋_GB2312" w:eastAsia="仿宋_GB2312"/>
                                        <w:color w:val="000000"/>
                                        <w:sz w:val="32"/>
                                        <w:szCs w:val="32"/>
                                        <w:lang w:eastAsia="zh-CN"/>
                                      </w:rPr>
                                      <w:t>、</w:t>
                                    </w:r>
                                    <w:r>
                                      <w:rPr>
                                        <w:rFonts w:hint="eastAsia" w:ascii="仿宋_GB2312" w:eastAsia="仿宋_GB2312"/>
                                        <w:color w:val="000000"/>
                                        <w:sz w:val="32"/>
                                        <w:szCs w:val="32"/>
                                      </w:rPr>
                                      <w:t>寄生虫病的防治</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指导和督促全</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重大动物疫病防治工作，协调做好疫情监测、控制和组织扑灭疫情</w:t>
                                    </w:r>
                                    <w:r>
                                      <w:rPr>
                                        <w:rFonts w:hint="eastAsia" w:ascii="仿宋_GB2312" w:eastAsia="仿宋_GB2312"/>
                                        <w:color w:val="000000"/>
                                        <w:sz w:val="32"/>
                                        <w:szCs w:val="32"/>
                                        <w:lang w:eastAsia="zh-CN"/>
                                      </w:rPr>
                                      <w:t>。</w:t>
                                    </w:r>
                                  </w:p>
                                  <w:p>
                                    <w:pPr>
                                      <w:spacing w:line="6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开展新技术、新品种的宣传、试验、示范和推广</w:t>
                                    </w:r>
                                    <w:r>
                                      <w:rPr>
                                        <w:rFonts w:hint="eastAsia" w:ascii="仿宋_GB2312" w:eastAsia="仿宋_GB2312"/>
                                        <w:color w:val="000000"/>
                                        <w:sz w:val="32"/>
                                        <w:szCs w:val="32"/>
                                        <w:lang w:eastAsia="zh-CN"/>
                                      </w:rPr>
                                      <w:t>。</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二、部门预算单位构成</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根据以上职责，县畜牧兽医局内设3个职能股室。下设3个事业站。</w:t>
                                    </w:r>
                                  </w:p>
                                  <w:p>
                                    <w:pPr>
                                      <w:spacing w:line="640" w:lineRule="exact"/>
                                      <w:ind w:firstLine="482" w:firstLineChars="150"/>
                                      <w:rPr>
                                        <w:rFonts w:hint="eastAsia" w:ascii="楷体_GB2312" w:hAnsi="宋体" w:eastAsia="楷体_GB2312" w:cs="宋体"/>
                                        <w:b/>
                                        <w:bCs/>
                                        <w:color w:val="333333"/>
                                        <w:kern w:val="0"/>
                                        <w:sz w:val="32"/>
                                        <w:szCs w:val="32"/>
                                        <w:lang w:eastAsia="zh-CN"/>
                                      </w:rPr>
                                    </w:pPr>
                                    <w:r>
                                      <w:rPr>
                                        <w:rFonts w:hint="eastAsia" w:ascii="楷体_GB2312" w:hAnsi="宋体" w:eastAsia="楷体_GB2312" w:cs="宋体"/>
                                        <w:b/>
                                        <w:bCs/>
                                        <w:color w:val="333333"/>
                                        <w:kern w:val="0"/>
                                        <w:sz w:val="32"/>
                                        <w:szCs w:val="32"/>
                                        <w:lang w:eastAsia="zh-CN"/>
                                      </w:rPr>
                                      <w:t>（一）内设机构</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1．办公室</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负责局内各项规章、管理制度的制定、实施和监督，各类文件收发和后勤管理，协助局领导处理日常事务，协调内外关系。</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2．人事科教生产股</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负责全局人事、科教管理，组织科技人员的培训和畜牧兽医科技、法律法规宣传工作，负责畜牧业生产项目编审、申报和档案管理，畜牧业生产数据的收集和编报。拟定编制畜牧业建设计划，协调争取畜牧业建设项目、监督管理项目实施。</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3．财务股</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负责本单位的财务管理，依法做好行政事业性收费、罚没收入、专项收入和政府性基金的收缴、使用、管理工作；负责局属的劳资、社保福利和离退休人员的服务管理。负责国家、省、州、县畜牧业建设项目资金、事业经费的申报和管理；负责局和直属单位行政经费、各项事业费的预结算及审计监督管理和固定财产的管理工作。</w:t>
                                    </w:r>
                                  </w:p>
                                  <w:p>
                                    <w:pPr>
                                      <w:spacing w:line="640" w:lineRule="exact"/>
                                      <w:ind w:firstLine="482" w:firstLineChars="150"/>
                                      <w:rPr>
                                        <w:rFonts w:hint="eastAsia" w:ascii="楷体_GB2312" w:hAnsi="宋体" w:eastAsia="楷体_GB2312" w:cs="宋体"/>
                                        <w:b/>
                                        <w:bCs/>
                                        <w:color w:val="333333"/>
                                        <w:kern w:val="0"/>
                                        <w:sz w:val="32"/>
                                        <w:szCs w:val="32"/>
                                        <w:lang w:eastAsia="zh-CN"/>
                                      </w:rPr>
                                    </w:pPr>
                                    <w:r>
                                      <w:rPr>
                                        <w:rFonts w:hint="eastAsia" w:ascii="楷体_GB2312" w:hAnsi="宋体" w:eastAsia="楷体_GB2312" w:cs="宋体"/>
                                        <w:b/>
                                        <w:bCs/>
                                        <w:color w:val="333333"/>
                                        <w:kern w:val="0"/>
                                        <w:sz w:val="32"/>
                                        <w:szCs w:val="32"/>
                                        <w:lang w:eastAsia="zh-CN"/>
                                      </w:rPr>
                                      <w:t>（二）下设机构</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1．县动物防疫监督站（挂县动物疫病预防控制中心牌子）二个牌子，一套人员，作为县级兽医行政执法机构。</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依法负责本县动物防疫、检疫、动物产品安全监管和畜产品加工企业</w:t>
                                    </w:r>
                                    <w:r>
                                      <w:rPr>
                                        <w:rFonts w:hint="eastAsia" w:ascii="仿宋_GB2312" w:eastAsia="仿宋_GB2312"/>
                                        <w:color w:val="000000"/>
                                        <w:sz w:val="32"/>
                                        <w:szCs w:val="32"/>
                                        <w:lang w:eastAsia="zh-CN"/>
                                      </w:rPr>
                                      <w:t>驻场</w:t>
                                    </w:r>
                                    <w:r>
                                      <w:rPr>
                                        <w:rFonts w:hint="eastAsia" w:ascii="仿宋_GB2312" w:eastAsia="仿宋_GB2312"/>
                                        <w:color w:val="000000"/>
                                        <w:sz w:val="32"/>
                                        <w:szCs w:val="32"/>
                                      </w:rPr>
                                      <w:t>检疫等行政执法工作；负责兽医医政和兽药药政管理；承担动物疫病监测、诊断、流行病学调查研究等技术研究和推广工作，负责乡畜牧兽医站的管理和指导。</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2．畜禽繁育改良站</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依照《中华人民共和国畜牧法》对全县种畜禽生产、经营和全县畜牧业生产实施监督管理。对全县畜、禽品种改良、优良畜、禽品种引进和繁育实施技术指导。</w:t>
                                    </w:r>
                                  </w:p>
                                  <w:p>
                                    <w:pPr>
                                      <w:spacing w:line="640" w:lineRule="exact"/>
                                      <w:ind w:firstLine="482" w:firstLineChars="150"/>
                                      <w:rPr>
                                        <w:rFonts w:hint="eastAsia" w:ascii="楷体_GB2312" w:hAnsi="宋体" w:eastAsia="楷体_GB2312" w:cs="宋体"/>
                                        <w:b/>
                                        <w:bCs/>
                                        <w:color w:val="333333"/>
                                        <w:kern w:val="0"/>
                                        <w:sz w:val="32"/>
                                        <w:szCs w:val="32"/>
                                      </w:rPr>
                                    </w:pPr>
                                    <w:r>
                                      <w:rPr>
                                        <w:rFonts w:hint="eastAsia" w:ascii="楷体_GB2312" w:hAnsi="宋体" w:eastAsia="楷体_GB2312" w:cs="宋体"/>
                                        <w:b/>
                                        <w:bCs/>
                                        <w:color w:val="333333"/>
                                        <w:kern w:val="0"/>
                                        <w:sz w:val="32"/>
                                        <w:szCs w:val="32"/>
                                        <w:lang w:eastAsia="zh-CN"/>
                                      </w:rPr>
                                      <w:t>（三）</w:t>
                                    </w:r>
                                    <w:r>
                                      <w:rPr>
                                        <w:rFonts w:hint="eastAsia" w:ascii="楷体_GB2312" w:hAnsi="宋体" w:eastAsia="楷体_GB2312" w:cs="宋体"/>
                                        <w:b/>
                                        <w:bCs/>
                                        <w:color w:val="333333"/>
                                        <w:kern w:val="0"/>
                                        <w:sz w:val="32"/>
                                        <w:szCs w:val="32"/>
                                      </w:rPr>
                                      <w:t>人员编制和领导职数</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1．县畜牧兽医局核定事业编制11名（含工勤人员2名），参照公务员管理。其中局长1名，副局长2名</w:t>
                                    </w:r>
                                    <w:r>
                                      <w:rPr>
                                        <w:rFonts w:hint="eastAsia" w:ascii="仿宋_GB2312" w:eastAsia="仿宋_GB2312"/>
                                        <w:color w:val="000000"/>
                                        <w:sz w:val="32"/>
                                        <w:szCs w:val="32"/>
                                        <w:lang w:eastAsia="zh-CN"/>
                                      </w:rPr>
                                      <w:t>；</w:t>
                                    </w:r>
                                    <w:r>
                                      <w:rPr>
                                        <w:rFonts w:hint="eastAsia" w:ascii="仿宋_GB2312" w:eastAsia="仿宋_GB2312"/>
                                        <w:color w:val="000000"/>
                                        <w:sz w:val="32"/>
                                        <w:szCs w:val="32"/>
                                      </w:rPr>
                                      <w:t>股级领导职数3名。</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2．县动物防疫监督站（含兽医执法大队、县动物疫病预防控制中心）。事业编制14名，设站长1名（按副科级高配），动物防疫监督站副站长1名。</w:t>
                                    </w:r>
                                  </w:p>
                                  <w:p>
                                    <w:p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3．畜禽繁育改良站人员编制9名，设站长1名、副站长1名。</w:t>
                                    </w:r>
                                  </w:p>
                                  <w:p>
                                    <w:pPr>
                                      <w:spacing w:line="640" w:lineRule="exact"/>
                                      <w:ind w:firstLine="480" w:firstLineChars="150"/>
                                      <w:rPr>
                                        <w:rFonts w:ascii="仿宋_GB2312" w:hAnsi="宋体" w:eastAsia="仿宋_GB2312" w:cs="宋体"/>
                                        <w:color w:val="333333"/>
                                        <w:kern w:val="0"/>
                                        <w:sz w:val="28"/>
                                        <w:szCs w:val="28"/>
                                      </w:rPr>
                                    </w:pPr>
                                    <w:r>
                                      <w:rPr>
                                        <w:rFonts w:hint="eastAsia" w:ascii="黑体" w:hAnsi="黑体" w:eastAsia="黑体" w:cs="黑体"/>
                                        <w:color w:val="auto"/>
                                        <w:sz w:val="32"/>
                                        <w:szCs w:val="32"/>
                                        <w:lang w:val="en-US" w:eastAsia="zh-CN"/>
                                      </w:rPr>
                                      <w:t>三、收支预算情况说明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按照综合预算的原则，畜牧局所有收入和支出均纳入部门预算管理。收入包括：一般公共预算拨款收入、上年结转；支出包括：一般公共服务支出、教育支出、社会保障和就业支出、医疗卫生与计划生育支出、住房保障支出。畜牧局2019年收支总预算1485.9597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比2018年收支预算总数增加108.8446万元，主要是因为人员增加。</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（一）收入预算情况。</w:t>
                                    </w:r>
                                    <w:r>
                                      <w:rPr>
                                        <w:rFonts w:ascii="楷体_GB2312" w:hAnsi="宋体" w:eastAsia="楷体_GB2312" w:cs="宋体"/>
                                        <w:b/>
                                        <w:bCs/>
                                        <w:color w:val="333333"/>
                                        <w:kern w:val="0"/>
                                        <w:sz w:val="32"/>
                                        <w:szCs w:val="32"/>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畜牧局2019年收入预算1485.9597万元；一般公共预算拨款收入1485.9597万元。</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（二）支出预算情况。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畜牧局2019年支出预算1485.9597万元，其中：基本支出1472.4957万元，占99.1%；项目支出</w:t>
                                    </w:r>
                                    <w:r>
                                      <w:rPr>
                                        <w:rFonts w:hint="eastAsia" w:ascii="仿宋_GB2312" w:eastAsia="仿宋_GB2312"/>
                                        <w:color w:val="000000"/>
                                        <w:sz w:val="32"/>
                                        <w:szCs w:val="32"/>
                                        <w:lang w:val="en-US" w:eastAsia="zh-CN"/>
                                      </w:rPr>
                                      <w:t>13.464</w:t>
                                    </w:r>
                                    <w:r>
                                      <w:rPr>
                                        <w:rFonts w:hint="eastAsia" w:ascii="仿宋_GB2312" w:eastAsia="仿宋_GB2312"/>
                                        <w:color w:val="000000"/>
                                        <w:sz w:val="32"/>
                                        <w:szCs w:val="32"/>
                                      </w:rPr>
                                      <w:t>万元，占0.9%。</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四、财政拨款收支预算情况说明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畜牧局2019年财政拨款收支总预算1485.9597万元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比2018年财政拨款收支总预算增加108.8446万元，主要是因为人员增加。</w:t>
                                    </w:r>
                                    <w:r>
                                      <w:rPr>
                                        <w:rFonts w:hint="eastAsia" w:ascii="仿宋_GB2312" w:eastAsia="仿宋_GB2312"/>
                                        <w:color w:val="000000"/>
                                        <w:sz w:val="32"/>
                                        <w:szCs w:val="32"/>
                                      </w:rPr>
                                      <w:br w:type="textWrapping"/>
                                    </w:r>
                                    <w:r>
                                      <w:rPr>
                                        <w:rFonts w:hint="eastAsia" w:ascii="仿宋_GB2312" w:eastAsia="仿宋_GB2312"/>
                                        <w:color w:val="000000"/>
                                        <w:sz w:val="32"/>
                                        <w:szCs w:val="32"/>
                                      </w:rPr>
                                      <w:t>　　收入包括：本年一般公共预算拨款收入1485.9597万元、上年结转一般公共预算拨款收入0万元；支出包括：一般公共服务支出986.9256万元、教育支出1万元、社会保障和就业支出286.8963万元、医疗卫生与计划生育支出85.3504万元、住房保障支出125.7872万元。</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五、一般公共预算当年拨款情况说明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（一）一般公共预算当年拨款规模变化情况。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畜牧局2019年一般公共预算当年拨款1485.9597万元，比2018年预算数增加108.8446万元，主要是财政信息化建设等需求增加。</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（二）一般公共预算当年拨款结构情况。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一般公共服务支出986.9256万元，占66.42%；教育支出1万元，占0.07%；社会保障和就业支出286.8963万元，占19.3%；医疗卫生与计划生育支出85.3504万元，占5.71%；住房保障支出125.7872万元，占8.5%。</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（三）一般公共预算当年拨款具体使用情况。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32"/>
                                        <w:szCs w:val="32"/>
                                      </w:rPr>
                                      <w:t>1.</w:t>
                                    </w:r>
                                    <w:r>
                                      <w:rPr>
                                        <w:rFonts w:hint="eastAsia" w:ascii="仿宋_GB2312" w:hAnsi="宋体" w:eastAsia="仿宋_GB2312" w:cs="宋体"/>
                                        <w:b/>
                                        <w:bCs/>
                                        <w:color w:val="333333"/>
                                        <w:kern w:val="0"/>
                                        <w:sz w:val="32"/>
                                        <w:szCs w:val="32"/>
                                      </w:rPr>
                                      <w:t>一般公共服务（类）财政事务（款）事业运行（项）</w:t>
                                    </w:r>
                                    <w:r>
                                      <w:rPr>
                                        <w:rFonts w:hint="eastAsia" w:ascii="仿宋_GB2312" w:eastAsia="仿宋_GB2312"/>
                                        <w:color w:val="000000"/>
                                        <w:sz w:val="32"/>
                                        <w:szCs w:val="32"/>
                                      </w:rPr>
                                      <w:t>2019年预算数为1485.9597万元，主要用于：单位机构正常运行、开展日常工作的基本支出。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2.</w:t>
                                    </w:r>
                                    <w:r>
                                      <w:rPr>
                                        <w:rFonts w:hint="eastAsia" w:ascii="仿宋_GB2312" w:hAnsi="宋体" w:eastAsia="仿宋_GB2312" w:cs="宋体"/>
                                        <w:b/>
                                        <w:bCs/>
                                        <w:color w:val="333333"/>
                                        <w:kern w:val="0"/>
                                        <w:sz w:val="32"/>
                                        <w:szCs w:val="32"/>
                                      </w:rPr>
                                      <w:t>教育（类）进修及培训（款）培训支出（项）</w:t>
                                    </w:r>
                                    <w:r>
                                      <w:rPr>
                                        <w:rFonts w:hint="eastAsia" w:ascii="仿宋_GB2312" w:eastAsia="仿宋_GB2312"/>
                                        <w:color w:val="000000"/>
                                        <w:sz w:val="32"/>
                                        <w:szCs w:val="32"/>
                                      </w:rPr>
                                      <w:t>2019年预算数为1万元，主要用于：系统内培训及在职人员参加外部培训等经费支出。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32"/>
                                        <w:szCs w:val="32"/>
                                        <w:lang w:val="en-US" w:eastAsia="zh-CN"/>
                                      </w:rPr>
                                      <w:t xml:space="preserve"> </w:t>
                                    </w:r>
                                    <w:r>
                                      <w:rPr>
                                        <w:rFonts w:ascii="仿宋_GB2312" w:hAnsi="宋体" w:eastAsia="仿宋_GB2312" w:cs="宋体"/>
                                        <w:b/>
                                        <w:bCs/>
                                        <w:color w:val="333333"/>
                                        <w:kern w:val="0"/>
                                        <w:sz w:val="32"/>
                                        <w:szCs w:val="32"/>
                                      </w:rPr>
                                      <w:t xml:space="preserve">3. </w:t>
                                    </w:r>
                                    <w:r>
                                      <w:rPr>
                                        <w:rFonts w:hint="eastAsia" w:ascii="仿宋_GB2312" w:hAnsi="宋体" w:eastAsia="仿宋_GB2312" w:cs="宋体"/>
                                        <w:b/>
                                        <w:bCs/>
                                        <w:color w:val="333333"/>
                                        <w:kern w:val="0"/>
                                        <w:sz w:val="32"/>
                                        <w:szCs w:val="32"/>
                                      </w:rPr>
                                      <w:t>社会保障和就业（类）行政事业单位离退休（款）未归口管理的行政单位离退休（项）</w:t>
                                    </w:r>
                                    <w:r>
                                      <w:rPr>
                                        <w:rFonts w:hint="eastAsia" w:ascii="仿宋_GB2312" w:eastAsia="仿宋_GB2312"/>
                                        <w:color w:val="000000"/>
                                        <w:sz w:val="32"/>
                                        <w:szCs w:val="32"/>
                                      </w:rPr>
                                      <w:t>2019年预算数为0.0216万元，主要用于：离退休人员经费支出。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32"/>
                                        <w:szCs w:val="32"/>
                                      </w:rPr>
                                      <w:t>4.</w:t>
                                    </w:r>
                                    <w:r>
                                      <w:rPr>
                                        <w:rFonts w:hint="eastAsia" w:ascii="仿宋_GB2312" w:hAnsi="宋体" w:eastAsia="仿宋_GB2312" w:cs="宋体"/>
                                        <w:b/>
                                        <w:bCs/>
                                        <w:color w:val="333333"/>
                                        <w:kern w:val="0"/>
                                        <w:sz w:val="32"/>
                                        <w:szCs w:val="32"/>
                                      </w:rPr>
                                      <w:t>社会保障和就业（类）行政事业单位离退休（款）机关事业单位基本养老保险缴费支出（项）</w:t>
                                    </w:r>
                                    <w:r>
                                      <w:rPr>
                                        <w:rFonts w:hint="eastAsia" w:ascii="仿宋_GB2312" w:eastAsia="仿宋_GB2312"/>
                                        <w:color w:val="000000"/>
                                        <w:sz w:val="32"/>
                                        <w:szCs w:val="32"/>
                                      </w:rPr>
                                      <w:t>2019年预算数为186.7114万元，主要用于：实施养老保险制度后，部门按规定由单位缴纳的基本养老保险费支出。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32"/>
                                        <w:szCs w:val="32"/>
                                      </w:rPr>
                                      <w:t>5.</w:t>
                                    </w:r>
                                    <w:r>
                                      <w:rPr>
                                        <w:rFonts w:hint="eastAsia" w:ascii="仿宋_GB2312" w:hAnsi="宋体" w:eastAsia="仿宋_GB2312" w:cs="宋体"/>
                                        <w:b/>
                                        <w:bCs/>
                                        <w:color w:val="333333"/>
                                        <w:kern w:val="0"/>
                                        <w:sz w:val="32"/>
                                        <w:szCs w:val="32"/>
                                      </w:rPr>
                                      <w:t>社会保障和就业（类）行政事业单位离退休（款）机关事业单位职业年金缴费支出（项）</w:t>
                                    </w:r>
                                    <w:r>
                                      <w:rPr>
                                        <w:rFonts w:hint="eastAsia" w:ascii="仿宋_GB2312" w:eastAsia="仿宋_GB2312"/>
                                        <w:color w:val="000000"/>
                                        <w:sz w:val="32"/>
                                        <w:szCs w:val="32"/>
                                      </w:rPr>
                                      <w:t>2019年预算数为74.6845万元，主要用于：实施养老保险制度后，部门按规定由单位缴纳的职业年金支出。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32"/>
                                        <w:szCs w:val="32"/>
                                      </w:rPr>
                                      <w:t>6</w:t>
                                    </w:r>
                                    <w:r>
                                      <w:rPr>
                                        <w:rFonts w:ascii="仿宋_GB2312" w:hAnsi="宋体" w:eastAsia="仿宋_GB2312" w:cs="宋体"/>
                                        <w:b/>
                                        <w:bCs/>
                                        <w:color w:val="333333"/>
                                        <w:kern w:val="0"/>
                                        <w:sz w:val="32"/>
                                        <w:szCs w:val="32"/>
                                      </w:rPr>
                                      <w:t>.</w:t>
                                    </w:r>
                                    <w:r>
                                      <w:rPr>
                                        <w:rFonts w:hint="eastAsia" w:ascii="仿宋_GB2312" w:hAnsi="宋体" w:eastAsia="仿宋_GB2312" w:cs="宋体"/>
                                        <w:b/>
                                        <w:bCs/>
                                        <w:color w:val="333333"/>
                                        <w:kern w:val="0"/>
                                        <w:sz w:val="32"/>
                                        <w:szCs w:val="32"/>
                                      </w:rPr>
                                      <w:t>医疗卫生与计划生育（类）行政事业单位医疗（款）事业单位医疗（项）</w:t>
                                    </w:r>
                                    <w:r>
                                      <w:rPr>
                                        <w:rFonts w:hint="eastAsia" w:ascii="仿宋_GB2312" w:eastAsia="仿宋_GB2312"/>
                                        <w:color w:val="000000"/>
                                        <w:sz w:val="32"/>
                                        <w:szCs w:val="32"/>
                                      </w:rPr>
                                      <w:t>2019年预算数为65.8136万元，主要用于：部门下属事业单位基本医疗保险缴费支出。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32"/>
                                        <w:szCs w:val="32"/>
                                      </w:rPr>
                                      <w:t>7.</w:t>
                                    </w:r>
                                    <w:r>
                                      <w:rPr>
                                        <w:rFonts w:hint="eastAsia" w:ascii="仿宋_GB2312" w:hAnsi="宋体" w:eastAsia="仿宋_GB2312" w:cs="宋体"/>
                                        <w:b/>
                                        <w:bCs/>
                                        <w:color w:val="333333"/>
                                        <w:kern w:val="0"/>
                                        <w:sz w:val="32"/>
                                        <w:szCs w:val="32"/>
                                      </w:rPr>
                                      <w:t>医疗卫生与计划生育（类）行政事业单位医疗（款）公务员医疗补助（项）</w:t>
                                    </w:r>
                                    <w:r>
                                      <w:rPr>
                                        <w:rFonts w:hint="eastAsia" w:ascii="仿宋_GB2312" w:eastAsia="仿宋_GB2312"/>
                                        <w:color w:val="000000"/>
                                        <w:sz w:val="32"/>
                                        <w:szCs w:val="32"/>
                                      </w:rPr>
                                      <w:t>2018年预算数为19.5368万元，主要用于：事业单位集中缴纳公务员医疗补助支出。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32"/>
                                        <w:szCs w:val="32"/>
                                      </w:rPr>
                                      <w:t>　</w:t>
                                    </w:r>
                                    <w:r>
                                      <w:rPr>
                                        <w:rFonts w:ascii="仿宋_GB2312" w:hAnsi="宋体" w:eastAsia="仿宋_GB2312" w:cs="宋体"/>
                                        <w:b/>
                                        <w:bCs/>
                                        <w:color w:val="333333"/>
                                        <w:kern w:val="0"/>
                                        <w:sz w:val="32"/>
                                        <w:szCs w:val="32"/>
                                      </w:rPr>
                                      <w:t>8.</w:t>
                                    </w:r>
                                    <w:r>
                                      <w:rPr>
                                        <w:rFonts w:hint="eastAsia" w:ascii="仿宋_GB2312" w:hAnsi="宋体" w:eastAsia="仿宋_GB2312" w:cs="宋体"/>
                                        <w:b/>
                                        <w:bCs/>
                                        <w:color w:val="333333"/>
                                        <w:kern w:val="0"/>
                                        <w:sz w:val="32"/>
                                        <w:szCs w:val="32"/>
                                      </w:rPr>
                                      <w:t>住房保障（类）住房改革支出（款）住房公积金（项）</w:t>
                                    </w:r>
                                    <w:r>
                                      <w:rPr>
                                        <w:rFonts w:hint="eastAsia" w:ascii="仿宋_GB2312" w:eastAsia="仿宋_GB2312"/>
                                        <w:color w:val="000000"/>
                                        <w:sz w:val="32"/>
                                        <w:szCs w:val="32"/>
                                      </w:rPr>
                                      <w:t>2018年预算数为125.7872万元，主要用于：部门按人力资源和社会保障部、财政部规定的基本工资和津贴补贴以及规定比例为职工缴纳的住房公积金支出。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32"/>
                                        <w:szCs w:val="32"/>
                                      </w:rPr>
                                      <w:t>　</w:t>
                                    </w:r>
                                    <w:r>
                                      <w:rPr>
                                        <w:rFonts w:ascii="仿宋_GB2312" w:hAnsi="宋体" w:eastAsia="仿宋_GB2312" w:cs="宋体"/>
                                        <w:b/>
                                        <w:bCs/>
                                        <w:color w:val="333333"/>
                                        <w:kern w:val="0"/>
                                        <w:sz w:val="32"/>
                                        <w:szCs w:val="32"/>
                                      </w:rPr>
                                      <w:t>9.</w:t>
                                    </w:r>
                                    <w:r>
                                      <w:rPr>
                                        <w:rFonts w:hint="eastAsia" w:ascii="仿宋_GB2312" w:hAnsi="宋体" w:eastAsia="仿宋_GB2312" w:cs="宋体"/>
                                        <w:b/>
                                        <w:bCs/>
                                        <w:color w:val="333333"/>
                                        <w:kern w:val="0"/>
                                        <w:sz w:val="32"/>
                                        <w:szCs w:val="32"/>
                                      </w:rPr>
                                      <w:t>住房保障（类）住房改革支出（款）购房补贴（项）</w:t>
                                    </w:r>
                                    <w:r>
                                      <w:rPr>
                                        <w:rFonts w:hint="eastAsia" w:ascii="仿宋_GB2312" w:eastAsia="仿宋_GB2312"/>
                                        <w:color w:val="000000"/>
                                        <w:sz w:val="32"/>
                                        <w:szCs w:val="32"/>
                                      </w:rPr>
                                      <w:t>2019年预算数为0万元，主要用于：按房改政策规定的标准，向符合条件职工发放的用于购买住房的补贴。</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六、一般公共预算基本支出情况说明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1472.49</w:t>
                                    </w:r>
                                    <w:r>
                                      <w:rPr>
                                        <w:rFonts w:hint="eastAsia" w:ascii="仿宋_GB2312" w:eastAsia="仿宋_GB2312"/>
                                        <w:color w:val="000000"/>
                                        <w:sz w:val="32"/>
                                        <w:szCs w:val="32"/>
                                      </w:rPr>
                                      <w:t>万元，其中：人员经费</w:t>
                                    </w:r>
                                    <w:r>
                                      <w:rPr>
                                        <w:rFonts w:hint="eastAsia" w:ascii="仿宋_GB2312" w:eastAsia="仿宋_GB2312"/>
                                        <w:color w:val="000000"/>
                                        <w:sz w:val="32"/>
                                        <w:szCs w:val="32"/>
                                        <w:lang w:val="en-US" w:eastAsia="zh-CN"/>
                                      </w:rPr>
                                      <w:t>1437.6</w:t>
                                    </w:r>
                                    <w:r>
                                      <w:rPr>
                                        <w:rFonts w:hint="eastAsia" w:ascii="仿宋_GB2312" w:eastAsia="仿宋_GB2312"/>
                                        <w:color w:val="000000"/>
                                        <w:sz w:val="32"/>
                                        <w:szCs w:val="32"/>
                                      </w:rPr>
                                      <w:t>万元，主要包括：基本工资、津贴补贴、奖金、社会保险缴费等支出。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公用经费34.89万元，主要包括：办公费、水费、电费、邮电费、印刷费、差旅费、维修（护）费、劳务费等支出。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七、“三公”经费财政拨款预算安排情况说明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年“三公”经费财政拨款预算数3.5万元，其中：因公出国（境）经费0万元，公务接待费0.5万元，公务用车购置及运行维护费3万元。</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（一）因公出国（境）经费与</w:t>
                                    </w:r>
                                    <w:r>
                                      <w:rPr>
                                        <w:rFonts w:ascii="楷体_GB2312" w:hAnsi="宋体" w:eastAsia="楷体_GB2312" w:cs="宋体"/>
                                        <w:b/>
                                        <w:bCs/>
                                        <w:color w:val="333333"/>
                                        <w:kern w:val="0"/>
                                        <w:sz w:val="32"/>
                                        <w:szCs w:val="32"/>
                                      </w:rPr>
                                      <w:t>2018</w:t>
                                    </w:r>
                                    <w:r>
                                      <w:rPr>
                                        <w:rFonts w:hint="eastAsia" w:ascii="楷体_GB2312" w:hAnsi="宋体" w:eastAsia="楷体_GB2312" w:cs="宋体"/>
                                        <w:b/>
                                        <w:bCs/>
                                        <w:color w:val="333333"/>
                                        <w:kern w:val="0"/>
                                        <w:sz w:val="32"/>
                                        <w:szCs w:val="32"/>
                                      </w:rPr>
                                      <w:t>年预算持平。</w:t>
                                    </w:r>
                                    <w:r>
                                      <w:rPr>
                                        <w:rFonts w:ascii="楷体_GB2312" w:hAnsi="宋体" w:eastAsia="楷体_GB2312" w:cs="宋体"/>
                                        <w:b/>
                                        <w:bCs/>
                                        <w:color w:val="333333"/>
                                        <w:kern w:val="0"/>
                                        <w:sz w:val="32"/>
                                        <w:szCs w:val="32"/>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根据省外侨办批准的201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年因公临时出国（境）安排，拟安排出国（境）0人。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（二）公务接待费较</w:t>
                                    </w:r>
                                    <w:r>
                                      <w:rPr>
                                        <w:rFonts w:ascii="楷体_GB2312" w:hAnsi="宋体" w:eastAsia="楷体_GB2312" w:cs="宋体"/>
                                        <w:b/>
                                        <w:bCs/>
                                        <w:color w:val="333333"/>
                                        <w:kern w:val="0"/>
                                        <w:sz w:val="32"/>
                                        <w:szCs w:val="32"/>
                                      </w:rPr>
                                      <w:t>2018</w:t>
                                    </w:r>
                                    <w:r>
                                      <w:rPr>
                                        <w:rFonts w:hint="eastAsia" w:ascii="楷体_GB2312" w:hAnsi="宋体" w:eastAsia="楷体_GB2312" w:cs="宋体"/>
                                        <w:b/>
                                        <w:bCs/>
                                        <w:color w:val="333333"/>
                                        <w:kern w:val="0"/>
                                        <w:sz w:val="32"/>
                                        <w:szCs w:val="32"/>
                                      </w:rPr>
                                      <w:t>年预算下降</w:t>
                                    </w:r>
                                    <w:r>
                                      <w:rPr>
                                        <w:rFonts w:ascii="楷体_GB2312" w:hAnsi="宋体" w:eastAsia="楷体_GB2312" w:cs="宋体"/>
                                        <w:b/>
                                        <w:bCs/>
                                        <w:color w:val="333333"/>
                                        <w:kern w:val="0"/>
                                        <w:sz w:val="32"/>
                                        <w:szCs w:val="32"/>
                                      </w:rPr>
                                      <w:t>41.09%</w:t>
                                    </w:r>
                                    <w:r>
                                      <w:rPr>
                                        <w:rFonts w:hint="eastAsia" w:ascii="楷体_GB2312" w:hAnsi="宋体" w:eastAsia="楷体_GB2312" w:cs="宋体"/>
                                        <w:b/>
                                        <w:bCs/>
                                        <w:color w:val="333333"/>
                                        <w:kern w:val="0"/>
                                        <w:sz w:val="32"/>
                                        <w:szCs w:val="32"/>
                                      </w:rPr>
                                      <w:t>。</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2019年公务接待费计划用于执行公务、考察调研、检查指导等公务活动开支的交通费、住宿费、用餐费等。</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32"/>
                                        <w:szCs w:val="32"/>
                                      </w:rPr>
                                      <w:t>（三）公务用车购置及运行维护费与</w:t>
                                    </w:r>
                                    <w:r>
                                      <w:rPr>
                                        <w:rFonts w:ascii="楷体_GB2312" w:hAnsi="宋体" w:eastAsia="楷体_GB2312" w:cs="宋体"/>
                                        <w:b/>
                                        <w:bCs/>
                                        <w:color w:val="333333"/>
                                        <w:kern w:val="0"/>
                                        <w:sz w:val="32"/>
                                        <w:szCs w:val="32"/>
                                      </w:rPr>
                                      <w:t>2018</w:t>
                                    </w:r>
                                    <w:r>
                                      <w:rPr>
                                        <w:rFonts w:hint="eastAsia" w:ascii="楷体_GB2312" w:hAnsi="宋体" w:eastAsia="楷体_GB2312" w:cs="宋体"/>
                                        <w:b/>
                                        <w:bCs/>
                                        <w:color w:val="333333"/>
                                        <w:kern w:val="0"/>
                                        <w:sz w:val="32"/>
                                        <w:szCs w:val="32"/>
                                      </w:rPr>
                                      <w:t>年预算持平。</w:t>
                                    </w:r>
                                    <w:r>
                                      <w:rPr>
                                        <w:rFonts w:ascii="楷体_GB2312" w:hAnsi="宋体" w:eastAsia="楷体_GB2312" w:cs="宋体"/>
                                        <w:b/>
                                        <w:bCs/>
                                        <w:color w:val="333333"/>
                                        <w:kern w:val="0"/>
                                        <w:sz w:val="32"/>
                                        <w:szCs w:val="32"/>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单位现有公务用车0辆，其中：轿车1辆、越野车1辆。</w:t>
                                    </w:r>
                                    <w:r>
                                      <w:rPr>
                                        <w:rFonts w:hint="eastAsia" w:ascii="仿宋_GB2312" w:eastAsia="仿宋_GB2312"/>
                                        <w:color w:val="000000"/>
                                        <w:sz w:val="32"/>
                                        <w:szCs w:val="32"/>
                                      </w:rPr>
                                      <w:br w:type="textWrapping"/>
                                    </w:r>
                                    <w:r>
                                      <w:rPr>
                                        <w:rFonts w:hint="eastAsia" w:ascii="仿宋_GB2312" w:eastAsia="仿宋_GB2312"/>
                                        <w:color w:val="000000"/>
                                        <w:sz w:val="32"/>
                                        <w:szCs w:val="32"/>
                                      </w:rPr>
                                      <w:t>　　2019年未安排公务用车购置费。</w:t>
                                    </w:r>
                                    <w:r>
                                      <w:rPr>
                                        <w:rFonts w:hint="eastAsia" w:ascii="仿宋_GB2312" w:eastAsia="仿宋_GB2312"/>
                                        <w:color w:val="000000"/>
                                        <w:sz w:val="32"/>
                                        <w:szCs w:val="32"/>
                                      </w:rPr>
                                      <w:br w:type="textWrapping"/>
                                    </w:r>
                                    <w:r>
                                      <w:rPr>
                                        <w:rFonts w:hint="eastAsia" w:ascii="仿宋_GB2312" w:eastAsia="仿宋_GB2312"/>
                                        <w:color w:val="000000"/>
                                        <w:sz w:val="32"/>
                                        <w:szCs w:val="32"/>
                                      </w:rPr>
                                      <w:t>　　2019年安排公务用车运行维护费3万元，用于24辆公务用车燃油、过路（桥）、维修、保险等方面支出，主要保障机关及下属单位财政改革工作调研、脱贫攻坚、财政监督检查及周转金清理、农村综合改革、财政支出绩效评价等工作开展。</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　</w:t>
                                    </w:r>
                                    <w:r>
                                      <w:rPr>
                                        <w:rFonts w:hint="eastAsia" w:ascii="黑体" w:hAnsi="黑体" w:eastAsia="黑体" w:cs="黑体"/>
                                        <w:color w:val="auto"/>
                                        <w:sz w:val="32"/>
                                        <w:szCs w:val="32"/>
                                        <w:lang w:val="en-US" w:eastAsia="zh-CN"/>
                                      </w:rPr>
                                      <w:t>八、政府性基金预算支出情况说明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畜牧局2019年没有使用政府性基金预算拨款安排的支出。</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九、其他重要事项的情况说明</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国有资产占有使用情况。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截至201</w:t>
                                    </w:r>
                                    <w:r>
                                      <w:rPr>
                                        <w:rFonts w:hint="eastAsia" w:ascii="仿宋_GB2312" w:eastAsia="仿宋_GB2312"/>
                                        <w:color w:val="000000"/>
                                        <w:sz w:val="32"/>
                                        <w:szCs w:val="32"/>
                                        <w:lang w:val="en-US" w:eastAsia="zh-CN"/>
                                      </w:rPr>
                                      <w:t>8</w:t>
                                    </w:r>
                                    <w:bookmarkStart w:id="0" w:name="_GoBack"/>
                                    <w:bookmarkEnd w:id="0"/>
                                    <w:r>
                                      <w:rPr>
                                        <w:rFonts w:hint="eastAsia" w:ascii="仿宋_GB2312" w:eastAsia="仿宋_GB2312"/>
                                        <w:color w:val="000000"/>
                                        <w:sz w:val="32"/>
                                        <w:szCs w:val="32"/>
                                      </w:rPr>
                                      <w:t>年底，畜牧局所属各预算单位共有车辆2辆，其中，一般公务用车2辆。单位价值200万元以上大型设备0台（套）。</w:t>
                                    </w:r>
                                    <w:r>
                                      <w:rPr>
                                        <w:rFonts w:hint="eastAsia" w:ascii="仿宋_GB2312" w:eastAsia="仿宋_GB2312"/>
                                        <w:color w:val="000000"/>
                                        <w:sz w:val="32"/>
                                        <w:szCs w:val="32"/>
                                      </w:rPr>
                                      <w:br w:type="textWrapping"/>
                                    </w:r>
                                    <w:r>
                                      <w:rPr>
                                        <w:rFonts w:hint="eastAsia" w:ascii="仿宋_GB2312" w:eastAsia="仿宋_GB2312"/>
                                        <w:color w:val="000000"/>
                                        <w:sz w:val="32"/>
                                        <w:szCs w:val="32"/>
                                      </w:rPr>
                                      <w:t>　　2019年部门预算未安排购置车辆及单位价值200万元以上大型设备。</w:t>
                                    </w:r>
                                    <w:r>
                                      <w:rPr>
                                        <w:rFonts w:hint="eastAsia" w:ascii="仿宋_GB2312" w:eastAsia="仿宋_GB2312"/>
                                        <w:color w:val="000000"/>
                                        <w:sz w:val="32"/>
                                        <w:szCs w:val="32"/>
                                      </w:rPr>
                                      <w:br w:type="textWrapping"/>
                                    </w:r>
                                    <w:r>
                                      <w:rPr>
                                        <w:rFonts w:hint="eastAsia" w:ascii="仿宋_GB2312" w:hAnsi="宋体" w:eastAsia="仿宋_GB2312" w:cs="宋体"/>
                                        <w:color w:val="333333"/>
                                        <w:kern w:val="0"/>
                                        <w:sz w:val="28"/>
                                        <w:szCs w:val="28"/>
                                      </w:rPr>
                                      <w:t>　　</w:t>
                                    </w:r>
                                    <w:r>
                                      <w:rPr>
                                        <w:rFonts w:hint="eastAsia" w:ascii="黑体" w:hAnsi="黑体" w:eastAsia="黑体" w:cs="黑体"/>
                                        <w:color w:val="auto"/>
                                        <w:sz w:val="32"/>
                                        <w:szCs w:val="32"/>
                                        <w:lang w:val="en-US" w:eastAsia="zh-CN"/>
                                      </w:rPr>
                                      <w:t>十、名词解释</w:t>
                                    </w:r>
                                    <w:r>
                                      <w:rPr>
                                        <w:rFonts w:hint="eastAsia" w:ascii="黑体" w:hAnsi="黑体" w:eastAsia="黑体" w:cs="黑体"/>
                                        <w:color w:val="auto"/>
                                        <w:sz w:val="32"/>
                                        <w:szCs w:val="32"/>
                                        <w:lang w:val="en-US" w:eastAsia="zh-CN"/>
                                      </w:rPr>
                                      <w:br w:type="textWrapping"/>
                                    </w:r>
                                    <w:r>
                                      <w:rPr>
                                        <w:rFonts w:hint="eastAsia" w:ascii="仿宋_GB2312" w:hAnsi="宋体" w:eastAsia="仿宋_GB2312" w:cs="宋体"/>
                                        <w:color w:val="333333"/>
                                        <w:kern w:val="0"/>
                                        <w:sz w:val="28"/>
                                        <w:szCs w:val="28"/>
                                      </w:rPr>
                                      <w:t>　　</w:t>
                                    </w:r>
                                    <w:r>
                                      <w:rPr>
                                        <w:rFonts w:hint="eastAsia" w:ascii="仿宋_GB2312" w:eastAsia="仿宋_GB2312"/>
                                        <w:color w:val="000000"/>
                                        <w:sz w:val="32"/>
                                        <w:szCs w:val="32"/>
                                      </w:rPr>
                                      <w:t>1.一般公共预算拨款收入：指财政当年拨付的资金。</w:t>
                                    </w:r>
                                    <w:r>
                                      <w:rPr>
                                        <w:rFonts w:hint="eastAsia" w:ascii="仿宋_GB2312" w:eastAsia="仿宋_GB2312"/>
                                        <w:color w:val="000000"/>
                                        <w:sz w:val="32"/>
                                        <w:szCs w:val="32"/>
                                      </w:rPr>
                                      <w:br w:type="textWrapping"/>
                                    </w:r>
                                    <w:r>
                                      <w:rPr>
                                        <w:rFonts w:hint="eastAsia" w:ascii="仿宋_GB2312" w:eastAsia="仿宋_GB2312"/>
                                        <w:color w:val="000000"/>
                                        <w:sz w:val="32"/>
                                        <w:szCs w:val="32"/>
                                      </w:rPr>
                                      <w:t>　　2.上年结转：指以前年度尚未完成，结转到本年仍按原规定用途继续使用的资金。</w:t>
                                    </w:r>
                                    <w:r>
                                      <w:rPr>
                                        <w:rFonts w:hint="eastAsia" w:ascii="仿宋_GB2312" w:eastAsia="仿宋_GB2312"/>
                                        <w:color w:val="000000"/>
                                        <w:sz w:val="32"/>
                                        <w:szCs w:val="32"/>
                                      </w:rPr>
                                      <w:br w:type="textWrapping"/>
                                    </w:r>
                                    <w:r>
                                      <w:rPr>
                                        <w:rFonts w:hint="eastAsia" w:ascii="仿宋_GB2312" w:eastAsia="仿宋_GB2312"/>
                                        <w:color w:val="000000"/>
                                        <w:sz w:val="32"/>
                                        <w:szCs w:val="32"/>
                                      </w:rPr>
                                      <w:t>　　3.一般公共服务（类）财政事务（款）行政运行（项）：指单位用于保障机构正常运行、开展日常工作的基本支出。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4.一般公共服务（类）财政事务（款）一般行政管理事务（项）：指单位开展财政综合业务、预决算编审等未单独设置项级科目的专门性财政管理工作的项目支出。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5.一般公共服务（类）财政事务（款）机关服务（项）：指后勤服务中心、信息中心为本部门各单位正常运行提供服务的支出。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6.一般公共服务（类）财政事务（款）信息化建设（项）：指用于财政信息化建设等方面的项目支出。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7.一般公共服务（类）财政事务（款）事业运行（项）：用于保障机构正常运行、开展日常工作的基本支出。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8.一般公共服务（类）财政事务（款）其他财政事务支出（项）：指除上述项目外，开展其他财政事务方面专门性工作任务的项目支出，如全省会计专业技术资格考试考务费等。</w:t>
                                    </w:r>
                                    <w:r>
                                      <w:rPr>
                                        <w:rFonts w:hint="eastAsia" w:ascii="仿宋_GB2312" w:eastAsia="仿宋_GB2312"/>
                                        <w:color w:val="000000"/>
                                        <w:sz w:val="32"/>
                                        <w:szCs w:val="32"/>
                                      </w:rPr>
                                      <w:br w:type="textWrapping"/>
                                    </w:r>
                                    <w:r>
                                      <w:rPr>
                                        <w:rFonts w:hint="eastAsia" w:ascii="仿宋_GB2312" w:eastAsia="仿宋_GB2312"/>
                                        <w:color w:val="000000"/>
                                        <w:sz w:val="32"/>
                                        <w:szCs w:val="32"/>
                                      </w:rPr>
                                      <w:t>　　9.教育（类）进修及培训（款）培训支出（项）：指培训的经费支出。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10.社会保障和就业（类）行政事业单位离退休（款）事业单位离退休（项）：指离退休人员的支出。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11.社会保障和就业（类）行政事业单位离退休（款）未归口管理的行政单位离退休（项）：指离退休人员的支出。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12.社会保障和就业（类）行政事业单位离退休（款）机关事业单位基本养老保险缴费支出（项）：指部门实施养老保险制度由单位缴纳的养老保险费的支出。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13.社会保障和就业（类）行政事业单位离退休（款）机关事业单位职业年金缴费支出（项）：指部门实施养老保险制度由单位缴纳的职业年金的支出。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14.社会保障和就业（类）其他社会保障和就业（款）其他社会保障和就业支出（项）：指除上述项目外，其他用于行政事业单位离退休方面的支出。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15.医疗卫生与计划生育（类）行政事业单位医疗（款）行政单位医疗（项）：指单位用于缴纳单位基本医疗保险支出。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16.医疗卫生与计划生育（类）行政事业单位医疗（款）事业单位医疗（项）：指事业单位用于缴纳单位基本医疗保险支出。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17.医疗卫生与计划生育（类）行政事业单位医疗（款）公务员医疗补助（项）：指单位用于集中缴纳公务员医疗补助支出。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18.住房保障（类）住房改革支出（款）住房公积金（项）：指按照《住房公积金管理条例》的规定，由单位及其在职职工缴存的长期住房储金。</w:t>
                                    </w:r>
                                    <w:r>
                                      <w:rPr>
                                        <w:rFonts w:hint="eastAsia" w:ascii="仿宋_GB2312" w:eastAsia="仿宋_GB2312"/>
                                        <w:color w:val="000000"/>
                                        <w:sz w:val="32"/>
                                        <w:szCs w:val="32"/>
                                      </w:rPr>
                                      <w:br w:type="textWrapping"/>
                                    </w:r>
                                    <w:r>
                                      <w:rPr>
                                        <w:rFonts w:hint="eastAsia" w:ascii="仿宋_GB2312" w:eastAsia="仿宋_GB2312"/>
                                        <w:color w:val="000000"/>
                                        <w:sz w:val="32"/>
                                        <w:szCs w:val="32"/>
                                      </w:rPr>
                                      <w:t>　　19.住房保障（类）住房改革支出（款）购房补贴（项）：指按房改政策规定的标准，向符合条件职工发放的用于购买住房的补贴。</w:t>
                                    </w:r>
                                    <w:r>
                                      <w:rPr>
                                        <w:rFonts w:hint="eastAsia" w:ascii="仿宋_GB2312" w:eastAsia="仿宋_GB2312"/>
                                        <w:color w:val="000000"/>
                                        <w:sz w:val="32"/>
                                        <w:szCs w:val="32"/>
                                      </w:rPr>
                                      <w:br w:type="textWrapping"/>
                                    </w:r>
                                    <w:r>
                                      <w:rPr>
                                        <w:rFonts w:hint="eastAsia" w:ascii="仿宋_GB2312" w:eastAsia="仿宋_GB2312"/>
                                        <w:color w:val="000000"/>
                                        <w:sz w:val="32"/>
                                        <w:szCs w:val="32"/>
                                      </w:rPr>
                                      <w:t>　　20.基本支出：指为保证机构正常运转，完成日常工作任务而发生的人员支出和公用支出。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21.项目支出：指在基本支出之外为完成特定行政任务和事业发展目标所发生的支出。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22.“三公”经费：纳入财政厅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eastAsia="仿宋_GB2312"/>
                                        <w:color w:val="000000"/>
                                        <w:sz w:val="32"/>
                                        <w:szCs w:val="32"/>
                                      </w:rPr>
                                      <w:br w:type="textWrapping"/>
                                    </w:r>
                                    <w:r>
                                      <w:rPr>
                                        <w:rFonts w:hint="eastAsia" w:ascii="仿宋_GB2312" w:eastAsia="仿宋_GB2312"/>
                                        <w:color w:val="000000"/>
                                        <w:sz w:val="32"/>
                                        <w:szCs w:val="32"/>
                                      </w:rPr>
                                      <w:t>　　23.机关运行经费：为保障行政单位（包含参照公务员法管理的事业单位）运行用于购买货物和服务的各项资金。包括办公及办公费、水费、电费、印刷费、邮电费、差旅费、会议费等费用开支。</w:t>
                                    </w:r>
                                    <w:r>
                                      <w:rPr>
                                        <w:rFonts w:hint="eastAsia" w:ascii="仿宋_GB2312" w:hAnsi="宋体" w:eastAsia="仿宋_GB2312" w:cs="宋体"/>
                                        <w:color w:val="333333"/>
                                        <w:kern w:val="0"/>
                                        <w:sz w:val="28"/>
                                        <w:szCs w:val="28"/>
                                      </w:rPr>
                                      <w:t>　　</w:t>
                                    </w:r>
                                  </w:p>
                                </w:tc>
                              </w:tr>
                            </w:tbl>
                            <w:p>
                              <w:pPr>
                                <w:widowControl/>
                                <w:spacing w:after="240"/>
                                <w:jc w:val="center"/>
                                <w:rPr>
                                  <w:rFonts w:ascii="宋体" w:cs="宋体"/>
                                  <w:kern w:val="0"/>
                                  <w:szCs w:val="21"/>
                                </w:rPr>
                              </w:pPr>
                            </w:p>
                          </w:tc>
                        </w:tr>
                        <w:tr>
                          <w:tblPrEx>
                            <w:tblCellMar>
                              <w:top w:w="0" w:type="dxa"/>
                              <w:left w:w="0" w:type="dxa"/>
                              <w:bottom w:w="0" w:type="dxa"/>
                              <w:right w:w="0" w:type="dxa"/>
                            </w:tblCellMar>
                          </w:tblPrEx>
                          <w:trPr>
                            <w:tblCellSpacing w:w="0" w:type="dxa"/>
                          </w:trPr>
                          <w:tc>
                            <w:tcPr>
                              <w:tcW w:w="0" w:type="auto"/>
                              <w:shd w:val="clear" w:color="auto" w:fill="FFFFFF"/>
                            </w:tcPr>
                            <w:p>
                              <w:pPr>
                                <w:widowControl/>
                                <w:spacing w:after="240"/>
                                <w:jc w:val="both"/>
                                <w:rPr>
                                  <w:rFonts w:ascii="宋体" w:cs="宋体"/>
                                  <w:kern w:val="0"/>
                                  <w:szCs w:val="21"/>
                                </w:rPr>
                              </w:pPr>
                            </w:p>
                          </w:tc>
                        </w:tr>
                      </w:tbl>
                      <w:p>
                        <w:pPr>
                          <w:widowControl/>
                          <w:jc w:val="left"/>
                          <w:rPr>
                            <w:rFonts w:ascii="宋体" w:cs="宋体"/>
                            <w:kern w:val="0"/>
                            <w:szCs w:val="21"/>
                          </w:rPr>
                        </w:pPr>
                      </w:p>
                    </w:tc>
                    <w:tc>
                      <w:tcPr>
                        <w:tcW w:w="1350" w:type="dxa"/>
                        <w:vAlign w:val="center"/>
                      </w:tcPr>
                      <w:p>
                        <w:pPr>
                          <w:widowControl/>
                          <w:jc w:val="left"/>
                          <w:rPr>
                            <w:rFonts w:ascii="宋体" w:cs="宋体"/>
                            <w:kern w:val="0"/>
                            <w:szCs w:val="21"/>
                          </w:rPr>
                        </w:pPr>
                        <w:r>
                          <w:rPr>
                            <w:rFonts w:ascii="宋体" w:cs="宋体"/>
                            <w:kern w:val="0"/>
                            <w:szCs w:val="21"/>
                          </w:rPr>
                          <w:t> </w:t>
                        </w:r>
                      </w:p>
                    </w:tc>
                  </w:tr>
                  <w:tr>
                    <w:tblPrEx>
                      <w:tblCellMar>
                        <w:top w:w="0" w:type="dxa"/>
                        <w:left w:w="0" w:type="dxa"/>
                        <w:bottom w:w="0" w:type="dxa"/>
                        <w:right w:w="0" w:type="dxa"/>
                      </w:tblCellMar>
                    </w:tblPrEx>
                    <w:trPr>
                      <w:trHeight w:val="450" w:hRule="atLeast"/>
                      <w:tblCellSpacing w:w="0" w:type="dxa"/>
                    </w:trPr>
                    <w:tc>
                      <w:tcPr>
                        <w:tcW w:w="0" w:type="auto"/>
                        <w:gridSpan w:val="2"/>
                        <w:tcMar>
                          <w:top w:w="0" w:type="dxa"/>
                          <w:left w:w="0" w:type="dxa"/>
                          <w:bottom w:w="0" w:type="dxa"/>
                          <w:right w:w="1950" w:type="dxa"/>
                        </w:tcMar>
                        <w:vAlign w:val="center"/>
                      </w:tcPr>
                      <w:p>
                        <w:pPr>
                          <w:widowControl/>
                          <w:jc w:val="both"/>
                          <w:rPr>
                            <w:rFonts w:ascii="宋体" w:cs="宋体"/>
                            <w:kern w:val="0"/>
                            <w:szCs w:val="21"/>
                          </w:rPr>
                        </w:pPr>
                      </w:p>
                    </w:tc>
                  </w:tr>
                </w:tbl>
                <w:p>
                  <w:pPr>
                    <w:widowControl/>
                    <w:jc w:val="left"/>
                    <w:rPr>
                      <w:rFonts w:ascii="宋体" w:cs="宋体"/>
                      <w:kern w:val="0"/>
                      <w:szCs w:val="21"/>
                    </w:rPr>
                  </w:pPr>
                </w:p>
              </w:tc>
            </w:tr>
          </w:tbl>
          <w:p>
            <w:pPr>
              <w:widowControl/>
              <w:jc w:val="left"/>
              <w:rPr>
                <w:rFonts w:ascii="宋体" w:cs="宋体"/>
                <w:kern w:val="0"/>
                <w:szCs w:val="21"/>
              </w:rPr>
            </w:pPr>
          </w:p>
        </w:tc>
      </w:tr>
      <w:tr>
        <w:tblPrEx>
          <w:tblCellMar>
            <w:top w:w="0" w:type="dxa"/>
            <w:left w:w="0" w:type="dxa"/>
            <w:bottom w:w="0" w:type="dxa"/>
            <w:right w:w="0" w:type="dxa"/>
          </w:tblCellMar>
        </w:tblPrEx>
        <w:trPr>
          <w:trHeight w:val="75" w:hRule="atLeast"/>
          <w:tblCellSpacing w:w="0" w:type="dxa"/>
          <w:jc w:val="center"/>
        </w:trPr>
        <w:tc>
          <w:tcPr>
            <w:tcW w:w="0" w:type="auto"/>
            <w:vAlign w:val="center"/>
          </w:tcPr>
          <w:p>
            <w:pPr>
              <w:widowControl/>
              <w:jc w:val="left"/>
              <w:rPr>
                <w:rFonts w:ascii="宋体" w:cs="宋体"/>
                <w:kern w:val="0"/>
                <w:sz w:val="8"/>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C"/>
    <w:rsid w:val="00060AC2"/>
    <w:rsid w:val="000C1BEC"/>
    <w:rsid w:val="00135309"/>
    <w:rsid w:val="00157393"/>
    <w:rsid w:val="0024437D"/>
    <w:rsid w:val="002A2AF7"/>
    <w:rsid w:val="003B0D0F"/>
    <w:rsid w:val="003B240F"/>
    <w:rsid w:val="0072048F"/>
    <w:rsid w:val="007537C1"/>
    <w:rsid w:val="0079144A"/>
    <w:rsid w:val="00791D58"/>
    <w:rsid w:val="007A7D6A"/>
    <w:rsid w:val="008314C4"/>
    <w:rsid w:val="009178CE"/>
    <w:rsid w:val="00932024"/>
    <w:rsid w:val="00B90517"/>
    <w:rsid w:val="00CC63FA"/>
    <w:rsid w:val="00CE5316"/>
    <w:rsid w:val="00D04CCC"/>
    <w:rsid w:val="00D43CAB"/>
    <w:rsid w:val="00D521D5"/>
    <w:rsid w:val="00FD7CC7"/>
    <w:rsid w:val="039B13F6"/>
    <w:rsid w:val="08C66FF6"/>
    <w:rsid w:val="0A550CE6"/>
    <w:rsid w:val="0A6010AF"/>
    <w:rsid w:val="0C5E3562"/>
    <w:rsid w:val="0CE75928"/>
    <w:rsid w:val="12161A3A"/>
    <w:rsid w:val="13A34F38"/>
    <w:rsid w:val="13AF2D81"/>
    <w:rsid w:val="185F1614"/>
    <w:rsid w:val="1DB70750"/>
    <w:rsid w:val="1E413E4A"/>
    <w:rsid w:val="22CA3A44"/>
    <w:rsid w:val="234A1ACD"/>
    <w:rsid w:val="274F616C"/>
    <w:rsid w:val="27566E07"/>
    <w:rsid w:val="291A446B"/>
    <w:rsid w:val="297E3AEB"/>
    <w:rsid w:val="299D25C2"/>
    <w:rsid w:val="37223440"/>
    <w:rsid w:val="372E7FCD"/>
    <w:rsid w:val="3B767FD0"/>
    <w:rsid w:val="3CA83517"/>
    <w:rsid w:val="40916767"/>
    <w:rsid w:val="44B71640"/>
    <w:rsid w:val="46502F40"/>
    <w:rsid w:val="48D61219"/>
    <w:rsid w:val="4DEC147B"/>
    <w:rsid w:val="4E2848C0"/>
    <w:rsid w:val="51355218"/>
    <w:rsid w:val="52A34ABF"/>
    <w:rsid w:val="586E1B35"/>
    <w:rsid w:val="5B5D4E76"/>
    <w:rsid w:val="5EED5D97"/>
    <w:rsid w:val="634B774B"/>
    <w:rsid w:val="641316D5"/>
    <w:rsid w:val="64A93097"/>
    <w:rsid w:val="64AC5623"/>
    <w:rsid w:val="66B538ED"/>
    <w:rsid w:val="672D1F8C"/>
    <w:rsid w:val="694A6230"/>
    <w:rsid w:val="70A16796"/>
    <w:rsid w:val="71341D38"/>
    <w:rsid w:val="737605C9"/>
    <w:rsid w:val="76A46DF2"/>
    <w:rsid w:val="76CA090E"/>
    <w:rsid w:val="7C864307"/>
    <w:rsid w:val="7F7758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locked/>
    <w:uiPriority w:val="39"/>
    <w:pPr>
      <w:tabs>
        <w:tab w:val="right" w:leader="dot" w:pos="8296"/>
      </w:tabs>
      <w:spacing w:before="93"/>
      <w:jc w:val="center"/>
    </w:pPr>
    <w:rPr>
      <w:rFonts w:ascii="仿宋" w:hAnsi="仿宋" w:eastAsia="仿宋"/>
      <w:sz w:val="28"/>
      <w:szCs w:val="28"/>
    </w:rPr>
  </w:style>
  <w:style w:type="character" w:styleId="7">
    <w:name w:val="Strong"/>
    <w:basedOn w:val="6"/>
    <w:qFormat/>
    <w:uiPriority w:val="99"/>
    <w:rPr>
      <w:rFonts w:cs="Times New Roman"/>
      <w:b/>
      <w:bCs/>
    </w:rPr>
  </w:style>
  <w:style w:type="character" w:customStyle="1" w:styleId="8">
    <w:name w:val="pagetext0031"/>
    <w:basedOn w:val="6"/>
    <w:qFormat/>
    <w:uiPriority w:val="99"/>
    <w:rPr>
      <w:rFonts w:ascii="宋体" w:hAnsi="宋体" w:eastAsia="宋体" w:cs="Times New Roman"/>
      <w:color w:val="555555"/>
      <w:sz w:val="21"/>
      <w:szCs w:val="21"/>
    </w:rPr>
  </w:style>
  <w:style w:type="character" w:customStyle="1" w:styleId="9">
    <w:name w:val="Header Char"/>
    <w:basedOn w:val="6"/>
    <w:link w:val="3"/>
    <w:semiHidden/>
    <w:locked/>
    <w:uiPriority w:val="99"/>
    <w:rPr>
      <w:rFonts w:cs="Times New Roman"/>
      <w:sz w:val="18"/>
      <w:szCs w:val="18"/>
    </w:rPr>
  </w:style>
  <w:style w:type="character" w:customStyle="1" w:styleId="10">
    <w:name w:val="Footer Char"/>
    <w:basedOn w:val="6"/>
    <w:link w:val="2"/>
    <w:semiHidden/>
    <w:locked/>
    <w:uiPriority w:val="99"/>
    <w:rPr>
      <w:rFonts w:cs="Times New Roman"/>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965</Words>
  <Characters>5501</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2021-05-24T08:45:00Z</dcterms:created>
  <dc:creator>Lenovo User</dc:creator>
  <cp:lastModifiedBy>ws飞扬</cp:lastModifiedBy>
  <cp:lastPrinted>2021-05-25T01:34:37Z</cp:lastPrinted>
  <dcterms:modified xsi:type="dcterms:W3CDTF">2021-05-25T02:00:04Z</dcterms:modified>
  <dc:title>　金川县畜牧兽医服务中心2018年部门预算编制说明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021906230DB94665B5F1336713AC77EB</vt:lpwstr>
  </property>
</Properties>
</file>